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C03A91" w:rsidRDefault="007E7745" w:rsidP="00C03A91">
      <w:pPr>
        <w:spacing w:line="360" w:lineRule="auto"/>
        <w:rPr>
          <w:rFonts w:ascii="Arial" w:hAnsi="Arial" w:cs="Arial"/>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23EDEBF4" w:rsidR="00EB12BC" w:rsidRPr="00FC738C" w:rsidRDefault="00EB12BC" w:rsidP="00FC738C">
      <w:pPr>
        <w:tabs>
          <w:tab w:val="left" w:pos="6540"/>
        </w:tabs>
        <w:spacing w:line="360" w:lineRule="auto"/>
        <w:rPr>
          <w:rFonts w:ascii="Arial" w:hAnsi="Arial" w:cs="Arial"/>
          <w:sz w:val="22"/>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FC738C">
        <w:rPr>
          <w:rFonts w:ascii="Arial" w:hAnsi="Arial" w:cs="Arial"/>
          <w:sz w:val="28"/>
          <w:szCs w:val="28"/>
          <w:lang w:val="nl-NL"/>
        </w:rPr>
        <w:t xml:space="preserve"> </w:t>
      </w:r>
      <w:r w:rsidR="00FC738C">
        <w:rPr>
          <w:rFonts w:ascii="Arial" w:hAnsi="Arial" w:cs="Arial"/>
          <w:sz w:val="22"/>
          <w:lang w:val="nl-NL"/>
        </w:rPr>
        <w:t>Ioana Iacob</w:t>
      </w:r>
    </w:p>
    <w:p w14:paraId="3C83A8A7" w14:textId="3F66FC0B" w:rsidR="00EB12BC" w:rsidRPr="00FC738C" w:rsidRDefault="00EB12BC" w:rsidP="00FC738C">
      <w:pPr>
        <w:tabs>
          <w:tab w:val="left" w:pos="6540"/>
        </w:tabs>
        <w:spacing w:line="360" w:lineRule="auto"/>
        <w:rPr>
          <w:rFonts w:ascii="Arial" w:hAnsi="Arial" w:cs="Arial"/>
          <w:sz w:val="22"/>
          <w:lang w:val="nl-NL"/>
        </w:rPr>
      </w:pPr>
      <w:r w:rsidRPr="00076AC0">
        <w:rPr>
          <w:rFonts w:ascii="Arial" w:hAnsi="Arial" w:cs="Arial"/>
          <w:b/>
          <w:bCs/>
          <w:sz w:val="28"/>
          <w:szCs w:val="28"/>
          <w:lang w:val="nl-NL"/>
        </w:rPr>
        <w:t>Student ID</w:t>
      </w:r>
      <w:r w:rsidRPr="00FC738C">
        <w:rPr>
          <w:rFonts w:ascii="Arial" w:hAnsi="Arial" w:cs="Arial"/>
          <w:sz w:val="22"/>
          <w:lang w:val="nl-NL"/>
        </w:rPr>
        <w:t>:</w:t>
      </w:r>
      <w:r w:rsidR="00FC738C" w:rsidRPr="00FC738C">
        <w:rPr>
          <w:rFonts w:ascii="Arial" w:hAnsi="Arial" w:cs="Arial"/>
          <w:sz w:val="22"/>
          <w:lang w:val="nl-NL"/>
        </w:rPr>
        <w:t xml:space="preserve"> 2515341</w:t>
      </w:r>
    </w:p>
    <w:p w14:paraId="21E9DC72" w14:textId="77777777" w:rsidR="00EB12BC" w:rsidRPr="00076AC0" w:rsidRDefault="00EB12BC" w:rsidP="00C03A91">
      <w:pPr>
        <w:tabs>
          <w:tab w:val="left" w:pos="6540"/>
        </w:tabs>
        <w:spacing w:line="360" w:lineRule="auto"/>
        <w:rPr>
          <w:rFonts w:ascii="Arial" w:hAnsi="Arial" w:cs="Arial"/>
          <w:sz w:val="28"/>
          <w:szCs w:val="28"/>
          <w:lang w:val="nl-NL"/>
        </w:rPr>
      </w:pPr>
    </w:p>
    <w:p w14:paraId="23BAC9B9" w14:textId="089FBFF5" w:rsidR="00EB12BC" w:rsidRPr="00FC738C" w:rsidRDefault="00EB12BC" w:rsidP="00C03A91">
      <w:pPr>
        <w:tabs>
          <w:tab w:val="left" w:pos="6540"/>
        </w:tabs>
        <w:spacing w:line="360" w:lineRule="auto"/>
        <w:rPr>
          <w:rFonts w:ascii="Arial" w:hAnsi="Arial" w:cs="Arial"/>
          <w:sz w:val="22"/>
          <w:lang w:val="nl-NL"/>
        </w:rPr>
      </w:pPr>
      <w:r w:rsidRPr="00076AC0">
        <w:rPr>
          <w:rFonts w:ascii="Arial" w:hAnsi="Arial" w:cs="Arial"/>
          <w:b/>
          <w:bCs/>
          <w:sz w:val="28"/>
          <w:szCs w:val="28"/>
          <w:lang w:val="nl-NL"/>
        </w:rPr>
        <w:t>Module name</w:t>
      </w:r>
      <w:r w:rsidRPr="00076AC0">
        <w:rPr>
          <w:rFonts w:ascii="Arial" w:hAnsi="Arial" w:cs="Arial"/>
          <w:sz w:val="28"/>
          <w:szCs w:val="28"/>
          <w:lang w:val="nl-NL"/>
        </w:rPr>
        <w:t xml:space="preserve">: </w:t>
      </w:r>
      <w:r w:rsidR="00FC738C">
        <w:rPr>
          <w:rFonts w:ascii="Arial" w:hAnsi="Arial" w:cs="Arial"/>
          <w:sz w:val="22"/>
          <w:lang w:val="nl-NL"/>
        </w:rPr>
        <w:t>Introduction to Physiology</w:t>
      </w:r>
    </w:p>
    <w:p w14:paraId="4FD97C8C" w14:textId="40C29DF4" w:rsidR="00EB12BC" w:rsidRPr="00FC738C" w:rsidRDefault="00EB12BC" w:rsidP="00C03A91">
      <w:pPr>
        <w:tabs>
          <w:tab w:val="left" w:pos="6540"/>
        </w:tabs>
        <w:spacing w:line="360" w:lineRule="auto"/>
        <w:rPr>
          <w:rFonts w:ascii="Arial" w:hAnsi="Arial" w:cs="Arial"/>
          <w:sz w:val="22"/>
        </w:rPr>
      </w:pPr>
      <w:r w:rsidRPr="00C03A91">
        <w:rPr>
          <w:rFonts w:ascii="Arial" w:hAnsi="Arial" w:cs="Arial"/>
          <w:b/>
          <w:bCs/>
          <w:sz w:val="28"/>
          <w:szCs w:val="28"/>
        </w:rPr>
        <w:t>Module code</w:t>
      </w:r>
      <w:r w:rsidRPr="00C03A91">
        <w:rPr>
          <w:rFonts w:ascii="Arial" w:hAnsi="Arial" w:cs="Arial"/>
          <w:sz w:val="28"/>
          <w:szCs w:val="28"/>
        </w:rPr>
        <w:t>:</w:t>
      </w:r>
      <w:r w:rsidR="00FC738C">
        <w:rPr>
          <w:rFonts w:ascii="Arial" w:hAnsi="Arial" w:cs="Arial"/>
          <w:sz w:val="28"/>
          <w:szCs w:val="28"/>
        </w:rPr>
        <w:t xml:space="preserve"> </w:t>
      </w:r>
      <w:r w:rsidR="00FC738C">
        <w:rPr>
          <w:rFonts w:ascii="Arial" w:hAnsi="Arial" w:cs="Arial"/>
          <w:sz w:val="22"/>
        </w:rPr>
        <w:t>BMHP5023</w:t>
      </w:r>
    </w:p>
    <w:p w14:paraId="658BE57E" w14:textId="56151F7F" w:rsidR="00EB12BC" w:rsidRPr="00FC738C" w:rsidRDefault="00EB12BC" w:rsidP="00C03A91">
      <w:pPr>
        <w:tabs>
          <w:tab w:val="left" w:pos="6540"/>
        </w:tabs>
        <w:spacing w:line="360" w:lineRule="auto"/>
        <w:rPr>
          <w:rFonts w:ascii="Arial" w:hAnsi="Arial" w:cs="Arial"/>
          <w:sz w:val="22"/>
        </w:rPr>
      </w:pPr>
      <w:r w:rsidRPr="00C03A91">
        <w:rPr>
          <w:rFonts w:ascii="Arial" w:hAnsi="Arial" w:cs="Arial"/>
          <w:b/>
          <w:bCs/>
          <w:sz w:val="28"/>
          <w:szCs w:val="28"/>
        </w:rPr>
        <w:t>Lecturer name</w:t>
      </w:r>
      <w:r w:rsidRPr="00C03A91">
        <w:rPr>
          <w:rFonts w:ascii="Arial" w:hAnsi="Arial" w:cs="Arial"/>
          <w:sz w:val="28"/>
          <w:szCs w:val="28"/>
        </w:rPr>
        <w:t>:</w:t>
      </w:r>
      <w:r w:rsidR="00FC738C">
        <w:rPr>
          <w:rFonts w:ascii="Arial" w:hAnsi="Arial" w:cs="Arial"/>
          <w:sz w:val="28"/>
          <w:szCs w:val="28"/>
        </w:rPr>
        <w:t xml:space="preserve"> </w:t>
      </w:r>
      <w:r w:rsidR="00FC738C">
        <w:rPr>
          <w:rFonts w:ascii="Arial" w:hAnsi="Arial" w:cs="Arial"/>
          <w:sz w:val="22"/>
        </w:rPr>
        <w:t>Soban Sadiq</w:t>
      </w:r>
    </w:p>
    <w:p w14:paraId="5AFF31F9" w14:textId="77777777" w:rsidR="001B7A40" w:rsidRPr="00C03A91" w:rsidRDefault="001B7A40" w:rsidP="00C03A91">
      <w:pPr>
        <w:tabs>
          <w:tab w:val="left" w:pos="6540"/>
        </w:tabs>
        <w:spacing w:line="360" w:lineRule="auto"/>
        <w:rPr>
          <w:rFonts w:ascii="Arial" w:hAnsi="Arial" w:cs="Arial"/>
          <w:b/>
          <w:bCs/>
          <w:sz w:val="28"/>
          <w:szCs w:val="28"/>
        </w:rPr>
      </w:pPr>
    </w:p>
    <w:p w14:paraId="53B923F4" w14:textId="5427D9B9" w:rsidR="001B7A40" w:rsidRPr="00FC738C" w:rsidRDefault="001B7A40" w:rsidP="00C03A91">
      <w:pPr>
        <w:tabs>
          <w:tab w:val="left" w:pos="6540"/>
        </w:tabs>
        <w:spacing w:line="360" w:lineRule="auto"/>
        <w:rPr>
          <w:rFonts w:ascii="Arial" w:hAnsi="Arial" w:cs="Arial"/>
          <w:sz w:val="22"/>
        </w:rPr>
      </w:pPr>
      <w:r w:rsidRPr="00C03A91">
        <w:rPr>
          <w:rFonts w:ascii="Arial" w:hAnsi="Arial" w:cs="Arial"/>
          <w:b/>
          <w:bCs/>
          <w:sz w:val="28"/>
          <w:szCs w:val="28"/>
        </w:rPr>
        <w:t xml:space="preserve">Assessment: </w:t>
      </w:r>
      <w:r w:rsidR="00FC738C">
        <w:rPr>
          <w:rFonts w:ascii="Arial" w:hAnsi="Arial" w:cs="Arial"/>
          <w:sz w:val="22"/>
        </w:rPr>
        <w:t>Component 1 – Written Assignment (Case Study Report</w:t>
      </w:r>
      <w:r w:rsidR="00412868">
        <w:rPr>
          <w:rFonts w:ascii="Arial" w:hAnsi="Arial" w:cs="Arial"/>
          <w:sz w:val="22"/>
        </w:rPr>
        <w:t>):</w:t>
      </w:r>
      <w:r w:rsidR="00FC738C">
        <w:rPr>
          <w:rFonts w:ascii="Arial" w:hAnsi="Arial" w:cs="Arial"/>
          <w:sz w:val="22"/>
        </w:rPr>
        <w:t xml:space="preserve"> Type 2 Diabetes</w:t>
      </w:r>
    </w:p>
    <w:p w14:paraId="21E663C3" w14:textId="77777777" w:rsidR="00995C46" w:rsidRDefault="00995C46" w:rsidP="00C03A91">
      <w:pPr>
        <w:tabs>
          <w:tab w:val="left" w:pos="6540"/>
        </w:tabs>
        <w:spacing w:line="360" w:lineRule="auto"/>
        <w:rPr>
          <w:rFonts w:ascii="Arial" w:hAnsi="Arial" w:cs="Arial"/>
          <w:sz w:val="28"/>
          <w:szCs w:val="28"/>
        </w:rPr>
      </w:pPr>
    </w:p>
    <w:p w14:paraId="36E012A0" w14:textId="5AE93049" w:rsidR="000C4EDA" w:rsidRPr="00995C46" w:rsidRDefault="000C4EDA" w:rsidP="00C03A91">
      <w:pPr>
        <w:tabs>
          <w:tab w:val="left" w:pos="6540"/>
        </w:tabs>
        <w:spacing w:line="360" w:lineRule="auto"/>
        <w:rPr>
          <w:rFonts w:ascii="Arial" w:hAnsi="Arial" w:cs="Arial"/>
          <w:color w:val="EE0000"/>
          <w:sz w:val="28"/>
          <w:szCs w:val="28"/>
        </w:rPr>
      </w:pPr>
    </w:p>
    <w:p w14:paraId="442A8432" w14:textId="26742B07" w:rsidR="000C4EDA" w:rsidRPr="00995C46" w:rsidRDefault="000C4EDA" w:rsidP="00995C46">
      <w:pPr>
        <w:spacing w:line="360" w:lineRule="auto"/>
        <w:rPr>
          <w:rFonts w:ascii="Arial" w:hAnsi="Arial" w:cs="Arial"/>
          <w:sz w:val="28"/>
          <w:szCs w:val="28"/>
        </w:rPr>
      </w:pPr>
      <w:r w:rsidRPr="00C03A91">
        <w:rPr>
          <w:rFonts w:ascii="Arial" w:hAnsi="Arial" w:cs="Arial"/>
          <w:sz w:val="28"/>
          <w:szCs w:val="28"/>
        </w:rPr>
        <w:br w:type="page"/>
      </w:r>
      <w:r w:rsidRPr="00995C46">
        <w:rPr>
          <w:rFonts w:ascii="Arial" w:eastAsiaTheme="majorEastAsia" w:hAnsi="Arial" w:cs="Arial"/>
          <w:b/>
          <w:sz w:val="32"/>
          <w:szCs w:val="32"/>
        </w:rPr>
        <w:lastRenderedPageBreak/>
        <w:t>1. Introduction</w:t>
      </w:r>
      <w:r w:rsidR="00C03A91" w:rsidRPr="00C03A91">
        <w:rPr>
          <w:rFonts w:cs="Arial"/>
        </w:rPr>
        <w:t xml:space="preserve"> </w:t>
      </w:r>
    </w:p>
    <w:p w14:paraId="67FE3B45" w14:textId="51B9D731" w:rsidR="00BD6C87" w:rsidRDefault="00BD6C87" w:rsidP="00BD6C87">
      <w:pPr>
        <w:tabs>
          <w:tab w:val="left" w:pos="6540"/>
        </w:tabs>
        <w:spacing w:line="360" w:lineRule="auto"/>
        <w:rPr>
          <w:rFonts w:ascii="Arial" w:hAnsi="Arial" w:cs="Arial"/>
          <w:color w:val="000000" w:themeColor="text1"/>
          <w:sz w:val="22"/>
        </w:rPr>
      </w:pPr>
      <w:r>
        <w:rPr>
          <w:rFonts w:ascii="Arial" w:hAnsi="Arial" w:cs="Arial"/>
          <w:color w:val="000000" w:themeColor="text1"/>
          <w:sz w:val="22"/>
        </w:rPr>
        <w:t>Diabetes mellitus is a chronic metabolic condition characterised by persistently elevated blood glucose levels resulting from impaired insulin production, insulin action, or both.</w:t>
      </w:r>
    </w:p>
    <w:p w14:paraId="389C9ECB" w14:textId="3974C5F4" w:rsidR="00BD6C87" w:rsidRDefault="00BD6C87" w:rsidP="00BD6C87">
      <w:pPr>
        <w:tabs>
          <w:tab w:val="left" w:pos="6540"/>
        </w:tabs>
        <w:spacing w:line="360" w:lineRule="auto"/>
        <w:rPr>
          <w:rFonts w:ascii="Arial" w:hAnsi="Arial" w:cs="Arial"/>
          <w:color w:val="000000" w:themeColor="text1"/>
          <w:sz w:val="22"/>
        </w:rPr>
      </w:pPr>
      <w:r>
        <w:rPr>
          <w:rFonts w:ascii="Arial" w:hAnsi="Arial" w:cs="Arial"/>
          <w:color w:val="000000" w:themeColor="text1"/>
          <w:sz w:val="22"/>
        </w:rPr>
        <w:t>Type 1 diabetes occurs when autoimmune destruction of pancreatic beta cells leads to severe insulin deficiency, requiring lifelong insulin replacement. In contrast, type 2 diabetes is primarily associated with insulin</w:t>
      </w:r>
      <w:r w:rsidR="001531C5">
        <w:rPr>
          <w:rFonts w:ascii="Arial" w:hAnsi="Arial" w:cs="Arial"/>
          <w:color w:val="000000" w:themeColor="text1"/>
          <w:sz w:val="22"/>
        </w:rPr>
        <w:t xml:space="preserve"> resistance and progressive pancreatic beta-cell dysfunction, which reduces the body’s ability to maintain normal glucose levels (NHS, 2025). The case study focuses on a practice nurse working in a GP surgery where increasing numbers of patients have been diagnosed with diabetes. This highlights the importance of understanding the condition and supporting patients in managing their blood glucose effectively.</w:t>
      </w:r>
    </w:p>
    <w:p w14:paraId="4AC1B4A3" w14:textId="694245DF" w:rsidR="001531C5" w:rsidRDefault="001531C5" w:rsidP="00BD6C87">
      <w:pPr>
        <w:tabs>
          <w:tab w:val="left" w:pos="6540"/>
        </w:tabs>
        <w:spacing w:line="360" w:lineRule="auto"/>
        <w:rPr>
          <w:rFonts w:ascii="Arial" w:hAnsi="Arial" w:cs="Arial"/>
          <w:color w:val="000000" w:themeColor="text1"/>
          <w:sz w:val="22"/>
        </w:rPr>
      </w:pPr>
      <w:r>
        <w:rPr>
          <w:rFonts w:ascii="Arial" w:hAnsi="Arial" w:cs="Arial"/>
          <w:color w:val="000000" w:themeColor="text1"/>
          <w:sz w:val="22"/>
        </w:rPr>
        <w:t xml:space="preserve">The risk of developing type 2 diabetes is influenced by both biological and lifestyle factors. Increasing age, family history and </w:t>
      </w:r>
      <w:r w:rsidR="00B708EB">
        <w:rPr>
          <w:rFonts w:ascii="Arial" w:hAnsi="Arial" w:cs="Arial"/>
          <w:color w:val="000000" w:themeColor="text1"/>
          <w:sz w:val="22"/>
        </w:rPr>
        <w:t>ethnic background can influence susceptibility</w:t>
      </w:r>
      <w:r>
        <w:rPr>
          <w:rFonts w:ascii="Arial" w:hAnsi="Arial" w:cs="Arial"/>
          <w:color w:val="000000" w:themeColor="text1"/>
          <w:sz w:val="22"/>
        </w:rPr>
        <w:t xml:space="preserve">, while excess body weight, physical inactivity and unhealthy dietary patterns may contribute to insulin resistance. Research conducted in England identified higher rates of pre-diabetes among older adults and certain ethnic groups, highlighting </w:t>
      </w:r>
      <w:r w:rsidR="0069561C">
        <w:rPr>
          <w:rFonts w:ascii="Arial" w:hAnsi="Arial" w:cs="Arial"/>
          <w:color w:val="000000" w:themeColor="text1"/>
          <w:sz w:val="22"/>
        </w:rPr>
        <w:t>inequalities in metabolic health (Office for National Statistics, 2024). However, these associations do not establish that individual behaviours directly cause diabetes, suggesting that prevention requires consideration of wider health circumstances.</w:t>
      </w:r>
    </w:p>
    <w:p w14:paraId="00214DFE" w14:textId="54D0F179" w:rsidR="0069561C" w:rsidRPr="00BD6C87" w:rsidRDefault="0069561C" w:rsidP="00BD6C87">
      <w:pPr>
        <w:tabs>
          <w:tab w:val="left" w:pos="6540"/>
        </w:tabs>
        <w:spacing w:line="360" w:lineRule="auto"/>
        <w:rPr>
          <w:rFonts w:ascii="Arial" w:hAnsi="Arial" w:cs="Arial"/>
          <w:color w:val="000000" w:themeColor="text1"/>
          <w:sz w:val="22"/>
        </w:rPr>
      </w:pPr>
      <w:r>
        <w:rPr>
          <w:rFonts w:ascii="Arial" w:hAnsi="Arial" w:cs="Arial"/>
          <w:color w:val="000000" w:themeColor="text1"/>
          <w:sz w:val="22"/>
        </w:rPr>
        <w:t>Within primary care, patient education is essential for effective long-term diabetes management. Practice nurses can support patients by explaining blood glucose regulation, discussing treatment options and developing individualised care plans. Structured education encourages informed decision-making and improves patients</w:t>
      </w:r>
      <w:r w:rsidR="002D7CAA">
        <w:rPr>
          <w:rFonts w:ascii="Arial" w:hAnsi="Arial" w:cs="Arial"/>
          <w:color w:val="000000" w:themeColor="text1"/>
          <w:sz w:val="22"/>
        </w:rPr>
        <w:t xml:space="preserve">’ </w:t>
      </w:r>
      <w:r>
        <w:rPr>
          <w:rFonts w:ascii="Arial" w:hAnsi="Arial" w:cs="Arial"/>
          <w:color w:val="000000" w:themeColor="text1"/>
          <w:sz w:val="22"/>
        </w:rPr>
        <w:t>ability to manage their condition independently (N</w:t>
      </w:r>
      <w:r w:rsidR="002D7CAA">
        <w:rPr>
          <w:rFonts w:ascii="Arial" w:hAnsi="Arial" w:cs="Arial"/>
          <w:color w:val="000000" w:themeColor="text1"/>
          <w:sz w:val="22"/>
        </w:rPr>
        <w:t>ICE</w:t>
      </w:r>
      <w:r>
        <w:rPr>
          <w:rFonts w:ascii="Arial" w:hAnsi="Arial" w:cs="Arial"/>
          <w:color w:val="000000" w:themeColor="text1"/>
          <w:sz w:val="22"/>
        </w:rPr>
        <w:t>, 2026). Nevertheless, education alone may not achieve lasting improvements when patients experience financial difficulties, language barriers or limited access to support. Therefore, personalised guidance and regular follow-up are important for promoting sustainable self-management and reducing the risk of complications.</w:t>
      </w:r>
      <w:r w:rsidR="00F40340">
        <w:rPr>
          <w:rFonts w:ascii="Arial" w:hAnsi="Arial" w:cs="Arial"/>
          <w:color w:val="000000" w:themeColor="text1"/>
          <w:sz w:val="22"/>
        </w:rPr>
        <w:t xml:space="preserve"> This approach also helps patient</w:t>
      </w:r>
      <w:r w:rsidR="00AC42AE">
        <w:rPr>
          <w:rFonts w:ascii="Arial" w:hAnsi="Arial" w:cs="Arial"/>
          <w:color w:val="000000" w:themeColor="text1"/>
          <w:sz w:val="22"/>
        </w:rPr>
        <w:t>s</w:t>
      </w:r>
      <w:r w:rsidR="00F40340">
        <w:rPr>
          <w:rFonts w:ascii="Arial" w:hAnsi="Arial" w:cs="Arial"/>
          <w:color w:val="000000" w:themeColor="text1"/>
          <w:sz w:val="22"/>
        </w:rPr>
        <w:t xml:space="preserve"> feel more confident when making decisions about their health and daily routines.</w:t>
      </w:r>
    </w:p>
    <w:p w14:paraId="2D95E97C" w14:textId="0116D9CF" w:rsidR="00C03A91" w:rsidRPr="00C03A91" w:rsidRDefault="00C03A91" w:rsidP="00C03A91">
      <w:pPr>
        <w:pStyle w:val="Heading1"/>
        <w:spacing w:line="360" w:lineRule="auto"/>
        <w:rPr>
          <w:rFonts w:cs="Arial"/>
        </w:rPr>
      </w:pPr>
      <w:r w:rsidRPr="00C03A91">
        <w:rPr>
          <w:rFonts w:cs="Arial"/>
        </w:rPr>
        <w:t xml:space="preserve">2. </w:t>
      </w:r>
      <w:r w:rsidR="00FD7392">
        <w:rPr>
          <w:rFonts w:cs="Arial"/>
        </w:rPr>
        <w:t>Blood Sugar Regulation</w:t>
      </w:r>
    </w:p>
    <w:p w14:paraId="57A2CCBE" w14:textId="2221C6CD" w:rsidR="00B5240B" w:rsidRPr="003F5EFF" w:rsidRDefault="00C35EA8" w:rsidP="00C35EA8">
      <w:pPr>
        <w:tabs>
          <w:tab w:val="left" w:pos="6540"/>
        </w:tabs>
        <w:spacing w:line="360" w:lineRule="auto"/>
        <w:rPr>
          <w:rFonts w:ascii="Arial" w:eastAsia="Arial" w:hAnsi="Arial" w:cs="Arial"/>
          <w:color w:val="000000" w:themeColor="text1"/>
          <w:sz w:val="22"/>
        </w:rPr>
      </w:pPr>
      <w:r w:rsidRPr="003F5EFF">
        <w:rPr>
          <w:rFonts w:ascii="Arial" w:eastAsia="Arial" w:hAnsi="Arial" w:cs="Arial"/>
          <w:color w:val="000000" w:themeColor="text1"/>
          <w:sz w:val="22"/>
        </w:rPr>
        <w:t>Blood glucose is regulated through homeostasis, which keeps the body’s internal conditions relatively stable. In healthy adults, fasting blood glucose is generally around 4-6</w:t>
      </w:r>
      <w:r w:rsidR="00E77C0C" w:rsidRPr="003F5EFF">
        <w:rPr>
          <w:rFonts w:ascii="Arial" w:eastAsia="Arial" w:hAnsi="Arial" w:cs="Arial"/>
          <w:color w:val="000000" w:themeColor="text1"/>
          <w:sz w:val="22"/>
        </w:rPr>
        <w:t xml:space="preserve"> mmol/L.</w:t>
      </w:r>
      <w:r w:rsidR="00B5240B" w:rsidRPr="003F5EFF">
        <w:rPr>
          <w:rFonts w:ascii="Arial" w:eastAsia="Arial" w:hAnsi="Arial" w:cs="Arial"/>
          <w:color w:val="000000" w:themeColor="text1"/>
          <w:sz w:val="22"/>
        </w:rPr>
        <w:t xml:space="preserve"> Glucose </w:t>
      </w:r>
      <w:r w:rsidR="008B53CE" w:rsidRPr="003F5EFF">
        <w:rPr>
          <w:rFonts w:ascii="Arial" w:eastAsia="Arial" w:hAnsi="Arial" w:cs="Arial"/>
          <w:color w:val="000000" w:themeColor="text1"/>
          <w:sz w:val="22"/>
        </w:rPr>
        <w:t>is an important source of energy for the body, particularly the brain</w:t>
      </w:r>
      <w:r w:rsidR="00B5240B" w:rsidRPr="003F5EFF">
        <w:rPr>
          <w:rFonts w:ascii="Arial" w:eastAsia="Arial" w:hAnsi="Arial" w:cs="Arial"/>
          <w:color w:val="000000" w:themeColor="text1"/>
          <w:sz w:val="22"/>
        </w:rPr>
        <w:t xml:space="preserve">. Hypoglycaemia, </w:t>
      </w:r>
      <w:r w:rsidR="00B5240B" w:rsidRPr="003F5EFF">
        <w:rPr>
          <w:rFonts w:ascii="Arial" w:eastAsia="Arial" w:hAnsi="Arial" w:cs="Arial"/>
          <w:color w:val="000000" w:themeColor="text1"/>
          <w:sz w:val="22"/>
        </w:rPr>
        <w:lastRenderedPageBreak/>
        <w:t>usually defined in diabetes care as below 4 mmol/L, can cause sweating, shaking and confusion. Persistent hyperglycaemia can damage blood vessels, nerves and organs. However, safe glucose targets differ according to a person’s treatment and health needs (Diabetes UK, 2026). After eating, carbohydrates are digested into glucose, increasing its concentration in blood.</w:t>
      </w:r>
      <w:r w:rsidR="00EF2FD2">
        <w:rPr>
          <w:rFonts w:ascii="Arial" w:eastAsia="Arial" w:hAnsi="Arial" w:cs="Arial"/>
          <w:color w:val="000000" w:themeColor="text1"/>
          <w:sz w:val="22"/>
        </w:rPr>
        <w:t xml:space="preserve"> Beta cells, located in the islets of Langerhans within the pancreas, detect this rise and release insulin</w:t>
      </w:r>
      <w:r w:rsidR="00B5240B" w:rsidRPr="003F5EFF">
        <w:rPr>
          <w:rFonts w:ascii="Arial" w:eastAsia="Arial" w:hAnsi="Arial" w:cs="Arial"/>
          <w:color w:val="000000" w:themeColor="text1"/>
          <w:sz w:val="22"/>
        </w:rPr>
        <w:t>. Insulin stimulates muscle and fat cells to move GLUT4 transporters to their surfaces, allowing more glucose to enter. It also encourages the liver to convert glucose into glycogen for storage, a process called glycogenesis. As glucose returns towards its usual range, insulin secretion decreases. This negative feedback prevents the response from continuing unnecessarily (</w:t>
      </w:r>
      <w:r w:rsidR="00F30B87">
        <w:rPr>
          <w:rFonts w:ascii="Arial" w:eastAsia="Arial" w:hAnsi="Arial" w:cs="Arial"/>
          <w:color w:val="000000" w:themeColor="text1"/>
          <w:sz w:val="22"/>
        </w:rPr>
        <w:t>Betts et al.</w:t>
      </w:r>
      <w:r w:rsidR="00B5240B" w:rsidRPr="003F5EFF">
        <w:rPr>
          <w:rFonts w:ascii="Arial" w:eastAsia="Arial" w:hAnsi="Arial" w:cs="Arial"/>
          <w:color w:val="000000" w:themeColor="text1"/>
          <w:sz w:val="22"/>
        </w:rPr>
        <w:t>, 2022).</w:t>
      </w:r>
    </w:p>
    <w:p w14:paraId="5C4C2D37" w14:textId="75470E16" w:rsidR="005E7040" w:rsidRPr="003F5EFF" w:rsidRDefault="00E6359C" w:rsidP="00C35EA8">
      <w:pPr>
        <w:tabs>
          <w:tab w:val="left" w:pos="6540"/>
        </w:tabs>
        <w:spacing w:line="360" w:lineRule="auto"/>
        <w:rPr>
          <w:rFonts w:ascii="Arial" w:eastAsia="Arial" w:hAnsi="Arial" w:cs="Arial"/>
          <w:color w:val="000000" w:themeColor="text1"/>
          <w:sz w:val="22"/>
        </w:rPr>
      </w:pPr>
      <w:r w:rsidRPr="003F5EFF">
        <w:rPr>
          <w:rFonts w:ascii="Arial" w:eastAsia="Arial" w:hAnsi="Arial" w:cs="Arial"/>
          <w:color w:val="000000" w:themeColor="text1"/>
          <w:sz w:val="22"/>
        </w:rPr>
        <w:t>When blood glucose falls, for example during fasting, pancreatic alpha cells release glucagon. Glucagon signals the liver to break down glycogen through glycogenolysis and release glucose into the bloodstream. During prolonged fasting, the liver also produces new glucose through gluconeogenesis. As blood glucose rises, glucagon secretion decreases. Exercise increases glucose use by working muscles, partly through pathways that do not require insulin. However, exercise does not always</w:t>
      </w:r>
      <w:r w:rsidR="005E7040" w:rsidRPr="003F5EFF">
        <w:rPr>
          <w:rFonts w:ascii="Arial" w:eastAsia="Arial" w:hAnsi="Arial" w:cs="Arial"/>
          <w:color w:val="000000" w:themeColor="text1"/>
          <w:sz w:val="22"/>
        </w:rPr>
        <w:t xml:space="preserve"> lower blood glucose immediately, as the response depends on its intensity an</w:t>
      </w:r>
      <w:r w:rsidR="008B53CE" w:rsidRPr="003F5EFF">
        <w:rPr>
          <w:rFonts w:ascii="Arial" w:eastAsia="Arial" w:hAnsi="Arial" w:cs="Arial"/>
          <w:color w:val="000000" w:themeColor="text1"/>
          <w:sz w:val="22"/>
        </w:rPr>
        <w:t xml:space="preserve">d the </w:t>
      </w:r>
      <w:r w:rsidR="005E7040" w:rsidRPr="003F5EFF">
        <w:rPr>
          <w:rFonts w:ascii="Arial" w:eastAsia="Arial" w:hAnsi="Arial" w:cs="Arial"/>
          <w:color w:val="000000" w:themeColor="text1"/>
          <w:sz w:val="22"/>
        </w:rPr>
        <w:t>person’s treatment. The</w:t>
      </w:r>
      <w:r w:rsidR="003F5EFF" w:rsidRPr="003F5EFF">
        <w:rPr>
          <w:rFonts w:ascii="Arial" w:eastAsia="Arial" w:hAnsi="Arial" w:cs="Arial"/>
          <w:color w:val="000000" w:themeColor="text1"/>
          <w:sz w:val="22"/>
        </w:rPr>
        <w:t xml:space="preserve"> insulin response to increased blood glucose is illustrated in Figure 1.</w:t>
      </w:r>
    </w:p>
    <w:p w14:paraId="4C6ACC63" w14:textId="382FC9C8" w:rsidR="00E70BF1" w:rsidRDefault="00E70BF1" w:rsidP="00C35EA8">
      <w:pPr>
        <w:tabs>
          <w:tab w:val="left" w:pos="6540"/>
        </w:tabs>
        <w:spacing w:line="360" w:lineRule="auto"/>
        <w:rPr>
          <w:rFonts w:ascii="Arial" w:eastAsia="Arial" w:hAnsi="Arial" w:cs="Arial"/>
          <w:color w:val="444444"/>
          <w:sz w:val="22"/>
        </w:rPr>
      </w:pPr>
      <w:r>
        <w:rPr>
          <w:rFonts w:ascii="Arial" w:eastAsia="Arial" w:hAnsi="Arial" w:cs="Arial"/>
          <w:noProof/>
          <w:color w:val="444444"/>
          <w:sz w:val="22"/>
        </w:rPr>
        <w:drawing>
          <wp:inline distT="0" distB="0" distL="0" distR="0" wp14:anchorId="114EB4B7" wp14:editId="2FD98E98">
            <wp:extent cx="4960620" cy="1485900"/>
            <wp:effectExtent l="0" t="0" r="11430" b="0"/>
            <wp:docPr id="906085733"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0F3A6841" w14:textId="4ED0203F" w:rsidR="00E70BF1" w:rsidRPr="003F5EFF" w:rsidRDefault="00E70BF1" w:rsidP="00C35EA8">
      <w:pPr>
        <w:tabs>
          <w:tab w:val="left" w:pos="6540"/>
        </w:tabs>
        <w:spacing w:line="360" w:lineRule="auto"/>
        <w:rPr>
          <w:rFonts w:ascii="Arial" w:eastAsia="Arial" w:hAnsi="Arial" w:cs="Arial"/>
          <w:color w:val="000000" w:themeColor="text1"/>
          <w:sz w:val="22"/>
        </w:rPr>
      </w:pPr>
      <w:r w:rsidRPr="003F5EFF">
        <w:rPr>
          <w:rFonts w:ascii="Arial" w:eastAsia="Arial" w:hAnsi="Arial" w:cs="Arial"/>
          <w:color w:val="000000" w:themeColor="text1"/>
          <w:sz w:val="22"/>
        </w:rPr>
        <w:t>Figure 1. Insulin response to increased blood glucose. Source</w:t>
      </w:r>
      <w:r w:rsidR="00AC01BD" w:rsidRPr="003F5EFF">
        <w:rPr>
          <w:rFonts w:ascii="Arial" w:eastAsia="Arial" w:hAnsi="Arial" w:cs="Arial"/>
          <w:color w:val="000000" w:themeColor="text1"/>
          <w:sz w:val="22"/>
        </w:rPr>
        <w:t xml:space="preserve">: Author-created diagram based on </w:t>
      </w:r>
      <w:r w:rsidR="00F30B87">
        <w:rPr>
          <w:rFonts w:ascii="Arial" w:eastAsia="Arial" w:hAnsi="Arial" w:cs="Arial"/>
          <w:color w:val="000000" w:themeColor="text1"/>
          <w:sz w:val="22"/>
        </w:rPr>
        <w:t>Betts et al.</w:t>
      </w:r>
      <w:r w:rsidR="00AC01BD" w:rsidRPr="003F5EFF">
        <w:rPr>
          <w:rFonts w:ascii="Arial" w:eastAsia="Arial" w:hAnsi="Arial" w:cs="Arial"/>
          <w:color w:val="000000" w:themeColor="text1"/>
          <w:sz w:val="22"/>
        </w:rPr>
        <w:t xml:space="preserve"> (2022).</w:t>
      </w:r>
    </w:p>
    <w:p w14:paraId="74FD4930" w14:textId="1FC272D8" w:rsidR="005E7040" w:rsidRPr="003F5EFF" w:rsidRDefault="005E7040" w:rsidP="00C35EA8">
      <w:pPr>
        <w:tabs>
          <w:tab w:val="left" w:pos="6540"/>
        </w:tabs>
        <w:spacing w:line="360" w:lineRule="auto"/>
        <w:rPr>
          <w:rFonts w:ascii="Arial" w:eastAsia="Arial" w:hAnsi="Arial" w:cs="Arial"/>
          <w:color w:val="000000" w:themeColor="text1"/>
          <w:sz w:val="22"/>
        </w:rPr>
      </w:pPr>
      <w:r w:rsidRPr="003F5EFF">
        <w:rPr>
          <w:rFonts w:ascii="Arial" w:eastAsia="Arial" w:hAnsi="Arial" w:cs="Arial"/>
          <w:color w:val="000000" w:themeColor="text1"/>
          <w:sz w:val="22"/>
        </w:rPr>
        <w:t>In type 2 diabetes, cells become less responsive to insulin, a condition called insulin resistance. Consequently, muscle and fat cells absorb glucose less efficiently, while the liver may continue producing glucose despite already elevated blood levels. Initially, beta cells often release extra insulin to compensate. Over time, their ability to produce sufficient insulin may decline, causing blood glucose to remain high. This reflects a combination of insulin resistance and progressive beta-cell dysfunction rather than a complete absence of insulin (Solis-Herrera et al., 2025).</w:t>
      </w:r>
    </w:p>
    <w:p w14:paraId="3772DE82" w14:textId="2CCB57C4" w:rsidR="005E7040" w:rsidRPr="003F5EFF" w:rsidRDefault="008B53CE" w:rsidP="00C35EA8">
      <w:pPr>
        <w:tabs>
          <w:tab w:val="left" w:pos="6540"/>
        </w:tabs>
        <w:spacing w:line="360" w:lineRule="auto"/>
        <w:rPr>
          <w:rFonts w:ascii="Arial" w:eastAsia="Arial" w:hAnsi="Arial" w:cs="Arial"/>
          <w:color w:val="000000" w:themeColor="text1"/>
          <w:sz w:val="22"/>
        </w:rPr>
      </w:pPr>
      <w:r w:rsidRPr="003F5EFF">
        <w:rPr>
          <w:rFonts w:ascii="Arial" w:eastAsia="Arial" w:hAnsi="Arial" w:cs="Arial"/>
          <w:color w:val="000000" w:themeColor="text1"/>
          <w:sz w:val="22"/>
        </w:rPr>
        <w:lastRenderedPageBreak/>
        <w:t>T</w:t>
      </w:r>
      <w:r w:rsidR="005E7040" w:rsidRPr="003F5EFF">
        <w:rPr>
          <w:rFonts w:ascii="Arial" w:eastAsia="Arial" w:hAnsi="Arial" w:cs="Arial"/>
          <w:color w:val="000000" w:themeColor="text1"/>
          <w:sz w:val="22"/>
        </w:rPr>
        <w:t xml:space="preserve">he practice nurse can use these explanations to </w:t>
      </w:r>
      <w:r w:rsidRPr="003F5EFF">
        <w:rPr>
          <w:rFonts w:ascii="Arial" w:eastAsia="Arial" w:hAnsi="Arial" w:cs="Arial"/>
          <w:color w:val="000000" w:themeColor="text1"/>
          <w:sz w:val="22"/>
        </w:rPr>
        <w:t>help</w:t>
      </w:r>
      <w:r w:rsidR="005E7040" w:rsidRPr="003F5EFF">
        <w:rPr>
          <w:rFonts w:ascii="Arial" w:eastAsia="Arial" w:hAnsi="Arial" w:cs="Arial"/>
          <w:color w:val="000000" w:themeColor="text1"/>
          <w:sz w:val="22"/>
        </w:rPr>
        <w:t xml:space="preserve"> patients </w:t>
      </w:r>
      <w:r w:rsidRPr="003F5EFF">
        <w:rPr>
          <w:rFonts w:ascii="Arial" w:eastAsia="Arial" w:hAnsi="Arial" w:cs="Arial"/>
          <w:color w:val="000000" w:themeColor="text1"/>
          <w:sz w:val="22"/>
        </w:rPr>
        <w:t>understand</w:t>
      </w:r>
      <w:r w:rsidR="005E7040" w:rsidRPr="003F5EFF">
        <w:rPr>
          <w:rFonts w:ascii="Arial" w:eastAsia="Arial" w:hAnsi="Arial" w:cs="Arial"/>
          <w:color w:val="000000" w:themeColor="text1"/>
          <w:sz w:val="22"/>
        </w:rPr>
        <w:t xml:space="preserve"> why lifestyle changes and prescribed medicines can improve glucose control. However, the </w:t>
      </w:r>
      <w:r w:rsidRPr="003F5EFF">
        <w:rPr>
          <w:rFonts w:ascii="Arial" w:eastAsia="Arial" w:hAnsi="Arial" w:cs="Arial"/>
          <w:color w:val="000000" w:themeColor="text1"/>
          <w:sz w:val="22"/>
        </w:rPr>
        <w:t xml:space="preserve">severity of insulin resistance </w:t>
      </w:r>
      <w:r w:rsidR="00F30B87">
        <w:rPr>
          <w:rFonts w:ascii="Arial" w:eastAsia="Arial" w:hAnsi="Arial" w:cs="Arial"/>
          <w:color w:val="000000" w:themeColor="text1"/>
          <w:sz w:val="22"/>
        </w:rPr>
        <w:t>and beta-cell dysfunction differs between patients. Therefore, education should be tailored to each patient’s glucose readings, medication, understanding and daily circumstances, rather than applying the same approach to everyone.</w:t>
      </w:r>
      <w:r w:rsidR="00F40340">
        <w:rPr>
          <w:rFonts w:ascii="Arial" w:eastAsia="Arial" w:hAnsi="Arial" w:cs="Arial"/>
          <w:color w:val="000000" w:themeColor="text1"/>
          <w:sz w:val="22"/>
        </w:rPr>
        <w:t xml:space="preserve"> For example, explaining why glucose rises after meals may help patients understand the importance of taking prescribed medication and following their individual care plan.</w:t>
      </w:r>
    </w:p>
    <w:p w14:paraId="381CCE5B" w14:textId="0623753D" w:rsidR="000C4EDA" w:rsidRDefault="00076AC0" w:rsidP="00C03A91">
      <w:pPr>
        <w:pStyle w:val="Heading1"/>
        <w:spacing w:line="360" w:lineRule="auto"/>
        <w:rPr>
          <w:rFonts w:cs="Arial"/>
        </w:rPr>
      </w:pPr>
      <w:r>
        <w:rPr>
          <w:rFonts w:cs="Arial"/>
        </w:rPr>
        <w:t>3</w:t>
      </w:r>
      <w:r w:rsidR="000C4EDA" w:rsidRPr="00C03A91">
        <w:rPr>
          <w:rFonts w:cs="Arial"/>
        </w:rPr>
        <w:t xml:space="preserve">. </w:t>
      </w:r>
      <w:r w:rsidR="00012E0F">
        <w:rPr>
          <w:rFonts w:cs="Arial"/>
        </w:rPr>
        <w:t xml:space="preserve">Oxygen and Glucose in </w:t>
      </w:r>
      <w:r w:rsidR="007A7297">
        <w:rPr>
          <w:rFonts w:cs="Arial"/>
        </w:rPr>
        <w:t>Cellular Metabolism</w:t>
      </w:r>
      <w:r w:rsidR="000C4EDA" w:rsidRPr="00C03A91">
        <w:rPr>
          <w:rFonts w:cs="Arial"/>
        </w:rPr>
        <w:t xml:space="preserve"> </w:t>
      </w:r>
    </w:p>
    <w:p w14:paraId="0C805C3F" w14:textId="0FC63992" w:rsidR="00012E0F" w:rsidRDefault="00162DE8" w:rsidP="00162DE8">
      <w:pPr>
        <w:spacing w:after="40" w:line="360" w:lineRule="auto"/>
        <w:rPr>
          <w:rFonts w:ascii="Arial" w:eastAsia="Arial" w:hAnsi="Arial" w:cs="Arial"/>
          <w:color w:val="000000" w:themeColor="text1"/>
          <w:sz w:val="22"/>
        </w:rPr>
      </w:pPr>
      <w:r>
        <w:rPr>
          <w:rFonts w:ascii="Arial" w:eastAsia="Arial" w:hAnsi="Arial" w:cs="Arial"/>
          <w:color w:val="000000" w:themeColor="text1"/>
          <w:sz w:val="22"/>
        </w:rPr>
        <w:t>Cellular respiration is the process through which cells release energy from glucose. This energy is stored as adenosine triphosphate (ATP), which supports important functions such as muscle movement, cell repair and the transport of substances across cell membranes. Aerobic respiration uses oxygen and glucose to produce carbon dioxide, water and ATP. The overall equation is:</w:t>
      </w:r>
    </w:p>
    <w:p w14:paraId="5B31F52F" w14:textId="03A97789" w:rsidR="00162DE8" w:rsidRDefault="00162DE8" w:rsidP="00162DE8">
      <w:pPr>
        <w:spacing w:after="40" w:line="360" w:lineRule="auto"/>
        <w:rPr>
          <w:rFonts w:ascii="Arial" w:eastAsia="Arial" w:hAnsi="Arial" w:cs="Arial"/>
          <w:b/>
          <w:bCs/>
          <w:color w:val="000000" w:themeColor="text1"/>
          <w:szCs w:val="24"/>
        </w:rPr>
      </w:pPr>
      <w:r>
        <w:rPr>
          <w:rFonts w:ascii="Arial" w:eastAsia="Arial" w:hAnsi="Arial" w:cs="Arial"/>
          <w:b/>
          <w:bCs/>
          <w:color w:val="000000" w:themeColor="text1"/>
          <w:szCs w:val="24"/>
        </w:rPr>
        <w:t>C</w:t>
      </w:r>
      <w:r w:rsidR="00696AAE" w:rsidRPr="001E6AD9">
        <w:rPr>
          <w:rFonts w:ascii="Arial" w:eastAsia="Arial" w:hAnsi="Arial" w:cs="Arial"/>
          <w:b/>
          <w:bCs/>
          <w:color w:val="000000" w:themeColor="text1"/>
          <w:szCs w:val="24"/>
          <w:vertAlign w:val="subscript"/>
        </w:rPr>
        <w:t>6</w:t>
      </w:r>
      <w:r w:rsidR="00696AAE">
        <w:rPr>
          <w:rFonts w:ascii="Arial" w:eastAsia="Arial" w:hAnsi="Arial" w:cs="Arial"/>
          <w:b/>
          <w:bCs/>
          <w:color w:val="000000" w:themeColor="text1"/>
          <w:szCs w:val="24"/>
        </w:rPr>
        <w:t>H</w:t>
      </w:r>
      <w:r w:rsidR="00696AAE" w:rsidRPr="001E6AD9">
        <w:rPr>
          <w:rFonts w:ascii="Arial" w:eastAsia="Arial" w:hAnsi="Arial" w:cs="Arial"/>
          <w:b/>
          <w:bCs/>
          <w:color w:val="000000" w:themeColor="text1"/>
          <w:szCs w:val="24"/>
          <w:vertAlign w:val="subscript"/>
        </w:rPr>
        <w:t>12</w:t>
      </w:r>
      <w:r w:rsidR="00696AAE">
        <w:rPr>
          <w:rFonts w:ascii="Arial" w:eastAsia="Arial" w:hAnsi="Arial" w:cs="Arial"/>
          <w:b/>
          <w:bCs/>
          <w:color w:val="000000" w:themeColor="text1"/>
          <w:szCs w:val="24"/>
        </w:rPr>
        <w:t>O</w:t>
      </w:r>
      <w:r w:rsidR="00696AAE" w:rsidRPr="001E6AD9">
        <w:rPr>
          <w:rFonts w:ascii="Arial" w:eastAsia="Arial" w:hAnsi="Arial" w:cs="Arial"/>
          <w:b/>
          <w:bCs/>
          <w:color w:val="000000" w:themeColor="text1"/>
          <w:szCs w:val="24"/>
          <w:vertAlign w:val="subscript"/>
        </w:rPr>
        <w:t>6</w:t>
      </w:r>
      <w:r w:rsidR="001E6AD9">
        <w:rPr>
          <w:rFonts w:ascii="Arial" w:eastAsia="Arial" w:hAnsi="Arial" w:cs="Arial"/>
          <w:b/>
          <w:bCs/>
          <w:color w:val="000000" w:themeColor="text1"/>
          <w:szCs w:val="24"/>
          <w:vertAlign w:val="subscript"/>
        </w:rPr>
        <w:t xml:space="preserve"> </w:t>
      </w:r>
      <w:r w:rsidR="00696AAE">
        <w:rPr>
          <w:rFonts w:ascii="Arial" w:eastAsia="Arial" w:hAnsi="Arial" w:cs="Arial"/>
          <w:b/>
          <w:bCs/>
          <w:color w:val="000000" w:themeColor="text1"/>
          <w:szCs w:val="24"/>
        </w:rPr>
        <w:t>+</w:t>
      </w:r>
      <w:r w:rsidR="001E6AD9">
        <w:rPr>
          <w:rFonts w:ascii="Arial" w:eastAsia="Arial" w:hAnsi="Arial" w:cs="Arial"/>
          <w:b/>
          <w:bCs/>
          <w:color w:val="000000" w:themeColor="text1"/>
          <w:szCs w:val="24"/>
        </w:rPr>
        <w:t xml:space="preserve"> </w:t>
      </w:r>
      <w:r w:rsidR="00696AAE">
        <w:rPr>
          <w:rFonts w:ascii="Arial" w:eastAsia="Arial" w:hAnsi="Arial" w:cs="Arial"/>
          <w:b/>
          <w:bCs/>
          <w:color w:val="000000" w:themeColor="text1"/>
          <w:szCs w:val="24"/>
        </w:rPr>
        <w:t>6O</w:t>
      </w:r>
      <w:r w:rsidR="00696AAE" w:rsidRPr="001E6AD9">
        <w:rPr>
          <w:rFonts w:ascii="Arial" w:eastAsia="Arial" w:hAnsi="Arial" w:cs="Arial"/>
          <w:b/>
          <w:bCs/>
          <w:color w:val="000000" w:themeColor="text1"/>
          <w:szCs w:val="24"/>
          <w:vertAlign w:val="subscript"/>
        </w:rPr>
        <w:t>2</w:t>
      </w:r>
      <w:r w:rsidR="001E6AD9">
        <w:rPr>
          <w:rFonts w:ascii="Arial" w:eastAsia="Arial" w:hAnsi="Arial" w:cs="Arial"/>
          <w:b/>
          <w:bCs/>
          <w:color w:val="000000" w:themeColor="text1"/>
          <w:szCs w:val="24"/>
          <w:vertAlign w:val="subscript"/>
        </w:rPr>
        <w:t xml:space="preserve"> </w:t>
      </w:r>
      <w:r w:rsidR="00696AAE" w:rsidRPr="00696AAE">
        <w:rPr>
          <w:rFonts w:ascii="Arial" w:eastAsia="Arial" w:hAnsi="Arial" w:cs="Arial"/>
          <w:color w:val="000000" w:themeColor="text1"/>
          <w:szCs w:val="24"/>
        </w:rPr>
        <w:t>→</w:t>
      </w:r>
      <w:r w:rsidR="001E6AD9">
        <w:rPr>
          <w:rFonts w:ascii="Arial" w:eastAsia="Arial" w:hAnsi="Arial" w:cs="Arial"/>
          <w:color w:val="000000" w:themeColor="text1"/>
          <w:szCs w:val="24"/>
        </w:rPr>
        <w:t xml:space="preserve"> </w:t>
      </w:r>
      <w:r w:rsidR="00696AAE">
        <w:rPr>
          <w:rFonts w:ascii="Arial" w:eastAsia="Arial" w:hAnsi="Arial" w:cs="Arial"/>
          <w:b/>
          <w:bCs/>
          <w:color w:val="000000" w:themeColor="text1"/>
          <w:szCs w:val="24"/>
        </w:rPr>
        <w:t>6CO</w:t>
      </w:r>
      <w:r w:rsidR="00696AAE" w:rsidRPr="001E6AD9">
        <w:rPr>
          <w:rFonts w:ascii="Arial" w:eastAsia="Arial" w:hAnsi="Arial" w:cs="Arial"/>
          <w:b/>
          <w:bCs/>
          <w:color w:val="000000" w:themeColor="text1"/>
          <w:szCs w:val="24"/>
          <w:vertAlign w:val="subscript"/>
        </w:rPr>
        <w:t>2</w:t>
      </w:r>
      <w:r w:rsidR="001E6AD9">
        <w:rPr>
          <w:rFonts w:ascii="Arial" w:eastAsia="Arial" w:hAnsi="Arial" w:cs="Arial"/>
          <w:b/>
          <w:bCs/>
          <w:color w:val="000000" w:themeColor="text1"/>
          <w:szCs w:val="24"/>
          <w:vertAlign w:val="subscript"/>
        </w:rPr>
        <w:t xml:space="preserve"> </w:t>
      </w:r>
      <w:r w:rsidR="00696AAE">
        <w:rPr>
          <w:rFonts w:ascii="Arial" w:eastAsia="Arial" w:hAnsi="Arial" w:cs="Arial"/>
          <w:b/>
          <w:bCs/>
          <w:color w:val="000000" w:themeColor="text1"/>
          <w:szCs w:val="24"/>
        </w:rPr>
        <w:t>+</w:t>
      </w:r>
      <w:r w:rsidR="001E6AD9">
        <w:rPr>
          <w:rFonts w:ascii="Arial" w:eastAsia="Arial" w:hAnsi="Arial" w:cs="Arial"/>
          <w:b/>
          <w:bCs/>
          <w:color w:val="000000" w:themeColor="text1"/>
          <w:szCs w:val="24"/>
        </w:rPr>
        <w:t xml:space="preserve"> </w:t>
      </w:r>
      <w:r w:rsidR="00696AAE">
        <w:rPr>
          <w:rFonts w:ascii="Arial" w:eastAsia="Arial" w:hAnsi="Arial" w:cs="Arial"/>
          <w:b/>
          <w:bCs/>
          <w:color w:val="000000" w:themeColor="text1"/>
          <w:szCs w:val="24"/>
        </w:rPr>
        <w:t>6H</w:t>
      </w:r>
      <w:r w:rsidR="00696AAE" w:rsidRPr="001E6AD9">
        <w:rPr>
          <w:rFonts w:ascii="Arial" w:eastAsia="Arial" w:hAnsi="Arial" w:cs="Arial"/>
          <w:b/>
          <w:bCs/>
          <w:color w:val="000000" w:themeColor="text1"/>
          <w:szCs w:val="24"/>
          <w:vertAlign w:val="subscript"/>
        </w:rPr>
        <w:t>2</w:t>
      </w:r>
      <w:r w:rsidR="00696AAE">
        <w:rPr>
          <w:rFonts w:ascii="Arial" w:eastAsia="Arial" w:hAnsi="Arial" w:cs="Arial"/>
          <w:b/>
          <w:bCs/>
          <w:color w:val="000000" w:themeColor="text1"/>
          <w:szCs w:val="24"/>
        </w:rPr>
        <w:t>O</w:t>
      </w:r>
      <w:r w:rsidR="001E6AD9">
        <w:rPr>
          <w:rFonts w:ascii="Arial" w:eastAsia="Arial" w:hAnsi="Arial" w:cs="Arial"/>
          <w:b/>
          <w:bCs/>
          <w:color w:val="000000" w:themeColor="text1"/>
          <w:szCs w:val="24"/>
        </w:rPr>
        <w:t xml:space="preserve"> </w:t>
      </w:r>
      <w:r w:rsidR="00696AAE">
        <w:rPr>
          <w:rFonts w:ascii="Arial" w:eastAsia="Arial" w:hAnsi="Arial" w:cs="Arial"/>
          <w:b/>
          <w:bCs/>
          <w:color w:val="000000" w:themeColor="text1"/>
          <w:szCs w:val="24"/>
        </w:rPr>
        <w:t>+</w:t>
      </w:r>
      <w:r w:rsidR="001E6AD9">
        <w:rPr>
          <w:rFonts w:ascii="Arial" w:eastAsia="Arial" w:hAnsi="Arial" w:cs="Arial"/>
          <w:b/>
          <w:bCs/>
          <w:color w:val="000000" w:themeColor="text1"/>
          <w:szCs w:val="24"/>
        </w:rPr>
        <w:t xml:space="preserve"> </w:t>
      </w:r>
      <w:r w:rsidR="00696AAE">
        <w:rPr>
          <w:rFonts w:ascii="Arial" w:eastAsia="Arial" w:hAnsi="Arial" w:cs="Arial"/>
          <w:b/>
          <w:bCs/>
          <w:color w:val="000000" w:themeColor="text1"/>
          <w:szCs w:val="24"/>
        </w:rPr>
        <w:t>energy (ATP)</w:t>
      </w:r>
    </w:p>
    <w:p w14:paraId="2B77F930" w14:textId="531140C9" w:rsidR="001E6AD9" w:rsidRDefault="001E6AD9" w:rsidP="001E6AD9">
      <w:pPr>
        <w:spacing w:after="40" w:line="360" w:lineRule="auto"/>
        <w:rPr>
          <w:rFonts w:ascii="Arial" w:eastAsia="Arial" w:hAnsi="Arial" w:cs="Arial"/>
          <w:color w:val="000000" w:themeColor="text1"/>
          <w:sz w:val="22"/>
        </w:rPr>
      </w:pPr>
      <w:r>
        <w:rPr>
          <w:rFonts w:ascii="Arial" w:eastAsia="Arial" w:hAnsi="Arial" w:cs="Arial"/>
          <w:color w:val="000000" w:themeColor="text1"/>
          <w:sz w:val="22"/>
        </w:rPr>
        <w:t>Oxygen is important because it allows cells to produce energy efficiently inside the mitochondria. However, energy production also depends on the supply of nutrients and the condition of the cells (</w:t>
      </w:r>
      <w:proofErr w:type="spellStart"/>
      <w:r>
        <w:rPr>
          <w:rFonts w:ascii="Arial" w:eastAsia="Arial" w:hAnsi="Arial" w:cs="Arial"/>
          <w:color w:val="000000" w:themeColor="text1"/>
          <w:sz w:val="22"/>
        </w:rPr>
        <w:t>Dremin</w:t>
      </w:r>
      <w:proofErr w:type="spellEnd"/>
      <w:r>
        <w:rPr>
          <w:rFonts w:ascii="Arial" w:eastAsia="Arial" w:hAnsi="Arial" w:cs="Arial"/>
          <w:color w:val="000000" w:themeColor="text1"/>
          <w:sz w:val="22"/>
        </w:rPr>
        <w:t>, 2026).</w:t>
      </w:r>
    </w:p>
    <w:p w14:paraId="16F4B71B" w14:textId="73FFA0BF" w:rsidR="001E6AD9" w:rsidRDefault="001E6AD9" w:rsidP="001E6AD9">
      <w:pPr>
        <w:spacing w:after="40" w:line="360" w:lineRule="auto"/>
        <w:rPr>
          <w:rFonts w:ascii="Arial" w:eastAsia="Arial" w:hAnsi="Arial" w:cs="Arial"/>
          <w:color w:val="000000" w:themeColor="text1"/>
          <w:sz w:val="22"/>
        </w:rPr>
      </w:pPr>
      <w:r>
        <w:rPr>
          <w:rFonts w:ascii="Arial" w:eastAsia="Arial" w:hAnsi="Arial" w:cs="Arial"/>
          <w:color w:val="000000" w:themeColor="text1"/>
          <w:sz w:val="22"/>
        </w:rPr>
        <w:t>Aerobic respiration has three main stages. First, glycolysis occurs in the cytoplasm, where glucose is broken down into two pyruvate molecules, producing two ATP. Next, pyruvate enters the mitochondria and is converted into acetyl-CoA. During the Krebs cycle, acetyl-CoA</w:t>
      </w:r>
      <w:r w:rsidR="0091182C">
        <w:rPr>
          <w:rFonts w:ascii="Arial" w:eastAsia="Arial" w:hAnsi="Arial" w:cs="Arial"/>
          <w:color w:val="000000" w:themeColor="text1"/>
          <w:sz w:val="22"/>
        </w:rPr>
        <w:t xml:space="preserve"> is broken down further, releasing carbon dioxide and producing molecules that carry electrons. Finally, oxidative phosphorylation occurs in the inner mitochondrial membrane. Oxygen accepts electrons at the end of the electron transport chain, allowing most ATP to be produced. Overall, aerobic respiration generally produces approximately 30-32 ATP molecules from one glucose molecule, although the amount </w:t>
      </w:r>
      <w:r w:rsidR="000D3C5B">
        <w:rPr>
          <w:rFonts w:ascii="Arial" w:eastAsia="Arial" w:hAnsi="Arial" w:cs="Arial"/>
          <w:color w:val="000000" w:themeColor="text1"/>
          <w:sz w:val="22"/>
        </w:rPr>
        <w:t>v</w:t>
      </w:r>
      <w:r w:rsidR="0091182C">
        <w:rPr>
          <w:rFonts w:ascii="Arial" w:eastAsia="Arial" w:hAnsi="Arial" w:cs="Arial"/>
          <w:color w:val="000000" w:themeColor="text1"/>
          <w:sz w:val="22"/>
        </w:rPr>
        <w:t>aries between cells (</w:t>
      </w:r>
      <w:proofErr w:type="spellStart"/>
      <w:r w:rsidR="0091182C">
        <w:rPr>
          <w:rFonts w:ascii="Arial" w:eastAsia="Arial" w:hAnsi="Arial" w:cs="Arial"/>
          <w:color w:val="000000" w:themeColor="text1"/>
          <w:sz w:val="22"/>
        </w:rPr>
        <w:t>Dremin</w:t>
      </w:r>
      <w:proofErr w:type="spellEnd"/>
      <w:r w:rsidR="0091182C">
        <w:rPr>
          <w:rFonts w:ascii="Arial" w:eastAsia="Arial" w:hAnsi="Arial" w:cs="Arial"/>
          <w:color w:val="000000" w:themeColor="text1"/>
          <w:sz w:val="22"/>
        </w:rPr>
        <w:t>, 2026).</w:t>
      </w:r>
    </w:p>
    <w:p w14:paraId="54EB01F8" w14:textId="4884EEB4" w:rsidR="0091182C" w:rsidRDefault="0091182C" w:rsidP="001E6AD9">
      <w:pPr>
        <w:spacing w:after="40" w:line="360" w:lineRule="auto"/>
        <w:rPr>
          <w:rFonts w:ascii="Arial" w:eastAsia="Arial" w:hAnsi="Arial" w:cs="Arial"/>
          <w:color w:val="000000" w:themeColor="text1"/>
          <w:sz w:val="22"/>
        </w:rPr>
      </w:pPr>
      <w:r>
        <w:rPr>
          <w:rFonts w:ascii="Arial" w:eastAsia="Arial" w:hAnsi="Arial" w:cs="Arial"/>
          <w:color w:val="000000" w:themeColor="text1"/>
          <w:sz w:val="22"/>
        </w:rPr>
        <w:t>When oxygen is insufficient, cells can</w:t>
      </w:r>
      <w:r w:rsidR="000D3C5B">
        <w:rPr>
          <w:rFonts w:ascii="Arial" w:eastAsia="Arial" w:hAnsi="Arial" w:cs="Arial"/>
          <w:color w:val="000000" w:themeColor="text1"/>
          <w:sz w:val="22"/>
        </w:rPr>
        <w:t xml:space="preserve"> still produce </w:t>
      </w:r>
      <w:r>
        <w:rPr>
          <w:rFonts w:ascii="Arial" w:eastAsia="Arial" w:hAnsi="Arial" w:cs="Arial"/>
          <w:color w:val="000000" w:themeColor="text1"/>
          <w:sz w:val="22"/>
        </w:rPr>
        <w:t>energy through glycolysis. Pyruvate is converted into lactate,</w:t>
      </w:r>
      <w:r w:rsidR="000D3C5B">
        <w:rPr>
          <w:rFonts w:ascii="Arial" w:eastAsia="Arial" w:hAnsi="Arial" w:cs="Arial"/>
          <w:color w:val="000000" w:themeColor="text1"/>
          <w:sz w:val="22"/>
        </w:rPr>
        <w:t xml:space="preserve"> which helps regenerate NAD</w:t>
      </w:r>
      <w:r w:rsidR="000D3C5B" w:rsidRPr="000D3C5B">
        <w:rPr>
          <w:rFonts w:ascii="Arial" w:eastAsia="Arial" w:hAnsi="Arial" w:cs="Arial"/>
          <w:color w:val="000000" w:themeColor="text1"/>
          <w:sz w:val="22"/>
          <w:vertAlign w:val="superscript"/>
        </w:rPr>
        <w:t>+</w:t>
      </w:r>
      <w:r w:rsidR="000D3C5B">
        <w:rPr>
          <w:rFonts w:ascii="Arial" w:eastAsia="Arial" w:hAnsi="Arial" w:cs="Arial"/>
          <w:color w:val="000000" w:themeColor="text1"/>
          <w:sz w:val="22"/>
        </w:rPr>
        <w:t xml:space="preserve"> so glycolysis can </w:t>
      </w:r>
      <w:r>
        <w:rPr>
          <w:rFonts w:ascii="Arial" w:eastAsia="Arial" w:hAnsi="Arial" w:cs="Arial"/>
          <w:color w:val="000000" w:themeColor="text1"/>
          <w:sz w:val="22"/>
        </w:rPr>
        <w:t>continue without oxygen. However, only two ATP molecules are produced per glucose molecule. Lactate production is a normal process, but serious oxygen deprivation may cause harmful metabolic changes.</w:t>
      </w:r>
    </w:p>
    <w:p w14:paraId="5C89E6CB" w14:textId="657B4E03" w:rsidR="0091182C" w:rsidRPr="001E6AD9" w:rsidRDefault="0091182C" w:rsidP="001E6AD9">
      <w:pPr>
        <w:spacing w:after="40" w:line="360" w:lineRule="auto"/>
        <w:rPr>
          <w:color w:val="000000" w:themeColor="text1"/>
          <w:sz w:val="22"/>
        </w:rPr>
      </w:pPr>
      <w:r>
        <w:rPr>
          <w:rFonts w:ascii="Arial" w:eastAsia="Arial" w:hAnsi="Arial" w:cs="Arial"/>
          <w:color w:val="000000" w:themeColor="text1"/>
          <w:sz w:val="22"/>
        </w:rPr>
        <w:t>In type 2 diabetes, insulin resistance</w:t>
      </w:r>
      <w:r w:rsidR="000D3C5B">
        <w:rPr>
          <w:rFonts w:ascii="Arial" w:eastAsia="Arial" w:hAnsi="Arial" w:cs="Arial"/>
          <w:color w:val="000000" w:themeColor="text1"/>
          <w:sz w:val="22"/>
        </w:rPr>
        <w:t xml:space="preserve"> can reduce the amount of glucose taken up by muscle cells, even when glucose levels in the blood are high</w:t>
      </w:r>
      <w:r>
        <w:rPr>
          <w:rFonts w:ascii="Arial" w:eastAsia="Arial" w:hAnsi="Arial" w:cs="Arial"/>
          <w:color w:val="000000" w:themeColor="text1"/>
          <w:sz w:val="22"/>
        </w:rPr>
        <w:t>.</w:t>
      </w:r>
      <w:r w:rsidR="00F40340">
        <w:rPr>
          <w:rFonts w:ascii="Arial" w:eastAsia="Arial" w:hAnsi="Arial" w:cs="Arial"/>
          <w:color w:val="000000" w:themeColor="text1"/>
          <w:sz w:val="22"/>
        </w:rPr>
        <w:t xml:space="preserve"> </w:t>
      </w:r>
      <w:r w:rsidR="00AC42AE">
        <w:rPr>
          <w:rFonts w:ascii="Arial" w:eastAsia="Arial" w:hAnsi="Arial" w:cs="Arial"/>
          <w:color w:val="000000" w:themeColor="text1"/>
          <w:sz w:val="22"/>
        </w:rPr>
        <w:t xml:space="preserve">This means that high blood glucose does not always reflect how effectively muscle cells are using glucose. Understanding this difference can help patients see why improving insulin sensitivity is an important part of </w:t>
      </w:r>
      <w:r w:rsidR="00AC42AE">
        <w:rPr>
          <w:rFonts w:ascii="Arial" w:eastAsia="Arial" w:hAnsi="Arial" w:cs="Arial"/>
          <w:color w:val="000000" w:themeColor="text1"/>
          <w:sz w:val="22"/>
        </w:rPr>
        <w:lastRenderedPageBreak/>
        <w:t>diabetes management.</w:t>
      </w:r>
      <w:r>
        <w:rPr>
          <w:rFonts w:ascii="Arial" w:eastAsia="Arial" w:hAnsi="Arial" w:cs="Arial"/>
          <w:color w:val="000000" w:themeColor="text1"/>
          <w:sz w:val="22"/>
        </w:rPr>
        <w:t xml:space="preserve"> However, lactate production should not be confused with diabetic ketoacidosis (DKA). DKA occurs when insufficient insulin causes excessive ketone production, making the blood acidic. Although less common in type 2 diabetes, it is a serious emergency. Symptoms may include vomiting, abdominal pain and confusion (NHS, 2026). Practice nurses should explain these </w:t>
      </w:r>
      <w:r w:rsidR="000D3C5B">
        <w:rPr>
          <w:rFonts w:ascii="Arial" w:eastAsia="Arial" w:hAnsi="Arial" w:cs="Arial"/>
          <w:color w:val="000000" w:themeColor="text1"/>
          <w:sz w:val="22"/>
        </w:rPr>
        <w:t>differences,</w:t>
      </w:r>
      <w:r>
        <w:rPr>
          <w:rFonts w:ascii="Arial" w:eastAsia="Arial" w:hAnsi="Arial" w:cs="Arial"/>
          <w:color w:val="000000" w:themeColor="text1"/>
          <w:sz w:val="22"/>
        </w:rPr>
        <w:t xml:space="preserve"> so patients understand their condition and recognise warning signs.</w:t>
      </w:r>
    </w:p>
    <w:p w14:paraId="43A604CD" w14:textId="103CB7E6" w:rsidR="00012E0F" w:rsidRDefault="00012E0F" w:rsidP="00012E0F">
      <w:pPr>
        <w:spacing w:before="60" w:after="60"/>
        <w:rPr>
          <w:rFonts w:ascii="Arial" w:eastAsia="Arial" w:hAnsi="Arial" w:cs="Arial"/>
          <w:color w:val="444444"/>
          <w:sz w:val="20"/>
          <w:szCs w:val="20"/>
        </w:rPr>
      </w:pPr>
    </w:p>
    <w:p w14:paraId="173E7AC6" w14:textId="3D759DAA" w:rsidR="00012E0F" w:rsidRDefault="00012E0F" w:rsidP="00012E0F">
      <w:pPr>
        <w:pStyle w:val="Heading1"/>
        <w:spacing w:line="360" w:lineRule="auto"/>
        <w:rPr>
          <w:rFonts w:cs="Arial"/>
        </w:rPr>
      </w:pPr>
      <w:r>
        <w:rPr>
          <w:rFonts w:cs="Arial"/>
        </w:rPr>
        <w:t>4</w:t>
      </w:r>
      <w:r w:rsidRPr="00C03A91">
        <w:rPr>
          <w:rFonts w:cs="Arial"/>
        </w:rPr>
        <w:t xml:space="preserve">. </w:t>
      </w:r>
      <w:r>
        <w:rPr>
          <w:rFonts w:cs="Arial"/>
        </w:rPr>
        <w:t xml:space="preserve">Recording and Tracking Blood Sugar Levels </w:t>
      </w:r>
      <w:r w:rsidRPr="00C03A91">
        <w:rPr>
          <w:rFonts w:cs="Arial"/>
        </w:rPr>
        <w:t xml:space="preserve"> </w:t>
      </w:r>
    </w:p>
    <w:p w14:paraId="6EC19930" w14:textId="53A79823" w:rsidR="00012E0F" w:rsidRDefault="009B3DE7" w:rsidP="009B3DE7">
      <w:pPr>
        <w:spacing w:after="40" w:line="360" w:lineRule="auto"/>
        <w:rPr>
          <w:rFonts w:ascii="Arial" w:eastAsia="Arial" w:hAnsi="Arial" w:cs="Arial"/>
          <w:color w:val="000000" w:themeColor="text1"/>
          <w:sz w:val="22"/>
        </w:rPr>
      </w:pPr>
      <w:r>
        <w:rPr>
          <w:rFonts w:ascii="Arial" w:eastAsia="Arial" w:hAnsi="Arial" w:cs="Arial"/>
          <w:color w:val="000000" w:themeColor="text1"/>
          <w:sz w:val="22"/>
        </w:rPr>
        <w:t>Monitoring blood glucose is important for managing type 2 diabetes and preventing complications. Finger-prick testing involves placing a small blood sample on a test strip to measure glucose at a particular moment. Recording results helps patients and healthcare professionals identify patterns related to food, physical activity and medication. Another method is the HbA1c blood test, which reflects average blood glucose levels over approximately two to three months. However, it cannot identify sudden fluctuations or episodes of hypoglycaemia. Continuous glucose monitors (CGMs) use a sensor under the skin to measure glucose in the fluid surrounding cells. They provide regular readings and reveal daily patterns, although results may differ from finger-prick measurements during rapid glucose changes (Diabetes UK, 202</w:t>
      </w:r>
      <w:r w:rsidR="00D4327B">
        <w:rPr>
          <w:rFonts w:ascii="Arial" w:eastAsia="Arial" w:hAnsi="Arial" w:cs="Arial"/>
          <w:color w:val="000000" w:themeColor="text1"/>
          <w:sz w:val="22"/>
        </w:rPr>
        <w:t>5</w:t>
      </w:r>
      <w:r>
        <w:rPr>
          <w:rFonts w:ascii="Arial" w:eastAsia="Arial" w:hAnsi="Arial" w:cs="Arial"/>
          <w:color w:val="000000" w:themeColor="text1"/>
          <w:sz w:val="22"/>
        </w:rPr>
        <w:t>).</w:t>
      </w:r>
    </w:p>
    <w:p w14:paraId="4438BBFD" w14:textId="08AF0D32" w:rsidR="009B3DE7" w:rsidRDefault="009B3DE7" w:rsidP="009B3DE7">
      <w:pPr>
        <w:spacing w:after="40" w:line="360" w:lineRule="auto"/>
        <w:rPr>
          <w:rFonts w:ascii="Arial" w:eastAsia="Arial" w:hAnsi="Arial" w:cs="Arial"/>
          <w:color w:val="000000" w:themeColor="text1"/>
          <w:sz w:val="22"/>
        </w:rPr>
      </w:pPr>
      <w:r>
        <w:rPr>
          <w:rFonts w:ascii="Arial" w:eastAsia="Arial" w:hAnsi="Arial" w:cs="Arial"/>
          <w:color w:val="000000" w:themeColor="text1"/>
          <w:sz w:val="22"/>
        </w:rPr>
        <w:t>Monitoring supports patient safety by identifying potentially dangerous glucose changes and helping healthcare professionals review treatment. However, frequent testing is not necessary for everyone with type 2 diabetes. Its usefulness depends on prescribed medication, hypoglycaemia risk and individual circumstances. NHS England (2025) explains that CGM access should follow clinical eligi</w:t>
      </w:r>
      <w:r w:rsidR="00630281">
        <w:rPr>
          <w:rFonts w:ascii="Arial" w:eastAsia="Arial" w:hAnsi="Arial" w:cs="Arial"/>
          <w:color w:val="000000" w:themeColor="text1"/>
          <w:sz w:val="22"/>
        </w:rPr>
        <w:t>bility criteria and that patients require appropriate education to use the technology effectively.</w:t>
      </w:r>
    </w:p>
    <w:p w14:paraId="30C5D305" w14:textId="7F3F721C" w:rsidR="00630281" w:rsidRPr="009B3DE7" w:rsidRDefault="00630281" w:rsidP="009B3DE7">
      <w:pPr>
        <w:spacing w:after="40" w:line="360" w:lineRule="auto"/>
        <w:rPr>
          <w:color w:val="000000" w:themeColor="text1"/>
          <w:sz w:val="22"/>
        </w:rPr>
      </w:pPr>
      <w:r>
        <w:rPr>
          <w:rFonts w:ascii="Arial" w:eastAsia="Arial" w:hAnsi="Arial" w:cs="Arial"/>
          <w:color w:val="000000" w:themeColor="text1"/>
          <w:sz w:val="22"/>
        </w:rPr>
        <w:t>In the GP surgery, the practice nurse can review glucose records, explain the meaning of results and discuss whether changes to treatment or lifestyle are needed. This supports individualised care plans, encourages informed self-management and avoids unnecessary testing.</w:t>
      </w:r>
      <w:r w:rsidR="00F40340">
        <w:rPr>
          <w:rFonts w:ascii="Arial" w:eastAsia="Arial" w:hAnsi="Arial" w:cs="Arial"/>
          <w:color w:val="000000" w:themeColor="text1"/>
          <w:sz w:val="22"/>
        </w:rPr>
        <w:t xml:space="preserve"> For example, discussing changes in HbA1c results over time can help patients recognise their progress and understand whether their current treatment and lifestyle changes are meeting agreed goals.</w:t>
      </w:r>
    </w:p>
    <w:p w14:paraId="36FE9ADA" w14:textId="77777777" w:rsidR="00DE477A" w:rsidRDefault="00DE477A" w:rsidP="00DE477A">
      <w:pPr>
        <w:spacing w:before="60" w:after="60"/>
        <w:rPr>
          <w:rFonts w:ascii="Arial" w:eastAsia="Arial" w:hAnsi="Arial" w:cs="Arial"/>
          <w:color w:val="444444"/>
          <w:sz w:val="20"/>
          <w:szCs w:val="20"/>
        </w:rPr>
      </w:pPr>
    </w:p>
    <w:p w14:paraId="5EC89A6B" w14:textId="312DCA3F" w:rsidR="00DE477A" w:rsidRDefault="00DE477A" w:rsidP="00DE477A">
      <w:pPr>
        <w:pStyle w:val="Heading1"/>
        <w:spacing w:line="360" w:lineRule="auto"/>
        <w:rPr>
          <w:rFonts w:cs="Arial"/>
        </w:rPr>
      </w:pPr>
      <w:r>
        <w:rPr>
          <w:rFonts w:cs="Arial"/>
        </w:rPr>
        <w:t>5</w:t>
      </w:r>
      <w:r w:rsidRPr="00C03A91">
        <w:rPr>
          <w:rFonts w:cs="Arial"/>
        </w:rPr>
        <w:t xml:space="preserve">. </w:t>
      </w:r>
      <w:r>
        <w:rPr>
          <w:rFonts w:cs="Arial"/>
        </w:rPr>
        <w:t xml:space="preserve">Evidence-Based Lifestyle Recommendations </w:t>
      </w:r>
      <w:r w:rsidRPr="00C03A91">
        <w:rPr>
          <w:rFonts w:cs="Arial"/>
        </w:rPr>
        <w:t xml:space="preserve"> </w:t>
      </w:r>
    </w:p>
    <w:p w14:paraId="7EC71B11" w14:textId="0E5201F4" w:rsidR="00DE477A" w:rsidRDefault="00524708" w:rsidP="00524708">
      <w:pPr>
        <w:spacing w:after="40" w:line="360" w:lineRule="auto"/>
        <w:rPr>
          <w:rFonts w:ascii="Arial" w:eastAsia="Arial" w:hAnsi="Arial" w:cs="Arial"/>
          <w:color w:val="000000" w:themeColor="text1"/>
          <w:sz w:val="22"/>
        </w:rPr>
      </w:pPr>
      <w:r>
        <w:rPr>
          <w:rFonts w:ascii="Arial" w:eastAsia="Arial" w:hAnsi="Arial" w:cs="Arial"/>
          <w:color w:val="000000" w:themeColor="text1"/>
          <w:sz w:val="22"/>
        </w:rPr>
        <w:t>Lifestyle changes play an important role in managing type 2 diabetes by improving blood glucose control and reducing cardiovascular risk. However, recommendations should be evidence-based, achievable and adapted to individuals</w:t>
      </w:r>
      <w:r w:rsidR="009B64ED">
        <w:rPr>
          <w:rFonts w:ascii="Arial" w:eastAsia="Arial" w:hAnsi="Arial" w:cs="Arial"/>
          <w:color w:val="000000" w:themeColor="text1"/>
          <w:sz w:val="22"/>
        </w:rPr>
        <w:t>’</w:t>
      </w:r>
      <w:r>
        <w:rPr>
          <w:rFonts w:ascii="Arial" w:eastAsia="Arial" w:hAnsi="Arial" w:cs="Arial"/>
          <w:color w:val="000000" w:themeColor="text1"/>
          <w:sz w:val="22"/>
        </w:rPr>
        <w:t xml:space="preserve"> needs. Dietary changes can help </w:t>
      </w:r>
      <w:r>
        <w:rPr>
          <w:rFonts w:ascii="Arial" w:eastAsia="Arial" w:hAnsi="Arial" w:cs="Arial"/>
          <w:color w:val="000000" w:themeColor="text1"/>
          <w:sz w:val="22"/>
        </w:rPr>
        <w:lastRenderedPageBreak/>
        <w:t>prevent sharp increases in blood glucose. Low-glycaemic index (GI) foods, including lentils and oats, generally raise blood glucose more slowly than highly refined carbohydrates. Replacing sugary drinks and refined foods with higher-fibre alternatives can therefore support glucose management. However, GI alone is insufficient because portion size, total carbohydrate intake and meal composition</w:t>
      </w:r>
      <w:r w:rsidR="005E16AC">
        <w:rPr>
          <w:rFonts w:ascii="Arial" w:eastAsia="Arial" w:hAnsi="Arial" w:cs="Arial"/>
          <w:color w:val="000000" w:themeColor="text1"/>
          <w:sz w:val="22"/>
        </w:rPr>
        <w:t xml:space="preserve"> also influence blood glucose levels (</w:t>
      </w:r>
      <w:r w:rsidR="004B2704">
        <w:rPr>
          <w:rFonts w:ascii="Arial" w:eastAsia="Arial" w:hAnsi="Arial" w:cs="Arial"/>
          <w:color w:val="000000" w:themeColor="text1"/>
          <w:sz w:val="22"/>
        </w:rPr>
        <w:t>British Dietetic Association</w:t>
      </w:r>
      <w:r w:rsidR="009B64ED">
        <w:rPr>
          <w:rFonts w:ascii="Arial" w:eastAsia="Arial" w:hAnsi="Arial" w:cs="Arial"/>
          <w:color w:val="000000" w:themeColor="text1"/>
          <w:sz w:val="22"/>
        </w:rPr>
        <w:t>, 202</w:t>
      </w:r>
      <w:r w:rsidR="004B2704">
        <w:rPr>
          <w:rFonts w:ascii="Arial" w:eastAsia="Arial" w:hAnsi="Arial" w:cs="Arial"/>
          <w:color w:val="000000" w:themeColor="text1"/>
          <w:sz w:val="22"/>
        </w:rPr>
        <w:t>5</w:t>
      </w:r>
      <w:r w:rsidR="005E16AC">
        <w:rPr>
          <w:rFonts w:ascii="Arial" w:eastAsia="Arial" w:hAnsi="Arial" w:cs="Arial"/>
          <w:color w:val="000000" w:themeColor="text1"/>
          <w:sz w:val="22"/>
        </w:rPr>
        <w:t>).</w:t>
      </w:r>
    </w:p>
    <w:p w14:paraId="51FA8912" w14:textId="0D0E5AD4" w:rsidR="005E16AC" w:rsidRDefault="005E16AC" w:rsidP="00524708">
      <w:pPr>
        <w:spacing w:after="40" w:line="360" w:lineRule="auto"/>
        <w:rPr>
          <w:rFonts w:ascii="Arial" w:eastAsia="Arial" w:hAnsi="Arial" w:cs="Arial"/>
          <w:color w:val="000000" w:themeColor="text1"/>
          <w:sz w:val="22"/>
        </w:rPr>
      </w:pPr>
      <w:r>
        <w:rPr>
          <w:rFonts w:ascii="Arial" w:eastAsia="Arial" w:hAnsi="Arial" w:cs="Arial"/>
          <w:color w:val="000000" w:themeColor="text1"/>
          <w:sz w:val="22"/>
        </w:rPr>
        <w:t>A Mediterranean</w:t>
      </w:r>
      <w:r w:rsidR="009B64ED">
        <w:rPr>
          <w:rFonts w:ascii="Arial" w:eastAsia="Arial" w:hAnsi="Arial" w:cs="Arial"/>
          <w:color w:val="000000" w:themeColor="text1"/>
          <w:sz w:val="22"/>
        </w:rPr>
        <w:t>-</w:t>
      </w:r>
      <w:r>
        <w:rPr>
          <w:rFonts w:ascii="Arial" w:eastAsia="Arial" w:hAnsi="Arial" w:cs="Arial"/>
          <w:color w:val="000000" w:themeColor="text1"/>
          <w:sz w:val="22"/>
        </w:rPr>
        <w:t>style diet emphasises vegetables, pulses, wholegrains, fish and unsaturated fats while reducing refined carbohydrates and added sugars. Evidence supports this dietary pattern for improving glucose control and cardiovascular health. Controlling carbohydrate portions may also improve glucose management and support weight loss where appropriate. Nevertheless, affordability, cultural preferences and individual health needs can affect adherence. Therefore, dietary advice should be personalised rather than recommending one diet for everyone (</w:t>
      </w:r>
      <w:r w:rsidR="004B2704">
        <w:rPr>
          <w:rFonts w:ascii="Arial" w:eastAsia="Arial" w:hAnsi="Arial" w:cs="Arial"/>
          <w:color w:val="000000" w:themeColor="text1"/>
          <w:sz w:val="22"/>
        </w:rPr>
        <w:t>Diabetes UK</w:t>
      </w:r>
      <w:r>
        <w:rPr>
          <w:rFonts w:ascii="Arial" w:eastAsia="Arial" w:hAnsi="Arial" w:cs="Arial"/>
          <w:color w:val="000000" w:themeColor="text1"/>
          <w:sz w:val="22"/>
        </w:rPr>
        <w:t>, 202</w:t>
      </w:r>
      <w:r w:rsidR="004B2704">
        <w:rPr>
          <w:rFonts w:ascii="Arial" w:eastAsia="Arial" w:hAnsi="Arial" w:cs="Arial"/>
          <w:color w:val="000000" w:themeColor="text1"/>
          <w:sz w:val="22"/>
        </w:rPr>
        <w:t>4</w:t>
      </w:r>
      <w:r>
        <w:rPr>
          <w:rFonts w:ascii="Arial" w:eastAsia="Arial" w:hAnsi="Arial" w:cs="Arial"/>
          <w:color w:val="000000" w:themeColor="text1"/>
          <w:sz w:val="22"/>
        </w:rPr>
        <w:t>).</w:t>
      </w:r>
    </w:p>
    <w:p w14:paraId="1AE2BCB3" w14:textId="7E82900D" w:rsidR="005E16AC" w:rsidRDefault="005E16AC" w:rsidP="00524708">
      <w:pPr>
        <w:spacing w:after="40" w:line="360" w:lineRule="auto"/>
        <w:rPr>
          <w:rFonts w:ascii="Arial" w:eastAsia="Arial" w:hAnsi="Arial" w:cs="Arial"/>
          <w:color w:val="000000" w:themeColor="text1"/>
          <w:sz w:val="22"/>
        </w:rPr>
      </w:pPr>
      <w:r>
        <w:rPr>
          <w:rFonts w:ascii="Arial" w:eastAsia="Arial" w:hAnsi="Arial" w:cs="Arial"/>
          <w:color w:val="000000" w:themeColor="text1"/>
          <w:sz w:val="22"/>
        </w:rPr>
        <w:t>Physical activity improves insulin sensitivity and increases glucose uptake by working muscles. Aerobic exercise, such as brisk walking or cycling, improves cardiovascular fitness, while resistance training supports muscle strength and glucose utilisation. UK guidance recommends at least</w:t>
      </w:r>
      <w:r w:rsidR="00067AD7">
        <w:rPr>
          <w:rFonts w:ascii="Arial" w:eastAsia="Arial" w:hAnsi="Arial" w:cs="Arial"/>
          <w:color w:val="000000" w:themeColor="text1"/>
          <w:sz w:val="22"/>
        </w:rPr>
        <w:t xml:space="preserve"> 150 minutes of moderate activity weekly, alongside muscle-strengthening activities on two days. However, patients with limited mobility or low fitness may need to begin gradually, as unrealistic targets can discourage participation (Department of Health and Social Care, 2026).</w:t>
      </w:r>
    </w:p>
    <w:p w14:paraId="51CA5F7F" w14:textId="7FA27F3C" w:rsidR="00067AD7" w:rsidRDefault="00067AD7" w:rsidP="00524708">
      <w:pPr>
        <w:spacing w:after="40" w:line="360" w:lineRule="auto"/>
        <w:rPr>
          <w:rFonts w:ascii="Arial" w:eastAsia="Arial" w:hAnsi="Arial" w:cs="Arial"/>
          <w:color w:val="000000" w:themeColor="text1"/>
          <w:sz w:val="22"/>
        </w:rPr>
      </w:pPr>
      <w:r>
        <w:rPr>
          <w:rFonts w:ascii="Arial" w:eastAsia="Arial" w:hAnsi="Arial" w:cs="Arial"/>
          <w:color w:val="000000" w:themeColor="text1"/>
          <w:sz w:val="22"/>
        </w:rPr>
        <w:t>Smoking increases cardiovascular risk and is associated with greater insulin resistance, potentially making diabetes management more difficult. Quitting smoking reduces long-term health risks, although nicotine dependence can make this challenging. NICE (2025) recommends behavioural support and suitable treatments, including nicotine replacement therapy. This suggests that providing practical support is more effective than simply advising patients to stop smoking.</w:t>
      </w:r>
    </w:p>
    <w:p w14:paraId="22147169" w14:textId="4ACAB847" w:rsidR="00067AD7" w:rsidRPr="00524708" w:rsidRDefault="00067AD7" w:rsidP="00524708">
      <w:pPr>
        <w:spacing w:after="40" w:line="360" w:lineRule="auto"/>
        <w:rPr>
          <w:color w:val="000000" w:themeColor="text1"/>
          <w:sz w:val="22"/>
        </w:rPr>
      </w:pPr>
      <w:r>
        <w:rPr>
          <w:rFonts w:ascii="Arial" w:eastAsia="Arial" w:hAnsi="Arial" w:cs="Arial"/>
          <w:color w:val="000000" w:themeColor="text1"/>
          <w:sz w:val="22"/>
        </w:rPr>
        <w:t xml:space="preserve">In the GP surgery, the practice nurse should assess dietary habits, activity levels, smoking </w:t>
      </w:r>
      <w:r w:rsidR="009B64ED">
        <w:rPr>
          <w:rFonts w:ascii="Arial" w:eastAsia="Arial" w:hAnsi="Arial" w:cs="Arial"/>
          <w:color w:val="000000" w:themeColor="text1"/>
          <w:sz w:val="22"/>
        </w:rPr>
        <w:t>status and readiness to change. Individual goals could include reducing sugary drinks, increasing daily walking or accessing stop-smoking services. Regular reviews can identify barriers, evaluate progress and adjust care plans. This patient-centred approach supports sustainable self-management without blaming individuals for circumstances beyond their control.</w:t>
      </w:r>
    </w:p>
    <w:p w14:paraId="55795024" w14:textId="77777777" w:rsidR="00DE477A" w:rsidRDefault="00DE477A" w:rsidP="00DE477A">
      <w:pPr>
        <w:spacing w:before="60" w:after="60"/>
        <w:rPr>
          <w:rFonts w:ascii="Arial" w:eastAsia="Arial" w:hAnsi="Arial" w:cs="Arial"/>
          <w:color w:val="444444"/>
          <w:sz w:val="20"/>
          <w:szCs w:val="20"/>
        </w:rPr>
      </w:pPr>
    </w:p>
    <w:p w14:paraId="062E52B0" w14:textId="3D6D7D0B" w:rsidR="00DE477A" w:rsidRDefault="00A153DB" w:rsidP="00DE477A">
      <w:pPr>
        <w:spacing w:before="60" w:after="60"/>
        <w:rPr>
          <w:rFonts w:ascii="Arial" w:eastAsiaTheme="majorEastAsia" w:hAnsi="Arial" w:cs="Arial"/>
          <w:b/>
          <w:sz w:val="32"/>
          <w:szCs w:val="32"/>
        </w:rPr>
      </w:pPr>
      <w:r>
        <w:rPr>
          <w:rFonts w:ascii="Arial" w:eastAsiaTheme="majorEastAsia" w:hAnsi="Arial" w:cs="Arial"/>
          <w:b/>
          <w:sz w:val="32"/>
          <w:szCs w:val="32"/>
        </w:rPr>
        <w:t>6. Conclusion</w:t>
      </w:r>
    </w:p>
    <w:p w14:paraId="17848CBA" w14:textId="320F8BF6" w:rsidR="00DE477A" w:rsidRDefault="004B2704" w:rsidP="004B2704">
      <w:pPr>
        <w:spacing w:after="40" w:line="360" w:lineRule="auto"/>
        <w:rPr>
          <w:rFonts w:ascii="Arial" w:eastAsia="Arial" w:hAnsi="Arial" w:cs="Arial"/>
          <w:color w:val="000000" w:themeColor="text1"/>
          <w:sz w:val="22"/>
        </w:rPr>
      </w:pPr>
      <w:r>
        <w:rPr>
          <w:rFonts w:ascii="Arial" w:eastAsia="Arial" w:hAnsi="Arial" w:cs="Arial"/>
          <w:color w:val="000000" w:themeColor="text1"/>
          <w:sz w:val="22"/>
        </w:rPr>
        <w:t xml:space="preserve">In conclusion, understanding how the body controls blood glucose is important for managing type 2 diabetes. Insulin and glucagon work together to maintain glucose balance, while </w:t>
      </w:r>
      <w:r>
        <w:rPr>
          <w:rFonts w:ascii="Arial" w:eastAsia="Arial" w:hAnsi="Arial" w:cs="Arial"/>
          <w:color w:val="000000" w:themeColor="text1"/>
          <w:sz w:val="22"/>
        </w:rPr>
        <w:lastRenderedPageBreak/>
        <w:t>insulin resistance and reduced insulin production make this process less effective. Glucose and oxygen are also essential for cellular respiration</w:t>
      </w:r>
      <w:r w:rsidR="000D28EC">
        <w:rPr>
          <w:rFonts w:ascii="Arial" w:eastAsia="Arial" w:hAnsi="Arial" w:cs="Arial"/>
          <w:color w:val="000000" w:themeColor="text1"/>
          <w:sz w:val="22"/>
        </w:rPr>
        <w:t>,</w:t>
      </w:r>
      <w:r>
        <w:rPr>
          <w:rFonts w:ascii="Arial" w:eastAsia="Arial" w:hAnsi="Arial" w:cs="Arial"/>
          <w:color w:val="000000" w:themeColor="text1"/>
          <w:sz w:val="22"/>
        </w:rPr>
        <w:t xml:space="preserve"> which produces the energy needed for normal body functions. These processes explain why poor blood glucose control can affect health over time.</w:t>
      </w:r>
    </w:p>
    <w:p w14:paraId="405BEAA7" w14:textId="223F0F03" w:rsidR="00C77467" w:rsidRPr="00C77467" w:rsidRDefault="00C77467" w:rsidP="004B2704">
      <w:pPr>
        <w:spacing w:after="40" w:line="360" w:lineRule="auto"/>
        <w:rPr>
          <w:rFonts w:ascii="Arial" w:eastAsia="Arial" w:hAnsi="Arial" w:cs="Arial"/>
          <w:color w:val="000000" w:themeColor="text1"/>
          <w:sz w:val="22"/>
        </w:rPr>
      </w:pPr>
      <w:r>
        <w:rPr>
          <w:rFonts w:ascii="Arial" w:eastAsia="Arial" w:hAnsi="Arial" w:cs="Arial"/>
          <w:color w:val="000000" w:themeColor="text1"/>
          <w:sz w:val="22"/>
        </w:rPr>
        <w:t>Monitoring blood glucose and reviewing HbA1c results can help patients and healthcare professionals understand how well diabetes is being managed. Combined with healthier eating, regular physical activity and stopping smoking, monitoring can support better glucose control and reduce the risk of complications. However, patients may face barriers such as financial difficulties, limited mobility or a lack of support. In the GP surgery, the practice nurse has an important role in explaining these processes, encouraging self-management and developing individual care plans. Overall, effective type 2 diabetes management requires more than medical treatment alone. It depends on clear education, regular monitoring and realistic lifestyle changes that reflect each patient’s needs and circumstances.</w:t>
      </w:r>
    </w:p>
    <w:p w14:paraId="15F6AE3A" w14:textId="77777777" w:rsidR="00DE477A" w:rsidRPr="00DE477A" w:rsidRDefault="00DE477A" w:rsidP="00DE477A">
      <w:pPr>
        <w:spacing w:before="60" w:after="60"/>
        <w:rPr>
          <w:rFonts w:ascii="Arial" w:eastAsiaTheme="majorEastAsia" w:hAnsi="Arial" w:cs="Arial"/>
          <w:b/>
          <w:sz w:val="32"/>
          <w:szCs w:val="32"/>
        </w:rPr>
      </w:pPr>
    </w:p>
    <w:p w14:paraId="4B173646" w14:textId="38F31101" w:rsidR="00DE477A" w:rsidRDefault="00DE477A" w:rsidP="00DE477A">
      <w:pPr>
        <w:spacing w:before="60" w:after="60"/>
        <w:rPr>
          <w:rFonts w:ascii="Arial" w:eastAsiaTheme="majorEastAsia" w:hAnsi="Arial" w:cs="Arial"/>
          <w:b/>
          <w:sz w:val="32"/>
          <w:szCs w:val="32"/>
        </w:rPr>
      </w:pPr>
      <w:r>
        <w:rPr>
          <w:rFonts w:ascii="Arial" w:eastAsiaTheme="majorEastAsia" w:hAnsi="Arial" w:cs="Arial"/>
          <w:b/>
          <w:sz w:val="32"/>
          <w:szCs w:val="32"/>
        </w:rPr>
        <w:t>6. Reference List</w:t>
      </w:r>
    </w:p>
    <w:p w14:paraId="32F71ACF" w14:textId="77777777" w:rsidR="00DE477A" w:rsidRDefault="00DE477A" w:rsidP="00DE477A">
      <w:pPr>
        <w:spacing w:before="60" w:after="60"/>
      </w:pPr>
    </w:p>
    <w:p w14:paraId="221D85D8" w14:textId="61C7FD51" w:rsidR="00DE477A" w:rsidRDefault="002675DB" w:rsidP="002675DB">
      <w:pPr>
        <w:spacing w:after="40" w:line="360" w:lineRule="auto"/>
        <w:rPr>
          <w:rFonts w:ascii="Arial" w:eastAsia="Arial" w:hAnsi="Arial" w:cs="Arial"/>
          <w:color w:val="000000" w:themeColor="text1"/>
          <w:sz w:val="22"/>
        </w:rPr>
      </w:pPr>
      <w:r>
        <w:rPr>
          <w:rFonts w:ascii="Arial" w:eastAsia="Arial" w:hAnsi="Arial" w:cs="Arial"/>
          <w:color w:val="000000" w:themeColor="text1"/>
          <w:sz w:val="22"/>
        </w:rPr>
        <w:t xml:space="preserve">Betts, J.G. et al. (2022) Anatomy and Physiology 2e. Houston, TX: OpenStax. Available at: </w:t>
      </w:r>
      <w:hyperlink r:id="rId18" w:history="1">
        <w:r w:rsidRPr="004E2335">
          <w:rPr>
            <w:rStyle w:val="Hyperlink"/>
            <w:rFonts w:ascii="Arial" w:eastAsia="Arial" w:hAnsi="Arial" w:cs="Arial"/>
            <w:sz w:val="22"/>
          </w:rPr>
          <w:t>https://openstax.org/books/anatomy-and-physiology-2e/pages/17-9-the-endocrine-pancreas</w:t>
        </w:r>
      </w:hyperlink>
      <w:r>
        <w:rPr>
          <w:rFonts w:ascii="Arial" w:eastAsia="Arial" w:hAnsi="Arial" w:cs="Arial"/>
          <w:color w:val="000000" w:themeColor="text1"/>
          <w:sz w:val="22"/>
        </w:rPr>
        <w:t xml:space="preserve"> (Accessed: 24 October 2026).</w:t>
      </w:r>
    </w:p>
    <w:p w14:paraId="5A8CCD96" w14:textId="6A3B2CC1" w:rsidR="002675DB" w:rsidRDefault="002675DB" w:rsidP="002675DB">
      <w:pPr>
        <w:spacing w:after="40" w:line="360" w:lineRule="auto"/>
        <w:rPr>
          <w:rFonts w:ascii="Arial" w:eastAsia="Arial" w:hAnsi="Arial" w:cs="Arial"/>
          <w:color w:val="000000" w:themeColor="text1"/>
          <w:sz w:val="22"/>
        </w:rPr>
      </w:pPr>
      <w:r>
        <w:rPr>
          <w:rFonts w:ascii="Arial" w:eastAsia="Arial" w:hAnsi="Arial" w:cs="Arial"/>
          <w:color w:val="000000" w:themeColor="text1"/>
          <w:sz w:val="22"/>
        </w:rPr>
        <w:t xml:space="preserve">British Dietetic Association (2025) Glycaemic Index (GI). Available at: </w:t>
      </w:r>
      <w:hyperlink r:id="rId19" w:history="1">
        <w:r w:rsidRPr="004E2335">
          <w:rPr>
            <w:rStyle w:val="Hyperlink"/>
            <w:rFonts w:ascii="Arial" w:eastAsia="Arial" w:hAnsi="Arial" w:cs="Arial"/>
            <w:sz w:val="22"/>
          </w:rPr>
          <w:t>https://www.bda.uk.com/resource/glycaemic-index.html</w:t>
        </w:r>
      </w:hyperlink>
      <w:r>
        <w:rPr>
          <w:rFonts w:ascii="Arial" w:eastAsia="Arial" w:hAnsi="Arial" w:cs="Arial"/>
          <w:color w:val="000000" w:themeColor="text1"/>
          <w:sz w:val="22"/>
        </w:rPr>
        <w:t xml:space="preserve"> (Accessed: 24 October 2026).</w:t>
      </w:r>
    </w:p>
    <w:p w14:paraId="1EAC18D5" w14:textId="32EEB35A" w:rsidR="002675DB" w:rsidRDefault="002675DB" w:rsidP="002675DB">
      <w:pPr>
        <w:spacing w:after="40" w:line="360" w:lineRule="auto"/>
        <w:rPr>
          <w:rFonts w:ascii="Arial" w:eastAsia="Arial" w:hAnsi="Arial" w:cs="Arial"/>
          <w:color w:val="000000" w:themeColor="text1"/>
          <w:sz w:val="22"/>
        </w:rPr>
      </w:pPr>
      <w:r>
        <w:rPr>
          <w:rFonts w:ascii="Arial" w:eastAsia="Arial" w:hAnsi="Arial" w:cs="Arial"/>
          <w:color w:val="000000" w:themeColor="text1"/>
          <w:sz w:val="22"/>
        </w:rPr>
        <w:t>Department of Health and Social Care (2026) UK Chief Medical Officers’ physical activity guidelines.</w:t>
      </w:r>
      <w:r w:rsidR="00EC4846">
        <w:rPr>
          <w:rFonts w:ascii="Arial" w:eastAsia="Arial" w:hAnsi="Arial" w:cs="Arial"/>
          <w:color w:val="000000" w:themeColor="text1"/>
          <w:sz w:val="22"/>
        </w:rPr>
        <w:t xml:space="preserve"> Available at: </w:t>
      </w:r>
      <w:hyperlink r:id="rId20" w:history="1">
        <w:r w:rsidR="00EC4846" w:rsidRPr="004E2335">
          <w:rPr>
            <w:rStyle w:val="Hyperlink"/>
            <w:rFonts w:ascii="Arial" w:eastAsia="Arial" w:hAnsi="Arial" w:cs="Arial"/>
            <w:sz w:val="22"/>
          </w:rPr>
          <w:t>https://www.gov.uk/government/publications/physical-activity-guidelines-uk-chief-medical-officers-report/uk-chief-medical-officers-physical-activity-guidelines</w:t>
        </w:r>
      </w:hyperlink>
      <w:r w:rsidR="00EC4846">
        <w:rPr>
          <w:rFonts w:ascii="Arial" w:eastAsia="Arial" w:hAnsi="Arial" w:cs="Arial"/>
          <w:color w:val="000000" w:themeColor="text1"/>
          <w:sz w:val="22"/>
        </w:rPr>
        <w:t xml:space="preserve"> (Accessed: 24 October 2026).</w:t>
      </w:r>
    </w:p>
    <w:p w14:paraId="1E3982C6" w14:textId="145BDBC0" w:rsidR="00EC4846" w:rsidRDefault="00EC4846" w:rsidP="002675DB">
      <w:pPr>
        <w:spacing w:after="40" w:line="360" w:lineRule="auto"/>
        <w:rPr>
          <w:rFonts w:ascii="Arial" w:eastAsia="Arial" w:hAnsi="Arial" w:cs="Arial"/>
          <w:color w:val="000000" w:themeColor="text1"/>
          <w:sz w:val="22"/>
        </w:rPr>
      </w:pPr>
      <w:r>
        <w:rPr>
          <w:rFonts w:ascii="Arial" w:eastAsia="Arial" w:hAnsi="Arial" w:cs="Arial"/>
          <w:color w:val="000000" w:themeColor="text1"/>
          <w:sz w:val="22"/>
        </w:rPr>
        <w:t xml:space="preserve">Diabetes UK (2024) Mediterranean diet for type 2 diabetes remission. Available at: </w:t>
      </w:r>
      <w:hyperlink r:id="rId21" w:history="1">
        <w:r w:rsidR="008114A6" w:rsidRPr="004E2335">
          <w:rPr>
            <w:rStyle w:val="Hyperlink"/>
            <w:rFonts w:ascii="Arial" w:eastAsia="Arial" w:hAnsi="Arial" w:cs="Arial"/>
            <w:sz w:val="22"/>
          </w:rPr>
          <w:t>https://www.diabetes.org.uk/about-diabetes/type-2-diabetes/remission/mediterranean-diet-for-remission</w:t>
        </w:r>
      </w:hyperlink>
      <w:r>
        <w:rPr>
          <w:rFonts w:ascii="Arial" w:eastAsia="Arial" w:hAnsi="Arial" w:cs="Arial"/>
          <w:color w:val="000000" w:themeColor="text1"/>
          <w:sz w:val="22"/>
        </w:rPr>
        <w:t xml:space="preserve"> (Accessed: 24 October 2026).</w:t>
      </w:r>
    </w:p>
    <w:p w14:paraId="22A9657C" w14:textId="08153865" w:rsidR="00EC4846" w:rsidRDefault="00EC4846" w:rsidP="002675DB">
      <w:pPr>
        <w:spacing w:after="40" w:line="360" w:lineRule="auto"/>
        <w:rPr>
          <w:rFonts w:ascii="Arial" w:eastAsia="Arial" w:hAnsi="Arial" w:cs="Arial"/>
          <w:color w:val="000000" w:themeColor="text1"/>
          <w:sz w:val="22"/>
        </w:rPr>
      </w:pPr>
      <w:r>
        <w:rPr>
          <w:rFonts w:ascii="Arial" w:eastAsia="Arial" w:hAnsi="Arial" w:cs="Arial"/>
          <w:color w:val="000000" w:themeColor="text1"/>
          <w:sz w:val="22"/>
        </w:rPr>
        <w:t xml:space="preserve">Diabetes UK (2025) Continuous glucose monitors. Available at: </w:t>
      </w:r>
      <w:hyperlink r:id="rId22" w:history="1">
        <w:r w:rsidRPr="004E2335">
          <w:rPr>
            <w:rStyle w:val="Hyperlink"/>
            <w:rFonts w:ascii="Arial" w:eastAsia="Arial" w:hAnsi="Arial" w:cs="Arial"/>
            <w:sz w:val="22"/>
          </w:rPr>
          <w:t>https://www.diabetes.org.uk/about-diabetes/looking-after-diabetes/technology/continuous-glucose-monitors</w:t>
        </w:r>
      </w:hyperlink>
      <w:r>
        <w:rPr>
          <w:rFonts w:ascii="Arial" w:eastAsia="Arial" w:hAnsi="Arial" w:cs="Arial"/>
          <w:color w:val="000000" w:themeColor="text1"/>
          <w:sz w:val="22"/>
        </w:rPr>
        <w:t xml:space="preserve"> (Accessed: 24 October 2026).</w:t>
      </w:r>
    </w:p>
    <w:p w14:paraId="63537E01" w14:textId="74776DB5" w:rsidR="00EC4846" w:rsidRDefault="00EC4846" w:rsidP="002675DB">
      <w:pPr>
        <w:spacing w:after="40" w:line="360" w:lineRule="auto"/>
        <w:rPr>
          <w:rFonts w:ascii="Arial" w:eastAsia="Arial" w:hAnsi="Arial" w:cs="Arial"/>
          <w:color w:val="000000" w:themeColor="text1"/>
          <w:sz w:val="22"/>
        </w:rPr>
      </w:pPr>
      <w:r>
        <w:rPr>
          <w:rFonts w:ascii="Arial" w:eastAsia="Arial" w:hAnsi="Arial" w:cs="Arial"/>
          <w:color w:val="000000" w:themeColor="text1"/>
          <w:sz w:val="22"/>
        </w:rPr>
        <w:t>Diabetes UK (2026) How to check your blood sugar levels</w:t>
      </w:r>
      <w:r w:rsidR="00D4327B">
        <w:rPr>
          <w:rFonts w:ascii="Arial" w:eastAsia="Arial" w:hAnsi="Arial" w:cs="Arial"/>
          <w:color w:val="000000" w:themeColor="text1"/>
          <w:sz w:val="22"/>
        </w:rPr>
        <w:t>.</w:t>
      </w:r>
      <w:r>
        <w:rPr>
          <w:rFonts w:ascii="Arial" w:eastAsia="Arial" w:hAnsi="Arial" w:cs="Arial"/>
          <w:color w:val="000000" w:themeColor="text1"/>
          <w:sz w:val="22"/>
        </w:rPr>
        <w:t xml:space="preserve"> Available at: </w:t>
      </w:r>
      <w:hyperlink r:id="rId23" w:history="1">
        <w:r w:rsidRPr="004E2335">
          <w:rPr>
            <w:rStyle w:val="Hyperlink"/>
            <w:rFonts w:ascii="Arial" w:eastAsia="Arial" w:hAnsi="Arial" w:cs="Arial"/>
            <w:sz w:val="22"/>
          </w:rPr>
          <w:t>https://www.diabetes.org.uk/about-diabetes/looking-after-diabetes/blood-sugar-levels</w:t>
        </w:r>
      </w:hyperlink>
      <w:r>
        <w:rPr>
          <w:rFonts w:ascii="Arial" w:eastAsia="Arial" w:hAnsi="Arial" w:cs="Arial"/>
          <w:color w:val="000000" w:themeColor="text1"/>
          <w:sz w:val="22"/>
        </w:rPr>
        <w:t xml:space="preserve"> (Accessed: 24 October 2026).</w:t>
      </w:r>
    </w:p>
    <w:p w14:paraId="6F53BC52" w14:textId="3EF75EAF" w:rsidR="00EC4846" w:rsidRDefault="000C1C69" w:rsidP="002675DB">
      <w:pPr>
        <w:spacing w:after="40" w:line="360" w:lineRule="auto"/>
        <w:rPr>
          <w:rFonts w:ascii="Arial" w:eastAsia="Arial" w:hAnsi="Arial" w:cs="Arial"/>
          <w:color w:val="000000" w:themeColor="text1"/>
          <w:sz w:val="22"/>
        </w:rPr>
      </w:pPr>
      <w:proofErr w:type="spellStart"/>
      <w:r>
        <w:rPr>
          <w:rFonts w:ascii="Arial" w:eastAsia="Arial" w:hAnsi="Arial" w:cs="Arial"/>
          <w:color w:val="000000" w:themeColor="text1"/>
          <w:sz w:val="22"/>
        </w:rPr>
        <w:lastRenderedPageBreak/>
        <w:t>Dremin</w:t>
      </w:r>
      <w:proofErr w:type="spellEnd"/>
      <w:r>
        <w:rPr>
          <w:rFonts w:ascii="Arial" w:eastAsia="Arial" w:hAnsi="Arial" w:cs="Arial"/>
          <w:color w:val="000000" w:themeColor="text1"/>
          <w:sz w:val="22"/>
        </w:rPr>
        <w:t xml:space="preserve">, V. (2026) ‘Tissue metabolism: fundamentals and advanced instrumental assessment’, Progress in Biomedical Engineering, 8(3). Doi: 10.1088/2516-1091/ae7861. Available at: </w:t>
      </w:r>
      <w:hyperlink r:id="rId24" w:history="1">
        <w:r w:rsidRPr="004E2335">
          <w:rPr>
            <w:rStyle w:val="Hyperlink"/>
            <w:rFonts w:ascii="Arial" w:eastAsia="Arial" w:hAnsi="Arial" w:cs="Arial"/>
            <w:sz w:val="22"/>
          </w:rPr>
          <w:t>https://pubmed.ncbi.nlm.nih.gov/42246122/</w:t>
        </w:r>
      </w:hyperlink>
      <w:r>
        <w:rPr>
          <w:rFonts w:ascii="Arial" w:eastAsia="Arial" w:hAnsi="Arial" w:cs="Arial"/>
          <w:color w:val="000000" w:themeColor="text1"/>
          <w:sz w:val="22"/>
        </w:rPr>
        <w:t xml:space="preserve"> (Accessed: 24 October 2026).</w:t>
      </w:r>
    </w:p>
    <w:p w14:paraId="74C88B52" w14:textId="10756001" w:rsidR="000C1C69" w:rsidRDefault="000C1C69" w:rsidP="002675DB">
      <w:pPr>
        <w:spacing w:after="40" w:line="360" w:lineRule="auto"/>
        <w:rPr>
          <w:rFonts w:ascii="Arial" w:eastAsia="Arial" w:hAnsi="Arial" w:cs="Arial"/>
          <w:color w:val="000000" w:themeColor="text1"/>
          <w:sz w:val="22"/>
        </w:rPr>
      </w:pPr>
      <w:r>
        <w:rPr>
          <w:rFonts w:ascii="Arial" w:eastAsia="Arial" w:hAnsi="Arial" w:cs="Arial"/>
          <w:color w:val="000000" w:themeColor="text1"/>
          <w:sz w:val="22"/>
        </w:rPr>
        <w:t xml:space="preserve">National Health Service (2025) Diabetes. Available at: </w:t>
      </w:r>
      <w:hyperlink r:id="rId25" w:history="1">
        <w:r w:rsidRPr="004E2335">
          <w:rPr>
            <w:rStyle w:val="Hyperlink"/>
            <w:rFonts w:ascii="Arial" w:eastAsia="Arial" w:hAnsi="Arial" w:cs="Arial"/>
            <w:sz w:val="22"/>
          </w:rPr>
          <w:t>https://www.nhs.uk/conditions/diabetes/</w:t>
        </w:r>
      </w:hyperlink>
      <w:r>
        <w:rPr>
          <w:rFonts w:ascii="Arial" w:eastAsia="Arial" w:hAnsi="Arial" w:cs="Arial"/>
          <w:color w:val="000000" w:themeColor="text1"/>
          <w:sz w:val="22"/>
        </w:rPr>
        <w:t xml:space="preserve"> (Accessed: 24 October 2026).</w:t>
      </w:r>
    </w:p>
    <w:p w14:paraId="0A6126EE" w14:textId="04261EE7" w:rsidR="000C1C69" w:rsidRDefault="000C1C69" w:rsidP="002675DB">
      <w:pPr>
        <w:spacing w:after="40" w:line="360" w:lineRule="auto"/>
        <w:rPr>
          <w:rFonts w:ascii="Arial" w:eastAsia="Arial" w:hAnsi="Arial" w:cs="Arial"/>
          <w:color w:val="000000" w:themeColor="text1"/>
          <w:sz w:val="22"/>
        </w:rPr>
      </w:pPr>
      <w:r>
        <w:rPr>
          <w:rFonts w:ascii="Arial" w:eastAsia="Arial" w:hAnsi="Arial" w:cs="Arial"/>
          <w:color w:val="000000" w:themeColor="text1"/>
          <w:sz w:val="22"/>
        </w:rPr>
        <w:t xml:space="preserve">National Health Service (2026) Ketones and diabetic ketoacidosis. </w:t>
      </w:r>
      <w:proofErr w:type="spellStart"/>
      <w:r>
        <w:rPr>
          <w:rFonts w:ascii="Arial" w:eastAsia="Arial" w:hAnsi="Arial" w:cs="Arial"/>
          <w:color w:val="000000" w:themeColor="text1"/>
          <w:sz w:val="22"/>
        </w:rPr>
        <w:t>MyHealth</w:t>
      </w:r>
      <w:proofErr w:type="spellEnd"/>
      <w:r>
        <w:rPr>
          <w:rFonts w:ascii="Arial" w:eastAsia="Arial" w:hAnsi="Arial" w:cs="Arial"/>
          <w:color w:val="000000" w:themeColor="text1"/>
          <w:sz w:val="22"/>
        </w:rPr>
        <w:t xml:space="preserve"> London. Available at: </w:t>
      </w:r>
      <w:hyperlink r:id="rId26" w:history="1">
        <w:r w:rsidRPr="004E2335">
          <w:rPr>
            <w:rStyle w:val="Hyperlink"/>
            <w:rFonts w:ascii="Arial" w:eastAsia="Arial" w:hAnsi="Arial" w:cs="Arial"/>
            <w:sz w:val="22"/>
          </w:rPr>
          <w:t>https://www.myhealthlondon.nhs.uk/resources/internal/ketones-and-diabetic-ketoacidosis/</w:t>
        </w:r>
      </w:hyperlink>
      <w:r>
        <w:rPr>
          <w:rFonts w:ascii="Arial" w:eastAsia="Arial" w:hAnsi="Arial" w:cs="Arial"/>
          <w:color w:val="000000" w:themeColor="text1"/>
          <w:sz w:val="22"/>
        </w:rPr>
        <w:t xml:space="preserve"> (Accessed: 24 October 2026).</w:t>
      </w:r>
    </w:p>
    <w:p w14:paraId="475DA6C5" w14:textId="743ADFBC" w:rsidR="000C1C69" w:rsidRDefault="000C1C69" w:rsidP="002675DB">
      <w:pPr>
        <w:spacing w:after="40" w:line="360" w:lineRule="auto"/>
        <w:rPr>
          <w:rFonts w:ascii="Arial" w:eastAsia="Arial" w:hAnsi="Arial" w:cs="Arial"/>
          <w:color w:val="000000" w:themeColor="text1"/>
          <w:sz w:val="22"/>
        </w:rPr>
      </w:pPr>
      <w:r>
        <w:rPr>
          <w:rFonts w:ascii="Arial" w:eastAsia="Arial" w:hAnsi="Arial" w:cs="Arial"/>
          <w:color w:val="000000" w:themeColor="text1"/>
          <w:sz w:val="22"/>
        </w:rPr>
        <w:t xml:space="preserve">National Institute for Health and Care Excellence (NICE) (2025) Tobacco: preventing uptake, promoting quitting and treating dependence. NICE guidelines NG209. Available at: </w:t>
      </w:r>
      <w:hyperlink r:id="rId27" w:history="1">
        <w:r w:rsidRPr="004E2335">
          <w:rPr>
            <w:rStyle w:val="Hyperlink"/>
            <w:rFonts w:ascii="Arial" w:eastAsia="Arial" w:hAnsi="Arial" w:cs="Arial"/>
            <w:sz w:val="22"/>
          </w:rPr>
          <w:t>https://www.nice.org.uk/guidance/ng209</w:t>
        </w:r>
      </w:hyperlink>
      <w:r>
        <w:rPr>
          <w:rFonts w:ascii="Arial" w:eastAsia="Arial" w:hAnsi="Arial" w:cs="Arial"/>
          <w:color w:val="000000" w:themeColor="text1"/>
          <w:sz w:val="22"/>
        </w:rPr>
        <w:t xml:space="preserve"> (Accessed: 24 October 2026).</w:t>
      </w:r>
    </w:p>
    <w:p w14:paraId="2DEC6518" w14:textId="1A04355D" w:rsidR="000C1C69" w:rsidRDefault="007835D7" w:rsidP="002675DB">
      <w:pPr>
        <w:spacing w:after="40" w:line="360" w:lineRule="auto"/>
        <w:rPr>
          <w:rFonts w:ascii="Arial" w:eastAsia="Arial" w:hAnsi="Arial" w:cs="Arial"/>
          <w:color w:val="000000" w:themeColor="text1"/>
          <w:sz w:val="22"/>
        </w:rPr>
      </w:pPr>
      <w:r>
        <w:rPr>
          <w:rFonts w:ascii="Arial" w:eastAsia="Arial" w:hAnsi="Arial" w:cs="Arial"/>
          <w:color w:val="000000" w:themeColor="text1"/>
          <w:sz w:val="22"/>
        </w:rPr>
        <w:t xml:space="preserve">National Institute </w:t>
      </w:r>
      <w:r w:rsidR="008114A6">
        <w:rPr>
          <w:rFonts w:ascii="Arial" w:eastAsia="Arial" w:hAnsi="Arial" w:cs="Arial"/>
          <w:color w:val="000000" w:themeColor="text1"/>
          <w:sz w:val="22"/>
        </w:rPr>
        <w:t>for</w:t>
      </w:r>
      <w:r>
        <w:rPr>
          <w:rFonts w:ascii="Arial" w:eastAsia="Arial" w:hAnsi="Arial" w:cs="Arial"/>
          <w:color w:val="000000" w:themeColor="text1"/>
          <w:sz w:val="22"/>
        </w:rPr>
        <w:t xml:space="preserve"> Health and Care Excellence (NICE) (2026) Type 2 diabetes in adults. Quality statement 2: Structured education programme. Quality standard QS209. Available at: </w:t>
      </w:r>
      <w:hyperlink r:id="rId28" w:history="1">
        <w:r w:rsidRPr="004E2335">
          <w:rPr>
            <w:rStyle w:val="Hyperlink"/>
            <w:rFonts w:ascii="Arial" w:eastAsia="Arial" w:hAnsi="Arial" w:cs="Arial"/>
            <w:sz w:val="22"/>
          </w:rPr>
          <w:t>https://www.nice.org.uk/guidance/qs209/chapter/Quality-statement-2-Structured-education-programme</w:t>
        </w:r>
      </w:hyperlink>
      <w:r>
        <w:rPr>
          <w:rFonts w:ascii="Arial" w:eastAsia="Arial" w:hAnsi="Arial" w:cs="Arial"/>
          <w:color w:val="000000" w:themeColor="text1"/>
          <w:sz w:val="22"/>
        </w:rPr>
        <w:t xml:space="preserve"> (Accessed: 24 October 2026).</w:t>
      </w:r>
    </w:p>
    <w:p w14:paraId="3A4EEA46" w14:textId="08D1F4C3" w:rsidR="007835D7" w:rsidRDefault="007835D7" w:rsidP="002675DB">
      <w:pPr>
        <w:spacing w:after="40" w:line="360" w:lineRule="auto"/>
        <w:rPr>
          <w:rFonts w:ascii="Arial" w:eastAsia="Arial" w:hAnsi="Arial" w:cs="Arial"/>
          <w:color w:val="000000" w:themeColor="text1"/>
          <w:sz w:val="22"/>
        </w:rPr>
      </w:pPr>
      <w:r>
        <w:rPr>
          <w:rFonts w:ascii="Arial" w:eastAsia="Arial" w:hAnsi="Arial" w:cs="Arial"/>
          <w:color w:val="000000" w:themeColor="text1"/>
          <w:sz w:val="22"/>
        </w:rPr>
        <w:t>NHS England (2025) A pan-London implementation document for continuous glucose sensor for people living with type 2 diabetes. London: London Diabetes Clinical Network. A</w:t>
      </w:r>
      <w:r w:rsidR="00D4327B">
        <w:rPr>
          <w:rFonts w:ascii="Arial" w:eastAsia="Arial" w:hAnsi="Arial" w:cs="Arial"/>
          <w:color w:val="000000" w:themeColor="text1"/>
          <w:sz w:val="22"/>
        </w:rPr>
        <w:t xml:space="preserve">vailable at: </w:t>
      </w:r>
      <w:hyperlink r:id="rId29" w:history="1">
        <w:r w:rsidR="00D4327B" w:rsidRPr="004E2335">
          <w:rPr>
            <w:rStyle w:val="Hyperlink"/>
            <w:rFonts w:ascii="Arial" w:eastAsia="Arial" w:hAnsi="Arial" w:cs="Arial"/>
            <w:sz w:val="22"/>
          </w:rPr>
          <w:t>https://www.england.nhs.uk/london/wp-content/uploads/sites/8/2025/06/A-pan-London-implementation-document-for-continuous-glucose-sensors-for-people-living-with-type-2-diabetes.pdf</w:t>
        </w:r>
      </w:hyperlink>
      <w:r w:rsidR="00D4327B">
        <w:rPr>
          <w:rFonts w:ascii="Arial" w:eastAsia="Arial" w:hAnsi="Arial" w:cs="Arial"/>
          <w:color w:val="000000" w:themeColor="text1"/>
          <w:sz w:val="22"/>
        </w:rPr>
        <w:t xml:space="preserve"> </w:t>
      </w:r>
      <w:r>
        <w:rPr>
          <w:rFonts w:ascii="Arial" w:eastAsia="Arial" w:hAnsi="Arial" w:cs="Arial"/>
          <w:color w:val="000000" w:themeColor="text1"/>
          <w:sz w:val="22"/>
        </w:rPr>
        <w:t>(Accessed: 24 October 2026).</w:t>
      </w:r>
    </w:p>
    <w:p w14:paraId="086B39F3" w14:textId="3582C5D3" w:rsidR="007835D7" w:rsidRDefault="007835D7" w:rsidP="002675DB">
      <w:pPr>
        <w:spacing w:after="40" w:line="360" w:lineRule="auto"/>
        <w:rPr>
          <w:rFonts w:ascii="Arial" w:eastAsia="Arial" w:hAnsi="Arial" w:cs="Arial"/>
          <w:color w:val="000000" w:themeColor="text1"/>
          <w:sz w:val="22"/>
        </w:rPr>
      </w:pPr>
      <w:r>
        <w:rPr>
          <w:rFonts w:ascii="Arial" w:eastAsia="Arial" w:hAnsi="Arial" w:cs="Arial"/>
          <w:color w:val="000000" w:themeColor="text1"/>
          <w:sz w:val="22"/>
        </w:rPr>
        <w:t xml:space="preserve">Office for National Statistics (2024) Risk factors for pre-diabetes and undiagnosed type 2 diabetes in England: 2013 to 2019. Available at: </w:t>
      </w:r>
      <w:hyperlink r:id="rId30" w:history="1">
        <w:r w:rsidR="00E704A5" w:rsidRPr="004E2335">
          <w:rPr>
            <w:rStyle w:val="Hyperlink"/>
            <w:rFonts w:ascii="Arial" w:eastAsia="Arial" w:hAnsi="Arial" w:cs="Arial"/>
            <w:sz w:val="22"/>
          </w:rPr>
          <w:t>https://www.ons.gov.uk/peoplepopulationandcommunity/healthandsocialcare/healthinequalities/bulletins/riskfactorsforprediabetesandundiagnosedtype2diabetesinengland/2013to2019</w:t>
        </w:r>
      </w:hyperlink>
      <w:r w:rsidR="00E704A5">
        <w:rPr>
          <w:rFonts w:ascii="Arial" w:eastAsia="Arial" w:hAnsi="Arial" w:cs="Arial"/>
          <w:color w:val="000000" w:themeColor="text1"/>
          <w:sz w:val="22"/>
        </w:rPr>
        <w:t xml:space="preserve"> </w:t>
      </w:r>
      <w:r w:rsidR="00E97F89">
        <w:rPr>
          <w:rFonts w:ascii="Arial" w:eastAsia="Arial" w:hAnsi="Arial" w:cs="Arial"/>
          <w:color w:val="000000" w:themeColor="text1"/>
          <w:sz w:val="22"/>
        </w:rPr>
        <w:t>(Accessed: 24 October 2026).</w:t>
      </w:r>
    </w:p>
    <w:p w14:paraId="786FCC1A" w14:textId="7A63D260" w:rsidR="00E97F89" w:rsidRDefault="00E97F89" w:rsidP="002675DB">
      <w:pPr>
        <w:spacing w:after="40" w:line="360" w:lineRule="auto"/>
        <w:rPr>
          <w:rFonts w:ascii="Arial" w:eastAsia="Arial" w:hAnsi="Arial" w:cs="Arial"/>
          <w:color w:val="000000" w:themeColor="text1"/>
          <w:sz w:val="22"/>
        </w:rPr>
      </w:pPr>
      <w:r>
        <w:rPr>
          <w:rFonts w:ascii="Arial" w:eastAsia="Arial" w:hAnsi="Arial" w:cs="Arial"/>
          <w:color w:val="000000" w:themeColor="text1"/>
          <w:sz w:val="22"/>
        </w:rPr>
        <w:t xml:space="preserve">Solis-Herrera, C., Triplitt, C., Cersosimo, E. and DeFronzo, R.A. (2025) ‘Pathogenesis of Type 2 Diabetes Mellitus’, in </w:t>
      </w:r>
      <w:proofErr w:type="spellStart"/>
      <w:r>
        <w:rPr>
          <w:rFonts w:ascii="Arial" w:eastAsia="Arial" w:hAnsi="Arial" w:cs="Arial"/>
          <w:color w:val="000000" w:themeColor="text1"/>
          <w:sz w:val="22"/>
        </w:rPr>
        <w:t>Endotext</w:t>
      </w:r>
      <w:proofErr w:type="spellEnd"/>
      <w:r>
        <w:rPr>
          <w:rFonts w:ascii="Arial" w:eastAsia="Arial" w:hAnsi="Arial" w:cs="Arial"/>
          <w:color w:val="000000" w:themeColor="text1"/>
          <w:sz w:val="22"/>
        </w:rPr>
        <w:t xml:space="preserve">. South Dartmouth, MA: MDText.com, Inc. Available at: </w:t>
      </w:r>
      <w:hyperlink r:id="rId31" w:history="1">
        <w:r w:rsidRPr="004E2335">
          <w:rPr>
            <w:rStyle w:val="Hyperlink"/>
            <w:rFonts w:ascii="Arial" w:eastAsia="Arial" w:hAnsi="Arial" w:cs="Arial"/>
            <w:sz w:val="22"/>
          </w:rPr>
          <w:t>https://www.ncbi.nlm.nih.gov/books/NBK279115/</w:t>
        </w:r>
      </w:hyperlink>
      <w:r>
        <w:rPr>
          <w:rFonts w:ascii="Arial" w:eastAsia="Arial" w:hAnsi="Arial" w:cs="Arial"/>
          <w:color w:val="000000" w:themeColor="text1"/>
          <w:sz w:val="22"/>
        </w:rPr>
        <w:t xml:space="preserve"> (Accessed: 24 October 2</w:t>
      </w:r>
      <w:r w:rsidR="008114A6">
        <w:rPr>
          <w:rFonts w:ascii="Arial" w:eastAsia="Arial" w:hAnsi="Arial" w:cs="Arial"/>
          <w:color w:val="000000" w:themeColor="text1"/>
          <w:sz w:val="22"/>
        </w:rPr>
        <w:t>0</w:t>
      </w:r>
      <w:r>
        <w:rPr>
          <w:rFonts w:ascii="Arial" w:eastAsia="Arial" w:hAnsi="Arial" w:cs="Arial"/>
          <w:color w:val="000000" w:themeColor="text1"/>
          <w:sz w:val="22"/>
        </w:rPr>
        <w:t>26).</w:t>
      </w:r>
    </w:p>
    <w:p w14:paraId="772C6633" w14:textId="77777777" w:rsidR="00E97F89" w:rsidRPr="002675DB" w:rsidRDefault="00E97F89" w:rsidP="002675DB">
      <w:pPr>
        <w:spacing w:after="40" w:line="360" w:lineRule="auto"/>
        <w:rPr>
          <w:color w:val="000000" w:themeColor="text1"/>
          <w:sz w:val="22"/>
        </w:rPr>
      </w:pPr>
    </w:p>
    <w:p w14:paraId="0048D3FF" w14:textId="77777777" w:rsidR="00DE477A" w:rsidRDefault="00DE477A" w:rsidP="00DE477A">
      <w:pPr>
        <w:spacing w:before="60" w:after="60"/>
      </w:pPr>
    </w:p>
    <w:p w14:paraId="1E63C7B2" w14:textId="77777777" w:rsidR="00DE477A" w:rsidRDefault="00DE477A" w:rsidP="00DE477A">
      <w:pPr>
        <w:spacing w:before="60" w:after="60"/>
      </w:pPr>
    </w:p>
    <w:p w14:paraId="1908E762" w14:textId="77777777" w:rsidR="00DE477A" w:rsidRDefault="00DE477A" w:rsidP="00DE477A">
      <w:pPr>
        <w:spacing w:before="60" w:after="60"/>
      </w:pPr>
    </w:p>
    <w:p w14:paraId="1ABB4A3B" w14:textId="77777777" w:rsidR="00DE477A" w:rsidRDefault="00DE477A" w:rsidP="00DE477A">
      <w:pPr>
        <w:spacing w:before="60" w:after="60"/>
      </w:pPr>
    </w:p>
    <w:p w14:paraId="1DFCEF02" w14:textId="77777777" w:rsidR="00DE477A" w:rsidRDefault="00DE477A" w:rsidP="00DE477A">
      <w:pPr>
        <w:spacing w:before="60" w:after="60"/>
      </w:pPr>
    </w:p>
    <w:p w14:paraId="774DF2BF" w14:textId="77777777" w:rsidR="00DE477A" w:rsidRDefault="00DE477A" w:rsidP="00DE477A">
      <w:pPr>
        <w:spacing w:before="60" w:after="60"/>
      </w:pPr>
    </w:p>
    <w:p w14:paraId="6CDBB60C" w14:textId="77777777" w:rsidR="00DE477A" w:rsidRDefault="00DE477A" w:rsidP="00DE477A">
      <w:pPr>
        <w:spacing w:before="60" w:after="60"/>
      </w:pPr>
    </w:p>
    <w:p w14:paraId="18FB0FE0" w14:textId="77777777" w:rsidR="00DE477A" w:rsidRDefault="00DE477A" w:rsidP="00DE477A">
      <w:pPr>
        <w:spacing w:before="60" w:after="60"/>
      </w:pPr>
    </w:p>
    <w:p w14:paraId="0462340C" w14:textId="77777777" w:rsidR="00DE477A" w:rsidRDefault="00DE477A" w:rsidP="00DE477A">
      <w:pPr>
        <w:spacing w:before="60" w:after="60"/>
      </w:pPr>
    </w:p>
    <w:p w14:paraId="5522CAE5" w14:textId="77777777" w:rsidR="00DE477A" w:rsidRDefault="00DE477A" w:rsidP="00DE477A">
      <w:pPr>
        <w:spacing w:before="60" w:after="60"/>
      </w:pPr>
    </w:p>
    <w:p w14:paraId="3994F71D" w14:textId="77777777" w:rsidR="00DE477A" w:rsidRDefault="00DE477A" w:rsidP="00DE477A">
      <w:pPr>
        <w:spacing w:before="60" w:after="60"/>
      </w:pPr>
    </w:p>
    <w:p w14:paraId="74E3E6E4" w14:textId="77777777" w:rsidR="00DE477A" w:rsidRDefault="00DE477A" w:rsidP="00DE477A">
      <w:pPr>
        <w:spacing w:before="60" w:after="60"/>
      </w:pPr>
    </w:p>
    <w:p w14:paraId="1D8F76CF" w14:textId="77777777" w:rsidR="00DE477A" w:rsidRDefault="00DE477A" w:rsidP="00DE477A">
      <w:pPr>
        <w:spacing w:before="60" w:after="60"/>
      </w:pPr>
    </w:p>
    <w:p w14:paraId="25BD671C" w14:textId="77777777" w:rsidR="00DE477A" w:rsidRDefault="00DE477A" w:rsidP="00DE477A">
      <w:pPr>
        <w:spacing w:before="60" w:after="60"/>
      </w:pPr>
    </w:p>
    <w:p w14:paraId="459CB8B9" w14:textId="77777777" w:rsidR="00DE477A" w:rsidRDefault="00DE477A" w:rsidP="00DE477A">
      <w:pPr>
        <w:spacing w:before="60" w:after="60"/>
      </w:pPr>
    </w:p>
    <w:p w14:paraId="7BA04CEA" w14:textId="77777777" w:rsidR="00DE477A" w:rsidRDefault="00DE477A" w:rsidP="00DE477A">
      <w:pPr>
        <w:spacing w:before="60" w:after="60"/>
      </w:pPr>
    </w:p>
    <w:p w14:paraId="38E0DB32" w14:textId="77777777" w:rsidR="00DE477A" w:rsidRDefault="00DE477A" w:rsidP="00DE477A">
      <w:pPr>
        <w:spacing w:before="60" w:after="60"/>
      </w:pPr>
    </w:p>
    <w:p w14:paraId="260DA15B" w14:textId="77777777" w:rsidR="00012E0F" w:rsidRDefault="00012E0F" w:rsidP="00012E0F">
      <w:pPr>
        <w:spacing w:before="60" w:after="60"/>
      </w:pPr>
    </w:p>
    <w:p w14:paraId="1C1B5B6E" w14:textId="14C186A8" w:rsidR="001B7A40" w:rsidRPr="00DE477A" w:rsidRDefault="001B7A40" w:rsidP="00DE477A">
      <w:pPr>
        <w:spacing w:line="360" w:lineRule="auto"/>
        <w:jc w:val="center"/>
        <w:rPr>
          <w:rFonts w:ascii="Arial" w:hAnsi="Arial" w:cs="Arial"/>
          <w:b/>
          <w:bCs/>
        </w:rPr>
      </w:pPr>
    </w:p>
    <w:sectPr w:rsidR="001B7A40" w:rsidRPr="00DE477A" w:rsidSect="00370282">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1842E" w14:textId="77777777" w:rsidR="00326A9B" w:rsidRDefault="00326A9B" w:rsidP="00C03A91">
      <w:pPr>
        <w:spacing w:after="0" w:line="240" w:lineRule="auto"/>
      </w:pPr>
      <w:r>
        <w:separator/>
      </w:r>
    </w:p>
  </w:endnote>
  <w:endnote w:type="continuationSeparator" w:id="0">
    <w:p w14:paraId="38D662BB" w14:textId="77777777" w:rsidR="00326A9B" w:rsidRDefault="00326A9B"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105AC0" w14:textId="77777777" w:rsidR="00326A9B" w:rsidRDefault="00326A9B" w:rsidP="00C03A91">
      <w:pPr>
        <w:spacing w:after="0" w:line="240" w:lineRule="auto"/>
      </w:pPr>
      <w:r>
        <w:separator/>
      </w:r>
    </w:p>
  </w:footnote>
  <w:footnote w:type="continuationSeparator" w:id="0">
    <w:p w14:paraId="2D310D0D" w14:textId="77777777" w:rsidR="00326A9B" w:rsidRDefault="00326A9B"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9C065D"/>
    <w:multiLevelType w:val="hybridMultilevel"/>
    <w:tmpl w:val="8BB041B2"/>
    <w:lvl w:ilvl="0" w:tplc="53D0B872">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277C19"/>
    <w:multiLevelType w:val="hybridMultilevel"/>
    <w:tmpl w:val="544087BA"/>
    <w:lvl w:ilvl="0" w:tplc="CD605076">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1"/>
  </w:num>
  <w:num w:numId="2" w16cid:durableId="1940680655">
    <w:abstractNumId w:val="0"/>
  </w:num>
  <w:num w:numId="3" w16cid:durableId="342167121">
    <w:abstractNumId w:val="3"/>
  </w:num>
  <w:num w:numId="4" w16cid:durableId="8484472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12E0F"/>
    <w:rsid w:val="00067AD7"/>
    <w:rsid w:val="00076AC0"/>
    <w:rsid w:val="000B17F2"/>
    <w:rsid w:val="000C1C69"/>
    <w:rsid w:val="000C4EDA"/>
    <w:rsid w:val="000D28EC"/>
    <w:rsid w:val="000D3C5B"/>
    <w:rsid w:val="001531C5"/>
    <w:rsid w:val="00162DE8"/>
    <w:rsid w:val="001B7A40"/>
    <w:rsid w:val="001E6AD9"/>
    <w:rsid w:val="001F6DDB"/>
    <w:rsid w:val="00216C85"/>
    <w:rsid w:val="002675DB"/>
    <w:rsid w:val="00273EDD"/>
    <w:rsid w:val="002C3965"/>
    <w:rsid w:val="002D5EDB"/>
    <w:rsid w:val="002D7CAA"/>
    <w:rsid w:val="00321C4C"/>
    <w:rsid w:val="00326A9B"/>
    <w:rsid w:val="00370282"/>
    <w:rsid w:val="003E7E93"/>
    <w:rsid w:val="003F5EFF"/>
    <w:rsid w:val="00412868"/>
    <w:rsid w:val="00451D87"/>
    <w:rsid w:val="004577F7"/>
    <w:rsid w:val="004B2704"/>
    <w:rsid w:val="00524708"/>
    <w:rsid w:val="005247B0"/>
    <w:rsid w:val="00563AF8"/>
    <w:rsid w:val="0057616D"/>
    <w:rsid w:val="005851AD"/>
    <w:rsid w:val="005B15FD"/>
    <w:rsid w:val="005E16AC"/>
    <w:rsid w:val="005E7040"/>
    <w:rsid w:val="00630281"/>
    <w:rsid w:val="0069561C"/>
    <w:rsid w:val="00696AAE"/>
    <w:rsid w:val="007835D7"/>
    <w:rsid w:val="007A7297"/>
    <w:rsid w:val="007E7745"/>
    <w:rsid w:val="008114A6"/>
    <w:rsid w:val="008353D4"/>
    <w:rsid w:val="008942A0"/>
    <w:rsid w:val="008B53CE"/>
    <w:rsid w:val="0091182C"/>
    <w:rsid w:val="00940407"/>
    <w:rsid w:val="00986F78"/>
    <w:rsid w:val="00995C46"/>
    <w:rsid w:val="009B3DE7"/>
    <w:rsid w:val="009B64ED"/>
    <w:rsid w:val="009D1D1E"/>
    <w:rsid w:val="00A035FD"/>
    <w:rsid w:val="00A153DB"/>
    <w:rsid w:val="00AA4DD8"/>
    <w:rsid w:val="00AC01BD"/>
    <w:rsid w:val="00AC42AE"/>
    <w:rsid w:val="00B5240B"/>
    <w:rsid w:val="00B708EB"/>
    <w:rsid w:val="00BD6C87"/>
    <w:rsid w:val="00BF7262"/>
    <w:rsid w:val="00C03A91"/>
    <w:rsid w:val="00C35EA8"/>
    <w:rsid w:val="00C77467"/>
    <w:rsid w:val="00C85E18"/>
    <w:rsid w:val="00CB6134"/>
    <w:rsid w:val="00CD2863"/>
    <w:rsid w:val="00CD73C3"/>
    <w:rsid w:val="00CE7A90"/>
    <w:rsid w:val="00CF2E9D"/>
    <w:rsid w:val="00D4327B"/>
    <w:rsid w:val="00D73FB0"/>
    <w:rsid w:val="00D870AB"/>
    <w:rsid w:val="00DA2A1E"/>
    <w:rsid w:val="00DB6D4B"/>
    <w:rsid w:val="00DE477A"/>
    <w:rsid w:val="00DE7533"/>
    <w:rsid w:val="00E14327"/>
    <w:rsid w:val="00E2038D"/>
    <w:rsid w:val="00E6072D"/>
    <w:rsid w:val="00E6359C"/>
    <w:rsid w:val="00E704A5"/>
    <w:rsid w:val="00E70BF1"/>
    <w:rsid w:val="00E77C0C"/>
    <w:rsid w:val="00E92200"/>
    <w:rsid w:val="00E97F89"/>
    <w:rsid w:val="00EB12BC"/>
    <w:rsid w:val="00EC4846"/>
    <w:rsid w:val="00EC71DB"/>
    <w:rsid w:val="00EF2FD2"/>
    <w:rsid w:val="00F137E3"/>
    <w:rsid w:val="00F23281"/>
    <w:rsid w:val="00F30B87"/>
    <w:rsid w:val="00F40340"/>
    <w:rsid w:val="00F44C8F"/>
    <w:rsid w:val="00F50A5D"/>
    <w:rsid w:val="00FC738C"/>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E03E95B8-CA8B-6841-89AD-42CBBCC51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hyperlink" Target="https://openstax.org/books/anatomy-and-physiology-2e/pages/17-9-the-endocrine-pancreas" TargetMode="External"/><Relationship Id="rId26" Type="http://schemas.openxmlformats.org/officeDocument/2006/relationships/hyperlink" Target="https://www.myhealthlondon.nhs.uk/resources/internal/ketones-and-diabetic-ketoacidosis/" TargetMode="External"/><Relationship Id="rId3" Type="http://schemas.openxmlformats.org/officeDocument/2006/relationships/customXml" Target="../customXml/item3.xml"/><Relationship Id="rId21" Type="http://schemas.openxmlformats.org/officeDocument/2006/relationships/hyperlink" Target="https://www.diabetes.org.uk/about-diabetes/type-2-diabetes/remission/mediterranean-diet-for-remission"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microsoft.com/office/2007/relationships/diagramDrawing" Target="diagrams/drawing1.xml"/><Relationship Id="rId25" Type="http://schemas.openxmlformats.org/officeDocument/2006/relationships/hyperlink" Target="https://www.nhs.uk/conditions/diabete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yperlink" Target="https://www.gov.uk/government/publications/physical-activity-guidelines-uk-chief-medical-officers-report/uk-chief-medical-officers-physical-activity-guidelines" TargetMode="External"/><Relationship Id="rId29" Type="http://schemas.openxmlformats.org/officeDocument/2006/relationships/hyperlink" Target="https://www.england.nhs.uk/london/wp-content/uploads/sites/8/2025/06/A-pan-London-implementation-document-for-continuous-glucose-sensors-for-people-living-with-type-2-diabete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ubmed.ncbi.nlm.nih.gov/42246122/"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diagramQuickStyle" Target="diagrams/quickStyle1.xml"/><Relationship Id="rId23" Type="http://schemas.openxmlformats.org/officeDocument/2006/relationships/hyperlink" Target="https://www.diabetes.org.uk/about-diabetes/looking-after-diabetes/blood-sugar-levels" TargetMode="External"/><Relationship Id="rId28" Type="http://schemas.openxmlformats.org/officeDocument/2006/relationships/hyperlink" Target="https://www.nice.org.uk/guidance/qs209/chapter/Quality-statement-2-Structured-education-programme" TargetMode="External"/><Relationship Id="rId10" Type="http://schemas.openxmlformats.org/officeDocument/2006/relationships/endnotes" Target="endnotes.xml"/><Relationship Id="rId19" Type="http://schemas.openxmlformats.org/officeDocument/2006/relationships/hyperlink" Target="https://www.bda.uk.com/resource/glycaemic-index.html" TargetMode="External"/><Relationship Id="rId31" Type="http://schemas.openxmlformats.org/officeDocument/2006/relationships/hyperlink" Target="https://www.ncbi.nlm.nih.gov/books/NBK27911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Layout" Target="diagrams/layout1.xml"/><Relationship Id="rId22" Type="http://schemas.openxmlformats.org/officeDocument/2006/relationships/hyperlink" Target="https://www.diabetes.org.uk/about-diabetes/looking-after-diabetes/technology/continuous-glucose-monitors" TargetMode="External"/><Relationship Id="rId27" Type="http://schemas.openxmlformats.org/officeDocument/2006/relationships/hyperlink" Target="https://www.nice.org.uk/guidance/ng209" TargetMode="External"/><Relationship Id="rId30" Type="http://schemas.openxmlformats.org/officeDocument/2006/relationships/hyperlink" Target="https://www.ons.gov.uk/peoplepopulationandcommunity/healthandsocialcare/healthinequalities/bulletins/riskfactorsforprediabetesandundiagnosedtype2diabetesinengland/2013to2019" TargetMode="External"/><Relationship Id="rId8" Type="http://schemas.openxmlformats.org/officeDocument/2006/relationships/webSettings" Target="webSettings.xml"/></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6919000-823A-4780-A317-38B962F38EE6}" type="doc">
      <dgm:prSet loTypeId="urn:microsoft.com/office/officeart/2005/8/layout/process1" loCatId="process" qsTypeId="urn:microsoft.com/office/officeart/2005/8/quickstyle/simple1" qsCatId="simple" csTypeId="urn:microsoft.com/office/officeart/2005/8/colors/accent2_1" csCatId="accent2" phldr="1"/>
      <dgm:spPr/>
    </dgm:pt>
    <dgm:pt modelId="{0A528331-D307-4309-8756-3596877F38E5}">
      <dgm:prSet phldrT="[Text]" custT="1"/>
      <dgm:spPr/>
      <dgm:t>
        <a:bodyPr/>
        <a:lstStyle/>
        <a:p>
          <a:r>
            <a:rPr lang="en-GB" sz="1200" b="1">
              <a:latin typeface="Arial" panose="020B0604020202020204" pitchFamily="34" charset="0"/>
              <a:cs typeface="Arial" panose="020B0604020202020204" pitchFamily="34" charset="0"/>
            </a:rPr>
            <a:t>Blood glucose rises after eating</a:t>
          </a:r>
        </a:p>
      </dgm:t>
    </dgm:pt>
    <dgm:pt modelId="{F95C33B0-00A8-4C64-9D42-1E97705DCF3F}" type="parTrans" cxnId="{1F9191E4-4857-4CD0-B68B-0330CC55E4D3}">
      <dgm:prSet/>
      <dgm:spPr/>
      <dgm:t>
        <a:bodyPr/>
        <a:lstStyle/>
        <a:p>
          <a:endParaRPr lang="en-GB"/>
        </a:p>
      </dgm:t>
    </dgm:pt>
    <dgm:pt modelId="{51F84D6F-9EC4-4E93-96F5-6A20F1355898}" type="sibTrans" cxnId="{1F9191E4-4857-4CD0-B68B-0330CC55E4D3}">
      <dgm:prSet/>
      <dgm:spPr/>
      <dgm:t>
        <a:bodyPr/>
        <a:lstStyle/>
        <a:p>
          <a:endParaRPr lang="en-GB"/>
        </a:p>
      </dgm:t>
    </dgm:pt>
    <dgm:pt modelId="{98B0B0BD-58E8-4E33-8374-53DFEE16A792}">
      <dgm:prSet phldrT="[Text]" custT="1"/>
      <dgm:spPr/>
      <dgm:t>
        <a:bodyPr/>
        <a:lstStyle/>
        <a:p>
          <a:r>
            <a:rPr lang="en-GB" sz="1200" b="1">
              <a:latin typeface="Arial" panose="020B0604020202020204" pitchFamily="34" charset="0"/>
              <a:cs typeface="Arial" panose="020B0604020202020204" pitchFamily="34" charset="0"/>
            </a:rPr>
            <a:t>Pancreatic beta cells release insulin</a:t>
          </a:r>
        </a:p>
      </dgm:t>
    </dgm:pt>
    <dgm:pt modelId="{9CC97355-B059-4FAC-A581-A638EBA9C59C}" type="parTrans" cxnId="{DF1F7DDD-D500-45E7-98BC-C86A9D3FE572}">
      <dgm:prSet/>
      <dgm:spPr/>
      <dgm:t>
        <a:bodyPr/>
        <a:lstStyle/>
        <a:p>
          <a:endParaRPr lang="en-GB"/>
        </a:p>
      </dgm:t>
    </dgm:pt>
    <dgm:pt modelId="{9D7538AE-EDB6-44E0-B2D7-9AD61108F6F2}" type="sibTrans" cxnId="{DF1F7DDD-D500-45E7-98BC-C86A9D3FE572}">
      <dgm:prSet/>
      <dgm:spPr/>
      <dgm:t>
        <a:bodyPr/>
        <a:lstStyle/>
        <a:p>
          <a:endParaRPr lang="en-GB"/>
        </a:p>
      </dgm:t>
    </dgm:pt>
    <dgm:pt modelId="{9F6E9FF3-9940-4E17-9879-85FEEE3FE2C4}">
      <dgm:prSet phldrT="[Text]" custT="1"/>
      <dgm:spPr/>
      <dgm:t>
        <a:bodyPr/>
        <a:lstStyle/>
        <a:p>
          <a:r>
            <a:rPr lang="en-GB" sz="1200" b="1">
              <a:latin typeface="Arial" panose="020B0604020202020204" pitchFamily="34" charset="0"/>
              <a:cs typeface="Arial" panose="020B0604020202020204" pitchFamily="34" charset="0"/>
            </a:rPr>
            <a:t>Muscle and fat cells absorb glucose; liver stores glycogen</a:t>
          </a:r>
        </a:p>
      </dgm:t>
    </dgm:pt>
    <dgm:pt modelId="{5876F4E7-4403-4E0D-BF99-A92A6A7338C4}" type="parTrans" cxnId="{AE302521-65FC-497F-BEE7-3950DC53C69A}">
      <dgm:prSet/>
      <dgm:spPr/>
      <dgm:t>
        <a:bodyPr/>
        <a:lstStyle/>
        <a:p>
          <a:endParaRPr lang="en-GB"/>
        </a:p>
      </dgm:t>
    </dgm:pt>
    <dgm:pt modelId="{5EE9EE33-8331-49EA-9710-BC145FD54896}" type="sibTrans" cxnId="{AE302521-65FC-497F-BEE7-3950DC53C69A}">
      <dgm:prSet/>
      <dgm:spPr/>
      <dgm:t>
        <a:bodyPr/>
        <a:lstStyle/>
        <a:p>
          <a:endParaRPr lang="en-GB"/>
        </a:p>
      </dgm:t>
    </dgm:pt>
    <dgm:pt modelId="{E2B9D422-A228-4D4A-A9CD-D1E161857310}">
      <dgm:prSet phldrT="[Text]" custT="1"/>
      <dgm:spPr/>
      <dgm:t>
        <a:bodyPr/>
        <a:lstStyle/>
        <a:p>
          <a:r>
            <a:rPr lang="en-GB" sz="1200" b="1">
              <a:latin typeface="Arial" panose="020B0604020202020204" pitchFamily="34" charset="0"/>
              <a:cs typeface="Arial" panose="020B0604020202020204" pitchFamily="34" charset="0"/>
            </a:rPr>
            <a:t>Blood glucose returns towards normal</a:t>
          </a:r>
        </a:p>
      </dgm:t>
    </dgm:pt>
    <dgm:pt modelId="{AB727113-7A27-47E8-B353-84B148FCFF1A}" type="parTrans" cxnId="{0AAC3743-2291-4914-BF36-DDE69CAB4A46}">
      <dgm:prSet/>
      <dgm:spPr/>
      <dgm:t>
        <a:bodyPr/>
        <a:lstStyle/>
        <a:p>
          <a:endParaRPr lang="en-GB"/>
        </a:p>
      </dgm:t>
    </dgm:pt>
    <dgm:pt modelId="{21960FF8-4DB0-47A9-9849-79A4BB9F3F5A}" type="sibTrans" cxnId="{0AAC3743-2291-4914-BF36-DDE69CAB4A46}">
      <dgm:prSet/>
      <dgm:spPr/>
      <dgm:t>
        <a:bodyPr/>
        <a:lstStyle/>
        <a:p>
          <a:endParaRPr lang="en-GB"/>
        </a:p>
      </dgm:t>
    </dgm:pt>
    <dgm:pt modelId="{27A41901-BCEC-47A4-9185-800E4E021AA9}" type="pres">
      <dgm:prSet presAssocID="{B6919000-823A-4780-A317-38B962F38EE6}" presName="Name0" presStyleCnt="0">
        <dgm:presLayoutVars>
          <dgm:dir/>
          <dgm:resizeHandles val="exact"/>
        </dgm:presLayoutVars>
      </dgm:prSet>
      <dgm:spPr/>
    </dgm:pt>
    <dgm:pt modelId="{B23BCCCD-90F4-4088-AFF8-D7F1899BF7A9}" type="pres">
      <dgm:prSet presAssocID="{0A528331-D307-4309-8756-3596877F38E5}" presName="node" presStyleLbl="node1" presStyleIdx="0" presStyleCnt="4">
        <dgm:presLayoutVars>
          <dgm:bulletEnabled val="1"/>
        </dgm:presLayoutVars>
      </dgm:prSet>
      <dgm:spPr/>
    </dgm:pt>
    <dgm:pt modelId="{29385264-649D-4C28-8E7E-7E8E163684A3}" type="pres">
      <dgm:prSet presAssocID="{51F84D6F-9EC4-4E93-96F5-6A20F1355898}" presName="sibTrans" presStyleLbl="sibTrans2D1" presStyleIdx="0" presStyleCnt="3"/>
      <dgm:spPr/>
    </dgm:pt>
    <dgm:pt modelId="{1CA2A07D-11E1-44AB-975B-A1967720678D}" type="pres">
      <dgm:prSet presAssocID="{51F84D6F-9EC4-4E93-96F5-6A20F1355898}" presName="connectorText" presStyleLbl="sibTrans2D1" presStyleIdx="0" presStyleCnt="3"/>
      <dgm:spPr/>
    </dgm:pt>
    <dgm:pt modelId="{855F85FF-FC34-49BB-84A5-BA82ABD53D0C}" type="pres">
      <dgm:prSet presAssocID="{98B0B0BD-58E8-4E33-8374-53DFEE16A792}" presName="node" presStyleLbl="node1" presStyleIdx="1" presStyleCnt="4">
        <dgm:presLayoutVars>
          <dgm:bulletEnabled val="1"/>
        </dgm:presLayoutVars>
      </dgm:prSet>
      <dgm:spPr/>
    </dgm:pt>
    <dgm:pt modelId="{E09C1645-299A-469F-BB12-FCA74CF5818A}" type="pres">
      <dgm:prSet presAssocID="{9D7538AE-EDB6-44E0-B2D7-9AD61108F6F2}" presName="sibTrans" presStyleLbl="sibTrans2D1" presStyleIdx="1" presStyleCnt="3"/>
      <dgm:spPr/>
    </dgm:pt>
    <dgm:pt modelId="{3ADADA4F-853E-47D0-9A4D-344DDED201EB}" type="pres">
      <dgm:prSet presAssocID="{9D7538AE-EDB6-44E0-B2D7-9AD61108F6F2}" presName="connectorText" presStyleLbl="sibTrans2D1" presStyleIdx="1" presStyleCnt="3"/>
      <dgm:spPr/>
    </dgm:pt>
    <dgm:pt modelId="{14AEB6AA-92DB-428D-9622-B8E0A017B5EB}" type="pres">
      <dgm:prSet presAssocID="{9F6E9FF3-9940-4E17-9879-85FEEE3FE2C4}" presName="node" presStyleLbl="node1" presStyleIdx="2" presStyleCnt="4">
        <dgm:presLayoutVars>
          <dgm:bulletEnabled val="1"/>
        </dgm:presLayoutVars>
      </dgm:prSet>
      <dgm:spPr/>
    </dgm:pt>
    <dgm:pt modelId="{24D4012D-7D6C-427F-B70E-EB9AE663BF64}" type="pres">
      <dgm:prSet presAssocID="{5EE9EE33-8331-49EA-9710-BC145FD54896}" presName="sibTrans" presStyleLbl="sibTrans2D1" presStyleIdx="2" presStyleCnt="3"/>
      <dgm:spPr/>
    </dgm:pt>
    <dgm:pt modelId="{C8CFC21C-F51B-4194-930E-923BE23F1CA1}" type="pres">
      <dgm:prSet presAssocID="{5EE9EE33-8331-49EA-9710-BC145FD54896}" presName="connectorText" presStyleLbl="sibTrans2D1" presStyleIdx="2" presStyleCnt="3"/>
      <dgm:spPr/>
    </dgm:pt>
    <dgm:pt modelId="{71F8A7B5-3340-48F8-B050-0CCED8CF23EB}" type="pres">
      <dgm:prSet presAssocID="{E2B9D422-A228-4D4A-A9CD-D1E161857310}" presName="node" presStyleLbl="node1" presStyleIdx="3" presStyleCnt="4">
        <dgm:presLayoutVars>
          <dgm:bulletEnabled val="1"/>
        </dgm:presLayoutVars>
      </dgm:prSet>
      <dgm:spPr/>
    </dgm:pt>
  </dgm:ptLst>
  <dgm:cxnLst>
    <dgm:cxn modelId="{D6913C14-2425-4FF9-AF3A-70413D628DB3}" type="presOf" srcId="{5EE9EE33-8331-49EA-9710-BC145FD54896}" destId="{24D4012D-7D6C-427F-B70E-EB9AE663BF64}" srcOrd="0" destOrd="0" presId="urn:microsoft.com/office/officeart/2005/8/layout/process1"/>
    <dgm:cxn modelId="{AE302521-65FC-497F-BEE7-3950DC53C69A}" srcId="{B6919000-823A-4780-A317-38B962F38EE6}" destId="{9F6E9FF3-9940-4E17-9879-85FEEE3FE2C4}" srcOrd="2" destOrd="0" parTransId="{5876F4E7-4403-4E0D-BF99-A92A6A7338C4}" sibTransId="{5EE9EE33-8331-49EA-9710-BC145FD54896}"/>
    <dgm:cxn modelId="{0DDF1C26-2D0D-4441-B2A4-7F3FA98E8188}" type="presOf" srcId="{98B0B0BD-58E8-4E33-8374-53DFEE16A792}" destId="{855F85FF-FC34-49BB-84A5-BA82ABD53D0C}" srcOrd="0" destOrd="0" presId="urn:microsoft.com/office/officeart/2005/8/layout/process1"/>
    <dgm:cxn modelId="{0AAC3743-2291-4914-BF36-DDE69CAB4A46}" srcId="{B6919000-823A-4780-A317-38B962F38EE6}" destId="{E2B9D422-A228-4D4A-A9CD-D1E161857310}" srcOrd="3" destOrd="0" parTransId="{AB727113-7A27-47E8-B353-84B148FCFF1A}" sibTransId="{21960FF8-4DB0-47A9-9849-79A4BB9F3F5A}"/>
    <dgm:cxn modelId="{3203DA4D-488B-437D-9C9D-35C93A921720}" type="presOf" srcId="{E2B9D422-A228-4D4A-A9CD-D1E161857310}" destId="{71F8A7B5-3340-48F8-B050-0CCED8CF23EB}" srcOrd="0" destOrd="0" presId="urn:microsoft.com/office/officeart/2005/8/layout/process1"/>
    <dgm:cxn modelId="{17AF5C57-E11E-4A7E-8C81-357432AE5C45}" type="presOf" srcId="{5EE9EE33-8331-49EA-9710-BC145FD54896}" destId="{C8CFC21C-F51B-4194-930E-923BE23F1CA1}" srcOrd="1" destOrd="0" presId="urn:microsoft.com/office/officeart/2005/8/layout/process1"/>
    <dgm:cxn modelId="{D2672580-2CDF-4827-A8B8-92E847888371}" type="presOf" srcId="{9F6E9FF3-9940-4E17-9879-85FEEE3FE2C4}" destId="{14AEB6AA-92DB-428D-9622-B8E0A017B5EB}" srcOrd="0" destOrd="0" presId="urn:microsoft.com/office/officeart/2005/8/layout/process1"/>
    <dgm:cxn modelId="{3E67A58D-0CF8-4367-96D5-40B49082BA42}" type="presOf" srcId="{51F84D6F-9EC4-4E93-96F5-6A20F1355898}" destId="{29385264-649D-4C28-8E7E-7E8E163684A3}" srcOrd="0" destOrd="0" presId="urn:microsoft.com/office/officeart/2005/8/layout/process1"/>
    <dgm:cxn modelId="{5D20518F-A434-45DC-A782-9CA62C9E4AC1}" type="presOf" srcId="{0A528331-D307-4309-8756-3596877F38E5}" destId="{B23BCCCD-90F4-4088-AFF8-D7F1899BF7A9}" srcOrd="0" destOrd="0" presId="urn:microsoft.com/office/officeart/2005/8/layout/process1"/>
    <dgm:cxn modelId="{CDD6E090-637A-4952-A1FD-57803C2CCC20}" type="presOf" srcId="{B6919000-823A-4780-A317-38B962F38EE6}" destId="{27A41901-BCEC-47A4-9185-800E4E021AA9}" srcOrd="0" destOrd="0" presId="urn:microsoft.com/office/officeart/2005/8/layout/process1"/>
    <dgm:cxn modelId="{9E10C4CD-BB19-44AB-89B5-66817B8ACC2B}" type="presOf" srcId="{9D7538AE-EDB6-44E0-B2D7-9AD61108F6F2}" destId="{E09C1645-299A-469F-BB12-FCA74CF5818A}" srcOrd="0" destOrd="0" presId="urn:microsoft.com/office/officeart/2005/8/layout/process1"/>
    <dgm:cxn modelId="{DF1F7DDD-D500-45E7-98BC-C86A9D3FE572}" srcId="{B6919000-823A-4780-A317-38B962F38EE6}" destId="{98B0B0BD-58E8-4E33-8374-53DFEE16A792}" srcOrd="1" destOrd="0" parTransId="{9CC97355-B059-4FAC-A581-A638EBA9C59C}" sibTransId="{9D7538AE-EDB6-44E0-B2D7-9AD61108F6F2}"/>
    <dgm:cxn modelId="{A8F2B6E2-9603-4F34-BB15-99E3D8C298B9}" type="presOf" srcId="{9D7538AE-EDB6-44E0-B2D7-9AD61108F6F2}" destId="{3ADADA4F-853E-47D0-9A4D-344DDED201EB}" srcOrd="1" destOrd="0" presId="urn:microsoft.com/office/officeart/2005/8/layout/process1"/>
    <dgm:cxn modelId="{1F9191E4-4857-4CD0-B68B-0330CC55E4D3}" srcId="{B6919000-823A-4780-A317-38B962F38EE6}" destId="{0A528331-D307-4309-8756-3596877F38E5}" srcOrd="0" destOrd="0" parTransId="{F95C33B0-00A8-4C64-9D42-1E97705DCF3F}" sibTransId="{51F84D6F-9EC4-4E93-96F5-6A20F1355898}"/>
    <dgm:cxn modelId="{82C8A4E7-E7C1-4087-8D32-9D9E1CA40654}" type="presOf" srcId="{51F84D6F-9EC4-4E93-96F5-6A20F1355898}" destId="{1CA2A07D-11E1-44AB-975B-A1967720678D}" srcOrd="1" destOrd="0" presId="urn:microsoft.com/office/officeart/2005/8/layout/process1"/>
    <dgm:cxn modelId="{1E7A615F-61DD-4D11-BEF9-DC82F6CE89B5}" type="presParOf" srcId="{27A41901-BCEC-47A4-9185-800E4E021AA9}" destId="{B23BCCCD-90F4-4088-AFF8-D7F1899BF7A9}" srcOrd="0" destOrd="0" presId="urn:microsoft.com/office/officeart/2005/8/layout/process1"/>
    <dgm:cxn modelId="{2FB84121-0D39-4056-BACB-5F8C874B6CE8}" type="presParOf" srcId="{27A41901-BCEC-47A4-9185-800E4E021AA9}" destId="{29385264-649D-4C28-8E7E-7E8E163684A3}" srcOrd="1" destOrd="0" presId="urn:microsoft.com/office/officeart/2005/8/layout/process1"/>
    <dgm:cxn modelId="{28826E06-A389-4B34-AB19-259FAE915DBE}" type="presParOf" srcId="{29385264-649D-4C28-8E7E-7E8E163684A3}" destId="{1CA2A07D-11E1-44AB-975B-A1967720678D}" srcOrd="0" destOrd="0" presId="urn:microsoft.com/office/officeart/2005/8/layout/process1"/>
    <dgm:cxn modelId="{DEF593BD-3BDB-493A-B6F2-5252DAE5F01E}" type="presParOf" srcId="{27A41901-BCEC-47A4-9185-800E4E021AA9}" destId="{855F85FF-FC34-49BB-84A5-BA82ABD53D0C}" srcOrd="2" destOrd="0" presId="urn:microsoft.com/office/officeart/2005/8/layout/process1"/>
    <dgm:cxn modelId="{79EF8C92-14C1-4DBD-BC03-B322F4CCF708}" type="presParOf" srcId="{27A41901-BCEC-47A4-9185-800E4E021AA9}" destId="{E09C1645-299A-469F-BB12-FCA74CF5818A}" srcOrd="3" destOrd="0" presId="urn:microsoft.com/office/officeart/2005/8/layout/process1"/>
    <dgm:cxn modelId="{BC69F504-2E6B-41DA-B5FE-9D96EFF887B2}" type="presParOf" srcId="{E09C1645-299A-469F-BB12-FCA74CF5818A}" destId="{3ADADA4F-853E-47D0-9A4D-344DDED201EB}" srcOrd="0" destOrd="0" presId="urn:microsoft.com/office/officeart/2005/8/layout/process1"/>
    <dgm:cxn modelId="{B09122A9-6CB9-489F-9C3E-C8AC6CBE788D}" type="presParOf" srcId="{27A41901-BCEC-47A4-9185-800E4E021AA9}" destId="{14AEB6AA-92DB-428D-9622-B8E0A017B5EB}" srcOrd="4" destOrd="0" presId="urn:microsoft.com/office/officeart/2005/8/layout/process1"/>
    <dgm:cxn modelId="{B1A3EF49-B8AD-47D1-AC00-586B4F6BCD98}" type="presParOf" srcId="{27A41901-BCEC-47A4-9185-800E4E021AA9}" destId="{24D4012D-7D6C-427F-B70E-EB9AE663BF64}" srcOrd="5" destOrd="0" presId="urn:microsoft.com/office/officeart/2005/8/layout/process1"/>
    <dgm:cxn modelId="{50C33F59-7CD1-4665-9946-56020185A456}" type="presParOf" srcId="{24D4012D-7D6C-427F-B70E-EB9AE663BF64}" destId="{C8CFC21C-F51B-4194-930E-923BE23F1CA1}" srcOrd="0" destOrd="0" presId="urn:microsoft.com/office/officeart/2005/8/layout/process1"/>
    <dgm:cxn modelId="{7882606A-247A-4481-8B1C-40C3FAD30A30}" type="presParOf" srcId="{27A41901-BCEC-47A4-9185-800E4E021AA9}" destId="{71F8A7B5-3340-48F8-B050-0CCED8CF23EB}" srcOrd="6" destOrd="0" presId="urn:microsoft.com/office/officeart/2005/8/layout/process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23BCCCD-90F4-4088-AFF8-D7F1899BF7A9}">
      <dsp:nvSpPr>
        <dsp:cNvPr id="0" name=""/>
        <dsp:cNvSpPr/>
      </dsp:nvSpPr>
      <dsp:spPr>
        <a:xfrm>
          <a:off x="2179" y="28104"/>
          <a:ext cx="953126" cy="1429690"/>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Blood glucose rises after eating</a:t>
          </a:r>
        </a:p>
      </dsp:txBody>
      <dsp:txXfrm>
        <a:off x="30095" y="56020"/>
        <a:ext cx="897294" cy="1373858"/>
      </dsp:txXfrm>
    </dsp:sp>
    <dsp:sp modelId="{29385264-649D-4C28-8E7E-7E8E163684A3}">
      <dsp:nvSpPr>
        <dsp:cNvPr id="0" name=""/>
        <dsp:cNvSpPr/>
      </dsp:nvSpPr>
      <dsp:spPr>
        <a:xfrm>
          <a:off x="1050619" y="624762"/>
          <a:ext cx="202062" cy="236375"/>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1050619" y="672037"/>
        <a:ext cx="141443" cy="141825"/>
      </dsp:txXfrm>
    </dsp:sp>
    <dsp:sp modelId="{855F85FF-FC34-49BB-84A5-BA82ABD53D0C}">
      <dsp:nvSpPr>
        <dsp:cNvPr id="0" name=""/>
        <dsp:cNvSpPr/>
      </dsp:nvSpPr>
      <dsp:spPr>
        <a:xfrm>
          <a:off x="1336557" y="28104"/>
          <a:ext cx="953126" cy="1429690"/>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Pancreatic beta cells release insulin</a:t>
          </a:r>
        </a:p>
      </dsp:txBody>
      <dsp:txXfrm>
        <a:off x="1364473" y="56020"/>
        <a:ext cx="897294" cy="1373858"/>
      </dsp:txXfrm>
    </dsp:sp>
    <dsp:sp modelId="{E09C1645-299A-469F-BB12-FCA74CF5818A}">
      <dsp:nvSpPr>
        <dsp:cNvPr id="0" name=""/>
        <dsp:cNvSpPr/>
      </dsp:nvSpPr>
      <dsp:spPr>
        <a:xfrm>
          <a:off x="2384997" y="624762"/>
          <a:ext cx="202062" cy="236375"/>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2384997" y="672037"/>
        <a:ext cx="141443" cy="141825"/>
      </dsp:txXfrm>
    </dsp:sp>
    <dsp:sp modelId="{14AEB6AA-92DB-428D-9622-B8E0A017B5EB}">
      <dsp:nvSpPr>
        <dsp:cNvPr id="0" name=""/>
        <dsp:cNvSpPr/>
      </dsp:nvSpPr>
      <dsp:spPr>
        <a:xfrm>
          <a:off x="2670935" y="28104"/>
          <a:ext cx="953126" cy="1429690"/>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Muscle and fat cells absorb glucose; liver stores glycogen</a:t>
          </a:r>
        </a:p>
      </dsp:txBody>
      <dsp:txXfrm>
        <a:off x="2698851" y="56020"/>
        <a:ext cx="897294" cy="1373858"/>
      </dsp:txXfrm>
    </dsp:sp>
    <dsp:sp modelId="{24D4012D-7D6C-427F-B70E-EB9AE663BF64}">
      <dsp:nvSpPr>
        <dsp:cNvPr id="0" name=""/>
        <dsp:cNvSpPr/>
      </dsp:nvSpPr>
      <dsp:spPr>
        <a:xfrm>
          <a:off x="3719375" y="624762"/>
          <a:ext cx="202062" cy="236375"/>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3719375" y="672037"/>
        <a:ext cx="141443" cy="141825"/>
      </dsp:txXfrm>
    </dsp:sp>
    <dsp:sp modelId="{71F8A7B5-3340-48F8-B050-0CCED8CF23EB}">
      <dsp:nvSpPr>
        <dsp:cNvPr id="0" name=""/>
        <dsp:cNvSpPr/>
      </dsp:nvSpPr>
      <dsp:spPr>
        <a:xfrm>
          <a:off x="4005313" y="28104"/>
          <a:ext cx="953126" cy="1429690"/>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Blood glucose returns towards normal</a:t>
          </a:r>
        </a:p>
      </dsp:txBody>
      <dsp:txXfrm>
        <a:off x="4033229" y="56020"/>
        <a:ext cx="897294" cy="1373858"/>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9" ma:contentTypeDescription="Create a new document." ma:contentTypeScope="" ma:versionID="0f81e743fce9d0a49c983cbe6691b3f7">
  <xsd:schema xmlns:xsd="http://www.w3.org/2001/XMLSchema" xmlns:xs="http://www.w3.org/2001/XMLSchema" xmlns:p="http://schemas.microsoft.com/office/2006/metadata/properties" xmlns:ns3="716bca3a-9bc9-4129-a185-7ea87f9d73cc" targetNamespace="http://schemas.microsoft.com/office/2006/metadata/properties" ma:root="true" ma:fieldsID="1a7b722ac5e1f0737df6f48a9445865a"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3A0C4F-C22F-4B39-A3A5-E589D5A88E21}">
  <ds:schemaRefs>
    <ds:schemaRef ds:uri="http://schemas.microsoft.com/office/2006/metadata/properties"/>
    <ds:schemaRef ds:uri="http://schemas.microsoft.com/office/infopath/2007/PartnerControls"/>
    <ds:schemaRef ds:uri="716bca3a-9bc9-4129-a185-7ea87f9d73cc"/>
  </ds:schemaRefs>
</ds:datastoreItem>
</file>

<file path=customXml/itemProps2.xml><?xml version="1.0" encoding="utf-8"?>
<ds:datastoreItem xmlns:ds="http://schemas.openxmlformats.org/officeDocument/2006/customXml" ds:itemID="{2391C415-E8F0-4891-BAB1-A93282563534}">
  <ds:schemaRefs>
    <ds:schemaRef ds:uri="http://schemas.microsoft.com/sharepoint/v3/contenttype/forms"/>
  </ds:schemaRefs>
</ds:datastoreItem>
</file>

<file path=customXml/itemProps3.xml><?xml version="1.0" encoding="utf-8"?>
<ds:datastoreItem xmlns:ds="http://schemas.openxmlformats.org/officeDocument/2006/customXml" ds:itemID="{1ABF5D58-0D91-4671-BF2E-C18297B10E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949AC5-3A88-45DC-94F6-C98D43A84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2859</Words>
  <Characters>16297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Ioana Theodora Iacob (2515341)</cp:lastModifiedBy>
  <cp:revision>2</cp:revision>
  <dcterms:created xsi:type="dcterms:W3CDTF">2026-10-24T16:01:00Z</dcterms:created>
  <dcterms:modified xsi:type="dcterms:W3CDTF">2026-10-24T16:01:00Z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