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rPr>
          <w:lang w:val="en-GB"/>
        </w:rPr>
      </w:pPr>
    </w:p>
    <w:p>
      <w:pPr>
        <w:jc w:val="center"/>
        <w:rPr>
          <w:b/>
          <w:sz w:val="32"/>
          <w:szCs w:val="32"/>
          <w:lang w:val="en-GB"/>
        </w:rPr>
      </w:pPr>
    </w:p>
    <w:p>
      <w:pPr>
        <w:jc w:val="center"/>
        <w:rPr>
          <w:b/>
          <w:sz w:val="32"/>
          <w:szCs w:val="32"/>
          <w:lang w:val="en-GB"/>
        </w:rPr>
      </w:pPr>
    </w:p>
    <w:p>
      <w:pPr>
        <w:jc w:val="center"/>
        <w:rPr>
          <w:b/>
          <w:sz w:val="32"/>
          <w:szCs w:val="32"/>
          <w:lang w:val="en-GB"/>
        </w:rPr>
      </w:pPr>
    </w:p>
    <w:p>
      <w:pPr>
        <w:jc w:val="center"/>
        <w:rPr>
          <w:b/>
          <w:sz w:val="32"/>
          <w:szCs w:val="32"/>
          <w:lang w:val="en-GB"/>
        </w:rPr>
      </w:pPr>
    </w:p>
    <w:p>
      <w:pPr>
        <w:jc w:val="center"/>
        <w:rPr>
          <w:b/>
          <w:sz w:val="32"/>
          <w:szCs w:val="32"/>
          <w:lang w:val="en-GB"/>
        </w:rPr>
      </w:pPr>
    </w:p>
    <w:p>
      <w:pPr>
        <w:jc w:val="center"/>
        <w:rPr>
          <w:b/>
          <w:sz w:val="32"/>
          <w:szCs w:val="32"/>
          <w:lang w:val="en-GB"/>
        </w:rPr>
      </w:pPr>
    </w:p>
    <w:p>
      <w:pPr>
        <w:jc w:val="center"/>
        <w:rPr>
          <w:b/>
          <w:sz w:val="32"/>
          <w:szCs w:val="32"/>
          <w:lang w:val="en-GB"/>
        </w:rPr>
      </w:pPr>
      <w:r>
        <w:rPr>
          <w:b/>
          <w:sz w:val="32"/>
          <w:szCs w:val="32"/>
          <w:lang w:val="en-GB"/>
        </w:rPr>
        <w:t>Module Title: Contemporary Challenges: Making a Difference</w:t>
      </w:r>
    </w:p>
    <w:p>
      <w:pPr>
        <w:jc w:val="center"/>
        <w:rPr>
          <w:b/>
          <w:sz w:val="32"/>
          <w:szCs w:val="32"/>
          <w:lang w:val="en-GB"/>
        </w:rPr>
      </w:pPr>
      <w:r>
        <w:rPr>
          <w:b/>
          <w:sz w:val="32"/>
          <w:szCs w:val="32"/>
          <w:lang w:val="en-GB"/>
        </w:rPr>
        <w:t>Module Code: BMBM4009</w:t>
      </w:r>
    </w:p>
    <w:p>
      <w:pPr>
        <w:jc w:val="center"/>
        <w:rPr>
          <w:b/>
          <w:sz w:val="32"/>
          <w:szCs w:val="32"/>
          <w:lang w:val="en-GB"/>
        </w:rPr>
      </w:pPr>
      <w:r>
        <w:rPr>
          <w:b/>
          <w:sz w:val="32"/>
          <w:szCs w:val="32"/>
          <w:lang w:val="en-GB"/>
        </w:rPr>
        <w:t>Assignment Title: Evidence of Learning E-Portfolio</w:t>
      </w:r>
    </w:p>
    <w:p>
      <w:pPr>
        <w:jc w:val="center"/>
        <w:rPr>
          <w:b/>
          <w:sz w:val="32"/>
          <w:szCs w:val="32"/>
          <w:lang w:val="en-GB"/>
        </w:rPr>
      </w:pPr>
    </w:p>
    <w:p>
      <w:pPr>
        <w:jc w:val="center"/>
        <w:rPr>
          <w:b/>
          <w:sz w:val="32"/>
          <w:szCs w:val="32"/>
          <w:lang w:val="en-GB"/>
        </w:rPr>
      </w:pPr>
    </w:p>
    <w:p>
      <w:pPr>
        <w:jc w:val="center"/>
        <w:rPr>
          <w:b/>
          <w:sz w:val="32"/>
          <w:szCs w:val="32"/>
          <w:lang w:val="en-GB"/>
        </w:rPr>
      </w:pPr>
    </w:p>
    <w:p>
      <w:pPr>
        <w:jc w:val="center"/>
        <w:rPr>
          <w:lang w:val="en-GB"/>
        </w:rPr>
      </w:pPr>
    </w:p>
    <w:p>
      <w:pPr>
        <w:jc w:val="center"/>
        <w:rPr>
          <w:lang w:val="en-GB"/>
        </w:rPr>
      </w:pPr>
    </w:p>
    <w:p>
      <w:pPr>
        <w:jc w:val="center"/>
        <w:rPr>
          <w:lang w:val="en-GB"/>
        </w:rPr>
      </w:pPr>
    </w:p>
    <w:p>
      <w:pPr>
        <w:jc w:val="center"/>
        <w:rPr>
          <w:rFonts w:hint="default"/>
          <w:lang w:val="en-US"/>
        </w:rPr>
      </w:pPr>
      <w:r>
        <w:rPr>
          <w:lang w:val="en-GB"/>
        </w:rPr>
        <w:t xml:space="preserve">Student Name: </w:t>
      </w:r>
      <w:r>
        <w:rPr>
          <w:rFonts w:hint="default"/>
          <w:lang w:val="en-US"/>
        </w:rPr>
        <w:t>vimal maddichetti</w:t>
      </w:r>
    </w:p>
    <w:p>
      <w:pPr>
        <w:jc w:val="center"/>
        <w:rPr>
          <w:rFonts w:hint="default"/>
          <w:lang w:val="en-US"/>
        </w:rPr>
      </w:pPr>
      <w:r>
        <w:rPr>
          <w:lang w:val="en-GB"/>
        </w:rPr>
        <w:t xml:space="preserve">Student Id: </w:t>
      </w:r>
      <w:r>
        <w:rPr>
          <w:rFonts w:hint="default"/>
          <w:lang w:val="en-US"/>
        </w:rPr>
        <w:t>2207918</w:t>
      </w:r>
    </w:p>
    <w:p>
      <w:pPr>
        <w:jc w:val="center"/>
        <w:rPr>
          <w:rFonts w:hint="default"/>
          <w:lang w:val="en-US"/>
        </w:rPr>
      </w:pPr>
      <w:r>
        <w:rPr>
          <w:lang w:val="en-GB"/>
        </w:rPr>
        <w:t xml:space="preserve">Word Count: </w:t>
      </w:r>
      <w:r>
        <w:rPr>
          <w:rFonts w:hint="default"/>
          <w:lang w:val="en-US"/>
        </w:rPr>
        <w:t>1640</w:t>
      </w:r>
    </w:p>
    <w:p>
      <w:pPr>
        <w:jc w:val="center"/>
        <w:rPr>
          <w:rFonts w:hint="default"/>
          <w:lang w:val="en-US"/>
        </w:rPr>
      </w:pPr>
      <w:r>
        <w:rPr>
          <w:lang w:val="en-GB"/>
        </w:rPr>
        <w:t xml:space="preserve">Date of Submission: </w:t>
      </w:r>
      <w:r>
        <w:rPr>
          <w:rFonts w:hint="default"/>
          <w:lang w:val="en-US"/>
        </w:rPr>
        <w:t>31-03-2023</w:t>
      </w:r>
    </w:p>
    <w:p>
      <w:pPr>
        <w:rPr>
          <w:lang w:val="en-GB"/>
        </w:rPr>
      </w:pPr>
      <w:r>
        <w:rPr>
          <w:lang w:val="en-GB"/>
        </w:rPr>
        <w:br w:type="page"/>
      </w:r>
    </w:p>
    <w:sdt>
      <w:sdtPr>
        <w:rPr>
          <w:rFonts w:ascii="Times New Roman" w:hAnsi="Times New Roman" w:eastAsia="Times New Roman" w:cs="Times New Roman"/>
          <w:b w:val="0"/>
          <w:bCs w:val="0"/>
          <w:color w:val="auto"/>
          <w:sz w:val="24"/>
          <w:szCs w:val="24"/>
          <w:lang w:val="en-GB" w:eastAsia="en-IN"/>
        </w:rPr>
        <w:id w:val="-1862045868"/>
        <w:docPartObj>
          <w:docPartGallery w:val="Table of Contents"/>
          <w:docPartUnique/>
        </w:docPartObj>
      </w:sdtPr>
      <w:sdtEndPr>
        <w:rPr>
          <w:rFonts w:ascii="Times New Roman" w:hAnsi="Times New Roman" w:eastAsia="Times New Roman" w:cs="Times New Roman"/>
          <w:b w:val="0"/>
          <w:bCs w:val="0"/>
          <w:color w:val="auto"/>
          <w:sz w:val="24"/>
          <w:szCs w:val="24"/>
          <w:lang w:val="en-GB" w:eastAsia="en-IN"/>
        </w:rPr>
      </w:sdtEndPr>
      <w:sdtContent>
        <w:p>
          <w:pPr>
            <w:pStyle w:val="18"/>
            <w:spacing w:before="0" w:line="360" w:lineRule="auto"/>
            <w:jc w:val="center"/>
            <w:rPr>
              <w:rFonts w:ascii="Times New Roman" w:hAnsi="Times New Roman" w:cs="Times New Roman"/>
              <w:color w:val="auto"/>
              <w:lang w:val="en-GB"/>
            </w:rPr>
          </w:pPr>
          <w:r>
            <w:rPr>
              <w:rFonts w:ascii="Times New Roman" w:hAnsi="Times New Roman" w:cs="Times New Roman"/>
              <w:color w:val="auto"/>
              <w:lang w:val="en-GB"/>
            </w:rPr>
            <w:t>Table of Contents</w:t>
          </w:r>
        </w:p>
        <w:p>
          <w:pPr>
            <w:pStyle w:val="15"/>
            <w:tabs>
              <w:tab w:val="right" w:leader="dot" w:pos="9019"/>
            </w:tabs>
            <w:rPr>
              <w:rFonts w:asciiTheme="minorHAnsi" w:hAnsiTheme="minorHAnsi" w:eastAsiaTheme="minorEastAsia" w:cstheme="minorBidi"/>
              <w:sz w:val="22"/>
              <w:szCs w:val="22"/>
              <w:lang w:val="en-GB"/>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"_Toc129696158" </w:instrText>
          </w:r>
          <w:r>
            <w:fldChar w:fldCharType="separate"/>
          </w:r>
          <w:r>
            <w:rPr>
              <w:rStyle w:val="11"/>
              <w:lang w:val="en-GB"/>
            </w:rPr>
            <w:t>Post 1: The biggest threat to humankind</w:t>
          </w:r>
          <w:r>
            <w:rPr>
              <w:lang w:val="en-GB"/>
            </w:rPr>
            <w:tab/>
          </w:r>
          <w:r>
            <w:rPr>
              <w:lang w:val="en-GB"/>
            </w:rPr>
            <w:fldChar w:fldCharType="begin"/>
          </w:r>
          <w:r>
            <w:rPr>
              <w:lang w:val="en-GB"/>
            </w:rPr>
            <w:instrText xml:space="preserve"> PAGEREF _Toc129696158 \h </w:instrText>
          </w:r>
          <w:r>
            <w:rPr>
              <w:lang w:val="en-GB"/>
            </w:rPr>
            <w:fldChar w:fldCharType="separate"/>
          </w:r>
          <w:r>
            <w:rPr>
              <w:lang w:val="en-GB"/>
            </w:rPr>
            <w:t>3</w:t>
          </w:r>
          <w:r>
            <w:rPr>
              <w:lang w:val="en-GB"/>
            </w:rPr>
            <w:fldChar w:fldCharType="end"/>
          </w:r>
          <w:r>
            <w:rPr>
              <w:lang w:val="en-GB"/>
            </w:rPr>
            <w:fldChar w:fldCharType="end"/>
          </w:r>
        </w:p>
        <w:p>
          <w:pPr>
            <w:pStyle w:val="16"/>
            <w:tabs>
              <w:tab w:val="right" w:leader="dot" w:pos="9019"/>
            </w:tabs>
            <w:rPr>
              <w:lang w:val="en-GB"/>
            </w:rPr>
          </w:pPr>
          <w:r>
            <w:fldChar w:fldCharType="begin"/>
          </w:r>
          <w:r>
            <w:instrText xml:space="preserve"> HYPERLINK \l "_Toc129696159" </w:instrText>
          </w:r>
          <w:r>
            <w:fldChar w:fldCharType="separate"/>
          </w:r>
          <w:r>
            <w:rPr>
              <w:rStyle w:val="11"/>
              <w:lang w:val="en-GB"/>
            </w:rPr>
            <w:t>Reference list</w:t>
          </w:r>
          <w:r>
            <w:rPr>
              <w:lang w:val="en-GB"/>
            </w:rPr>
            <w:tab/>
          </w:r>
          <w:r>
            <w:rPr>
              <w:lang w:val="en-GB"/>
            </w:rPr>
            <w:fldChar w:fldCharType="begin"/>
          </w:r>
          <w:r>
            <w:rPr>
              <w:lang w:val="en-GB"/>
            </w:rPr>
            <w:instrText xml:space="preserve"> PAGEREF _Toc129696159 \h </w:instrText>
          </w:r>
          <w:r>
            <w:rPr>
              <w:lang w:val="en-GB"/>
            </w:rPr>
            <w:fldChar w:fldCharType="separate"/>
          </w:r>
          <w:r>
            <w:rPr>
              <w:lang w:val="en-GB"/>
            </w:rPr>
            <w:t>5</w:t>
          </w:r>
          <w:r>
            <w:rPr>
              <w:lang w:val="en-GB"/>
            </w:rPr>
            <w:fldChar w:fldCharType="end"/>
          </w:r>
          <w:r>
            <w:rPr>
              <w:lang w:val="en-GB"/>
            </w:rPr>
            <w:fldChar w:fldCharType="end"/>
          </w:r>
        </w:p>
        <w:p>
          <w:pPr>
            <w:pStyle w:val="15"/>
            <w:tabs>
              <w:tab w:val="right" w:leader="dot" w:pos="9019"/>
            </w:tabs>
            <w:rPr>
              <w:rFonts w:asciiTheme="minorHAnsi" w:hAnsiTheme="minorHAnsi" w:eastAsiaTheme="minorEastAsia" w:cstheme="minorBidi"/>
              <w:sz w:val="22"/>
              <w:szCs w:val="22"/>
              <w:lang w:val="en-GB"/>
            </w:rPr>
          </w:pPr>
          <w:r>
            <w:fldChar w:fldCharType="begin"/>
          </w:r>
          <w:r>
            <w:instrText xml:space="preserve"> HYPERLINK \l "_Toc129696160" </w:instrText>
          </w:r>
          <w:r>
            <w:fldChar w:fldCharType="separate"/>
          </w:r>
          <w:r>
            <w:rPr>
              <w:rStyle w:val="11"/>
              <w:highlight w:val="white"/>
              <w:lang w:val="en-GB"/>
            </w:rPr>
            <w:t>Post 2: Evaluation of the skills and justification</w:t>
          </w:r>
          <w:r>
            <w:rPr>
              <w:lang w:val="en-GB"/>
            </w:rPr>
            <w:tab/>
          </w:r>
          <w:r>
            <w:rPr>
              <w:lang w:val="en-GB"/>
            </w:rPr>
            <w:fldChar w:fldCharType="begin"/>
          </w:r>
          <w:r>
            <w:rPr>
              <w:lang w:val="en-GB"/>
            </w:rPr>
            <w:instrText xml:space="preserve"> PAGEREF _Toc129696160 \h </w:instrText>
          </w:r>
          <w:r>
            <w:rPr>
              <w:lang w:val="en-GB"/>
            </w:rPr>
            <w:fldChar w:fldCharType="separate"/>
          </w:r>
          <w:r>
            <w:rPr>
              <w:lang w:val="en-GB"/>
            </w:rPr>
            <w:t>6</w:t>
          </w:r>
          <w:r>
            <w:rPr>
              <w:lang w:val="en-GB"/>
            </w:rPr>
            <w:fldChar w:fldCharType="end"/>
          </w:r>
          <w:r>
            <w:rPr>
              <w:lang w:val="en-GB"/>
            </w:rPr>
            <w:fldChar w:fldCharType="end"/>
          </w:r>
        </w:p>
        <w:p>
          <w:pPr>
            <w:pStyle w:val="16"/>
            <w:tabs>
              <w:tab w:val="right" w:leader="dot" w:pos="9019"/>
            </w:tabs>
            <w:rPr>
              <w:lang w:val="en-GB"/>
            </w:rPr>
          </w:pPr>
          <w:r>
            <w:fldChar w:fldCharType="begin"/>
          </w:r>
          <w:r>
            <w:instrText xml:space="preserve"> HYPERLINK \l "_Toc129696161" </w:instrText>
          </w:r>
          <w:r>
            <w:fldChar w:fldCharType="separate"/>
          </w:r>
          <w:r>
            <w:rPr>
              <w:rStyle w:val="11"/>
              <w:highlight w:val="white"/>
              <w:lang w:val="en-GB"/>
            </w:rPr>
            <w:t>Reference List</w:t>
          </w:r>
          <w:r>
            <w:rPr>
              <w:lang w:val="en-GB"/>
            </w:rPr>
            <w:tab/>
          </w:r>
          <w:r>
            <w:rPr>
              <w:lang w:val="en-GB"/>
            </w:rPr>
            <w:fldChar w:fldCharType="begin"/>
          </w:r>
          <w:r>
            <w:rPr>
              <w:lang w:val="en-GB"/>
            </w:rPr>
            <w:instrText xml:space="preserve"> PAGEREF _Toc129696161 \h </w:instrText>
          </w:r>
          <w:r>
            <w:rPr>
              <w:lang w:val="en-GB"/>
            </w:rPr>
            <w:fldChar w:fldCharType="separate"/>
          </w:r>
          <w:r>
            <w:rPr>
              <w:lang w:val="en-GB"/>
            </w:rPr>
            <w:t>8</w:t>
          </w:r>
          <w:r>
            <w:rPr>
              <w:lang w:val="en-GB"/>
            </w:rPr>
            <w:fldChar w:fldCharType="end"/>
          </w:r>
          <w:r>
            <w:rPr>
              <w:lang w:val="en-GB"/>
            </w:rPr>
            <w:fldChar w:fldCharType="end"/>
          </w:r>
        </w:p>
        <w:p>
          <w:pPr>
            <w:pStyle w:val="15"/>
            <w:tabs>
              <w:tab w:val="right" w:leader="dot" w:pos="9019"/>
            </w:tabs>
            <w:rPr>
              <w:rFonts w:asciiTheme="minorHAnsi" w:hAnsiTheme="minorHAnsi" w:eastAsiaTheme="minorEastAsia" w:cstheme="minorBidi"/>
              <w:sz w:val="22"/>
              <w:szCs w:val="22"/>
              <w:lang w:val="en-GB"/>
            </w:rPr>
          </w:pPr>
          <w:r>
            <w:fldChar w:fldCharType="begin"/>
          </w:r>
          <w:r>
            <w:instrText xml:space="preserve"> HYPERLINK \l "_Toc129696162" </w:instrText>
          </w:r>
          <w:r>
            <w:fldChar w:fldCharType="separate"/>
          </w:r>
          <w:r>
            <w:rPr>
              <w:rStyle w:val="11"/>
              <w:highlight w:val="white"/>
              <w:lang w:val="en-GB"/>
            </w:rPr>
            <w:t>Post 3: Merits or Shortcomings of Design thinking</w:t>
          </w:r>
          <w:r>
            <w:rPr>
              <w:lang w:val="en-GB"/>
            </w:rPr>
            <w:tab/>
          </w:r>
          <w:r>
            <w:rPr>
              <w:lang w:val="en-GB"/>
            </w:rPr>
            <w:fldChar w:fldCharType="begin"/>
          </w:r>
          <w:r>
            <w:rPr>
              <w:lang w:val="en-GB"/>
            </w:rPr>
            <w:instrText xml:space="preserve"> PAGEREF _Toc129696162 \h </w:instrText>
          </w:r>
          <w:r>
            <w:rPr>
              <w:lang w:val="en-GB"/>
            </w:rPr>
            <w:fldChar w:fldCharType="separate"/>
          </w:r>
          <w:r>
            <w:rPr>
              <w:lang w:val="en-GB"/>
            </w:rPr>
            <w:t>9</w:t>
          </w:r>
          <w:r>
            <w:rPr>
              <w:lang w:val="en-GB"/>
            </w:rPr>
            <w:fldChar w:fldCharType="end"/>
          </w:r>
          <w:r>
            <w:rPr>
              <w:lang w:val="en-GB"/>
            </w:rPr>
            <w:fldChar w:fldCharType="end"/>
          </w:r>
        </w:p>
        <w:p>
          <w:pPr>
            <w:pStyle w:val="16"/>
            <w:tabs>
              <w:tab w:val="right" w:leader="dot" w:pos="9019"/>
            </w:tabs>
            <w:rPr>
              <w:lang w:val="en-GB"/>
            </w:rPr>
          </w:pPr>
          <w:r>
            <w:fldChar w:fldCharType="begin"/>
          </w:r>
          <w:r>
            <w:instrText xml:space="preserve"> HYPERLINK \l "_Toc129696163" </w:instrText>
          </w:r>
          <w:r>
            <w:fldChar w:fldCharType="separate"/>
          </w:r>
          <w:r>
            <w:rPr>
              <w:rStyle w:val="11"/>
              <w:lang w:val="en-GB"/>
            </w:rPr>
            <w:t>Reference List</w:t>
          </w:r>
          <w:r>
            <w:rPr>
              <w:lang w:val="en-GB"/>
            </w:rPr>
            <w:tab/>
          </w:r>
          <w:r>
            <w:rPr>
              <w:lang w:val="en-GB"/>
            </w:rPr>
            <w:fldChar w:fldCharType="begin"/>
          </w:r>
          <w:r>
            <w:rPr>
              <w:lang w:val="en-GB"/>
            </w:rPr>
            <w:instrText xml:space="preserve"> PAGEREF _Toc129696163 \h </w:instrText>
          </w:r>
          <w:r>
            <w:rPr>
              <w:lang w:val="en-GB"/>
            </w:rPr>
            <w:fldChar w:fldCharType="separate"/>
          </w:r>
          <w:r>
            <w:rPr>
              <w:lang w:val="en-GB"/>
            </w:rPr>
            <w:t>11</w:t>
          </w:r>
          <w:r>
            <w:rPr>
              <w:lang w:val="en-GB"/>
            </w:rPr>
            <w:fldChar w:fldCharType="end"/>
          </w:r>
          <w:r>
            <w:rPr>
              <w:lang w:val="en-GB"/>
            </w:rPr>
            <w:fldChar w:fldCharType="end"/>
          </w:r>
        </w:p>
        <w:p>
          <w:pPr>
            <w:rPr>
              <w:lang w:val="en-GB"/>
            </w:rPr>
          </w:pPr>
          <w:r>
            <w:rPr>
              <w:b/>
              <w:bCs/>
              <w:lang w:val="en-GB"/>
            </w:rPr>
            <w:fldChar w:fldCharType="end"/>
          </w:r>
        </w:p>
      </w:sdtContent>
    </w:sdt>
    <w:p>
      <w:pPr>
        <w:jc w:val="center"/>
        <w:rPr>
          <w:lang w:val="en-GB"/>
        </w:rPr>
      </w:pPr>
      <w:r>
        <w:rPr>
          <w:lang w:val="en-GB"/>
        </w:rPr>
        <w:br w:type="page"/>
      </w:r>
    </w:p>
    <w:p>
      <w:pPr>
        <w:pStyle w:val="2"/>
        <w:spacing w:before="200"/>
        <w:rPr>
          <w:lang w:val="en-GB"/>
        </w:rPr>
      </w:pPr>
      <w:bookmarkStart w:id="0" w:name="_nunqtc6947aj" w:colFirst="0" w:colLast="0"/>
      <w:bookmarkEnd w:id="0"/>
      <w:bookmarkStart w:id="1" w:name="_Toc129696158"/>
      <w:r>
        <w:rPr>
          <w:lang w:val="en-GB"/>
        </w:rPr>
        <w:t>Post 1: The biggest threat to humankind</w:t>
      </w:r>
      <w:bookmarkEnd w:id="1"/>
    </w:p>
    <w:p>
      <w:pPr>
        <w:spacing w:before="200"/>
        <w:rPr>
          <w:lang w:val="en-GB"/>
        </w:rPr>
      </w:pPr>
      <w:r>
        <w:rPr>
          <w:lang w:val="en-GB"/>
        </w:rPr>
        <w:t>According to the study of Unit 1, the greatest threat to humankind in the current date is climate change. Climate has huge benefits with good health among humankind. The magnification in global activities with fossil fuel and pollution is the main reason to increase climate change. It can be noticed that seasonal misbalance is already hitting the world with climate disaster (</w:t>
      </w:r>
      <w:r>
        <w:rPr>
          <w:color w:val="222222"/>
          <w:highlight w:val="white"/>
          <w:lang w:val="en-GB"/>
        </w:rPr>
        <w:t>Nordhaus 2019</w:t>
      </w:r>
      <w:r>
        <w:rPr>
          <w:color w:val="222222"/>
          <w:lang w:val="en-GB"/>
        </w:rPr>
        <w:t>, p. 2000</w:t>
      </w:r>
      <w:r>
        <w:rPr>
          <w:lang w:val="en-GB"/>
        </w:rPr>
        <w:t>). It is the reason for making the world modified with the huge application of cars and other appliances that can increase pollution rate day-by-day. Human activity is the main reason behind this pollution. In accordance with the report brought forth by the UN Intergovernmental Panel, climate change is mostly integrated by global warming of 1.50C (</w:t>
      </w:r>
      <w:r>
        <w:rPr>
          <w:color w:val="222222"/>
          <w:highlight w:val="white"/>
          <w:lang w:val="en-GB"/>
        </w:rPr>
        <w:t>Hoegh-Guldberg et al. 2019</w:t>
      </w:r>
      <w:r>
        <w:rPr>
          <w:color w:val="222222"/>
          <w:lang w:val="en-GB"/>
        </w:rPr>
        <w:t xml:space="preserve">, p. </w:t>
      </w:r>
      <w:r>
        <w:rPr>
          <w:color w:val="222222"/>
          <w:highlight w:val="white"/>
          <w:lang w:val="en-GB"/>
        </w:rPr>
        <w:t>eaaw6974</w:t>
      </w:r>
      <w:r>
        <w:rPr>
          <w:lang w:val="en-GB"/>
        </w:rPr>
        <w:t>). It has been identified that the rate of temperature increased by 10C. However, climate change is a serious issue for human kind. If the temperature increases with time the existence of ice in northern areas will vanish, causing floods throughout the world, this is a terrible but true fact about climate change. This will be the biggest reason for the death of humankind in the future.</w:t>
      </w:r>
    </w:p>
    <w:p>
      <w:pPr>
        <w:spacing w:before="200"/>
        <w:rPr>
          <w:lang w:val="en-GB"/>
        </w:rPr>
      </w:pPr>
      <w:r>
        <w:rPr>
          <w:lang w:val="en-GB"/>
        </w:rPr>
        <w:t>Trends such as using large vehicles, using smart gadgets and others are the main issues of climate change. UN experts have warned about this fact which can increase the vulnerability within the world (</w:t>
      </w:r>
      <w:r>
        <w:rPr>
          <w:color w:val="222222"/>
          <w:highlight w:val="white"/>
          <w:lang w:val="en-GB"/>
        </w:rPr>
        <w:t>Hoegh-Guldberg et al. 2019</w:t>
      </w:r>
      <w:r>
        <w:rPr>
          <w:color w:val="222222"/>
          <w:lang w:val="en-GB"/>
        </w:rPr>
        <w:t xml:space="preserve">, p. </w:t>
      </w:r>
      <w:r>
        <w:rPr>
          <w:color w:val="222222"/>
          <w:highlight w:val="white"/>
          <w:lang w:val="en-GB"/>
        </w:rPr>
        <w:t>eaaw6974</w:t>
      </w:r>
      <w:r>
        <w:rPr>
          <w:lang w:val="en-GB"/>
        </w:rPr>
        <w:t>). Science and its innovations are no doubt a blessing for people but it is causing harmful change in region-based weather which is not justified enough to be modern or ultra-active with jobs. All modern activities are related to the management of temperature. It is important to increase the reliability of jobs and activities of people to think about nature. If the trends continue to increase throughout the globe, the global warming issue will increase and the tremendous change in climate will terrify the lifespan of people (</w:t>
      </w:r>
      <w:r>
        <w:rPr>
          <w:color w:val="222222"/>
          <w:highlight w:val="white"/>
          <w:lang w:val="en-GB"/>
        </w:rPr>
        <w:t>Raven and Wagner 2021</w:t>
      </w:r>
      <w:r>
        <w:rPr>
          <w:color w:val="222222"/>
          <w:lang w:val="en-GB"/>
        </w:rPr>
        <w:t xml:space="preserve">, p. </w:t>
      </w:r>
      <w:r>
        <w:rPr>
          <w:color w:val="222222"/>
          <w:highlight w:val="white"/>
          <w:lang w:val="en-GB"/>
        </w:rPr>
        <w:t>e2002548117</w:t>
      </w:r>
      <w:r>
        <w:rPr>
          <w:lang w:val="en-GB"/>
        </w:rPr>
        <w:t xml:space="preserve">). Therefore, it can be said that people’s activity is the main reason behind climate change. This is not done with the nature which gives so many fruitful products to live. </w:t>
      </w:r>
    </w:p>
    <w:p>
      <w:pPr>
        <w:spacing w:before="200"/>
        <w:rPr>
          <w:lang w:val="en-GB"/>
        </w:rPr>
      </w:pPr>
      <w:r>
        <w:rPr>
          <w:lang w:val="en-GB"/>
        </w:rPr>
        <w:t>Icing will be freeze and the melting point of nature will be increased with pollution and global warming. It will cause sea level rise which can increase the rate of floods in coastal areas. Therefore, the most terrified thing is the endangered life of coastal people in the world. Climate change is definitely threatful for humankind with the magnification of misbalance within the ecosystem (</w:t>
      </w:r>
      <w:r>
        <w:rPr>
          <w:color w:val="222222"/>
          <w:highlight w:val="white"/>
          <w:lang w:val="en-GB"/>
        </w:rPr>
        <w:t>Nordhaus 2019</w:t>
      </w:r>
      <w:r>
        <w:rPr>
          <w:color w:val="222222"/>
          <w:lang w:val="en-GB"/>
        </w:rPr>
        <w:t>, 2003</w:t>
      </w:r>
      <w:r>
        <w:rPr>
          <w:lang w:val="en-GB"/>
        </w:rPr>
        <w:t>). People should be agile in managing biodiversity of the globe. Climate change damages biodiversity which will increase the level of death rate among animals and in this way humankind will lose natural support for their living. These reasons are enough to make climate change the most threatful factor for the world. Spread of diseases and bad experiences that can create danger in lifestyle will be the main reason for making climate change threatful (</w:t>
      </w:r>
      <w:r>
        <w:rPr>
          <w:color w:val="222222"/>
          <w:highlight w:val="white"/>
          <w:lang w:val="en-GB"/>
        </w:rPr>
        <w:t>Bouchard et al. 2019</w:t>
      </w:r>
      <w:r>
        <w:rPr>
          <w:color w:val="222222"/>
          <w:lang w:val="en-GB"/>
        </w:rPr>
        <w:t>, p. 83</w:t>
      </w:r>
      <w:r>
        <w:rPr>
          <w:lang w:val="en-GB"/>
        </w:rPr>
        <w:t xml:space="preserve">). Natural flow of lifestyle can be grown through natural climate. Therefore, climate change is the biggest threat for humankind. </w:t>
      </w:r>
    </w:p>
    <w:p>
      <w:pPr>
        <w:rPr>
          <w:lang w:val="en-GB"/>
        </w:rPr>
      </w:pPr>
      <w:r>
        <w:rPr>
          <w:lang w:val="en-GB"/>
        </w:rPr>
        <w:br w:type="page"/>
      </w:r>
    </w:p>
    <w:p>
      <w:pPr>
        <w:pStyle w:val="3"/>
        <w:rPr>
          <w:lang w:val="en-GB"/>
        </w:rPr>
      </w:pPr>
      <w:bookmarkStart w:id="2" w:name="_Toc129696159"/>
      <w:r>
        <w:rPr>
          <w:lang w:val="en-GB"/>
        </w:rPr>
        <w:t>Reference list</w:t>
      </w:r>
      <w:bookmarkEnd w:id="2"/>
    </w:p>
    <w:p>
      <w:pPr>
        <w:spacing w:before="240"/>
        <w:rPr>
          <w:color w:val="000000" w:themeColor="text1"/>
          <w:highlight w:val="white"/>
          <w:lang w:val="en-GB"/>
          <w14:textFill>
            <w14:solidFill>
              <w14:schemeClr w14:val="tx1"/>
            </w14:solidFill>
          </w14:textFill>
        </w:rPr>
      </w:pPr>
      <w:r>
        <w:rPr>
          <w:color w:val="000000" w:themeColor="text1"/>
          <w:highlight w:val="white"/>
          <w:lang w:val="en-GB"/>
          <w14:textFill>
            <w14:solidFill>
              <w14:schemeClr w14:val="tx1"/>
            </w14:solidFill>
          </w14:textFill>
        </w:rPr>
        <w:t xml:space="preserve">Bouchard, C., Dibernardo, A., Koffi, J., Wood, H., Leighton, P.A. and Lindsay, L.R., 2019. Climate change and infectious diseases: the challenges: N increased risk of tick-borne diseases with climate and environmental changes. </w:t>
      </w:r>
      <w:r>
        <w:rPr>
          <w:i/>
          <w:color w:val="000000" w:themeColor="text1"/>
          <w:highlight w:val="white"/>
          <w:lang w:val="en-GB"/>
          <w14:textFill>
            <w14:solidFill>
              <w14:schemeClr w14:val="tx1"/>
            </w14:solidFill>
          </w14:textFill>
        </w:rPr>
        <w:t>Canada Communicable Disease Report</w:t>
      </w:r>
      <w:r>
        <w:rPr>
          <w:color w:val="000000" w:themeColor="text1"/>
          <w:highlight w:val="white"/>
          <w:lang w:val="en-GB"/>
          <w14:textFill>
            <w14:solidFill>
              <w14:schemeClr w14:val="tx1"/>
            </w14:solidFill>
          </w14:textFill>
        </w:rPr>
        <w:t xml:space="preserve">, </w:t>
      </w:r>
      <w:r>
        <w:rPr>
          <w:i/>
          <w:color w:val="000000" w:themeColor="text1"/>
          <w:highlight w:val="white"/>
          <w:lang w:val="en-GB"/>
          <w14:textFill>
            <w14:solidFill>
              <w14:schemeClr w14:val="tx1"/>
            </w14:solidFill>
          </w14:textFill>
        </w:rPr>
        <w:t>45</w:t>
      </w:r>
      <w:r>
        <w:rPr>
          <w:color w:val="000000" w:themeColor="text1"/>
          <w:highlight w:val="white"/>
          <w:lang w:val="en-GB"/>
          <w14:textFill>
            <w14:solidFill>
              <w14:schemeClr w14:val="tx1"/>
            </w14:solidFill>
          </w14:textFill>
        </w:rPr>
        <w:t xml:space="preserve">(4), p.83. DOI: </w:t>
      </w:r>
      <w:r>
        <w:fldChar w:fldCharType="begin"/>
      </w:r>
      <w:r>
        <w:instrText xml:space="preserve"> HYPERLINK "https://doi.org/10.14745%2Fccdr.v45i04a02" </w:instrText>
      </w:r>
      <w:r>
        <w:fldChar w:fldCharType="separate"/>
      </w:r>
      <w:r>
        <w:rPr>
          <w:rStyle w:val="11"/>
          <w:color w:val="000000" w:themeColor="text1"/>
          <w:u w:val="none"/>
          <w:lang w:val="en-GB"/>
          <w14:textFill>
            <w14:solidFill>
              <w14:schemeClr w14:val="tx1"/>
            </w14:solidFill>
          </w14:textFill>
        </w:rPr>
        <w:t>10.14745%2Fccdr.v45i04a02</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r>
        <w:rPr>
          <w:color w:val="000000" w:themeColor="text1"/>
          <w:highlight w:val="white"/>
          <w:lang w:val="en-GB"/>
          <w14:textFill>
            <w14:solidFill>
              <w14:schemeClr w14:val="tx1"/>
            </w14:solidFill>
          </w14:textFill>
        </w:rPr>
        <w:t xml:space="preserve"> </w:t>
      </w:r>
    </w:p>
    <w:p>
      <w:pPr>
        <w:spacing w:before="240"/>
        <w:rPr>
          <w:color w:val="000000" w:themeColor="text1"/>
          <w:highlight w:val="white"/>
          <w:lang w:val="en-GB"/>
          <w14:textFill>
            <w14:solidFill>
              <w14:schemeClr w14:val="tx1"/>
            </w14:solidFill>
          </w14:textFill>
        </w:rPr>
      </w:pPr>
      <w:r>
        <w:rPr>
          <w:color w:val="000000" w:themeColor="text1"/>
          <w:highlight w:val="white"/>
          <w:lang w:val="en-GB"/>
          <w14:textFill>
            <w14:solidFill>
              <w14:schemeClr w14:val="tx1"/>
            </w14:solidFill>
          </w14:textFill>
        </w:rPr>
        <w:t xml:space="preserve">Hoegh-Guldberg, O., Jacob, D., Taylor, M., Guillén Bolaños, T., Bindi, M., Brown, S., Camilloni, I.A., Diedhiou, A., Djalante, R., Ebi, K. and Engelbrecht, F., 2019. The human imperative of stabilizing global climate change at 1.5 C. </w:t>
      </w:r>
      <w:r>
        <w:rPr>
          <w:i/>
          <w:color w:val="000000" w:themeColor="text1"/>
          <w:highlight w:val="white"/>
          <w:lang w:val="en-GB"/>
          <w14:textFill>
            <w14:solidFill>
              <w14:schemeClr w14:val="tx1"/>
            </w14:solidFill>
          </w14:textFill>
        </w:rPr>
        <w:t>Science</w:t>
      </w:r>
      <w:r>
        <w:rPr>
          <w:color w:val="000000" w:themeColor="text1"/>
          <w:highlight w:val="white"/>
          <w:lang w:val="en-GB"/>
          <w14:textFill>
            <w14:solidFill>
              <w14:schemeClr w14:val="tx1"/>
            </w14:solidFill>
          </w14:textFill>
        </w:rPr>
        <w:t xml:space="preserve">, </w:t>
      </w:r>
      <w:r>
        <w:rPr>
          <w:i/>
          <w:color w:val="000000" w:themeColor="text1"/>
          <w:highlight w:val="white"/>
          <w:lang w:val="en-GB"/>
          <w14:textFill>
            <w14:solidFill>
              <w14:schemeClr w14:val="tx1"/>
            </w14:solidFill>
          </w14:textFill>
        </w:rPr>
        <w:t>365</w:t>
      </w:r>
      <w:r>
        <w:rPr>
          <w:color w:val="000000" w:themeColor="text1"/>
          <w:highlight w:val="white"/>
          <w:lang w:val="en-GB"/>
          <w14:textFill>
            <w14:solidFill>
              <w14:schemeClr w14:val="tx1"/>
            </w14:solidFill>
          </w14:textFill>
        </w:rPr>
        <w:t xml:space="preserve">(6459), p.eaaw6974. Available at: </w:t>
      </w:r>
      <w:r>
        <w:fldChar w:fldCharType="begin"/>
      </w:r>
      <w:r>
        <w:instrText xml:space="preserve"> HYPERLINK "https://eprints.bournemouth.ac.uk/32695/1/aaw6974_CombinedPDF_v5-resubmitted.pdf" \h </w:instrText>
      </w:r>
      <w:r>
        <w:fldChar w:fldCharType="separate"/>
      </w:r>
      <w:r>
        <w:rPr>
          <w:color w:val="000000" w:themeColor="text1"/>
          <w:highlight w:val="white"/>
          <w:lang w:val="en-GB"/>
          <w14:textFill>
            <w14:solidFill>
              <w14:schemeClr w14:val="tx1"/>
            </w14:solidFill>
          </w14:textFill>
        </w:rPr>
        <w:t>https://eprints.bournemouth.ac.uk/32695/1/aaw6974_CombinedPDF_v5-resubmitted.pdf</w:t>
      </w:r>
      <w:r>
        <w:rPr>
          <w:color w:val="000000" w:themeColor="text1"/>
          <w:highlight w:val="white"/>
          <w:lang w:val="en-GB"/>
          <w14:textFill>
            <w14:solidFill>
              <w14:schemeClr w14:val="tx1"/>
            </w14:solidFill>
          </w14:textFill>
        </w:rPr>
        <w:fldChar w:fldCharType="end"/>
      </w:r>
      <w:r>
        <w:rPr>
          <w:color w:val="000000" w:themeColor="text1"/>
          <w:highlight w:val="white"/>
          <w:lang w:val="en-GB"/>
          <w14:textFill>
            <w14:solidFill>
              <w14:schemeClr w14:val="tx1"/>
            </w14:solidFill>
          </w14:textFill>
        </w:rPr>
        <w:t xml:space="preserve"> </w:t>
      </w:r>
    </w:p>
    <w:p>
      <w:pPr>
        <w:spacing w:before="240"/>
        <w:rPr>
          <w:color w:val="000000" w:themeColor="text1"/>
          <w:highlight w:val="white"/>
          <w:lang w:val="en-GB"/>
          <w14:textFill>
            <w14:solidFill>
              <w14:schemeClr w14:val="tx1"/>
            </w14:solidFill>
          </w14:textFill>
        </w:rPr>
      </w:pPr>
      <w:r>
        <w:rPr>
          <w:color w:val="000000" w:themeColor="text1"/>
          <w:highlight w:val="white"/>
          <w:lang w:val="en-GB"/>
          <w14:textFill>
            <w14:solidFill>
              <w14:schemeClr w14:val="tx1"/>
            </w14:solidFill>
          </w14:textFill>
        </w:rPr>
        <w:t xml:space="preserve">Nordhaus, W., 2019. Climate change: The ultimate challenge for economics. </w:t>
      </w:r>
      <w:r>
        <w:rPr>
          <w:i/>
          <w:color w:val="000000" w:themeColor="text1"/>
          <w:highlight w:val="white"/>
          <w:lang w:val="en-GB"/>
          <w14:textFill>
            <w14:solidFill>
              <w14:schemeClr w14:val="tx1"/>
            </w14:solidFill>
          </w14:textFill>
        </w:rPr>
        <w:t>American Economic Review</w:t>
      </w:r>
      <w:r>
        <w:rPr>
          <w:color w:val="000000" w:themeColor="text1"/>
          <w:highlight w:val="white"/>
          <w:lang w:val="en-GB"/>
          <w14:textFill>
            <w14:solidFill>
              <w14:schemeClr w14:val="tx1"/>
            </w14:solidFill>
          </w14:textFill>
        </w:rPr>
        <w:t xml:space="preserve">, </w:t>
      </w:r>
      <w:r>
        <w:rPr>
          <w:i/>
          <w:color w:val="000000" w:themeColor="text1"/>
          <w:highlight w:val="white"/>
          <w:lang w:val="en-GB"/>
          <w14:textFill>
            <w14:solidFill>
              <w14:schemeClr w14:val="tx1"/>
            </w14:solidFill>
          </w14:textFill>
        </w:rPr>
        <w:t>109</w:t>
      </w:r>
      <w:r>
        <w:rPr>
          <w:color w:val="000000" w:themeColor="text1"/>
          <w:highlight w:val="white"/>
          <w:lang w:val="en-GB"/>
          <w14:textFill>
            <w14:solidFill>
              <w14:schemeClr w14:val="tx1"/>
            </w14:solidFill>
          </w14:textFill>
        </w:rPr>
        <w:t xml:space="preserve">(6), pp.1991-2014. DOI: </w:t>
      </w:r>
      <w:r>
        <w:fldChar w:fldCharType="begin"/>
      </w:r>
      <w:r>
        <w:instrText xml:space="preserve"> HYPERLINK "https://doi.org/10.1257/aer.109.6" </w:instrText>
      </w:r>
      <w:r>
        <w:fldChar w:fldCharType="separate"/>
      </w:r>
      <w:r>
        <w:rPr>
          <w:rStyle w:val="11"/>
          <w:color w:val="000000" w:themeColor="text1"/>
          <w:u w:val="none"/>
          <w:lang w:val="en-GB"/>
          <w14:textFill>
            <w14:solidFill>
              <w14:schemeClr w14:val="tx1"/>
            </w14:solidFill>
          </w14:textFill>
        </w:rPr>
        <w:t>10.1257/aer.109.6</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r>
        <w:rPr>
          <w:color w:val="000000" w:themeColor="text1"/>
          <w:highlight w:val="white"/>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lang w:val="en-GB"/>
          <w14:textFill>
            <w14:solidFill>
              <w14:schemeClr w14:val="tx1"/>
            </w14:solidFill>
          </w14:textFill>
        </w:rPr>
      </w:pPr>
      <w:r>
        <w:rPr>
          <w:color w:val="000000" w:themeColor="text1"/>
          <w:highlight w:val="white"/>
          <w:lang w:val="en-GB"/>
          <w14:textFill>
            <w14:solidFill>
              <w14:schemeClr w14:val="tx1"/>
            </w14:solidFill>
          </w14:textFill>
        </w:rPr>
        <w:t xml:space="preserve">Raven, P.H. and Wagner, D.L., 2021. Agricultural intensification and climate change are rapidly decreasing insect biodiversity. </w:t>
      </w:r>
      <w:r>
        <w:rPr>
          <w:i/>
          <w:color w:val="000000" w:themeColor="text1"/>
          <w:highlight w:val="white"/>
          <w:lang w:val="en-GB"/>
          <w14:textFill>
            <w14:solidFill>
              <w14:schemeClr w14:val="tx1"/>
            </w14:solidFill>
          </w14:textFill>
        </w:rPr>
        <w:t>Proceedings of the National Academy of Sciences</w:t>
      </w:r>
      <w:r>
        <w:rPr>
          <w:color w:val="000000" w:themeColor="text1"/>
          <w:highlight w:val="white"/>
          <w:lang w:val="en-GB"/>
          <w14:textFill>
            <w14:solidFill>
              <w14:schemeClr w14:val="tx1"/>
            </w14:solidFill>
          </w14:textFill>
        </w:rPr>
        <w:t xml:space="preserve">, </w:t>
      </w:r>
      <w:r>
        <w:rPr>
          <w:i/>
          <w:color w:val="000000" w:themeColor="text1"/>
          <w:highlight w:val="white"/>
          <w:lang w:val="en-GB"/>
          <w14:textFill>
            <w14:solidFill>
              <w14:schemeClr w14:val="tx1"/>
            </w14:solidFill>
          </w14:textFill>
        </w:rPr>
        <w:t>118</w:t>
      </w:r>
      <w:r>
        <w:rPr>
          <w:color w:val="000000" w:themeColor="text1"/>
          <w:highlight w:val="white"/>
          <w:lang w:val="en-GB"/>
          <w14:textFill>
            <w14:solidFill>
              <w14:schemeClr w14:val="tx1"/>
            </w14:solidFill>
          </w14:textFill>
        </w:rPr>
        <w:t xml:space="preserve">(2), p.e2002548117. DOI: </w:t>
      </w:r>
      <w:r>
        <w:fldChar w:fldCharType="begin"/>
      </w:r>
      <w:r>
        <w:instrText xml:space="preserve"> HYPERLINK "https://doi.org/10.1073/pnas.2002548117" </w:instrText>
      </w:r>
      <w:r>
        <w:fldChar w:fldCharType="separate"/>
      </w:r>
      <w:r>
        <w:rPr>
          <w:rStyle w:val="11"/>
          <w:color w:val="000000" w:themeColor="text1"/>
          <w:u w:val="none"/>
          <w:lang w:val="en-GB"/>
          <w14:textFill>
            <w14:solidFill>
              <w14:schemeClr w14:val="tx1"/>
            </w14:solidFill>
          </w14:textFill>
        </w:rPr>
        <w:t>10.1073/pnas.2002548117</w:t>
      </w:r>
      <w:r>
        <w:rPr>
          <w:rStyle w:val="11"/>
          <w:color w:val="000000" w:themeColor="text1"/>
          <w:u w:val="none"/>
          <w:lang w:val="en-GB"/>
          <w14:textFill>
            <w14:solidFill>
              <w14:schemeClr w14:val="tx1"/>
            </w14:solidFill>
          </w14:textFill>
        </w:rPr>
        <w:fldChar w:fldCharType="end"/>
      </w:r>
    </w:p>
    <w:p>
      <w:pPr>
        <w:keepNext w:val="0"/>
        <w:keepLines w:val="0"/>
        <w:widowControl/>
        <w:suppressLineNumbers w:val="0"/>
        <w:jc w:val="left"/>
        <w:rPr>
          <w:rFonts w:hint="default"/>
          <w:lang w:val="en-US"/>
        </w:rPr>
      </w:pPr>
      <w:r>
        <w:rPr>
          <w:rFonts w:hint="default"/>
          <w:highlight w:val="white"/>
          <w:lang w:val="en-US"/>
        </w:rPr>
        <w:t xml:space="preserve">blog link : </w:t>
      </w:r>
      <w:r>
        <w:rPr>
          <w:rFonts w:ascii="Helvetica" w:hAnsi="Helvetica" w:eastAsia="Helvetica" w:cs="Helvetica"/>
          <w:i w:val="0"/>
          <w:iCs w:val="0"/>
          <w:caps w:val="0"/>
          <w:spacing w:val="0"/>
          <w:kern w:val="0"/>
          <w:sz w:val="28"/>
          <w:szCs w:val="28"/>
          <w:u w:val="none"/>
          <w:shd w:val="clear" w:fill="FFFFFF"/>
          <w:lang w:val="en-US" w:eastAsia="zh-CN" w:bidi="ar"/>
        </w:rPr>
        <w:fldChar w:fldCharType="begin"/>
      </w:r>
      <w:r>
        <w:rPr>
          <w:rFonts w:ascii="Helvetica" w:hAnsi="Helvetica" w:eastAsia="Helvetica" w:cs="Helvetica"/>
          <w:i w:val="0"/>
          <w:iCs w:val="0"/>
          <w:caps w:val="0"/>
          <w:spacing w:val="0"/>
          <w:kern w:val="0"/>
          <w:sz w:val="28"/>
          <w:szCs w:val="28"/>
          <w:u w:val="none"/>
          <w:shd w:val="clear" w:fill="FFFFFF"/>
          <w:lang w:val="en-US" w:eastAsia="zh-CN" w:bidi="ar"/>
        </w:rPr>
        <w:instrText xml:space="preserve"> HYPERLINK "https://vimalmaddichetti.blogspot.com/2023/03/evidence-of-learning-e-portfolio-post-1.html" </w:instrText>
      </w:r>
      <w:r>
        <w:rPr>
          <w:rFonts w:ascii="Helvetica" w:hAnsi="Helvetica" w:eastAsia="Helvetica" w:cs="Helvetica"/>
          <w:i w:val="0"/>
          <w:iCs w:val="0"/>
          <w:caps w:val="0"/>
          <w:spacing w:val="0"/>
          <w:kern w:val="0"/>
          <w:sz w:val="28"/>
          <w:szCs w:val="28"/>
          <w:u w:val="none"/>
          <w:shd w:val="clear" w:fill="FFFFFF"/>
          <w:lang w:val="en-US" w:eastAsia="zh-CN" w:bidi="ar"/>
        </w:rPr>
        <w:fldChar w:fldCharType="separate"/>
      </w:r>
      <w:r>
        <w:rPr>
          <w:rStyle w:val="11"/>
          <w:rFonts w:ascii="Helvetica" w:hAnsi="Helvetica" w:eastAsia="Helvetica" w:cs="Helvetica"/>
          <w:i w:val="0"/>
          <w:iCs w:val="0"/>
          <w:caps w:val="0"/>
          <w:spacing w:val="0"/>
          <w:kern w:val="0"/>
          <w:sz w:val="28"/>
          <w:szCs w:val="28"/>
          <w:shd w:val="clear" w:fill="FFFFFF"/>
          <w:lang w:val="en-US" w:eastAsia="zh-CN" w:bidi="ar"/>
        </w:rPr>
        <w:t>https://vimalmaddichetti.blogspot.com/2023/03/evidence-of-learning-e-portfolio-post-1.html</w:t>
      </w:r>
      <w:r>
        <w:rPr>
          <w:rFonts w:ascii="Helvetica" w:hAnsi="Helvetica" w:eastAsia="Helvetica" w:cs="Helvetica"/>
          <w:i w:val="0"/>
          <w:iCs w:val="0"/>
          <w:caps w:val="0"/>
          <w:spacing w:val="0"/>
          <w:kern w:val="0"/>
          <w:sz w:val="28"/>
          <w:szCs w:val="28"/>
          <w:u w:val="none"/>
          <w:shd w:val="clear" w:fill="FFFFFF"/>
          <w:lang w:val="en-US" w:eastAsia="zh-CN" w:bidi="ar"/>
        </w:rPr>
        <w:fldChar w:fldCharType="end"/>
      </w:r>
      <w:r>
        <w:rPr>
          <w:rFonts w:hint="default" w:ascii="Helvetica" w:hAnsi="Helvetica" w:eastAsia="Helvetica" w:cs="Helvetica"/>
          <w:i w:val="0"/>
          <w:iCs w:val="0"/>
          <w:caps w:val="0"/>
          <w:spacing w:val="0"/>
          <w:kern w:val="0"/>
          <w:sz w:val="28"/>
          <w:szCs w:val="28"/>
          <w:u w:val="none"/>
          <w:shd w:val="clear" w:fill="FFFFFF"/>
          <w:lang w:val="en-US" w:eastAsia="zh-CN" w:bidi="ar"/>
        </w:rPr>
        <w:t xml:space="preserve"> </w:t>
      </w:r>
    </w:p>
    <w:p>
      <w:pPr>
        <w:rPr>
          <w:b/>
          <w:sz w:val="28"/>
          <w:szCs w:val="28"/>
          <w:highlight w:val="white"/>
          <w:lang w:val="en-GB"/>
        </w:rPr>
      </w:pPr>
      <w:r>
        <w:rPr>
          <w:rFonts w:hint="default"/>
          <w:highlight w:val="white"/>
          <w:lang w:val="en-US"/>
        </w:rPr>
        <w:t xml:space="preserve"> </w:t>
      </w:r>
      <w:r>
        <w:rPr>
          <w:highlight w:val="white"/>
          <w:lang w:val="en-GB"/>
        </w:rPr>
        <w:br w:type="page"/>
      </w:r>
    </w:p>
    <w:p>
      <w:pPr>
        <w:pStyle w:val="2"/>
        <w:rPr>
          <w:highlight w:val="white"/>
          <w:lang w:val="en-GB"/>
        </w:rPr>
      </w:pPr>
      <w:bookmarkStart w:id="3" w:name="_Toc129696160"/>
      <w:r>
        <w:rPr>
          <w:highlight w:val="white"/>
          <w:lang w:val="en-GB"/>
        </w:rPr>
        <w:t>Post 2: Evaluation of the skills and justification</w:t>
      </w:r>
      <w:bookmarkEnd w:id="3"/>
      <w:r>
        <w:rPr>
          <w:highlight w:val="white"/>
          <w:lang w:val="en-GB"/>
        </w:rPr>
        <w:t xml:space="preserve"> </w:t>
      </w:r>
    </w:p>
    <w:p>
      <w:pPr>
        <w:rPr>
          <w:color w:val="222222"/>
          <w:highlight w:val="white"/>
          <w:lang w:val="en-GB"/>
        </w:rPr>
      </w:pPr>
      <w:r>
        <w:rPr>
          <w:color w:val="222222"/>
          <w:highlight w:val="white"/>
          <w:lang w:val="en-GB"/>
        </w:rPr>
        <w:t xml:space="preserve">The skills that are required in the future are critical thinking skills. The world is becoming more technologically advanced and artificial intelligence is chosen over a lot of other tools. Therefore, critical thinking is required for the individual to distinguish objects and discuss logical topics. Shanta and Wells (2022, p 268), noted critical thinking is the ability to think rationally and realise the logical connection amongst various ideas. In the process of critical thinking the individual has to be an active learner and not just a passive recipient. Critical thinkers are usually inclined to question ideas than accept any idea at face value. An individual with critical thinking skills is able to recognise any consistency and approach a certain problem in a methodical way. </w:t>
      </w:r>
    </w:p>
    <w:p>
      <w:pPr>
        <w:rPr>
          <w:color w:val="222222"/>
          <w:highlight w:val="white"/>
          <w:lang w:val="en-GB"/>
        </w:rPr>
      </w:pPr>
      <w:r>
        <w:rPr>
          <w:color w:val="222222"/>
          <w:highlight w:val="white"/>
          <w:lang w:val="en-GB"/>
        </w:rPr>
        <w:t xml:space="preserve">An echo chamber is a created environment where an individual only interacts with information or opinions that reinforce and reflect their own personal thoughts. Moreover, an individual is influenced by the individual bias which is an inclination to give favour to the information that supports their own beliefs. The skills of negotiation and influencing are also important skills that employers are looking for. Additionally, the skills are also in cricket leaked to communication and interpersonal skills. Geiger and Hüffmeier (2020, p 95), noted negotiation is defined as the ability to make conversation on an issue with one or more people and reach an agreement of mutual satisfaction. On the other hand, influence is defined as the ability to bend others' attitudes towards the individual's personal opinion. Troje and Gluch (2020, p 58), commented that employers are interested in the skills of influencing and negotiation since the skills can help with the conflicting demands of the business. </w:t>
      </w:r>
    </w:p>
    <w:p>
      <w:pPr>
        <w:rPr>
          <w:color w:val="222222"/>
          <w:highlight w:val="white"/>
          <w:lang w:val="en-GB"/>
        </w:rPr>
      </w:pPr>
      <w:r>
        <w:rPr>
          <w:color w:val="222222"/>
          <w:highlight w:val="white"/>
          <w:lang w:val="en-GB"/>
        </w:rPr>
        <w:t xml:space="preserve">With these skills, the employees can also persuade a customer to purchase the company's product. These skills are important when it comes to suggesting changes in a system or in teamwork. Eddington et al (2020, p 265), commented conflict management skills are important since conflict disrupts the harmony of a workplace and makes the place less productive. The different types of skills that are used in managing conflict can be effectively communicating with people. This communication might include both verbal and nonverbal language. </w:t>
      </w:r>
    </w:p>
    <w:p>
      <w:pPr>
        <w:rPr>
          <w:color w:val="222222"/>
          <w:highlight w:val="white"/>
          <w:lang w:val="en-GB"/>
        </w:rPr>
      </w:pPr>
    </w:p>
    <w:p>
      <w:pPr>
        <w:rPr>
          <w:color w:val="222222"/>
          <w:highlight w:val="white"/>
          <w:lang w:val="en-GB"/>
        </w:rPr>
      </w:pPr>
      <w:r>
        <w:rPr>
          <w:color w:val="222222"/>
          <w:highlight w:val="white"/>
          <w:lang w:val="en-GB"/>
        </w:rPr>
        <w:t xml:space="preserve">The individual should also be able to actively listen to the parties involved about their views. Then individuals should also be able to view the situation in an empathetic manner. The individual should also learn how to make decisions in a complicated situation. The situation needs to be investigated in detail to understand the context of the problems. </w:t>
      </w:r>
    </w:p>
    <w:p>
      <w:pPr>
        <w:rPr>
          <w:color w:val="222222"/>
          <w:highlight w:val="white"/>
          <w:lang w:val="en-GB"/>
        </w:rPr>
      </w:pPr>
    </w:p>
    <w:p>
      <w:pPr>
        <w:rPr>
          <w:color w:val="222222"/>
          <w:highlight w:val="white"/>
          <w:lang w:val="en-GB"/>
        </w:rPr>
      </w:pPr>
      <w:r>
        <w:rPr>
          <w:color w:val="222222"/>
          <w:highlight w:val="white"/>
          <w:lang w:val="en-GB"/>
        </w:rPr>
        <w:t>Additionally, individuals need to construct a positive environment for their decision and measure the impact it will have on the people around them. Discussions with team members and managers can help to understand the situation and to suggest new ideas. Alternatives need to be chosen and then a decision needs to be reached. Li et al (2020, p 10), noted brainstorming is seen as a very common method of generating ideas. Before making the final decision the crux of the situation needs to be examined in a thorough manner. Decision-making is complex because it involves information, knowledge, intelligence and the ability to judge a situation or a human being. The individual should be able to take command of the decision-making process and arrive at the proper decision that can benefit every stakeholder involved.</w:t>
      </w:r>
    </w:p>
    <w:p>
      <w:pPr>
        <w:rPr>
          <w:color w:val="222222"/>
          <w:highlight w:val="white"/>
          <w:lang w:val="en-GB"/>
        </w:rPr>
      </w:pPr>
      <w:r>
        <w:rPr>
          <w:color w:val="222222"/>
          <w:highlight w:val="white"/>
          <w:lang w:val="en-GB"/>
        </w:rPr>
        <w:br w:type="page"/>
      </w:r>
    </w:p>
    <w:p>
      <w:pPr>
        <w:pStyle w:val="3"/>
        <w:rPr>
          <w:highlight w:val="white"/>
          <w:lang w:val="en-GB"/>
        </w:rPr>
      </w:pPr>
      <w:bookmarkStart w:id="4" w:name="_Toc129696161"/>
      <w:r>
        <w:rPr>
          <w:highlight w:val="white"/>
          <w:lang w:val="en-GB"/>
        </w:rPr>
        <w:t>Reference List</w:t>
      </w:r>
      <w:bookmarkEnd w:id="4"/>
    </w:p>
    <w:p>
      <w:pPr>
        <w:pStyle w:val="12"/>
        <w:spacing w:before="240" w:beforeAutospacing="0" w:after="240" w:afterAutospacing="0" w:line="360" w:lineRule="auto"/>
        <w:jc w:val="both"/>
        <w:rPr>
          <w:color w:val="000000" w:themeColor="text1"/>
          <w:lang w:val="en-GB"/>
          <w14:textFill>
            <w14:solidFill>
              <w14:schemeClr w14:val="tx1"/>
            </w14:solidFill>
          </w14:textFill>
        </w:rPr>
      </w:pPr>
      <w:r>
        <w:rPr>
          <w:color w:val="000000" w:themeColor="text1"/>
          <w:shd w:val="clear" w:color="auto" w:fill="FFFFFF"/>
          <w:lang w:val="en-GB"/>
          <w14:textFill>
            <w14:solidFill>
              <w14:schemeClr w14:val="tx1"/>
            </w14:solidFill>
          </w14:textFill>
        </w:rPr>
        <w:t>Eddington, S.M., Corple, D., Buzzanell, P.M., Zoltowski, C. and Brightman, A., (2020) Addressing organizational cultural conflicts in engineering with design thinking. </w:t>
      </w:r>
      <w:r>
        <w:rPr>
          <w:i/>
          <w:iCs/>
          <w:color w:val="000000" w:themeColor="text1"/>
          <w:shd w:val="clear" w:color="auto" w:fill="FFFFFF"/>
          <w:lang w:val="en-GB"/>
          <w14:textFill>
            <w14:solidFill>
              <w14:schemeClr w14:val="tx1"/>
            </w14:solidFill>
          </w14:textFill>
        </w:rPr>
        <w:t>Negotiation and Conflict Management Research</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13</w:t>
      </w:r>
      <w:r>
        <w:rPr>
          <w:color w:val="000000" w:themeColor="text1"/>
          <w:shd w:val="clear" w:color="auto" w:fill="FFFFFF"/>
          <w:lang w:val="en-GB"/>
          <w14:textFill>
            <w14:solidFill>
              <w14:schemeClr w14:val="tx1"/>
            </w14:solidFill>
          </w14:textFill>
        </w:rPr>
        <w:t xml:space="preserve">(3), pp.263-284. </w:t>
      </w:r>
      <w:r>
        <w:rPr>
          <w:color w:val="000000" w:themeColor="text1"/>
          <w:lang w:val="en-GB"/>
          <w14:textFill>
            <w14:solidFill>
              <w14:schemeClr w14:val="tx1"/>
            </w14:solidFill>
          </w14:textFill>
        </w:rPr>
        <w:t xml:space="preserve">DOI: </w:t>
      </w:r>
      <w:r>
        <w:fldChar w:fldCharType="begin"/>
      </w:r>
      <w:r>
        <w:instrText xml:space="preserve"> HYPERLINK "https://doi.org/10.1111/ncmr.12191" </w:instrText>
      </w:r>
      <w:r>
        <w:fldChar w:fldCharType="separate"/>
      </w:r>
      <w:r>
        <w:rPr>
          <w:rStyle w:val="11"/>
          <w:color w:val="000000" w:themeColor="text1"/>
          <w:u w:val="none"/>
          <w:lang w:val="en-GB"/>
          <w14:textFill>
            <w14:solidFill>
              <w14:schemeClr w14:val="tx1"/>
            </w14:solidFill>
          </w14:textFill>
        </w:rPr>
        <w:t>https://doi.org/10.1111/ncmr.12191</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shd w:val="clear" w:color="auto" w:fill="FFFFFF"/>
          <w:lang w:val="en-GB"/>
          <w14:textFill>
            <w14:solidFill>
              <w14:schemeClr w14:val="tx1"/>
            </w14:solidFill>
          </w14:textFill>
        </w:rPr>
      </w:pPr>
      <w:r>
        <w:rPr>
          <w:color w:val="000000" w:themeColor="text1"/>
          <w:shd w:val="clear" w:color="auto" w:fill="FFFFFF"/>
          <w:lang w:val="en-GB"/>
          <w14:textFill>
            <w14:solidFill>
              <w14:schemeClr w14:val="tx1"/>
            </w14:solidFill>
          </w14:textFill>
        </w:rPr>
        <w:t>Geiger, I. and Hüffmeier, J., (2020). “The more, the merrier” or “less is more”? How the number of issues addressed in B2B sales negotiations affects dyadic and seller economic outcomes. </w:t>
      </w:r>
      <w:r>
        <w:rPr>
          <w:i/>
          <w:iCs/>
          <w:color w:val="000000" w:themeColor="text1"/>
          <w:shd w:val="clear" w:color="auto" w:fill="FFFFFF"/>
          <w:lang w:val="en-GB"/>
          <w14:textFill>
            <w14:solidFill>
              <w14:schemeClr w14:val="tx1"/>
            </w14:solidFill>
          </w14:textFill>
        </w:rPr>
        <w:t>Industrial Marketing Management</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87</w:t>
      </w:r>
      <w:r>
        <w:rPr>
          <w:color w:val="000000" w:themeColor="text1"/>
          <w:shd w:val="clear" w:color="auto" w:fill="FFFFFF"/>
          <w:lang w:val="en-GB"/>
          <w14:textFill>
            <w14:solidFill>
              <w14:schemeClr w14:val="tx1"/>
            </w14:solidFill>
          </w14:textFill>
        </w:rPr>
        <w:t>, pp.90-105.</w:t>
      </w:r>
      <w:r>
        <w:rPr>
          <w:color w:val="000000" w:themeColor="text1"/>
          <w:lang w:val="en-GB"/>
          <w14:textFill>
            <w14:solidFill>
              <w14:schemeClr w14:val="tx1"/>
            </w14:solidFill>
          </w14:textFill>
        </w:rPr>
        <w:t xml:space="preserve"> DOI: </w:t>
      </w:r>
      <w:r>
        <w:rPr>
          <w:color w:val="000000" w:themeColor="text1"/>
          <w:shd w:val="clear" w:color="auto" w:fill="FFFFFF"/>
          <w:lang w:val="en-GB"/>
          <w14:textFill>
            <w14:solidFill>
              <w14:schemeClr w14:val="tx1"/>
            </w14:solidFill>
          </w14:textFill>
        </w:rPr>
        <w:t xml:space="preserve"> </w:t>
      </w:r>
      <w:r>
        <w:fldChar w:fldCharType="begin"/>
      </w:r>
      <w:r>
        <w:instrText xml:space="preserve"> HYPERLINK "https://doi.org/10.1016/j.indmarman.2020.02.013" </w:instrText>
      </w:r>
      <w:r>
        <w:fldChar w:fldCharType="separate"/>
      </w:r>
      <w:r>
        <w:rPr>
          <w:rStyle w:val="11"/>
          <w:color w:val="000000" w:themeColor="text1"/>
          <w:u w:val="none"/>
          <w:shd w:val="clear" w:color="auto" w:fill="FFFFFF"/>
          <w:lang w:val="en-GB"/>
          <w14:textFill>
            <w14:solidFill>
              <w14:schemeClr w14:val="tx1"/>
            </w14:solidFill>
          </w14:textFill>
        </w:rPr>
        <w:t>https://doi.org/10.1016/j.indmarman.2020.02.013</w:t>
      </w:r>
      <w:r>
        <w:rPr>
          <w:rStyle w:val="11"/>
          <w:color w:val="000000" w:themeColor="text1"/>
          <w:u w:val="none"/>
          <w:shd w:val="clear" w:color="auto" w:fill="FFFFFF"/>
          <w:lang w:val="en-GB"/>
          <w14:textFill>
            <w14:solidFill>
              <w14:schemeClr w14:val="tx1"/>
            </w14:solidFill>
          </w14:textFill>
        </w:rPr>
        <w:fldChar w:fldCharType="end"/>
      </w:r>
      <w:r>
        <w:rPr>
          <w:color w:val="000000" w:themeColor="text1"/>
          <w:shd w:val="clear" w:color="auto" w:fill="FFFFFF"/>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lang w:val="en-GB"/>
          <w14:textFill>
            <w14:solidFill>
              <w14:schemeClr w14:val="tx1"/>
            </w14:solidFill>
          </w14:textFill>
        </w:rPr>
      </w:pPr>
      <w:r>
        <w:rPr>
          <w:color w:val="000000" w:themeColor="text1"/>
          <w:shd w:val="clear" w:color="auto" w:fill="FFFFFF"/>
          <w:lang w:val="en-GB"/>
          <w14:textFill>
            <w14:solidFill>
              <w14:schemeClr w14:val="tx1"/>
            </w14:solidFill>
          </w14:textFill>
        </w:rPr>
        <w:t>Li, C., Mu, X., Tan, Y., Gu, C., Hu, B.Y. and Fan, C., (2020). Do field-dependent individuals tend to have lower creativity than field-independent ones? The role of informational cues in electronic brainstorming. </w:t>
      </w:r>
      <w:r>
        <w:rPr>
          <w:i/>
          <w:iCs/>
          <w:color w:val="000000" w:themeColor="text1"/>
          <w:shd w:val="clear" w:color="auto" w:fill="FFFFFF"/>
          <w:lang w:val="en-GB"/>
          <w14:textFill>
            <w14:solidFill>
              <w14:schemeClr w14:val="tx1"/>
            </w14:solidFill>
          </w14:textFill>
        </w:rPr>
        <w:t>Interactive Learning Environments</w:t>
      </w:r>
      <w:r>
        <w:rPr>
          <w:color w:val="000000" w:themeColor="text1"/>
          <w:shd w:val="clear" w:color="auto" w:fill="FFFFFF"/>
          <w:lang w:val="en-GB"/>
          <w14:textFill>
            <w14:solidFill>
              <w14:schemeClr w14:val="tx1"/>
            </w14:solidFill>
          </w14:textFill>
        </w:rPr>
        <w:t>, pp.1-20.</w:t>
      </w:r>
      <w:r>
        <w:rPr>
          <w:color w:val="000000" w:themeColor="text1"/>
          <w:lang w:val="en-GB"/>
          <w14:textFill>
            <w14:solidFill>
              <w14:schemeClr w14:val="tx1"/>
            </w14:solidFill>
          </w14:textFill>
        </w:rPr>
        <w:t xml:space="preserve"> DOI: </w:t>
      </w:r>
      <w:r>
        <w:fldChar w:fldCharType="begin"/>
      </w:r>
      <w:r>
        <w:instrText xml:space="preserve"> HYPERLINK "https://doi.org/10.1080/10494820.2020.1821715" </w:instrText>
      </w:r>
      <w:r>
        <w:fldChar w:fldCharType="separate"/>
      </w:r>
      <w:r>
        <w:rPr>
          <w:rStyle w:val="11"/>
          <w:color w:val="000000" w:themeColor="text1"/>
          <w:u w:val="none"/>
          <w:lang w:val="en-GB"/>
          <w14:textFill>
            <w14:solidFill>
              <w14:schemeClr w14:val="tx1"/>
            </w14:solidFill>
          </w14:textFill>
        </w:rPr>
        <w:t>https://doi.org/10.1080/10494820.2020.1821715</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lang w:val="en-GB"/>
          <w14:textFill>
            <w14:solidFill>
              <w14:schemeClr w14:val="tx1"/>
            </w14:solidFill>
          </w14:textFill>
        </w:rPr>
      </w:pPr>
      <w:r>
        <w:rPr>
          <w:color w:val="000000" w:themeColor="text1"/>
          <w:shd w:val="clear" w:color="auto" w:fill="FFFFFF"/>
          <w:lang w:val="en-GB"/>
          <w14:textFill>
            <w14:solidFill>
              <w14:schemeClr w14:val="tx1"/>
            </w14:solidFill>
          </w14:textFill>
        </w:rPr>
        <w:t>Shanta, S. and Wells, J.G., (2022.) T/E design based learning: assessing student critical thinking and problem solving abilities. </w:t>
      </w:r>
      <w:r>
        <w:rPr>
          <w:i/>
          <w:iCs/>
          <w:color w:val="000000" w:themeColor="text1"/>
          <w:shd w:val="clear" w:color="auto" w:fill="FFFFFF"/>
          <w:lang w:val="en-GB"/>
          <w14:textFill>
            <w14:solidFill>
              <w14:schemeClr w14:val="tx1"/>
            </w14:solidFill>
          </w14:textFill>
        </w:rPr>
        <w:t>International Journal of Technology and Design Education</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32</w:t>
      </w:r>
      <w:r>
        <w:rPr>
          <w:color w:val="000000" w:themeColor="text1"/>
          <w:shd w:val="clear" w:color="auto" w:fill="FFFFFF"/>
          <w:lang w:val="en-GB"/>
          <w14:textFill>
            <w14:solidFill>
              <w14:schemeClr w14:val="tx1"/>
            </w14:solidFill>
          </w14:textFill>
        </w:rPr>
        <w:t xml:space="preserve">(1), pp.267-285. </w:t>
      </w:r>
      <w:r>
        <w:rPr>
          <w:color w:val="000000" w:themeColor="text1"/>
          <w:lang w:val="en-GB"/>
          <w14:textFill>
            <w14:solidFill>
              <w14:schemeClr w14:val="tx1"/>
            </w14:solidFill>
          </w14:textFill>
        </w:rPr>
        <w:t xml:space="preserve">DOI: </w:t>
      </w:r>
      <w:r>
        <w:fldChar w:fldCharType="begin"/>
      </w:r>
      <w:r>
        <w:instrText xml:space="preserve"> HYPERLINK "https://doi.org/10.1007/s10798-020-09608-8" </w:instrText>
      </w:r>
      <w:r>
        <w:fldChar w:fldCharType="separate"/>
      </w:r>
      <w:r>
        <w:rPr>
          <w:rStyle w:val="11"/>
          <w:color w:val="000000" w:themeColor="text1"/>
          <w:u w:val="none"/>
          <w:lang w:val="en-GB"/>
          <w14:textFill>
            <w14:solidFill>
              <w14:schemeClr w14:val="tx1"/>
            </w14:solidFill>
          </w14:textFill>
        </w:rPr>
        <w:t>https://doi.org/10.1007/s10798-020-09608-8</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w:t>
      </w:r>
    </w:p>
    <w:p>
      <w:pPr>
        <w:pStyle w:val="12"/>
        <w:spacing w:before="240" w:beforeAutospacing="0" w:after="240" w:afterAutospacing="0" w:line="360" w:lineRule="auto"/>
        <w:jc w:val="both"/>
        <w:rPr>
          <w:color w:val="000000" w:themeColor="text1"/>
          <w:lang w:val="en-GB"/>
          <w14:textFill>
            <w14:solidFill>
              <w14:schemeClr w14:val="tx1"/>
            </w14:solidFill>
          </w14:textFill>
        </w:rPr>
      </w:pPr>
      <w:r>
        <w:rPr>
          <w:color w:val="000000" w:themeColor="text1"/>
          <w:shd w:val="clear" w:color="auto" w:fill="FFFFFF"/>
          <w:lang w:val="en-GB"/>
          <w14:textFill>
            <w14:solidFill>
              <w14:schemeClr w14:val="tx1"/>
            </w14:solidFill>
          </w14:textFill>
        </w:rPr>
        <w:t>Troje, D. and Gluch, P., (2020). Populating the social realm: new roles arising from social procurement. </w:t>
      </w:r>
      <w:r>
        <w:rPr>
          <w:i/>
          <w:iCs/>
          <w:color w:val="000000" w:themeColor="text1"/>
          <w:shd w:val="clear" w:color="auto" w:fill="FFFFFF"/>
          <w:lang w:val="en-GB"/>
          <w14:textFill>
            <w14:solidFill>
              <w14:schemeClr w14:val="tx1"/>
            </w14:solidFill>
          </w14:textFill>
        </w:rPr>
        <w:t>Construction management and economics</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38</w:t>
      </w:r>
      <w:r>
        <w:rPr>
          <w:color w:val="000000" w:themeColor="text1"/>
          <w:shd w:val="clear" w:color="auto" w:fill="FFFFFF"/>
          <w:lang w:val="en-GB"/>
          <w14:textFill>
            <w14:solidFill>
              <w14:schemeClr w14:val="tx1"/>
            </w14:solidFill>
          </w14:textFill>
        </w:rPr>
        <w:t>(1), pp.55-70.</w:t>
      </w:r>
      <w:r>
        <w:rPr>
          <w:color w:val="000000" w:themeColor="text1"/>
          <w:lang w:val="en-GB"/>
          <w14:textFill>
            <w14:solidFill>
              <w14:schemeClr w14:val="tx1"/>
            </w14:solidFill>
          </w14:textFill>
        </w:rPr>
        <w:t xml:space="preserve"> DOI: </w:t>
      </w:r>
      <w:r>
        <w:fldChar w:fldCharType="begin"/>
      </w:r>
      <w:r>
        <w:instrText xml:space="preserve"> HYPERLINK "https://doi.org/10.1080/01446193.2019.1597273" </w:instrText>
      </w:r>
      <w:r>
        <w:fldChar w:fldCharType="separate"/>
      </w:r>
      <w:r>
        <w:rPr>
          <w:rStyle w:val="11"/>
          <w:color w:val="000000" w:themeColor="text1"/>
          <w:u w:val="none"/>
          <w:lang w:val="en-GB"/>
          <w14:textFill>
            <w14:solidFill>
              <w14:schemeClr w14:val="tx1"/>
            </w14:solidFill>
          </w14:textFill>
        </w:rPr>
        <w:t>https://doi.org/10.1080/01446193.2019.1597273</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pPr>
        <w:rPr>
          <w:color w:val="222222"/>
          <w:highlight w:val="white"/>
          <w:lang w:val="en-GB"/>
        </w:rPr>
      </w:pPr>
    </w:p>
    <w:p>
      <w:pPr>
        <w:keepNext w:val="0"/>
        <w:keepLines w:val="0"/>
        <w:widowControl/>
        <w:suppressLineNumbers w:val="0"/>
        <w:jc w:val="left"/>
        <w:rPr>
          <w:rFonts w:hint="default"/>
          <w:lang w:val="en-US"/>
        </w:rPr>
      </w:pPr>
      <w:r>
        <w:rPr>
          <w:rFonts w:hint="default"/>
          <w:color w:val="222222"/>
          <w:highlight w:val="white"/>
          <w:lang w:val="en-US"/>
        </w:rPr>
        <w:t xml:space="preserve">blog link : </w:t>
      </w:r>
      <w:r>
        <w:rPr>
          <w:rFonts w:ascii="Helvetica" w:hAnsi="Helvetica" w:eastAsia="Helvetica" w:cs="Helvetica"/>
          <w:i w:val="0"/>
          <w:iCs w:val="0"/>
          <w:caps w:val="0"/>
          <w:spacing w:val="0"/>
          <w:kern w:val="0"/>
          <w:sz w:val="28"/>
          <w:szCs w:val="28"/>
          <w:u w:val="none"/>
          <w:shd w:val="clear" w:fill="FFFFFF"/>
          <w:lang w:val="en-US" w:eastAsia="zh-CN" w:bidi="ar"/>
        </w:rPr>
        <w:fldChar w:fldCharType="begin"/>
      </w:r>
      <w:r>
        <w:rPr>
          <w:rFonts w:ascii="Helvetica" w:hAnsi="Helvetica" w:eastAsia="Helvetica" w:cs="Helvetica"/>
          <w:i w:val="0"/>
          <w:iCs w:val="0"/>
          <w:caps w:val="0"/>
          <w:spacing w:val="0"/>
          <w:kern w:val="0"/>
          <w:sz w:val="28"/>
          <w:szCs w:val="28"/>
          <w:u w:val="none"/>
          <w:shd w:val="clear" w:fill="FFFFFF"/>
          <w:lang w:val="en-US" w:eastAsia="zh-CN" w:bidi="ar"/>
        </w:rPr>
        <w:instrText xml:space="preserve"> HYPERLINK "https://vimalmaddichetti.blogspot.com/2023/03/evidence-of-learning-e-portfolio-post-2.html" </w:instrText>
      </w:r>
      <w:r>
        <w:rPr>
          <w:rFonts w:ascii="Helvetica" w:hAnsi="Helvetica" w:eastAsia="Helvetica" w:cs="Helvetica"/>
          <w:i w:val="0"/>
          <w:iCs w:val="0"/>
          <w:caps w:val="0"/>
          <w:spacing w:val="0"/>
          <w:kern w:val="0"/>
          <w:sz w:val="28"/>
          <w:szCs w:val="28"/>
          <w:u w:val="none"/>
          <w:shd w:val="clear" w:fill="FFFFFF"/>
          <w:lang w:val="en-US" w:eastAsia="zh-CN" w:bidi="ar"/>
        </w:rPr>
        <w:fldChar w:fldCharType="separate"/>
      </w:r>
      <w:r>
        <w:rPr>
          <w:rStyle w:val="11"/>
          <w:rFonts w:ascii="Helvetica" w:hAnsi="Helvetica" w:eastAsia="Helvetica" w:cs="Helvetica"/>
          <w:i w:val="0"/>
          <w:iCs w:val="0"/>
          <w:caps w:val="0"/>
          <w:spacing w:val="0"/>
          <w:kern w:val="0"/>
          <w:sz w:val="28"/>
          <w:szCs w:val="28"/>
          <w:shd w:val="clear" w:fill="FFFFFF"/>
          <w:lang w:val="en-US" w:eastAsia="zh-CN" w:bidi="ar"/>
        </w:rPr>
        <w:t>https://vimalmaddichetti.blogspot.com/2023/03/evidence-of-learning-e-portfolio-post-2.html</w:t>
      </w:r>
      <w:r>
        <w:rPr>
          <w:rFonts w:ascii="Helvetica" w:hAnsi="Helvetica" w:eastAsia="Helvetica" w:cs="Helvetica"/>
          <w:i w:val="0"/>
          <w:iCs w:val="0"/>
          <w:caps w:val="0"/>
          <w:spacing w:val="0"/>
          <w:kern w:val="0"/>
          <w:sz w:val="28"/>
          <w:szCs w:val="28"/>
          <w:u w:val="none"/>
          <w:shd w:val="clear" w:fill="FFFFFF"/>
          <w:lang w:val="en-US" w:eastAsia="zh-CN" w:bidi="ar"/>
        </w:rPr>
        <w:fldChar w:fldCharType="end"/>
      </w:r>
      <w:r>
        <w:rPr>
          <w:rFonts w:hint="default" w:ascii="Helvetica" w:hAnsi="Helvetica" w:eastAsia="Helvetica" w:cs="Helvetica"/>
          <w:i w:val="0"/>
          <w:iCs w:val="0"/>
          <w:caps w:val="0"/>
          <w:spacing w:val="0"/>
          <w:kern w:val="0"/>
          <w:sz w:val="28"/>
          <w:szCs w:val="28"/>
          <w:u w:val="none"/>
          <w:shd w:val="clear" w:fill="FFFFFF"/>
          <w:lang w:val="en-US" w:eastAsia="zh-CN" w:bidi="ar"/>
        </w:rPr>
        <w:t xml:space="preserve"> </w:t>
      </w:r>
    </w:p>
    <w:p>
      <w:pPr>
        <w:rPr>
          <w:color w:val="222222"/>
          <w:highlight w:val="white"/>
          <w:lang w:val="en-GB"/>
        </w:rPr>
      </w:pPr>
      <w:r>
        <w:rPr>
          <w:color w:val="222222"/>
          <w:highlight w:val="white"/>
          <w:lang w:val="en-GB"/>
        </w:rPr>
        <w:br w:type="page"/>
      </w:r>
    </w:p>
    <w:p>
      <w:pPr>
        <w:pStyle w:val="2"/>
        <w:rPr>
          <w:highlight w:val="white"/>
          <w:lang w:val="en-GB"/>
        </w:rPr>
      </w:pPr>
      <w:bookmarkStart w:id="5" w:name="_Toc129696162"/>
      <w:r>
        <w:rPr>
          <w:highlight w:val="white"/>
          <w:lang w:val="en-GB"/>
        </w:rPr>
        <w:t>Post 3: Merits or Shortcomings of Design thinking</w:t>
      </w:r>
      <w:bookmarkEnd w:id="5"/>
      <w:r>
        <w:rPr>
          <w:highlight w:val="white"/>
          <w:lang w:val="en-GB"/>
        </w:rPr>
        <w:t xml:space="preserve"> </w:t>
      </w:r>
    </w:p>
    <w:p>
      <w:pPr>
        <w:rPr>
          <w:color w:val="222222"/>
          <w:highlight w:val="white"/>
          <w:lang w:val="en-GB"/>
        </w:rPr>
      </w:pPr>
      <w:r>
        <w:rPr>
          <w:color w:val="222222"/>
          <w:highlight w:val="white"/>
          <w:lang w:val="en-GB"/>
        </w:rPr>
        <w:t xml:space="preserve">Design thinking is a non-linear process which tries to understand users and debate the assumption and redefine problems with innovative solutions. It is important to develop skills in design thinking since there is a rapid change in the environment of the users and their behaviour. Baker III and Moukhliss (2020, p 310), noted professionals from a variety of fields emphasise that design thinking is an enhanced creative process that can satisfy human needs in the modern era. The value of design thinking is major as a driving force in the business world that can achieve ground breaking solutions. Employers should think of implementing a work culture that supports design thinking and emphasises on exchanging unconventional ideas. The process of investigating a problem in the field of design thinking is based on different types of steps. The first step should be to empathise with the needs of the users. Maedche et al (2019,p 537), suggested the company should be able to view the situation from the perspective of the users and understand how they can address their concerns. Empathy is a key element in problem-solving and making the design thinking process human-centred. </w:t>
      </w:r>
    </w:p>
    <w:p>
      <w:pPr>
        <w:rPr>
          <w:color w:val="222222"/>
          <w:highlight w:val="white"/>
          <w:lang w:val="en-GB"/>
        </w:rPr>
      </w:pPr>
      <w:r>
        <w:rPr>
          <w:color w:val="222222"/>
          <w:highlight w:val="white"/>
          <w:lang w:val="en-GB"/>
        </w:rPr>
        <w:t xml:space="preserve">The next step is to define the specific problems of the users. In the stage of defining the information gathered about the users should be organised in a proper manner to understand the particular problems the user is facing. The “define” stage should be supporting the design team to emphasise great ideas and create functions that can solve the problem. The next stage is to generate different solutions which include “ideate” and “prototype”. Ideate is a process of perceiving the problem from various perspectives and proposing innovative solutions. Brainstorming is an effective method that is used in the process of ideating. The stage of the prototype is concerned with recognising the best solution for every problem identified through the stages. At the end of the prototype stage, the design team should have a clear idea about the limitations of the product and the obstacles it might face. Randhawa et al (2021, p 670), commented on design thinking it's primarily about understanding the needs of the users and developing solutions in a creative manner. Moreover, employers should be able to implement business simulations and provide a proper learning environment for the employees to practise design thinking. </w:t>
      </w:r>
    </w:p>
    <w:p>
      <w:pPr>
        <w:rPr>
          <w:color w:val="222222"/>
          <w:highlight w:val="white"/>
          <w:lang w:val="en-GB"/>
        </w:rPr>
      </w:pPr>
      <w:r>
        <w:rPr>
          <w:color w:val="222222"/>
          <w:highlight w:val="white"/>
          <w:lang w:val="en-GB"/>
        </w:rPr>
        <w:t xml:space="preserve">In simulation-based learning the teams can be encouraged to learn solution creation over problem-solving and apply a collaborative approach to learning and what so various challenges with a positive mindset. Earle and Leyva-de la Hiz (2021, p 583), noted the simulation process helps the learners to understand the method of design thinking and realise how the customers might have problems with the product. Additionally, it also helps the learners to perceive the different types of problems that customers might face with a particular product or service. The simulation process occurs in an experience format and allows the learners to engage and feel empowered to achieve more productive solutions. </w:t>
      </w:r>
    </w:p>
    <w:p>
      <w:pPr>
        <w:rPr>
          <w:color w:val="222222"/>
          <w:highlight w:val="white"/>
          <w:lang w:val="en-GB"/>
        </w:rPr>
      </w:pPr>
      <w:r>
        <w:rPr>
          <w:color w:val="222222"/>
          <w:highlight w:val="white"/>
          <w:lang w:val="en-GB"/>
        </w:rPr>
        <w:t>The simulation can be defined as creating a logical representation of a product or service while the implementation of these representations is called a simulation. The world's modelling and simulation are very extensively used in the context of technology and models of the physical world are often referred to as prototypes.</w:t>
      </w:r>
    </w:p>
    <w:p>
      <w:pPr>
        <w:rPr>
          <w:color w:val="222222"/>
          <w:highlight w:val="white"/>
          <w:lang w:val="en-GB"/>
        </w:rPr>
      </w:pPr>
    </w:p>
    <w:p>
      <w:pPr>
        <w:rPr>
          <w:color w:val="222222"/>
          <w:highlight w:val="white"/>
          <w:lang w:val="en-GB"/>
        </w:rPr>
      </w:pPr>
    </w:p>
    <w:p>
      <w:pPr>
        <w:spacing w:before="200"/>
        <w:rPr>
          <w:lang w:val="en-GB"/>
        </w:rPr>
      </w:pPr>
      <w:r>
        <w:rPr>
          <w:lang w:val="en-GB"/>
        </w:rPr>
        <w:br w:type="textWrapping"/>
      </w:r>
      <w:r>
        <w:rPr>
          <w:lang w:val="en-GB"/>
        </w:rPr>
        <w:br w:type="page"/>
      </w:r>
    </w:p>
    <w:p>
      <w:pPr>
        <w:pStyle w:val="3"/>
        <w:rPr>
          <w:lang w:val="en-GB"/>
        </w:rPr>
      </w:pPr>
      <w:bookmarkStart w:id="6" w:name="_vlvoeyonp81p" w:colFirst="0" w:colLast="0"/>
      <w:bookmarkEnd w:id="6"/>
      <w:bookmarkStart w:id="7" w:name="_Toc129696163"/>
      <w:r>
        <w:rPr>
          <w:lang w:val="en-GB"/>
        </w:rPr>
        <w:t>Reference List</w:t>
      </w:r>
      <w:bookmarkEnd w:id="7"/>
      <w:r>
        <w:rPr>
          <w:lang w:val="en-GB"/>
        </w:rPr>
        <w:t xml:space="preserve"> </w:t>
      </w:r>
    </w:p>
    <w:p>
      <w:pPr>
        <w:spacing w:before="240"/>
        <w:rPr>
          <w:color w:val="000000" w:themeColor="text1"/>
          <w:lang w:val="en-GB"/>
          <w14:textFill>
            <w14:solidFill>
              <w14:schemeClr w14:val="tx1"/>
            </w14:solidFill>
          </w14:textFill>
        </w:rPr>
      </w:pPr>
      <w:r>
        <w:rPr>
          <w:color w:val="000000" w:themeColor="text1"/>
          <w:shd w:val="clear" w:color="auto" w:fill="FFFFFF"/>
          <w:lang w:val="en-GB"/>
          <w14:textFill>
            <w14:solidFill>
              <w14:schemeClr w14:val="tx1"/>
            </w14:solidFill>
          </w14:textFill>
        </w:rPr>
        <w:t>Baker III, F.W. and Moukhliss, S., (2020). Concretising design thinking: A content analysis of systematic and extended literature reviews on design thinking and human‐centred design. </w:t>
      </w:r>
      <w:r>
        <w:rPr>
          <w:i/>
          <w:iCs/>
          <w:color w:val="000000" w:themeColor="text1"/>
          <w:shd w:val="clear" w:color="auto" w:fill="FFFFFF"/>
          <w:lang w:val="en-GB"/>
          <w14:textFill>
            <w14:solidFill>
              <w14:schemeClr w14:val="tx1"/>
            </w14:solidFill>
          </w14:textFill>
        </w:rPr>
        <w:t>Review of Education</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8</w:t>
      </w:r>
      <w:r>
        <w:rPr>
          <w:color w:val="000000" w:themeColor="text1"/>
          <w:shd w:val="clear" w:color="auto" w:fill="FFFFFF"/>
          <w:lang w:val="en-GB"/>
          <w14:textFill>
            <w14:solidFill>
              <w14:schemeClr w14:val="tx1"/>
            </w14:solidFill>
          </w14:textFill>
        </w:rPr>
        <w:t>(1), pp.305-333.</w:t>
      </w:r>
      <w:r>
        <w:rPr>
          <w:color w:val="000000" w:themeColor="text1"/>
          <w:lang w:val="en-GB"/>
          <w14:textFill>
            <w14:solidFill>
              <w14:schemeClr w14:val="tx1"/>
            </w14:solidFill>
          </w14:textFill>
        </w:rPr>
        <w:t xml:space="preserve">DOI: </w:t>
      </w:r>
      <w:r>
        <w:fldChar w:fldCharType="begin"/>
      </w:r>
      <w:r>
        <w:instrText xml:space="preserve"> HYPERLINK "https://doi.org/10.1002/rev3.3186" </w:instrText>
      </w:r>
      <w:r>
        <w:fldChar w:fldCharType="separate"/>
      </w:r>
      <w:r>
        <w:rPr>
          <w:rStyle w:val="11"/>
          <w:color w:val="000000" w:themeColor="text1"/>
          <w:u w:val="none"/>
          <w:lang w:val="en-GB"/>
          <w14:textFill>
            <w14:solidFill>
              <w14:schemeClr w14:val="tx1"/>
            </w14:solidFill>
          </w14:textFill>
        </w:rPr>
        <w:t>https://doi.org/10.1002/rev3.3186</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lang w:val="en-GB"/>
          <w14:textFill>
            <w14:solidFill>
              <w14:schemeClr w14:val="tx1"/>
            </w14:solidFill>
          </w14:textFill>
        </w:rPr>
      </w:pPr>
      <w:bookmarkStart w:id="8" w:name="_Hlk129692858"/>
      <w:r>
        <w:rPr>
          <w:color w:val="000000" w:themeColor="text1"/>
          <w:shd w:val="clear" w:color="auto" w:fill="FFFFFF"/>
          <w:lang w:val="en-GB"/>
          <w14:textFill>
            <w14:solidFill>
              <w14:schemeClr w14:val="tx1"/>
            </w14:solidFill>
          </w14:textFill>
        </w:rPr>
        <w:t xml:space="preserve">Earle, A.G. and Leyva-de la Hiz, D.I., (2021). </w:t>
      </w:r>
      <w:bookmarkEnd w:id="8"/>
      <w:r>
        <w:rPr>
          <w:color w:val="000000" w:themeColor="text1"/>
          <w:shd w:val="clear" w:color="auto" w:fill="FFFFFF"/>
          <w:lang w:val="en-GB"/>
          <w14:textFill>
            <w14:solidFill>
              <w14:schemeClr w14:val="tx1"/>
            </w14:solidFill>
          </w14:textFill>
        </w:rPr>
        <w:t>The wicked problem of teaching about wicked problems: Design thinking and emerging technologies in sustainability education. </w:t>
      </w:r>
      <w:r>
        <w:rPr>
          <w:i/>
          <w:iCs/>
          <w:color w:val="000000" w:themeColor="text1"/>
          <w:shd w:val="clear" w:color="auto" w:fill="FFFFFF"/>
          <w:lang w:val="en-GB"/>
          <w14:textFill>
            <w14:solidFill>
              <w14:schemeClr w14:val="tx1"/>
            </w14:solidFill>
          </w14:textFill>
        </w:rPr>
        <w:t>Management Learning</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52</w:t>
      </w:r>
      <w:r>
        <w:rPr>
          <w:color w:val="000000" w:themeColor="text1"/>
          <w:shd w:val="clear" w:color="auto" w:fill="FFFFFF"/>
          <w:lang w:val="en-GB"/>
          <w14:textFill>
            <w14:solidFill>
              <w14:schemeClr w14:val="tx1"/>
            </w14:solidFill>
          </w14:textFill>
        </w:rPr>
        <w:t>(5), pp.581-603.</w:t>
      </w:r>
      <w:r>
        <w:rPr>
          <w:color w:val="000000" w:themeColor="text1"/>
          <w:lang w:val="en-GB"/>
          <w14:textFill>
            <w14:solidFill>
              <w14:schemeClr w14:val="tx1"/>
            </w14:solidFill>
          </w14:textFill>
        </w:rPr>
        <w:t xml:space="preserve"> DOI: </w:t>
      </w:r>
      <w:r>
        <w:fldChar w:fldCharType="begin"/>
      </w:r>
      <w:r>
        <w:instrText xml:space="preserve"> HYPERLINK "https://doi.org/10.1177/1350507620974857" </w:instrText>
      </w:r>
      <w:r>
        <w:fldChar w:fldCharType="separate"/>
      </w:r>
      <w:r>
        <w:rPr>
          <w:rStyle w:val="11"/>
          <w:color w:val="000000" w:themeColor="text1"/>
          <w:u w:val="none"/>
          <w:lang w:val="en-GB"/>
          <w14:textFill>
            <w14:solidFill>
              <w14:schemeClr w14:val="tx1"/>
            </w14:solidFill>
          </w14:textFill>
        </w:rPr>
        <w:t>https://doi.org/10.1177/1350507620974857</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shd w:val="clear" w:color="auto" w:fill="FCFCFC"/>
          <w:lang w:val="en-GB"/>
          <w14:textFill>
            <w14:solidFill>
              <w14:schemeClr w14:val="tx1"/>
            </w14:solidFill>
          </w14:textFill>
        </w:rPr>
      </w:pPr>
      <w:r>
        <w:rPr>
          <w:color w:val="000000" w:themeColor="text1"/>
          <w:shd w:val="clear" w:color="auto" w:fill="FFFFFF"/>
          <w:lang w:val="en-GB"/>
          <w14:textFill>
            <w14:solidFill>
              <w14:schemeClr w14:val="tx1"/>
            </w14:solidFill>
          </w14:textFill>
        </w:rPr>
        <w:t>Maedche, A., Legner, C., Benlian, A., Berger, B., Gimpel, H., Hess, T., Hinz, O., Morana, S. and Söllner, M., (2019). AI-based digital assistants: Opportunities, threats, and research perspectives. </w:t>
      </w:r>
      <w:r>
        <w:rPr>
          <w:i/>
          <w:iCs/>
          <w:color w:val="000000" w:themeColor="text1"/>
          <w:shd w:val="clear" w:color="auto" w:fill="FFFFFF"/>
          <w:lang w:val="en-GB"/>
          <w14:textFill>
            <w14:solidFill>
              <w14:schemeClr w14:val="tx1"/>
            </w14:solidFill>
          </w14:textFill>
        </w:rPr>
        <w:t>Business &amp; Information Systems Engineering</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61</w:t>
      </w:r>
      <w:r>
        <w:rPr>
          <w:color w:val="000000" w:themeColor="text1"/>
          <w:shd w:val="clear" w:color="auto" w:fill="FFFFFF"/>
          <w:lang w:val="en-GB"/>
          <w14:textFill>
            <w14:solidFill>
              <w14:schemeClr w14:val="tx1"/>
            </w14:solidFill>
          </w14:textFill>
        </w:rPr>
        <w:t>, pp.535-544.</w:t>
      </w:r>
      <w:r>
        <w:rPr>
          <w:color w:val="000000" w:themeColor="text1"/>
          <w:lang w:val="en-GB"/>
          <w14:textFill>
            <w14:solidFill>
              <w14:schemeClr w14:val="tx1"/>
            </w14:solidFill>
          </w14:textFill>
        </w:rPr>
        <w:t xml:space="preserve"> DOI:</w:t>
      </w:r>
      <w:r>
        <w:rPr>
          <w:color w:val="000000" w:themeColor="text1"/>
          <w:shd w:val="clear" w:color="auto" w:fill="FCFCFC"/>
          <w:lang w:val="en-GB"/>
          <w14:textFill>
            <w14:solidFill>
              <w14:schemeClr w14:val="tx1"/>
            </w14:solidFill>
          </w14:textFill>
        </w:rPr>
        <w:t xml:space="preserve"> </w:t>
      </w:r>
      <w:r>
        <w:fldChar w:fldCharType="begin"/>
      </w:r>
      <w:r>
        <w:instrText xml:space="preserve"> HYPERLINK "https://doi.org/10.1007/s12599-019-00600-8" </w:instrText>
      </w:r>
      <w:r>
        <w:fldChar w:fldCharType="separate"/>
      </w:r>
      <w:r>
        <w:rPr>
          <w:rStyle w:val="11"/>
          <w:color w:val="000000" w:themeColor="text1"/>
          <w:u w:val="none"/>
          <w:shd w:val="clear" w:color="auto" w:fill="FCFCFC"/>
          <w:lang w:val="en-GB"/>
          <w14:textFill>
            <w14:solidFill>
              <w14:schemeClr w14:val="tx1"/>
            </w14:solidFill>
          </w14:textFill>
        </w:rPr>
        <w:t>https://doi.org/10.1007/s12599-019-00600-8</w:t>
      </w:r>
      <w:r>
        <w:rPr>
          <w:rStyle w:val="11"/>
          <w:color w:val="000000" w:themeColor="text1"/>
          <w:u w:val="none"/>
          <w:shd w:val="clear" w:color="auto" w:fill="FCFCFC"/>
          <w:lang w:val="en-GB"/>
          <w14:textFill>
            <w14:solidFill>
              <w14:schemeClr w14:val="tx1"/>
            </w14:solidFill>
          </w14:textFill>
        </w:rPr>
        <w:fldChar w:fldCharType="end"/>
      </w:r>
      <w:r>
        <w:rPr>
          <w:color w:val="000000" w:themeColor="text1"/>
          <w:shd w:val="clear" w:color="auto" w:fill="FCFCFC"/>
          <w:lang w:val="en-GB"/>
          <w14:textFill>
            <w14:solidFill>
              <w14:schemeClr w14:val="tx1"/>
            </w14:solidFill>
          </w14:textFill>
        </w:rPr>
        <w:t xml:space="preserve"> </w:t>
      </w:r>
    </w:p>
    <w:p>
      <w:pPr>
        <w:pStyle w:val="12"/>
        <w:spacing w:before="240" w:beforeAutospacing="0" w:after="240" w:afterAutospacing="0" w:line="360" w:lineRule="auto"/>
        <w:jc w:val="both"/>
        <w:rPr>
          <w:color w:val="000000" w:themeColor="text1"/>
          <w:lang w:val="en-GB"/>
          <w14:textFill>
            <w14:solidFill>
              <w14:schemeClr w14:val="tx1"/>
            </w14:solidFill>
          </w14:textFill>
        </w:rPr>
      </w:pPr>
      <w:r>
        <w:rPr>
          <w:color w:val="000000" w:themeColor="text1"/>
          <w:shd w:val="clear" w:color="auto" w:fill="FFFFFF"/>
          <w:lang w:val="en-GB"/>
          <w14:textFill>
            <w14:solidFill>
              <w14:schemeClr w14:val="tx1"/>
            </w14:solidFill>
          </w14:textFill>
        </w:rPr>
        <w:t>Randhawa, K., Nikolova, N., Ahuja, S. and Schweitzer, J., (2021). Design thinking implementation for innovation: An organization's journey to ambidexterity. </w:t>
      </w:r>
      <w:r>
        <w:rPr>
          <w:i/>
          <w:iCs/>
          <w:color w:val="000000" w:themeColor="text1"/>
          <w:shd w:val="clear" w:color="auto" w:fill="FFFFFF"/>
          <w:lang w:val="en-GB"/>
          <w14:textFill>
            <w14:solidFill>
              <w14:schemeClr w14:val="tx1"/>
            </w14:solidFill>
          </w14:textFill>
        </w:rPr>
        <w:t>Journal of Product Innovation Management</w:t>
      </w:r>
      <w:r>
        <w:rPr>
          <w:color w:val="000000" w:themeColor="text1"/>
          <w:shd w:val="clear" w:color="auto" w:fill="FFFFFF"/>
          <w:lang w:val="en-GB"/>
          <w14:textFill>
            <w14:solidFill>
              <w14:schemeClr w14:val="tx1"/>
            </w14:solidFill>
          </w14:textFill>
        </w:rPr>
        <w:t>, </w:t>
      </w:r>
      <w:r>
        <w:rPr>
          <w:i/>
          <w:iCs/>
          <w:color w:val="000000" w:themeColor="text1"/>
          <w:shd w:val="clear" w:color="auto" w:fill="FFFFFF"/>
          <w:lang w:val="en-GB"/>
          <w14:textFill>
            <w14:solidFill>
              <w14:schemeClr w14:val="tx1"/>
            </w14:solidFill>
          </w14:textFill>
        </w:rPr>
        <w:t>38</w:t>
      </w:r>
      <w:r>
        <w:rPr>
          <w:color w:val="000000" w:themeColor="text1"/>
          <w:shd w:val="clear" w:color="auto" w:fill="FFFFFF"/>
          <w:lang w:val="en-GB"/>
          <w14:textFill>
            <w14:solidFill>
              <w14:schemeClr w14:val="tx1"/>
            </w14:solidFill>
          </w14:textFill>
        </w:rPr>
        <w:t>(6), pp.668-700.</w:t>
      </w:r>
      <w:r>
        <w:rPr>
          <w:color w:val="000000" w:themeColor="text1"/>
          <w:lang w:val="en-GB"/>
          <w14:textFill>
            <w14:solidFill>
              <w14:schemeClr w14:val="tx1"/>
            </w14:solidFill>
          </w14:textFill>
        </w:rPr>
        <w:t xml:space="preserve"> DOI: </w:t>
      </w:r>
      <w:r>
        <w:fldChar w:fldCharType="begin"/>
      </w:r>
      <w:r>
        <w:instrText xml:space="preserve"> HYPERLINK "https://doi.org/10.1111/jpim.12599" </w:instrText>
      </w:r>
      <w:r>
        <w:fldChar w:fldCharType="separate"/>
      </w:r>
      <w:r>
        <w:rPr>
          <w:rStyle w:val="11"/>
          <w:color w:val="000000" w:themeColor="text1"/>
          <w:u w:val="none"/>
          <w:lang w:val="en-GB"/>
          <w14:textFill>
            <w14:solidFill>
              <w14:schemeClr w14:val="tx1"/>
            </w14:solidFill>
          </w14:textFill>
        </w:rPr>
        <w:t>https://doi.org/10.1111/jpim.12599</w:t>
      </w:r>
      <w:r>
        <w:rPr>
          <w:rStyle w:val="11"/>
          <w:color w:val="000000" w:themeColor="text1"/>
          <w:u w:val="non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pPr>
        <w:keepNext w:val="0"/>
        <w:keepLines w:val="0"/>
        <w:widowControl/>
        <w:suppressLineNumbers w:val="0"/>
        <w:jc w:val="left"/>
        <w:rPr>
          <w:rFonts w:hint="default"/>
          <w:lang w:val="en-US"/>
        </w:rPr>
      </w:pPr>
      <w:r>
        <w:rPr>
          <w:rFonts w:hint="default"/>
          <w:color w:val="000000" w:themeColor="text1"/>
          <w:lang w:val="en-US"/>
          <w14:textFill>
            <w14:solidFill>
              <w14:schemeClr w14:val="tx1"/>
            </w14:solidFill>
          </w14:textFill>
        </w:rPr>
        <w:t xml:space="preserve">blog link : </w:t>
      </w:r>
      <w:r>
        <w:rPr>
          <w:rFonts w:ascii="Helvetica" w:hAnsi="Helvetica" w:eastAsia="Helvetica" w:cs="Helvetica"/>
          <w:i w:val="0"/>
          <w:iCs w:val="0"/>
          <w:caps w:val="0"/>
          <w:spacing w:val="0"/>
          <w:kern w:val="0"/>
          <w:sz w:val="28"/>
          <w:szCs w:val="28"/>
          <w:u w:val="none"/>
          <w:shd w:val="clear" w:fill="FFFFFF"/>
          <w:lang w:val="en-US" w:eastAsia="zh-CN" w:bidi="ar"/>
        </w:rPr>
        <w:fldChar w:fldCharType="begin"/>
      </w:r>
      <w:r>
        <w:rPr>
          <w:rFonts w:ascii="Helvetica" w:hAnsi="Helvetica" w:eastAsia="Helvetica" w:cs="Helvetica"/>
          <w:i w:val="0"/>
          <w:iCs w:val="0"/>
          <w:caps w:val="0"/>
          <w:spacing w:val="0"/>
          <w:kern w:val="0"/>
          <w:sz w:val="28"/>
          <w:szCs w:val="28"/>
          <w:u w:val="none"/>
          <w:shd w:val="clear" w:fill="FFFFFF"/>
          <w:lang w:val="en-US" w:eastAsia="zh-CN" w:bidi="ar"/>
        </w:rPr>
        <w:instrText xml:space="preserve"> HYPERLINK "https://vimalmaddichetti.blogspot.com/2023/03/evidence-of-learning-e-portfolio-post-3.html" </w:instrText>
      </w:r>
      <w:r>
        <w:rPr>
          <w:rFonts w:ascii="Helvetica" w:hAnsi="Helvetica" w:eastAsia="Helvetica" w:cs="Helvetica"/>
          <w:i w:val="0"/>
          <w:iCs w:val="0"/>
          <w:caps w:val="0"/>
          <w:spacing w:val="0"/>
          <w:kern w:val="0"/>
          <w:sz w:val="28"/>
          <w:szCs w:val="28"/>
          <w:u w:val="none"/>
          <w:shd w:val="clear" w:fill="FFFFFF"/>
          <w:lang w:val="en-US" w:eastAsia="zh-CN" w:bidi="ar"/>
        </w:rPr>
        <w:fldChar w:fldCharType="separate"/>
      </w:r>
      <w:r>
        <w:rPr>
          <w:rStyle w:val="11"/>
          <w:rFonts w:ascii="Helvetica" w:hAnsi="Helvetica" w:eastAsia="Helvetica" w:cs="Helvetica"/>
          <w:i w:val="0"/>
          <w:iCs w:val="0"/>
          <w:caps w:val="0"/>
          <w:spacing w:val="0"/>
          <w:kern w:val="0"/>
          <w:sz w:val="28"/>
          <w:szCs w:val="28"/>
          <w:shd w:val="clear" w:fill="FFFFFF"/>
          <w:lang w:val="en-US" w:eastAsia="zh-CN" w:bidi="ar"/>
        </w:rPr>
        <w:t>https://vimalmaddichetti.blogspot.com/2023/03/evidence-of-learning-e-portfolio-post-3.html</w:t>
      </w:r>
      <w:r>
        <w:rPr>
          <w:rFonts w:ascii="Helvetica" w:hAnsi="Helvetica" w:eastAsia="Helvetica" w:cs="Helvetica"/>
          <w:i w:val="0"/>
          <w:iCs w:val="0"/>
          <w:caps w:val="0"/>
          <w:spacing w:val="0"/>
          <w:kern w:val="0"/>
          <w:sz w:val="28"/>
          <w:szCs w:val="28"/>
          <w:u w:val="none"/>
          <w:shd w:val="clear" w:fill="FFFFFF"/>
          <w:lang w:val="en-US" w:eastAsia="zh-CN" w:bidi="ar"/>
        </w:rPr>
        <w:fldChar w:fldCharType="end"/>
      </w:r>
      <w:r>
        <w:rPr>
          <w:rFonts w:hint="default" w:ascii="Helvetica" w:hAnsi="Helvetica" w:eastAsia="Helvetica" w:cs="Helvetica"/>
          <w:i w:val="0"/>
          <w:iCs w:val="0"/>
          <w:caps w:val="0"/>
          <w:spacing w:val="0"/>
          <w:kern w:val="0"/>
          <w:sz w:val="28"/>
          <w:szCs w:val="28"/>
          <w:u w:val="none"/>
          <w:shd w:val="clear" w:fill="FFFFFF"/>
          <w:lang w:val="en-US" w:eastAsia="zh-CN" w:bidi="ar"/>
        </w:rPr>
        <w:t xml:space="preserve"> </w:t>
      </w:r>
    </w:p>
    <w:p>
      <w:pPr>
        <w:pStyle w:val="12"/>
        <w:spacing w:before="240" w:beforeAutospacing="0" w:after="240" w:afterAutospacing="0" w:line="360" w:lineRule="auto"/>
        <w:jc w:val="both"/>
        <w:rPr>
          <w:rFonts w:hint="default"/>
          <w:color w:val="000000" w:themeColor="text1"/>
          <w:lang w:val="en-US"/>
          <w14:textFill>
            <w14:solidFill>
              <w14:schemeClr w14:val="tx1"/>
            </w14:solidFill>
          </w14:textFill>
        </w:rPr>
      </w:pPr>
      <w:bookmarkStart w:id="9" w:name="_GoBack"/>
      <w:bookmarkEnd w:id="9"/>
    </w:p>
    <w:sectPr>
      <w:footerReference r:id="rId5" w:type="default"/>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Tahoma">
    <w:panose1 w:val="020B0604030504040204"/>
    <w:charset w:val="00"/>
    <w:family w:val="swiss"/>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2000000" w:usb3="00000000" w:csb0="0000019F" w:csb1="00000000"/>
  </w:font>
  <w:font w:name="苹方-简">
    <w:panose1 w:val="020B0400000000000000"/>
    <w:charset w:val="86"/>
    <w:family w:val="auto"/>
    <w:pitch w:val="default"/>
    <w:sig w:usb0="00000000" w:usb1="00000000" w:usb2="00000000" w:usb3="00000000" w:csb0="00160000" w:csb1="00000000"/>
  </w:font>
  <w:font w:name="Hiragino Sans CNS">
    <w:panose1 w:val="020B0300000000000000"/>
    <w:charset w:val="86"/>
    <w:family w:val="auto"/>
    <w:pitch w:val="default"/>
    <w:sig w:usb0="00000000" w:usb1="00000000" w:usb2="00000000" w:usb3="00000000" w:csb0="00160000" w:csb1="00000000"/>
  </w:font>
  <w:font w:name="Helvetica">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
  <w:rsids>
    <w:rsidRoot w:val="00EF4FBD"/>
    <w:rsid w:val="001263F6"/>
    <w:rsid w:val="001D13CE"/>
    <w:rsid w:val="0021252B"/>
    <w:rsid w:val="002636B6"/>
    <w:rsid w:val="00300CB5"/>
    <w:rsid w:val="003D6D17"/>
    <w:rsid w:val="00706C60"/>
    <w:rsid w:val="007147AE"/>
    <w:rsid w:val="00751815"/>
    <w:rsid w:val="00766BDC"/>
    <w:rsid w:val="007D7BCC"/>
    <w:rsid w:val="008577C1"/>
    <w:rsid w:val="00936062"/>
    <w:rsid w:val="00BE1208"/>
    <w:rsid w:val="00C24BB9"/>
    <w:rsid w:val="00D87E56"/>
    <w:rsid w:val="00E15973"/>
    <w:rsid w:val="00E20F77"/>
    <w:rsid w:val="00E612A7"/>
    <w:rsid w:val="00EF4FBD"/>
    <w:rsid w:val="DFFF8C8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IN" w:eastAsia="en-IN" w:bidi="ar-SA"/>
    </w:rPr>
  </w:style>
  <w:style w:type="paragraph" w:styleId="2">
    <w:name w:val="heading 1"/>
    <w:basedOn w:val="1"/>
    <w:next w:val="1"/>
    <w:uiPriority w:val="0"/>
    <w:pPr>
      <w:keepNext/>
      <w:keepLines/>
      <w:outlineLvl w:val="0"/>
    </w:pPr>
    <w:rPr>
      <w:b/>
      <w:sz w:val="28"/>
      <w:szCs w:val="28"/>
    </w:rPr>
  </w:style>
  <w:style w:type="paragraph" w:styleId="3">
    <w:name w:val="heading 2"/>
    <w:basedOn w:val="2"/>
    <w:next w:val="1"/>
    <w:uiPriority w:val="0"/>
    <w:pPr>
      <w:outlineLvl w:val="1"/>
    </w:pPr>
    <w:rPr>
      <w:sz w:val="26"/>
      <w:szCs w:val="26"/>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rPr>
  </w:style>
  <w:style w:type="paragraph" w:styleId="6">
    <w:name w:val="heading 5"/>
    <w:basedOn w:val="1"/>
    <w:next w:val="1"/>
    <w:uiPriority w:val="0"/>
    <w:pPr>
      <w:keepNext/>
      <w:keepLines/>
      <w:spacing w:before="240" w:after="80"/>
      <w:outlineLvl w:val="4"/>
    </w:pPr>
    <w:rPr>
      <w:color w:val="666666"/>
      <w:sz w:val="22"/>
      <w:szCs w:val="22"/>
    </w:rPr>
  </w:style>
  <w:style w:type="paragraph" w:styleId="7">
    <w:name w:val="heading 6"/>
    <w:basedOn w:val="1"/>
    <w:next w:val="1"/>
    <w:uiPriority w:val="0"/>
    <w:pPr>
      <w:keepNext/>
      <w:keepLines/>
      <w:spacing w:before="240" w:after="80"/>
      <w:outlineLvl w:val="5"/>
    </w:pPr>
    <w:rPr>
      <w:i/>
      <w:color w:val="666666"/>
      <w:sz w:val="22"/>
      <w:szCs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19"/>
    <w:semiHidden/>
    <w:unhideWhenUsed/>
    <w:uiPriority w:val="99"/>
    <w:pPr>
      <w:spacing w:line="240" w:lineRule="auto"/>
    </w:pPr>
    <w:rPr>
      <w:rFonts w:ascii="Tahoma" w:hAnsi="Tahoma" w:cs="Tahoma"/>
      <w:sz w:val="16"/>
      <w:szCs w:val="16"/>
    </w:rPr>
  </w:style>
  <w:style w:type="character" w:styleId="11">
    <w:name w:val="Hyperlink"/>
    <w:basedOn w:val="8"/>
    <w:unhideWhenUsed/>
    <w:uiPriority w:val="99"/>
    <w:rPr>
      <w:color w:val="0000FF" w:themeColor="hyperlink"/>
      <w:u w:val="single"/>
      <w14:textFill>
        <w14:solidFill>
          <w14:schemeClr w14:val="hlink"/>
        </w14:solidFill>
      </w14:textFill>
    </w:rPr>
  </w:style>
  <w:style w:type="paragraph" w:styleId="12">
    <w:name w:val="Normal (Web)"/>
    <w:basedOn w:val="1"/>
    <w:semiHidden/>
    <w:unhideWhenUsed/>
    <w:uiPriority w:val="99"/>
    <w:pPr>
      <w:spacing w:before="100" w:beforeAutospacing="1" w:after="100" w:afterAutospacing="1" w:line="240" w:lineRule="auto"/>
      <w:jc w:val="left"/>
    </w:pPr>
  </w:style>
  <w:style w:type="paragraph" w:styleId="13">
    <w:name w:val="Subtitle"/>
    <w:basedOn w:val="1"/>
    <w:next w:val="1"/>
    <w:uiPriority w:val="0"/>
    <w:pPr>
      <w:keepNext/>
      <w:keepLines/>
      <w:spacing w:after="320"/>
    </w:pPr>
    <w:rPr>
      <w:rFonts w:ascii="Arial" w:hAnsi="Arial" w:eastAsia="Arial" w:cs="Arial"/>
      <w:color w:val="666666"/>
      <w:sz w:val="30"/>
      <w:szCs w:val="30"/>
    </w:rPr>
  </w:style>
  <w:style w:type="paragraph" w:styleId="14">
    <w:name w:val="Title"/>
    <w:basedOn w:val="1"/>
    <w:next w:val="1"/>
    <w:uiPriority w:val="0"/>
    <w:pPr>
      <w:keepNext/>
      <w:keepLines/>
      <w:spacing w:after="60"/>
    </w:pPr>
    <w:rPr>
      <w:sz w:val="52"/>
      <w:szCs w:val="52"/>
    </w:rPr>
  </w:style>
  <w:style w:type="paragraph" w:styleId="15">
    <w:name w:val="toc 1"/>
    <w:basedOn w:val="1"/>
    <w:next w:val="1"/>
    <w:unhideWhenUsed/>
    <w:uiPriority w:val="39"/>
    <w:pPr>
      <w:spacing w:after="100"/>
    </w:pPr>
  </w:style>
  <w:style w:type="paragraph" w:styleId="16">
    <w:name w:val="toc 2"/>
    <w:basedOn w:val="1"/>
    <w:next w:val="1"/>
    <w:unhideWhenUsed/>
    <w:uiPriority w:val="39"/>
    <w:pPr>
      <w:spacing w:after="100"/>
      <w:ind w:left="240"/>
    </w:pPr>
  </w:style>
  <w:style w:type="paragraph" w:styleId="17">
    <w:name w:val="No Spacing"/>
    <w:qFormat/>
    <w:uiPriority w:val="1"/>
    <w:pPr>
      <w:spacing w:line="240" w:lineRule="auto"/>
      <w:jc w:val="both"/>
    </w:pPr>
    <w:rPr>
      <w:rFonts w:ascii="Times New Roman" w:hAnsi="Times New Roman" w:eastAsia="Times New Roman" w:cs="Times New Roman"/>
      <w:sz w:val="24"/>
      <w:szCs w:val="24"/>
      <w:lang w:val="en-IN" w:eastAsia="en-IN" w:bidi="ar-SA"/>
    </w:rPr>
  </w:style>
  <w:style w:type="paragraph" w:customStyle="1" w:styleId="18">
    <w:name w:val="TOC Heading"/>
    <w:basedOn w:val="2"/>
    <w:next w:val="1"/>
    <w:semiHidden/>
    <w:unhideWhenUsed/>
    <w:qFormat/>
    <w:uiPriority w:val="39"/>
    <w:pPr>
      <w:spacing w:before="480" w:line="276" w:lineRule="auto"/>
      <w:jc w:val="left"/>
      <w:outlineLvl w:val="9"/>
    </w:pPr>
    <w:rPr>
      <w:rFonts w:asciiTheme="majorHAnsi" w:hAnsiTheme="majorHAnsi" w:eastAsiaTheme="majorEastAsia" w:cstheme="majorBidi"/>
      <w:bCs/>
      <w:color w:val="376092" w:themeColor="accent1" w:themeShade="BF"/>
      <w:lang w:val="en-US" w:eastAsia="ja-JP"/>
    </w:rPr>
  </w:style>
  <w:style w:type="character" w:customStyle="1" w:styleId="19">
    <w:name w:val="Balloon Text Char"/>
    <w:basedOn w:val="8"/>
    <w:link w:val="10"/>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11</Pages>
  <Words>2307</Words>
  <Characters>13104</Characters>
  <Lines>229</Lines>
  <Paragraphs>57</Paragraphs>
  <TotalTime>20</TotalTime>
  <ScaleCrop>false</ScaleCrop>
  <LinksUpToDate>false</LinksUpToDate>
  <CharactersWithSpaces>15354</CharactersWithSpaces>
  <Application>WPS Office_5.0.0.7908_F1E327BC-269C-435d-A152-05C5408002CA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2023-03-14T06:29:00Z</dcterms:created>
  <dc:creator>Vimal Madishetty</dc:creator>
  <cp:lastModifiedBy>vimalmadishetty</cp:lastModifiedBy>
  <dcterms:modified xsi:type="dcterms:W3CDTF">2023-03-31T23:30:06Z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7742ef79d3441cd350e04afbae655b03cbe874069df793fe6510a36faeb105dd</vt:lpwstr>
  </property>
  <property fmtid="{D5CDD505-2E9C-101B-9397-08002B2CF9AE}" pid="3" name="KSOProductBuildVer">
    <vt:lpwstr>1033-5.0.0.7908</vt:lpwstr>
  </property>
</Properties>
</file>