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color w:val="0d0d0d"/>
        </w:rPr>
      </w:pPr>
      <w:r w:rsidDel="00000000" w:rsidR="00000000" w:rsidRPr="00000000">
        <w:rPr>
          <w:rFonts w:ascii="Arial" w:cs="Arial" w:eastAsia="Arial" w:hAnsi="Arial"/>
          <w:color w:val="0d0d0d"/>
        </w:rPr>
        <w:drawing>
          <wp:inline distB="114300" distT="114300" distL="114300" distR="114300">
            <wp:extent cx="4206713" cy="1469815"/>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206713" cy="14698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Programme: Master of Business Administration</w:t>
      </w:r>
    </w:p>
    <w:p w:rsidR="00000000" w:rsidDel="00000000" w:rsidP="00000000" w:rsidRDefault="00000000" w:rsidRPr="00000000" w14:paraId="00000003">
      <w:pPr>
        <w:jc w:val="center"/>
        <w:rPr>
          <w:rFonts w:ascii="Arial" w:cs="Arial" w:eastAsia="Arial" w:hAnsi="Arial"/>
          <w:color w:val="0d0d0d"/>
        </w:rPr>
      </w:pPr>
      <w:r w:rsidDel="00000000" w:rsidR="00000000" w:rsidRPr="00000000">
        <w:rPr>
          <w:rtl w:val="0"/>
        </w:rPr>
      </w:r>
    </w:p>
    <w:p w:rsidR="00000000" w:rsidDel="00000000" w:rsidP="00000000" w:rsidRDefault="00000000" w:rsidRPr="00000000" w14:paraId="00000004">
      <w:pPr>
        <w:jc w:val="center"/>
        <w:rPr>
          <w:rFonts w:ascii="Arial" w:cs="Arial" w:eastAsia="Arial" w:hAnsi="Arial"/>
          <w:color w:val="0d0d0d"/>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ASSESSMENT 1 - ESSAY</w:t>
      </w:r>
    </w:p>
    <w:p w:rsidR="00000000" w:rsidDel="00000000" w:rsidP="00000000" w:rsidRDefault="00000000" w:rsidRPr="00000000" w14:paraId="00000006">
      <w:pPr>
        <w:jc w:val="center"/>
        <w:rPr>
          <w:rFonts w:ascii="Arial" w:cs="Arial" w:eastAsia="Arial" w:hAnsi="Arial"/>
          <w:b w:val="1"/>
          <w:color w:val="0d0d0d"/>
          <w:sz w:val="32"/>
          <w:szCs w:val="32"/>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Marketing Management</w:t>
      </w:r>
    </w:p>
    <w:p w:rsidR="00000000" w:rsidDel="00000000" w:rsidP="00000000" w:rsidRDefault="00000000" w:rsidRPr="00000000" w14:paraId="00000008">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LCMB7024</w:t>
      </w:r>
    </w:p>
    <w:p w:rsidR="00000000" w:rsidDel="00000000" w:rsidP="00000000" w:rsidRDefault="00000000" w:rsidRPr="00000000" w14:paraId="00000009">
      <w:pPr>
        <w:jc w:val="center"/>
        <w:rPr>
          <w:rFonts w:ascii="Arial" w:cs="Arial" w:eastAsia="Arial" w:hAnsi="Arial"/>
          <w:b w:val="1"/>
          <w:color w:val="0d0d0d"/>
          <w:sz w:val="32"/>
          <w:szCs w:val="32"/>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Student Name: Lakhan Odedara</w:t>
      </w:r>
    </w:p>
    <w:p w:rsidR="00000000" w:rsidDel="00000000" w:rsidP="00000000" w:rsidRDefault="00000000" w:rsidRPr="00000000" w14:paraId="0000000B">
      <w:pPr>
        <w:jc w:val="center"/>
        <w:rPr>
          <w:rFonts w:ascii="Arial" w:cs="Arial" w:eastAsia="Arial" w:hAnsi="Arial"/>
          <w:b w:val="1"/>
          <w:color w:val="0d0d0d"/>
          <w:sz w:val="32"/>
          <w:szCs w:val="32"/>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Student Number: 2427114</w:t>
      </w:r>
    </w:p>
    <w:p w:rsidR="00000000" w:rsidDel="00000000" w:rsidP="00000000" w:rsidRDefault="00000000" w:rsidRPr="00000000" w14:paraId="0000000D">
      <w:pPr>
        <w:jc w:val="center"/>
        <w:rPr>
          <w:rFonts w:ascii="Arial" w:cs="Arial" w:eastAsia="Arial" w:hAnsi="Arial"/>
          <w:b w:val="1"/>
          <w:color w:val="0d0d0d"/>
          <w:sz w:val="32"/>
          <w:szCs w:val="3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Lecturer Name: Laila Maazouz</w:t>
      </w:r>
    </w:p>
    <w:p w:rsidR="00000000" w:rsidDel="00000000" w:rsidP="00000000" w:rsidRDefault="00000000" w:rsidRPr="00000000" w14:paraId="0000000F">
      <w:pPr>
        <w:jc w:val="center"/>
        <w:rPr>
          <w:rFonts w:ascii="Arial" w:cs="Arial" w:eastAsia="Arial" w:hAnsi="Arial"/>
          <w:b w:val="1"/>
          <w:color w:val="0d0d0d"/>
          <w:sz w:val="32"/>
          <w:szCs w:val="32"/>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color w:val="0d0d0d"/>
          <w:sz w:val="32"/>
          <w:szCs w:val="32"/>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Submission Deadline: 28th March 2025</w:t>
      </w:r>
    </w:p>
    <w:p w:rsidR="00000000" w:rsidDel="00000000" w:rsidP="00000000" w:rsidRDefault="00000000" w:rsidRPr="00000000" w14:paraId="00000012">
      <w:pPr>
        <w:jc w:val="center"/>
        <w:rPr>
          <w:rFonts w:ascii="Arial" w:cs="Arial" w:eastAsia="Arial" w:hAnsi="Arial"/>
          <w:b w:val="1"/>
          <w:color w:val="0d0d0d"/>
          <w:sz w:val="32"/>
          <w:szCs w:val="32"/>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color w:val="0d0d0d"/>
          <w:sz w:val="32"/>
          <w:szCs w:val="32"/>
        </w:rPr>
      </w:pPr>
      <w:r w:rsidDel="00000000" w:rsidR="00000000" w:rsidRPr="00000000">
        <w:rPr>
          <w:rFonts w:ascii="Arial" w:cs="Arial" w:eastAsia="Arial" w:hAnsi="Arial"/>
          <w:b w:val="1"/>
          <w:color w:val="0d0d0d"/>
          <w:sz w:val="32"/>
          <w:szCs w:val="32"/>
          <w:rtl w:val="0"/>
        </w:rPr>
        <w:t xml:space="preserve">Word Count: 2,508</w:t>
      </w: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4j8djyqzdj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8ky5lb7wxjm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Advantages of Pioneer and Follower Company</w:t>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gi2b09m0e1w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Product Life Cycle Strategies for Developing Growth and Competitive Advantages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4z3pzm2aw5i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d8gg5x6vymp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4j8djyqzdjr" w:id="0"/>
      <w:bookmarkEnd w:id="0"/>
      <w:r w:rsidDel="00000000" w:rsidR="00000000" w:rsidRPr="00000000">
        <w:rPr>
          <w:rtl w:val="0"/>
        </w:rPr>
        <w:t xml:space="preserve">Introduction</w:t>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Strategic marketing process is a systematic approach used by an organisation to accomplish desired business goals by understanding customer preferences, defining new objectives, developing new strategies. Strategic marketing process helps a business firm to align the marketing efforts with the mission of business. For launching new products and services, real-time strategic marketing plays a significant role in a company as product timing, presence of competitors, and market trends helps the firm to gain reputation. Based on the time of arrival with a new product or business idea, two types of business firms can be witnessed. First comes pioneer companies that introduce new products or services and followers are those companies which enter into the market after pioneers by learning from previous ones’ mistakes as well as success stories. Both pioneers and followers have their own challenges and insecurities to enter a new market. </w:t>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rPr>
          <w:rFonts w:ascii="Arial" w:cs="Arial" w:eastAsia="Arial" w:hAnsi="Arial"/>
          <w:i w:val="1"/>
        </w:rPr>
      </w:pPr>
      <w:bookmarkStart w:colFirst="0" w:colLast="0" w:name="_heading=h.8bvrmqafj0if" w:id="1"/>
      <w:bookmarkEnd w:id="1"/>
      <w:r w:rsidDel="00000000" w:rsidR="00000000" w:rsidRPr="00000000">
        <w:rPr>
          <w:rFonts w:ascii="Arial" w:cs="Arial" w:eastAsia="Arial" w:hAnsi="Arial"/>
          <w:i w:val="1"/>
          <w:rtl w:val="0"/>
        </w:rPr>
        <w:t xml:space="preserve">The thesis statement of this essay is “Advantage and challenges of pioneers and followers to increase growth, gain competitive advantage during product life cycle with real-life contextual examples”.</w:t>
      </w:r>
    </w:p>
    <w:p w:rsidR="00000000" w:rsidDel="00000000" w:rsidP="00000000" w:rsidRDefault="00000000" w:rsidRPr="00000000" w14:paraId="00000021">
      <w:pPr>
        <w:rPr>
          <w:rFonts w:ascii="Arial" w:cs="Arial" w:eastAsia="Arial" w:hAnsi="Arial"/>
          <w:i w:val="1"/>
        </w:rPr>
      </w:pPr>
      <w:bookmarkStart w:colFirst="0" w:colLast="0" w:name="_heading=h.c0j1rvmia251" w:id="2"/>
      <w:bookmarkEnd w:id="2"/>
      <w:r w:rsidDel="00000000" w:rsidR="00000000" w:rsidRPr="00000000">
        <w:rPr>
          <w:rtl w:val="0"/>
        </w:rPr>
      </w:r>
    </w:p>
    <w:p w:rsidR="00000000" w:rsidDel="00000000" w:rsidP="00000000" w:rsidRDefault="00000000" w:rsidRPr="00000000" w14:paraId="00000022">
      <w:pPr>
        <w:pStyle w:val="Heading1"/>
        <w:rPr/>
      </w:pPr>
      <w:bookmarkStart w:colFirst="0" w:colLast="0" w:name="_heading=h.8ky5lb7wxjm7" w:id="3"/>
      <w:bookmarkEnd w:id="3"/>
      <w:r w:rsidDel="00000000" w:rsidR="00000000" w:rsidRPr="00000000">
        <w:rPr>
          <w:rtl w:val="0"/>
        </w:rPr>
        <w:t xml:space="preserve">Advantages of Pioneer and Follower Company</w:t>
      </w:r>
    </w:p>
    <w:p w:rsidR="00000000" w:rsidDel="00000000" w:rsidP="00000000" w:rsidRDefault="00000000" w:rsidRPr="00000000" w14:paraId="00000023">
      <w:pPr>
        <w:pStyle w:val="Heading2"/>
        <w:rPr/>
      </w:pPr>
      <w:bookmarkStart w:colFirst="0" w:colLast="0" w:name="_heading=h.prgjdow503e8" w:id="4"/>
      <w:bookmarkEnd w:id="4"/>
      <w:r w:rsidDel="00000000" w:rsidR="00000000" w:rsidRPr="00000000">
        <w:rPr>
          <w:rtl w:val="0"/>
        </w:rPr>
        <w:t xml:space="preserve">Pioneer Company</w:t>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Pioneers are the companies that have entered into the market with a new product, service and innovation ideas. Being early entrants to the target market, pioneers have long lived market share advantages and are likely to be market leaders in their product categories (Gómez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2022). For example, Nokia was a pioneer company of the mobile phone market in the early 2000s that has introduced built-in cameras, iconic Snake game, and various mobile applications long before smartphones became prevalent (Medium, 2024). Pioneer company introduces new innovation and product business ideas that could benefit with ‘High Market Share’, ‘Brand Loyalty’, ‘First Mover Advantage’, ‘Reduced Technological and Market Risks’ and many more. Being in the control of new technology, supply and distribution channels pioneer companies enjoy a loyalty-strengthened relationship with customers, gaining the biggest market share. The benefits of pioneer companies are described below with the example of companies that have dominated the market by introducing new products. </w:t>
      </w:r>
    </w:p>
    <w:p w:rsidR="00000000" w:rsidDel="00000000" w:rsidP="00000000" w:rsidRDefault="00000000" w:rsidRPr="00000000" w14:paraId="00000025">
      <w:pPr>
        <w:rPr>
          <w:rFonts w:ascii="Arial" w:cs="Arial" w:eastAsia="Arial" w:hAnsi="Arial"/>
        </w:rPr>
      </w:pPr>
      <w:r w:rsidDel="00000000" w:rsidR="00000000" w:rsidRPr="00000000">
        <w:rPr>
          <w:rtl w:val="0"/>
        </w:rPr>
      </w:r>
    </w:p>
    <w:p w:rsidR="00000000" w:rsidDel="00000000" w:rsidP="00000000" w:rsidRDefault="00000000" w:rsidRPr="00000000" w14:paraId="00000026">
      <w:pPr>
        <w:pStyle w:val="Heading3"/>
        <w:rPr/>
      </w:pPr>
      <w:bookmarkStart w:colFirst="0" w:colLast="0" w:name="_heading=h.svor6yojaapy" w:id="5"/>
      <w:bookmarkEnd w:id="5"/>
      <w:r w:rsidDel="00000000" w:rsidR="00000000" w:rsidRPr="00000000">
        <w:rPr>
          <w:rtl w:val="0"/>
        </w:rPr>
        <w:t xml:space="preserve">High Market Share</w:t>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Pioneer businesses introduce new product and innovation ideas in the market which helps to gain high market share in the entire industry. For example, Nokia first introduced mobile phones for remote communication during the early 2000s that has helped the company to gain almost 49.4% smartphone market share in 2007 which has reached 39% in early 2008 worldwide (Lamberg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2021). New products, technologies and innovations attract target customers that help to gain high market share. Thus, pioneer firms gain high market share, as early establishment creates a psychological advantage, making consumers hesitant to switch to later entrants. </w:t>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pStyle w:val="Heading3"/>
        <w:rPr/>
      </w:pPr>
      <w:bookmarkStart w:colFirst="0" w:colLast="0" w:name="_heading=h.w3z4waf58f7s" w:id="6"/>
      <w:bookmarkEnd w:id="6"/>
      <w:r w:rsidDel="00000000" w:rsidR="00000000" w:rsidRPr="00000000">
        <w:rPr>
          <w:rtl w:val="0"/>
        </w:rPr>
        <w:t xml:space="preserve">Strong Brand Loyalty</w:t>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Brand loyalty of customers increases towards the pioneer companies as the concept of new products and business gets the opportunity to educate consumers about the new product or service that influences the purchasing propensity of buyers. Being early entrants in the market, pioneers get the opportunity to shape customer expectations and preferences that causes hardship for later entrants to gain the same brand awareness. For example, in 1866, Nestle first introduced the concept of FMCG and entered into the market as the ‘AngloSwiss Condensed Milk Company’ (Nestle, 2025). By using abundant supplies of fresh milk in Switzerland, Nestle started the first production facility for condensed milk and sold the milk under the Milkmaid brand. This innovation idea has helped Nestle to gain high brand awareness and loyalty which can be seen in the present market scenario as well. As per the company report, almost 97% households use Nestle's food products on a regular basis (Nestle, 2025). Thus, being the first entrants pioneer companies benefit with high brand loyalty by psychologically influencing customer’s purchasing intensity.</w:t>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C">
      <w:pPr>
        <w:pStyle w:val="Heading3"/>
        <w:rPr/>
      </w:pPr>
      <w:bookmarkStart w:colFirst="0" w:colLast="0" w:name="_heading=h.iezterb8lnf" w:id="7"/>
      <w:bookmarkEnd w:id="7"/>
      <w:r w:rsidDel="00000000" w:rsidR="00000000" w:rsidRPr="00000000">
        <w:rPr>
          <w:rtl w:val="0"/>
        </w:rPr>
        <w:t xml:space="preserve">Minimal Resource Shortage Disruption and Competition</w:t>
      </w:r>
    </w:p>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rtl w:val="0"/>
        </w:rPr>
        <w:t xml:space="preserve">Lack of competition, minimal resource shortage are major benefits of pioneer companies as pioneer companies introduce completely new concepts and innovate products. For example, during the 2000s the mobile phone market was completely dominated by Nokia and Blackberry, Nokia being the pioneer company (Medium, 2024). Due to the limited number of competitors in the same market, pioneer companies do not have to face resource shortage issues. It can be concluded that being the first entrant in the market with new product ideas and concepts, Pioneer companies do not have to face resource shortage issues, and the total number of competitors remains minimal in the target market. </w:t>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pStyle w:val="Heading3"/>
        <w:rPr/>
      </w:pPr>
      <w:bookmarkStart w:colFirst="0" w:colLast="0" w:name="_heading=h.bkckss2gs0mi" w:id="8"/>
      <w:bookmarkEnd w:id="8"/>
      <w:r w:rsidDel="00000000" w:rsidR="00000000" w:rsidRPr="00000000">
        <w:rPr>
          <w:rtl w:val="0"/>
        </w:rPr>
        <w:t xml:space="preserve">Follower Company</w:t>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Followers are those companies that follow business and product ideas of pioneer companies and enter into the market after the pioneers. Follower companies, although entering into the market after pioneers, get the opportunity to analyse market trends, key reasons for the success as well as failures of the pioneers. For example, “William Morrison” was the pioneer company that introduced the concept of electric cars around 1890, with a six-passenger vehicle capable of a top speed of 14 miles per hour was little more than an electrified wagon (Wilkson, 2023). However, due to lack of innovation and alignment with market trends, “William Morrison” has faded from its brand awareness from the market of electric cars. Follower companies such as Tesla got the opportunity to introspect customer preferences, market trends that helped the company to attract more customers.  </w:t>
      </w:r>
    </w:p>
    <w:p w:rsidR="00000000" w:rsidDel="00000000" w:rsidP="00000000" w:rsidRDefault="00000000" w:rsidRPr="00000000" w14:paraId="00000031">
      <w:pPr>
        <w:rPr>
          <w:rFonts w:ascii="Arial" w:cs="Arial" w:eastAsia="Arial" w:hAnsi="Arial"/>
        </w:rPr>
      </w:pPr>
      <w:r w:rsidDel="00000000" w:rsidR="00000000" w:rsidRPr="00000000">
        <w:rPr>
          <w:rtl w:val="0"/>
        </w:rPr>
      </w:r>
    </w:p>
    <w:p w:rsidR="00000000" w:rsidDel="00000000" w:rsidP="00000000" w:rsidRDefault="00000000" w:rsidRPr="00000000" w14:paraId="00000032">
      <w:pPr>
        <w:pStyle w:val="Heading3"/>
        <w:rPr/>
      </w:pPr>
      <w:bookmarkStart w:colFirst="0" w:colLast="0" w:name="_heading=h.9e8kmala36u1" w:id="9"/>
      <w:bookmarkEnd w:id="9"/>
      <w:r w:rsidDel="00000000" w:rsidR="00000000" w:rsidRPr="00000000">
        <w:rPr>
          <w:rtl w:val="0"/>
        </w:rPr>
        <w:t xml:space="preserve">Better Product Design</w:t>
      </w:r>
    </w:p>
    <w:p w:rsidR="00000000" w:rsidDel="00000000" w:rsidP="00000000" w:rsidRDefault="00000000" w:rsidRPr="00000000" w14:paraId="00000033">
      <w:pPr>
        <w:rPr>
          <w:rFonts w:ascii="Arial" w:cs="Arial" w:eastAsia="Arial" w:hAnsi="Arial"/>
        </w:rPr>
      </w:pPr>
      <w:r w:rsidDel="00000000" w:rsidR="00000000" w:rsidRPr="00000000">
        <w:rPr>
          <w:rFonts w:ascii="Arial" w:cs="Arial" w:eastAsia="Arial" w:hAnsi="Arial"/>
          <w:rtl w:val="0"/>
        </w:rPr>
        <w:t xml:space="preserve">Follower companies get the opportunity to reshape product and business ideas of pioneer companies that sometimes results in more customer acquisition and brand loyalty than pioneer companies. For example, Hermès, founded in 1837, was the oldest and one of the pioneering companies in the industry of luxury fashion articles including clothing, accessories, leather goods, particularly saddles and other equestrian supplies. However, the current market of luxury fashion is dominated by brands like Armani, Dior, Balenciaga, Gucci, Louis Vuitton, Prada and Tiffany (Walter Loeb, 2022). The reason behind the success of follower companies is that followers get the opportunity to comprehend product analysis based on the reaction of customers. The journey of pioneers helps followers to analyse customer preferences, marketing and advertising strategies that could target a large number of customers. </w:t>
      </w:r>
    </w:p>
    <w:p w:rsidR="00000000" w:rsidDel="00000000" w:rsidP="00000000" w:rsidRDefault="00000000" w:rsidRPr="00000000" w14:paraId="00000034">
      <w:pPr>
        <w:rPr>
          <w:rFonts w:ascii="Arial" w:cs="Arial" w:eastAsia="Arial" w:hAnsi="Arial"/>
        </w:rPr>
      </w:pPr>
      <w:r w:rsidDel="00000000" w:rsidR="00000000" w:rsidRPr="00000000">
        <w:rPr>
          <w:rtl w:val="0"/>
        </w:rPr>
      </w:r>
    </w:p>
    <w:p w:rsidR="00000000" w:rsidDel="00000000" w:rsidP="00000000" w:rsidRDefault="00000000" w:rsidRPr="00000000" w14:paraId="00000035">
      <w:pPr>
        <w:pStyle w:val="Heading3"/>
        <w:rPr/>
      </w:pPr>
      <w:r w:rsidDel="00000000" w:rsidR="00000000" w:rsidRPr="00000000">
        <w:rPr>
          <w:rtl w:val="0"/>
        </w:rPr>
        <w:t xml:space="preserve">Market Awareness and Adaptation</w:t>
      </w:r>
    </w:p>
    <w:p w:rsidR="00000000" w:rsidDel="00000000" w:rsidP="00000000" w:rsidRDefault="00000000" w:rsidRPr="00000000" w14:paraId="00000036">
      <w:pPr>
        <w:rPr>
          <w:rFonts w:ascii="Arial" w:cs="Arial" w:eastAsia="Arial" w:hAnsi="Arial"/>
        </w:rPr>
      </w:pPr>
      <w:bookmarkStart w:colFirst="0" w:colLast="0" w:name="_heading=h.bbiiyikh4ew7" w:id="10"/>
      <w:bookmarkEnd w:id="10"/>
      <w:r w:rsidDel="00000000" w:rsidR="00000000" w:rsidRPr="00000000">
        <w:rPr>
          <w:rFonts w:ascii="Arial" w:cs="Arial" w:eastAsia="Arial" w:hAnsi="Arial"/>
          <w:rtl w:val="0"/>
        </w:rPr>
        <w:t xml:space="preserve">Follower companies have sufficient knowledge about the market trend, resource availability and customer demand that helps quickly in adaption according to changing market conditions and customer preferences by observing the leader's responses. Having sufficient market knowledge and adaptability helps followers to stay competitive over a long period of time. On the other hand, sufficient knowledge about pioneer innovations helps follower to the need for expensive and risky R&amp;D investments. For example, Samsung S24 series first introduced the world's first AI-powered smartphone to revolutionize the way people interact with the world through the emerging technology (The Korea Time, 2024). Following the research and innovation of Samsung S24, other smart phone brands such as Apple, Google Pixel, Huawei have also introduced AI smart phones. Apple has reconceptualised AI smart phone features with a strategic partnership with OpenAI (the creators of ChatGPT and DALL-E) to offer a sophisticated suite of AI tools (Marr, 2024). Thus, late arrival of followers provides the opportunity to adapt with market trends and recreate design to gain competitive advantage. </w:t>
      </w:r>
    </w:p>
    <w:p w:rsidR="00000000" w:rsidDel="00000000" w:rsidP="00000000" w:rsidRDefault="00000000" w:rsidRPr="00000000" w14:paraId="00000037">
      <w:pPr>
        <w:rPr>
          <w:rFonts w:ascii="Arial" w:cs="Arial" w:eastAsia="Arial" w:hAnsi="Arial"/>
        </w:rPr>
      </w:pPr>
      <w:bookmarkStart w:colFirst="0" w:colLast="0" w:name="_heading=h.e15ouhrk7wfb" w:id="11"/>
      <w:bookmarkEnd w:id="11"/>
      <w:r w:rsidDel="00000000" w:rsidR="00000000" w:rsidRPr="00000000">
        <w:rPr>
          <w:rtl w:val="0"/>
        </w:rPr>
      </w:r>
    </w:p>
    <w:p w:rsidR="00000000" w:rsidDel="00000000" w:rsidP="00000000" w:rsidRDefault="00000000" w:rsidRPr="00000000" w14:paraId="00000038">
      <w:pPr>
        <w:pStyle w:val="Heading1"/>
        <w:rPr/>
      </w:pPr>
      <w:bookmarkStart w:colFirst="0" w:colLast="0" w:name="_heading=h.gi2b09m0e1wb" w:id="12"/>
      <w:bookmarkEnd w:id="12"/>
      <w:r w:rsidDel="00000000" w:rsidR="00000000" w:rsidRPr="00000000">
        <w:rPr>
          <w:rtl w:val="0"/>
        </w:rPr>
        <w:t xml:space="preserve">Product Life Cycle Strategies for Developing Growth and Competitive Advantages</w:t>
      </w:r>
    </w:p>
    <w:p w:rsidR="00000000" w:rsidDel="00000000" w:rsidP="00000000" w:rsidRDefault="00000000" w:rsidRPr="00000000" w14:paraId="00000039">
      <w:pPr>
        <w:pStyle w:val="Heading2"/>
        <w:rPr/>
      </w:pPr>
      <w:bookmarkStart w:colFirst="0" w:colLast="0" w:name="_heading=h.lfnwoo986iel" w:id="13"/>
      <w:bookmarkEnd w:id="13"/>
      <w:r w:rsidDel="00000000" w:rsidR="00000000" w:rsidRPr="00000000">
        <w:rPr>
          <w:rtl w:val="0"/>
        </w:rPr>
        <w:t xml:space="preserve">Development</w:t>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rtl w:val="0"/>
        </w:rPr>
        <w:t xml:space="preserve">The first stage of the product life cycle is the stage of development when the sales of the newly invented product is comparatively low. The market effort of the company is solely focused on building strong brand awareness and gaining initial customer attraction. For example, on August 31 of 1955 the term “artificial intelligence” was coined in a proposal for a “2-month, 10-man study of artificial intelligence” submitted by John McCarthy. Based on the idea, NVIDIA has first developed modern AI, essential for deep learning and other AI applications (NVIDIA, 2024). After that, Google has heavily invested in AI research and development for opting in the areas like search, natural language processing, and machine learning. </w:t>
      </w:r>
    </w:p>
    <w:p w:rsidR="00000000" w:rsidDel="00000000" w:rsidP="00000000" w:rsidRDefault="00000000" w:rsidRPr="00000000" w14:paraId="0000003B">
      <w:pPr>
        <w:rPr>
          <w:rFonts w:ascii="Arial" w:cs="Arial" w:eastAsia="Arial" w:hAnsi="Arial"/>
        </w:rPr>
      </w:pP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rtl w:val="0"/>
        </w:rPr>
        <w:t xml:space="preserve">Nowadays, lots of start-up companies are developing AI start-ups. For example, Abridge AI software was developed in 2018 for medical conversion and documentation, Adept AI software came into the market in 2022 as an AI model developer tool (CAI, 2025). Therefore, based on the idea of proposition and adventure time in the market it can be said that NVIDIA was a pioneer company to develop AI. After NVIDIA, lots of companies have further developed AI for commercial purposes such as Abridge, Adept, who could be termed as followers of the AI development. During the development phase pioneer and follower companies suffered from financial loss owing to lack of recognition in target market, presence of pioneering companies having significant reputation in the industry. </w:t>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pStyle w:val="Heading2"/>
        <w:rPr/>
      </w:pPr>
      <w:bookmarkStart w:colFirst="0" w:colLast="0" w:name="_heading=h.gl1njha5twzj" w:id="14"/>
      <w:bookmarkEnd w:id="14"/>
      <w:r w:rsidDel="00000000" w:rsidR="00000000" w:rsidRPr="00000000">
        <w:rPr>
          <w:rtl w:val="0"/>
        </w:rPr>
        <w:t xml:space="preserve">Introduction</w:t>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The second stage of product life cycle is the stage of introduction, when a company launches its product, commercialises business ideas for the first time in the target market. During the introduction stage both pioneer and follower companies are subjected to face typically low sales, slow growth rate. In order to attract more customers and increase brand awareness, companies start to invest heavily in advertising and promotion during this stage to create buzz and generate demand (Chanthati, 2024). For example, Patagonia, widely recognised as a pioneer in sustainable fashion, first introduced sustainable fashion. During the 1990s, Patagonia first introduced recycled cloths made up of materials like polyester and organic cotton and set a standard for eco-friendliness in the industry (Patagonia, 2025). Later in 21st century sustainable fashion, recycled fashion articles have become extremely popular among the fast fashion and luxury fashion brands like PUMA and H&amp;M. Thus, according to the time frame of sustainable fashion, Patagonia is the pioneer company and companies like PUMA, H&amp;M are followers to introduce sustainable fashion before the customers. </w:t>
      </w:r>
    </w:p>
    <w:p w:rsidR="00000000" w:rsidDel="00000000" w:rsidP="00000000" w:rsidRDefault="00000000" w:rsidRPr="00000000" w14:paraId="00000040">
      <w:pPr>
        <w:rPr>
          <w:rFonts w:ascii="Arial" w:cs="Arial" w:eastAsia="Arial" w:hAnsi="Arial"/>
        </w:rPr>
      </w:pPr>
      <w:r w:rsidDel="00000000" w:rsidR="00000000" w:rsidRPr="00000000">
        <w:rPr>
          <w:rtl w:val="0"/>
        </w:rPr>
      </w:r>
    </w:p>
    <w:p w:rsidR="00000000" w:rsidDel="00000000" w:rsidP="00000000" w:rsidRDefault="00000000" w:rsidRPr="00000000" w14:paraId="00000041">
      <w:pPr>
        <w:pStyle w:val="Heading2"/>
        <w:rPr/>
      </w:pPr>
      <w:bookmarkStart w:colFirst="0" w:colLast="0" w:name="_heading=h.n3zkg59p4mku" w:id="15"/>
      <w:bookmarkEnd w:id="15"/>
      <w:r w:rsidDel="00000000" w:rsidR="00000000" w:rsidRPr="00000000">
        <w:rPr>
          <w:rtl w:val="0"/>
        </w:rPr>
        <w:t xml:space="preserve">Growth</w:t>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The third stage of the product life cycle is the growth stage, when a company starts to experience a significant surge as the product gains traction and becomes more widely adopted. During the growth stage of the product life cycle, companies start to gain more popularity, expanding their distribution channels to reach a wider audience and meet the growing demand (Varadarajan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2022). The company starts to gain profit at the growth stage that helps them to sustain for a long period of time in the target market. For example, during the COVID 19, Pfizer and BioNTech first jointly invented the Pfizer-BioNTech COVID-19 vaccine (Pfizer, 2025). This vaccine spans over four continents and includes more than 20 facilities. </w:t>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After that lots of pharmaceutical companies brought vaccines for curing COVID-19. After 3rd June of 2022, 1,521 drugs and vaccines in development targeting the coronavirus disease (Mikulic, 2024). Among them US-based pharmaceutics company, Moderna was the second ranked company worldwide that has brought 12 drugs or vaccines to stop the development targeting COVID-19. Therefore, Pfizer is the pioneering company that has introduced COVID 19 vaccines. Companies such as Moderna, Bharat Biotech, GlaxoSmithKline have brought COVID 19 drugs following the footsteps, research strategy of Pfizer could be termed as follower companies.</w:t>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6">
      <w:pPr>
        <w:pStyle w:val="Heading2"/>
        <w:rPr/>
      </w:pPr>
      <w:bookmarkStart w:colFirst="0" w:colLast="0" w:name="_heading=h.hkds5t19saj1" w:id="16"/>
      <w:bookmarkEnd w:id="16"/>
      <w:r w:rsidDel="00000000" w:rsidR="00000000" w:rsidRPr="00000000">
        <w:rPr>
          <w:rtl w:val="0"/>
        </w:rPr>
        <w:t xml:space="preserve">Maturity </w:t>
      </w:r>
    </w:p>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Maturity is the fourth step of the product development life cycle, when the product and services of a company starts to gain widespread acceptance, and its sales begin to stabilize. The target market becomes saturated as most of the potential customers have already purchased the product and sales growth rate starts to become stable (Bondarenko and Vyshnivska, 2023). The priority of a company starts to shift from acquiring new customers to maintaining existing ones in order to maximise profits. Nestlé, Unilever, PepsiCo, The Coca-Cola Company, Procter &amp; Gamble, Colgate-Palmolive are some of the most popular FMCG brands (CONSULTANT UK, 2021). These companies are at the maturity stage after gaining immense popularity in the UK market.</w:t>
      </w:r>
    </w:p>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The notion of FMCG business was first conceptualised by Nestle after. FMCG has gained immense popularity and lots of entrepreneurs like Unilever that has net sales of about 63.29 billion U.S. dollars in 2024 (Bedford, 2024). Based on the time frame, it can be said Nestle was the pioneer company that had first introduced the concept of FMCG business. On the other hand, companies such as Unilever, PepsiCo, The Coca-Cola Company, Procter &amp; Gamble, Colgate-Palmolive, that have followed the footsteps of Nestle can be termed as follower business firms. </w:t>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pStyle w:val="Heading2"/>
        <w:rPr/>
      </w:pPr>
      <w:bookmarkStart w:colFirst="0" w:colLast="0" w:name="_heading=h.jwqs6xj390qm" w:id="17"/>
      <w:bookmarkEnd w:id="17"/>
      <w:r w:rsidDel="00000000" w:rsidR="00000000" w:rsidRPr="00000000">
        <w:rPr>
          <w:rtl w:val="0"/>
        </w:rPr>
        <w:t xml:space="preserve">Saturation</w:t>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The fifth stage of the product life cycle is saturation, where most potential customers have already purchased products or services, and market growth has reached its peak and begins to level off. Due to the presence of lots of competitors, the market starts to become crowded, and sales growth starts to slow down at the maturity level of a business (Stark, 2021). Aggressive marketing strategy, intense pricing competition are common features of businesses that are at saturation stage. As an example, Nokia implemented the concept of mobile based communication during the early 2000s, and in 2008 Nokia reached its saturation level by targeting most potential customers. </w:t>
      </w:r>
    </w:p>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The smartphone market worldwide has reached a saturation stage by targeting most of the customers. Currently, smartphone brands like Apple, Samsung are in the leading position with 228 million iPhones, 223.5 million units of products sold by 2024 (Sherif, 2025). Survival of the pioneer companies becomes challenging for pioneer companies if the brand fails to align with the market. It can be seen in the journey of Nokia as this pioneer company has failed to survive in market saturation. Smartphone brands such as Apple, Samsung, and Xiaomi are followers of Nokia. </w:t>
      </w:r>
    </w:p>
    <w:p w:rsidR="00000000" w:rsidDel="00000000" w:rsidP="00000000" w:rsidRDefault="00000000" w:rsidRPr="00000000" w14:paraId="0000004F">
      <w:pPr>
        <w:pStyle w:val="Heading2"/>
        <w:rPr/>
      </w:pPr>
      <w:bookmarkStart w:colFirst="0" w:colLast="0" w:name="_heading=h.8clij8gorn29" w:id="18"/>
      <w:bookmarkEnd w:id="18"/>
      <w:r w:rsidDel="00000000" w:rsidR="00000000" w:rsidRPr="00000000">
        <w:rPr>
          <w:rtl w:val="0"/>
        </w:rPr>
        <w:t xml:space="preserve">Decline</w:t>
      </w:r>
    </w:p>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Declination is the sixth and the last stage of the product life cycle, where a product's sales and profits consistently decrease. During the declination stage some competitors may exist in the market, customer preferences start to shift due advancement of technology, the emergence of substitute products (Verma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2022). Pioneer companies face intense competition from existing competitors as well as new entrants that offer better quality products at affordable prices, matched with customer preferences. For example, during 1985 Blockbuster was one of the dominant video rental chain companies founded by David Cook that grew to over 9,000 stores worldwide (Magee, 2024). However, the company failed to survive with market trends and changing customer preferences in the era of digitalisation, OTT platform. Netflix is also a CD DVD company that came into the American market after Blockbuster and constantly updated with changing perception (Joonas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2023). Thus, it can be concluded blockbuster is the Pioneer company that has failed to survive in the market of video rental supply and its follower Netflix has managed to survive in the market by constant innovation. </w:t>
      </w:r>
    </w:p>
    <w:p w:rsidR="00000000" w:rsidDel="00000000" w:rsidP="00000000" w:rsidRDefault="00000000" w:rsidRPr="00000000" w14:paraId="00000051">
      <w:pPr>
        <w:rPr>
          <w:rFonts w:ascii="Arial" w:cs="Arial" w:eastAsia="Arial" w:hAnsi="Arial"/>
        </w:rPr>
      </w:pPr>
      <w:r w:rsidDel="00000000" w:rsidR="00000000" w:rsidRPr="00000000">
        <w:rPr>
          <w:rtl w:val="0"/>
        </w:rPr>
      </w:r>
    </w:p>
    <w:p w:rsidR="00000000" w:rsidDel="00000000" w:rsidP="00000000" w:rsidRDefault="00000000" w:rsidRPr="00000000" w14:paraId="00000052">
      <w:pPr>
        <w:pStyle w:val="Heading1"/>
        <w:rPr/>
      </w:pPr>
      <w:bookmarkStart w:colFirst="0" w:colLast="0" w:name="_heading=h.4z3pzm2aw5ia" w:id="19"/>
      <w:bookmarkEnd w:id="19"/>
      <w:r w:rsidDel="00000000" w:rsidR="00000000" w:rsidRPr="00000000">
        <w:rPr>
          <w:rtl w:val="0"/>
        </w:rPr>
        <w:t xml:space="preserve">Conclusion</w:t>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This essay has analysed the benefits of two types of business entrepreneurship pioneer and follower. Benefits for pioneer companies are high market share, brand loyalty, minimal resource issues and competition. On the other hand, the benefits of follower companies are better product designs, adaptation with market trends. A six staged product life cycle model has been analysed from the perspectives of pioneer and follower companies including development, introduction, growth, maturity, saturation and saturation. As per company example, the analysis conveys although pioneers have immense fame, brand awareness, followers have better opportunity. Thus, it can be concluded for surviving long-time pioneer company have to constantly update business idea with market trend and customer preferences. </w:t>
      </w:r>
    </w:p>
    <w:p w:rsidR="00000000" w:rsidDel="00000000" w:rsidP="00000000" w:rsidRDefault="00000000" w:rsidRPr="00000000" w14:paraId="00000054">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rPr/>
      </w:pPr>
      <w:bookmarkStart w:colFirst="0" w:colLast="0" w:name="_heading=h.d8gg5x6vympj" w:id="20"/>
      <w:bookmarkEnd w:id="20"/>
      <w:r w:rsidDel="00000000" w:rsidR="00000000" w:rsidRPr="00000000">
        <w:rPr>
          <w:rtl w:val="0"/>
        </w:rPr>
        <w:t xml:space="preserve">References </w:t>
      </w:r>
    </w:p>
    <w:p w:rsidR="00000000" w:rsidDel="00000000" w:rsidP="00000000" w:rsidRDefault="00000000" w:rsidRPr="00000000" w14:paraId="00000056">
      <w:pPr>
        <w:spacing w:after="240" w:before="240" w:lineRule="auto"/>
        <w:rPr>
          <w:rFonts w:ascii="Arial" w:cs="Arial" w:eastAsia="Arial" w:hAnsi="Arial"/>
        </w:rPr>
      </w:pPr>
      <w:r w:rsidDel="00000000" w:rsidR="00000000" w:rsidRPr="00000000">
        <w:rPr>
          <w:rFonts w:ascii="Arial" w:cs="Arial" w:eastAsia="Arial" w:hAnsi="Arial"/>
          <w:rtl w:val="0"/>
        </w:rPr>
        <w:t xml:space="preserve">Bedford, E. (2024). </w:t>
      </w:r>
      <w:r w:rsidDel="00000000" w:rsidR="00000000" w:rsidRPr="00000000">
        <w:rPr>
          <w:rFonts w:ascii="Arial" w:cs="Arial" w:eastAsia="Arial" w:hAnsi="Arial"/>
          <w:i w:val="1"/>
          <w:rtl w:val="0"/>
        </w:rPr>
        <w:t xml:space="preserve">Global net sales of the leading 50 FMCG companies 2023</w:t>
      </w:r>
      <w:r w:rsidDel="00000000" w:rsidR="00000000" w:rsidRPr="00000000">
        <w:rPr>
          <w:rFonts w:ascii="Arial" w:cs="Arial" w:eastAsia="Arial" w:hAnsi="Arial"/>
          <w:rtl w:val="0"/>
        </w:rPr>
        <w:t xml:space="preserve">. Available at: </w:t>
      </w:r>
      <w:hyperlink r:id="rId8">
        <w:r w:rsidDel="00000000" w:rsidR="00000000" w:rsidRPr="00000000">
          <w:rPr>
            <w:rFonts w:ascii="Arial" w:cs="Arial" w:eastAsia="Arial" w:hAnsi="Arial"/>
            <w:u w:val="single"/>
            <w:rtl w:val="0"/>
          </w:rPr>
          <w:t xml:space="preserve">https://www.statista.com/statistics/260963/leading-fmcg-companies-worldwide-based-on-sales/</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57">
      <w:pPr>
        <w:spacing w:after="240" w:before="240" w:lineRule="auto"/>
        <w:rPr>
          <w:rFonts w:ascii="Arial" w:cs="Arial" w:eastAsia="Arial" w:hAnsi="Arial"/>
        </w:rPr>
      </w:pPr>
      <w:r w:rsidDel="00000000" w:rsidR="00000000" w:rsidRPr="00000000">
        <w:rPr>
          <w:rFonts w:ascii="Arial" w:cs="Arial" w:eastAsia="Arial" w:hAnsi="Arial"/>
          <w:rtl w:val="0"/>
        </w:rPr>
        <w:t xml:space="preserve">Bondarenko, V. and Vyshnivska, B., (2023). ‘Promotional marketing as a method of increasing sales’. </w:t>
      </w:r>
      <w:r w:rsidDel="00000000" w:rsidR="00000000" w:rsidRPr="00000000">
        <w:rPr>
          <w:rFonts w:ascii="Arial" w:cs="Arial" w:eastAsia="Arial" w:hAnsi="Arial"/>
          <w:i w:val="1"/>
          <w:rtl w:val="0"/>
        </w:rPr>
        <w:t xml:space="preserve">Three Seas Economic Journal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4</w:t>
      </w:r>
      <w:r w:rsidDel="00000000" w:rsidR="00000000" w:rsidRPr="00000000">
        <w:rPr>
          <w:rFonts w:ascii="Arial" w:cs="Arial" w:eastAsia="Arial" w:hAnsi="Arial"/>
          <w:rtl w:val="0"/>
        </w:rPr>
        <w:t xml:space="preserve">(2), pp.21-28. </w:t>
      </w:r>
    </w:p>
    <w:p w:rsidR="00000000" w:rsidDel="00000000" w:rsidP="00000000" w:rsidRDefault="00000000" w:rsidRPr="00000000" w14:paraId="00000058">
      <w:pPr>
        <w:spacing w:after="240" w:before="240" w:lineRule="auto"/>
        <w:rPr>
          <w:rFonts w:ascii="Arial" w:cs="Arial" w:eastAsia="Arial" w:hAnsi="Arial"/>
        </w:rPr>
      </w:pPr>
      <w:r w:rsidDel="00000000" w:rsidR="00000000" w:rsidRPr="00000000">
        <w:rPr>
          <w:rFonts w:ascii="Arial" w:cs="Arial" w:eastAsia="Arial" w:hAnsi="Arial"/>
          <w:rtl w:val="0"/>
        </w:rPr>
        <w:t xml:space="preserve">CAI, K. (2024). </w:t>
      </w:r>
      <w:r w:rsidDel="00000000" w:rsidR="00000000" w:rsidRPr="00000000">
        <w:rPr>
          <w:rFonts w:ascii="Arial" w:cs="Arial" w:eastAsia="Arial" w:hAnsi="Arial"/>
          <w:i w:val="1"/>
          <w:rtl w:val="0"/>
        </w:rPr>
        <w:t xml:space="preserve">AI 50</w:t>
      </w:r>
      <w:r w:rsidDel="00000000" w:rsidR="00000000" w:rsidRPr="00000000">
        <w:rPr>
          <w:rFonts w:ascii="Arial" w:cs="Arial" w:eastAsia="Arial" w:hAnsi="Arial"/>
          <w:rtl w:val="0"/>
        </w:rPr>
        <w:t xml:space="preserve">. Available at: </w:t>
      </w:r>
      <w:hyperlink r:id="rId9">
        <w:r w:rsidDel="00000000" w:rsidR="00000000" w:rsidRPr="00000000">
          <w:rPr>
            <w:rFonts w:ascii="Arial" w:cs="Arial" w:eastAsia="Arial" w:hAnsi="Arial"/>
            <w:u w:val="single"/>
            <w:rtl w:val="0"/>
          </w:rPr>
          <w:t xml:space="preserve">https://www.forbes.com/lists/ai50/</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59">
      <w:pPr>
        <w:spacing w:after="240" w:before="240" w:lineRule="auto"/>
        <w:rPr>
          <w:rFonts w:ascii="Arial" w:cs="Arial" w:eastAsia="Arial" w:hAnsi="Arial"/>
        </w:rPr>
      </w:pPr>
      <w:r w:rsidDel="00000000" w:rsidR="00000000" w:rsidRPr="00000000">
        <w:rPr>
          <w:rFonts w:ascii="Arial" w:cs="Arial" w:eastAsia="Arial" w:hAnsi="Arial"/>
          <w:rtl w:val="0"/>
        </w:rPr>
        <w:t xml:space="preserve">Chanthati, S.R., (2024). ‘Website Visitor Analysis &amp; Branding Quality Measurement Using Artificial Intelligence’. </w:t>
      </w:r>
      <w:r w:rsidDel="00000000" w:rsidR="00000000" w:rsidRPr="00000000">
        <w:rPr>
          <w:rFonts w:ascii="Arial" w:cs="Arial" w:eastAsia="Arial" w:hAnsi="Arial"/>
          <w:i w:val="1"/>
          <w:rtl w:val="0"/>
        </w:rPr>
        <w:t xml:space="preserve">American Journal of Education and Technology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w:t>
      </w:r>
      <w:r w:rsidDel="00000000" w:rsidR="00000000" w:rsidRPr="00000000">
        <w:rPr>
          <w:rFonts w:ascii="Arial" w:cs="Arial" w:eastAsia="Arial" w:hAnsi="Arial"/>
          <w:rtl w:val="0"/>
        </w:rPr>
        <w:t xml:space="preserve">(3), pp.88-101.</w:t>
      </w:r>
    </w:p>
    <w:p w:rsidR="00000000" w:rsidDel="00000000" w:rsidP="00000000" w:rsidRDefault="00000000" w:rsidRPr="00000000" w14:paraId="0000005A">
      <w:pPr>
        <w:spacing w:after="240" w:before="240" w:lineRule="auto"/>
        <w:rPr>
          <w:rFonts w:ascii="Arial" w:cs="Arial" w:eastAsia="Arial" w:hAnsi="Arial"/>
        </w:rPr>
      </w:pPr>
      <w:r w:rsidDel="00000000" w:rsidR="00000000" w:rsidRPr="00000000">
        <w:rPr>
          <w:rFonts w:ascii="Arial" w:cs="Arial" w:eastAsia="Arial" w:hAnsi="Arial"/>
          <w:rtl w:val="0"/>
        </w:rPr>
        <w:t xml:space="preserve">CONSULTANT.UK (2021). </w:t>
      </w:r>
      <w:r w:rsidDel="00000000" w:rsidR="00000000" w:rsidRPr="00000000">
        <w:rPr>
          <w:rFonts w:ascii="Arial" w:cs="Arial" w:eastAsia="Arial" w:hAnsi="Arial"/>
          <w:i w:val="1"/>
          <w:rtl w:val="0"/>
        </w:rPr>
        <w:t xml:space="preserve">The world's 40 largest fast moving consumer goods companies</w:t>
      </w:r>
      <w:r w:rsidDel="00000000" w:rsidR="00000000" w:rsidRPr="00000000">
        <w:rPr>
          <w:rFonts w:ascii="Arial" w:cs="Arial" w:eastAsia="Arial" w:hAnsi="Arial"/>
          <w:rtl w:val="0"/>
        </w:rPr>
        <w:t xml:space="preserve">. Available at: </w:t>
      </w:r>
      <w:hyperlink r:id="rId10">
        <w:r w:rsidDel="00000000" w:rsidR="00000000" w:rsidRPr="00000000">
          <w:rPr>
            <w:rFonts w:ascii="Arial" w:cs="Arial" w:eastAsia="Arial" w:hAnsi="Arial"/>
            <w:u w:val="single"/>
            <w:rtl w:val="0"/>
          </w:rPr>
          <w:t xml:space="preserve">https://www.consultancy.uk/news/26874/the-worlds-40-largest-fast-moving-consumer-goods-companies</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5B">
      <w:pPr>
        <w:spacing w:after="240" w:before="240" w:lineRule="auto"/>
        <w:rPr>
          <w:rFonts w:ascii="Arial" w:cs="Arial" w:eastAsia="Arial" w:hAnsi="Arial"/>
        </w:rPr>
      </w:pPr>
      <w:r w:rsidDel="00000000" w:rsidR="00000000" w:rsidRPr="00000000">
        <w:rPr>
          <w:rFonts w:ascii="Arial" w:cs="Arial" w:eastAsia="Arial" w:hAnsi="Arial"/>
          <w:rtl w:val="0"/>
        </w:rPr>
        <w:t xml:space="preserve">Gómez, J., Perez-Aradros, B. and Salazar, I., (2022). ‘How to beat early movers: The role of competitive strategy and industry dynamism on followers’ performance in the telecommunications industry’. </w:t>
      </w:r>
      <w:r w:rsidDel="00000000" w:rsidR="00000000" w:rsidRPr="00000000">
        <w:rPr>
          <w:rFonts w:ascii="Arial" w:cs="Arial" w:eastAsia="Arial" w:hAnsi="Arial"/>
          <w:i w:val="1"/>
          <w:rtl w:val="0"/>
        </w:rPr>
        <w:t xml:space="preserve">Long Range Planning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55</w:t>
      </w:r>
      <w:r w:rsidDel="00000000" w:rsidR="00000000" w:rsidRPr="00000000">
        <w:rPr>
          <w:rFonts w:ascii="Arial" w:cs="Arial" w:eastAsia="Arial" w:hAnsi="Arial"/>
          <w:rtl w:val="0"/>
        </w:rPr>
        <w:t xml:space="preserve">(5), p.102244.</w:t>
      </w:r>
    </w:p>
    <w:p w:rsidR="00000000" w:rsidDel="00000000" w:rsidP="00000000" w:rsidRDefault="00000000" w:rsidRPr="00000000" w14:paraId="0000005C">
      <w:pPr>
        <w:spacing w:after="240" w:before="240" w:lineRule="auto"/>
        <w:rPr>
          <w:rFonts w:ascii="Arial" w:cs="Arial" w:eastAsia="Arial" w:hAnsi="Arial"/>
        </w:rPr>
      </w:pPr>
      <w:r w:rsidDel="00000000" w:rsidR="00000000" w:rsidRPr="00000000">
        <w:rPr>
          <w:rFonts w:ascii="Arial" w:cs="Arial" w:eastAsia="Arial" w:hAnsi="Arial"/>
          <w:rtl w:val="0"/>
        </w:rPr>
        <w:t xml:space="preserve">Joonas, K., Mahfouz, A.Y. and Hayes, R.A., (2023). ‘Strategy for Growth and Market Leadership: The Netflix Case’. </w:t>
      </w:r>
      <w:r w:rsidDel="00000000" w:rsidR="00000000" w:rsidRPr="00000000">
        <w:rPr>
          <w:rFonts w:ascii="Arial" w:cs="Arial" w:eastAsia="Arial" w:hAnsi="Arial"/>
          <w:i w:val="1"/>
          <w:rtl w:val="0"/>
        </w:rPr>
        <w:t xml:space="preserve">AIMS International Journal of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17</w:t>
      </w:r>
      <w:r w:rsidDel="00000000" w:rsidR="00000000" w:rsidRPr="00000000">
        <w:rPr>
          <w:rFonts w:ascii="Arial" w:cs="Arial" w:eastAsia="Arial" w:hAnsi="Arial"/>
          <w:rtl w:val="0"/>
        </w:rPr>
        <w:t xml:space="preserve">(2).</w:t>
      </w:r>
    </w:p>
    <w:p w:rsidR="00000000" w:rsidDel="00000000" w:rsidP="00000000" w:rsidRDefault="00000000" w:rsidRPr="00000000" w14:paraId="0000005D">
      <w:pPr>
        <w:spacing w:after="240" w:before="240" w:lineRule="auto"/>
        <w:rPr>
          <w:rFonts w:ascii="Arial" w:cs="Arial" w:eastAsia="Arial" w:hAnsi="Arial"/>
        </w:rPr>
      </w:pPr>
      <w:r w:rsidDel="00000000" w:rsidR="00000000" w:rsidRPr="00000000">
        <w:rPr>
          <w:rFonts w:ascii="Arial" w:cs="Arial" w:eastAsia="Arial" w:hAnsi="Arial"/>
          <w:rtl w:val="0"/>
        </w:rPr>
        <w:t xml:space="preserve">Lamberg, J.A., Lubinaitė, S., Ojala, J. and Tikkanen, H., (2021). ‘The curse of agility: The Nokia Corporation and the loss of market dominance in mobile phones, 2003–2013’. </w:t>
      </w:r>
      <w:r w:rsidDel="00000000" w:rsidR="00000000" w:rsidRPr="00000000">
        <w:rPr>
          <w:rFonts w:ascii="Arial" w:cs="Arial" w:eastAsia="Arial" w:hAnsi="Arial"/>
          <w:i w:val="1"/>
          <w:rtl w:val="0"/>
        </w:rPr>
        <w:t xml:space="preserve">Business History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63</w:t>
      </w:r>
      <w:r w:rsidDel="00000000" w:rsidR="00000000" w:rsidRPr="00000000">
        <w:rPr>
          <w:rFonts w:ascii="Arial" w:cs="Arial" w:eastAsia="Arial" w:hAnsi="Arial"/>
          <w:rtl w:val="0"/>
        </w:rPr>
        <w:t xml:space="preserve">(4), pp.574-605. </w:t>
      </w:r>
    </w:p>
    <w:p w:rsidR="00000000" w:rsidDel="00000000" w:rsidP="00000000" w:rsidRDefault="00000000" w:rsidRPr="00000000" w14:paraId="0000005E">
      <w:pPr>
        <w:spacing w:after="240" w:before="240" w:lineRule="auto"/>
        <w:rPr>
          <w:rFonts w:ascii="Arial" w:cs="Arial" w:eastAsia="Arial" w:hAnsi="Arial"/>
        </w:rPr>
      </w:pPr>
      <w:r w:rsidDel="00000000" w:rsidR="00000000" w:rsidRPr="00000000">
        <w:rPr>
          <w:rFonts w:ascii="Arial" w:cs="Arial" w:eastAsia="Arial" w:hAnsi="Arial"/>
          <w:rtl w:val="0"/>
        </w:rPr>
        <w:t xml:space="preserve">Magee, K. (2024). </w:t>
      </w:r>
      <w:r w:rsidDel="00000000" w:rsidR="00000000" w:rsidRPr="00000000">
        <w:rPr>
          <w:rFonts w:ascii="Arial" w:cs="Arial" w:eastAsia="Arial" w:hAnsi="Arial"/>
          <w:i w:val="1"/>
          <w:rtl w:val="0"/>
        </w:rPr>
        <w:t xml:space="preserve">Why Blockbuster really went bankrupt, according to its former CEO</w:t>
      </w:r>
      <w:r w:rsidDel="00000000" w:rsidR="00000000" w:rsidRPr="00000000">
        <w:rPr>
          <w:rFonts w:ascii="Arial" w:cs="Arial" w:eastAsia="Arial" w:hAnsi="Arial"/>
          <w:rtl w:val="0"/>
        </w:rPr>
        <w:t xml:space="preserve">. Available at: </w:t>
      </w:r>
      <w:hyperlink r:id="rId11">
        <w:r w:rsidDel="00000000" w:rsidR="00000000" w:rsidRPr="00000000">
          <w:rPr>
            <w:rFonts w:ascii="Arial" w:cs="Arial" w:eastAsia="Arial" w:hAnsi="Arial"/>
            <w:u w:val="single"/>
            <w:rtl w:val="0"/>
          </w:rPr>
          <w:t xml:space="preserve">https://www.managementtoday.co.uk/why-blockbuster-really-went-bankrupt-according-its-former-ceo/interviews/article/1863669</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5F">
      <w:pPr>
        <w:spacing w:after="240" w:before="240" w:lineRule="auto"/>
        <w:rPr>
          <w:rFonts w:ascii="Arial" w:cs="Arial" w:eastAsia="Arial" w:hAnsi="Arial"/>
        </w:rPr>
      </w:pPr>
      <w:r w:rsidDel="00000000" w:rsidR="00000000" w:rsidRPr="00000000">
        <w:rPr>
          <w:rFonts w:ascii="Arial" w:cs="Arial" w:eastAsia="Arial" w:hAnsi="Arial"/>
          <w:rtl w:val="0"/>
        </w:rPr>
        <w:t xml:space="preserve">Marr, B. (2024). </w:t>
      </w:r>
      <w:r w:rsidDel="00000000" w:rsidR="00000000" w:rsidRPr="00000000">
        <w:rPr>
          <w:rFonts w:ascii="Arial" w:cs="Arial" w:eastAsia="Arial" w:hAnsi="Arial"/>
          <w:i w:val="1"/>
          <w:rtl w:val="0"/>
        </w:rPr>
        <w:t xml:space="preserve">4 Smartphones Leading The AI Revolution</w:t>
      </w:r>
      <w:r w:rsidDel="00000000" w:rsidR="00000000" w:rsidRPr="00000000">
        <w:rPr>
          <w:rFonts w:ascii="Arial" w:cs="Arial" w:eastAsia="Arial" w:hAnsi="Arial"/>
          <w:rtl w:val="0"/>
        </w:rPr>
        <w:t xml:space="preserve">. Available at: </w:t>
      </w:r>
      <w:hyperlink r:id="rId12">
        <w:r w:rsidDel="00000000" w:rsidR="00000000" w:rsidRPr="00000000">
          <w:rPr>
            <w:rFonts w:ascii="Arial" w:cs="Arial" w:eastAsia="Arial" w:hAnsi="Arial"/>
            <w:u w:val="single"/>
            <w:rtl w:val="0"/>
          </w:rPr>
          <w:t xml:space="preserve">https://www.forbes.com/sites/bernardmarr/2024/11/11/4-smartphone-with-the-best-artificial-intelligence/</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0">
      <w:pPr>
        <w:spacing w:after="240" w:before="240" w:lineRule="auto"/>
        <w:rPr>
          <w:rFonts w:ascii="Arial" w:cs="Arial" w:eastAsia="Arial" w:hAnsi="Arial"/>
        </w:rPr>
      </w:pPr>
      <w:r w:rsidDel="00000000" w:rsidR="00000000" w:rsidRPr="00000000">
        <w:rPr>
          <w:rFonts w:ascii="Arial" w:cs="Arial" w:eastAsia="Arial" w:hAnsi="Arial"/>
          <w:rtl w:val="0"/>
        </w:rPr>
        <w:t xml:space="preserve">Medium (2024). </w:t>
      </w:r>
      <w:r w:rsidDel="00000000" w:rsidR="00000000" w:rsidRPr="00000000">
        <w:rPr>
          <w:rFonts w:ascii="Arial" w:cs="Arial" w:eastAsia="Arial" w:hAnsi="Arial"/>
          <w:i w:val="1"/>
          <w:rtl w:val="0"/>
        </w:rPr>
        <w:t xml:space="preserve">The Rise, Fall, and Reinvention of BlackBerry and Nokia</w:t>
      </w:r>
      <w:r w:rsidDel="00000000" w:rsidR="00000000" w:rsidRPr="00000000">
        <w:rPr>
          <w:rFonts w:ascii="Arial" w:cs="Arial" w:eastAsia="Arial" w:hAnsi="Arial"/>
          <w:rtl w:val="0"/>
        </w:rPr>
        <w:t xml:space="preserve">. Available at: </w:t>
      </w:r>
      <w:hyperlink r:id="rId13">
        <w:r w:rsidDel="00000000" w:rsidR="00000000" w:rsidRPr="00000000">
          <w:rPr>
            <w:rFonts w:ascii="Arial" w:cs="Arial" w:eastAsia="Arial" w:hAnsi="Arial"/>
            <w:u w:val="single"/>
            <w:rtl w:val="0"/>
          </w:rPr>
          <w:t xml:space="preserve">https://digitalmirai.medium.com/the-rise-fall-and-reinvention-of-blackberry-and-nokia-93a0483dbebf</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1">
      <w:pPr>
        <w:spacing w:after="240" w:before="240" w:lineRule="auto"/>
        <w:rPr>
          <w:rFonts w:ascii="Arial" w:cs="Arial" w:eastAsia="Arial" w:hAnsi="Arial"/>
        </w:rPr>
      </w:pPr>
      <w:r w:rsidDel="00000000" w:rsidR="00000000" w:rsidRPr="00000000">
        <w:rPr>
          <w:rFonts w:ascii="Arial" w:cs="Arial" w:eastAsia="Arial" w:hAnsi="Arial"/>
          <w:rtl w:val="0"/>
        </w:rPr>
        <w:t xml:space="preserve">Mikulic, M. (2024). </w:t>
      </w:r>
      <w:r w:rsidDel="00000000" w:rsidR="00000000" w:rsidRPr="00000000">
        <w:rPr>
          <w:rFonts w:ascii="Arial" w:cs="Arial" w:eastAsia="Arial" w:hAnsi="Arial"/>
          <w:i w:val="1"/>
          <w:rtl w:val="0"/>
        </w:rPr>
        <w:t xml:space="preserve">Top companies by COVID-19 treatment vaccines in development June 2022</w:t>
      </w:r>
      <w:r w:rsidDel="00000000" w:rsidR="00000000" w:rsidRPr="00000000">
        <w:rPr>
          <w:rFonts w:ascii="Arial" w:cs="Arial" w:eastAsia="Arial" w:hAnsi="Arial"/>
          <w:rtl w:val="0"/>
        </w:rPr>
        <w:t xml:space="preserve">. Available at: </w:t>
      </w:r>
      <w:hyperlink r:id="rId14">
        <w:r w:rsidDel="00000000" w:rsidR="00000000" w:rsidRPr="00000000">
          <w:rPr>
            <w:rFonts w:ascii="Arial" w:cs="Arial" w:eastAsia="Arial" w:hAnsi="Arial"/>
            <w:u w:val="single"/>
            <w:rtl w:val="0"/>
          </w:rPr>
          <w:t xml:space="preserve">https://www.statista.com/statistics/1119090/coronavirus-drugs-in-development-by-leading-companies/</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2">
      <w:pPr>
        <w:spacing w:after="240" w:before="240" w:lineRule="auto"/>
        <w:rPr>
          <w:rFonts w:ascii="Arial" w:cs="Arial" w:eastAsia="Arial" w:hAnsi="Arial"/>
        </w:rPr>
      </w:pPr>
      <w:r w:rsidDel="00000000" w:rsidR="00000000" w:rsidRPr="00000000">
        <w:rPr>
          <w:rFonts w:ascii="Arial" w:cs="Arial" w:eastAsia="Arial" w:hAnsi="Arial"/>
          <w:rtl w:val="0"/>
        </w:rPr>
        <w:t xml:space="preserve">Nestle (2025). </w:t>
      </w:r>
      <w:r w:rsidDel="00000000" w:rsidR="00000000" w:rsidRPr="00000000">
        <w:rPr>
          <w:rFonts w:ascii="Arial" w:cs="Arial" w:eastAsia="Arial" w:hAnsi="Arial"/>
          <w:i w:val="1"/>
          <w:rtl w:val="0"/>
        </w:rPr>
        <w:t xml:space="preserve">Improving our products</w:t>
      </w:r>
      <w:r w:rsidDel="00000000" w:rsidR="00000000" w:rsidRPr="00000000">
        <w:rPr>
          <w:rFonts w:ascii="Arial" w:cs="Arial" w:eastAsia="Arial" w:hAnsi="Arial"/>
          <w:rtl w:val="0"/>
        </w:rPr>
        <w:t xml:space="preserve">. Available at: </w:t>
      </w:r>
      <w:hyperlink r:id="rId15">
        <w:r w:rsidDel="00000000" w:rsidR="00000000" w:rsidRPr="00000000">
          <w:rPr>
            <w:rFonts w:ascii="Arial" w:cs="Arial" w:eastAsia="Arial" w:hAnsi="Arial"/>
            <w:u w:val="single"/>
            <w:rtl w:val="0"/>
          </w:rPr>
          <w:t xml:space="preserve">https://www.nestle.co.uk/en-gb/sustainability/nutrition-health/improving-products</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3">
      <w:pPr>
        <w:spacing w:after="240" w:before="240" w:lineRule="auto"/>
        <w:rPr>
          <w:rFonts w:ascii="Arial" w:cs="Arial" w:eastAsia="Arial" w:hAnsi="Arial"/>
        </w:rPr>
      </w:pPr>
      <w:r w:rsidDel="00000000" w:rsidR="00000000" w:rsidRPr="00000000">
        <w:rPr>
          <w:rFonts w:ascii="Arial" w:cs="Arial" w:eastAsia="Arial" w:hAnsi="Arial"/>
          <w:rtl w:val="0"/>
        </w:rPr>
        <w:t xml:space="preserve">Nestle (2025). </w:t>
      </w:r>
      <w:r w:rsidDel="00000000" w:rsidR="00000000" w:rsidRPr="00000000">
        <w:rPr>
          <w:rFonts w:ascii="Arial" w:cs="Arial" w:eastAsia="Arial" w:hAnsi="Arial"/>
          <w:i w:val="1"/>
          <w:rtl w:val="0"/>
        </w:rPr>
        <w:t xml:space="preserve">Nestlé history timeline</w:t>
      </w:r>
      <w:r w:rsidDel="00000000" w:rsidR="00000000" w:rsidRPr="00000000">
        <w:rPr>
          <w:rFonts w:ascii="Arial" w:cs="Arial" w:eastAsia="Arial" w:hAnsi="Arial"/>
          <w:rtl w:val="0"/>
        </w:rPr>
        <w:t xml:space="preserve">. Available at: </w:t>
      </w:r>
      <w:hyperlink r:id="rId16">
        <w:r w:rsidDel="00000000" w:rsidR="00000000" w:rsidRPr="00000000">
          <w:rPr>
            <w:rFonts w:ascii="Arial" w:cs="Arial" w:eastAsia="Arial" w:hAnsi="Arial"/>
            <w:u w:val="single"/>
            <w:rtl w:val="0"/>
          </w:rPr>
          <w:t xml:space="preserve">https://www.nestle.com/sites/default/files/2022-12/nestle-company-history-timeline.pdf</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4">
      <w:pPr>
        <w:spacing w:after="240" w:before="240" w:lineRule="auto"/>
        <w:rPr>
          <w:rFonts w:ascii="Arial" w:cs="Arial" w:eastAsia="Arial" w:hAnsi="Arial"/>
        </w:rPr>
      </w:pPr>
      <w:r w:rsidDel="00000000" w:rsidR="00000000" w:rsidRPr="00000000">
        <w:rPr>
          <w:rFonts w:ascii="Arial" w:cs="Arial" w:eastAsia="Arial" w:hAnsi="Arial"/>
          <w:rtl w:val="0"/>
        </w:rPr>
        <w:t xml:space="preserve">NVIDIA (2025). </w:t>
      </w:r>
      <w:r w:rsidDel="00000000" w:rsidR="00000000" w:rsidRPr="00000000">
        <w:rPr>
          <w:rFonts w:ascii="Arial" w:cs="Arial" w:eastAsia="Arial" w:hAnsi="Arial"/>
          <w:i w:val="1"/>
          <w:rtl w:val="0"/>
        </w:rPr>
        <w:t xml:space="preserve">A Timeline of Innovation</w:t>
      </w:r>
      <w:r w:rsidDel="00000000" w:rsidR="00000000" w:rsidRPr="00000000">
        <w:rPr>
          <w:rFonts w:ascii="Arial" w:cs="Arial" w:eastAsia="Arial" w:hAnsi="Arial"/>
          <w:rtl w:val="0"/>
        </w:rPr>
        <w:t xml:space="preserve">. Available at: </w:t>
      </w:r>
      <w:hyperlink r:id="rId17">
        <w:r w:rsidDel="00000000" w:rsidR="00000000" w:rsidRPr="00000000">
          <w:rPr>
            <w:rFonts w:ascii="Arial" w:cs="Arial" w:eastAsia="Arial" w:hAnsi="Arial"/>
            <w:u w:val="single"/>
            <w:rtl w:val="0"/>
          </w:rPr>
          <w:t xml:space="preserve">https://www.nvidia.com/en-in/about-nvidia/corporate-timeline/</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5">
      <w:pPr>
        <w:spacing w:after="240" w:before="240" w:lineRule="auto"/>
        <w:rPr>
          <w:rFonts w:ascii="Arial" w:cs="Arial" w:eastAsia="Arial" w:hAnsi="Arial"/>
        </w:rPr>
      </w:pPr>
      <w:r w:rsidDel="00000000" w:rsidR="00000000" w:rsidRPr="00000000">
        <w:rPr>
          <w:rFonts w:ascii="Arial" w:cs="Arial" w:eastAsia="Arial" w:hAnsi="Arial"/>
          <w:rtl w:val="0"/>
        </w:rPr>
        <w:t xml:space="preserve">Patagonia (2025). </w:t>
      </w:r>
      <w:r w:rsidDel="00000000" w:rsidR="00000000" w:rsidRPr="00000000">
        <w:rPr>
          <w:rFonts w:ascii="Arial" w:cs="Arial" w:eastAsia="Arial" w:hAnsi="Arial"/>
          <w:i w:val="1"/>
          <w:rtl w:val="0"/>
        </w:rPr>
        <w:t xml:space="preserve">A History of Our Environmental and Social Responsibility</w:t>
      </w:r>
      <w:r w:rsidDel="00000000" w:rsidR="00000000" w:rsidRPr="00000000">
        <w:rPr>
          <w:rFonts w:ascii="Arial" w:cs="Arial" w:eastAsia="Arial" w:hAnsi="Arial"/>
          <w:rtl w:val="0"/>
        </w:rPr>
        <w:t xml:space="preserve">. Available at: </w:t>
      </w:r>
      <w:hyperlink r:id="rId18">
        <w:r w:rsidDel="00000000" w:rsidR="00000000" w:rsidRPr="00000000">
          <w:rPr>
            <w:rFonts w:ascii="Arial" w:cs="Arial" w:eastAsia="Arial" w:hAnsi="Arial"/>
            <w:u w:val="single"/>
            <w:rtl w:val="0"/>
          </w:rPr>
          <w:t xml:space="preserve">https://www.patagonia.com/our-footprint/corporate-social-responsibility-history.html</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6">
      <w:pPr>
        <w:spacing w:after="240" w:before="240" w:lineRule="auto"/>
        <w:rPr>
          <w:rFonts w:ascii="Arial" w:cs="Arial" w:eastAsia="Arial" w:hAnsi="Arial"/>
        </w:rPr>
      </w:pPr>
      <w:r w:rsidDel="00000000" w:rsidR="00000000" w:rsidRPr="00000000">
        <w:rPr>
          <w:rFonts w:ascii="Arial" w:cs="Arial" w:eastAsia="Arial" w:hAnsi="Arial"/>
          <w:rtl w:val="0"/>
        </w:rPr>
        <w:t xml:space="preserve">Pfizer (2025). </w:t>
      </w:r>
      <w:r w:rsidDel="00000000" w:rsidR="00000000" w:rsidRPr="00000000">
        <w:rPr>
          <w:rFonts w:ascii="Arial" w:cs="Arial" w:eastAsia="Arial" w:hAnsi="Arial"/>
          <w:i w:val="1"/>
          <w:rtl w:val="0"/>
        </w:rPr>
        <w:t xml:space="preserve">Manufacturing and Distributing the COVID-19 Vaccine</w:t>
      </w:r>
      <w:r w:rsidDel="00000000" w:rsidR="00000000" w:rsidRPr="00000000">
        <w:rPr>
          <w:rFonts w:ascii="Arial" w:cs="Arial" w:eastAsia="Arial" w:hAnsi="Arial"/>
          <w:rtl w:val="0"/>
        </w:rPr>
        <w:t xml:space="preserve">. Available at: </w:t>
      </w:r>
      <w:hyperlink r:id="rId19">
        <w:r w:rsidDel="00000000" w:rsidR="00000000" w:rsidRPr="00000000">
          <w:rPr>
            <w:rFonts w:ascii="Arial" w:cs="Arial" w:eastAsia="Arial" w:hAnsi="Arial"/>
            <w:u w:val="single"/>
            <w:rtl w:val="0"/>
          </w:rPr>
          <w:t xml:space="preserve">https://www.pfizer.com/science/coronavirus/vaccine/manufacturing-and-distribution</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7">
      <w:pPr>
        <w:spacing w:after="240" w:before="240" w:lineRule="auto"/>
        <w:rPr>
          <w:rFonts w:ascii="Arial" w:cs="Arial" w:eastAsia="Arial" w:hAnsi="Arial"/>
        </w:rPr>
      </w:pPr>
      <w:r w:rsidDel="00000000" w:rsidR="00000000" w:rsidRPr="00000000">
        <w:rPr>
          <w:rFonts w:ascii="Arial" w:cs="Arial" w:eastAsia="Arial" w:hAnsi="Arial"/>
          <w:rtl w:val="0"/>
        </w:rPr>
        <w:t xml:space="preserve">Resource (y). </w:t>
      </w:r>
      <w:r w:rsidDel="00000000" w:rsidR="00000000" w:rsidRPr="00000000">
        <w:rPr>
          <w:rFonts w:ascii="Arial" w:cs="Arial" w:eastAsia="Arial" w:hAnsi="Arial"/>
          <w:i w:val="1"/>
          <w:rtl w:val="0"/>
        </w:rPr>
        <w:t xml:space="preserve">A Very Short History Of Artificial Intelligence (AI)</w:t>
      </w:r>
      <w:r w:rsidDel="00000000" w:rsidR="00000000" w:rsidRPr="00000000">
        <w:rPr>
          <w:rFonts w:ascii="Arial" w:cs="Arial" w:eastAsia="Arial" w:hAnsi="Arial"/>
          <w:rtl w:val="0"/>
        </w:rPr>
        <w:t xml:space="preserve">. Available at: </w:t>
      </w:r>
      <w:hyperlink r:id="rId20">
        <w:r w:rsidDel="00000000" w:rsidR="00000000" w:rsidRPr="00000000">
          <w:rPr>
            <w:rFonts w:ascii="Arial" w:cs="Arial" w:eastAsia="Arial" w:hAnsi="Arial"/>
            <w:u w:val="single"/>
            <w:rtl w:val="0"/>
          </w:rPr>
          <w:t xml:space="preserve">https://www.forbes.com/sites/gilpress/2016/12/30/a-very-short-history-of-artificial-intelligence-ai/</w:t>
        </w:r>
      </w:hyperlink>
      <w:r w:rsidDel="00000000" w:rsidR="00000000" w:rsidRPr="00000000">
        <w:rPr>
          <w:rFonts w:ascii="Arial" w:cs="Arial" w:eastAsia="Arial" w:hAnsi="Arial"/>
          <w:rtl w:val="0"/>
        </w:rPr>
        <w:t xml:space="preserve"> (Accessed:</w:t>
        <w:tab/>
        <w:t xml:space="preserve">22 March 2025). </w:t>
      </w:r>
    </w:p>
    <w:p w:rsidR="00000000" w:rsidDel="00000000" w:rsidP="00000000" w:rsidRDefault="00000000" w:rsidRPr="00000000" w14:paraId="00000068">
      <w:pPr>
        <w:spacing w:after="240" w:before="240" w:lineRule="auto"/>
        <w:rPr>
          <w:rFonts w:ascii="Arial" w:cs="Arial" w:eastAsia="Arial" w:hAnsi="Arial"/>
        </w:rPr>
      </w:pPr>
      <w:r w:rsidDel="00000000" w:rsidR="00000000" w:rsidRPr="00000000">
        <w:rPr>
          <w:rFonts w:ascii="Arial" w:cs="Arial" w:eastAsia="Arial" w:hAnsi="Arial"/>
          <w:rtl w:val="0"/>
        </w:rPr>
        <w:t xml:space="preserve">Sherif, A. (2025). </w:t>
      </w:r>
      <w:r w:rsidDel="00000000" w:rsidR="00000000" w:rsidRPr="00000000">
        <w:rPr>
          <w:rFonts w:ascii="Arial" w:cs="Arial" w:eastAsia="Arial" w:hAnsi="Arial"/>
          <w:i w:val="1"/>
          <w:rtl w:val="0"/>
        </w:rPr>
        <w:t xml:space="preserve">Quarterly smartphone market share worldwide by vendor 2009-2024</w:t>
      </w:r>
      <w:r w:rsidDel="00000000" w:rsidR="00000000" w:rsidRPr="00000000">
        <w:rPr>
          <w:rFonts w:ascii="Arial" w:cs="Arial" w:eastAsia="Arial" w:hAnsi="Arial"/>
          <w:rtl w:val="0"/>
        </w:rPr>
        <w:t xml:space="preserve">. Available at: </w:t>
      </w:r>
      <w:hyperlink r:id="rId21">
        <w:r w:rsidDel="00000000" w:rsidR="00000000" w:rsidRPr="00000000">
          <w:rPr>
            <w:rFonts w:ascii="Arial" w:cs="Arial" w:eastAsia="Arial" w:hAnsi="Arial"/>
            <w:u w:val="single"/>
            <w:rtl w:val="0"/>
          </w:rPr>
          <w:t xml:space="preserve">https://www.statista.com/statistics/271496/global-market-share-held-by-smartphone-vendors-since-4th-quarter-2009/</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9">
      <w:pPr>
        <w:spacing w:after="240" w:before="240" w:lineRule="auto"/>
        <w:rPr>
          <w:rFonts w:ascii="Arial" w:cs="Arial" w:eastAsia="Arial" w:hAnsi="Arial"/>
        </w:rPr>
      </w:pPr>
      <w:r w:rsidDel="00000000" w:rsidR="00000000" w:rsidRPr="00000000">
        <w:rPr>
          <w:rFonts w:ascii="Arial" w:cs="Arial" w:eastAsia="Arial" w:hAnsi="Arial"/>
          <w:rtl w:val="0"/>
        </w:rPr>
        <w:t xml:space="preserve">Stark, J., (2022). ‘Product lifecycle management (PLM)’. In </w:t>
      </w:r>
      <w:r w:rsidDel="00000000" w:rsidR="00000000" w:rsidRPr="00000000">
        <w:rPr>
          <w:rFonts w:ascii="Arial" w:cs="Arial" w:eastAsia="Arial" w:hAnsi="Arial"/>
          <w:i w:val="1"/>
          <w:rtl w:val="0"/>
        </w:rPr>
        <w:t xml:space="preserve">Product lifecycle management (volume 1) 21st Century paradigm for product realisation</w:t>
      </w:r>
      <w:r w:rsidDel="00000000" w:rsidR="00000000" w:rsidRPr="00000000">
        <w:rPr>
          <w:rFonts w:ascii="Arial" w:cs="Arial" w:eastAsia="Arial" w:hAnsi="Arial"/>
          <w:rtl w:val="0"/>
        </w:rPr>
        <w:t xml:space="preserve"> (pp. 1-32). Cham: Springer International Publishing.</w:t>
      </w:r>
    </w:p>
    <w:p w:rsidR="00000000" w:rsidDel="00000000" w:rsidP="00000000" w:rsidRDefault="00000000" w:rsidRPr="00000000" w14:paraId="0000006A">
      <w:pPr>
        <w:spacing w:after="240" w:before="240" w:lineRule="auto"/>
        <w:rPr>
          <w:rFonts w:ascii="Arial" w:cs="Arial" w:eastAsia="Arial" w:hAnsi="Arial"/>
        </w:rPr>
      </w:pPr>
      <w:r w:rsidDel="00000000" w:rsidR="00000000" w:rsidRPr="00000000">
        <w:rPr>
          <w:rFonts w:ascii="Arial" w:cs="Arial" w:eastAsia="Arial" w:hAnsi="Arial"/>
          <w:rtl w:val="0"/>
        </w:rPr>
        <w:t xml:space="preserve">The Korea Time (2024). </w:t>
      </w:r>
      <w:r w:rsidDel="00000000" w:rsidR="00000000" w:rsidRPr="00000000">
        <w:rPr>
          <w:rFonts w:ascii="Arial" w:cs="Arial" w:eastAsia="Arial" w:hAnsi="Arial"/>
          <w:i w:val="1"/>
          <w:rtl w:val="0"/>
        </w:rPr>
        <w:t xml:space="preserve">Title</w:t>
      </w:r>
      <w:r w:rsidDel="00000000" w:rsidR="00000000" w:rsidRPr="00000000">
        <w:rPr>
          <w:rFonts w:ascii="Arial" w:cs="Arial" w:eastAsia="Arial" w:hAnsi="Arial"/>
          <w:rtl w:val="0"/>
        </w:rPr>
        <w:t xml:space="preserve">. Available at: </w:t>
      </w:r>
      <w:hyperlink r:id="rId22">
        <w:r w:rsidDel="00000000" w:rsidR="00000000" w:rsidRPr="00000000">
          <w:rPr>
            <w:rFonts w:ascii="Arial" w:cs="Arial" w:eastAsia="Arial" w:hAnsi="Arial"/>
            <w:u w:val="single"/>
            <w:rtl w:val="0"/>
          </w:rPr>
          <w:t xml:space="preserve">https://www.koreatimes.co.kr/www/tech/2025/03/129_367126.html</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B">
      <w:pPr>
        <w:spacing w:after="240" w:before="240" w:lineRule="auto"/>
        <w:rPr>
          <w:rFonts w:ascii="Arial" w:cs="Arial" w:eastAsia="Arial" w:hAnsi="Arial"/>
        </w:rPr>
      </w:pPr>
      <w:r w:rsidDel="00000000" w:rsidR="00000000" w:rsidRPr="00000000">
        <w:rPr>
          <w:rFonts w:ascii="Arial" w:cs="Arial" w:eastAsia="Arial" w:hAnsi="Arial"/>
          <w:rtl w:val="0"/>
        </w:rPr>
        <w:t xml:space="preserve">Varadarajan, R., Welden, R.B., Arunachalam, S., Haenlein, M. and Gupta, S., (2022). ‘Digital product innovations for the greater good and digital marketing innovations in communications and channels: Evolution, emerging issues, and future research directions’. </w:t>
      </w:r>
      <w:r w:rsidDel="00000000" w:rsidR="00000000" w:rsidRPr="00000000">
        <w:rPr>
          <w:rFonts w:ascii="Arial" w:cs="Arial" w:eastAsia="Arial" w:hAnsi="Arial"/>
          <w:i w:val="1"/>
          <w:rtl w:val="0"/>
        </w:rPr>
        <w:t xml:space="preserve">International Journal of Research in Marketing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39</w:t>
      </w:r>
      <w:r w:rsidDel="00000000" w:rsidR="00000000" w:rsidRPr="00000000">
        <w:rPr>
          <w:rFonts w:ascii="Arial" w:cs="Arial" w:eastAsia="Arial" w:hAnsi="Arial"/>
          <w:rtl w:val="0"/>
        </w:rPr>
        <w:t xml:space="preserve">(2), pp.482-501.</w:t>
      </w:r>
    </w:p>
    <w:p w:rsidR="00000000" w:rsidDel="00000000" w:rsidP="00000000" w:rsidRDefault="00000000" w:rsidRPr="00000000" w14:paraId="0000006C">
      <w:pPr>
        <w:spacing w:after="240" w:before="240" w:lineRule="auto"/>
        <w:rPr>
          <w:rFonts w:ascii="Arial" w:cs="Arial" w:eastAsia="Arial" w:hAnsi="Arial"/>
        </w:rPr>
      </w:pPr>
      <w:r w:rsidDel="00000000" w:rsidR="00000000" w:rsidRPr="00000000">
        <w:rPr>
          <w:rFonts w:ascii="Arial" w:cs="Arial" w:eastAsia="Arial" w:hAnsi="Arial"/>
          <w:rtl w:val="0"/>
        </w:rPr>
        <w:t xml:space="preserve">Verma, S., Dwivedi, G. and Verma, P., (2022). ‘Life cycle assessment of electric vehicles in comparison to combustion engine vehicles: A review’. </w:t>
      </w:r>
      <w:r w:rsidDel="00000000" w:rsidR="00000000" w:rsidRPr="00000000">
        <w:rPr>
          <w:rFonts w:ascii="Arial" w:cs="Arial" w:eastAsia="Arial" w:hAnsi="Arial"/>
          <w:i w:val="1"/>
          <w:rtl w:val="0"/>
        </w:rPr>
        <w:t xml:space="preserve">Materials Today: Proceedings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49</w:t>
      </w:r>
      <w:r w:rsidDel="00000000" w:rsidR="00000000" w:rsidRPr="00000000">
        <w:rPr>
          <w:rFonts w:ascii="Arial" w:cs="Arial" w:eastAsia="Arial" w:hAnsi="Arial"/>
          <w:rtl w:val="0"/>
        </w:rPr>
        <w:t xml:space="preserve">, pp.217-222.</w:t>
      </w:r>
    </w:p>
    <w:p w:rsidR="00000000" w:rsidDel="00000000" w:rsidP="00000000" w:rsidRDefault="00000000" w:rsidRPr="00000000" w14:paraId="0000006D">
      <w:pPr>
        <w:spacing w:after="240" w:before="240" w:lineRule="auto"/>
        <w:rPr>
          <w:rFonts w:ascii="Arial" w:cs="Arial" w:eastAsia="Arial" w:hAnsi="Arial"/>
        </w:rPr>
      </w:pPr>
      <w:r w:rsidDel="00000000" w:rsidR="00000000" w:rsidRPr="00000000">
        <w:rPr>
          <w:rFonts w:ascii="Arial" w:cs="Arial" w:eastAsia="Arial" w:hAnsi="Arial"/>
          <w:rtl w:val="0"/>
        </w:rPr>
        <w:t xml:space="preserve">Walter Loeb (2022). </w:t>
      </w:r>
      <w:r w:rsidDel="00000000" w:rsidR="00000000" w:rsidRPr="00000000">
        <w:rPr>
          <w:rFonts w:ascii="Arial" w:cs="Arial" w:eastAsia="Arial" w:hAnsi="Arial"/>
          <w:i w:val="1"/>
          <w:rtl w:val="0"/>
        </w:rPr>
        <w:t xml:space="preserve">The Lasting Allure Of Luxury Fashion Brands</w:t>
      </w:r>
      <w:r w:rsidDel="00000000" w:rsidR="00000000" w:rsidRPr="00000000">
        <w:rPr>
          <w:rFonts w:ascii="Arial" w:cs="Arial" w:eastAsia="Arial" w:hAnsi="Arial"/>
          <w:rtl w:val="0"/>
        </w:rPr>
        <w:t xml:space="preserve">. Available at: </w:t>
      </w:r>
      <w:hyperlink r:id="rId23">
        <w:r w:rsidDel="00000000" w:rsidR="00000000" w:rsidRPr="00000000">
          <w:rPr>
            <w:rFonts w:ascii="Arial" w:cs="Arial" w:eastAsia="Arial" w:hAnsi="Arial"/>
            <w:u w:val="single"/>
            <w:rtl w:val="0"/>
          </w:rPr>
          <w:t xml:space="preserve">https://www.forbes.com/sites/walterloeb/2022/06/13/how-luxury-fashion-brands-survive/</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E">
      <w:pPr>
        <w:spacing w:after="240" w:before="240" w:lineRule="auto"/>
        <w:rPr>
          <w:rFonts w:ascii="Arial" w:cs="Arial" w:eastAsia="Arial" w:hAnsi="Arial"/>
        </w:rPr>
      </w:pPr>
      <w:r w:rsidDel="00000000" w:rsidR="00000000" w:rsidRPr="00000000">
        <w:rPr>
          <w:rFonts w:ascii="Arial" w:cs="Arial" w:eastAsia="Arial" w:hAnsi="Arial"/>
          <w:rtl w:val="0"/>
        </w:rPr>
        <w:t xml:space="preserve">Wilkson, K. (2023). </w:t>
      </w:r>
      <w:r w:rsidDel="00000000" w:rsidR="00000000" w:rsidRPr="00000000">
        <w:rPr>
          <w:rFonts w:ascii="Arial" w:cs="Arial" w:eastAsia="Arial" w:hAnsi="Arial"/>
          <w:i w:val="1"/>
          <w:rtl w:val="0"/>
        </w:rPr>
        <w:t xml:space="preserve">Worth the Watt: A Brief History of the Electric Car, 1830 to Present</w:t>
      </w:r>
      <w:r w:rsidDel="00000000" w:rsidR="00000000" w:rsidRPr="00000000">
        <w:rPr>
          <w:rFonts w:ascii="Arial" w:cs="Arial" w:eastAsia="Arial" w:hAnsi="Arial"/>
          <w:rtl w:val="0"/>
        </w:rPr>
        <w:t xml:space="preserve">. Available at: </w:t>
      </w:r>
      <w:hyperlink r:id="rId24">
        <w:r w:rsidDel="00000000" w:rsidR="00000000" w:rsidRPr="00000000">
          <w:rPr>
            <w:rFonts w:ascii="Arial" w:cs="Arial" w:eastAsia="Arial" w:hAnsi="Arial"/>
            <w:u w:val="single"/>
            <w:rtl w:val="0"/>
          </w:rPr>
          <w:t xml:space="preserve">https://www.caranddriver.com/features/g43480930/history-of-electric-cars/</w:t>
        </w:r>
      </w:hyperlink>
      <w:r w:rsidDel="00000000" w:rsidR="00000000" w:rsidRPr="00000000">
        <w:rPr>
          <w:rFonts w:ascii="Arial" w:cs="Arial" w:eastAsia="Arial" w:hAnsi="Arial"/>
          <w:rtl w:val="0"/>
        </w:rPr>
        <w:t xml:space="preserve"> (Accessed: 22 March 2025). </w:t>
      </w:r>
    </w:p>
    <w:p w:rsidR="00000000" w:rsidDel="00000000" w:rsidP="00000000" w:rsidRDefault="00000000" w:rsidRPr="00000000" w14:paraId="0000006F">
      <w:pPr>
        <w:pStyle w:val="Heading1"/>
        <w:rPr/>
      </w:pPr>
      <w:bookmarkStart w:colFirst="0" w:colLast="0" w:name="_heading=h.a5mrreawi1ie" w:id="21"/>
      <w:bookmarkEnd w:id="21"/>
      <w:r w:rsidDel="00000000" w:rsidR="00000000" w:rsidRPr="00000000">
        <w:rPr>
          <w:rtl w:val="0"/>
        </w:rPr>
        <w:br w:type="textWrapping"/>
      </w:r>
    </w:p>
    <w:p w:rsidR="00000000" w:rsidDel="00000000" w:rsidP="00000000" w:rsidRDefault="00000000" w:rsidRPr="00000000" w14:paraId="00000070">
      <w:pPr>
        <w:pStyle w:val="Heading1"/>
        <w:rPr/>
      </w:pPr>
      <w:bookmarkStart w:colFirst="0" w:colLast="0" w:name="_heading=h.dzui3nafg9p3" w:id="22"/>
      <w:bookmarkEnd w:id="22"/>
      <w:r w:rsidDel="00000000" w:rsidR="00000000" w:rsidRPr="00000000">
        <w:rPr>
          <w:rtl w:val="0"/>
        </w:rPr>
      </w:r>
    </w:p>
    <w:sectPr>
      <w:footerReference r:id="rId25" w:type="default"/>
      <w:footerReference r:id="rId26"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spacing w:line="240" w:lineRule="auto"/>
      <w:jc w:val="right"/>
      <w:rPr>
        <w:rFonts w:ascii="Arial" w:cs="Arial" w:eastAsia="Arial" w:hAnsi="Arial"/>
        <w:sz w:val="20"/>
        <w:szCs w:val="20"/>
      </w:rPr>
    </w:pPr>
    <w:r w:rsidDel="00000000" w:rsidR="00000000" w:rsidRPr="00000000">
      <w:rPr>
        <w:rFonts w:ascii="Arial" w:cs="Arial" w:eastAsia="Arial" w:hAnsi="Arial"/>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before="200" w:lineRule="auto"/>
    </w:pPr>
    <w:rPr>
      <w:rFonts w:ascii="Arial" w:cs="Arial" w:eastAsia="Arial" w:hAnsi="Arial"/>
      <w:b w:val="1"/>
    </w:rPr>
  </w:style>
  <w:style w:type="paragraph" w:styleId="Heading2">
    <w:name w:val="heading 2"/>
    <w:basedOn w:val="Normal"/>
    <w:next w:val="Normal"/>
    <w:pPr>
      <w:spacing w:after="200" w:before="200" w:lineRule="auto"/>
    </w:pPr>
    <w:rPr>
      <w:rFonts w:ascii="Arial" w:cs="Arial" w:eastAsia="Arial" w:hAnsi="Arial"/>
      <w:b w:val="1"/>
    </w:rPr>
  </w:style>
  <w:style w:type="paragraph" w:styleId="Heading3">
    <w:name w:val="heading 3"/>
    <w:basedOn w:val="Normal"/>
    <w:next w:val="Normal"/>
    <w:pPr>
      <w:spacing w:after="120" w:before="120" w:lineRule="auto"/>
    </w:pPr>
    <w:rPr>
      <w:rFonts w:ascii="Arial" w:cs="Arial" w:eastAsia="Arial" w:hAnsi="Arial"/>
      <w:b w:val="1"/>
      <w:i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before="200" w:lineRule="auto"/>
    </w:pPr>
    <w:rPr>
      <w:rFonts w:ascii="Arial" w:cs="Arial" w:eastAsia="Arial" w:hAnsi="Arial"/>
      <w:b w:val="1"/>
    </w:rPr>
  </w:style>
  <w:style w:type="paragraph" w:styleId="Heading2">
    <w:name w:val="heading 2"/>
    <w:basedOn w:val="Normal"/>
    <w:next w:val="Normal"/>
    <w:pPr>
      <w:spacing w:after="200" w:before="200" w:lineRule="auto"/>
    </w:pPr>
    <w:rPr>
      <w:rFonts w:ascii="Arial" w:cs="Arial" w:eastAsia="Arial" w:hAnsi="Arial"/>
      <w:b w:val="1"/>
    </w:rPr>
  </w:style>
  <w:style w:type="paragraph" w:styleId="Heading3">
    <w:name w:val="heading 3"/>
    <w:basedOn w:val="Normal"/>
    <w:next w:val="Normal"/>
    <w:pPr>
      <w:spacing w:after="120" w:before="120" w:lineRule="auto"/>
    </w:pPr>
    <w:rPr>
      <w:rFonts w:ascii="Arial" w:cs="Arial" w:eastAsia="Arial" w:hAnsi="Arial"/>
      <w:b w:val="1"/>
      <w:i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32"/>
      <w:szCs w:val="32"/>
    </w:rPr>
  </w:style>
  <w:style w:type="paragraph" w:styleId="Normal" w:default="1">
    <w:name w:val="Normal"/>
    <w:qFormat w:val="1"/>
  </w:style>
  <w:style w:type="paragraph" w:styleId="Heading1">
    <w:name w:val="heading 1"/>
    <w:basedOn w:val="Normal"/>
    <w:next w:val="Normal"/>
    <w:uiPriority w:val="9"/>
    <w:qFormat w:val="1"/>
    <w:rsid w:val="00691F13"/>
    <w:pPr>
      <w:keepNext w:val="1"/>
      <w:keepLines w:val="1"/>
      <w:spacing w:after="200" w:before="200"/>
      <w:outlineLvl w:val="0"/>
    </w:pPr>
    <w:rPr>
      <w:rFonts w:ascii="Arial" w:cs="Arial" w:hAnsi="Arial"/>
      <w:b w:val="1"/>
      <w:lang w:val="en-GB"/>
    </w:rPr>
  </w:style>
  <w:style w:type="paragraph" w:styleId="Heading2">
    <w:name w:val="heading 2"/>
    <w:basedOn w:val="Normal"/>
    <w:next w:val="Normal"/>
    <w:uiPriority w:val="9"/>
    <w:unhideWhenUsed w:val="1"/>
    <w:qFormat w:val="1"/>
    <w:rsid w:val="00AB3130"/>
    <w:pPr>
      <w:spacing w:after="200" w:before="200"/>
      <w:outlineLvl w:val="1"/>
    </w:pPr>
    <w:rPr>
      <w:rFonts w:ascii="Arial" w:cs="Arial" w:hAnsi="Arial"/>
      <w:b w:val="1"/>
      <w:bCs w:val="1"/>
      <w:lang w:val="en-GB"/>
    </w:rPr>
  </w:style>
  <w:style w:type="paragraph" w:styleId="Heading3">
    <w:name w:val="heading 3"/>
    <w:basedOn w:val="Normal"/>
    <w:next w:val="Normal"/>
    <w:uiPriority w:val="9"/>
    <w:unhideWhenUsed w:val="1"/>
    <w:qFormat w:val="1"/>
    <w:rsid w:val="00AB3130"/>
    <w:pPr>
      <w:spacing w:after="120" w:before="120"/>
      <w:outlineLvl w:val="2"/>
    </w:pPr>
    <w:rPr>
      <w:rFonts w:ascii="Arial" w:cs="Arial" w:hAnsi="Arial"/>
      <w:b w:val="1"/>
      <w:bCs w:val="1"/>
      <w:i w:val="1"/>
      <w:iCs w:val="1"/>
      <w:lang w:val="en-GB"/>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jc w:val="center"/>
    </w:pPr>
    <w:rPr>
      <w:b w:val="1"/>
      <w:sz w:val="32"/>
      <w:szCs w:val="32"/>
    </w:rPr>
  </w:style>
  <w:style w:type="paragraph" w:styleId="Subtitle">
    <w:name w:val="Subtitle"/>
    <w:basedOn w:val="Normal"/>
    <w:next w:val="Normal"/>
    <w:uiPriority w:val="11"/>
    <w:qFormat w:val="1"/>
    <w:pPr>
      <w:keepNext w:val="1"/>
      <w:keepLines w:val="1"/>
      <w:spacing w:after="320"/>
    </w:pPr>
    <w:rPr>
      <w:rFonts w:ascii="Arial" w:cs="Arial" w:eastAsia="Arial" w:hAnsi="Arial"/>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ListParagraph">
    <w:name w:val="List Paragraph"/>
    <w:basedOn w:val="Normal"/>
    <w:uiPriority w:val="34"/>
    <w:qFormat w:val="1"/>
    <w:rsid w:val="00900A2D"/>
    <w:pPr>
      <w:ind w:left="720"/>
      <w:contextualSpacing w:val="1"/>
    </w:pPr>
  </w:style>
  <w:style w:type="paragraph" w:styleId="TOCHeading">
    <w:name w:val="TOC Heading"/>
    <w:basedOn w:val="Heading1"/>
    <w:next w:val="Normal"/>
    <w:uiPriority w:val="39"/>
    <w:unhideWhenUsed w:val="1"/>
    <w:qFormat w:val="1"/>
    <w:rsid w:val="002A3F88"/>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2A3F88"/>
    <w:pPr>
      <w:spacing w:after="100"/>
    </w:pPr>
  </w:style>
  <w:style w:type="paragraph" w:styleId="TOC2">
    <w:name w:val="toc 2"/>
    <w:basedOn w:val="Normal"/>
    <w:next w:val="Normal"/>
    <w:autoRedefine w:val="1"/>
    <w:uiPriority w:val="39"/>
    <w:unhideWhenUsed w:val="1"/>
    <w:rsid w:val="002A3F88"/>
    <w:pPr>
      <w:spacing w:after="100"/>
      <w:ind w:left="240"/>
    </w:pPr>
  </w:style>
  <w:style w:type="paragraph" w:styleId="TOC3">
    <w:name w:val="toc 3"/>
    <w:basedOn w:val="Normal"/>
    <w:next w:val="Normal"/>
    <w:autoRedefine w:val="1"/>
    <w:uiPriority w:val="39"/>
    <w:unhideWhenUsed w:val="1"/>
    <w:rsid w:val="002A3F88"/>
    <w:pPr>
      <w:spacing w:after="100"/>
      <w:ind w:left="480"/>
    </w:pPr>
  </w:style>
  <w:style w:type="character" w:styleId="Hyperlink">
    <w:name w:val="Hyperlink"/>
    <w:basedOn w:val="DefaultParagraphFont"/>
    <w:uiPriority w:val="99"/>
    <w:unhideWhenUsed w:val="1"/>
    <w:rsid w:val="002A3F88"/>
    <w:rPr>
      <w:color w:val="0000ff" w:themeColor="hyperlink"/>
      <w:u w:val="single"/>
    </w:rPr>
  </w:style>
  <w:style w:type="paragraph" w:styleId="TableofFigures">
    <w:name w:val="table of figures"/>
    <w:basedOn w:val="Normal"/>
    <w:next w:val="Normal"/>
    <w:uiPriority w:val="99"/>
    <w:unhideWhenUsed w:val="1"/>
    <w:rsid w:val="00AB3130"/>
    <w:rPr>
      <w:rFonts w:ascii="Arial" w:hAnsi="Arial"/>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forbes.com/sites/gilpress/2016/12/30/a-very-short-history-of-artificial-intelligence-ai/" TargetMode="External"/><Relationship Id="rId22" Type="http://schemas.openxmlformats.org/officeDocument/2006/relationships/hyperlink" Target="https://www.koreatimes.co.kr/www/tech/2025/03/129_367126.html" TargetMode="External"/><Relationship Id="rId21" Type="http://schemas.openxmlformats.org/officeDocument/2006/relationships/hyperlink" Target="https://www.statista.com/statistics/271496/global-market-share-held-by-smartphone-vendors-since-4th-quarter-2009/" TargetMode="External"/><Relationship Id="rId24" Type="http://schemas.openxmlformats.org/officeDocument/2006/relationships/hyperlink" Target="https://www.caranddriver.com/features/g43480930/history-of-electric-cars/" TargetMode="External"/><Relationship Id="rId23" Type="http://schemas.openxmlformats.org/officeDocument/2006/relationships/hyperlink" Target="https://www.forbes.com/sites/walterloeb/2022/06/13/how-luxury-fashion-brands-surviv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orbes.com/lists/ai50/" TargetMode="External"/><Relationship Id="rId26" Type="http://schemas.openxmlformats.org/officeDocument/2006/relationships/footer" Target="footer2.xm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tatista.com/statistics/260963/leading-fmcg-companies-worldwide-based-on-sales/" TargetMode="External"/><Relationship Id="rId11" Type="http://schemas.openxmlformats.org/officeDocument/2006/relationships/hyperlink" Target="https://www.managementtoday.co.uk/why-blockbuster-really-went-bankrupt-according-its-former-ceo/interviews/article/1863669" TargetMode="External"/><Relationship Id="rId10" Type="http://schemas.openxmlformats.org/officeDocument/2006/relationships/hyperlink" Target="https://www.consultancy.uk/news/26874/the-worlds-40-largest-fast-moving-consumer-goods-companies" TargetMode="External"/><Relationship Id="rId13" Type="http://schemas.openxmlformats.org/officeDocument/2006/relationships/hyperlink" Target="https://digitalmirai.medium.com/the-rise-fall-and-reinvention-of-blackberry-and-nokia-93a0483dbebf" TargetMode="External"/><Relationship Id="rId12" Type="http://schemas.openxmlformats.org/officeDocument/2006/relationships/hyperlink" Target="https://www.forbes.com/sites/bernardmarr/2024/11/11/4-smartphone-with-the-best-artificial-intelligence/" TargetMode="External"/><Relationship Id="rId15" Type="http://schemas.openxmlformats.org/officeDocument/2006/relationships/hyperlink" Target="https://www.nestle.co.uk/en-gb/sustainability/nutrition-health/improving-products" TargetMode="External"/><Relationship Id="rId14" Type="http://schemas.openxmlformats.org/officeDocument/2006/relationships/hyperlink" Target="https://www.statista.com/statistics/1119090/coronavirus-drugs-in-development-by-leading-companies/" TargetMode="External"/><Relationship Id="rId17" Type="http://schemas.openxmlformats.org/officeDocument/2006/relationships/hyperlink" Target="https://www.nvidia.com/en-in/about-nvidia/corporate-timeline/" TargetMode="External"/><Relationship Id="rId16" Type="http://schemas.openxmlformats.org/officeDocument/2006/relationships/hyperlink" Target="https://www.nestle.com/sites/default/files/2022-12/nestle-company-history-timeline.pdf" TargetMode="External"/><Relationship Id="rId19" Type="http://schemas.openxmlformats.org/officeDocument/2006/relationships/hyperlink" Target="https://www.pfizer.com/science/coronavirus/vaccine/manufacturing-and-distribution" TargetMode="External"/><Relationship Id="rId18" Type="http://schemas.openxmlformats.org/officeDocument/2006/relationships/hyperlink" Target="https://www.patagonia.com/our-footprint/corporate-social-responsibility-hi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skihKabkeCnwTP1BiJoLX8DtYg==">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2025-03-24T11:50:00Z</dcterms:created>
</cp:coreProperties>
</file>