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5B270734" w14:textId="7E3E5D8F" w:rsidR="002B1D9D" w:rsidRDefault="00063B4C" w:rsidP="004B54DE">
      <w:pPr>
        <w:spacing w:line="813" w:lineRule="exact"/>
      </w:pPr>
      <w:r w:rsidRPr="00063B4C">
        <w:rPr>
          <w:rFonts w:cs="Arial"/>
          <w:sz w:val="60"/>
          <w:szCs w:val="60"/>
        </w:rPr>
        <w:t>BSc (Hons) Health and Social Care</w:t>
      </w:r>
      <w:r w:rsidRPr="00063B4C">
        <w:rPr>
          <w:rFonts w:cs="Arial"/>
          <w:sz w:val="60"/>
          <w:szCs w:val="60"/>
        </w:rPr>
        <w:br/>
      </w:r>
    </w:p>
    <w:p w14:paraId="1F0A2A9B" w14:textId="77777777" w:rsidR="004B54DE" w:rsidRDefault="004B54DE" w:rsidP="004B54DE">
      <w:pPr>
        <w:spacing w:line="813" w:lineRule="exact"/>
      </w:pPr>
    </w:p>
    <w:p w14:paraId="078A6856" w14:textId="77777777" w:rsidR="004B54DE" w:rsidRDefault="004B54DE" w:rsidP="004B54DE">
      <w:pPr>
        <w:spacing w:line="813" w:lineRule="exact"/>
      </w:pPr>
    </w:p>
    <w:p w14:paraId="15FB4984" w14:textId="77777777" w:rsidR="004B54DE" w:rsidRDefault="004B54DE" w:rsidP="004B54DE">
      <w:pPr>
        <w:spacing w:line="813" w:lineRule="exact"/>
      </w:pPr>
    </w:p>
    <w:p w14:paraId="7DF6D212" w14:textId="77777777" w:rsidR="004B54DE" w:rsidRDefault="004B54DE" w:rsidP="004B54DE">
      <w:pPr>
        <w:spacing w:line="813" w:lineRule="exact"/>
      </w:pPr>
    </w:p>
    <w:p w14:paraId="6D29CD44" w14:textId="75C545B1" w:rsidR="00063B4C" w:rsidRPr="00063B4C" w:rsidRDefault="00063B4C" w:rsidP="00995444">
      <w:pPr>
        <w:pStyle w:val="Heading1"/>
        <w:ind w:left="0"/>
        <w:rPr>
          <w:rFonts w:ascii="Aptos" w:hAnsi="Aptos" w:cs="Arial"/>
        </w:rPr>
      </w:pPr>
      <w:bookmarkStart w:id="0" w:name="_Toc204127873"/>
      <w:r w:rsidRPr="00063B4C">
        <w:rPr>
          <w:rFonts w:ascii="Aptos" w:hAnsi="Aptos" w:cs="Arial"/>
        </w:rPr>
        <w:t>Disclaimer</w:t>
      </w:r>
      <w:bookmarkEnd w:id="0"/>
    </w:p>
    <w:p w14:paraId="2E1C9484" w14:textId="77777777" w:rsidR="00604A87" w:rsidRDefault="00063B4C" w:rsidP="00995444">
      <w:pPr>
        <w:spacing w:before="62"/>
        <w:ind w:right="96"/>
        <w:rPr>
          <w:rFonts w:cs="Arial"/>
          <w:sz w:val="20"/>
        </w:rPr>
      </w:pPr>
      <w:r w:rsidRPr="00063B4C">
        <w:rPr>
          <w:rFonts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7EE9E868"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r w:rsidR="008014C5">
        <w:rPr>
          <w:rFonts w:eastAsia="Times New Roman" w:cs="Arial"/>
        </w:rPr>
        <w:t>.</w:t>
      </w:r>
    </w:p>
    <w:p w14:paraId="3EF51212" w14:textId="741FC1A0" w:rsidR="00604A87" w:rsidRPr="00604A87" w:rsidRDefault="00604A87" w:rsidP="00604A87">
      <w:pPr>
        <w:rPr>
          <w:rFonts w:eastAsia="Times New Roman" w:cs="Arial"/>
        </w:rPr>
      </w:pPr>
      <w:r w:rsidRPr="00604A87">
        <w:rPr>
          <w:rFonts w:eastAsia="Times New Roman" w:cs="Arial"/>
        </w:rPr>
        <w:t>Signed</w:t>
      </w:r>
      <w:r w:rsidR="006B39B4">
        <w:rPr>
          <w:rFonts w:eastAsia="Times New Roman" w:cs="Arial"/>
        </w:rPr>
        <w:t xml:space="preserve"> -  Kiren </w:t>
      </w:r>
      <w:proofErr w:type="spellStart"/>
      <w:r w:rsidR="006B39B4">
        <w:rPr>
          <w:rFonts w:eastAsia="Times New Roman" w:cs="Arial"/>
        </w:rPr>
        <w:t>Sunneya</w:t>
      </w:r>
      <w:proofErr w:type="spellEnd"/>
      <w:r w:rsidR="006B39B4">
        <w:rPr>
          <w:rFonts w:eastAsia="Times New Roman" w:cs="Arial"/>
        </w:rPr>
        <w:t xml:space="preserve"> Mubarik</w:t>
      </w:r>
    </w:p>
    <w:p w14:paraId="16B6CB34" w14:textId="3C656542" w:rsidR="00604A87" w:rsidRPr="00604A87" w:rsidRDefault="00604A87" w:rsidP="00604A87">
      <w:pPr>
        <w:rPr>
          <w:rFonts w:eastAsia="Times New Roman" w:cs="Arial"/>
        </w:rPr>
      </w:pPr>
      <w:r w:rsidRPr="00604A87">
        <w:rPr>
          <w:rFonts w:eastAsia="Times New Roman" w:cs="Arial"/>
        </w:rPr>
        <w:t>Date……</w:t>
      </w:r>
      <w:r w:rsidR="006B39B4">
        <w:rPr>
          <w:rFonts w:eastAsia="Times New Roman" w:cs="Arial"/>
        </w:rPr>
        <w:t xml:space="preserve"> </w:t>
      </w:r>
      <w:r w:rsidR="007F170E">
        <w:rPr>
          <w:rFonts w:eastAsia="Times New Roman" w:cs="Arial"/>
        </w:rPr>
        <w:t>2</w:t>
      </w:r>
      <w:r w:rsidR="00001068">
        <w:rPr>
          <w:rFonts w:eastAsia="Times New Roman" w:cs="Arial"/>
        </w:rPr>
        <w:t>2</w:t>
      </w:r>
      <w:r w:rsidR="00001068" w:rsidRPr="00001068">
        <w:rPr>
          <w:rFonts w:eastAsia="Times New Roman" w:cs="Arial"/>
          <w:vertAlign w:val="superscript"/>
        </w:rPr>
        <w:t>nd</w:t>
      </w:r>
      <w:r w:rsidR="00001068">
        <w:rPr>
          <w:rFonts w:eastAsia="Times New Roman" w:cs="Arial"/>
        </w:rPr>
        <w:t xml:space="preserve"> </w:t>
      </w:r>
      <w:r w:rsidR="007F170E">
        <w:rPr>
          <w:rFonts w:eastAsia="Times New Roman" w:cs="Arial"/>
        </w:rPr>
        <w:t>July</w:t>
      </w:r>
      <w:r w:rsidR="00001068">
        <w:rPr>
          <w:rFonts w:eastAsia="Times New Roman" w:cs="Arial"/>
        </w:rPr>
        <w:t>,</w:t>
      </w:r>
      <w:r w:rsidR="007F170E">
        <w:rPr>
          <w:rFonts w:eastAsia="Times New Roman" w:cs="Arial"/>
        </w:rPr>
        <w:t xml:space="preserve"> 2025</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55437AEA" w14:textId="77777777" w:rsidR="007F170E" w:rsidRPr="00604A87" w:rsidRDefault="007F170E" w:rsidP="007F170E">
      <w:pPr>
        <w:rPr>
          <w:rFonts w:eastAsia="Times New Roman" w:cs="Arial"/>
        </w:rPr>
      </w:pPr>
      <w:r w:rsidRPr="00604A87">
        <w:rPr>
          <w:rFonts w:eastAsia="Times New Roman" w:cs="Arial"/>
        </w:rPr>
        <w:t>Signed</w:t>
      </w:r>
      <w:r>
        <w:rPr>
          <w:rFonts w:eastAsia="Times New Roman" w:cs="Arial"/>
        </w:rPr>
        <w:t xml:space="preserve"> -  Kiren </w:t>
      </w:r>
      <w:proofErr w:type="spellStart"/>
      <w:r>
        <w:rPr>
          <w:rFonts w:eastAsia="Times New Roman" w:cs="Arial"/>
        </w:rPr>
        <w:t>Sunneya</w:t>
      </w:r>
      <w:proofErr w:type="spellEnd"/>
      <w:r>
        <w:rPr>
          <w:rFonts w:eastAsia="Times New Roman" w:cs="Arial"/>
        </w:rPr>
        <w:t xml:space="preserve"> Mubarik</w:t>
      </w:r>
    </w:p>
    <w:p w14:paraId="18CF4624" w14:textId="392E4657" w:rsidR="007F170E" w:rsidRPr="00604A87" w:rsidRDefault="007F170E" w:rsidP="007F170E">
      <w:pPr>
        <w:rPr>
          <w:rFonts w:eastAsia="Times New Roman" w:cs="Arial"/>
        </w:rPr>
      </w:pPr>
      <w:r w:rsidRPr="00604A87">
        <w:rPr>
          <w:rFonts w:eastAsia="Times New Roman" w:cs="Arial"/>
        </w:rPr>
        <w:t>Date……</w:t>
      </w:r>
      <w:r>
        <w:rPr>
          <w:rFonts w:eastAsia="Times New Roman" w:cs="Arial"/>
        </w:rPr>
        <w:t xml:space="preserve"> 2</w:t>
      </w:r>
      <w:r w:rsidR="005B5EB4">
        <w:rPr>
          <w:rFonts w:eastAsia="Times New Roman" w:cs="Arial"/>
        </w:rPr>
        <w:t>2</w:t>
      </w:r>
      <w:r w:rsidR="005B5EB4" w:rsidRPr="005B5EB4">
        <w:rPr>
          <w:rFonts w:eastAsia="Times New Roman" w:cs="Arial"/>
          <w:vertAlign w:val="superscript"/>
        </w:rPr>
        <w:t>nd</w:t>
      </w:r>
      <w:r w:rsidR="005B5EB4">
        <w:rPr>
          <w:rFonts w:eastAsia="Times New Roman" w:cs="Arial"/>
        </w:rPr>
        <w:t xml:space="preserve"> </w:t>
      </w:r>
      <w:r>
        <w:rPr>
          <w:rFonts w:eastAsia="Times New Roman" w:cs="Arial"/>
        </w:rPr>
        <w:t>July</w:t>
      </w:r>
      <w:r w:rsidR="00001068">
        <w:rPr>
          <w:rFonts w:eastAsia="Times New Roman" w:cs="Arial"/>
        </w:rPr>
        <w:t>,</w:t>
      </w:r>
      <w:r>
        <w:rPr>
          <w:rFonts w:eastAsia="Times New Roman" w:cs="Arial"/>
        </w:rPr>
        <w:t xml:space="preserve"> 2025</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247033A5"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1F276FD4" w14:textId="77777777" w:rsidR="007F170E" w:rsidRPr="00604A87" w:rsidRDefault="007F170E" w:rsidP="007F170E">
      <w:pPr>
        <w:rPr>
          <w:rFonts w:eastAsia="Times New Roman" w:cs="Arial"/>
        </w:rPr>
      </w:pPr>
      <w:r w:rsidRPr="00604A87">
        <w:rPr>
          <w:rFonts w:eastAsia="Times New Roman" w:cs="Arial"/>
        </w:rPr>
        <w:t>Signed</w:t>
      </w:r>
      <w:r>
        <w:rPr>
          <w:rFonts w:eastAsia="Times New Roman" w:cs="Arial"/>
        </w:rPr>
        <w:t xml:space="preserve"> -  Kiren </w:t>
      </w:r>
      <w:proofErr w:type="spellStart"/>
      <w:r>
        <w:rPr>
          <w:rFonts w:eastAsia="Times New Roman" w:cs="Arial"/>
        </w:rPr>
        <w:t>Sunneya</w:t>
      </w:r>
      <w:proofErr w:type="spellEnd"/>
      <w:r>
        <w:rPr>
          <w:rFonts w:eastAsia="Times New Roman" w:cs="Arial"/>
        </w:rPr>
        <w:t xml:space="preserve"> Mubarik</w:t>
      </w:r>
    </w:p>
    <w:p w14:paraId="46F9ED95" w14:textId="5A599176" w:rsidR="007F170E" w:rsidRPr="00604A87" w:rsidRDefault="007F170E" w:rsidP="007F170E">
      <w:pPr>
        <w:rPr>
          <w:rFonts w:eastAsia="Times New Roman" w:cs="Arial"/>
        </w:rPr>
      </w:pPr>
      <w:r w:rsidRPr="00604A87">
        <w:rPr>
          <w:rFonts w:eastAsia="Times New Roman" w:cs="Arial"/>
        </w:rPr>
        <w:t>Date……</w:t>
      </w:r>
      <w:r>
        <w:rPr>
          <w:rFonts w:eastAsia="Times New Roman" w:cs="Arial"/>
        </w:rPr>
        <w:t xml:space="preserve"> 2</w:t>
      </w:r>
      <w:r w:rsidR="002D22A8">
        <w:rPr>
          <w:rFonts w:eastAsia="Times New Roman" w:cs="Arial"/>
        </w:rPr>
        <w:t>2</w:t>
      </w:r>
      <w:r w:rsidR="002D22A8" w:rsidRPr="005B5EB4">
        <w:rPr>
          <w:rFonts w:eastAsia="Times New Roman" w:cs="Arial"/>
          <w:vertAlign w:val="superscript"/>
        </w:rPr>
        <w:t>nd</w:t>
      </w:r>
      <w:r w:rsidR="005B5EB4">
        <w:rPr>
          <w:rFonts w:eastAsia="Times New Roman" w:cs="Arial"/>
        </w:rPr>
        <w:t xml:space="preserve"> </w:t>
      </w:r>
      <w:r w:rsidR="00001068">
        <w:rPr>
          <w:rFonts w:eastAsia="Times New Roman" w:cs="Arial"/>
        </w:rPr>
        <w:t>J</w:t>
      </w:r>
      <w:r>
        <w:rPr>
          <w:rFonts w:eastAsia="Times New Roman" w:cs="Arial"/>
        </w:rPr>
        <w:t>uly</w:t>
      </w:r>
      <w:r w:rsidR="005B5EB4">
        <w:rPr>
          <w:rFonts w:eastAsia="Times New Roman" w:cs="Arial"/>
        </w:rPr>
        <w:t xml:space="preserve">, </w:t>
      </w:r>
      <w:r>
        <w:rPr>
          <w:rFonts w:eastAsia="Times New Roman" w:cs="Arial"/>
        </w:rPr>
        <w:t>2025</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22C07CC1" w14:textId="77777777" w:rsidR="007F170E" w:rsidRPr="00604A87" w:rsidRDefault="007F170E" w:rsidP="007F170E">
      <w:pPr>
        <w:rPr>
          <w:rFonts w:eastAsia="Times New Roman" w:cs="Arial"/>
        </w:rPr>
      </w:pPr>
      <w:r w:rsidRPr="00604A87">
        <w:rPr>
          <w:rFonts w:eastAsia="Times New Roman" w:cs="Arial"/>
        </w:rPr>
        <w:t>Signed</w:t>
      </w:r>
      <w:r>
        <w:rPr>
          <w:rFonts w:eastAsia="Times New Roman" w:cs="Arial"/>
        </w:rPr>
        <w:t xml:space="preserve"> -  Kiren </w:t>
      </w:r>
      <w:proofErr w:type="spellStart"/>
      <w:r>
        <w:rPr>
          <w:rFonts w:eastAsia="Times New Roman" w:cs="Arial"/>
        </w:rPr>
        <w:t>Sunneya</w:t>
      </w:r>
      <w:proofErr w:type="spellEnd"/>
      <w:r>
        <w:rPr>
          <w:rFonts w:eastAsia="Times New Roman" w:cs="Arial"/>
        </w:rPr>
        <w:t xml:space="preserve"> Mubarik</w:t>
      </w:r>
    </w:p>
    <w:p w14:paraId="4D7ECD62" w14:textId="18EA6A3F" w:rsidR="007F170E" w:rsidRPr="00604A87" w:rsidRDefault="007F170E" w:rsidP="007F170E">
      <w:pPr>
        <w:rPr>
          <w:rFonts w:eastAsia="Times New Roman" w:cs="Arial"/>
        </w:rPr>
      </w:pPr>
      <w:r w:rsidRPr="00604A87">
        <w:rPr>
          <w:rFonts w:eastAsia="Times New Roman" w:cs="Arial"/>
        </w:rPr>
        <w:t>Date……</w:t>
      </w:r>
      <w:r>
        <w:rPr>
          <w:rFonts w:eastAsia="Times New Roman" w:cs="Arial"/>
        </w:rPr>
        <w:t xml:space="preserve"> 2</w:t>
      </w:r>
      <w:r w:rsidR="009F649E">
        <w:rPr>
          <w:rFonts w:eastAsia="Times New Roman" w:cs="Arial"/>
        </w:rPr>
        <w:t>2</w:t>
      </w:r>
      <w:r w:rsidR="002D22A8" w:rsidRPr="005B5EB4">
        <w:rPr>
          <w:rFonts w:eastAsia="Times New Roman" w:cs="Arial"/>
          <w:vertAlign w:val="superscript"/>
        </w:rPr>
        <w:t>nd</w:t>
      </w:r>
      <w:r w:rsidR="005B5EB4">
        <w:rPr>
          <w:rFonts w:eastAsia="Times New Roman" w:cs="Arial"/>
        </w:rPr>
        <w:t xml:space="preserve"> </w:t>
      </w:r>
      <w:r>
        <w:rPr>
          <w:rFonts w:eastAsia="Times New Roman" w:cs="Arial"/>
        </w:rPr>
        <w:t>July</w:t>
      </w:r>
      <w:r w:rsidR="002D22A8">
        <w:rPr>
          <w:rFonts w:eastAsia="Times New Roman" w:cs="Arial"/>
        </w:rPr>
        <w:t>,</w:t>
      </w:r>
      <w:r>
        <w:rPr>
          <w:rFonts w:eastAsia="Times New Roman" w:cs="Arial"/>
        </w:rPr>
        <w:t xml:space="preserve"> 2025</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6B994292"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w:t>
      </w:r>
      <w:r w:rsidR="00A844F5">
        <w:rPr>
          <w:rFonts w:eastAsia="Times New Roman" w:cs="Arial"/>
        </w:rPr>
        <w:t>'</w:t>
      </w:r>
      <w:r w:rsidRPr="00604A87">
        <w:rPr>
          <w:rFonts w:eastAsia="Times New Roman" w:cs="Arial"/>
        </w:rPr>
        <w:t>s IT system to those who have consent to use the system.</w:t>
      </w:r>
    </w:p>
    <w:p w14:paraId="4AD1985C" w14:textId="77777777" w:rsidR="007F170E" w:rsidRPr="00604A87" w:rsidRDefault="007F170E" w:rsidP="007F170E">
      <w:pPr>
        <w:rPr>
          <w:rFonts w:eastAsia="Times New Roman" w:cs="Arial"/>
        </w:rPr>
      </w:pPr>
      <w:r w:rsidRPr="00604A87">
        <w:rPr>
          <w:rFonts w:eastAsia="Times New Roman" w:cs="Arial"/>
        </w:rPr>
        <w:t>Signed</w:t>
      </w:r>
      <w:r>
        <w:rPr>
          <w:rFonts w:eastAsia="Times New Roman" w:cs="Arial"/>
        </w:rPr>
        <w:t xml:space="preserve"> -  Kiren </w:t>
      </w:r>
      <w:proofErr w:type="spellStart"/>
      <w:r>
        <w:rPr>
          <w:rFonts w:eastAsia="Times New Roman" w:cs="Arial"/>
        </w:rPr>
        <w:t>Sunneya</w:t>
      </w:r>
      <w:proofErr w:type="spellEnd"/>
      <w:r>
        <w:rPr>
          <w:rFonts w:eastAsia="Times New Roman" w:cs="Arial"/>
        </w:rPr>
        <w:t xml:space="preserve"> Mubarik</w:t>
      </w:r>
    </w:p>
    <w:p w14:paraId="65CEE320" w14:textId="75DDA0A3" w:rsidR="007F170E" w:rsidRPr="00604A87" w:rsidRDefault="007F170E" w:rsidP="007F170E">
      <w:pPr>
        <w:rPr>
          <w:rFonts w:eastAsia="Times New Roman" w:cs="Arial"/>
        </w:rPr>
      </w:pPr>
      <w:r w:rsidRPr="00604A87">
        <w:rPr>
          <w:rFonts w:eastAsia="Times New Roman" w:cs="Arial"/>
        </w:rPr>
        <w:t>Date……</w:t>
      </w:r>
      <w:r>
        <w:rPr>
          <w:rFonts w:eastAsia="Times New Roman" w:cs="Arial"/>
        </w:rPr>
        <w:t xml:space="preserve"> 2</w:t>
      </w:r>
      <w:r w:rsidR="009F649E">
        <w:rPr>
          <w:rFonts w:eastAsia="Times New Roman" w:cs="Arial"/>
        </w:rPr>
        <w:t>2</w:t>
      </w:r>
      <w:r w:rsidR="002D22A8" w:rsidRPr="005B5EB4">
        <w:rPr>
          <w:rFonts w:eastAsia="Times New Roman" w:cs="Arial"/>
          <w:vertAlign w:val="superscript"/>
        </w:rPr>
        <w:t>nd</w:t>
      </w:r>
      <w:r w:rsidR="005B5EB4">
        <w:rPr>
          <w:rFonts w:eastAsia="Times New Roman" w:cs="Arial"/>
        </w:rPr>
        <w:t xml:space="preserve"> </w:t>
      </w:r>
      <w:r>
        <w:rPr>
          <w:rFonts w:eastAsia="Times New Roman" w:cs="Arial"/>
        </w:rPr>
        <w:t>July</w:t>
      </w:r>
      <w:r w:rsidR="002D22A8">
        <w:rPr>
          <w:rFonts w:eastAsia="Times New Roman" w:cs="Arial"/>
        </w:rPr>
        <w:t xml:space="preserve">, </w:t>
      </w:r>
      <w:r>
        <w:rPr>
          <w:rFonts w:eastAsia="Times New Roman" w:cs="Arial"/>
        </w:rPr>
        <w:t>2025</w:t>
      </w:r>
    </w:p>
    <w:p w14:paraId="324943A4" w14:textId="77777777" w:rsidR="00063B4C" w:rsidRDefault="00063B4C"/>
    <w:p w14:paraId="13649F9E" w14:textId="77777777" w:rsidR="00063B4C" w:rsidRDefault="00063B4C"/>
    <w:p w14:paraId="055057F0" w14:textId="77777777" w:rsidR="003003D7" w:rsidRDefault="003003D7" w:rsidP="003003D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bCs/>
          <w:sz w:val="56"/>
          <w:szCs w:val="56"/>
        </w:rPr>
      </w:pPr>
      <w:r w:rsidRPr="003D0CEA">
        <w:rPr>
          <w:rFonts w:ascii="Arial" w:hAnsi="Arial" w:cs="Arial"/>
          <w:b/>
          <w:bCs/>
          <w:sz w:val="56"/>
          <w:szCs w:val="56"/>
        </w:rPr>
        <w:t>What was the Impact of Social Isolation During COVID-19 Lockdowns on Depression and Loneliness among Elderly Residents in UK Care Homes?</w:t>
      </w:r>
    </w:p>
    <w:p w14:paraId="764A474F" w14:textId="77777777" w:rsidR="003003D7" w:rsidRPr="003D0CEA" w:rsidRDefault="003003D7" w:rsidP="003003D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bCs/>
          <w:sz w:val="56"/>
          <w:szCs w:val="56"/>
        </w:rPr>
      </w:pPr>
    </w:p>
    <w:p w14:paraId="1A9E9996" w14:textId="3EA4B599" w:rsidR="003003D7" w:rsidRPr="003D0CEA" w:rsidRDefault="003003D7" w:rsidP="003003D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56"/>
          <w:szCs w:val="56"/>
        </w:rPr>
      </w:pPr>
      <w:r w:rsidRPr="003D0CEA">
        <w:rPr>
          <w:rFonts w:ascii="Arial" w:eastAsia="Arial Unicode MS" w:hAnsi="Arial" w:cs="Arial"/>
          <w:b/>
          <w:sz w:val="56"/>
          <w:szCs w:val="56"/>
        </w:rPr>
        <w:t>Kiren</w:t>
      </w:r>
      <w:r w:rsidR="003866AD">
        <w:rPr>
          <w:rFonts w:ascii="Arial" w:eastAsia="Arial Unicode MS" w:hAnsi="Arial" w:cs="Arial"/>
          <w:b/>
          <w:sz w:val="56"/>
          <w:szCs w:val="56"/>
        </w:rPr>
        <w:t xml:space="preserve"> Sunneya</w:t>
      </w:r>
      <w:r w:rsidRPr="003D0CEA">
        <w:rPr>
          <w:rFonts w:ascii="Arial" w:eastAsia="Arial Unicode MS" w:hAnsi="Arial" w:cs="Arial"/>
          <w:b/>
          <w:sz w:val="56"/>
          <w:szCs w:val="56"/>
        </w:rPr>
        <w:t xml:space="preserve"> Mubarik</w:t>
      </w:r>
    </w:p>
    <w:p w14:paraId="5176DAF2" w14:textId="77777777" w:rsidR="003003D7" w:rsidRPr="003D0CEA" w:rsidRDefault="003003D7" w:rsidP="003003D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sz w:val="56"/>
          <w:szCs w:val="56"/>
        </w:rPr>
      </w:pPr>
      <w:r w:rsidRPr="003D0CEA">
        <w:rPr>
          <w:rFonts w:ascii="Arial" w:eastAsia="Arial Unicode MS" w:hAnsi="Arial" w:cs="Arial"/>
          <w:b/>
          <w:sz w:val="56"/>
          <w:szCs w:val="56"/>
        </w:rPr>
        <w:t>2208861</w:t>
      </w: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03004EEE" w14:textId="77777777" w:rsidR="00063B4C" w:rsidRDefault="00063B4C"/>
    <w:p w14:paraId="65358A57" w14:textId="77777777" w:rsidR="00995444" w:rsidRDefault="00995444"/>
    <w:p w14:paraId="0F4A849F" w14:textId="1FAA4C63" w:rsidR="00995444" w:rsidRPr="0025020C"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t>ACKNOWLEDGEMENTS</w:t>
      </w:r>
      <w:r w:rsidRPr="0025020C">
        <w:rPr>
          <w:rFonts w:eastAsia="Arial Unicode MS" w:cs="Arial"/>
          <w:b/>
        </w:rPr>
        <w:t xml:space="preserve"> </w:t>
      </w:r>
    </w:p>
    <w:p w14:paraId="28743E0F" w14:textId="77777777" w:rsidR="0040007A" w:rsidRPr="0040007A" w:rsidRDefault="0040007A" w:rsidP="0040007A">
      <w:pPr>
        <w:pStyle w:val="NormalWeb"/>
        <w:spacing w:line="360" w:lineRule="auto"/>
        <w:rPr>
          <w:rFonts w:ascii="Arial" w:hAnsi="Arial" w:cs="Arial"/>
          <w:sz w:val="22"/>
          <w:szCs w:val="22"/>
        </w:rPr>
      </w:pPr>
      <w:r w:rsidRPr="0040007A">
        <w:rPr>
          <w:rFonts w:ascii="Arial" w:hAnsi="Arial" w:cs="Arial"/>
          <w:sz w:val="22"/>
          <w:szCs w:val="22"/>
        </w:rPr>
        <w:t>I would like to express my heartfelt gratitude to my husband, Samuel, whose unwavering support, encouragement, and positivity have been invaluable throughout this dissertation process. Your belief in me has kept me focused and motivated. A special thank you to my wonderful children, Hamzah, Ismaeel, and Ayden, for being patient, understanding, and considerate during my busy moments. Your cooperation and love made it easier for me to concentrate on my research.</w:t>
      </w:r>
    </w:p>
    <w:p w14:paraId="0E7D9B18" w14:textId="77777777" w:rsidR="0040007A" w:rsidRPr="0040007A" w:rsidRDefault="0040007A" w:rsidP="0040007A">
      <w:pPr>
        <w:pStyle w:val="NormalWeb"/>
        <w:spacing w:line="360" w:lineRule="auto"/>
        <w:rPr>
          <w:rFonts w:ascii="Arial" w:hAnsi="Arial" w:cs="Arial"/>
          <w:sz w:val="22"/>
          <w:szCs w:val="22"/>
        </w:rPr>
      </w:pPr>
      <w:r w:rsidRPr="0040007A">
        <w:rPr>
          <w:rFonts w:ascii="Arial" w:hAnsi="Arial" w:cs="Arial"/>
          <w:sz w:val="22"/>
          <w:szCs w:val="22"/>
        </w:rPr>
        <w:t>I would also like to thank Joanne and Chloe for their excellent teaching and guidance throughout this journey. Your support and feedback have been instrumental in shaping my dissertation and helping me grow both academically and personally.</w:t>
      </w:r>
    </w:p>
    <w:p w14:paraId="03B3B2CD" w14:textId="77777777" w:rsidR="0040007A" w:rsidRPr="0040007A" w:rsidRDefault="0040007A" w:rsidP="0040007A">
      <w:pPr>
        <w:pStyle w:val="NormalWeb"/>
        <w:spacing w:line="360" w:lineRule="auto"/>
        <w:rPr>
          <w:rFonts w:ascii="Arial" w:hAnsi="Arial" w:cs="Arial"/>
          <w:sz w:val="22"/>
          <w:szCs w:val="22"/>
        </w:rPr>
      </w:pPr>
      <w:r w:rsidRPr="0040007A">
        <w:rPr>
          <w:rFonts w:ascii="Arial" w:hAnsi="Arial" w:cs="Arial"/>
          <w:sz w:val="22"/>
          <w:szCs w:val="22"/>
        </w:rPr>
        <w:t>Thank you all for being my constant source of strength and inspiration.</w:t>
      </w:r>
    </w:p>
    <w:p w14:paraId="40A3E6C2" w14:textId="77777777" w:rsidR="00995444" w:rsidRDefault="00995444"/>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4650381F" w14:textId="77777777" w:rsidR="0073280B" w:rsidRDefault="0073280B"/>
    <w:p w14:paraId="413A9F5D" w14:textId="77777777" w:rsidR="0073280B" w:rsidRDefault="0073280B"/>
    <w:p w14:paraId="0F7E2C83" w14:textId="77777777" w:rsidR="0073280B" w:rsidRDefault="0073280B"/>
    <w:p w14:paraId="68D32102" w14:textId="77777777" w:rsidR="0073280B" w:rsidRDefault="0073280B"/>
    <w:p w14:paraId="3269986A" w14:textId="77777777" w:rsidR="0073280B" w:rsidRDefault="0073280B"/>
    <w:p w14:paraId="26B038C1" w14:textId="77777777" w:rsidR="0073280B" w:rsidRDefault="0073280B"/>
    <w:p w14:paraId="68249928" w14:textId="41918F15" w:rsidR="0073280B" w:rsidRPr="0025020C"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lastRenderedPageBreak/>
        <w:t>ABSTRACT</w:t>
      </w:r>
      <w:r w:rsidRPr="0025020C">
        <w:rPr>
          <w:rFonts w:eastAsia="Arial Unicode MS" w:cs="Arial"/>
          <w:sz w:val="28"/>
          <w:szCs w:val="28"/>
        </w:rPr>
        <w:t xml:space="preserve"> </w:t>
      </w:r>
    </w:p>
    <w:p w14:paraId="7089010F" w14:textId="77777777" w:rsidR="008616ED" w:rsidRPr="008616ED" w:rsidRDefault="008616ED" w:rsidP="008616ED">
      <w:pPr>
        <w:pStyle w:val="NormalWeb"/>
        <w:spacing w:line="360" w:lineRule="auto"/>
        <w:jc w:val="both"/>
        <w:rPr>
          <w:rFonts w:ascii="Arial" w:hAnsi="Arial" w:cs="Arial"/>
          <w:sz w:val="22"/>
          <w:szCs w:val="22"/>
        </w:rPr>
      </w:pPr>
      <w:r w:rsidRPr="008616ED">
        <w:rPr>
          <w:rFonts w:ascii="Arial" w:hAnsi="Arial" w:cs="Arial"/>
          <w:sz w:val="22"/>
          <w:szCs w:val="22"/>
        </w:rPr>
        <w:t>This dissertation explores how social isolation during the COVID-19 lockdowns affected the mental health of elderly residents in UK care homes, with a particular focus on the increase in depression and loneliness. The aim was to understand the emotional and psychological impact of restricted contact and to propose practical, evidence-based strategies to improve care. The research was guided by four key objectives: to define social isolation and examine its effects; to analyse relevant literature using psychological and social theories; to identify key themes through thematic analysis; and to offer meaningful recommendations for health and social care practice. This topic is especially relevant in the field of health and social care, where physical protection must be balanced with the emotional and mental wellbeing of vulnerable populations.</w:t>
      </w:r>
    </w:p>
    <w:p w14:paraId="52FA9861" w14:textId="7A13B1AB" w:rsidR="008616ED" w:rsidRPr="008616ED" w:rsidRDefault="008616ED" w:rsidP="008616ED">
      <w:pPr>
        <w:pStyle w:val="NormalWeb"/>
        <w:spacing w:line="360" w:lineRule="auto"/>
        <w:jc w:val="both"/>
        <w:rPr>
          <w:rFonts w:ascii="Arial" w:hAnsi="Arial" w:cs="Arial"/>
          <w:sz w:val="22"/>
          <w:szCs w:val="22"/>
        </w:rPr>
      </w:pPr>
      <w:r w:rsidRPr="008616ED">
        <w:rPr>
          <w:rFonts w:ascii="Arial" w:hAnsi="Arial" w:cs="Arial"/>
          <w:sz w:val="22"/>
          <w:szCs w:val="22"/>
        </w:rPr>
        <w:t>A thematic analysis of existing research was conducted using a structured literature review approach, focusing on peer-reviewed studies published between 201</w:t>
      </w:r>
      <w:r w:rsidR="00C95A95">
        <w:rPr>
          <w:rFonts w:ascii="Arial" w:hAnsi="Arial" w:cs="Arial"/>
          <w:sz w:val="22"/>
          <w:szCs w:val="22"/>
        </w:rPr>
        <w:t>9</w:t>
      </w:r>
      <w:r w:rsidRPr="008616ED">
        <w:rPr>
          <w:rFonts w:ascii="Arial" w:hAnsi="Arial" w:cs="Arial"/>
          <w:sz w:val="22"/>
          <w:szCs w:val="22"/>
        </w:rPr>
        <w:t xml:space="preserve"> and 2025. The analysis identified three recurring themes: emotional and psychological deterioration, cognitive and functional decline, and barriers to quality care. A common pattern found was that many studies concentrated on residents with dementia, yet this dissertation intentionally took a broader view by including all elderly residents in care homes. It also highlighted a significant gap in UK-specific literature, which limits the development of localised, inclusive care strategies.</w:t>
      </w:r>
    </w:p>
    <w:p w14:paraId="72B4ABDC" w14:textId="77777777" w:rsidR="008616ED" w:rsidRPr="008616ED" w:rsidRDefault="008616ED" w:rsidP="008616ED">
      <w:pPr>
        <w:pStyle w:val="NormalWeb"/>
        <w:spacing w:line="360" w:lineRule="auto"/>
        <w:jc w:val="both"/>
        <w:rPr>
          <w:rFonts w:ascii="Arial" w:hAnsi="Arial" w:cs="Arial"/>
          <w:sz w:val="22"/>
          <w:szCs w:val="22"/>
        </w:rPr>
      </w:pPr>
      <w:r w:rsidRPr="008616ED">
        <w:rPr>
          <w:rFonts w:ascii="Arial" w:hAnsi="Arial" w:cs="Arial"/>
          <w:sz w:val="22"/>
          <w:szCs w:val="22"/>
        </w:rPr>
        <w:t>A key limitation of this research was the lack of primary data and limited insight into the lived experiences of residents. The narrow evidence base within the UK also restricts the ability to generalise findings across different settings.</w:t>
      </w:r>
    </w:p>
    <w:p w14:paraId="183202F9" w14:textId="77777777" w:rsidR="008616ED" w:rsidRPr="008616ED" w:rsidRDefault="008616ED" w:rsidP="008616ED">
      <w:pPr>
        <w:pStyle w:val="NormalWeb"/>
        <w:spacing w:line="360" w:lineRule="auto"/>
        <w:jc w:val="both"/>
        <w:rPr>
          <w:rFonts w:ascii="Arial" w:hAnsi="Arial" w:cs="Arial"/>
          <w:sz w:val="22"/>
          <w:szCs w:val="22"/>
        </w:rPr>
      </w:pPr>
      <w:r w:rsidRPr="008616ED">
        <w:rPr>
          <w:rFonts w:ascii="Arial" w:hAnsi="Arial" w:cs="Arial"/>
          <w:sz w:val="22"/>
          <w:szCs w:val="22"/>
        </w:rPr>
        <w:t>From this analysis, three core recommendations were proposed: introducing structured emotional and social support interventions, enhancing cognitive stimulation through personalised routines and sensory-based care, and promoting digital inclusion. These are designed to reduce isolation, improve mental wellbeing, and create more resilient, person-centred care systems for the future.</w:t>
      </w:r>
    </w:p>
    <w:p w14:paraId="019A2C1E" w14:textId="77777777" w:rsidR="0073280B" w:rsidRDefault="0073280B"/>
    <w:p w14:paraId="4B65C5F3" w14:textId="77777777" w:rsidR="00730C3C" w:rsidRDefault="00730C3C"/>
    <w:p w14:paraId="1EDA5561" w14:textId="77777777" w:rsidR="00730C3C" w:rsidRDefault="00730C3C"/>
    <w:p w14:paraId="576A2163" w14:textId="77777777" w:rsidR="00730C3C" w:rsidRDefault="00730C3C"/>
    <w:p w14:paraId="2F774362" w14:textId="77777777" w:rsidR="00730C3C" w:rsidRDefault="00730C3C"/>
    <w:sdt>
      <w:sdtPr>
        <w:rPr>
          <w:rFonts w:ascii="Aptos" w:eastAsiaTheme="minorEastAsia" w:hAnsi="Aptos" w:cstheme="minorBidi"/>
          <w:color w:val="auto"/>
          <w:kern w:val="2"/>
          <w:sz w:val="22"/>
          <w:szCs w:val="22"/>
          <w:lang w:val="en-GB" w:eastAsia="zh-CN"/>
          <w14:ligatures w14:val="standardContextual"/>
        </w:rPr>
        <w:id w:val="-1025478488"/>
        <w:docPartObj>
          <w:docPartGallery w:val="Table of Contents"/>
          <w:docPartUnique/>
        </w:docPartObj>
      </w:sdtPr>
      <w:sdtEndPr>
        <w:rPr>
          <w:b/>
          <w:bCs/>
          <w:noProof/>
        </w:rPr>
      </w:sdtEndPr>
      <w:sdtContent>
        <w:p w14:paraId="042C4608" w14:textId="08AFF5AD" w:rsidR="000F3199" w:rsidRDefault="000F3199">
          <w:pPr>
            <w:pStyle w:val="TOCHeading"/>
          </w:pPr>
          <w:r>
            <w:t>Contents</w:t>
          </w:r>
        </w:p>
        <w:p w14:paraId="1887600D" w14:textId="039AC8BD" w:rsidR="00C35F10" w:rsidRDefault="000F3199">
          <w:pPr>
            <w:pStyle w:val="TOC1"/>
            <w:tabs>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204127873" w:history="1">
            <w:r w:rsidR="00C35F10" w:rsidRPr="00791653">
              <w:rPr>
                <w:rStyle w:val="Hyperlink"/>
                <w:rFonts w:cs="Arial"/>
                <w:noProof/>
                <w:lang w:bidi="en-GB"/>
              </w:rPr>
              <w:t>Disclaimer</w:t>
            </w:r>
            <w:r w:rsidR="00C35F10">
              <w:rPr>
                <w:noProof/>
                <w:webHidden/>
              </w:rPr>
              <w:tab/>
            </w:r>
            <w:r w:rsidR="00C35F10">
              <w:rPr>
                <w:noProof/>
                <w:webHidden/>
              </w:rPr>
              <w:fldChar w:fldCharType="begin"/>
            </w:r>
            <w:r w:rsidR="00C35F10">
              <w:rPr>
                <w:noProof/>
                <w:webHidden/>
              </w:rPr>
              <w:instrText xml:space="preserve"> PAGEREF _Toc204127873 \h </w:instrText>
            </w:r>
            <w:r w:rsidR="00C35F10">
              <w:rPr>
                <w:noProof/>
                <w:webHidden/>
              </w:rPr>
            </w:r>
            <w:r w:rsidR="00C35F10">
              <w:rPr>
                <w:noProof/>
                <w:webHidden/>
              </w:rPr>
              <w:fldChar w:fldCharType="separate"/>
            </w:r>
            <w:r w:rsidR="00C35F10">
              <w:rPr>
                <w:noProof/>
                <w:webHidden/>
              </w:rPr>
              <w:t>1</w:t>
            </w:r>
            <w:r w:rsidR="00C35F10">
              <w:rPr>
                <w:noProof/>
                <w:webHidden/>
              </w:rPr>
              <w:fldChar w:fldCharType="end"/>
            </w:r>
          </w:hyperlink>
        </w:p>
        <w:p w14:paraId="1C7C8620" w14:textId="61F2678D" w:rsidR="00C35F10" w:rsidRDefault="00C35F10">
          <w:pPr>
            <w:pStyle w:val="TOC1"/>
            <w:tabs>
              <w:tab w:val="right" w:leader="dot" w:pos="9016"/>
            </w:tabs>
            <w:rPr>
              <w:rFonts w:asciiTheme="minorHAnsi" w:hAnsiTheme="minorHAnsi"/>
              <w:noProof/>
              <w:sz w:val="24"/>
              <w:szCs w:val="24"/>
              <w:lang w:eastAsia="en-GB"/>
            </w:rPr>
          </w:pPr>
          <w:hyperlink w:anchor="_Toc204127874" w:history="1">
            <w:r w:rsidRPr="00791653">
              <w:rPr>
                <w:rStyle w:val="Hyperlink"/>
                <w:rFonts w:cs="Arial"/>
                <w:noProof/>
                <w:lang w:bidi="en-GB"/>
              </w:rPr>
              <w:t>CHAPTER 1: Introduction</w:t>
            </w:r>
            <w:r>
              <w:rPr>
                <w:noProof/>
                <w:webHidden/>
              </w:rPr>
              <w:tab/>
            </w:r>
            <w:r>
              <w:rPr>
                <w:noProof/>
                <w:webHidden/>
              </w:rPr>
              <w:fldChar w:fldCharType="begin"/>
            </w:r>
            <w:r>
              <w:rPr>
                <w:noProof/>
                <w:webHidden/>
              </w:rPr>
              <w:instrText xml:space="preserve"> PAGEREF _Toc204127874 \h </w:instrText>
            </w:r>
            <w:r>
              <w:rPr>
                <w:noProof/>
                <w:webHidden/>
              </w:rPr>
            </w:r>
            <w:r>
              <w:rPr>
                <w:noProof/>
                <w:webHidden/>
              </w:rPr>
              <w:fldChar w:fldCharType="separate"/>
            </w:r>
            <w:r>
              <w:rPr>
                <w:noProof/>
                <w:webHidden/>
              </w:rPr>
              <w:t>8</w:t>
            </w:r>
            <w:r>
              <w:rPr>
                <w:noProof/>
                <w:webHidden/>
              </w:rPr>
              <w:fldChar w:fldCharType="end"/>
            </w:r>
          </w:hyperlink>
        </w:p>
        <w:p w14:paraId="70324453" w14:textId="37C52876" w:rsidR="00C35F10" w:rsidRDefault="00C35F10">
          <w:pPr>
            <w:pStyle w:val="TOC2"/>
            <w:tabs>
              <w:tab w:val="right" w:leader="dot" w:pos="9016"/>
            </w:tabs>
            <w:rPr>
              <w:rFonts w:asciiTheme="minorHAnsi" w:hAnsiTheme="minorHAnsi"/>
              <w:noProof/>
              <w:sz w:val="24"/>
              <w:szCs w:val="24"/>
              <w:lang w:eastAsia="en-GB"/>
            </w:rPr>
          </w:pPr>
          <w:hyperlink w:anchor="_Toc204127875" w:history="1">
            <w:r w:rsidRPr="00791653">
              <w:rPr>
                <w:rStyle w:val="Hyperlink"/>
                <w:rFonts w:ascii="Arial" w:hAnsi="Arial" w:cs="Arial"/>
                <w:noProof/>
              </w:rPr>
              <w:t>1.1 Introduction</w:t>
            </w:r>
            <w:r>
              <w:rPr>
                <w:noProof/>
                <w:webHidden/>
              </w:rPr>
              <w:tab/>
            </w:r>
            <w:r>
              <w:rPr>
                <w:noProof/>
                <w:webHidden/>
              </w:rPr>
              <w:fldChar w:fldCharType="begin"/>
            </w:r>
            <w:r>
              <w:rPr>
                <w:noProof/>
                <w:webHidden/>
              </w:rPr>
              <w:instrText xml:space="preserve"> PAGEREF _Toc204127875 \h </w:instrText>
            </w:r>
            <w:r>
              <w:rPr>
                <w:noProof/>
                <w:webHidden/>
              </w:rPr>
            </w:r>
            <w:r>
              <w:rPr>
                <w:noProof/>
                <w:webHidden/>
              </w:rPr>
              <w:fldChar w:fldCharType="separate"/>
            </w:r>
            <w:r>
              <w:rPr>
                <w:noProof/>
                <w:webHidden/>
              </w:rPr>
              <w:t>8</w:t>
            </w:r>
            <w:r>
              <w:rPr>
                <w:noProof/>
                <w:webHidden/>
              </w:rPr>
              <w:fldChar w:fldCharType="end"/>
            </w:r>
          </w:hyperlink>
        </w:p>
        <w:p w14:paraId="53742806" w14:textId="2AA78540" w:rsidR="00C35F10" w:rsidRDefault="00C35F10">
          <w:pPr>
            <w:pStyle w:val="TOC1"/>
            <w:tabs>
              <w:tab w:val="right" w:leader="dot" w:pos="9016"/>
            </w:tabs>
            <w:rPr>
              <w:rFonts w:asciiTheme="minorHAnsi" w:hAnsiTheme="minorHAnsi"/>
              <w:noProof/>
              <w:sz w:val="24"/>
              <w:szCs w:val="24"/>
              <w:lang w:eastAsia="en-GB"/>
            </w:rPr>
          </w:pPr>
          <w:hyperlink w:anchor="_Toc204127876" w:history="1">
            <w:r w:rsidRPr="00791653">
              <w:rPr>
                <w:rStyle w:val="Hyperlink"/>
                <w:rFonts w:cs="Arial"/>
                <w:noProof/>
                <w:lang w:bidi="en-GB"/>
              </w:rPr>
              <w:t>CHAPTER 2 – Background Information and Analysis</w:t>
            </w:r>
            <w:r>
              <w:rPr>
                <w:noProof/>
                <w:webHidden/>
              </w:rPr>
              <w:tab/>
            </w:r>
            <w:r>
              <w:rPr>
                <w:noProof/>
                <w:webHidden/>
              </w:rPr>
              <w:fldChar w:fldCharType="begin"/>
            </w:r>
            <w:r>
              <w:rPr>
                <w:noProof/>
                <w:webHidden/>
              </w:rPr>
              <w:instrText xml:space="preserve"> PAGEREF _Toc204127876 \h </w:instrText>
            </w:r>
            <w:r>
              <w:rPr>
                <w:noProof/>
                <w:webHidden/>
              </w:rPr>
            </w:r>
            <w:r>
              <w:rPr>
                <w:noProof/>
                <w:webHidden/>
              </w:rPr>
              <w:fldChar w:fldCharType="separate"/>
            </w:r>
            <w:r>
              <w:rPr>
                <w:noProof/>
                <w:webHidden/>
              </w:rPr>
              <w:t>13</w:t>
            </w:r>
            <w:r>
              <w:rPr>
                <w:noProof/>
                <w:webHidden/>
              </w:rPr>
              <w:fldChar w:fldCharType="end"/>
            </w:r>
          </w:hyperlink>
        </w:p>
        <w:p w14:paraId="2A306265" w14:textId="2B3D2EF8" w:rsidR="00C35F10" w:rsidRDefault="00C35F10">
          <w:pPr>
            <w:pStyle w:val="TOC1"/>
            <w:tabs>
              <w:tab w:val="right" w:leader="dot" w:pos="9016"/>
            </w:tabs>
            <w:rPr>
              <w:rFonts w:asciiTheme="minorHAnsi" w:hAnsiTheme="minorHAnsi"/>
              <w:noProof/>
              <w:sz w:val="24"/>
              <w:szCs w:val="24"/>
              <w:lang w:eastAsia="en-GB"/>
            </w:rPr>
          </w:pPr>
          <w:hyperlink w:anchor="_Toc204127877" w:history="1">
            <w:r w:rsidRPr="00791653">
              <w:rPr>
                <w:rStyle w:val="Hyperlink"/>
                <w:noProof/>
                <w:lang w:bidi="en-GB"/>
              </w:rPr>
              <w:t>CHAPTER 3 – Methods and Search Strategy</w:t>
            </w:r>
            <w:r>
              <w:rPr>
                <w:noProof/>
                <w:webHidden/>
              </w:rPr>
              <w:tab/>
            </w:r>
            <w:r>
              <w:rPr>
                <w:noProof/>
                <w:webHidden/>
              </w:rPr>
              <w:fldChar w:fldCharType="begin"/>
            </w:r>
            <w:r>
              <w:rPr>
                <w:noProof/>
                <w:webHidden/>
              </w:rPr>
              <w:instrText xml:space="preserve"> PAGEREF _Toc204127877 \h </w:instrText>
            </w:r>
            <w:r>
              <w:rPr>
                <w:noProof/>
                <w:webHidden/>
              </w:rPr>
            </w:r>
            <w:r>
              <w:rPr>
                <w:noProof/>
                <w:webHidden/>
              </w:rPr>
              <w:fldChar w:fldCharType="separate"/>
            </w:r>
            <w:r>
              <w:rPr>
                <w:noProof/>
                <w:webHidden/>
              </w:rPr>
              <w:t>22</w:t>
            </w:r>
            <w:r>
              <w:rPr>
                <w:noProof/>
                <w:webHidden/>
              </w:rPr>
              <w:fldChar w:fldCharType="end"/>
            </w:r>
          </w:hyperlink>
        </w:p>
        <w:p w14:paraId="1D3B8BF8" w14:textId="5928D35B" w:rsidR="00C35F10" w:rsidRDefault="00C35F10">
          <w:pPr>
            <w:pStyle w:val="TOC2"/>
            <w:tabs>
              <w:tab w:val="right" w:leader="dot" w:pos="9016"/>
            </w:tabs>
            <w:rPr>
              <w:rFonts w:asciiTheme="minorHAnsi" w:hAnsiTheme="minorHAnsi"/>
              <w:noProof/>
              <w:sz w:val="24"/>
              <w:szCs w:val="24"/>
              <w:lang w:eastAsia="en-GB"/>
            </w:rPr>
          </w:pPr>
          <w:hyperlink w:anchor="_Toc204127878" w:history="1">
            <w:r w:rsidRPr="00791653">
              <w:rPr>
                <w:rStyle w:val="Hyperlink"/>
                <w:noProof/>
              </w:rPr>
              <w:t>3.1 – Introduction</w:t>
            </w:r>
            <w:r>
              <w:rPr>
                <w:noProof/>
                <w:webHidden/>
              </w:rPr>
              <w:tab/>
            </w:r>
            <w:r>
              <w:rPr>
                <w:noProof/>
                <w:webHidden/>
              </w:rPr>
              <w:fldChar w:fldCharType="begin"/>
            </w:r>
            <w:r>
              <w:rPr>
                <w:noProof/>
                <w:webHidden/>
              </w:rPr>
              <w:instrText xml:space="preserve"> PAGEREF _Toc204127878 \h </w:instrText>
            </w:r>
            <w:r>
              <w:rPr>
                <w:noProof/>
                <w:webHidden/>
              </w:rPr>
            </w:r>
            <w:r>
              <w:rPr>
                <w:noProof/>
                <w:webHidden/>
              </w:rPr>
              <w:fldChar w:fldCharType="separate"/>
            </w:r>
            <w:r>
              <w:rPr>
                <w:noProof/>
                <w:webHidden/>
              </w:rPr>
              <w:t>22</w:t>
            </w:r>
            <w:r>
              <w:rPr>
                <w:noProof/>
                <w:webHidden/>
              </w:rPr>
              <w:fldChar w:fldCharType="end"/>
            </w:r>
          </w:hyperlink>
        </w:p>
        <w:p w14:paraId="10756351" w14:textId="77359BC1" w:rsidR="00C35F10" w:rsidRDefault="00C35F10">
          <w:pPr>
            <w:pStyle w:val="TOC2"/>
            <w:tabs>
              <w:tab w:val="right" w:leader="dot" w:pos="9016"/>
            </w:tabs>
            <w:rPr>
              <w:rFonts w:asciiTheme="minorHAnsi" w:hAnsiTheme="minorHAnsi"/>
              <w:noProof/>
              <w:sz w:val="24"/>
              <w:szCs w:val="24"/>
              <w:lang w:eastAsia="en-GB"/>
            </w:rPr>
          </w:pPr>
          <w:hyperlink w:anchor="_Toc204127879" w:history="1">
            <w:r w:rsidRPr="00791653">
              <w:rPr>
                <w:rStyle w:val="Hyperlink"/>
                <w:noProof/>
              </w:rPr>
              <w:t>3.2 – Search Strategy</w:t>
            </w:r>
            <w:r>
              <w:rPr>
                <w:noProof/>
                <w:webHidden/>
              </w:rPr>
              <w:tab/>
            </w:r>
            <w:r>
              <w:rPr>
                <w:noProof/>
                <w:webHidden/>
              </w:rPr>
              <w:fldChar w:fldCharType="begin"/>
            </w:r>
            <w:r>
              <w:rPr>
                <w:noProof/>
                <w:webHidden/>
              </w:rPr>
              <w:instrText xml:space="preserve"> PAGEREF _Toc204127879 \h </w:instrText>
            </w:r>
            <w:r>
              <w:rPr>
                <w:noProof/>
                <w:webHidden/>
              </w:rPr>
            </w:r>
            <w:r>
              <w:rPr>
                <w:noProof/>
                <w:webHidden/>
              </w:rPr>
              <w:fldChar w:fldCharType="separate"/>
            </w:r>
            <w:r>
              <w:rPr>
                <w:noProof/>
                <w:webHidden/>
              </w:rPr>
              <w:t>22</w:t>
            </w:r>
            <w:r>
              <w:rPr>
                <w:noProof/>
                <w:webHidden/>
              </w:rPr>
              <w:fldChar w:fldCharType="end"/>
            </w:r>
          </w:hyperlink>
        </w:p>
        <w:p w14:paraId="026FD313" w14:textId="0220F85A" w:rsidR="00C35F10" w:rsidRDefault="00C35F10">
          <w:pPr>
            <w:pStyle w:val="TOC2"/>
            <w:tabs>
              <w:tab w:val="left" w:pos="960"/>
              <w:tab w:val="right" w:leader="dot" w:pos="9016"/>
            </w:tabs>
            <w:rPr>
              <w:rFonts w:asciiTheme="minorHAnsi" w:hAnsiTheme="minorHAnsi"/>
              <w:noProof/>
              <w:sz w:val="24"/>
              <w:szCs w:val="24"/>
              <w:lang w:eastAsia="en-GB"/>
            </w:rPr>
          </w:pPr>
          <w:hyperlink w:anchor="_Toc204127880" w:history="1">
            <w:r w:rsidRPr="00791653">
              <w:rPr>
                <w:rStyle w:val="Hyperlink"/>
                <w:noProof/>
              </w:rPr>
              <w:t>3.3</w:t>
            </w:r>
            <w:r>
              <w:rPr>
                <w:rFonts w:asciiTheme="minorHAnsi" w:hAnsiTheme="minorHAnsi"/>
                <w:noProof/>
                <w:sz w:val="24"/>
                <w:szCs w:val="24"/>
                <w:lang w:eastAsia="en-GB"/>
              </w:rPr>
              <w:tab/>
            </w:r>
            <w:r w:rsidRPr="00791653">
              <w:rPr>
                <w:rStyle w:val="Hyperlink"/>
                <w:noProof/>
              </w:rPr>
              <w:t>– Searching for Information</w:t>
            </w:r>
            <w:r>
              <w:rPr>
                <w:noProof/>
                <w:webHidden/>
              </w:rPr>
              <w:tab/>
            </w:r>
            <w:r>
              <w:rPr>
                <w:noProof/>
                <w:webHidden/>
              </w:rPr>
              <w:fldChar w:fldCharType="begin"/>
            </w:r>
            <w:r>
              <w:rPr>
                <w:noProof/>
                <w:webHidden/>
              </w:rPr>
              <w:instrText xml:space="preserve"> PAGEREF _Toc204127880 \h </w:instrText>
            </w:r>
            <w:r>
              <w:rPr>
                <w:noProof/>
                <w:webHidden/>
              </w:rPr>
            </w:r>
            <w:r>
              <w:rPr>
                <w:noProof/>
                <w:webHidden/>
              </w:rPr>
              <w:fldChar w:fldCharType="separate"/>
            </w:r>
            <w:r>
              <w:rPr>
                <w:noProof/>
                <w:webHidden/>
              </w:rPr>
              <w:t>22</w:t>
            </w:r>
            <w:r>
              <w:rPr>
                <w:noProof/>
                <w:webHidden/>
              </w:rPr>
              <w:fldChar w:fldCharType="end"/>
            </w:r>
          </w:hyperlink>
        </w:p>
        <w:p w14:paraId="17013FAB" w14:textId="61473671" w:rsidR="00C35F10" w:rsidRDefault="00C35F10">
          <w:pPr>
            <w:pStyle w:val="TOC2"/>
            <w:tabs>
              <w:tab w:val="left" w:pos="960"/>
              <w:tab w:val="right" w:leader="dot" w:pos="9016"/>
            </w:tabs>
            <w:rPr>
              <w:rFonts w:asciiTheme="minorHAnsi" w:hAnsiTheme="minorHAnsi"/>
              <w:noProof/>
              <w:sz w:val="24"/>
              <w:szCs w:val="24"/>
              <w:lang w:eastAsia="en-GB"/>
            </w:rPr>
          </w:pPr>
          <w:hyperlink w:anchor="_Toc204127881" w:history="1">
            <w:r w:rsidRPr="00791653">
              <w:rPr>
                <w:rStyle w:val="Hyperlink"/>
                <w:noProof/>
              </w:rPr>
              <w:t>3.4</w:t>
            </w:r>
            <w:r>
              <w:rPr>
                <w:rFonts w:asciiTheme="minorHAnsi" w:hAnsiTheme="minorHAnsi"/>
                <w:noProof/>
                <w:sz w:val="24"/>
                <w:szCs w:val="24"/>
                <w:lang w:eastAsia="en-GB"/>
              </w:rPr>
              <w:tab/>
            </w:r>
            <w:r w:rsidRPr="00791653">
              <w:rPr>
                <w:rStyle w:val="Hyperlink"/>
                <w:noProof/>
              </w:rPr>
              <w:t>– Research Validation</w:t>
            </w:r>
            <w:r>
              <w:rPr>
                <w:noProof/>
                <w:webHidden/>
              </w:rPr>
              <w:tab/>
            </w:r>
            <w:r>
              <w:rPr>
                <w:noProof/>
                <w:webHidden/>
              </w:rPr>
              <w:fldChar w:fldCharType="begin"/>
            </w:r>
            <w:r>
              <w:rPr>
                <w:noProof/>
                <w:webHidden/>
              </w:rPr>
              <w:instrText xml:space="preserve"> PAGEREF _Toc204127881 \h </w:instrText>
            </w:r>
            <w:r>
              <w:rPr>
                <w:noProof/>
                <w:webHidden/>
              </w:rPr>
            </w:r>
            <w:r>
              <w:rPr>
                <w:noProof/>
                <w:webHidden/>
              </w:rPr>
              <w:fldChar w:fldCharType="separate"/>
            </w:r>
            <w:r>
              <w:rPr>
                <w:noProof/>
                <w:webHidden/>
              </w:rPr>
              <w:t>23</w:t>
            </w:r>
            <w:r>
              <w:rPr>
                <w:noProof/>
                <w:webHidden/>
              </w:rPr>
              <w:fldChar w:fldCharType="end"/>
            </w:r>
          </w:hyperlink>
        </w:p>
        <w:p w14:paraId="25F44CB4" w14:textId="21B3E542" w:rsidR="00C35F10" w:rsidRDefault="00C35F10">
          <w:pPr>
            <w:pStyle w:val="TOC2"/>
            <w:tabs>
              <w:tab w:val="left" w:pos="960"/>
              <w:tab w:val="right" w:leader="dot" w:pos="9016"/>
            </w:tabs>
            <w:rPr>
              <w:rFonts w:asciiTheme="minorHAnsi" w:hAnsiTheme="minorHAnsi"/>
              <w:noProof/>
              <w:sz w:val="24"/>
              <w:szCs w:val="24"/>
              <w:lang w:eastAsia="en-GB"/>
            </w:rPr>
          </w:pPr>
          <w:hyperlink w:anchor="_Toc204127882" w:history="1">
            <w:r w:rsidRPr="00791653">
              <w:rPr>
                <w:rStyle w:val="Hyperlink"/>
                <w:noProof/>
              </w:rPr>
              <w:t>3.5</w:t>
            </w:r>
            <w:r>
              <w:rPr>
                <w:rFonts w:asciiTheme="minorHAnsi" w:hAnsiTheme="minorHAnsi"/>
                <w:noProof/>
                <w:sz w:val="24"/>
                <w:szCs w:val="24"/>
                <w:lang w:eastAsia="en-GB"/>
              </w:rPr>
              <w:tab/>
            </w:r>
            <w:r w:rsidRPr="00791653">
              <w:rPr>
                <w:rStyle w:val="Hyperlink"/>
                <w:noProof/>
              </w:rPr>
              <w:t>- Inclusion and Exclusion Criteria</w:t>
            </w:r>
            <w:r>
              <w:rPr>
                <w:noProof/>
                <w:webHidden/>
              </w:rPr>
              <w:tab/>
            </w:r>
            <w:r>
              <w:rPr>
                <w:noProof/>
                <w:webHidden/>
              </w:rPr>
              <w:fldChar w:fldCharType="begin"/>
            </w:r>
            <w:r>
              <w:rPr>
                <w:noProof/>
                <w:webHidden/>
              </w:rPr>
              <w:instrText xml:space="preserve"> PAGEREF _Toc204127882 \h </w:instrText>
            </w:r>
            <w:r>
              <w:rPr>
                <w:noProof/>
                <w:webHidden/>
              </w:rPr>
            </w:r>
            <w:r>
              <w:rPr>
                <w:noProof/>
                <w:webHidden/>
              </w:rPr>
              <w:fldChar w:fldCharType="separate"/>
            </w:r>
            <w:r>
              <w:rPr>
                <w:noProof/>
                <w:webHidden/>
              </w:rPr>
              <w:t>23</w:t>
            </w:r>
            <w:r>
              <w:rPr>
                <w:noProof/>
                <w:webHidden/>
              </w:rPr>
              <w:fldChar w:fldCharType="end"/>
            </w:r>
          </w:hyperlink>
        </w:p>
        <w:p w14:paraId="282F6E1C" w14:textId="6E579873" w:rsidR="00C35F10" w:rsidRDefault="00C35F10">
          <w:pPr>
            <w:pStyle w:val="TOC2"/>
            <w:tabs>
              <w:tab w:val="left" w:pos="960"/>
              <w:tab w:val="right" w:leader="dot" w:pos="9016"/>
            </w:tabs>
            <w:rPr>
              <w:rFonts w:asciiTheme="minorHAnsi" w:hAnsiTheme="minorHAnsi"/>
              <w:noProof/>
              <w:sz w:val="24"/>
              <w:szCs w:val="24"/>
              <w:lang w:eastAsia="en-GB"/>
            </w:rPr>
          </w:pPr>
          <w:hyperlink w:anchor="_Toc204127883" w:history="1">
            <w:r w:rsidRPr="00791653">
              <w:rPr>
                <w:rStyle w:val="Hyperlink"/>
                <w:noProof/>
              </w:rPr>
              <w:t>3.6</w:t>
            </w:r>
            <w:r>
              <w:rPr>
                <w:rFonts w:asciiTheme="minorHAnsi" w:hAnsiTheme="minorHAnsi"/>
                <w:noProof/>
                <w:sz w:val="24"/>
                <w:szCs w:val="24"/>
                <w:lang w:eastAsia="en-GB"/>
              </w:rPr>
              <w:tab/>
            </w:r>
            <w:r w:rsidRPr="00791653">
              <w:rPr>
                <w:rStyle w:val="Hyperlink"/>
                <w:noProof/>
              </w:rPr>
              <w:t>– Analysing Research</w:t>
            </w:r>
            <w:r>
              <w:rPr>
                <w:noProof/>
                <w:webHidden/>
              </w:rPr>
              <w:tab/>
            </w:r>
            <w:r>
              <w:rPr>
                <w:noProof/>
                <w:webHidden/>
              </w:rPr>
              <w:fldChar w:fldCharType="begin"/>
            </w:r>
            <w:r>
              <w:rPr>
                <w:noProof/>
                <w:webHidden/>
              </w:rPr>
              <w:instrText xml:space="preserve"> PAGEREF _Toc204127883 \h </w:instrText>
            </w:r>
            <w:r>
              <w:rPr>
                <w:noProof/>
                <w:webHidden/>
              </w:rPr>
            </w:r>
            <w:r>
              <w:rPr>
                <w:noProof/>
                <w:webHidden/>
              </w:rPr>
              <w:fldChar w:fldCharType="separate"/>
            </w:r>
            <w:r>
              <w:rPr>
                <w:noProof/>
                <w:webHidden/>
              </w:rPr>
              <w:t>24</w:t>
            </w:r>
            <w:r>
              <w:rPr>
                <w:noProof/>
                <w:webHidden/>
              </w:rPr>
              <w:fldChar w:fldCharType="end"/>
            </w:r>
          </w:hyperlink>
        </w:p>
        <w:p w14:paraId="3E9FDE0C" w14:textId="234DEB37" w:rsidR="00C35F10" w:rsidRDefault="00C35F10">
          <w:pPr>
            <w:pStyle w:val="TOC2"/>
            <w:tabs>
              <w:tab w:val="left" w:pos="960"/>
              <w:tab w:val="right" w:leader="dot" w:pos="9016"/>
            </w:tabs>
            <w:rPr>
              <w:rFonts w:asciiTheme="minorHAnsi" w:hAnsiTheme="minorHAnsi"/>
              <w:noProof/>
              <w:sz w:val="24"/>
              <w:szCs w:val="24"/>
              <w:lang w:eastAsia="en-GB"/>
            </w:rPr>
          </w:pPr>
          <w:hyperlink w:anchor="_Toc204127884" w:history="1">
            <w:r w:rsidRPr="00791653">
              <w:rPr>
                <w:rStyle w:val="Hyperlink"/>
                <w:noProof/>
              </w:rPr>
              <w:t>3.7</w:t>
            </w:r>
            <w:r>
              <w:rPr>
                <w:rFonts w:asciiTheme="minorHAnsi" w:hAnsiTheme="minorHAnsi"/>
                <w:noProof/>
                <w:sz w:val="24"/>
                <w:szCs w:val="24"/>
                <w:lang w:eastAsia="en-GB"/>
              </w:rPr>
              <w:tab/>
            </w:r>
            <w:r w:rsidRPr="00791653">
              <w:rPr>
                <w:rStyle w:val="Hyperlink"/>
                <w:noProof/>
              </w:rPr>
              <w:t>– Ethical Considerations</w:t>
            </w:r>
            <w:r>
              <w:rPr>
                <w:noProof/>
                <w:webHidden/>
              </w:rPr>
              <w:tab/>
            </w:r>
            <w:r>
              <w:rPr>
                <w:noProof/>
                <w:webHidden/>
              </w:rPr>
              <w:fldChar w:fldCharType="begin"/>
            </w:r>
            <w:r>
              <w:rPr>
                <w:noProof/>
                <w:webHidden/>
              </w:rPr>
              <w:instrText xml:space="preserve"> PAGEREF _Toc204127884 \h </w:instrText>
            </w:r>
            <w:r>
              <w:rPr>
                <w:noProof/>
                <w:webHidden/>
              </w:rPr>
            </w:r>
            <w:r>
              <w:rPr>
                <w:noProof/>
                <w:webHidden/>
              </w:rPr>
              <w:fldChar w:fldCharType="separate"/>
            </w:r>
            <w:r>
              <w:rPr>
                <w:noProof/>
                <w:webHidden/>
              </w:rPr>
              <w:t>24</w:t>
            </w:r>
            <w:r>
              <w:rPr>
                <w:noProof/>
                <w:webHidden/>
              </w:rPr>
              <w:fldChar w:fldCharType="end"/>
            </w:r>
          </w:hyperlink>
        </w:p>
        <w:p w14:paraId="16163CD7" w14:textId="23A1EDDB" w:rsidR="00C35F10" w:rsidRDefault="00C35F10">
          <w:pPr>
            <w:pStyle w:val="TOC2"/>
            <w:tabs>
              <w:tab w:val="right" w:leader="dot" w:pos="9016"/>
            </w:tabs>
            <w:rPr>
              <w:rFonts w:asciiTheme="minorHAnsi" w:hAnsiTheme="minorHAnsi"/>
              <w:noProof/>
              <w:sz w:val="24"/>
              <w:szCs w:val="24"/>
              <w:lang w:eastAsia="en-GB"/>
            </w:rPr>
          </w:pPr>
          <w:hyperlink w:anchor="_Toc204127885" w:history="1">
            <w:r w:rsidRPr="00791653">
              <w:rPr>
                <w:rStyle w:val="Hyperlink"/>
                <w:noProof/>
              </w:rPr>
              <w:t>3.8 – Chapter Conclusion</w:t>
            </w:r>
            <w:r>
              <w:rPr>
                <w:noProof/>
                <w:webHidden/>
              </w:rPr>
              <w:tab/>
            </w:r>
            <w:r>
              <w:rPr>
                <w:noProof/>
                <w:webHidden/>
              </w:rPr>
              <w:fldChar w:fldCharType="begin"/>
            </w:r>
            <w:r>
              <w:rPr>
                <w:noProof/>
                <w:webHidden/>
              </w:rPr>
              <w:instrText xml:space="preserve"> PAGEREF _Toc204127885 \h </w:instrText>
            </w:r>
            <w:r>
              <w:rPr>
                <w:noProof/>
                <w:webHidden/>
              </w:rPr>
            </w:r>
            <w:r>
              <w:rPr>
                <w:noProof/>
                <w:webHidden/>
              </w:rPr>
              <w:fldChar w:fldCharType="separate"/>
            </w:r>
            <w:r>
              <w:rPr>
                <w:noProof/>
                <w:webHidden/>
              </w:rPr>
              <w:t>25</w:t>
            </w:r>
            <w:r>
              <w:rPr>
                <w:noProof/>
                <w:webHidden/>
              </w:rPr>
              <w:fldChar w:fldCharType="end"/>
            </w:r>
          </w:hyperlink>
        </w:p>
        <w:p w14:paraId="6E28CCB5" w14:textId="181DB22A" w:rsidR="00C35F10" w:rsidRDefault="00C35F10">
          <w:pPr>
            <w:pStyle w:val="TOC1"/>
            <w:tabs>
              <w:tab w:val="right" w:leader="dot" w:pos="9016"/>
            </w:tabs>
            <w:rPr>
              <w:rFonts w:asciiTheme="minorHAnsi" w:hAnsiTheme="minorHAnsi"/>
              <w:noProof/>
              <w:sz w:val="24"/>
              <w:szCs w:val="24"/>
              <w:lang w:eastAsia="en-GB"/>
            </w:rPr>
          </w:pPr>
          <w:hyperlink w:anchor="_Toc204127886" w:history="1">
            <w:r w:rsidRPr="00791653">
              <w:rPr>
                <w:rStyle w:val="Hyperlink"/>
                <w:noProof/>
                <w:lang w:bidi="en-GB"/>
              </w:rPr>
              <w:t>CHAPTER 4 – Findings and Discussion</w:t>
            </w:r>
            <w:r>
              <w:rPr>
                <w:noProof/>
                <w:webHidden/>
              </w:rPr>
              <w:tab/>
            </w:r>
            <w:r>
              <w:rPr>
                <w:noProof/>
                <w:webHidden/>
              </w:rPr>
              <w:fldChar w:fldCharType="begin"/>
            </w:r>
            <w:r>
              <w:rPr>
                <w:noProof/>
                <w:webHidden/>
              </w:rPr>
              <w:instrText xml:space="preserve"> PAGEREF _Toc204127886 \h </w:instrText>
            </w:r>
            <w:r>
              <w:rPr>
                <w:noProof/>
                <w:webHidden/>
              </w:rPr>
            </w:r>
            <w:r>
              <w:rPr>
                <w:noProof/>
                <w:webHidden/>
              </w:rPr>
              <w:fldChar w:fldCharType="separate"/>
            </w:r>
            <w:r>
              <w:rPr>
                <w:noProof/>
                <w:webHidden/>
              </w:rPr>
              <w:t>26</w:t>
            </w:r>
            <w:r>
              <w:rPr>
                <w:noProof/>
                <w:webHidden/>
              </w:rPr>
              <w:fldChar w:fldCharType="end"/>
            </w:r>
          </w:hyperlink>
        </w:p>
        <w:p w14:paraId="2E423C55" w14:textId="6EEAEA08" w:rsidR="00C35F10" w:rsidRDefault="00C35F10">
          <w:pPr>
            <w:pStyle w:val="TOC2"/>
            <w:tabs>
              <w:tab w:val="right" w:leader="dot" w:pos="9016"/>
            </w:tabs>
            <w:rPr>
              <w:rFonts w:asciiTheme="minorHAnsi" w:hAnsiTheme="minorHAnsi"/>
              <w:noProof/>
              <w:sz w:val="24"/>
              <w:szCs w:val="24"/>
              <w:lang w:eastAsia="en-GB"/>
            </w:rPr>
          </w:pPr>
          <w:hyperlink w:anchor="_Toc204127887" w:history="1">
            <w:r w:rsidRPr="00791653">
              <w:rPr>
                <w:rStyle w:val="Hyperlink"/>
                <w:noProof/>
              </w:rPr>
              <w:t>4.1 – Introduction</w:t>
            </w:r>
            <w:r>
              <w:rPr>
                <w:noProof/>
                <w:webHidden/>
              </w:rPr>
              <w:tab/>
            </w:r>
            <w:r>
              <w:rPr>
                <w:noProof/>
                <w:webHidden/>
              </w:rPr>
              <w:fldChar w:fldCharType="begin"/>
            </w:r>
            <w:r>
              <w:rPr>
                <w:noProof/>
                <w:webHidden/>
              </w:rPr>
              <w:instrText xml:space="preserve"> PAGEREF _Toc204127887 \h </w:instrText>
            </w:r>
            <w:r>
              <w:rPr>
                <w:noProof/>
                <w:webHidden/>
              </w:rPr>
            </w:r>
            <w:r>
              <w:rPr>
                <w:noProof/>
                <w:webHidden/>
              </w:rPr>
              <w:fldChar w:fldCharType="separate"/>
            </w:r>
            <w:r>
              <w:rPr>
                <w:noProof/>
                <w:webHidden/>
              </w:rPr>
              <w:t>26</w:t>
            </w:r>
            <w:r>
              <w:rPr>
                <w:noProof/>
                <w:webHidden/>
              </w:rPr>
              <w:fldChar w:fldCharType="end"/>
            </w:r>
          </w:hyperlink>
        </w:p>
        <w:p w14:paraId="3E115708" w14:textId="24C31325" w:rsidR="00C35F10" w:rsidRDefault="00C35F10">
          <w:pPr>
            <w:pStyle w:val="TOC2"/>
            <w:tabs>
              <w:tab w:val="right" w:leader="dot" w:pos="9016"/>
            </w:tabs>
            <w:rPr>
              <w:rFonts w:asciiTheme="minorHAnsi" w:hAnsiTheme="minorHAnsi"/>
              <w:noProof/>
              <w:sz w:val="24"/>
              <w:szCs w:val="24"/>
              <w:lang w:eastAsia="en-GB"/>
            </w:rPr>
          </w:pPr>
          <w:hyperlink w:anchor="_Toc204127888" w:history="1">
            <w:r w:rsidRPr="00791653">
              <w:rPr>
                <w:rStyle w:val="Hyperlink"/>
                <w:noProof/>
              </w:rPr>
              <w:t>4.2 – Thematic Analysis</w:t>
            </w:r>
            <w:r>
              <w:rPr>
                <w:noProof/>
                <w:webHidden/>
              </w:rPr>
              <w:tab/>
            </w:r>
            <w:r>
              <w:rPr>
                <w:noProof/>
                <w:webHidden/>
              </w:rPr>
              <w:fldChar w:fldCharType="begin"/>
            </w:r>
            <w:r>
              <w:rPr>
                <w:noProof/>
                <w:webHidden/>
              </w:rPr>
              <w:instrText xml:space="preserve"> PAGEREF _Toc204127888 \h </w:instrText>
            </w:r>
            <w:r>
              <w:rPr>
                <w:noProof/>
                <w:webHidden/>
              </w:rPr>
            </w:r>
            <w:r>
              <w:rPr>
                <w:noProof/>
                <w:webHidden/>
              </w:rPr>
              <w:fldChar w:fldCharType="separate"/>
            </w:r>
            <w:r>
              <w:rPr>
                <w:noProof/>
                <w:webHidden/>
              </w:rPr>
              <w:t>26</w:t>
            </w:r>
            <w:r>
              <w:rPr>
                <w:noProof/>
                <w:webHidden/>
              </w:rPr>
              <w:fldChar w:fldCharType="end"/>
            </w:r>
          </w:hyperlink>
        </w:p>
        <w:p w14:paraId="3A4492B1" w14:textId="3AE118BC" w:rsidR="00C35F10" w:rsidRDefault="00C35F10">
          <w:pPr>
            <w:pStyle w:val="TOC2"/>
            <w:tabs>
              <w:tab w:val="right" w:leader="dot" w:pos="9016"/>
            </w:tabs>
            <w:rPr>
              <w:rFonts w:asciiTheme="minorHAnsi" w:hAnsiTheme="minorHAnsi"/>
              <w:noProof/>
              <w:sz w:val="24"/>
              <w:szCs w:val="24"/>
              <w:lang w:eastAsia="en-GB"/>
            </w:rPr>
          </w:pPr>
          <w:hyperlink w:anchor="_Toc204127889" w:history="1">
            <w:r w:rsidRPr="00791653">
              <w:rPr>
                <w:rStyle w:val="Hyperlink"/>
                <w:noProof/>
              </w:rPr>
              <w:t>4.3 – Theme 1- Emotional and Psychological Deterioration</w:t>
            </w:r>
            <w:r>
              <w:rPr>
                <w:noProof/>
                <w:webHidden/>
              </w:rPr>
              <w:tab/>
            </w:r>
            <w:r>
              <w:rPr>
                <w:noProof/>
                <w:webHidden/>
              </w:rPr>
              <w:fldChar w:fldCharType="begin"/>
            </w:r>
            <w:r>
              <w:rPr>
                <w:noProof/>
                <w:webHidden/>
              </w:rPr>
              <w:instrText xml:space="preserve"> PAGEREF _Toc204127889 \h </w:instrText>
            </w:r>
            <w:r>
              <w:rPr>
                <w:noProof/>
                <w:webHidden/>
              </w:rPr>
            </w:r>
            <w:r>
              <w:rPr>
                <w:noProof/>
                <w:webHidden/>
              </w:rPr>
              <w:fldChar w:fldCharType="separate"/>
            </w:r>
            <w:r>
              <w:rPr>
                <w:noProof/>
                <w:webHidden/>
              </w:rPr>
              <w:t>27</w:t>
            </w:r>
            <w:r>
              <w:rPr>
                <w:noProof/>
                <w:webHidden/>
              </w:rPr>
              <w:fldChar w:fldCharType="end"/>
            </w:r>
          </w:hyperlink>
        </w:p>
        <w:p w14:paraId="73BC6065" w14:textId="5FD2C796" w:rsidR="00C35F10" w:rsidRDefault="00C35F10">
          <w:pPr>
            <w:pStyle w:val="TOC2"/>
            <w:tabs>
              <w:tab w:val="right" w:leader="dot" w:pos="9016"/>
            </w:tabs>
            <w:rPr>
              <w:rFonts w:asciiTheme="minorHAnsi" w:hAnsiTheme="minorHAnsi"/>
              <w:noProof/>
              <w:sz w:val="24"/>
              <w:szCs w:val="24"/>
              <w:lang w:eastAsia="en-GB"/>
            </w:rPr>
          </w:pPr>
          <w:hyperlink w:anchor="_Toc204127890" w:history="1">
            <w:r w:rsidRPr="00791653">
              <w:rPr>
                <w:rStyle w:val="Hyperlink"/>
                <w:noProof/>
              </w:rPr>
              <w:t>4.4 – Theme 2- Cognitive and Functional Decline</w:t>
            </w:r>
            <w:r>
              <w:rPr>
                <w:noProof/>
                <w:webHidden/>
              </w:rPr>
              <w:tab/>
            </w:r>
            <w:r>
              <w:rPr>
                <w:noProof/>
                <w:webHidden/>
              </w:rPr>
              <w:fldChar w:fldCharType="begin"/>
            </w:r>
            <w:r>
              <w:rPr>
                <w:noProof/>
                <w:webHidden/>
              </w:rPr>
              <w:instrText xml:space="preserve"> PAGEREF _Toc204127890 \h </w:instrText>
            </w:r>
            <w:r>
              <w:rPr>
                <w:noProof/>
                <w:webHidden/>
              </w:rPr>
            </w:r>
            <w:r>
              <w:rPr>
                <w:noProof/>
                <w:webHidden/>
              </w:rPr>
              <w:fldChar w:fldCharType="separate"/>
            </w:r>
            <w:r>
              <w:rPr>
                <w:noProof/>
                <w:webHidden/>
              </w:rPr>
              <w:t>30</w:t>
            </w:r>
            <w:r>
              <w:rPr>
                <w:noProof/>
                <w:webHidden/>
              </w:rPr>
              <w:fldChar w:fldCharType="end"/>
            </w:r>
          </w:hyperlink>
        </w:p>
        <w:p w14:paraId="1CCB0991" w14:textId="09659F52" w:rsidR="00C35F10" w:rsidRDefault="00C35F10">
          <w:pPr>
            <w:pStyle w:val="TOC2"/>
            <w:tabs>
              <w:tab w:val="right" w:leader="dot" w:pos="9016"/>
            </w:tabs>
            <w:rPr>
              <w:rFonts w:asciiTheme="minorHAnsi" w:hAnsiTheme="minorHAnsi"/>
              <w:noProof/>
              <w:sz w:val="24"/>
              <w:szCs w:val="24"/>
              <w:lang w:eastAsia="en-GB"/>
            </w:rPr>
          </w:pPr>
          <w:hyperlink w:anchor="_Toc204127891" w:history="1">
            <w:r w:rsidRPr="00791653">
              <w:rPr>
                <w:rStyle w:val="Hyperlink"/>
                <w:noProof/>
              </w:rPr>
              <w:t>4.5 – Theme 3- Barriers to Quality of Care</w:t>
            </w:r>
            <w:r>
              <w:rPr>
                <w:noProof/>
                <w:webHidden/>
              </w:rPr>
              <w:tab/>
            </w:r>
            <w:r>
              <w:rPr>
                <w:noProof/>
                <w:webHidden/>
              </w:rPr>
              <w:fldChar w:fldCharType="begin"/>
            </w:r>
            <w:r>
              <w:rPr>
                <w:noProof/>
                <w:webHidden/>
              </w:rPr>
              <w:instrText xml:space="preserve"> PAGEREF _Toc204127891 \h </w:instrText>
            </w:r>
            <w:r>
              <w:rPr>
                <w:noProof/>
                <w:webHidden/>
              </w:rPr>
            </w:r>
            <w:r>
              <w:rPr>
                <w:noProof/>
                <w:webHidden/>
              </w:rPr>
              <w:fldChar w:fldCharType="separate"/>
            </w:r>
            <w:r>
              <w:rPr>
                <w:noProof/>
                <w:webHidden/>
              </w:rPr>
              <w:t>34</w:t>
            </w:r>
            <w:r>
              <w:rPr>
                <w:noProof/>
                <w:webHidden/>
              </w:rPr>
              <w:fldChar w:fldCharType="end"/>
            </w:r>
          </w:hyperlink>
        </w:p>
        <w:p w14:paraId="343AB15B" w14:textId="2FFCECDA" w:rsidR="00C35F10" w:rsidRDefault="00C35F10">
          <w:pPr>
            <w:pStyle w:val="TOC2"/>
            <w:tabs>
              <w:tab w:val="right" w:leader="dot" w:pos="9016"/>
            </w:tabs>
            <w:rPr>
              <w:rFonts w:asciiTheme="minorHAnsi" w:hAnsiTheme="minorHAnsi"/>
              <w:noProof/>
              <w:sz w:val="24"/>
              <w:szCs w:val="24"/>
              <w:lang w:eastAsia="en-GB"/>
            </w:rPr>
          </w:pPr>
          <w:hyperlink w:anchor="_Toc204127892" w:history="1">
            <w:r w:rsidRPr="00791653">
              <w:rPr>
                <w:rStyle w:val="Hyperlink"/>
                <w:noProof/>
              </w:rPr>
              <w:t>4.6 – Chapter Conclusion</w:t>
            </w:r>
            <w:r>
              <w:rPr>
                <w:noProof/>
                <w:webHidden/>
              </w:rPr>
              <w:tab/>
            </w:r>
            <w:r>
              <w:rPr>
                <w:noProof/>
                <w:webHidden/>
              </w:rPr>
              <w:fldChar w:fldCharType="begin"/>
            </w:r>
            <w:r>
              <w:rPr>
                <w:noProof/>
                <w:webHidden/>
              </w:rPr>
              <w:instrText xml:space="preserve"> PAGEREF _Toc204127892 \h </w:instrText>
            </w:r>
            <w:r>
              <w:rPr>
                <w:noProof/>
                <w:webHidden/>
              </w:rPr>
            </w:r>
            <w:r>
              <w:rPr>
                <w:noProof/>
                <w:webHidden/>
              </w:rPr>
              <w:fldChar w:fldCharType="separate"/>
            </w:r>
            <w:r>
              <w:rPr>
                <w:noProof/>
                <w:webHidden/>
              </w:rPr>
              <w:t>39</w:t>
            </w:r>
            <w:r>
              <w:rPr>
                <w:noProof/>
                <w:webHidden/>
              </w:rPr>
              <w:fldChar w:fldCharType="end"/>
            </w:r>
          </w:hyperlink>
        </w:p>
        <w:p w14:paraId="4AB2B3F1" w14:textId="365DBC81" w:rsidR="00C35F10" w:rsidRDefault="00C35F10">
          <w:pPr>
            <w:pStyle w:val="TOC1"/>
            <w:tabs>
              <w:tab w:val="right" w:leader="dot" w:pos="9016"/>
            </w:tabs>
            <w:rPr>
              <w:rFonts w:asciiTheme="minorHAnsi" w:hAnsiTheme="minorHAnsi"/>
              <w:noProof/>
              <w:sz w:val="24"/>
              <w:szCs w:val="24"/>
              <w:lang w:eastAsia="en-GB"/>
            </w:rPr>
          </w:pPr>
          <w:hyperlink w:anchor="_Toc204127893" w:history="1">
            <w:r w:rsidRPr="00791653">
              <w:rPr>
                <w:rStyle w:val="Hyperlink"/>
                <w:noProof/>
                <w:lang w:bidi="en-GB"/>
              </w:rPr>
              <w:t>CHAPTER 5 – Conclusion and Recommendations</w:t>
            </w:r>
            <w:r>
              <w:rPr>
                <w:noProof/>
                <w:webHidden/>
              </w:rPr>
              <w:tab/>
            </w:r>
            <w:r>
              <w:rPr>
                <w:noProof/>
                <w:webHidden/>
              </w:rPr>
              <w:fldChar w:fldCharType="begin"/>
            </w:r>
            <w:r>
              <w:rPr>
                <w:noProof/>
                <w:webHidden/>
              </w:rPr>
              <w:instrText xml:space="preserve"> PAGEREF _Toc204127893 \h </w:instrText>
            </w:r>
            <w:r>
              <w:rPr>
                <w:noProof/>
                <w:webHidden/>
              </w:rPr>
            </w:r>
            <w:r>
              <w:rPr>
                <w:noProof/>
                <w:webHidden/>
              </w:rPr>
              <w:fldChar w:fldCharType="separate"/>
            </w:r>
            <w:r>
              <w:rPr>
                <w:noProof/>
                <w:webHidden/>
              </w:rPr>
              <w:t>40</w:t>
            </w:r>
            <w:r>
              <w:rPr>
                <w:noProof/>
                <w:webHidden/>
              </w:rPr>
              <w:fldChar w:fldCharType="end"/>
            </w:r>
          </w:hyperlink>
        </w:p>
        <w:p w14:paraId="44AE141E" w14:textId="6475B889" w:rsidR="00C35F10" w:rsidRDefault="00C35F10">
          <w:pPr>
            <w:pStyle w:val="TOC2"/>
            <w:tabs>
              <w:tab w:val="right" w:leader="dot" w:pos="9016"/>
            </w:tabs>
            <w:rPr>
              <w:rFonts w:asciiTheme="minorHAnsi" w:hAnsiTheme="minorHAnsi"/>
              <w:noProof/>
              <w:sz w:val="24"/>
              <w:szCs w:val="24"/>
              <w:lang w:eastAsia="en-GB"/>
            </w:rPr>
          </w:pPr>
          <w:hyperlink w:anchor="_Toc204127894" w:history="1">
            <w:r w:rsidRPr="00791653">
              <w:rPr>
                <w:rStyle w:val="Hyperlink"/>
                <w:noProof/>
              </w:rPr>
              <w:t>5.1 – Overall Conclusion</w:t>
            </w:r>
            <w:r>
              <w:rPr>
                <w:noProof/>
                <w:webHidden/>
              </w:rPr>
              <w:tab/>
            </w:r>
            <w:r>
              <w:rPr>
                <w:noProof/>
                <w:webHidden/>
              </w:rPr>
              <w:fldChar w:fldCharType="begin"/>
            </w:r>
            <w:r>
              <w:rPr>
                <w:noProof/>
                <w:webHidden/>
              </w:rPr>
              <w:instrText xml:space="preserve"> PAGEREF _Toc204127894 \h </w:instrText>
            </w:r>
            <w:r>
              <w:rPr>
                <w:noProof/>
                <w:webHidden/>
              </w:rPr>
            </w:r>
            <w:r>
              <w:rPr>
                <w:noProof/>
                <w:webHidden/>
              </w:rPr>
              <w:fldChar w:fldCharType="separate"/>
            </w:r>
            <w:r>
              <w:rPr>
                <w:noProof/>
                <w:webHidden/>
              </w:rPr>
              <w:t>40</w:t>
            </w:r>
            <w:r>
              <w:rPr>
                <w:noProof/>
                <w:webHidden/>
              </w:rPr>
              <w:fldChar w:fldCharType="end"/>
            </w:r>
          </w:hyperlink>
        </w:p>
        <w:p w14:paraId="6546AE7E" w14:textId="7D403836" w:rsidR="00C35F10" w:rsidRDefault="00C35F10">
          <w:pPr>
            <w:pStyle w:val="TOC2"/>
            <w:tabs>
              <w:tab w:val="right" w:leader="dot" w:pos="9016"/>
            </w:tabs>
            <w:rPr>
              <w:rFonts w:asciiTheme="minorHAnsi" w:hAnsiTheme="minorHAnsi"/>
              <w:noProof/>
              <w:sz w:val="24"/>
              <w:szCs w:val="24"/>
              <w:lang w:eastAsia="en-GB"/>
            </w:rPr>
          </w:pPr>
          <w:hyperlink w:anchor="_Toc204127895" w:history="1">
            <w:r w:rsidRPr="00791653">
              <w:rPr>
                <w:rStyle w:val="Hyperlink"/>
                <w:noProof/>
              </w:rPr>
              <w:t>5.2 – Recommendations</w:t>
            </w:r>
            <w:r>
              <w:rPr>
                <w:noProof/>
                <w:webHidden/>
              </w:rPr>
              <w:tab/>
            </w:r>
            <w:r>
              <w:rPr>
                <w:noProof/>
                <w:webHidden/>
              </w:rPr>
              <w:fldChar w:fldCharType="begin"/>
            </w:r>
            <w:r>
              <w:rPr>
                <w:noProof/>
                <w:webHidden/>
              </w:rPr>
              <w:instrText xml:space="preserve"> PAGEREF _Toc204127895 \h </w:instrText>
            </w:r>
            <w:r>
              <w:rPr>
                <w:noProof/>
                <w:webHidden/>
              </w:rPr>
            </w:r>
            <w:r>
              <w:rPr>
                <w:noProof/>
                <w:webHidden/>
              </w:rPr>
              <w:fldChar w:fldCharType="separate"/>
            </w:r>
            <w:r>
              <w:rPr>
                <w:noProof/>
                <w:webHidden/>
              </w:rPr>
              <w:t>40</w:t>
            </w:r>
            <w:r>
              <w:rPr>
                <w:noProof/>
                <w:webHidden/>
              </w:rPr>
              <w:fldChar w:fldCharType="end"/>
            </w:r>
          </w:hyperlink>
        </w:p>
        <w:p w14:paraId="63A111AE" w14:textId="18ADE386" w:rsidR="00C35F10" w:rsidRDefault="00C35F10">
          <w:pPr>
            <w:pStyle w:val="TOC1"/>
            <w:tabs>
              <w:tab w:val="right" w:leader="dot" w:pos="9016"/>
            </w:tabs>
            <w:rPr>
              <w:rFonts w:asciiTheme="minorHAnsi" w:hAnsiTheme="minorHAnsi"/>
              <w:noProof/>
              <w:sz w:val="24"/>
              <w:szCs w:val="24"/>
              <w:lang w:eastAsia="en-GB"/>
            </w:rPr>
          </w:pPr>
          <w:hyperlink w:anchor="_Toc204127896" w:history="1">
            <w:r w:rsidRPr="00791653">
              <w:rPr>
                <w:rStyle w:val="Hyperlink"/>
                <w:rFonts w:cs="Arial"/>
                <w:noProof/>
                <w:lang w:bidi="en-GB"/>
              </w:rPr>
              <w:t>5.2.1 – Recommendation 1: Structured emotional and social support interventions in care homes</w:t>
            </w:r>
            <w:r>
              <w:rPr>
                <w:noProof/>
                <w:webHidden/>
              </w:rPr>
              <w:tab/>
            </w:r>
            <w:r>
              <w:rPr>
                <w:noProof/>
                <w:webHidden/>
              </w:rPr>
              <w:fldChar w:fldCharType="begin"/>
            </w:r>
            <w:r>
              <w:rPr>
                <w:noProof/>
                <w:webHidden/>
              </w:rPr>
              <w:instrText xml:space="preserve"> PAGEREF _Toc204127896 \h </w:instrText>
            </w:r>
            <w:r>
              <w:rPr>
                <w:noProof/>
                <w:webHidden/>
              </w:rPr>
            </w:r>
            <w:r>
              <w:rPr>
                <w:noProof/>
                <w:webHidden/>
              </w:rPr>
              <w:fldChar w:fldCharType="separate"/>
            </w:r>
            <w:r>
              <w:rPr>
                <w:noProof/>
                <w:webHidden/>
              </w:rPr>
              <w:t>40</w:t>
            </w:r>
            <w:r>
              <w:rPr>
                <w:noProof/>
                <w:webHidden/>
              </w:rPr>
              <w:fldChar w:fldCharType="end"/>
            </w:r>
          </w:hyperlink>
        </w:p>
        <w:p w14:paraId="35302E5B" w14:textId="73424242" w:rsidR="00C35F10" w:rsidRDefault="00C35F10">
          <w:pPr>
            <w:pStyle w:val="TOC1"/>
            <w:tabs>
              <w:tab w:val="right" w:leader="dot" w:pos="9016"/>
            </w:tabs>
            <w:rPr>
              <w:rFonts w:asciiTheme="minorHAnsi" w:hAnsiTheme="minorHAnsi"/>
              <w:noProof/>
              <w:sz w:val="24"/>
              <w:szCs w:val="24"/>
              <w:lang w:eastAsia="en-GB"/>
            </w:rPr>
          </w:pPr>
          <w:hyperlink w:anchor="_Toc204127897" w:history="1">
            <w:r w:rsidRPr="00791653">
              <w:rPr>
                <w:rStyle w:val="Hyperlink"/>
                <w:rFonts w:cs="Arial"/>
                <w:noProof/>
                <w:lang w:bidi="en-GB"/>
              </w:rPr>
              <w:t>5.2.2 – Recommendation 2: Strengthen Cognitive and Functional Stimulation through Personalised Daily Routines and Sensory-Based Interventions</w:t>
            </w:r>
            <w:r>
              <w:rPr>
                <w:noProof/>
                <w:webHidden/>
              </w:rPr>
              <w:tab/>
            </w:r>
            <w:r>
              <w:rPr>
                <w:noProof/>
                <w:webHidden/>
              </w:rPr>
              <w:fldChar w:fldCharType="begin"/>
            </w:r>
            <w:r>
              <w:rPr>
                <w:noProof/>
                <w:webHidden/>
              </w:rPr>
              <w:instrText xml:space="preserve"> PAGEREF _Toc204127897 \h </w:instrText>
            </w:r>
            <w:r>
              <w:rPr>
                <w:noProof/>
                <w:webHidden/>
              </w:rPr>
            </w:r>
            <w:r>
              <w:rPr>
                <w:noProof/>
                <w:webHidden/>
              </w:rPr>
              <w:fldChar w:fldCharType="separate"/>
            </w:r>
            <w:r>
              <w:rPr>
                <w:noProof/>
                <w:webHidden/>
              </w:rPr>
              <w:t>41</w:t>
            </w:r>
            <w:r>
              <w:rPr>
                <w:noProof/>
                <w:webHidden/>
              </w:rPr>
              <w:fldChar w:fldCharType="end"/>
            </w:r>
          </w:hyperlink>
        </w:p>
        <w:p w14:paraId="146F335A" w14:textId="7F80C1F1" w:rsidR="00C35F10" w:rsidRDefault="00C35F10">
          <w:pPr>
            <w:pStyle w:val="TOC1"/>
            <w:tabs>
              <w:tab w:val="right" w:leader="dot" w:pos="9016"/>
            </w:tabs>
            <w:rPr>
              <w:rFonts w:asciiTheme="minorHAnsi" w:hAnsiTheme="minorHAnsi"/>
              <w:noProof/>
              <w:sz w:val="24"/>
              <w:szCs w:val="24"/>
              <w:lang w:eastAsia="en-GB"/>
            </w:rPr>
          </w:pPr>
          <w:hyperlink w:anchor="_Toc204127898" w:history="1">
            <w:r w:rsidRPr="00791653">
              <w:rPr>
                <w:rStyle w:val="Hyperlink"/>
                <w:rFonts w:cs="Arial"/>
                <w:noProof/>
                <w:lang w:bidi="en-GB"/>
              </w:rPr>
              <w:t>5.2.3 – Recommendation 3: Promoting Digital Inclusion to Reduce Isolation and Enhance Care Quality</w:t>
            </w:r>
            <w:r>
              <w:rPr>
                <w:noProof/>
                <w:webHidden/>
              </w:rPr>
              <w:tab/>
            </w:r>
            <w:r>
              <w:rPr>
                <w:noProof/>
                <w:webHidden/>
              </w:rPr>
              <w:fldChar w:fldCharType="begin"/>
            </w:r>
            <w:r>
              <w:rPr>
                <w:noProof/>
                <w:webHidden/>
              </w:rPr>
              <w:instrText xml:space="preserve"> PAGEREF _Toc204127898 \h </w:instrText>
            </w:r>
            <w:r>
              <w:rPr>
                <w:noProof/>
                <w:webHidden/>
              </w:rPr>
            </w:r>
            <w:r>
              <w:rPr>
                <w:noProof/>
                <w:webHidden/>
              </w:rPr>
              <w:fldChar w:fldCharType="separate"/>
            </w:r>
            <w:r>
              <w:rPr>
                <w:noProof/>
                <w:webHidden/>
              </w:rPr>
              <w:t>42</w:t>
            </w:r>
            <w:r>
              <w:rPr>
                <w:noProof/>
                <w:webHidden/>
              </w:rPr>
              <w:fldChar w:fldCharType="end"/>
            </w:r>
          </w:hyperlink>
        </w:p>
        <w:p w14:paraId="0911B274" w14:textId="6DA209ED" w:rsidR="00C35F10" w:rsidRDefault="00C35F10">
          <w:pPr>
            <w:pStyle w:val="TOC1"/>
            <w:tabs>
              <w:tab w:val="right" w:leader="dot" w:pos="9016"/>
            </w:tabs>
            <w:rPr>
              <w:rFonts w:asciiTheme="minorHAnsi" w:hAnsiTheme="minorHAnsi"/>
              <w:noProof/>
              <w:sz w:val="24"/>
              <w:szCs w:val="24"/>
              <w:lang w:eastAsia="en-GB"/>
            </w:rPr>
          </w:pPr>
          <w:hyperlink w:anchor="_Toc204127899" w:history="1">
            <w:r w:rsidRPr="00791653">
              <w:rPr>
                <w:rStyle w:val="Hyperlink"/>
                <w:rFonts w:cs="Arial"/>
                <w:noProof/>
                <w:lang w:bidi="en-GB"/>
              </w:rPr>
              <w:t>CHAPTER 6 – References and Appendices</w:t>
            </w:r>
            <w:r>
              <w:rPr>
                <w:noProof/>
                <w:webHidden/>
              </w:rPr>
              <w:tab/>
            </w:r>
            <w:r>
              <w:rPr>
                <w:noProof/>
                <w:webHidden/>
              </w:rPr>
              <w:fldChar w:fldCharType="begin"/>
            </w:r>
            <w:r>
              <w:rPr>
                <w:noProof/>
                <w:webHidden/>
              </w:rPr>
              <w:instrText xml:space="preserve"> PAGEREF _Toc204127899 \h </w:instrText>
            </w:r>
            <w:r>
              <w:rPr>
                <w:noProof/>
                <w:webHidden/>
              </w:rPr>
            </w:r>
            <w:r>
              <w:rPr>
                <w:noProof/>
                <w:webHidden/>
              </w:rPr>
              <w:fldChar w:fldCharType="separate"/>
            </w:r>
            <w:r>
              <w:rPr>
                <w:noProof/>
                <w:webHidden/>
              </w:rPr>
              <w:t>43</w:t>
            </w:r>
            <w:r>
              <w:rPr>
                <w:noProof/>
                <w:webHidden/>
              </w:rPr>
              <w:fldChar w:fldCharType="end"/>
            </w:r>
          </w:hyperlink>
        </w:p>
        <w:p w14:paraId="06F7CCCF" w14:textId="1ADB048C" w:rsidR="00C35F10" w:rsidRDefault="00C35F10">
          <w:pPr>
            <w:pStyle w:val="TOC1"/>
            <w:tabs>
              <w:tab w:val="right" w:leader="dot" w:pos="9016"/>
            </w:tabs>
            <w:rPr>
              <w:rFonts w:asciiTheme="minorHAnsi" w:hAnsiTheme="minorHAnsi"/>
              <w:noProof/>
              <w:sz w:val="24"/>
              <w:szCs w:val="24"/>
              <w:lang w:eastAsia="en-GB"/>
            </w:rPr>
          </w:pPr>
          <w:hyperlink w:anchor="_Toc204127900" w:history="1">
            <w:r w:rsidRPr="00791653">
              <w:rPr>
                <w:rStyle w:val="Hyperlink"/>
                <w:rFonts w:cs="Arial"/>
                <w:noProof/>
                <w:lang w:bidi="en-GB"/>
              </w:rPr>
              <w:t>6.1 – References</w:t>
            </w:r>
            <w:r>
              <w:rPr>
                <w:noProof/>
                <w:webHidden/>
              </w:rPr>
              <w:tab/>
            </w:r>
            <w:r>
              <w:rPr>
                <w:noProof/>
                <w:webHidden/>
              </w:rPr>
              <w:fldChar w:fldCharType="begin"/>
            </w:r>
            <w:r>
              <w:rPr>
                <w:noProof/>
                <w:webHidden/>
              </w:rPr>
              <w:instrText xml:space="preserve"> PAGEREF _Toc204127900 \h </w:instrText>
            </w:r>
            <w:r>
              <w:rPr>
                <w:noProof/>
                <w:webHidden/>
              </w:rPr>
            </w:r>
            <w:r>
              <w:rPr>
                <w:noProof/>
                <w:webHidden/>
              </w:rPr>
              <w:fldChar w:fldCharType="separate"/>
            </w:r>
            <w:r>
              <w:rPr>
                <w:noProof/>
                <w:webHidden/>
              </w:rPr>
              <w:t>43</w:t>
            </w:r>
            <w:r>
              <w:rPr>
                <w:noProof/>
                <w:webHidden/>
              </w:rPr>
              <w:fldChar w:fldCharType="end"/>
            </w:r>
          </w:hyperlink>
        </w:p>
        <w:p w14:paraId="6B78CB4E" w14:textId="3CC5EFE0" w:rsidR="00C35F10" w:rsidRDefault="00C35F10">
          <w:pPr>
            <w:pStyle w:val="TOC1"/>
            <w:tabs>
              <w:tab w:val="right" w:leader="dot" w:pos="9016"/>
            </w:tabs>
            <w:rPr>
              <w:rFonts w:asciiTheme="minorHAnsi" w:hAnsiTheme="minorHAnsi"/>
              <w:noProof/>
              <w:sz w:val="24"/>
              <w:szCs w:val="24"/>
              <w:lang w:eastAsia="en-GB"/>
            </w:rPr>
          </w:pPr>
          <w:hyperlink w:anchor="_Toc204127901" w:history="1">
            <w:r w:rsidRPr="00791653">
              <w:rPr>
                <w:rStyle w:val="Hyperlink"/>
                <w:rFonts w:cs="Arial"/>
                <w:noProof/>
                <w:lang w:bidi="en-GB"/>
              </w:rPr>
              <w:t>6.2 – Appendices</w:t>
            </w:r>
            <w:r>
              <w:rPr>
                <w:noProof/>
                <w:webHidden/>
              </w:rPr>
              <w:tab/>
            </w:r>
            <w:r>
              <w:rPr>
                <w:noProof/>
                <w:webHidden/>
              </w:rPr>
              <w:fldChar w:fldCharType="begin"/>
            </w:r>
            <w:r>
              <w:rPr>
                <w:noProof/>
                <w:webHidden/>
              </w:rPr>
              <w:instrText xml:space="preserve"> PAGEREF _Toc204127901 \h </w:instrText>
            </w:r>
            <w:r>
              <w:rPr>
                <w:noProof/>
                <w:webHidden/>
              </w:rPr>
            </w:r>
            <w:r>
              <w:rPr>
                <w:noProof/>
                <w:webHidden/>
              </w:rPr>
              <w:fldChar w:fldCharType="separate"/>
            </w:r>
            <w:r>
              <w:rPr>
                <w:noProof/>
                <w:webHidden/>
              </w:rPr>
              <w:t>68</w:t>
            </w:r>
            <w:r>
              <w:rPr>
                <w:noProof/>
                <w:webHidden/>
              </w:rPr>
              <w:fldChar w:fldCharType="end"/>
            </w:r>
          </w:hyperlink>
        </w:p>
        <w:p w14:paraId="141C72B0" w14:textId="09E047F3" w:rsidR="00C35F10" w:rsidRDefault="00C35F10">
          <w:pPr>
            <w:pStyle w:val="TOC2"/>
            <w:tabs>
              <w:tab w:val="right" w:leader="dot" w:pos="9016"/>
            </w:tabs>
            <w:rPr>
              <w:rFonts w:asciiTheme="minorHAnsi" w:hAnsiTheme="minorHAnsi"/>
              <w:noProof/>
              <w:sz w:val="24"/>
              <w:szCs w:val="24"/>
              <w:lang w:eastAsia="en-GB"/>
            </w:rPr>
          </w:pPr>
          <w:hyperlink w:anchor="_Toc204127902" w:history="1">
            <w:r w:rsidRPr="00791653">
              <w:rPr>
                <w:rStyle w:val="Hyperlink"/>
                <w:rFonts w:ascii="Arial" w:hAnsi="Arial" w:cs="Arial"/>
                <w:noProof/>
              </w:rPr>
              <w:t>Appendix A- Methodology Table</w:t>
            </w:r>
            <w:r>
              <w:rPr>
                <w:noProof/>
                <w:webHidden/>
              </w:rPr>
              <w:tab/>
            </w:r>
            <w:r>
              <w:rPr>
                <w:noProof/>
                <w:webHidden/>
              </w:rPr>
              <w:fldChar w:fldCharType="begin"/>
            </w:r>
            <w:r>
              <w:rPr>
                <w:noProof/>
                <w:webHidden/>
              </w:rPr>
              <w:instrText xml:space="preserve"> PAGEREF _Toc204127902 \h </w:instrText>
            </w:r>
            <w:r>
              <w:rPr>
                <w:noProof/>
                <w:webHidden/>
              </w:rPr>
            </w:r>
            <w:r>
              <w:rPr>
                <w:noProof/>
                <w:webHidden/>
              </w:rPr>
              <w:fldChar w:fldCharType="separate"/>
            </w:r>
            <w:r>
              <w:rPr>
                <w:noProof/>
                <w:webHidden/>
              </w:rPr>
              <w:t>68</w:t>
            </w:r>
            <w:r>
              <w:rPr>
                <w:noProof/>
                <w:webHidden/>
              </w:rPr>
              <w:fldChar w:fldCharType="end"/>
            </w:r>
          </w:hyperlink>
        </w:p>
        <w:p w14:paraId="22688D73" w14:textId="1287A02C" w:rsidR="00C35F10" w:rsidRDefault="00C35F10">
          <w:pPr>
            <w:pStyle w:val="TOC2"/>
            <w:tabs>
              <w:tab w:val="right" w:leader="dot" w:pos="9016"/>
            </w:tabs>
            <w:rPr>
              <w:rFonts w:asciiTheme="minorHAnsi" w:hAnsiTheme="minorHAnsi"/>
              <w:noProof/>
              <w:sz w:val="24"/>
              <w:szCs w:val="24"/>
              <w:lang w:eastAsia="en-GB"/>
            </w:rPr>
          </w:pPr>
          <w:hyperlink w:anchor="_Toc204127903" w:history="1">
            <w:r w:rsidRPr="00791653">
              <w:rPr>
                <w:rStyle w:val="Hyperlink"/>
                <w:rFonts w:ascii="Arial" w:hAnsi="Arial" w:cs="Arial"/>
                <w:noProof/>
              </w:rPr>
              <w:t>Appendix B- Source Tracking Table</w:t>
            </w:r>
            <w:r>
              <w:rPr>
                <w:noProof/>
                <w:webHidden/>
              </w:rPr>
              <w:tab/>
            </w:r>
            <w:r>
              <w:rPr>
                <w:noProof/>
                <w:webHidden/>
              </w:rPr>
              <w:fldChar w:fldCharType="begin"/>
            </w:r>
            <w:r>
              <w:rPr>
                <w:noProof/>
                <w:webHidden/>
              </w:rPr>
              <w:instrText xml:space="preserve"> PAGEREF _Toc204127903 \h </w:instrText>
            </w:r>
            <w:r>
              <w:rPr>
                <w:noProof/>
                <w:webHidden/>
              </w:rPr>
            </w:r>
            <w:r>
              <w:rPr>
                <w:noProof/>
                <w:webHidden/>
              </w:rPr>
              <w:fldChar w:fldCharType="separate"/>
            </w:r>
            <w:r>
              <w:rPr>
                <w:noProof/>
                <w:webHidden/>
              </w:rPr>
              <w:t>70</w:t>
            </w:r>
            <w:r>
              <w:rPr>
                <w:noProof/>
                <w:webHidden/>
              </w:rPr>
              <w:fldChar w:fldCharType="end"/>
            </w:r>
          </w:hyperlink>
        </w:p>
        <w:p w14:paraId="20074182" w14:textId="5B5565BF" w:rsidR="00C35F10" w:rsidRDefault="00C35F10">
          <w:pPr>
            <w:pStyle w:val="TOC2"/>
            <w:tabs>
              <w:tab w:val="right" w:leader="dot" w:pos="9016"/>
            </w:tabs>
            <w:rPr>
              <w:rFonts w:asciiTheme="minorHAnsi" w:hAnsiTheme="minorHAnsi"/>
              <w:noProof/>
              <w:sz w:val="24"/>
              <w:szCs w:val="24"/>
              <w:lang w:eastAsia="en-GB"/>
            </w:rPr>
          </w:pPr>
          <w:hyperlink w:anchor="_Toc204127904" w:history="1">
            <w:r>
              <w:rPr>
                <w:noProof/>
                <w:webHidden/>
              </w:rPr>
              <w:tab/>
            </w:r>
            <w:r>
              <w:rPr>
                <w:noProof/>
                <w:webHidden/>
              </w:rPr>
              <w:fldChar w:fldCharType="begin"/>
            </w:r>
            <w:r>
              <w:rPr>
                <w:noProof/>
                <w:webHidden/>
              </w:rPr>
              <w:instrText xml:space="preserve"> PAGEREF _Toc204127904 \h </w:instrText>
            </w:r>
            <w:r>
              <w:rPr>
                <w:noProof/>
                <w:webHidden/>
              </w:rPr>
            </w:r>
            <w:r>
              <w:rPr>
                <w:noProof/>
                <w:webHidden/>
              </w:rPr>
              <w:fldChar w:fldCharType="separate"/>
            </w:r>
            <w:r>
              <w:rPr>
                <w:noProof/>
                <w:webHidden/>
              </w:rPr>
              <w:t>70</w:t>
            </w:r>
            <w:r>
              <w:rPr>
                <w:noProof/>
                <w:webHidden/>
              </w:rPr>
              <w:fldChar w:fldCharType="end"/>
            </w:r>
          </w:hyperlink>
        </w:p>
        <w:p w14:paraId="5168CBB4" w14:textId="3E943AEA" w:rsidR="00C35F10" w:rsidRDefault="00C35F10">
          <w:pPr>
            <w:pStyle w:val="TOC2"/>
            <w:tabs>
              <w:tab w:val="right" w:leader="dot" w:pos="9016"/>
            </w:tabs>
            <w:rPr>
              <w:rFonts w:asciiTheme="minorHAnsi" w:hAnsiTheme="minorHAnsi"/>
              <w:noProof/>
              <w:sz w:val="24"/>
              <w:szCs w:val="24"/>
              <w:lang w:eastAsia="en-GB"/>
            </w:rPr>
          </w:pPr>
          <w:hyperlink w:anchor="_Toc204127905" w:history="1">
            <w:r w:rsidRPr="00791653">
              <w:rPr>
                <w:rStyle w:val="Hyperlink"/>
                <w:rFonts w:ascii="Arial" w:hAnsi="Arial" w:cs="Arial"/>
                <w:noProof/>
              </w:rPr>
              <w:t>Appendix C- Results Summary Table</w:t>
            </w:r>
            <w:r>
              <w:rPr>
                <w:noProof/>
                <w:webHidden/>
              </w:rPr>
              <w:tab/>
            </w:r>
            <w:r>
              <w:rPr>
                <w:noProof/>
                <w:webHidden/>
              </w:rPr>
              <w:fldChar w:fldCharType="begin"/>
            </w:r>
            <w:r>
              <w:rPr>
                <w:noProof/>
                <w:webHidden/>
              </w:rPr>
              <w:instrText xml:space="preserve"> PAGEREF _Toc204127905 \h </w:instrText>
            </w:r>
            <w:r>
              <w:rPr>
                <w:noProof/>
                <w:webHidden/>
              </w:rPr>
            </w:r>
            <w:r>
              <w:rPr>
                <w:noProof/>
                <w:webHidden/>
              </w:rPr>
              <w:fldChar w:fldCharType="separate"/>
            </w:r>
            <w:r>
              <w:rPr>
                <w:noProof/>
                <w:webHidden/>
              </w:rPr>
              <w:t>71</w:t>
            </w:r>
            <w:r>
              <w:rPr>
                <w:noProof/>
                <w:webHidden/>
              </w:rPr>
              <w:fldChar w:fldCharType="end"/>
            </w:r>
          </w:hyperlink>
        </w:p>
        <w:p w14:paraId="31874DDD" w14:textId="3C5B8A10" w:rsidR="000F3199" w:rsidRDefault="000F3199">
          <w:r>
            <w:rPr>
              <w:b/>
              <w:bCs/>
              <w:noProof/>
            </w:rPr>
            <w:fldChar w:fldCharType="end"/>
          </w:r>
        </w:p>
      </w:sdtContent>
    </w:sdt>
    <w:p w14:paraId="756C3EE0" w14:textId="77777777" w:rsidR="00804B94" w:rsidRDefault="00804B94"/>
    <w:p w14:paraId="3EF52184" w14:textId="77777777" w:rsidR="00804B94" w:rsidRDefault="00804B94"/>
    <w:p w14:paraId="52F0D83D" w14:textId="77777777" w:rsidR="00804B94" w:rsidRDefault="00804B94"/>
    <w:p w14:paraId="4DF07CEB" w14:textId="77777777" w:rsidR="00804B94" w:rsidRDefault="00804B94"/>
    <w:p w14:paraId="61CFD6DF" w14:textId="77777777" w:rsidR="00804B94" w:rsidRDefault="00804B94"/>
    <w:p w14:paraId="417D68A4" w14:textId="77777777" w:rsidR="00804B94" w:rsidRDefault="00804B94"/>
    <w:p w14:paraId="201F102A" w14:textId="77777777" w:rsidR="00804B94" w:rsidRDefault="00804B94"/>
    <w:p w14:paraId="5D0A8789" w14:textId="77777777" w:rsidR="00804B94" w:rsidRDefault="00804B94"/>
    <w:p w14:paraId="786DF943" w14:textId="77777777" w:rsidR="00804B94" w:rsidRDefault="00804B94"/>
    <w:p w14:paraId="612D2BA4" w14:textId="77777777" w:rsidR="00804B94" w:rsidRDefault="00804B94"/>
    <w:p w14:paraId="44606545" w14:textId="77777777" w:rsidR="00804B94" w:rsidRDefault="00804B94"/>
    <w:p w14:paraId="19556EF2" w14:textId="77777777" w:rsidR="00804B94" w:rsidRDefault="00804B94"/>
    <w:p w14:paraId="4CA19B6B" w14:textId="77777777" w:rsidR="00804B94" w:rsidRDefault="00804B94"/>
    <w:p w14:paraId="5C4D72C1" w14:textId="77777777" w:rsidR="00804B94" w:rsidRDefault="00804B94"/>
    <w:p w14:paraId="63FE4DFF" w14:textId="77777777" w:rsidR="00804B94" w:rsidRDefault="00804B94"/>
    <w:p w14:paraId="47780902" w14:textId="77777777" w:rsidR="00804B94" w:rsidRDefault="00804B94"/>
    <w:p w14:paraId="3D138607" w14:textId="77777777" w:rsidR="00C72E0E" w:rsidRDefault="00C72E0E" w:rsidP="00C72E0E">
      <w:pPr>
        <w:pStyle w:val="Heading1"/>
        <w:spacing w:line="360" w:lineRule="auto"/>
        <w:ind w:left="0"/>
        <w:rPr>
          <w:rFonts w:cs="Arial"/>
        </w:rPr>
      </w:pPr>
      <w:bookmarkStart w:id="1" w:name="_Toc194093170"/>
      <w:bookmarkStart w:id="2" w:name="_Toc204127874"/>
      <w:r w:rsidRPr="003D0CEA">
        <w:rPr>
          <w:rFonts w:cs="Arial"/>
        </w:rPr>
        <w:lastRenderedPageBreak/>
        <w:t>CHAPTER 1: Introduction</w:t>
      </w:r>
      <w:bookmarkEnd w:id="1"/>
      <w:bookmarkEnd w:id="2"/>
      <w:r w:rsidRPr="003D0CEA">
        <w:rPr>
          <w:rFonts w:cs="Arial"/>
        </w:rPr>
        <w:t xml:space="preserve"> </w:t>
      </w:r>
    </w:p>
    <w:p w14:paraId="3109932F" w14:textId="77777777" w:rsidR="00C72E0E" w:rsidRPr="003D0CEA" w:rsidRDefault="00C72E0E" w:rsidP="00C72E0E">
      <w:pPr>
        <w:pStyle w:val="Heading2"/>
        <w:rPr>
          <w:sz w:val="16"/>
          <w:szCs w:val="16"/>
        </w:rPr>
      </w:pPr>
      <w:bookmarkStart w:id="3" w:name="_Toc204127875"/>
      <w:r w:rsidRPr="003D0CEA">
        <w:rPr>
          <w:rStyle w:val="normaltextrun"/>
          <w:rFonts w:ascii="Arial" w:hAnsi="Arial" w:cs="Arial"/>
          <w:color w:val="0F4761"/>
        </w:rPr>
        <w:t>1.1 Introduction</w:t>
      </w:r>
      <w:bookmarkEnd w:id="3"/>
      <w:r w:rsidRPr="003D0CEA">
        <w:rPr>
          <w:rStyle w:val="eop"/>
          <w:rFonts w:ascii="Arial" w:hAnsi="Arial" w:cs="Arial"/>
          <w:color w:val="0F4761"/>
        </w:rPr>
        <w:t> </w:t>
      </w:r>
    </w:p>
    <w:p w14:paraId="57604757" w14:textId="064A6D9C" w:rsidR="00C72E0E" w:rsidRPr="0008366C" w:rsidRDefault="00C72E0E" w:rsidP="00C72E0E">
      <w:pPr>
        <w:rPr>
          <w:rFonts w:ascii="Times New Roman" w:eastAsia="Times New Roman" w:hAnsi="Times New Roman" w:cs="Times New Roman"/>
          <w:kern w:val="0"/>
          <w:sz w:val="24"/>
          <w:szCs w:val="24"/>
          <w:lang w:eastAsia="en-GB"/>
          <w14:ligatures w14:val="none"/>
        </w:rPr>
      </w:pPr>
      <w:r w:rsidRPr="00BC504E">
        <w:rPr>
          <w:rFonts w:ascii="Arial" w:hAnsi="Arial" w:cs="Arial"/>
        </w:rPr>
        <w:t xml:space="preserve">The COVID-19 pandemic had a significant impact on vulnerable groups, particularly elderly residents in care homes across the UK </w:t>
      </w:r>
      <w:r w:rsidRPr="00BC504E">
        <w:rPr>
          <w:rFonts w:ascii="Arial" w:eastAsia="Times New Roman" w:hAnsi="Arial" w:cs="Arial"/>
          <w:kern w:val="0"/>
          <w:lang w:eastAsia="en-GB"/>
          <w14:ligatures w14:val="none"/>
        </w:rPr>
        <w:t>(GOV.UK, 2023a)</w:t>
      </w:r>
      <w:r w:rsidRPr="00BC504E">
        <w:rPr>
          <w:rFonts w:ascii="Arial" w:hAnsi="Arial" w:cs="Arial"/>
        </w:rPr>
        <w:t xml:space="preserve">. Strict lockdown measures intended to protect older adults from infection led to widespread social isolation, which in turn resulted in increased feelings of loneliness and emotional distress </w:t>
      </w:r>
      <w:r w:rsidRPr="00BC504E">
        <w:rPr>
          <w:rFonts w:ascii="Arial" w:eastAsia="Times New Roman" w:hAnsi="Arial" w:cs="Arial"/>
          <w:kern w:val="0"/>
          <w:lang w:eastAsia="en-GB"/>
          <w14:ligatures w14:val="none"/>
        </w:rPr>
        <w:t>(Hao, Du and Yue, 2024)</w:t>
      </w:r>
      <w:r w:rsidRPr="00BC504E">
        <w:rPr>
          <w:rFonts w:ascii="Arial" w:hAnsi="Arial" w:cs="Arial"/>
        </w:rPr>
        <w:t xml:space="preserve">. Research shows that prolonged social isolation can contribute to mental health issues such as depression, anxiety, </w:t>
      </w:r>
      <w:r w:rsidR="00CA0E6B" w:rsidRPr="00BC504E">
        <w:rPr>
          <w:rFonts w:ascii="Arial" w:hAnsi="Arial" w:cs="Arial"/>
        </w:rPr>
        <w:t xml:space="preserve">and </w:t>
      </w:r>
      <w:r w:rsidRPr="00BC504E">
        <w:rPr>
          <w:rFonts w:ascii="Arial" w:hAnsi="Arial" w:cs="Arial"/>
        </w:rPr>
        <w:t>cognitive decline</w:t>
      </w:r>
      <w:r w:rsidR="00CA0E6B" w:rsidRPr="00BC504E">
        <w:rPr>
          <w:rFonts w:ascii="Arial" w:hAnsi="Arial" w:cs="Arial"/>
        </w:rPr>
        <w:t>,</w:t>
      </w:r>
      <w:r w:rsidRPr="00BC504E">
        <w:rPr>
          <w:rFonts w:ascii="Arial" w:hAnsi="Arial" w:cs="Arial"/>
        </w:rPr>
        <w:t xml:space="preserve"> </w:t>
      </w:r>
      <w:r w:rsidR="00CA0E6B" w:rsidRPr="00BC504E">
        <w:rPr>
          <w:rFonts w:ascii="Arial" w:hAnsi="Arial" w:cs="Arial"/>
        </w:rPr>
        <w:t xml:space="preserve">and also negatively impacts quality of life </w:t>
      </w:r>
      <w:r w:rsidRPr="00BC504E">
        <w:rPr>
          <w:rFonts w:ascii="Arial" w:hAnsi="Arial" w:cs="Arial"/>
        </w:rPr>
        <w:t xml:space="preserve">(Hwang </w:t>
      </w:r>
      <w:r w:rsidRPr="00BC504E">
        <w:rPr>
          <w:rFonts w:ascii="Arial" w:hAnsi="Arial" w:cs="Arial"/>
          <w:i/>
          <w:iCs/>
        </w:rPr>
        <w:t>et al</w:t>
      </w:r>
      <w:r w:rsidRPr="00BC504E">
        <w:rPr>
          <w:rFonts w:ascii="Arial" w:hAnsi="Arial" w:cs="Arial"/>
        </w:rPr>
        <w:t xml:space="preserve">., 2020; </w:t>
      </w:r>
      <w:r w:rsidRPr="00BC504E">
        <w:rPr>
          <w:rFonts w:ascii="Arial" w:eastAsia="Times New Roman" w:hAnsi="Arial" w:cs="Arial"/>
          <w:kern w:val="0"/>
          <w:lang w:eastAsia="en-GB"/>
          <w14:ligatures w14:val="none"/>
        </w:rPr>
        <w:t xml:space="preserve">Age UK, 2023a; Grey </w:t>
      </w:r>
      <w:r w:rsidRPr="00BC504E">
        <w:rPr>
          <w:rFonts w:ascii="Arial" w:eastAsia="Times New Roman" w:hAnsi="Arial" w:cs="Arial"/>
          <w:i/>
          <w:iCs/>
          <w:kern w:val="0"/>
          <w:lang w:eastAsia="en-GB"/>
          <w14:ligatures w14:val="none"/>
        </w:rPr>
        <w:t xml:space="preserve">et al., </w:t>
      </w:r>
      <w:r w:rsidRPr="00BC504E">
        <w:rPr>
          <w:rFonts w:ascii="Arial" w:eastAsia="Times New Roman" w:hAnsi="Arial" w:cs="Arial"/>
          <w:kern w:val="0"/>
          <w:lang w:eastAsia="en-GB"/>
          <w14:ligatures w14:val="none"/>
        </w:rPr>
        <w:t>2024</w:t>
      </w:r>
      <w:r w:rsidR="00ED76C8" w:rsidRPr="00BC504E">
        <w:rPr>
          <w:rFonts w:ascii="Arial" w:eastAsia="Times New Roman" w:hAnsi="Arial" w:cs="Arial"/>
          <w:kern w:val="0"/>
          <w:lang w:eastAsia="en-GB"/>
          <w14:ligatures w14:val="none"/>
        </w:rPr>
        <w:t>; WHO, 2025</w:t>
      </w:r>
      <w:r w:rsidRPr="00BC504E">
        <w:rPr>
          <w:rFonts w:ascii="Arial" w:hAnsi="Arial" w:cs="Arial"/>
        </w:rPr>
        <w:t xml:space="preserve">). </w:t>
      </w:r>
      <w:r w:rsidR="00BC504E" w:rsidRPr="00BC504E">
        <w:rPr>
          <w:rFonts w:ascii="Arial" w:hAnsi="Arial" w:cs="Arial"/>
        </w:rPr>
        <w:t>With the ageing population and the possibility of future public health crises, exploring the long-term psychological effects of isolation is crucial</w:t>
      </w:r>
      <w:r w:rsidR="00E2718E">
        <w:rPr>
          <w:rFonts w:ascii="Arial" w:hAnsi="Arial" w:cs="Arial"/>
        </w:rPr>
        <w:t xml:space="preserve"> </w:t>
      </w:r>
      <w:r w:rsidRPr="001D0468">
        <w:rPr>
          <w:rFonts w:ascii="Arial" w:eastAsia="Times New Roman" w:hAnsi="Arial" w:cs="Arial"/>
          <w:kern w:val="0"/>
          <w:lang w:eastAsia="en-GB"/>
          <w14:ligatures w14:val="none"/>
        </w:rPr>
        <w:t>(Khan, Addo and Findlay, 2024)</w:t>
      </w:r>
      <w:r w:rsidRPr="00C46485">
        <w:rPr>
          <w:rFonts w:ascii="Arial" w:hAnsi="Arial" w:cs="Arial"/>
        </w:rPr>
        <w:t>.</w:t>
      </w:r>
    </w:p>
    <w:p w14:paraId="239DC992" w14:textId="77777777" w:rsidR="00C72E0E" w:rsidRPr="006221A1" w:rsidRDefault="00C72E0E" w:rsidP="00C72E0E">
      <w:pPr>
        <w:rPr>
          <w:rFonts w:ascii="Times New Roman" w:eastAsia="Times New Roman" w:hAnsi="Times New Roman" w:cs="Times New Roman"/>
          <w:kern w:val="0"/>
          <w:sz w:val="24"/>
          <w:szCs w:val="24"/>
          <w:lang w:eastAsia="en-GB"/>
          <w14:ligatures w14:val="none"/>
        </w:rPr>
      </w:pPr>
      <w:r w:rsidRPr="00C46485">
        <w:rPr>
          <w:rFonts w:ascii="Arial" w:hAnsi="Arial" w:cs="Arial"/>
        </w:rPr>
        <w:t xml:space="preserve">This dissertation aims to assess the impact of social isolation during COVID-19 lockdowns on depression and loneliness among elderly residents in UK care homes. It will </w:t>
      </w:r>
      <w:r w:rsidRPr="00C46485">
        <w:rPr>
          <w:rStyle w:val="issue-underline"/>
          <w:rFonts w:ascii="Arial" w:hAnsi="Arial" w:cs="Arial"/>
        </w:rPr>
        <w:t>analyse the psychological</w:t>
      </w:r>
      <w:r w:rsidRPr="00C46485">
        <w:rPr>
          <w:rFonts w:ascii="Arial" w:hAnsi="Arial" w:cs="Arial"/>
        </w:rPr>
        <w:t xml:space="preserve"> effects, identify key contributing factors, and evaluate potential interventions. Specific areas of focus will include reduced social engagement, disruptions to daily routines, and limited emotional </w:t>
      </w:r>
      <w:r w:rsidRPr="00C46485">
        <w:rPr>
          <w:rStyle w:val="issue-underline"/>
          <w:rFonts w:ascii="Arial" w:hAnsi="Arial" w:cs="Arial"/>
        </w:rPr>
        <w:t>support, all of which</w:t>
      </w:r>
      <w:r w:rsidRPr="00C46485">
        <w:rPr>
          <w:rFonts w:ascii="Arial" w:hAnsi="Arial" w:cs="Arial"/>
        </w:rPr>
        <w:t xml:space="preserve"> may worsen mental health outcomes</w:t>
      </w:r>
      <w:r>
        <w:rPr>
          <w:rFonts w:ascii="Arial" w:hAnsi="Arial" w:cs="Arial"/>
        </w:rPr>
        <w:t xml:space="preserve"> </w:t>
      </w:r>
      <w:r w:rsidRPr="006221A1">
        <w:rPr>
          <w:rFonts w:ascii="Arial" w:eastAsia="Times New Roman" w:hAnsi="Arial" w:cs="Arial"/>
          <w:kern w:val="0"/>
          <w:lang w:eastAsia="en-GB"/>
          <w14:ligatures w14:val="none"/>
        </w:rPr>
        <w:t xml:space="preserve">(Tambling </w:t>
      </w:r>
      <w:r w:rsidRPr="006221A1">
        <w:rPr>
          <w:rFonts w:ascii="Arial" w:eastAsia="Times New Roman" w:hAnsi="Arial" w:cs="Arial"/>
          <w:i/>
          <w:iCs/>
          <w:kern w:val="0"/>
          <w:lang w:eastAsia="en-GB"/>
          <w14:ligatures w14:val="none"/>
        </w:rPr>
        <w:t>et al.</w:t>
      </w:r>
      <w:r w:rsidRPr="006221A1">
        <w:rPr>
          <w:rFonts w:ascii="Arial" w:eastAsia="Times New Roman" w:hAnsi="Arial" w:cs="Arial"/>
          <w:kern w:val="0"/>
          <w:lang w:eastAsia="en-GB"/>
          <w14:ligatures w14:val="none"/>
        </w:rPr>
        <w:t>, 2022)</w:t>
      </w:r>
      <w:r w:rsidRPr="00C46485">
        <w:rPr>
          <w:rFonts w:ascii="Arial" w:hAnsi="Arial" w:cs="Arial"/>
        </w:rPr>
        <w:t>. Furthermore, the study will examine the effectiveness of digital solutions, therapeutic programmes, and policy changes.</w:t>
      </w:r>
    </w:p>
    <w:p w14:paraId="774AAE44" w14:textId="681C1122" w:rsidR="00C72E0E" w:rsidRPr="00C46485" w:rsidRDefault="00C72E0E" w:rsidP="00C72E0E">
      <w:pPr>
        <w:pStyle w:val="pb-2"/>
        <w:spacing w:line="360" w:lineRule="auto"/>
        <w:jc w:val="both"/>
        <w:rPr>
          <w:rFonts w:ascii="Arial" w:hAnsi="Arial" w:cs="Arial"/>
          <w:sz w:val="22"/>
          <w:szCs w:val="22"/>
        </w:rPr>
      </w:pPr>
      <w:r w:rsidRPr="00C46485">
        <w:rPr>
          <w:rFonts w:ascii="Arial" w:hAnsi="Arial" w:cs="Arial"/>
          <w:sz w:val="22"/>
          <w:szCs w:val="22"/>
        </w:rPr>
        <w:t>By conducting a thematic literature review, this research seeks to provide evidence-based insights that can inform future health and social care policies. The ultimate goal is to ensure that protective measures during crises do not compromise the emotional wellbeing of elderly residents in care homes.</w:t>
      </w:r>
    </w:p>
    <w:p w14:paraId="070C6ACE" w14:textId="77777777" w:rsidR="00C72E0E" w:rsidRPr="003D0CEA" w:rsidRDefault="00C72E0E" w:rsidP="00C72E0E">
      <w:pPr>
        <w:pStyle w:val="paragraph"/>
        <w:spacing w:before="0" w:beforeAutospacing="0" w:after="0" w:afterAutospacing="0" w:line="360" w:lineRule="auto"/>
        <w:ind w:left="1080"/>
        <w:textAlignment w:val="baseline"/>
        <w:rPr>
          <w:rFonts w:ascii="Arial" w:hAnsi="Arial" w:cs="Arial"/>
          <w:sz w:val="16"/>
          <w:szCs w:val="16"/>
        </w:rPr>
      </w:pPr>
      <w:r w:rsidRPr="003D0CEA">
        <w:rPr>
          <w:rStyle w:val="eop"/>
          <w:rFonts w:ascii="Arial" w:hAnsi="Arial" w:cs="Arial"/>
          <w:sz w:val="22"/>
          <w:szCs w:val="22"/>
        </w:rPr>
        <w:t> </w:t>
      </w:r>
    </w:p>
    <w:p w14:paraId="026A1D4F" w14:textId="77777777" w:rsidR="00C72E0E" w:rsidRPr="003D0CEA" w:rsidRDefault="00C72E0E" w:rsidP="00C72E0E">
      <w:pPr>
        <w:pStyle w:val="paragraph"/>
        <w:spacing w:before="0" w:beforeAutospacing="0" w:after="0" w:afterAutospacing="0" w:line="360" w:lineRule="auto"/>
        <w:textAlignment w:val="baseline"/>
        <w:rPr>
          <w:rFonts w:ascii="Arial" w:hAnsi="Arial" w:cs="Arial"/>
          <w:color w:val="0F4761"/>
          <w:sz w:val="16"/>
          <w:szCs w:val="16"/>
        </w:rPr>
      </w:pPr>
      <w:r w:rsidRPr="003D0CEA">
        <w:rPr>
          <w:rStyle w:val="normaltextrun"/>
          <w:rFonts w:ascii="Arial" w:hAnsi="Arial" w:cs="Arial"/>
          <w:color w:val="0F4761"/>
        </w:rPr>
        <w:t>1.2 Definitions and Terminology</w:t>
      </w:r>
      <w:r w:rsidRPr="003D0CEA">
        <w:rPr>
          <w:rStyle w:val="eop"/>
          <w:rFonts w:ascii="Arial" w:hAnsi="Arial" w:cs="Arial"/>
          <w:color w:val="0F4761"/>
        </w:rPr>
        <w:t> </w:t>
      </w:r>
    </w:p>
    <w:p w14:paraId="3BF30337" w14:textId="24608C05" w:rsidR="00C72E0E" w:rsidRPr="00C123AE" w:rsidRDefault="00C72E0E" w:rsidP="00C72E0E">
      <w:pPr>
        <w:pStyle w:val="pb-2"/>
        <w:spacing w:line="360" w:lineRule="auto"/>
        <w:jc w:val="both"/>
        <w:rPr>
          <w:rFonts w:ascii="Arial" w:hAnsi="Arial" w:cs="Arial"/>
          <w:sz w:val="22"/>
          <w:szCs w:val="22"/>
        </w:rPr>
      </w:pPr>
      <w:r w:rsidRPr="00C123AE">
        <w:rPr>
          <w:rStyle w:val="Strong"/>
          <w:rFonts w:ascii="Arial" w:eastAsia="Calibri Light" w:hAnsi="Arial" w:cs="Arial"/>
          <w:sz w:val="22"/>
          <w:szCs w:val="22"/>
        </w:rPr>
        <w:t>Keywords: Social Isolation, Loneliness, Depression, Covid-19 Lockdowns</w:t>
      </w:r>
      <w:r w:rsidR="00E70866">
        <w:rPr>
          <w:rStyle w:val="Strong"/>
          <w:rFonts w:ascii="Arial" w:eastAsia="Calibri Light" w:hAnsi="Arial" w:cs="Arial"/>
          <w:sz w:val="22"/>
          <w:szCs w:val="22"/>
        </w:rPr>
        <w:t>,</w:t>
      </w:r>
      <w:r w:rsidRPr="00C123AE">
        <w:rPr>
          <w:rStyle w:val="Strong"/>
          <w:rFonts w:ascii="Arial" w:eastAsia="Calibri Light" w:hAnsi="Arial" w:cs="Arial"/>
          <w:sz w:val="22"/>
          <w:szCs w:val="22"/>
        </w:rPr>
        <w:t xml:space="preserve"> </w:t>
      </w:r>
      <w:r>
        <w:rPr>
          <w:rStyle w:val="Strong"/>
          <w:rFonts w:ascii="Arial" w:eastAsia="Calibri Light" w:hAnsi="Arial" w:cs="Arial"/>
          <w:sz w:val="22"/>
          <w:szCs w:val="22"/>
        </w:rPr>
        <w:t>Care Homes</w:t>
      </w:r>
      <w:r w:rsidR="00010702">
        <w:rPr>
          <w:rStyle w:val="Strong"/>
          <w:rFonts w:ascii="Arial" w:eastAsia="Calibri Light" w:hAnsi="Arial" w:cs="Arial"/>
          <w:sz w:val="22"/>
          <w:szCs w:val="22"/>
        </w:rPr>
        <w:t xml:space="preserve"> </w:t>
      </w:r>
      <w:r w:rsidRPr="00C123AE">
        <w:rPr>
          <w:rStyle w:val="Strong"/>
          <w:rFonts w:ascii="Arial" w:eastAsia="Calibri Light" w:hAnsi="Arial" w:cs="Arial"/>
          <w:sz w:val="22"/>
          <w:szCs w:val="22"/>
        </w:rPr>
        <w:t>and Elderly Residents.</w:t>
      </w:r>
    </w:p>
    <w:p w14:paraId="74CF3291" w14:textId="77777777" w:rsidR="00C72E0E" w:rsidRPr="00E02828" w:rsidRDefault="00C72E0E" w:rsidP="00C72E0E">
      <w:pPr>
        <w:rPr>
          <w:rFonts w:ascii="Times New Roman" w:eastAsia="Times New Roman" w:hAnsi="Times New Roman" w:cs="Times New Roman"/>
          <w:kern w:val="0"/>
          <w:sz w:val="24"/>
          <w:szCs w:val="24"/>
          <w:lang w:eastAsia="en-GB"/>
          <w14:ligatures w14:val="none"/>
        </w:rPr>
      </w:pPr>
      <w:r w:rsidRPr="00C123AE">
        <w:rPr>
          <w:rStyle w:val="Strong"/>
          <w:rFonts w:ascii="Arial" w:hAnsi="Arial" w:cs="Arial"/>
        </w:rPr>
        <w:t xml:space="preserve">Social </w:t>
      </w:r>
      <w:r>
        <w:rPr>
          <w:rStyle w:val="Strong"/>
          <w:rFonts w:ascii="Arial" w:hAnsi="Arial" w:cs="Arial"/>
        </w:rPr>
        <w:t>i</w:t>
      </w:r>
      <w:r w:rsidRPr="00C123AE">
        <w:rPr>
          <w:rStyle w:val="Strong"/>
          <w:rFonts w:ascii="Arial" w:hAnsi="Arial" w:cs="Arial"/>
        </w:rPr>
        <w:t>solation</w:t>
      </w:r>
      <w:r w:rsidRPr="00C123AE">
        <w:rPr>
          <w:rFonts w:ascii="Arial" w:hAnsi="Arial" w:cs="Arial"/>
        </w:rPr>
        <w:t xml:space="preserve"> occurs as a result of having few social connections or interactions, which results in a lack of emotional and practical support</w:t>
      </w:r>
      <w:r>
        <w:rPr>
          <w:rFonts w:ascii="Arial" w:hAnsi="Arial" w:cs="Arial"/>
        </w:rPr>
        <w:t xml:space="preserve"> </w:t>
      </w:r>
      <w:r w:rsidRPr="0026155E">
        <w:rPr>
          <w:rFonts w:ascii="Arial" w:eastAsia="Times New Roman" w:hAnsi="Arial" w:cs="Arial"/>
          <w:kern w:val="0"/>
          <w:lang w:eastAsia="en-GB"/>
          <w14:ligatures w14:val="none"/>
        </w:rPr>
        <w:t>(Centers for Disease Control and Prevention, 2024)</w:t>
      </w:r>
      <w:r w:rsidRPr="00C123AE">
        <w:rPr>
          <w:rFonts w:ascii="Arial" w:hAnsi="Arial" w:cs="Arial"/>
        </w:rPr>
        <w:t>. A significant increase in isolation among elderly residents occurred during COVID-19 lockdowns due to strict restrictions on visits and communal activities</w:t>
      </w:r>
      <w:r>
        <w:rPr>
          <w:rFonts w:ascii="Arial" w:hAnsi="Arial" w:cs="Arial"/>
        </w:rPr>
        <w:t xml:space="preserve"> </w:t>
      </w:r>
      <w:r w:rsidRPr="00991381">
        <w:rPr>
          <w:rFonts w:ascii="Arial" w:eastAsia="Times New Roman" w:hAnsi="Arial" w:cs="Arial"/>
          <w:kern w:val="0"/>
          <w:lang w:eastAsia="en-GB"/>
          <w14:ligatures w14:val="none"/>
        </w:rPr>
        <w:t>(</w:t>
      </w:r>
      <w:r w:rsidRPr="007D03E4">
        <w:rPr>
          <w:rFonts w:ascii="Arial" w:eastAsia="Times New Roman" w:hAnsi="Arial" w:cs="Arial"/>
          <w:kern w:val="0"/>
          <w:lang w:eastAsia="en-GB"/>
          <w14:ligatures w14:val="none"/>
        </w:rPr>
        <w:t>Sharma and Sharma, 2024</w:t>
      </w:r>
      <w:r>
        <w:rPr>
          <w:rFonts w:ascii="Arial" w:eastAsia="Times New Roman" w:hAnsi="Arial" w:cs="Arial"/>
          <w:kern w:val="0"/>
          <w:lang w:eastAsia="en-GB"/>
          <w14:ligatures w14:val="none"/>
        </w:rPr>
        <w:t xml:space="preserve">; </w:t>
      </w:r>
      <w:r w:rsidRPr="00991381">
        <w:rPr>
          <w:rFonts w:ascii="Arial" w:eastAsia="Times New Roman" w:hAnsi="Arial" w:cs="Arial"/>
          <w:kern w:val="0"/>
          <w:lang w:eastAsia="en-GB"/>
          <w14:ligatures w14:val="none"/>
        </w:rPr>
        <w:t xml:space="preserve">Vickery </w:t>
      </w:r>
      <w:r w:rsidRPr="00991381">
        <w:rPr>
          <w:rFonts w:ascii="Arial" w:eastAsia="Times New Roman" w:hAnsi="Arial" w:cs="Arial"/>
          <w:i/>
          <w:iCs/>
          <w:kern w:val="0"/>
          <w:lang w:eastAsia="en-GB"/>
          <w14:ligatures w14:val="none"/>
        </w:rPr>
        <w:t>et al.</w:t>
      </w:r>
      <w:r w:rsidRPr="00991381">
        <w:rPr>
          <w:rFonts w:ascii="Arial" w:eastAsia="Times New Roman" w:hAnsi="Arial" w:cs="Arial"/>
          <w:kern w:val="0"/>
          <w:lang w:eastAsia="en-GB"/>
          <w14:ligatures w14:val="none"/>
        </w:rPr>
        <w:t>, 2023)</w:t>
      </w:r>
      <w:r w:rsidRPr="00C123AE">
        <w:rPr>
          <w:rFonts w:ascii="Arial" w:hAnsi="Arial" w:cs="Arial"/>
        </w:rPr>
        <w:t>.</w:t>
      </w:r>
    </w:p>
    <w:p w14:paraId="4BD3D07F" w14:textId="77777777" w:rsidR="00C72E0E" w:rsidRPr="00240150" w:rsidRDefault="00C72E0E" w:rsidP="00C72E0E">
      <w:pPr>
        <w:rPr>
          <w:rFonts w:ascii="Times New Roman" w:eastAsia="Times New Roman" w:hAnsi="Times New Roman" w:cs="Times New Roman"/>
          <w:kern w:val="0"/>
          <w:sz w:val="24"/>
          <w:szCs w:val="24"/>
          <w:lang w:eastAsia="en-GB"/>
          <w14:ligatures w14:val="none"/>
        </w:rPr>
      </w:pPr>
      <w:r w:rsidRPr="00C123AE">
        <w:rPr>
          <w:rStyle w:val="Strong"/>
          <w:rFonts w:ascii="Arial" w:hAnsi="Arial" w:cs="Arial"/>
        </w:rPr>
        <w:lastRenderedPageBreak/>
        <w:t>Loneliness</w:t>
      </w:r>
      <w:r w:rsidRPr="00C123AE">
        <w:rPr>
          <w:rFonts w:ascii="Arial" w:hAnsi="Arial" w:cs="Arial"/>
        </w:rPr>
        <w:t xml:space="preserve"> can be defined as the feeling of being alone or disconnected, even when social interactions are available</w:t>
      </w:r>
      <w:r>
        <w:rPr>
          <w:rFonts w:ascii="Arial" w:hAnsi="Arial" w:cs="Arial"/>
        </w:rPr>
        <w:t xml:space="preserve"> </w:t>
      </w:r>
      <w:r w:rsidRPr="00D1658B">
        <w:rPr>
          <w:rFonts w:ascii="Arial" w:eastAsia="Times New Roman" w:hAnsi="Arial" w:cs="Arial"/>
          <w:kern w:val="0"/>
          <w:lang w:eastAsia="en-GB"/>
          <w14:ligatures w14:val="none"/>
        </w:rPr>
        <w:t>(</w:t>
      </w:r>
      <w:r w:rsidRPr="00E21BAA">
        <w:rPr>
          <w:rFonts w:ascii="Arial" w:eastAsia="Times New Roman" w:hAnsi="Arial" w:cs="Arial"/>
          <w:kern w:val="0"/>
          <w:lang w:eastAsia="en-GB"/>
          <w14:ligatures w14:val="none"/>
        </w:rPr>
        <w:t>Svendsen and Pierce, 2017</w:t>
      </w:r>
      <w:r>
        <w:rPr>
          <w:rFonts w:ascii="Arial" w:eastAsia="Times New Roman" w:hAnsi="Arial" w:cs="Arial"/>
          <w:kern w:val="0"/>
          <w:lang w:eastAsia="en-GB"/>
          <w14:ligatures w14:val="none"/>
        </w:rPr>
        <w:t xml:space="preserve">; </w:t>
      </w:r>
      <w:r w:rsidRPr="00D1658B">
        <w:rPr>
          <w:rFonts w:ascii="Arial" w:eastAsia="Times New Roman" w:hAnsi="Arial" w:cs="Arial"/>
          <w:kern w:val="0"/>
          <w:lang w:eastAsia="en-GB"/>
          <w14:ligatures w14:val="none"/>
        </w:rPr>
        <w:t xml:space="preserve">Campaign to End </w:t>
      </w:r>
      <w:r>
        <w:rPr>
          <w:rFonts w:ascii="Arial" w:eastAsia="Times New Roman" w:hAnsi="Arial" w:cs="Arial"/>
          <w:kern w:val="0"/>
          <w:lang w:eastAsia="en-GB"/>
          <w14:ligatures w14:val="none"/>
        </w:rPr>
        <w:t>Loneliness</w:t>
      </w:r>
      <w:r w:rsidRPr="00D1658B">
        <w:rPr>
          <w:rFonts w:ascii="Arial" w:eastAsia="Times New Roman" w:hAnsi="Arial" w:cs="Arial"/>
          <w:kern w:val="0"/>
          <w:lang w:eastAsia="en-GB"/>
          <w14:ligatures w14:val="none"/>
        </w:rPr>
        <w:t>, 2023)</w:t>
      </w:r>
      <w:r w:rsidRPr="00C123AE">
        <w:rPr>
          <w:rFonts w:ascii="Arial" w:hAnsi="Arial" w:cs="Arial"/>
        </w:rPr>
        <w:t>. Despite their similarities, loneliness and social isolation do not always coexist; some people may feel lonely even when social contact is present, while others may feel isolated even when they are not lonely</w:t>
      </w:r>
      <w:r>
        <w:rPr>
          <w:rFonts w:ascii="Arial" w:hAnsi="Arial" w:cs="Arial"/>
        </w:rPr>
        <w:t xml:space="preserve"> </w:t>
      </w:r>
      <w:r w:rsidRPr="00036490">
        <w:rPr>
          <w:rFonts w:ascii="Arial" w:eastAsia="Times New Roman" w:hAnsi="Arial" w:cs="Arial"/>
          <w:kern w:val="0"/>
          <w:lang w:eastAsia="en-GB"/>
          <w14:ligatures w14:val="none"/>
        </w:rPr>
        <w:t>(GOV.UK, 2022)</w:t>
      </w:r>
      <w:r w:rsidRPr="00C123AE">
        <w:rPr>
          <w:rFonts w:ascii="Arial" w:hAnsi="Arial" w:cs="Arial"/>
        </w:rPr>
        <w:t>.</w:t>
      </w:r>
    </w:p>
    <w:p w14:paraId="17F280AA" w14:textId="1CBEEED0" w:rsidR="00C72E0E" w:rsidRPr="00E86399" w:rsidRDefault="00C72E0E" w:rsidP="00C72E0E">
      <w:pPr>
        <w:jc w:val="left"/>
        <w:rPr>
          <w:rFonts w:ascii="Arial" w:eastAsia="Times New Roman" w:hAnsi="Arial" w:cs="Arial"/>
          <w:kern w:val="0"/>
          <w:lang w:eastAsia="en-GB"/>
          <w14:ligatures w14:val="none"/>
        </w:rPr>
      </w:pPr>
      <w:r w:rsidRPr="00C123AE">
        <w:rPr>
          <w:rStyle w:val="Strong"/>
          <w:rFonts w:ascii="Arial" w:hAnsi="Arial" w:cs="Arial"/>
        </w:rPr>
        <w:t>Depression</w:t>
      </w:r>
      <w:r w:rsidRPr="00C123AE">
        <w:rPr>
          <w:rFonts w:ascii="Arial" w:hAnsi="Arial" w:cs="Arial"/>
        </w:rPr>
        <w:t xml:space="preserve"> is a mental health condition marked by persistent sadness, lack of motivation, and reduced interest in daily activities</w:t>
      </w:r>
      <w:r>
        <w:rPr>
          <w:rFonts w:ascii="Arial" w:hAnsi="Arial" w:cs="Arial"/>
        </w:rPr>
        <w:t xml:space="preserve"> </w:t>
      </w:r>
      <w:r w:rsidRPr="003050E6">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NHS, 2023; </w:t>
      </w:r>
      <w:r w:rsidRPr="003050E6">
        <w:rPr>
          <w:rFonts w:ascii="Arial" w:eastAsia="Times New Roman" w:hAnsi="Arial" w:cs="Arial"/>
          <w:kern w:val="0"/>
          <w:lang w:eastAsia="en-GB"/>
          <w14:ligatures w14:val="none"/>
        </w:rPr>
        <w:t>W</w:t>
      </w:r>
      <w:r>
        <w:rPr>
          <w:rFonts w:ascii="Arial" w:eastAsia="Times New Roman" w:hAnsi="Arial" w:cs="Arial"/>
          <w:kern w:val="0"/>
          <w:lang w:eastAsia="en-GB"/>
          <w14:ligatures w14:val="none"/>
        </w:rPr>
        <w:t>HO</w:t>
      </w:r>
      <w:r w:rsidRPr="003050E6">
        <w:rPr>
          <w:rFonts w:ascii="Arial" w:eastAsia="Times New Roman" w:hAnsi="Arial" w:cs="Arial"/>
          <w:kern w:val="0"/>
          <w:lang w:eastAsia="en-GB"/>
          <w14:ligatures w14:val="none"/>
        </w:rPr>
        <w:t>, 2024</w:t>
      </w:r>
      <w:r>
        <w:rPr>
          <w:rFonts w:ascii="Arial" w:eastAsia="Times New Roman" w:hAnsi="Arial" w:cs="Arial"/>
          <w:kern w:val="0"/>
          <w:lang w:eastAsia="en-GB"/>
          <w14:ligatures w14:val="none"/>
        </w:rPr>
        <w:t>b</w:t>
      </w:r>
      <w:r w:rsidRPr="003050E6">
        <w:rPr>
          <w:rFonts w:ascii="Arial" w:eastAsia="Times New Roman" w:hAnsi="Arial" w:cs="Arial"/>
          <w:kern w:val="0"/>
          <w:lang w:eastAsia="en-GB"/>
          <w14:ligatures w14:val="none"/>
        </w:rPr>
        <w:t>)</w:t>
      </w:r>
      <w:r w:rsidRPr="00C123AE">
        <w:rPr>
          <w:rFonts w:ascii="Arial" w:hAnsi="Arial" w:cs="Arial"/>
        </w:rPr>
        <w:t xml:space="preserve">. The issue is relevant in this research, as studies indicate that prolonged social isolation </w:t>
      </w:r>
      <w:r w:rsidRPr="00E86399">
        <w:rPr>
          <w:rFonts w:ascii="Arial" w:hAnsi="Arial" w:cs="Arial"/>
        </w:rPr>
        <w:t xml:space="preserve">and loneliness can contribute to depression symptoms, especially among the elderly </w:t>
      </w:r>
      <w:r w:rsidRPr="00E86399">
        <w:rPr>
          <w:rFonts w:ascii="Arial" w:eastAsia="Times New Roman" w:hAnsi="Arial" w:cs="Arial"/>
          <w:kern w:val="0"/>
          <w:lang w:eastAsia="en-GB"/>
          <w14:ligatures w14:val="none"/>
        </w:rPr>
        <w:t xml:space="preserve">(NIHR, 2021; Lee </w:t>
      </w:r>
      <w:r w:rsidRPr="00E86399">
        <w:rPr>
          <w:rFonts w:ascii="Arial" w:eastAsia="Times New Roman" w:hAnsi="Arial" w:cs="Arial"/>
          <w:i/>
          <w:iCs/>
          <w:kern w:val="0"/>
          <w:lang w:eastAsia="en-GB"/>
          <w14:ligatures w14:val="none"/>
        </w:rPr>
        <w:t>et al.</w:t>
      </w:r>
      <w:r w:rsidRPr="00E86399">
        <w:rPr>
          <w:rFonts w:ascii="Arial" w:eastAsia="Times New Roman" w:hAnsi="Arial" w:cs="Arial"/>
          <w:kern w:val="0"/>
          <w:lang w:eastAsia="en-GB"/>
          <w14:ligatures w14:val="none"/>
        </w:rPr>
        <w:t>, 2021)</w:t>
      </w:r>
      <w:r w:rsidRPr="00E86399">
        <w:rPr>
          <w:rFonts w:ascii="Arial" w:hAnsi="Arial" w:cs="Arial"/>
        </w:rPr>
        <w:t>.</w:t>
      </w:r>
    </w:p>
    <w:p w14:paraId="4D3EBC25" w14:textId="77777777" w:rsidR="00C72E0E" w:rsidRPr="004313B4" w:rsidRDefault="00C72E0E" w:rsidP="00C72E0E">
      <w:pPr>
        <w:rPr>
          <w:rFonts w:ascii="Arial" w:eastAsia="Times New Roman" w:hAnsi="Arial" w:cs="Arial"/>
          <w:kern w:val="0"/>
          <w:lang w:eastAsia="en-GB"/>
          <w14:ligatures w14:val="none"/>
        </w:rPr>
      </w:pPr>
      <w:r w:rsidRPr="00E86399">
        <w:rPr>
          <w:rStyle w:val="Strong"/>
          <w:rFonts w:ascii="Arial" w:hAnsi="Arial" w:cs="Arial"/>
        </w:rPr>
        <w:t>COVID-19 Lockdowns</w:t>
      </w:r>
      <w:r w:rsidRPr="00E86399">
        <w:rPr>
          <w:rFonts w:ascii="Arial" w:hAnsi="Arial" w:cs="Arial"/>
        </w:rPr>
        <w:t xml:space="preserve"> refer to the government-imposed restrictions intended to halt the </w:t>
      </w:r>
      <w:r w:rsidRPr="004313B4">
        <w:rPr>
          <w:rFonts w:ascii="Arial" w:hAnsi="Arial" w:cs="Arial"/>
        </w:rPr>
        <w:t xml:space="preserve">spread of the virus, which unintentionally led to an increase in isolation, especially among care home residents </w:t>
      </w:r>
      <w:r w:rsidRPr="004313B4">
        <w:rPr>
          <w:rFonts w:ascii="Arial" w:eastAsia="Times New Roman" w:hAnsi="Arial" w:cs="Arial"/>
          <w:kern w:val="0"/>
          <w:lang w:eastAsia="en-GB"/>
          <w14:ligatures w14:val="none"/>
        </w:rPr>
        <w:t xml:space="preserve">(Vickery </w:t>
      </w:r>
      <w:r w:rsidRPr="004313B4">
        <w:rPr>
          <w:rFonts w:ascii="Arial" w:eastAsia="Times New Roman" w:hAnsi="Arial" w:cs="Arial"/>
          <w:i/>
          <w:iCs/>
          <w:kern w:val="0"/>
          <w:lang w:eastAsia="en-GB"/>
          <w14:ligatures w14:val="none"/>
        </w:rPr>
        <w:t>et al.</w:t>
      </w:r>
      <w:r w:rsidRPr="004313B4">
        <w:rPr>
          <w:rFonts w:ascii="Arial" w:eastAsia="Times New Roman" w:hAnsi="Arial" w:cs="Arial"/>
          <w:kern w:val="0"/>
          <w:lang w:eastAsia="en-GB"/>
          <w14:ligatures w14:val="none"/>
        </w:rPr>
        <w:t>, 2023; Brown and Kirk-Wade, 2021).</w:t>
      </w:r>
    </w:p>
    <w:p w14:paraId="7AC4AEBB" w14:textId="63DC6BD1" w:rsidR="00C72E0E" w:rsidRPr="004313B4" w:rsidRDefault="00C72E0E" w:rsidP="00C72E0E">
      <w:pPr>
        <w:rPr>
          <w:rFonts w:ascii="Arial" w:eastAsia="Times New Roman" w:hAnsi="Arial" w:cs="Arial"/>
          <w:kern w:val="0"/>
          <w:lang w:eastAsia="en-GB"/>
          <w14:ligatures w14:val="none"/>
        </w:rPr>
      </w:pPr>
      <w:r w:rsidRPr="004313B4">
        <w:rPr>
          <w:rFonts w:ascii="Arial" w:eastAsia="Times New Roman" w:hAnsi="Arial" w:cs="Arial"/>
          <w:b/>
          <w:bCs/>
          <w:kern w:val="0"/>
          <w:lang w:eastAsia="en-GB"/>
          <w14:ligatures w14:val="none"/>
        </w:rPr>
        <w:t xml:space="preserve">Care Homes </w:t>
      </w:r>
      <w:r w:rsidRPr="004313B4">
        <w:rPr>
          <w:rFonts w:ascii="Arial" w:hAnsi="Arial" w:cs="Arial"/>
        </w:rPr>
        <w:t>provides accommodation, personal care, and support for individuals needing help with daily activities like bathing and dressing</w:t>
      </w:r>
      <w:r w:rsidR="005F30F9">
        <w:rPr>
          <w:rFonts w:ascii="Arial" w:hAnsi="Arial" w:cs="Arial"/>
        </w:rPr>
        <w:t>,</w:t>
      </w:r>
      <w:r w:rsidRPr="004313B4">
        <w:rPr>
          <w:rFonts w:ascii="Arial" w:hAnsi="Arial" w:cs="Arial"/>
        </w:rPr>
        <w:t xml:space="preserve"> but does not offer regular medical care. The Care Quality Commission (CQC) regulates care homes </w:t>
      </w:r>
      <w:r w:rsidRPr="004313B4">
        <w:rPr>
          <w:rFonts w:ascii="Arial" w:eastAsia="Times New Roman" w:hAnsi="Arial" w:cs="Arial"/>
          <w:kern w:val="0"/>
          <w:lang w:eastAsia="en-GB"/>
          <w14:ligatures w14:val="none"/>
        </w:rPr>
        <w:t>(Social Care Institute for Excellence, no date)</w:t>
      </w:r>
      <w:r w:rsidRPr="004313B4">
        <w:rPr>
          <w:rFonts w:ascii="Arial" w:hAnsi="Arial" w:cs="Arial"/>
        </w:rPr>
        <w:t>.</w:t>
      </w:r>
    </w:p>
    <w:p w14:paraId="7883D61F" w14:textId="3F53D231" w:rsidR="00C72E0E" w:rsidRPr="00011DA4" w:rsidRDefault="00C72E0E" w:rsidP="00C72E0E">
      <w:pPr>
        <w:rPr>
          <w:rFonts w:ascii="Times New Roman" w:eastAsia="Times New Roman" w:hAnsi="Times New Roman" w:cs="Times New Roman"/>
          <w:kern w:val="0"/>
          <w:sz w:val="24"/>
          <w:szCs w:val="24"/>
          <w:lang w:eastAsia="en-GB"/>
          <w14:ligatures w14:val="none"/>
        </w:rPr>
      </w:pPr>
      <w:r w:rsidRPr="00C123AE">
        <w:rPr>
          <w:rStyle w:val="Strong"/>
          <w:rFonts w:ascii="Arial" w:hAnsi="Arial" w:cs="Arial"/>
        </w:rPr>
        <w:t>Elderly Residents</w:t>
      </w:r>
      <w:r w:rsidRPr="00C123AE">
        <w:rPr>
          <w:rFonts w:ascii="Arial" w:hAnsi="Arial" w:cs="Arial"/>
        </w:rPr>
        <w:t xml:space="preserve"> are individuals aged 65 and over living in residential or nursing care </w:t>
      </w:r>
      <w:r w:rsidRPr="00C123AE">
        <w:rPr>
          <w:rStyle w:val="issue-underline"/>
          <w:rFonts w:ascii="Arial" w:hAnsi="Arial" w:cs="Arial"/>
        </w:rPr>
        <w:t>facilities who</w:t>
      </w:r>
      <w:r w:rsidRPr="00C123AE">
        <w:rPr>
          <w:rFonts w:ascii="Arial" w:hAnsi="Arial" w:cs="Arial"/>
        </w:rPr>
        <w:t xml:space="preserve"> are more vulnerable to both physical and mental health challenges due to their age and underlying health conditions</w:t>
      </w:r>
      <w:r>
        <w:rPr>
          <w:rFonts w:ascii="Arial" w:hAnsi="Arial" w:cs="Arial"/>
        </w:rPr>
        <w:t xml:space="preserve"> </w:t>
      </w:r>
      <w:r w:rsidRPr="00011DA4">
        <w:rPr>
          <w:rFonts w:ascii="Arial" w:eastAsia="Times New Roman" w:hAnsi="Arial" w:cs="Arial"/>
          <w:kern w:val="0"/>
          <w:lang w:eastAsia="en-GB"/>
          <w14:ligatures w14:val="none"/>
        </w:rPr>
        <w:t>(Age UK, 2019</w:t>
      </w:r>
      <w:r w:rsidR="00F86FDA">
        <w:rPr>
          <w:rFonts w:ascii="Arial" w:eastAsia="Times New Roman" w:hAnsi="Arial" w:cs="Arial"/>
          <w:kern w:val="0"/>
          <w:lang w:eastAsia="en-GB"/>
          <w14:ligatures w14:val="none"/>
        </w:rPr>
        <w:t>a</w:t>
      </w:r>
      <w:r w:rsidRPr="00011DA4">
        <w:rPr>
          <w:rFonts w:ascii="Arial" w:eastAsia="Times New Roman" w:hAnsi="Arial" w:cs="Arial"/>
          <w:kern w:val="0"/>
          <w:lang w:eastAsia="en-GB"/>
          <w14:ligatures w14:val="none"/>
        </w:rPr>
        <w:t>)</w:t>
      </w:r>
      <w:r w:rsidRPr="00C123AE">
        <w:rPr>
          <w:rFonts w:ascii="Arial" w:hAnsi="Arial" w:cs="Arial"/>
        </w:rPr>
        <w:t xml:space="preserve">. </w:t>
      </w:r>
    </w:p>
    <w:p w14:paraId="74BA4B1C" w14:textId="079B631E" w:rsidR="00C72E0E" w:rsidRPr="00C123AE" w:rsidRDefault="00C72E0E" w:rsidP="00C72E0E">
      <w:pPr>
        <w:pStyle w:val="pb-2"/>
        <w:spacing w:line="360" w:lineRule="auto"/>
        <w:jc w:val="both"/>
        <w:rPr>
          <w:rFonts w:ascii="Arial" w:hAnsi="Arial" w:cs="Arial"/>
          <w:sz w:val="22"/>
          <w:szCs w:val="22"/>
        </w:rPr>
      </w:pPr>
      <w:r w:rsidRPr="00C123AE">
        <w:rPr>
          <w:rFonts w:ascii="Arial" w:hAnsi="Arial" w:cs="Arial"/>
          <w:sz w:val="22"/>
          <w:szCs w:val="22"/>
        </w:rPr>
        <w:t xml:space="preserve">Common acronyms used in this dissertation include </w:t>
      </w:r>
      <w:r w:rsidRPr="00C123AE">
        <w:rPr>
          <w:rStyle w:val="Strong"/>
          <w:rFonts w:ascii="Arial" w:eastAsia="Calibri Light" w:hAnsi="Arial" w:cs="Arial"/>
          <w:sz w:val="22"/>
          <w:szCs w:val="22"/>
        </w:rPr>
        <w:t>COVID-19</w:t>
      </w:r>
      <w:r w:rsidRPr="00C123AE">
        <w:rPr>
          <w:rFonts w:ascii="Arial" w:hAnsi="Arial" w:cs="Arial"/>
          <w:sz w:val="22"/>
          <w:szCs w:val="22"/>
        </w:rPr>
        <w:t xml:space="preserve"> (Coronavirus Disease 2019), </w:t>
      </w:r>
      <w:r w:rsidRPr="00C123AE">
        <w:rPr>
          <w:rStyle w:val="Strong"/>
          <w:rFonts w:ascii="Arial" w:eastAsia="Calibri Light" w:hAnsi="Arial" w:cs="Arial"/>
          <w:sz w:val="22"/>
          <w:szCs w:val="22"/>
        </w:rPr>
        <w:t>UK</w:t>
      </w:r>
      <w:r w:rsidRPr="00C123AE">
        <w:rPr>
          <w:rFonts w:ascii="Arial" w:hAnsi="Arial" w:cs="Arial"/>
          <w:sz w:val="22"/>
          <w:szCs w:val="22"/>
        </w:rPr>
        <w:t xml:space="preserve"> (United Kingdom), </w:t>
      </w:r>
      <w:r w:rsidRPr="00C123AE">
        <w:rPr>
          <w:rStyle w:val="Strong"/>
          <w:rFonts w:ascii="Arial" w:eastAsia="Calibri Light" w:hAnsi="Arial" w:cs="Arial"/>
          <w:sz w:val="22"/>
          <w:szCs w:val="22"/>
        </w:rPr>
        <w:t>NHS</w:t>
      </w:r>
      <w:r w:rsidRPr="00C123AE">
        <w:rPr>
          <w:rFonts w:ascii="Arial" w:hAnsi="Arial" w:cs="Arial"/>
          <w:sz w:val="22"/>
          <w:szCs w:val="22"/>
        </w:rPr>
        <w:t xml:space="preserve"> (National Health Service),</w:t>
      </w:r>
      <w:r w:rsidRPr="008349FE">
        <w:rPr>
          <w:rFonts w:ascii="Arial" w:hAnsi="Arial" w:cs="Arial"/>
        </w:rPr>
        <w:t xml:space="preserve"> </w:t>
      </w:r>
      <w:r w:rsidRPr="008349FE">
        <w:rPr>
          <w:rFonts w:ascii="Arial" w:hAnsi="Arial" w:cs="Arial"/>
          <w:b/>
          <w:bCs/>
        </w:rPr>
        <w:t>CQC</w:t>
      </w:r>
      <w:r w:rsidRPr="00C123AE">
        <w:rPr>
          <w:rFonts w:ascii="Arial" w:hAnsi="Arial" w:cs="Arial"/>
          <w:sz w:val="22"/>
          <w:szCs w:val="22"/>
        </w:rPr>
        <w:t xml:space="preserve"> </w:t>
      </w:r>
      <w:r>
        <w:rPr>
          <w:rFonts w:ascii="Arial" w:hAnsi="Arial" w:cs="Arial"/>
          <w:sz w:val="22"/>
          <w:szCs w:val="22"/>
        </w:rPr>
        <w:t>(</w:t>
      </w:r>
      <w:r>
        <w:rPr>
          <w:rFonts w:ascii="Arial" w:hAnsi="Arial" w:cs="Arial"/>
        </w:rPr>
        <w:t>Care Quality Commission)</w:t>
      </w:r>
      <w:r w:rsidR="00E70866">
        <w:rPr>
          <w:rFonts w:ascii="Arial" w:hAnsi="Arial" w:cs="Arial"/>
        </w:rPr>
        <w:t>,</w:t>
      </w:r>
      <w:r w:rsidRPr="00C123AE">
        <w:rPr>
          <w:rFonts w:ascii="Arial" w:hAnsi="Arial" w:cs="Arial"/>
          <w:sz w:val="22"/>
          <w:szCs w:val="22"/>
        </w:rPr>
        <w:t xml:space="preserve"> </w:t>
      </w:r>
      <w:r w:rsidRPr="00C123AE">
        <w:rPr>
          <w:rStyle w:val="Strong"/>
          <w:rFonts w:ascii="Arial" w:eastAsia="Calibri Light" w:hAnsi="Arial" w:cs="Arial"/>
          <w:sz w:val="22"/>
          <w:szCs w:val="22"/>
        </w:rPr>
        <w:t>WHO</w:t>
      </w:r>
      <w:r w:rsidRPr="00C123AE">
        <w:rPr>
          <w:rFonts w:ascii="Arial" w:hAnsi="Arial" w:cs="Arial"/>
          <w:sz w:val="22"/>
          <w:szCs w:val="22"/>
        </w:rPr>
        <w:t xml:space="preserve"> (World Health Organisation)</w:t>
      </w:r>
      <w:r>
        <w:rPr>
          <w:rFonts w:ascii="Arial" w:hAnsi="Arial" w:cs="Arial"/>
          <w:sz w:val="22"/>
          <w:szCs w:val="22"/>
        </w:rPr>
        <w:t xml:space="preserve">, </w:t>
      </w:r>
      <w:r>
        <w:rPr>
          <w:rFonts w:ascii="Arial" w:hAnsi="Arial" w:cs="Arial"/>
          <w:b/>
          <w:bCs/>
          <w:sz w:val="22"/>
          <w:szCs w:val="22"/>
        </w:rPr>
        <w:t xml:space="preserve">ONS </w:t>
      </w:r>
      <w:r w:rsidRPr="00AE3727">
        <w:rPr>
          <w:rFonts w:ascii="Arial" w:hAnsi="Arial" w:cs="Arial"/>
          <w:sz w:val="22"/>
          <w:szCs w:val="22"/>
        </w:rPr>
        <w:t>(Office for National Statistics)</w:t>
      </w:r>
      <w:r>
        <w:rPr>
          <w:rFonts w:ascii="Arial" w:hAnsi="Arial" w:cs="Arial"/>
          <w:sz w:val="22"/>
          <w:szCs w:val="22"/>
        </w:rPr>
        <w:t xml:space="preserve"> </w:t>
      </w:r>
      <w:r>
        <w:rPr>
          <w:rFonts w:ascii="Arial" w:hAnsi="Arial" w:cs="Arial"/>
          <w:b/>
          <w:bCs/>
          <w:sz w:val="22"/>
          <w:szCs w:val="22"/>
        </w:rPr>
        <w:t xml:space="preserve">LGA </w:t>
      </w:r>
      <w:r>
        <w:rPr>
          <w:rFonts w:ascii="Arial" w:hAnsi="Arial" w:cs="Arial"/>
          <w:sz w:val="22"/>
          <w:szCs w:val="22"/>
        </w:rPr>
        <w:t>(Local Government Association)</w:t>
      </w:r>
      <w:r w:rsidRPr="00AE3727">
        <w:rPr>
          <w:rFonts w:ascii="Arial" w:hAnsi="Arial" w:cs="Arial"/>
          <w:sz w:val="22"/>
          <w:szCs w:val="22"/>
        </w:rPr>
        <w:t>.</w:t>
      </w:r>
    </w:p>
    <w:p w14:paraId="29E06816" w14:textId="77777777" w:rsidR="00C72E0E" w:rsidRDefault="00C72E0E" w:rsidP="00C72E0E">
      <w:pPr>
        <w:pStyle w:val="paragraph"/>
        <w:spacing w:before="0" w:beforeAutospacing="0" w:after="0" w:afterAutospacing="0" w:line="360" w:lineRule="auto"/>
        <w:ind w:left="1080"/>
        <w:textAlignment w:val="baseline"/>
        <w:rPr>
          <w:rStyle w:val="eop"/>
          <w:rFonts w:ascii="Arial" w:hAnsi="Arial" w:cs="Arial"/>
          <w:sz w:val="22"/>
          <w:szCs w:val="22"/>
        </w:rPr>
      </w:pPr>
      <w:r w:rsidRPr="003D0CEA">
        <w:rPr>
          <w:rStyle w:val="eop"/>
          <w:rFonts w:ascii="Arial" w:hAnsi="Arial" w:cs="Arial"/>
          <w:sz w:val="22"/>
          <w:szCs w:val="22"/>
        </w:rPr>
        <w:t>  </w:t>
      </w:r>
    </w:p>
    <w:p w14:paraId="2105D1A9" w14:textId="77777777" w:rsidR="00C72E0E" w:rsidRDefault="00C72E0E" w:rsidP="00C72E0E">
      <w:pPr>
        <w:spacing w:line="259" w:lineRule="auto"/>
        <w:jc w:val="left"/>
        <w:rPr>
          <w:rStyle w:val="eop"/>
          <w:rFonts w:ascii="Arial" w:eastAsia="Times New Roman" w:hAnsi="Arial" w:cs="Arial"/>
          <w:kern w:val="0"/>
          <w14:ligatures w14:val="none"/>
        </w:rPr>
      </w:pPr>
      <w:r>
        <w:rPr>
          <w:rStyle w:val="eop"/>
          <w:rFonts w:ascii="Arial" w:hAnsi="Arial" w:cs="Arial"/>
        </w:rPr>
        <w:br w:type="page"/>
      </w:r>
    </w:p>
    <w:p w14:paraId="774906AD" w14:textId="77777777" w:rsidR="00C72E0E" w:rsidRPr="003D0CEA" w:rsidRDefault="00C72E0E" w:rsidP="00C72E0E">
      <w:pPr>
        <w:pStyle w:val="paragraph"/>
        <w:spacing w:before="0" w:beforeAutospacing="0" w:after="0" w:afterAutospacing="0" w:line="360" w:lineRule="auto"/>
        <w:textAlignment w:val="baseline"/>
        <w:rPr>
          <w:rFonts w:ascii="Arial" w:hAnsi="Arial" w:cs="Arial"/>
          <w:color w:val="0F4761"/>
          <w:sz w:val="16"/>
          <w:szCs w:val="16"/>
        </w:rPr>
      </w:pPr>
      <w:r w:rsidRPr="003D0CEA">
        <w:rPr>
          <w:rStyle w:val="normaltextrun"/>
          <w:rFonts w:ascii="Arial" w:hAnsi="Arial" w:cs="Arial"/>
          <w:color w:val="0F4761"/>
        </w:rPr>
        <w:lastRenderedPageBreak/>
        <w:t xml:space="preserve">1.3 Rationale for Research </w:t>
      </w:r>
    </w:p>
    <w:p w14:paraId="47920339" w14:textId="77777777" w:rsidR="00C72E0E" w:rsidRPr="00C503AD" w:rsidRDefault="00C72E0E" w:rsidP="00C72E0E">
      <w:pPr>
        <w:pStyle w:val="pb-2"/>
        <w:spacing w:line="360" w:lineRule="auto"/>
        <w:jc w:val="both"/>
        <w:rPr>
          <w:rFonts w:ascii="Arial" w:hAnsi="Arial" w:cs="Arial"/>
        </w:rPr>
      </w:pPr>
      <w:r w:rsidRPr="00C503AD">
        <w:rPr>
          <w:rStyle w:val="Strong"/>
          <w:rFonts w:ascii="Arial" w:eastAsia="Calibri Light" w:hAnsi="Arial" w:cs="Arial"/>
        </w:rPr>
        <w:t>Purpose of the Research</w:t>
      </w:r>
    </w:p>
    <w:p w14:paraId="47927C98" w14:textId="65C4E660" w:rsidR="00C72E0E" w:rsidRPr="00616A49" w:rsidRDefault="00C72E0E" w:rsidP="00C72E0E">
      <w:pPr>
        <w:pStyle w:val="pb-2"/>
        <w:spacing w:line="360" w:lineRule="auto"/>
        <w:jc w:val="both"/>
        <w:rPr>
          <w:rFonts w:ascii="Arial" w:hAnsi="Arial" w:cs="Arial"/>
          <w:sz w:val="22"/>
          <w:szCs w:val="22"/>
        </w:rPr>
      </w:pPr>
      <w:r w:rsidRPr="00616A49">
        <w:rPr>
          <w:rFonts w:ascii="Arial" w:hAnsi="Arial" w:cs="Arial"/>
          <w:sz w:val="22"/>
          <w:szCs w:val="22"/>
        </w:rPr>
        <w:t>The COVID-19 pandemic significantly increased social isolation among elderly residents in care homes, leading to higher levels of loneliness and depression (Care Inspectorate, 2023; Age UK, 2024</w:t>
      </w:r>
      <w:r w:rsidR="000C2FA4">
        <w:rPr>
          <w:rFonts w:ascii="Arial" w:hAnsi="Arial" w:cs="Arial"/>
          <w:sz w:val="22"/>
          <w:szCs w:val="22"/>
        </w:rPr>
        <w:t>a</w:t>
      </w:r>
      <w:r w:rsidRPr="00616A49">
        <w:rPr>
          <w:rFonts w:ascii="Arial" w:hAnsi="Arial" w:cs="Arial"/>
          <w:sz w:val="22"/>
          <w:szCs w:val="22"/>
        </w:rPr>
        <w:t xml:space="preserve">). Before the </w:t>
      </w:r>
      <w:r w:rsidRPr="00616A49">
        <w:rPr>
          <w:rStyle w:val="issue-underline"/>
          <w:rFonts w:ascii="Arial" w:eastAsia="Calibri Light" w:hAnsi="Arial" w:cs="Arial"/>
          <w:sz w:val="22"/>
          <w:szCs w:val="22"/>
        </w:rPr>
        <w:t>pandemic,</w:t>
      </w:r>
      <w:r w:rsidRPr="00616A49">
        <w:rPr>
          <w:rFonts w:ascii="Arial" w:hAnsi="Arial" w:cs="Arial"/>
          <w:sz w:val="22"/>
          <w:szCs w:val="22"/>
        </w:rPr>
        <w:t xml:space="preserve"> approximately 1.4 million individuals </w:t>
      </w:r>
      <w:r w:rsidRPr="00616A49">
        <w:rPr>
          <w:rStyle w:val="issue-underline"/>
          <w:rFonts w:ascii="Arial" w:eastAsia="Calibri Light" w:hAnsi="Arial" w:cs="Arial"/>
          <w:sz w:val="22"/>
          <w:szCs w:val="22"/>
        </w:rPr>
        <w:t>over the age of 50</w:t>
      </w:r>
      <w:r w:rsidRPr="00616A49">
        <w:rPr>
          <w:rFonts w:ascii="Arial" w:hAnsi="Arial" w:cs="Arial"/>
          <w:sz w:val="22"/>
          <w:szCs w:val="22"/>
        </w:rPr>
        <w:t xml:space="preserve"> in England experienced frequent loneliness, a number projected to rise to 2 million by 2026 (Age UK, 2021</w:t>
      </w:r>
      <w:r w:rsidR="00F11B09">
        <w:rPr>
          <w:rFonts w:ascii="Arial" w:hAnsi="Arial" w:cs="Arial"/>
          <w:sz w:val="22"/>
          <w:szCs w:val="22"/>
        </w:rPr>
        <w:t>b</w:t>
      </w:r>
      <w:r w:rsidRPr="00616A49">
        <w:rPr>
          <w:rFonts w:ascii="Arial" w:hAnsi="Arial" w:cs="Arial"/>
          <w:sz w:val="22"/>
          <w:szCs w:val="22"/>
        </w:rPr>
        <w:t xml:space="preserve">). </w:t>
      </w:r>
      <w:r w:rsidRPr="00616A49">
        <w:rPr>
          <w:rStyle w:val="issue-underline"/>
          <w:rFonts w:ascii="Arial" w:eastAsia="Calibri Light" w:hAnsi="Arial" w:cs="Arial"/>
          <w:sz w:val="22"/>
          <w:szCs w:val="22"/>
        </w:rPr>
        <w:t>Research by</w:t>
      </w:r>
      <w:r w:rsidRPr="00616A49">
        <w:rPr>
          <w:rFonts w:ascii="Arial" w:hAnsi="Arial" w:cs="Arial"/>
          <w:sz w:val="22"/>
          <w:szCs w:val="22"/>
        </w:rPr>
        <w:t xml:space="preserve"> the Office for National Statistics (ONS) in 2020 </w:t>
      </w:r>
      <w:r w:rsidRPr="00616A49">
        <w:rPr>
          <w:rStyle w:val="issue-underline"/>
          <w:rFonts w:ascii="Arial" w:eastAsia="Calibri Light" w:hAnsi="Arial" w:cs="Arial"/>
          <w:sz w:val="22"/>
          <w:szCs w:val="22"/>
        </w:rPr>
        <w:t>indicated</w:t>
      </w:r>
      <w:r w:rsidRPr="00616A49">
        <w:rPr>
          <w:rFonts w:ascii="Arial" w:hAnsi="Arial" w:cs="Arial"/>
          <w:sz w:val="22"/>
          <w:szCs w:val="22"/>
        </w:rPr>
        <w:t xml:space="preserve"> that 97% of UK care homes closed their doors to visitors during the pandemic. Consequently, many elderly residents faced severe social isolation, raising concerns about </w:t>
      </w:r>
      <w:r w:rsidRPr="00616A49">
        <w:rPr>
          <w:rStyle w:val="issue-underline"/>
          <w:rFonts w:ascii="Arial" w:eastAsia="Calibri Light" w:hAnsi="Arial" w:cs="Arial"/>
          <w:sz w:val="22"/>
          <w:szCs w:val="22"/>
        </w:rPr>
        <w:t>heightened feelings of loneliness</w:t>
      </w:r>
      <w:r w:rsidRPr="00616A49">
        <w:rPr>
          <w:rFonts w:ascii="Arial" w:hAnsi="Arial" w:cs="Arial"/>
          <w:sz w:val="22"/>
          <w:szCs w:val="22"/>
        </w:rPr>
        <w:t xml:space="preserve"> and depression. Furthermore, lockdowns and strict visiting restrictions deprived many residents of meaningful social interactions, resulting in significant emotional distress (Akinlotan and Jalo, 2024).  </w:t>
      </w:r>
    </w:p>
    <w:p w14:paraId="59C2B9B8" w14:textId="77777777" w:rsidR="00C72E0E" w:rsidRPr="00616A49" w:rsidRDefault="00C72E0E" w:rsidP="00C72E0E">
      <w:pPr>
        <w:pStyle w:val="pb-2"/>
        <w:spacing w:line="360" w:lineRule="auto"/>
        <w:jc w:val="both"/>
        <w:rPr>
          <w:rFonts w:ascii="Arial" w:hAnsi="Arial" w:cs="Arial"/>
          <w:sz w:val="22"/>
          <w:szCs w:val="22"/>
        </w:rPr>
      </w:pPr>
      <w:r w:rsidRPr="00616A49">
        <w:rPr>
          <w:rFonts w:ascii="Arial" w:hAnsi="Arial" w:cs="Arial"/>
          <w:sz w:val="22"/>
          <w:szCs w:val="22"/>
        </w:rPr>
        <w:t xml:space="preserve">Additionally, Gordon </w:t>
      </w:r>
      <w:r w:rsidRPr="00820464">
        <w:rPr>
          <w:rFonts w:ascii="Arial" w:hAnsi="Arial" w:cs="Arial"/>
          <w:i/>
          <w:iCs/>
          <w:sz w:val="22"/>
          <w:szCs w:val="22"/>
        </w:rPr>
        <w:t>et al.</w:t>
      </w:r>
      <w:r w:rsidRPr="00616A49">
        <w:rPr>
          <w:rFonts w:ascii="Arial" w:hAnsi="Arial" w:cs="Arial"/>
          <w:sz w:val="22"/>
          <w:szCs w:val="22"/>
        </w:rPr>
        <w:t xml:space="preserve"> (2020) reported that guidance from the British </w:t>
      </w:r>
      <w:r w:rsidRPr="00616A49">
        <w:rPr>
          <w:rStyle w:val="issue-underline"/>
          <w:rFonts w:ascii="Arial" w:eastAsia="Calibri Light" w:hAnsi="Arial" w:cs="Arial"/>
          <w:sz w:val="22"/>
          <w:szCs w:val="22"/>
        </w:rPr>
        <w:t>Geriatrics</w:t>
      </w:r>
      <w:r w:rsidRPr="00616A49">
        <w:rPr>
          <w:rFonts w:ascii="Arial" w:hAnsi="Arial" w:cs="Arial"/>
          <w:sz w:val="22"/>
          <w:szCs w:val="22"/>
        </w:rPr>
        <w:t xml:space="preserve"> Society during COVID-19 recommended isolating residents in their rooms to minimise virus transmission. While this approach was intended to protect their health, it inadvertently led to decreased autonomy, increased loneliness, and a higher risk of </w:t>
      </w:r>
      <w:r w:rsidRPr="00616A49">
        <w:rPr>
          <w:rStyle w:val="issue-underline"/>
          <w:rFonts w:ascii="Arial" w:eastAsia="Calibri Light" w:hAnsi="Arial" w:cs="Arial"/>
          <w:sz w:val="22"/>
          <w:szCs w:val="22"/>
        </w:rPr>
        <w:t>falls,</w:t>
      </w:r>
      <w:r w:rsidRPr="00616A49">
        <w:rPr>
          <w:rFonts w:ascii="Arial" w:hAnsi="Arial" w:cs="Arial"/>
          <w:sz w:val="22"/>
          <w:szCs w:val="22"/>
        </w:rPr>
        <w:t xml:space="preserve"> particularly among residents with dementia. According to UCL (2025), depression rates in older adults rose from 11.4% before the pandemic to 27.2% during lockdowns and remained elevated at 14.9% post-pandemic. Despite these alarming statistics, research on the long-term psychological impact of social isolation in care homes is limited (Sims </w:t>
      </w:r>
      <w:r w:rsidRPr="00F86FDA">
        <w:rPr>
          <w:rFonts w:ascii="Arial" w:hAnsi="Arial" w:cs="Arial"/>
          <w:i/>
          <w:iCs/>
          <w:sz w:val="22"/>
          <w:szCs w:val="22"/>
        </w:rPr>
        <w:t>et al.,</w:t>
      </w:r>
      <w:r w:rsidRPr="00616A49">
        <w:rPr>
          <w:rFonts w:ascii="Arial" w:hAnsi="Arial" w:cs="Arial"/>
          <w:sz w:val="22"/>
          <w:szCs w:val="22"/>
        </w:rPr>
        <w:t xml:space="preserve"> 2024). This study aims to investigate how social isolation during COVID-19 lockdowns contributed to increased depression and loneliness among elderly residents and to evaluate strategies for enhancing mental health support in these settings.</w:t>
      </w:r>
    </w:p>
    <w:p w14:paraId="1E5BB444" w14:textId="77777777" w:rsidR="00C72E0E" w:rsidRPr="00C503AD" w:rsidRDefault="00C72E0E" w:rsidP="00C72E0E">
      <w:pPr>
        <w:pStyle w:val="pb-2"/>
        <w:spacing w:line="360" w:lineRule="auto"/>
        <w:jc w:val="both"/>
        <w:rPr>
          <w:rFonts w:ascii="Arial" w:hAnsi="Arial" w:cs="Arial"/>
        </w:rPr>
      </w:pPr>
      <w:r w:rsidRPr="00C503AD">
        <w:rPr>
          <w:rStyle w:val="Strong"/>
          <w:rFonts w:ascii="Arial" w:eastAsia="Calibri Light" w:hAnsi="Arial" w:cs="Arial"/>
        </w:rPr>
        <w:t>Identified Problems and Research Gaps</w:t>
      </w:r>
    </w:p>
    <w:p w14:paraId="3F1F682C" w14:textId="77777777" w:rsidR="00C72E0E" w:rsidRPr="00CB41C0" w:rsidRDefault="00C72E0E" w:rsidP="00C72E0E">
      <w:pPr>
        <w:pStyle w:val="pb-2"/>
        <w:spacing w:line="360" w:lineRule="auto"/>
        <w:jc w:val="both"/>
        <w:rPr>
          <w:rFonts w:ascii="Arial" w:hAnsi="Arial" w:cs="Arial"/>
          <w:sz w:val="22"/>
          <w:szCs w:val="22"/>
        </w:rPr>
      </w:pPr>
      <w:r w:rsidRPr="00CB41C0">
        <w:rPr>
          <w:rFonts w:ascii="Arial" w:hAnsi="Arial" w:cs="Arial"/>
          <w:sz w:val="22"/>
          <w:szCs w:val="22"/>
        </w:rPr>
        <w:t>Several critical gaps remain in understanding the full impact of isolation on depression and loneliness in care homes:</w:t>
      </w:r>
    </w:p>
    <w:p w14:paraId="32EC4729" w14:textId="77777777" w:rsidR="00C72E0E" w:rsidRPr="00CB41C0" w:rsidRDefault="00C72E0E" w:rsidP="00C72E0E">
      <w:pPr>
        <w:pStyle w:val="pb-2"/>
        <w:spacing w:line="360" w:lineRule="auto"/>
        <w:jc w:val="both"/>
        <w:rPr>
          <w:rFonts w:ascii="Arial" w:hAnsi="Arial" w:cs="Arial"/>
          <w:sz w:val="22"/>
          <w:szCs w:val="22"/>
        </w:rPr>
      </w:pPr>
      <w:r w:rsidRPr="00CB41C0">
        <w:rPr>
          <w:rFonts w:ascii="Arial" w:hAnsi="Arial" w:cs="Arial"/>
          <w:sz w:val="22"/>
          <w:szCs w:val="22"/>
        </w:rPr>
        <w:t xml:space="preserve">1. Limited Long-Term Studies: Few comprehensive studies exist on </w:t>
      </w:r>
      <w:r w:rsidRPr="00CB41C0">
        <w:rPr>
          <w:rStyle w:val="issue-underline"/>
          <w:rFonts w:ascii="Arial" w:hAnsi="Arial" w:cs="Arial"/>
          <w:sz w:val="22"/>
          <w:szCs w:val="22"/>
        </w:rPr>
        <w:t>the psychological effects of isolation during</w:t>
      </w:r>
      <w:r w:rsidRPr="00CB41C0">
        <w:rPr>
          <w:rFonts w:ascii="Arial" w:hAnsi="Arial" w:cs="Arial"/>
          <w:sz w:val="22"/>
          <w:szCs w:val="22"/>
        </w:rPr>
        <w:t xml:space="preserve"> lockdowns.</w:t>
      </w:r>
    </w:p>
    <w:p w14:paraId="2D72CE4E" w14:textId="77777777" w:rsidR="00C72E0E" w:rsidRPr="00CB41C0" w:rsidRDefault="00C72E0E" w:rsidP="00C72E0E">
      <w:pPr>
        <w:pStyle w:val="pb-2"/>
        <w:spacing w:line="360" w:lineRule="auto"/>
        <w:jc w:val="both"/>
        <w:rPr>
          <w:rFonts w:ascii="Arial" w:hAnsi="Arial" w:cs="Arial"/>
          <w:sz w:val="22"/>
          <w:szCs w:val="22"/>
        </w:rPr>
      </w:pPr>
      <w:r w:rsidRPr="00CB41C0">
        <w:rPr>
          <w:rFonts w:ascii="Arial" w:hAnsi="Arial" w:cs="Arial"/>
          <w:sz w:val="22"/>
          <w:szCs w:val="22"/>
        </w:rPr>
        <w:t>2. Limited Evaluations of Interventions: There is inadequate assessment of interventions aimed at mitigating loneliness and depression.</w:t>
      </w:r>
    </w:p>
    <w:p w14:paraId="28615B15" w14:textId="4331E8E8" w:rsidR="00C72E0E" w:rsidRPr="00CB41C0" w:rsidRDefault="00C72E0E" w:rsidP="00C72E0E">
      <w:pPr>
        <w:pStyle w:val="pb-2"/>
        <w:spacing w:line="360" w:lineRule="auto"/>
        <w:jc w:val="both"/>
        <w:rPr>
          <w:rFonts w:ascii="Arial" w:hAnsi="Arial" w:cs="Arial"/>
          <w:sz w:val="22"/>
          <w:szCs w:val="22"/>
        </w:rPr>
      </w:pPr>
      <w:r w:rsidRPr="00CB41C0">
        <w:rPr>
          <w:rFonts w:ascii="Arial" w:hAnsi="Arial" w:cs="Arial"/>
          <w:sz w:val="22"/>
          <w:szCs w:val="22"/>
        </w:rPr>
        <w:lastRenderedPageBreak/>
        <w:t>3. Insufficient Research on Policies: Research on how care home policies influenced residents' mental wellbeing during the pandemic is lacking.</w:t>
      </w:r>
    </w:p>
    <w:p w14:paraId="39EFF8D0" w14:textId="77777777" w:rsidR="00C72E0E" w:rsidRDefault="00C72E0E" w:rsidP="00C72E0E">
      <w:pPr>
        <w:pStyle w:val="pb-2"/>
        <w:spacing w:line="360" w:lineRule="auto"/>
        <w:jc w:val="both"/>
        <w:rPr>
          <w:rFonts w:ascii="Arial" w:hAnsi="Arial" w:cs="Arial"/>
          <w:sz w:val="22"/>
          <w:szCs w:val="22"/>
        </w:rPr>
      </w:pPr>
      <w:r w:rsidRPr="00B65470">
        <w:rPr>
          <w:rFonts w:ascii="Arial" w:hAnsi="Arial" w:cs="Arial"/>
          <w:sz w:val="22"/>
          <w:szCs w:val="22"/>
        </w:rPr>
        <w:t>This study will analyse existing research and propose evidence-based recommendations to improve mental health support for care home residents, ensuring better preparedness for future crises. These findings could help policymakers improve mental health strategies in care homes by integrating structured social interventions, revising visitation policies, and enhancing digital communication.</w:t>
      </w:r>
      <w:r>
        <w:rPr>
          <w:rFonts w:ascii="Arial" w:hAnsi="Arial" w:cs="Arial"/>
          <w:sz w:val="22"/>
          <w:szCs w:val="22"/>
        </w:rPr>
        <w:t xml:space="preserve"> </w:t>
      </w:r>
    </w:p>
    <w:p w14:paraId="462928A4" w14:textId="77777777" w:rsidR="00C72E0E" w:rsidRDefault="00C72E0E" w:rsidP="00C72E0E">
      <w:pPr>
        <w:pStyle w:val="pb-2"/>
        <w:spacing w:line="360" w:lineRule="auto"/>
        <w:jc w:val="both"/>
        <w:rPr>
          <w:rStyle w:val="normaltextrun"/>
          <w:rFonts w:ascii="Arial" w:hAnsi="Arial" w:cs="Arial"/>
          <w:color w:val="0F4761"/>
        </w:rPr>
      </w:pPr>
      <w:r w:rsidRPr="003D0CEA">
        <w:rPr>
          <w:rStyle w:val="normaltextrun"/>
          <w:rFonts w:ascii="Arial" w:hAnsi="Arial" w:cs="Arial"/>
          <w:color w:val="0F4761"/>
        </w:rPr>
        <w:t xml:space="preserve">1.4 Aim and Objectives </w:t>
      </w:r>
    </w:p>
    <w:p w14:paraId="56ECB958" w14:textId="77777777" w:rsidR="00C72E0E" w:rsidRPr="00C503AD" w:rsidRDefault="00C72E0E" w:rsidP="00C72E0E">
      <w:pPr>
        <w:pStyle w:val="paragraph"/>
        <w:spacing w:before="0" w:beforeAutospacing="0" w:after="0" w:afterAutospacing="0" w:line="360" w:lineRule="auto"/>
        <w:textAlignment w:val="baseline"/>
        <w:rPr>
          <w:rFonts w:ascii="Arial" w:hAnsi="Arial" w:cs="Arial"/>
        </w:rPr>
      </w:pPr>
      <w:r w:rsidRPr="00C503AD">
        <w:rPr>
          <w:rStyle w:val="normaltextrun"/>
          <w:rFonts w:ascii="Arial" w:hAnsi="Arial" w:cs="Arial"/>
          <w:b/>
          <w:bCs/>
        </w:rPr>
        <w:t>Research Aim:</w:t>
      </w:r>
      <w:r w:rsidRPr="00C503AD">
        <w:rPr>
          <w:rStyle w:val="eop"/>
          <w:rFonts w:ascii="Arial" w:hAnsi="Arial" w:cs="Arial"/>
        </w:rPr>
        <w:t> </w:t>
      </w:r>
    </w:p>
    <w:p w14:paraId="528F4507" w14:textId="77777777" w:rsidR="00C72E0E" w:rsidRPr="008846A0" w:rsidRDefault="00C72E0E" w:rsidP="00C72E0E">
      <w:pPr>
        <w:rPr>
          <w:rFonts w:ascii="Times New Roman" w:eastAsia="Times New Roman" w:hAnsi="Times New Roman" w:cs="Times New Roman"/>
          <w:kern w:val="0"/>
          <w:sz w:val="24"/>
          <w:szCs w:val="24"/>
          <w:lang w:eastAsia="en-GB"/>
          <w14:ligatures w14:val="none"/>
        </w:rPr>
      </w:pPr>
      <w:r w:rsidRPr="00FB489B">
        <w:rPr>
          <w:rFonts w:ascii="Arial" w:hAnsi="Arial" w:cs="Arial"/>
        </w:rPr>
        <w:t xml:space="preserve">This </w:t>
      </w:r>
      <w:r>
        <w:rPr>
          <w:rFonts w:ascii="Arial" w:hAnsi="Arial" w:cs="Arial"/>
        </w:rPr>
        <w:t>dissertation</w:t>
      </w:r>
      <w:r w:rsidRPr="00FB489B">
        <w:rPr>
          <w:rFonts w:ascii="Arial" w:hAnsi="Arial" w:cs="Arial"/>
        </w:rPr>
        <w:t xml:space="preserve"> aims to examine the impact of social isolation during COVID-19 lockdowns on depression and loneliness among elderly residents in UK care homes. In the midst of the pandemic, residents were restricted from socialising and visiting relatives, which worsened their mental health</w:t>
      </w:r>
      <w:r>
        <w:rPr>
          <w:rFonts w:ascii="Arial" w:hAnsi="Arial" w:cs="Arial"/>
        </w:rPr>
        <w:t xml:space="preserve"> </w:t>
      </w:r>
      <w:r w:rsidRPr="008846A0">
        <w:rPr>
          <w:rFonts w:ascii="Arial" w:eastAsia="Times New Roman" w:hAnsi="Arial" w:cs="Arial"/>
          <w:kern w:val="0"/>
          <w:lang w:eastAsia="en-GB"/>
          <w14:ligatures w14:val="none"/>
        </w:rPr>
        <w:t xml:space="preserve">(Sims </w:t>
      </w:r>
      <w:r w:rsidRPr="008846A0">
        <w:rPr>
          <w:rFonts w:ascii="Arial" w:eastAsia="Times New Roman" w:hAnsi="Arial" w:cs="Arial"/>
          <w:i/>
          <w:iCs/>
          <w:kern w:val="0"/>
          <w:lang w:eastAsia="en-GB"/>
          <w14:ligatures w14:val="none"/>
        </w:rPr>
        <w:t>et al.</w:t>
      </w:r>
      <w:r w:rsidRPr="008846A0">
        <w:rPr>
          <w:rFonts w:ascii="Arial" w:eastAsia="Times New Roman" w:hAnsi="Arial" w:cs="Arial"/>
          <w:kern w:val="0"/>
          <w:lang w:eastAsia="en-GB"/>
          <w14:ligatures w14:val="none"/>
        </w:rPr>
        <w:t>, 2024)</w:t>
      </w:r>
      <w:r w:rsidRPr="00FB489B">
        <w:rPr>
          <w:rFonts w:ascii="Arial" w:hAnsi="Arial" w:cs="Arial"/>
        </w:rPr>
        <w:t>. As routines were disrupted, social engagement declined, and emotional support decreased, loneliness and depression became more prevalent</w:t>
      </w:r>
      <w:r>
        <w:rPr>
          <w:rFonts w:ascii="Arial" w:hAnsi="Arial" w:cs="Arial"/>
        </w:rPr>
        <w:t xml:space="preserve"> </w:t>
      </w:r>
      <w:r w:rsidRPr="00E43FB1">
        <w:rPr>
          <w:rFonts w:ascii="Arial" w:hAnsi="Arial" w:cs="Arial"/>
        </w:rPr>
        <w:t>(Kassam and McMillan, 2023)</w:t>
      </w:r>
      <w:r w:rsidRPr="00FB489B">
        <w:rPr>
          <w:rFonts w:ascii="Arial" w:hAnsi="Arial" w:cs="Arial"/>
        </w:rPr>
        <w:t>.</w:t>
      </w:r>
    </w:p>
    <w:p w14:paraId="5D57F223" w14:textId="6CC0F747" w:rsidR="00C72E0E" w:rsidRPr="00FB489B" w:rsidRDefault="00C72E0E" w:rsidP="00C72E0E">
      <w:pPr>
        <w:pStyle w:val="pb-2"/>
        <w:spacing w:line="360" w:lineRule="auto"/>
        <w:jc w:val="both"/>
        <w:rPr>
          <w:rFonts w:ascii="Arial" w:hAnsi="Arial" w:cs="Arial"/>
          <w:sz w:val="22"/>
          <w:szCs w:val="22"/>
        </w:rPr>
      </w:pPr>
      <w:r w:rsidRPr="00FB489B">
        <w:rPr>
          <w:rFonts w:ascii="Arial" w:hAnsi="Arial" w:cs="Arial"/>
          <w:sz w:val="22"/>
          <w:szCs w:val="22"/>
        </w:rPr>
        <w:t>This study explores these psychological effects while identifying key contributing factors, such as care home policies, staff shortages, and challenges in using digital communication. In addition, it assesses potential interventions, such as virtual social programmes, therapeutic activities, and improved care strategies to support residents' emotional wellbeing.</w:t>
      </w:r>
    </w:p>
    <w:p w14:paraId="11F10554" w14:textId="77777777" w:rsidR="00C72E0E" w:rsidRPr="00FB489B" w:rsidRDefault="00C72E0E" w:rsidP="00C72E0E">
      <w:pPr>
        <w:pStyle w:val="pb-2"/>
        <w:spacing w:line="360" w:lineRule="auto"/>
        <w:jc w:val="both"/>
        <w:rPr>
          <w:rFonts w:ascii="Arial" w:hAnsi="Arial" w:cs="Arial"/>
          <w:sz w:val="22"/>
          <w:szCs w:val="22"/>
        </w:rPr>
      </w:pPr>
      <w:r w:rsidRPr="00FB489B">
        <w:rPr>
          <w:rFonts w:ascii="Arial" w:hAnsi="Arial" w:cs="Arial"/>
          <w:sz w:val="22"/>
          <w:szCs w:val="22"/>
        </w:rPr>
        <w:t>By analysing these aspects, the research aims to provide insights that can inform future health and social care policies, ensuring that protective measures do not unintentionally harm the mental health of elderly care home residents.</w:t>
      </w:r>
    </w:p>
    <w:p w14:paraId="66662E78" w14:textId="77777777" w:rsidR="00C72E0E" w:rsidRPr="00C503AD" w:rsidRDefault="00C72E0E" w:rsidP="00C72E0E">
      <w:pPr>
        <w:pStyle w:val="paragraph"/>
        <w:spacing w:before="0" w:beforeAutospacing="0" w:after="0" w:afterAutospacing="0" w:line="360" w:lineRule="auto"/>
        <w:jc w:val="both"/>
        <w:textAlignment w:val="baseline"/>
        <w:rPr>
          <w:rFonts w:ascii="Arial" w:hAnsi="Arial" w:cs="Arial"/>
        </w:rPr>
      </w:pPr>
      <w:r w:rsidRPr="00C503AD">
        <w:rPr>
          <w:rStyle w:val="normaltextrun"/>
          <w:rFonts w:ascii="Arial" w:hAnsi="Arial" w:cs="Arial"/>
          <w:b/>
          <w:bCs/>
        </w:rPr>
        <w:t>Research Objectives:</w:t>
      </w:r>
      <w:r w:rsidRPr="00C503AD">
        <w:rPr>
          <w:rStyle w:val="eop"/>
          <w:rFonts w:ascii="Arial" w:hAnsi="Arial" w:cs="Arial"/>
        </w:rPr>
        <w:t> </w:t>
      </w:r>
    </w:p>
    <w:p w14:paraId="7911B251" w14:textId="77777777" w:rsidR="00C72E0E" w:rsidRPr="003D0CEA" w:rsidRDefault="00C72E0E" w:rsidP="00C72E0E">
      <w:pPr>
        <w:pStyle w:val="paragraph"/>
        <w:spacing w:before="0" w:beforeAutospacing="0" w:after="0" w:afterAutospacing="0" w:line="360" w:lineRule="auto"/>
        <w:ind w:left="1440"/>
        <w:jc w:val="both"/>
        <w:textAlignment w:val="baseline"/>
        <w:rPr>
          <w:rFonts w:ascii="Arial" w:hAnsi="Arial" w:cs="Arial"/>
          <w:sz w:val="22"/>
          <w:szCs w:val="22"/>
        </w:rPr>
      </w:pPr>
    </w:p>
    <w:p w14:paraId="36F2CFE0" w14:textId="77777777" w:rsidR="00C72E0E" w:rsidRPr="008267E6" w:rsidRDefault="00C72E0E" w:rsidP="00C72E0E">
      <w:pPr>
        <w:contextualSpacing/>
        <w:rPr>
          <w:rFonts w:ascii="Arial" w:hAnsi="Arial" w:cs="Arial"/>
        </w:rPr>
      </w:pPr>
      <w:r w:rsidRPr="003D0CEA">
        <w:rPr>
          <w:rStyle w:val="normaltextrun"/>
          <w:rFonts w:ascii="Arial" w:hAnsi="Arial" w:cs="Arial"/>
          <w:b/>
          <w:bCs/>
        </w:rPr>
        <w:t>Objective 1:</w:t>
      </w:r>
      <w:r w:rsidRPr="003D0CEA">
        <w:rPr>
          <w:rStyle w:val="normaltextrun"/>
          <w:rFonts w:ascii="Arial" w:hAnsi="Arial" w:cs="Arial"/>
        </w:rPr>
        <w:t> </w:t>
      </w:r>
      <w:r w:rsidRPr="003D0CEA">
        <w:rPr>
          <w:rStyle w:val="eop"/>
          <w:rFonts w:ascii="Arial" w:hAnsi="Arial" w:cs="Arial"/>
        </w:rPr>
        <w:t> </w:t>
      </w:r>
      <w:r w:rsidRPr="008267E6">
        <w:rPr>
          <w:rFonts w:ascii="Arial" w:hAnsi="Arial" w:cs="Arial"/>
        </w:rPr>
        <w:t>To define social isolation and examine its psychological impact on elderly residents in UK care homes during COVID-19 lockdowns, focusing on depression and loneliness.</w:t>
      </w:r>
    </w:p>
    <w:p w14:paraId="1C1DA75C" w14:textId="77777777" w:rsidR="00C72E0E" w:rsidRPr="003D0CEA" w:rsidRDefault="00C72E0E" w:rsidP="00C72E0E">
      <w:pPr>
        <w:pStyle w:val="paragraph"/>
        <w:spacing w:before="0" w:beforeAutospacing="0" w:after="0" w:afterAutospacing="0" w:line="360" w:lineRule="auto"/>
        <w:jc w:val="both"/>
        <w:textAlignment w:val="baseline"/>
        <w:rPr>
          <w:rFonts w:ascii="Arial" w:hAnsi="Arial" w:cs="Arial"/>
          <w:sz w:val="16"/>
          <w:szCs w:val="16"/>
        </w:rPr>
      </w:pPr>
    </w:p>
    <w:p w14:paraId="38AA25E0" w14:textId="77777777" w:rsidR="00C72E0E" w:rsidRPr="008267E6" w:rsidRDefault="00C72E0E" w:rsidP="00C72E0E">
      <w:pPr>
        <w:contextualSpacing/>
        <w:rPr>
          <w:rFonts w:ascii="Arial" w:hAnsi="Arial" w:cs="Arial"/>
        </w:rPr>
      </w:pPr>
      <w:r w:rsidRPr="003D0CEA">
        <w:rPr>
          <w:rStyle w:val="normaltextrun"/>
          <w:rFonts w:ascii="Arial" w:hAnsi="Arial" w:cs="Arial"/>
          <w:b/>
          <w:bCs/>
        </w:rPr>
        <w:t>Objective 2:</w:t>
      </w:r>
      <w:r w:rsidRPr="003D0CEA">
        <w:rPr>
          <w:rStyle w:val="normaltextrun"/>
          <w:rFonts w:ascii="Arial" w:hAnsi="Arial" w:cs="Arial"/>
        </w:rPr>
        <w:t> </w:t>
      </w:r>
      <w:r w:rsidRPr="003D0CEA">
        <w:rPr>
          <w:rStyle w:val="eop"/>
          <w:rFonts w:ascii="Arial" w:hAnsi="Arial" w:cs="Arial"/>
        </w:rPr>
        <w:t> </w:t>
      </w:r>
      <w:r w:rsidRPr="008267E6">
        <w:rPr>
          <w:rFonts w:ascii="Arial" w:hAnsi="Arial" w:cs="Arial"/>
        </w:rPr>
        <w:t>To analyse current literature to explain how social isolation contributes to mental health challenges in elderly care homes, using psychological and social theories.</w:t>
      </w:r>
    </w:p>
    <w:p w14:paraId="727BD7B7" w14:textId="77777777" w:rsidR="00C72E0E" w:rsidRPr="003D0CEA" w:rsidRDefault="00C72E0E" w:rsidP="00C72E0E">
      <w:pPr>
        <w:pStyle w:val="paragraph"/>
        <w:spacing w:before="0" w:beforeAutospacing="0" w:after="0" w:afterAutospacing="0" w:line="360" w:lineRule="auto"/>
        <w:jc w:val="both"/>
        <w:textAlignment w:val="baseline"/>
        <w:rPr>
          <w:rFonts w:ascii="Arial" w:hAnsi="Arial" w:cs="Arial"/>
          <w:sz w:val="16"/>
          <w:szCs w:val="16"/>
        </w:rPr>
      </w:pPr>
    </w:p>
    <w:p w14:paraId="140F836A" w14:textId="41DB4751" w:rsidR="00C72E0E" w:rsidRPr="008267E6" w:rsidRDefault="00C72E0E" w:rsidP="00C72E0E">
      <w:pPr>
        <w:contextualSpacing/>
        <w:rPr>
          <w:rFonts w:ascii="Arial" w:hAnsi="Arial" w:cs="Arial"/>
        </w:rPr>
      </w:pPr>
      <w:r w:rsidRPr="003D0CEA">
        <w:rPr>
          <w:rStyle w:val="normaltextrun"/>
          <w:rFonts w:ascii="Arial" w:hAnsi="Arial" w:cs="Arial"/>
          <w:b/>
          <w:bCs/>
        </w:rPr>
        <w:lastRenderedPageBreak/>
        <w:t>Objective 3:</w:t>
      </w:r>
      <w:r w:rsidRPr="003D0CEA">
        <w:rPr>
          <w:rStyle w:val="normaltextrun"/>
          <w:rFonts w:ascii="Arial" w:hAnsi="Arial" w:cs="Arial"/>
        </w:rPr>
        <w:t> </w:t>
      </w:r>
      <w:r w:rsidRPr="003D0CEA">
        <w:rPr>
          <w:rStyle w:val="eop"/>
          <w:rFonts w:ascii="Arial" w:hAnsi="Arial" w:cs="Arial"/>
        </w:rPr>
        <w:t> </w:t>
      </w:r>
      <w:r w:rsidRPr="008267E6">
        <w:rPr>
          <w:rFonts w:ascii="Arial" w:hAnsi="Arial" w:cs="Arial"/>
        </w:rPr>
        <w:t>To evaluate the findings and themes from the literature through a thematic review, identifying the main impacts of social isolation on residents' emotional wellbeing.</w:t>
      </w:r>
    </w:p>
    <w:p w14:paraId="32313DC5" w14:textId="77777777" w:rsidR="00C72E0E" w:rsidRPr="003D0CEA" w:rsidRDefault="00C72E0E" w:rsidP="00C72E0E">
      <w:pPr>
        <w:pStyle w:val="paragraph"/>
        <w:spacing w:before="0" w:beforeAutospacing="0" w:after="0" w:afterAutospacing="0" w:line="360" w:lineRule="auto"/>
        <w:jc w:val="both"/>
        <w:textAlignment w:val="baseline"/>
        <w:rPr>
          <w:rFonts w:ascii="Arial" w:hAnsi="Arial" w:cs="Arial"/>
          <w:sz w:val="16"/>
          <w:szCs w:val="16"/>
        </w:rPr>
      </w:pPr>
    </w:p>
    <w:p w14:paraId="261B7440" w14:textId="77777777" w:rsidR="00C72E0E" w:rsidRPr="008267E6" w:rsidRDefault="00C72E0E" w:rsidP="00C72E0E">
      <w:pPr>
        <w:contextualSpacing/>
        <w:rPr>
          <w:rFonts w:ascii="Arial" w:hAnsi="Arial" w:cs="Arial"/>
        </w:rPr>
      </w:pPr>
      <w:r w:rsidRPr="003D0CEA">
        <w:rPr>
          <w:rStyle w:val="normaltextrun"/>
          <w:rFonts w:ascii="Arial" w:hAnsi="Arial" w:cs="Arial"/>
          <w:b/>
          <w:bCs/>
        </w:rPr>
        <w:t>Objective 4:</w:t>
      </w:r>
      <w:r w:rsidRPr="003D0CEA">
        <w:rPr>
          <w:rStyle w:val="normaltextrun"/>
          <w:rFonts w:ascii="Arial" w:hAnsi="Arial" w:cs="Arial"/>
        </w:rPr>
        <w:t> </w:t>
      </w:r>
      <w:r w:rsidRPr="003D0CEA">
        <w:rPr>
          <w:rStyle w:val="eop"/>
          <w:rFonts w:ascii="Arial" w:hAnsi="Arial" w:cs="Arial"/>
        </w:rPr>
        <w:t> </w:t>
      </w:r>
      <w:r w:rsidRPr="008267E6">
        <w:rPr>
          <w:rFonts w:ascii="Arial" w:hAnsi="Arial" w:cs="Arial"/>
        </w:rPr>
        <w:t>To provide recommendations for health and social care interventions to reduce loneliness and depression, improving mental health support in care homes.</w:t>
      </w:r>
    </w:p>
    <w:p w14:paraId="0647923F" w14:textId="77777777" w:rsidR="00C72E0E" w:rsidRPr="003D0CEA" w:rsidRDefault="00C72E0E" w:rsidP="00C72E0E">
      <w:pPr>
        <w:pStyle w:val="paragraph"/>
        <w:spacing w:before="0" w:beforeAutospacing="0" w:after="0" w:afterAutospacing="0" w:line="360" w:lineRule="auto"/>
        <w:textAlignment w:val="baseline"/>
        <w:rPr>
          <w:rFonts w:ascii="Arial" w:hAnsi="Arial" w:cs="Arial"/>
          <w:sz w:val="16"/>
          <w:szCs w:val="16"/>
        </w:rPr>
      </w:pPr>
    </w:p>
    <w:p w14:paraId="02C229F2" w14:textId="77777777" w:rsidR="00C72E0E" w:rsidRPr="00C04484" w:rsidRDefault="00C72E0E" w:rsidP="00C72E0E">
      <w:pPr>
        <w:pStyle w:val="paragraph"/>
        <w:spacing w:before="0" w:beforeAutospacing="0" w:after="0" w:afterAutospacing="0" w:line="360" w:lineRule="auto"/>
        <w:textAlignment w:val="baseline"/>
        <w:rPr>
          <w:rFonts w:ascii="Arial" w:hAnsi="Arial" w:cs="Arial"/>
          <w:b/>
          <w:bCs/>
          <w:color w:val="0F4761"/>
          <w:sz w:val="16"/>
          <w:szCs w:val="16"/>
        </w:rPr>
      </w:pPr>
      <w:r w:rsidRPr="003D0CEA">
        <w:rPr>
          <w:rStyle w:val="eop"/>
          <w:rFonts w:ascii="Arial" w:hAnsi="Arial" w:cs="Arial"/>
          <w:sz w:val="22"/>
          <w:szCs w:val="22"/>
        </w:rPr>
        <w:t> </w:t>
      </w:r>
      <w:r w:rsidRPr="00C04484">
        <w:rPr>
          <w:rStyle w:val="normaltextrun"/>
          <w:rFonts w:ascii="Arial" w:hAnsi="Arial" w:cs="Arial"/>
          <w:b/>
          <w:bCs/>
          <w:color w:val="0F4761"/>
        </w:rPr>
        <w:t xml:space="preserve">1.5 Conclusion </w:t>
      </w:r>
    </w:p>
    <w:p w14:paraId="6DCFDF16" w14:textId="144BD741" w:rsidR="00C72E0E" w:rsidRPr="008007BA" w:rsidRDefault="00C72E0E" w:rsidP="00C72E0E">
      <w:pPr>
        <w:pStyle w:val="pb-2"/>
        <w:spacing w:line="360" w:lineRule="auto"/>
        <w:jc w:val="both"/>
        <w:rPr>
          <w:rFonts w:ascii="Arial" w:hAnsi="Arial" w:cs="Arial"/>
          <w:sz w:val="22"/>
          <w:szCs w:val="22"/>
        </w:rPr>
      </w:pPr>
      <w:r w:rsidRPr="008007BA">
        <w:rPr>
          <w:rFonts w:ascii="Arial" w:hAnsi="Arial" w:cs="Arial"/>
          <w:sz w:val="22"/>
          <w:szCs w:val="22"/>
        </w:rPr>
        <w:t>This chapter introduced the research topic, highlighting how social isolation during COVID-19 lockdowns has impacted depression and loneliness among elderly residents in care homes. It provided essential definitions, the contextual background, and the rationale for the study, emphasising the psychological consequences of prolonged isolation and the need for effective interventions. The aim and objectives of the research focus on analysing the effects of social isolation, identifying key contributing factors, and evaluating potential mental health interventions. Addressing these issues is crucial for improving care home policies and ensuring residents' emotional wellbeing during future health crises.</w:t>
      </w:r>
    </w:p>
    <w:p w14:paraId="5AAE3558" w14:textId="77777777" w:rsidR="00C72E0E" w:rsidRPr="008007BA" w:rsidRDefault="00C72E0E" w:rsidP="00C72E0E">
      <w:pPr>
        <w:pStyle w:val="pb-2"/>
        <w:spacing w:line="360" w:lineRule="auto"/>
        <w:jc w:val="both"/>
        <w:rPr>
          <w:rFonts w:ascii="Arial" w:hAnsi="Arial" w:cs="Arial"/>
          <w:sz w:val="22"/>
          <w:szCs w:val="22"/>
        </w:rPr>
      </w:pPr>
      <w:r w:rsidRPr="008007BA">
        <w:rPr>
          <w:rFonts w:ascii="Arial" w:hAnsi="Arial" w:cs="Arial"/>
          <w:sz w:val="22"/>
          <w:szCs w:val="22"/>
        </w:rPr>
        <w:t xml:space="preserve">The next chapter will deliver a comprehensive background analysis, examining existing literature on social isolation, depression, and loneliness in care homes. It will explore psychological and social theories related to elderly mental health and review previous research on isolation during the pandemic. This analysis will form the foundation for understanding key themes and gaps in the literature and will guide the direction of the </w:t>
      </w:r>
      <w:r>
        <w:rPr>
          <w:rFonts w:ascii="Arial" w:hAnsi="Arial" w:cs="Arial"/>
          <w:sz w:val="22"/>
          <w:szCs w:val="22"/>
        </w:rPr>
        <w:t>dissertation</w:t>
      </w:r>
      <w:r w:rsidRPr="008007BA">
        <w:rPr>
          <w:rFonts w:ascii="Arial" w:hAnsi="Arial" w:cs="Arial"/>
          <w:sz w:val="22"/>
          <w:szCs w:val="22"/>
        </w:rPr>
        <w:t>.</w:t>
      </w:r>
    </w:p>
    <w:p w14:paraId="68416687" w14:textId="77777777" w:rsidR="00C72E0E" w:rsidRDefault="00C72E0E" w:rsidP="00C72E0E">
      <w:pPr>
        <w:spacing w:line="259" w:lineRule="auto"/>
        <w:jc w:val="left"/>
        <w:rPr>
          <w:rFonts w:ascii="Arial" w:hAnsi="Arial" w:cs="Arial"/>
        </w:rPr>
      </w:pPr>
      <w:r>
        <w:rPr>
          <w:rFonts w:ascii="Arial" w:hAnsi="Arial" w:cs="Arial"/>
        </w:rPr>
        <w:br w:type="page"/>
      </w:r>
    </w:p>
    <w:p w14:paraId="30074906" w14:textId="77777777" w:rsidR="00C72E0E" w:rsidRDefault="00C72E0E" w:rsidP="00C72E0E">
      <w:pPr>
        <w:pStyle w:val="Heading1"/>
        <w:ind w:left="0"/>
        <w:rPr>
          <w:rFonts w:cs="Arial"/>
        </w:rPr>
      </w:pPr>
      <w:bookmarkStart w:id="4" w:name="_Toc194093171"/>
      <w:bookmarkStart w:id="5" w:name="_Toc204127876"/>
      <w:r w:rsidRPr="003D0CEA">
        <w:rPr>
          <w:rFonts w:cs="Arial"/>
        </w:rPr>
        <w:lastRenderedPageBreak/>
        <w:t>CHAPTER 2 – Background Information and Analysis</w:t>
      </w:r>
      <w:bookmarkEnd w:id="4"/>
      <w:bookmarkEnd w:id="5"/>
      <w:r w:rsidRPr="003D0CEA">
        <w:rPr>
          <w:rFonts w:cs="Arial"/>
        </w:rPr>
        <w:t xml:space="preserve"> </w:t>
      </w:r>
    </w:p>
    <w:p w14:paraId="228927F3" w14:textId="77777777" w:rsidR="00C72E0E" w:rsidRDefault="00C72E0E" w:rsidP="00C72E0E">
      <w:pPr>
        <w:pStyle w:val="Heading1"/>
        <w:ind w:left="0"/>
        <w:rPr>
          <w:rFonts w:cs="Arial"/>
        </w:rPr>
      </w:pPr>
    </w:p>
    <w:p w14:paraId="02CE54AC" w14:textId="77777777" w:rsidR="00C72E0E" w:rsidRPr="00C04484" w:rsidRDefault="00C72E0E" w:rsidP="00C72E0E">
      <w:pPr>
        <w:rPr>
          <w:b/>
          <w:bCs/>
          <w:sz w:val="24"/>
          <w:szCs w:val="24"/>
        </w:rPr>
      </w:pPr>
      <w:r w:rsidRPr="00C04484">
        <w:rPr>
          <w:rStyle w:val="normaltextrun"/>
          <w:rFonts w:ascii="Arial" w:hAnsi="Arial" w:cs="Arial"/>
          <w:b/>
          <w:bCs/>
          <w:color w:val="0F4761"/>
          <w:sz w:val="24"/>
          <w:szCs w:val="24"/>
        </w:rPr>
        <w:t>2.1 Introduction</w:t>
      </w:r>
    </w:p>
    <w:p w14:paraId="4092F139" w14:textId="77777777" w:rsidR="00C72E0E" w:rsidRPr="009224D7" w:rsidRDefault="00C72E0E" w:rsidP="00C72E0E">
      <w:pPr>
        <w:pStyle w:val="pb-2"/>
        <w:spacing w:line="360" w:lineRule="auto"/>
        <w:jc w:val="both"/>
        <w:rPr>
          <w:rFonts w:ascii="Arial" w:hAnsi="Arial" w:cs="Arial"/>
          <w:sz w:val="22"/>
          <w:szCs w:val="22"/>
        </w:rPr>
      </w:pPr>
      <w:r w:rsidRPr="009224D7">
        <w:rPr>
          <w:rFonts w:ascii="Arial" w:hAnsi="Arial" w:cs="Arial"/>
          <w:sz w:val="22"/>
          <w:szCs w:val="22"/>
        </w:rPr>
        <w:t xml:space="preserve">This chapter presents crucial background information necessary for understanding the impact of social isolation on depression and loneliness experienced by elderly residents in UK care </w:t>
      </w:r>
      <w:r w:rsidRPr="009224D7">
        <w:rPr>
          <w:rStyle w:val="issue-underline"/>
          <w:rFonts w:ascii="Arial" w:eastAsia="Calibri Light" w:hAnsi="Arial" w:cs="Arial"/>
          <w:sz w:val="22"/>
          <w:szCs w:val="22"/>
        </w:rPr>
        <w:t>homes</w:t>
      </w:r>
      <w:r w:rsidRPr="009224D7">
        <w:rPr>
          <w:rFonts w:ascii="Arial" w:hAnsi="Arial" w:cs="Arial"/>
          <w:sz w:val="22"/>
          <w:szCs w:val="22"/>
        </w:rPr>
        <w:t xml:space="preserve"> during the COVID-19 pandemic. It investigates the historical progression of elderly care, </w:t>
      </w:r>
      <w:r w:rsidRPr="009224D7">
        <w:rPr>
          <w:rStyle w:val="issue-underline"/>
          <w:rFonts w:ascii="Arial" w:eastAsia="Calibri Light" w:hAnsi="Arial" w:cs="Arial"/>
          <w:sz w:val="22"/>
          <w:szCs w:val="22"/>
        </w:rPr>
        <w:t>important</w:t>
      </w:r>
      <w:r w:rsidRPr="009224D7">
        <w:rPr>
          <w:rFonts w:ascii="Arial" w:hAnsi="Arial" w:cs="Arial"/>
          <w:sz w:val="22"/>
          <w:szCs w:val="22"/>
        </w:rPr>
        <w:t xml:space="preserve"> theories related to ageing and mental health, and the wider global and national context of this issue. Through an examination of historical and current policies, international strategies, and theoretical frameworks, this chapter establishes a solid foundation </w:t>
      </w:r>
      <w:r w:rsidRPr="009224D7">
        <w:rPr>
          <w:rStyle w:val="issue-underline"/>
          <w:rFonts w:ascii="Arial" w:eastAsia="Calibri Light" w:hAnsi="Arial" w:cs="Arial"/>
          <w:sz w:val="22"/>
          <w:szCs w:val="22"/>
        </w:rPr>
        <w:t>for the research.</w:t>
      </w:r>
    </w:p>
    <w:p w14:paraId="603CEE06" w14:textId="77777777" w:rsidR="00C72E0E" w:rsidRDefault="00C72E0E" w:rsidP="00C72E0E">
      <w:pPr>
        <w:pStyle w:val="pb-2"/>
        <w:spacing w:line="360" w:lineRule="auto"/>
        <w:jc w:val="both"/>
        <w:rPr>
          <w:rFonts w:ascii="Arial" w:hAnsi="Arial" w:cs="Arial"/>
          <w:sz w:val="22"/>
          <w:szCs w:val="22"/>
        </w:rPr>
      </w:pPr>
      <w:r w:rsidRPr="009224D7">
        <w:rPr>
          <w:rFonts w:ascii="Arial" w:hAnsi="Arial" w:cs="Arial"/>
          <w:sz w:val="22"/>
          <w:szCs w:val="22"/>
        </w:rPr>
        <w:t xml:space="preserve">The historical overview highlights the development of elderly care in the UK, focusing on significant legislative changes and evolving societal attitudes. The theoretical section introduces concepts related to ageing that help explain the impact of social isolation on mental health. In addition, examining both international and UK perspectives provides insight into how various regions have </w:t>
      </w:r>
      <w:r w:rsidRPr="009224D7">
        <w:rPr>
          <w:rStyle w:val="issue-underline"/>
          <w:rFonts w:ascii="Arial" w:eastAsia="Calibri Light" w:hAnsi="Arial" w:cs="Arial"/>
          <w:sz w:val="22"/>
          <w:szCs w:val="22"/>
        </w:rPr>
        <w:t>tackled the problem of elderly</w:t>
      </w:r>
      <w:r w:rsidRPr="009224D7">
        <w:rPr>
          <w:rFonts w:ascii="Arial" w:hAnsi="Arial" w:cs="Arial"/>
          <w:sz w:val="22"/>
          <w:szCs w:val="22"/>
        </w:rPr>
        <w:t xml:space="preserve"> isolation.</w:t>
      </w:r>
      <w:r>
        <w:rPr>
          <w:rFonts w:ascii="Arial" w:hAnsi="Arial" w:cs="Arial"/>
          <w:sz w:val="22"/>
          <w:szCs w:val="22"/>
        </w:rPr>
        <w:t xml:space="preserve"> </w:t>
      </w:r>
    </w:p>
    <w:p w14:paraId="1C84569D" w14:textId="77777777" w:rsidR="00C72E0E" w:rsidRPr="009224D7" w:rsidRDefault="00C72E0E" w:rsidP="00C72E0E">
      <w:pPr>
        <w:pStyle w:val="pb-2"/>
        <w:spacing w:line="360" w:lineRule="auto"/>
        <w:jc w:val="both"/>
        <w:rPr>
          <w:rFonts w:ascii="Arial" w:hAnsi="Arial" w:cs="Arial"/>
          <w:sz w:val="22"/>
          <w:szCs w:val="22"/>
        </w:rPr>
      </w:pPr>
      <w:r w:rsidRPr="009224D7">
        <w:rPr>
          <w:rFonts w:ascii="Arial" w:hAnsi="Arial" w:cs="Arial"/>
          <w:sz w:val="22"/>
          <w:szCs w:val="22"/>
        </w:rPr>
        <w:t xml:space="preserve">By considering these factors, this chapter ensures a thorough understanding of the </w:t>
      </w:r>
      <w:r w:rsidRPr="009224D7">
        <w:rPr>
          <w:rStyle w:val="issue-underline"/>
          <w:rFonts w:ascii="Arial" w:eastAsia="Calibri Light" w:hAnsi="Arial" w:cs="Arial"/>
          <w:sz w:val="22"/>
          <w:szCs w:val="22"/>
        </w:rPr>
        <w:t>subject, which</w:t>
      </w:r>
      <w:r w:rsidRPr="009224D7">
        <w:rPr>
          <w:rFonts w:ascii="Arial" w:hAnsi="Arial" w:cs="Arial"/>
          <w:sz w:val="22"/>
          <w:szCs w:val="22"/>
        </w:rPr>
        <w:t xml:space="preserve"> supports the analysis in later sections of the research.</w:t>
      </w:r>
    </w:p>
    <w:p w14:paraId="1BFB973C" w14:textId="40BA4152" w:rsidR="00C72E0E" w:rsidRPr="003D0CEA" w:rsidRDefault="00C72E0E" w:rsidP="00425C9F">
      <w:pPr>
        <w:pStyle w:val="paragraph"/>
        <w:spacing w:before="0" w:beforeAutospacing="0" w:after="0" w:afterAutospacing="0" w:line="360" w:lineRule="auto"/>
        <w:textAlignment w:val="baseline"/>
        <w:rPr>
          <w:rFonts w:ascii="Arial" w:hAnsi="Arial" w:cs="Arial"/>
          <w:sz w:val="16"/>
          <w:szCs w:val="16"/>
        </w:rPr>
      </w:pPr>
    </w:p>
    <w:p w14:paraId="1DE5963E" w14:textId="77777777" w:rsidR="00C72E0E" w:rsidRDefault="00C72E0E" w:rsidP="00C72E0E">
      <w:pPr>
        <w:pStyle w:val="paragraph"/>
        <w:spacing w:before="0" w:beforeAutospacing="0" w:after="0" w:afterAutospacing="0" w:line="360" w:lineRule="auto"/>
        <w:textAlignment w:val="baseline"/>
        <w:rPr>
          <w:rStyle w:val="normaltextrun"/>
          <w:rFonts w:ascii="Arial" w:hAnsi="Arial" w:cs="Arial"/>
          <w:color w:val="0F4761"/>
        </w:rPr>
      </w:pPr>
      <w:r w:rsidRPr="003D0CEA">
        <w:rPr>
          <w:rStyle w:val="normaltextrun"/>
          <w:rFonts w:ascii="Arial" w:hAnsi="Arial" w:cs="Arial"/>
          <w:color w:val="0F4761"/>
        </w:rPr>
        <w:t>2</w:t>
      </w:r>
      <w:r w:rsidRPr="00046DB5">
        <w:rPr>
          <w:rStyle w:val="normaltextrun"/>
          <w:rFonts w:ascii="Arial" w:hAnsi="Arial" w:cs="Arial"/>
          <w:color w:val="0F4761"/>
        </w:rPr>
        <w:t xml:space="preserve">.2 Historical Background </w:t>
      </w:r>
    </w:p>
    <w:p w14:paraId="0BC179E8" w14:textId="77777777" w:rsidR="00C72E0E" w:rsidRPr="00046DB5" w:rsidRDefault="00C72E0E" w:rsidP="00C72E0E">
      <w:pPr>
        <w:pStyle w:val="paragraph"/>
        <w:spacing w:before="0" w:beforeAutospacing="0" w:after="0" w:afterAutospacing="0" w:line="360" w:lineRule="auto"/>
        <w:textAlignment w:val="baseline"/>
        <w:rPr>
          <w:rFonts w:ascii="Arial" w:hAnsi="Arial" w:cs="Arial"/>
          <w:color w:val="0F4761"/>
          <w:sz w:val="16"/>
          <w:szCs w:val="16"/>
        </w:rPr>
      </w:pPr>
    </w:p>
    <w:p w14:paraId="186E614C" w14:textId="77777777" w:rsidR="00C72E0E" w:rsidRPr="001107CE" w:rsidRDefault="00C72E0E" w:rsidP="00C72E0E">
      <w:pPr>
        <w:rPr>
          <w:rFonts w:ascii="Arial" w:hAnsi="Arial" w:cs="Arial"/>
          <w:b/>
          <w:bCs/>
          <w:sz w:val="24"/>
          <w:szCs w:val="24"/>
        </w:rPr>
      </w:pPr>
      <w:r w:rsidRPr="001107CE">
        <w:rPr>
          <w:rFonts w:ascii="Arial" w:hAnsi="Arial" w:cs="Arial"/>
          <w:b/>
          <w:bCs/>
          <w:sz w:val="24"/>
          <w:szCs w:val="24"/>
        </w:rPr>
        <w:t xml:space="preserve">Development of </w:t>
      </w:r>
      <w:r w:rsidRPr="001107CE">
        <w:rPr>
          <w:rStyle w:val="issue-underline"/>
          <w:rFonts w:ascii="Arial" w:hAnsi="Arial" w:cs="Arial"/>
          <w:b/>
          <w:bCs/>
          <w:sz w:val="24"/>
          <w:szCs w:val="24"/>
        </w:rPr>
        <w:t>Elderly Care</w:t>
      </w:r>
      <w:r w:rsidRPr="001107CE">
        <w:rPr>
          <w:rFonts w:ascii="Arial" w:hAnsi="Arial" w:cs="Arial"/>
          <w:b/>
          <w:bCs/>
          <w:sz w:val="24"/>
          <w:szCs w:val="24"/>
        </w:rPr>
        <w:t xml:space="preserve"> in the UK</w:t>
      </w:r>
    </w:p>
    <w:p w14:paraId="5D9753EF" w14:textId="77777777" w:rsidR="00C72E0E" w:rsidRPr="00A832CD" w:rsidRDefault="00C72E0E" w:rsidP="00C72E0E">
      <w:pPr>
        <w:pStyle w:val="pb-2"/>
        <w:spacing w:line="360" w:lineRule="auto"/>
        <w:jc w:val="both"/>
        <w:rPr>
          <w:rFonts w:ascii="Arial" w:hAnsi="Arial" w:cs="Arial"/>
          <w:sz w:val="22"/>
          <w:szCs w:val="22"/>
        </w:rPr>
      </w:pPr>
      <w:r w:rsidRPr="00A832CD">
        <w:rPr>
          <w:rFonts w:ascii="Arial" w:hAnsi="Arial" w:cs="Arial"/>
          <w:sz w:val="22"/>
          <w:szCs w:val="22"/>
        </w:rPr>
        <w:t>Historically, elderly care in the UK was primarily the responsibility of families, with multiple generations living together and younger family members supporting ageing relatives (Smith, 2024). However, as industrialisation and urbanisation took hold in the 19th century, family structures changed, and the demand for institutional elderly care increased (Munson, 2024b).</w:t>
      </w:r>
    </w:p>
    <w:p w14:paraId="117BE1ED" w14:textId="77777777" w:rsidR="00C72E0E" w:rsidRPr="001107CE" w:rsidRDefault="00C72E0E" w:rsidP="00C72E0E">
      <w:pPr>
        <w:pStyle w:val="pb-2"/>
        <w:spacing w:line="360" w:lineRule="auto"/>
        <w:jc w:val="both"/>
        <w:rPr>
          <w:rStyle w:val="Strong"/>
          <w:rFonts w:ascii="Arial" w:hAnsi="Arial" w:cs="Arial"/>
        </w:rPr>
      </w:pPr>
      <w:r w:rsidRPr="001107CE">
        <w:rPr>
          <w:rStyle w:val="Strong"/>
          <w:rFonts w:ascii="Arial" w:hAnsi="Arial" w:cs="Arial"/>
        </w:rPr>
        <w:t>Early Institutional Care</w:t>
      </w:r>
    </w:p>
    <w:p w14:paraId="5896FC5D" w14:textId="77777777" w:rsidR="00C72E0E" w:rsidRPr="00A832CD" w:rsidRDefault="00C72E0E" w:rsidP="00C72E0E">
      <w:pPr>
        <w:pStyle w:val="pb-2"/>
        <w:spacing w:line="360" w:lineRule="auto"/>
        <w:jc w:val="both"/>
        <w:rPr>
          <w:rFonts w:ascii="Arial" w:hAnsi="Arial" w:cs="Arial"/>
          <w:sz w:val="22"/>
          <w:szCs w:val="22"/>
        </w:rPr>
      </w:pPr>
      <w:r w:rsidRPr="00A832CD">
        <w:rPr>
          <w:rFonts w:ascii="Arial" w:hAnsi="Arial" w:cs="Arial"/>
          <w:sz w:val="22"/>
          <w:szCs w:val="22"/>
        </w:rPr>
        <w:t xml:space="preserve">The earliest form of structured elderly care in the UK dates back to almshouses, and the first one was built in York in 936 AD (Munson, 2024a). Almshouses, also known as Bede houses, were established as charitable institutions to house the poor and elderly in the 10th century (The Almshouse Association, 2025; Ballor, 2010). As a result of the Poor Law Amendment Act of 1834, large-scale workhouses were developed to provide shelter and basic needs for the </w:t>
      </w:r>
      <w:r w:rsidRPr="00A832CD">
        <w:rPr>
          <w:rStyle w:val="issue-underline"/>
          <w:rFonts w:ascii="Arial" w:eastAsia="Calibri Light" w:hAnsi="Arial" w:cs="Arial"/>
          <w:sz w:val="22"/>
          <w:szCs w:val="22"/>
        </w:rPr>
        <w:t>elderly,</w:t>
      </w:r>
      <w:r w:rsidRPr="00A832CD">
        <w:rPr>
          <w:rFonts w:ascii="Arial" w:hAnsi="Arial" w:cs="Arial"/>
          <w:sz w:val="22"/>
          <w:szCs w:val="22"/>
        </w:rPr>
        <w:t xml:space="preserve"> sick, and impoverished (The National Archives, 2025). However, these were often </w:t>
      </w:r>
      <w:r w:rsidRPr="00A832CD">
        <w:rPr>
          <w:rFonts w:ascii="Arial" w:hAnsi="Arial" w:cs="Arial"/>
          <w:sz w:val="22"/>
          <w:szCs w:val="22"/>
        </w:rPr>
        <w:lastRenderedPageBreak/>
        <w:t>overcrowded and harsh environments, offering minimal comfort or dignity to residents (Ritch, 2015).</w:t>
      </w:r>
    </w:p>
    <w:p w14:paraId="335C6FA0" w14:textId="77777777" w:rsidR="00C72E0E" w:rsidRPr="00D139CB" w:rsidRDefault="00C72E0E" w:rsidP="00C72E0E">
      <w:pPr>
        <w:rPr>
          <w:rFonts w:ascii="Times New Roman" w:eastAsia="Times New Roman" w:hAnsi="Times New Roman" w:cs="Times New Roman"/>
          <w:kern w:val="0"/>
          <w:sz w:val="24"/>
          <w:szCs w:val="24"/>
          <w:lang w:eastAsia="en-GB"/>
          <w14:ligatures w14:val="none"/>
        </w:rPr>
      </w:pPr>
      <w:r w:rsidRPr="00A832CD">
        <w:rPr>
          <w:rFonts w:ascii="Arial" w:hAnsi="Arial" w:cs="Arial"/>
        </w:rPr>
        <w:t>Poor living conditions in workhouses increased the risk of cholera outbreaks, which was a pandemic in the 19th century (Science Museum, 2019</w:t>
      </w:r>
      <w:r>
        <w:rPr>
          <w:rFonts w:ascii="Arial" w:hAnsi="Arial" w:cs="Arial"/>
        </w:rPr>
        <w:t>; WHO</w:t>
      </w:r>
      <w:r w:rsidRPr="00FA42D0">
        <w:rPr>
          <w:rFonts w:ascii="Arial" w:eastAsia="Times New Roman" w:hAnsi="Arial" w:cs="Arial"/>
          <w:kern w:val="0"/>
          <w:lang w:eastAsia="en-GB"/>
          <w14:ligatures w14:val="none"/>
        </w:rPr>
        <w:t>, 2024a</w:t>
      </w:r>
      <w:r w:rsidRPr="00A832CD">
        <w:rPr>
          <w:rFonts w:ascii="Arial" w:hAnsi="Arial" w:cs="Arial"/>
        </w:rPr>
        <w:t>). In 1849, authorities recognised the failures of the 1832 outbreak and implemented measures to assist victims, although no cure existed yet (Shah, 2016). According to Gilbert (2012), these cholera epidemics highlighted the need for better sanitation and public health initiatives, leading to the Public Health Act of 1848, which aimed to address issues with living conditions, sewage, and water supply (Science Museum, 2019).</w:t>
      </w:r>
    </w:p>
    <w:p w14:paraId="7C331FEB" w14:textId="77777777" w:rsidR="00C72E0E" w:rsidRPr="001107CE" w:rsidRDefault="00C72E0E" w:rsidP="00C72E0E">
      <w:pPr>
        <w:pStyle w:val="pb-2"/>
        <w:spacing w:line="360" w:lineRule="auto"/>
        <w:jc w:val="both"/>
        <w:rPr>
          <w:rStyle w:val="Strong"/>
          <w:rFonts w:ascii="Arial" w:hAnsi="Arial" w:cs="Arial"/>
        </w:rPr>
      </w:pPr>
      <w:r w:rsidRPr="001107CE">
        <w:rPr>
          <w:rStyle w:val="Strong"/>
          <w:rFonts w:ascii="Arial" w:hAnsi="Arial" w:cs="Arial"/>
        </w:rPr>
        <w:t>Transition to Care Homes</w:t>
      </w:r>
    </w:p>
    <w:p w14:paraId="505C6F8F" w14:textId="77777777" w:rsidR="00C72E0E" w:rsidRPr="00174055" w:rsidRDefault="00C72E0E" w:rsidP="00C72E0E">
      <w:pPr>
        <w:pStyle w:val="pb-2"/>
        <w:spacing w:line="360" w:lineRule="auto"/>
        <w:jc w:val="both"/>
        <w:rPr>
          <w:rFonts w:ascii="Arial" w:hAnsi="Arial" w:cs="Arial"/>
          <w:b/>
          <w:bCs/>
          <w:sz w:val="22"/>
          <w:szCs w:val="22"/>
        </w:rPr>
      </w:pPr>
      <w:r w:rsidRPr="00A832CD">
        <w:rPr>
          <w:rFonts w:ascii="Arial" w:hAnsi="Arial" w:cs="Arial"/>
          <w:sz w:val="22"/>
          <w:szCs w:val="22"/>
        </w:rPr>
        <w:t>Based on Williams (2022), in the early 20th century, concerns about poor living conditions in workhouses led to the establishment of state-supported care homes, particularly after the introduction of the Old Age Pensions Act (1908), which helped reduce poor relief. According to Ritch (2015), The National Assistance Act (1948) further transformed elderly care by abolishing workhouses and creating a formal residential care system.</w:t>
      </w:r>
    </w:p>
    <w:p w14:paraId="05309E17" w14:textId="77777777" w:rsidR="00C72E0E" w:rsidRPr="000E45F6" w:rsidRDefault="00C72E0E" w:rsidP="00C72E0E">
      <w:pPr>
        <w:pStyle w:val="pb-2"/>
        <w:spacing w:line="360" w:lineRule="auto"/>
        <w:rPr>
          <w:rStyle w:val="Strong"/>
          <w:rFonts w:ascii="Arial" w:hAnsi="Arial" w:cs="Arial"/>
        </w:rPr>
      </w:pPr>
      <w:r w:rsidRPr="000E45F6">
        <w:rPr>
          <w:rStyle w:val="Strong"/>
          <w:rFonts w:ascii="Arial" w:hAnsi="Arial" w:cs="Arial"/>
        </w:rPr>
        <w:t>Modern Care Home System</w:t>
      </w:r>
    </w:p>
    <w:p w14:paraId="352D835E" w14:textId="01763F73" w:rsidR="00C72E0E" w:rsidRPr="00A753B4" w:rsidRDefault="00C72E0E" w:rsidP="00C72E0E">
      <w:pPr>
        <w:pStyle w:val="pb-2"/>
        <w:spacing w:line="360" w:lineRule="auto"/>
        <w:jc w:val="both"/>
        <w:rPr>
          <w:rFonts w:ascii="Arial" w:hAnsi="Arial" w:cs="Arial"/>
          <w:sz w:val="22"/>
          <w:szCs w:val="22"/>
        </w:rPr>
      </w:pPr>
      <w:r w:rsidRPr="00A753B4">
        <w:rPr>
          <w:rFonts w:ascii="Arial" w:hAnsi="Arial" w:cs="Arial"/>
          <w:sz w:val="22"/>
          <w:szCs w:val="22"/>
        </w:rPr>
        <w:t xml:space="preserve">The Care Standards Act (2000) established regulatory frameworks to ensure quality care is provided for elderly residents by care homes in the late 20th century (Kerrison and Pollock, 2001). A National Care Standards Commission was created to monitor compliance with national minimum </w:t>
      </w:r>
      <w:r w:rsidRPr="00A753B4">
        <w:rPr>
          <w:rStyle w:val="issue-underline"/>
          <w:rFonts w:ascii="Arial" w:eastAsia="Calibri Light" w:hAnsi="Arial" w:cs="Arial"/>
          <w:sz w:val="22"/>
          <w:szCs w:val="22"/>
        </w:rPr>
        <w:t>standards (GOV.UK,</w:t>
      </w:r>
      <w:r w:rsidRPr="00A753B4">
        <w:rPr>
          <w:rFonts w:ascii="Arial" w:hAnsi="Arial" w:cs="Arial"/>
          <w:sz w:val="22"/>
          <w:szCs w:val="22"/>
        </w:rPr>
        <w:t xml:space="preserve"> 2003). This marked a shift towards greater accountability and transparency, aiming to improve residents</w:t>
      </w:r>
      <w:r w:rsidR="00A844F5">
        <w:rPr>
          <w:rFonts w:ascii="Arial" w:hAnsi="Arial" w:cs="Arial"/>
          <w:sz w:val="22"/>
          <w:szCs w:val="22"/>
        </w:rPr>
        <w:t>'</w:t>
      </w:r>
      <w:r w:rsidRPr="00A753B4">
        <w:rPr>
          <w:rFonts w:ascii="Arial" w:hAnsi="Arial" w:cs="Arial"/>
          <w:sz w:val="22"/>
          <w:szCs w:val="22"/>
        </w:rPr>
        <w:t xml:space="preserve"> safety, dignity, and overall quality of life.</w:t>
      </w:r>
    </w:p>
    <w:p w14:paraId="2E156AAA" w14:textId="77777777" w:rsidR="00C72E0E" w:rsidRPr="003D0CEA" w:rsidRDefault="00C72E0E" w:rsidP="00C72E0E">
      <w:pPr>
        <w:pStyle w:val="paragraph"/>
        <w:spacing w:before="0" w:beforeAutospacing="0" w:after="0" w:afterAutospacing="0" w:line="360" w:lineRule="auto"/>
        <w:textAlignment w:val="baseline"/>
        <w:rPr>
          <w:rFonts w:ascii="Arial" w:hAnsi="Arial" w:cs="Arial"/>
          <w:sz w:val="16"/>
          <w:szCs w:val="16"/>
        </w:rPr>
      </w:pPr>
    </w:p>
    <w:p w14:paraId="06A9DA79" w14:textId="77777777" w:rsidR="00C72E0E" w:rsidRPr="00740BF3" w:rsidRDefault="00C72E0E" w:rsidP="00C72E0E">
      <w:pPr>
        <w:pStyle w:val="paragraph"/>
        <w:spacing w:before="0" w:beforeAutospacing="0" w:after="0" w:afterAutospacing="0" w:line="360" w:lineRule="auto"/>
        <w:textAlignment w:val="baseline"/>
        <w:rPr>
          <w:rStyle w:val="normaltextrun"/>
          <w:rFonts w:ascii="Arial" w:hAnsi="Arial" w:cs="Arial"/>
          <w:b/>
          <w:bCs/>
        </w:rPr>
      </w:pPr>
      <w:r w:rsidRPr="00740BF3">
        <w:rPr>
          <w:rStyle w:val="normaltextrun"/>
          <w:rFonts w:ascii="Arial" w:hAnsi="Arial" w:cs="Arial"/>
          <w:b/>
          <w:bCs/>
        </w:rPr>
        <w:t>Significant Historical Figures and Contributions</w:t>
      </w:r>
    </w:p>
    <w:p w14:paraId="3D2EF7D9" w14:textId="77777777" w:rsidR="00C72E0E" w:rsidRPr="00373A4E" w:rsidRDefault="00C72E0E" w:rsidP="00C72E0E">
      <w:pPr>
        <w:pStyle w:val="pb-2"/>
        <w:spacing w:line="360" w:lineRule="auto"/>
        <w:jc w:val="both"/>
        <w:rPr>
          <w:rFonts w:ascii="Arial" w:hAnsi="Arial" w:cs="Arial"/>
          <w:sz w:val="22"/>
          <w:szCs w:val="22"/>
        </w:rPr>
      </w:pPr>
      <w:r w:rsidRPr="00373A4E">
        <w:rPr>
          <w:rFonts w:ascii="Arial" w:hAnsi="Arial" w:cs="Arial"/>
          <w:sz w:val="22"/>
          <w:szCs w:val="22"/>
        </w:rPr>
        <w:t>John Snow (1813–1858) was an innovative physician and epidemiologist whose contributions significantly transformed public health and disease prevention (</w:t>
      </w:r>
      <w:proofErr w:type="spellStart"/>
      <w:r w:rsidRPr="00373A4E">
        <w:rPr>
          <w:rFonts w:ascii="Arial" w:hAnsi="Arial" w:cs="Arial"/>
          <w:sz w:val="22"/>
          <w:szCs w:val="22"/>
        </w:rPr>
        <w:t>Avdulla</w:t>
      </w:r>
      <w:proofErr w:type="spellEnd"/>
      <w:r w:rsidRPr="00373A4E">
        <w:rPr>
          <w:rFonts w:ascii="Arial" w:hAnsi="Arial" w:cs="Arial"/>
          <w:sz w:val="22"/>
          <w:szCs w:val="22"/>
        </w:rPr>
        <w:t xml:space="preserve"> and </w:t>
      </w:r>
      <w:proofErr w:type="spellStart"/>
      <w:r w:rsidRPr="00373A4E">
        <w:rPr>
          <w:rFonts w:ascii="Arial" w:hAnsi="Arial" w:cs="Arial"/>
          <w:sz w:val="22"/>
          <w:szCs w:val="22"/>
        </w:rPr>
        <w:t>Tachirai</w:t>
      </w:r>
      <w:proofErr w:type="spellEnd"/>
      <w:r w:rsidRPr="00373A4E">
        <w:rPr>
          <w:rFonts w:ascii="Arial" w:hAnsi="Arial" w:cs="Arial"/>
          <w:sz w:val="22"/>
          <w:szCs w:val="22"/>
        </w:rPr>
        <w:t>, 2024). In particular, he is remembered for his investigation of the London cholera outbreak of 1854 (Tulchinsky, 2018). His analysis of data and statistics led him to identify a contaminated water pump on Broad Street as the source of the outbreak (Begum, 2016).</w:t>
      </w:r>
    </w:p>
    <w:p w14:paraId="4DE719E5" w14:textId="77777777" w:rsidR="00C72E0E" w:rsidRPr="00373A4E" w:rsidRDefault="00C72E0E" w:rsidP="00C72E0E">
      <w:pPr>
        <w:pStyle w:val="pb-2"/>
        <w:spacing w:line="360" w:lineRule="auto"/>
        <w:jc w:val="both"/>
        <w:rPr>
          <w:rFonts w:ascii="Arial" w:hAnsi="Arial" w:cs="Arial"/>
          <w:sz w:val="22"/>
          <w:szCs w:val="22"/>
        </w:rPr>
      </w:pPr>
      <w:r w:rsidRPr="00373A4E">
        <w:rPr>
          <w:rFonts w:ascii="Arial" w:hAnsi="Arial" w:cs="Arial"/>
          <w:sz w:val="22"/>
          <w:szCs w:val="22"/>
        </w:rPr>
        <w:t xml:space="preserve">At the time, the dominant belief was that illnesses were caused by </w:t>
      </w:r>
      <w:r w:rsidRPr="00373A4E">
        <w:rPr>
          <w:rStyle w:val="issue-underline"/>
          <w:rFonts w:ascii="Arial" w:eastAsia="Calibri Light" w:hAnsi="Arial" w:cs="Arial"/>
          <w:sz w:val="22"/>
          <w:szCs w:val="22"/>
        </w:rPr>
        <w:t>"bad</w:t>
      </w:r>
      <w:r w:rsidRPr="00373A4E">
        <w:rPr>
          <w:rFonts w:ascii="Arial" w:hAnsi="Arial" w:cs="Arial"/>
          <w:sz w:val="22"/>
          <w:szCs w:val="22"/>
        </w:rPr>
        <w:t xml:space="preserve"> air." Instead, Snow demonstrated that cholera is spread by contaminated water (Radkowski </w:t>
      </w:r>
      <w:r w:rsidRPr="00373A4E">
        <w:rPr>
          <w:rStyle w:val="Emphasis"/>
          <w:rFonts w:ascii="Arial" w:hAnsi="Arial" w:cs="Arial"/>
          <w:sz w:val="22"/>
          <w:szCs w:val="22"/>
        </w:rPr>
        <w:t>et al.</w:t>
      </w:r>
      <w:r w:rsidRPr="00373A4E">
        <w:rPr>
          <w:rFonts w:ascii="Arial" w:hAnsi="Arial" w:cs="Arial"/>
          <w:sz w:val="22"/>
          <w:szCs w:val="22"/>
        </w:rPr>
        <w:t xml:space="preserve">, </w:t>
      </w:r>
      <w:r w:rsidRPr="00373A4E">
        <w:rPr>
          <w:rFonts w:ascii="Arial" w:hAnsi="Arial" w:cs="Arial"/>
          <w:sz w:val="22"/>
          <w:szCs w:val="22"/>
        </w:rPr>
        <w:lastRenderedPageBreak/>
        <w:t>2024). </w:t>
      </w:r>
      <w:r w:rsidRPr="00373A4E">
        <w:rPr>
          <w:rStyle w:val="issue-underline"/>
          <w:rFonts w:ascii="Arial" w:eastAsia="Calibri Light" w:hAnsi="Arial" w:cs="Arial"/>
          <w:sz w:val="22"/>
          <w:szCs w:val="22"/>
        </w:rPr>
        <w:t>According to Pelling (2022),</w:t>
      </w:r>
      <w:r w:rsidRPr="00373A4E">
        <w:rPr>
          <w:rFonts w:ascii="Arial" w:hAnsi="Arial" w:cs="Arial"/>
          <w:sz w:val="22"/>
          <w:szCs w:val="22"/>
        </w:rPr>
        <w:t xml:space="preserve"> his work established the groundwork for modern epidemiology and public health practices.</w:t>
      </w:r>
    </w:p>
    <w:p w14:paraId="35D94CC5" w14:textId="77777777" w:rsidR="00C72E0E" w:rsidRPr="00373A4E" w:rsidRDefault="00C72E0E" w:rsidP="00C72E0E">
      <w:pPr>
        <w:pStyle w:val="pb-2"/>
        <w:spacing w:line="360" w:lineRule="auto"/>
        <w:jc w:val="both"/>
        <w:rPr>
          <w:rFonts w:ascii="Arial" w:hAnsi="Arial" w:cs="Arial"/>
          <w:sz w:val="22"/>
          <w:szCs w:val="22"/>
        </w:rPr>
      </w:pPr>
      <w:r w:rsidRPr="00373A4E">
        <w:rPr>
          <w:rFonts w:ascii="Arial" w:hAnsi="Arial" w:cs="Arial"/>
          <w:sz w:val="22"/>
          <w:szCs w:val="22"/>
        </w:rPr>
        <w:t>The techniques he developed for mapping diseases and analysing data not only advanced our understanding of infection control but also helped shape policies focused on ensuring clean water and proper sanitation (</w:t>
      </w:r>
      <w:proofErr w:type="spellStart"/>
      <w:r w:rsidRPr="00373A4E">
        <w:rPr>
          <w:rFonts w:ascii="Arial" w:hAnsi="Arial" w:cs="Arial"/>
          <w:sz w:val="22"/>
          <w:szCs w:val="22"/>
        </w:rPr>
        <w:t>Avdulla</w:t>
      </w:r>
      <w:proofErr w:type="spellEnd"/>
      <w:r w:rsidRPr="00373A4E">
        <w:rPr>
          <w:rFonts w:ascii="Arial" w:hAnsi="Arial" w:cs="Arial"/>
          <w:sz w:val="22"/>
          <w:szCs w:val="22"/>
        </w:rPr>
        <w:t xml:space="preserve"> and </w:t>
      </w:r>
      <w:proofErr w:type="spellStart"/>
      <w:r w:rsidRPr="00373A4E">
        <w:rPr>
          <w:rFonts w:ascii="Arial" w:hAnsi="Arial" w:cs="Arial"/>
          <w:sz w:val="22"/>
          <w:szCs w:val="22"/>
        </w:rPr>
        <w:t>Tachirai</w:t>
      </w:r>
      <w:proofErr w:type="spellEnd"/>
      <w:r w:rsidRPr="00373A4E">
        <w:rPr>
          <w:rFonts w:ascii="Arial" w:hAnsi="Arial" w:cs="Arial"/>
          <w:sz w:val="22"/>
          <w:szCs w:val="22"/>
        </w:rPr>
        <w:t>, 2024). As a result of his findings, cities began to invest in effective sewage systems, which helped reduce the spread of diseases linked to contaminated water (Tulchinsky, 2018). Snow's influence is still felt in today</w:t>
      </w:r>
      <w:r>
        <w:rPr>
          <w:rFonts w:ascii="Arial" w:hAnsi="Arial" w:cs="Arial"/>
          <w:sz w:val="22"/>
          <w:szCs w:val="22"/>
        </w:rPr>
        <w:t>'</w:t>
      </w:r>
      <w:r w:rsidRPr="00373A4E">
        <w:rPr>
          <w:rFonts w:ascii="Arial" w:hAnsi="Arial" w:cs="Arial"/>
          <w:sz w:val="22"/>
          <w:szCs w:val="22"/>
        </w:rPr>
        <w:t>s public health efforts, particularly in managing infectious diseases and providing safe drinking water (Ruths, 2009).</w:t>
      </w:r>
    </w:p>
    <w:p w14:paraId="6C62EE97" w14:textId="77777777" w:rsidR="00C72E0E" w:rsidRDefault="00C72E0E" w:rsidP="00C72E0E">
      <w:pPr>
        <w:pStyle w:val="pb-2"/>
        <w:spacing w:line="360" w:lineRule="auto"/>
        <w:jc w:val="both"/>
        <w:rPr>
          <w:rFonts w:ascii="Arial" w:hAnsi="Arial" w:cs="Arial"/>
          <w:sz w:val="22"/>
          <w:szCs w:val="22"/>
        </w:rPr>
      </w:pPr>
      <w:r w:rsidRPr="00373A4E">
        <w:rPr>
          <w:rFonts w:ascii="Arial" w:hAnsi="Arial" w:cs="Arial"/>
          <w:sz w:val="22"/>
          <w:szCs w:val="22"/>
        </w:rPr>
        <w:t>His commitment to evidence-based research has played a key role in shaping modern epidemiology and guiding responses to disease outbreaks, including COVID-19 (Pelling, 2022). Snow</w:t>
      </w:r>
      <w:r>
        <w:rPr>
          <w:rFonts w:ascii="Arial" w:hAnsi="Arial" w:cs="Arial"/>
          <w:sz w:val="22"/>
          <w:szCs w:val="22"/>
        </w:rPr>
        <w:t>'</w:t>
      </w:r>
      <w:r w:rsidRPr="00373A4E">
        <w:rPr>
          <w:rFonts w:ascii="Arial" w:hAnsi="Arial" w:cs="Arial"/>
          <w:sz w:val="22"/>
          <w:szCs w:val="22"/>
        </w:rPr>
        <w:t xml:space="preserve">s pioneering work highlighted the importance of data-driven strategies in public health (McNabb </w:t>
      </w:r>
      <w:r w:rsidRPr="00373A4E">
        <w:rPr>
          <w:rStyle w:val="Emphasis"/>
          <w:rFonts w:ascii="Arial" w:hAnsi="Arial" w:cs="Arial"/>
          <w:sz w:val="22"/>
          <w:szCs w:val="22"/>
        </w:rPr>
        <w:t>et al.</w:t>
      </w:r>
      <w:r w:rsidRPr="00373A4E">
        <w:rPr>
          <w:rFonts w:ascii="Arial" w:hAnsi="Arial" w:cs="Arial"/>
          <w:sz w:val="22"/>
          <w:szCs w:val="22"/>
        </w:rPr>
        <w:t>, 2016, pp. 299–305). These strategies continue to guide policies aimed at improving health outcomes for all, especially vulnerable groups like elderly individuals in care facilities.</w:t>
      </w:r>
    </w:p>
    <w:p w14:paraId="74B6FE4C" w14:textId="77777777" w:rsidR="00C72E0E" w:rsidRPr="003D0CEA" w:rsidRDefault="00C72E0E" w:rsidP="00C72E0E">
      <w:pPr>
        <w:pStyle w:val="paragraph"/>
        <w:spacing w:before="0" w:beforeAutospacing="0" w:after="0" w:afterAutospacing="0" w:line="360" w:lineRule="auto"/>
        <w:textAlignment w:val="baseline"/>
        <w:rPr>
          <w:rFonts w:ascii="Arial" w:hAnsi="Arial" w:cs="Arial"/>
          <w:color w:val="0F4761"/>
          <w:sz w:val="16"/>
          <w:szCs w:val="16"/>
        </w:rPr>
      </w:pPr>
      <w:r w:rsidRPr="003D0CEA">
        <w:rPr>
          <w:rStyle w:val="normaltextrun"/>
          <w:rFonts w:ascii="Arial" w:hAnsi="Arial" w:cs="Arial"/>
          <w:color w:val="0F4761"/>
        </w:rPr>
        <w:t xml:space="preserve">2.3 Theoretical Background </w:t>
      </w:r>
    </w:p>
    <w:p w14:paraId="2B46B1D5" w14:textId="77777777" w:rsidR="00C72E0E" w:rsidRPr="000E45F6" w:rsidRDefault="00C72E0E" w:rsidP="00C72E0E">
      <w:pPr>
        <w:pStyle w:val="pb-2"/>
        <w:spacing w:line="360" w:lineRule="auto"/>
        <w:jc w:val="both"/>
        <w:rPr>
          <w:rFonts w:ascii="Arial" w:hAnsi="Arial" w:cs="Arial"/>
          <w:b/>
          <w:bCs/>
        </w:rPr>
      </w:pPr>
      <w:r w:rsidRPr="000E45F6">
        <w:rPr>
          <w:rFonts w:ascii="Arial" w:hAnsi="Arial" w:cs="Arial"/>
          <w:b/>
          <w:bCs/>
        </w:rPr>
        <w:t>Key Theories and Concepts</w:t>
      </w:r>
    </w:p>
    <w:p w14:paraId="5220F48C" w14:textId="3C8D9083" w:rsidR="00C72E0E" w:rsidRPr="00FF5BFB" w:rsidRDefault="00C72E0E" w:rsidP="00C72E0E">
      <w:pPr>
        <w:pStyle w:val="pb-2"/>
        <w:spacing w:line="360" w:lineRule="auto"/>
        <w:jc w:val="both"/>
        <w:rPr>
          <w:rFonts w:ascii="Arial" w:hAnsi="Arial" w:cs="Arial"/>
          <w:sz w:val="22"/>
          <w:szCs w:val="22"/>
        </w:rPr>
      </w:pPr>
      <w:r w:rsidRPr="00FF5BFB">
        <w:rPr>
          <w:rFonts w:ascii="Arial" w:hAnsi="Arial" w:cs="Arial"/>
          <w:sz w:val="22"/>
          <w:szCs w:val="22"/>
        </w:rPr>
        <w:t>Understanding the psychological impact of social isolation on elderly residents in UK care homes during the COVID-19 pandemic involves examining several foundational theories. Maslow</w:t>
      </w:r>
      <w:r>
        <w:rPr>
          <w:rFonts w:ascii="Arial" w:hAnsi="Arial" w:cs="Arial"/>
          <w:sz w:val="22"/>
          <w:szCs w:val="22"/>
        </w:rPr>
        <w:t>'</w:t>
      </w:r>
      <w:r w:rsidRPr="00FF5BFB">
        <w:rPr>
          <w:rFonts w:ascii="Arial" w:hAnsi="Arial" w:cs="Arial"/>
          <w:sz w:val="22"/>
          <w:szCs w:val="22"/>
        </w:rPr>
        <w:t xml:space="preserve">s Hierarchy of Needs (1943) proposes that human motivation progresses through five levels: physiological, safety, love/belongingness, esteem, and self-actualisation. The third level, love and belonging, is particularly relevant for elderly individuals; according to WHO (2023), social connections are vital for psychological wellbeing. The pandemic's restrictions disrupted these essential bonds, leading to </w:t>
      </w:r>
      <w:r w:rsidRPr="00FF5BFB">
        <w:rPr>
          <w:rStyle w:val="issue-underline"/>
          <w:rFonts w:ascii="Arial" w:eastAsia="Calibri Light" w:hAnsi="Arial" w:cs="Arial"/>
          <w:sz w:val="22"/>
          <w:szCs w:val="22"/>
        </w:rPr>
        <w:t>increased feelings of loneliness</w:t>
      </w:r>
      <w:r w:rsidRPr="00FF5BFB">
        <w:rPr>
          <w:rFonts w:ascii="Arial" w:hAnsi="Arial" w:cs="Arial"/>
          <w:sz w:val="22"/>
          <w:szCs w:val="22"/>
        </w:rPr>
        <w:t xml:space="preserve"> and emotional distress among care home residents (Sims </w:t>
      </w:r>
      <w:r w:rsidRPr="00FF5BFB">
        <w:rPr>
          <w:rStyle w:val="Emphasis"/>
          <w:rFonts w:ascii="Arial" w:hAnsi="Arial" w:cs="Arial"/>
          <w:sz w:val="22"/>
          <w:szCs w:val="22"/>
        </w:rPr>
        <w:t>et al.</w:t>
      </w:r>
      <w:r w:rsidRPr="00FF5BFB">
        <w:rPr>
          <w:rFonts w:ascii="Arial" w:hAnsi="Arial" w:cs="Arial"/>
          <w:sz w:val="22"/>
          <w:szCs w:val="22"/>
        </w:rPr>
        <w:t>, 2024; NIHR, 2022).</w:t>
      </w:r>
    </w:p>
    <w:p w14:paraId="5552733A" w14:textId="78259BAB" w:rsidR="00C72E0E" w:rsidRPr="00FF5BFB" w:rsidRDefault="00C72E0E" w:rsidP="00C72E0E">
      <w:pPr>
        <w:pStyle w:val="pb-2"/>
        <w:spacing w:line="360" w:lineRule="auto"/>
        <w:jc w:val="both"/>
        <w:rPr>
          <w:rFonts w:ascii="Arial" w:hAnsi="Arial" w:cs="Arial"/>
          <w:sz w:val="22"/>
          <w:szCs w:val="22"/>
        </w:rPr>
      </w:pPr>
      <w:r w:rsidRPr="00FF5BFB">
        <w:rPr>
          <w:rFonts w:ascii="Arial" w:hAnsi="Arial" w:cs="Arial"/>
          <w:sz w:val="22"/>
          <w:szCs w:val="22"/>
        </w:rPr>
        <w:t xml:space="preserve">Socioemotional Selectivity Theory (SST), introduced by Carstensen, </w:t>
      </w:r>
      <w:proofErr w:type="spellStart"/>
      <w:r w:rsidRPr="00FF5BFB">
        <w:rPr>
          <w:rFonts w:ascii="Arial" w:hAnsi="Arial" w:cs="Arial"/>
          <w:sz w:val="22"/>
          <w:szCs w:val="22"/>
        </w:rPr>
        <w:t>Isaacowitz</w:t>
      </w:r>
      <w:proofErr w:type="spellEnd"/>
      <w:r w:rsidRPr="00FF5BFB">
        <w:rPr>
          <w:rFonts w:ascii="Arial" w:hAnsi="Arial" w:cs="Arial"/>
          <w:sz w:val="22"/>
          <w:szCs w:val="22"/>
        </w:rPr>
        <w:t xml:space="preserve"> and Charles (1999), </w:t>
      </w:r>
      <w:r w:rsidR="004F40FB" w:rsidRPr="00FF5BFB">
        <w:rPr>
          <w:rFonts w:ascii="Arial" w:hAnsi="Arial" w:cs="Arial"/>
          <w:sz w:val="22"/>
          <w:szCs w:val="22"/>
        </w:rPr>
        <w:t>suggests</w:t>
      </w:r>
      <w:r w:rsidRPr="00FF5BFB">
        <w:rPr>
          <w:rFonts w:ascii="Arial" w:hAnsi="Arial" w:cs="Arial"/>
          <w:sz w:val="22"/>
          <w:szCs w:val="22"/>
        </w:rPr>
        <w:t xml:space="preserve"> that as people age and perceive their remaining time as limited, they prioritise emotionally meaningful relationships over expansive social networks. This theory is significant </w:t>
      </w:r>
      <w:r>
        <w:rPr>
          <w:rFonts w:ascii="Arial" w:hAnsi="Arial" w:cs="Arial"/>
          <w:sz w:val="22"/>
          <w:szCs w:val="22"/>
        </w:rPr>
        <w:t>in understanding why elderly residents experience</w:t>
      </w:r>
      <w:r w:rsidRPr="00FF5BFB">
        <w:rPr>
          <w:rFonts w:ascii="Arial" w:hAnsi="Arial" w:cs="Arial"/>
          <w:sz w:val="22"/>
          <w:szCs w:val="22"/>
        </w:rPr>
        <w:t xml:space="preserve"> distress when deprived of close familial interactions during lockdowns.</w:t>
      </w:r>
    </w:p>
    <w:p w14:paraId="571B6624" w14:textId="77777777" w:rsidR="00C72E0E" w:rsidRDefault="00C72E0E" w:rsidP="00C72E0E">
      <w:pPr>
        <w:pStyle w:val="pb-2"/>
        <w:spacing w:line="360" w:lineRule="auto"/>
        <w:jc w:val="both"/>
        <w:rPr>
          <w:rFonts w:ascii="Arial" w:hAnsi="Arial" w:cs="Arial"/>
          <w:sz w:val="22"/>
          <w:szCs w:val="22"/>
        </w:rPr>
      </w:pPr>
      <w:r w:rsidRPr="00FF5BFB">
        <w:rPr>
          <w:rFonts w:ascii="Arial" w:hAnsi="Arial" w:cs="Arial"/>
          <w:sz w:val="22"/>
          <w:szCs w:val="22"/>
        </w:rPr>
        <w:lastRenderedPageBreak/>
        <w:t xml:space="preserve">Activity Theory, formulated by Havighurst (1961), suggests that successful ageing is associated with ongoing engagement in meaningful activities (Tabet, 2016). </w:t>
      </w:r>
      <w:r w:rsidRPr="00FF5BFB">
        <w:rPr>
          <w:rStyle w:val="issue-underline"/>
          <w:rFonts w:ascii="Arial" w:eastAsia="Calibri Light" w:hAnsi="Arial" w:cs="Arial"/>
          <w:sz w:val="22"/>
          <w:szCs w:val="22"/>
        </w:rPr>
        <w:t>It is crucial for care home residents to</w:t>
      </w:r>
      <w:r w:rsidRPr="00FF5BFB">
        <w:rPr>
          <w:rFonts w:ascii="Arial" w:hAnsi="Arial" w:cs="Arial"/>
          <w:sz w:val="22"/>
          <w:szCs w:val="22"/>
        </w:rPr>
        <w:t xml:space="preserve"> participate in social and recreational activities to maintain their mental health </w:t>
      </w:r>
      <w:r w:rsidRPr="00FF5BFB">
        <w:rPr>
          <w:rStyle w:val="issue-underline"/>
          <w:rFonts w:ascii="Arial" w:eastAsia="Calibri Light" w:hAnsi="Arial" w:cs="Arial"/>
          <w:sz w:val="22"/>
          <w:szCs w:val="22"/>
        </w:rPr>
        <w:t>(</w:t>
      </w:r>
      <w:proofErr w:type="spellStart"/>
      <w:r w:rsidRPr="00FF5BFB">
        <w:rPr>
          <w:rStyle w:val="issue-underline"/>
          <w:rFonts w:ascii="Arial" w:eastAsia="Calibri Light" w:hAnsi="Arial" w:cs="Arial"/>
          <w:sz w:val="22"/>
          <w:szCs w:val="22"/>
        </w:rPr>
        <w:t>Fremantletrust</w:t>
      </w:r>
      <w:proofErr w:type="spellEnd"/>
      <w:r w:rsidRPr="00FF5BFB">
        <w:rPr>
          <w:rStyle w:val="issue-underline"/>
          <w:rFonts w:ascii="Arial" w:eastAsia="Calibri Light" w:hAnsi="Arial" w:cs="Arial"/>
          <w:sz w:val="22"/>
          <w:szCs w:val="22"/>
        </w:rPr>
        <w:t>,</w:t>
      </w:r>
      <w:r w:rsidRPr="00FF5BFB">
        <w:rPr>
          <w:rFonts w:ascii="Arial" w:hAnsi="Arial" w:cs="Arial"/>
          <w:sz w:val="22"/>
          <w:szCs w:val="22"/>
        </w:rPr>
        <w:t xml:space="preserve"> 2024). The suspension of these activities during the pandemic likely exacerbated feelings of isolation and depression (Marshall, Carter and James, 2020; Martín-Erice </w:t>
      </w:r>
      <w:r w:rsidRPr="00FF5BFB">
        <w:rPr>
          <w:rStyle w:val="Emphasis"/>
          <w:rFonts w:ascii="Arial" w:hAnsi="Arial" w:cs="Arial"/>
          <w:sz w:val="22"/>
          <w:szCs w:val="22"/>
        </w:rPr>
        <w:t>et al.</w:t>
      </w:r>
      <w:r w:rsidRPr="00FF5BFB">
        <w:rPr>
          <w:rFonts w:ascii="Arial" w:hAnsi="Arial" w:cs="Arial"/>
          <w:sz w:val="22"/>
          <w:szCs w:val="22"/>
        </w:rPr>
        <w:t>, 2024).</w:t>
      </w:r>
    </w:p>
    <w:p w14:paraId="512A4666" w14:textId="77777777" w:rsidR="00C72E0E" w:rsidRPr="00A753B4" w:rsidRDefault="00C72E0E" w:rsidP="00C72E0E">
      <w:pPr>
        <w:pStyle w:val="pb-2"/>
        <w:spacing w:line="360" w:lineRule="auto"/>
        <w:jc w:val="both"/>
        <w:rPr>
          <w:rFonts w:ascii="Arial" w:hAnsi="Arial" w:cs="Arial"/>
          <w:b/>
          <w:bCs/>
        </w:rPr>
      </w:pPr>
      <w:r w:rsidRPr="00A753B4">
        <w:rPr>
          <w:rFonts w:ascii="Arial" w:hAnsi="Arial" w:cs="Arial"/>
          <w:b/>
          <w:bCs/>
        </w:rPr>
        <w:t xml:space="preserve">Application of </w:t>
      </w:r>
      <w:r w:rsidRPr="00A753B4">
        <w:rPr>
          <w:rStyle w:val="issue-underline"/>
          <w:rFonts w:ascii="Arial" w:eastAsia="Calibri Light" w:hAnsi="Arial" w:cs="Arial"/>
          <w:b/>
          <w:bCs/>
        </w:rPr>
        <w:t>Theories</w:t>
      </w:r>
    </w:p>
    <w:p w14:paraId="5DDB904B" w14:textId="1DEDB866" w:rsidR="00C72E0E" w:rsidRPr="00EF1DCA" w:rsidRDefault="00C72E0E" w:rsidP="00C72E0E">
      <w:pPr>
        <w:pStyle w:val="pb-2"/>
        <w:spacing w:line="360" w:lineRule="auto"/>
        <w:jc w:val="both"/>
        <w:rPr>
          <w:rFonts w:ascii="Arial" w:hAnsi="Arial" w:cs="Arial"/>
          <w:sz w:val="22"/>
          <w:szCs w:val="22"/>
        </w:rPr>
      </w:pPr>
      <w:r w:rsidRPr="00FF5BFB">
        <w:rPr>
          <w:rFonts w:ascii="Arial" w:hAnsi="Arial" w:cs="Arial"/>
          <w:sz w:val="22"/>
          <w:szCs w:val="22"/>
        </w:rPr>
        <w:t>Maslow</w:t>
      </w:r>
      <w:r>
        <w:rPr>
          <w:rFonts w:ascii="Arial" w:hAnsi="Arial" w:cs="Arial"/>
          <w:sz w:val="22"/>
          <w:szCs w:val="22"/>
        </w:rPr>
        <w:t>'</w:t>
      </w:r>
      <w:r w:rsidRPr="00FF5BFB">
        <w:rPr>
          <w:rFonts w:ascii="Arial" w:hAnsi="Arial" w:cs="Arial"/>
          <w:sz w:val="22"/>
          <w:szCs w:val="22"/>
        </w:rPr>
        <w:t xml:space="preserve">s Hierarchy of Needs (1943) has been applied to assess the impact of unmet social needs on mental health. Research by Marshall, Carter and James (2020) highlighted that restrictions on family visits led to increased loneliness and depression among elderly residents, underscoring the importance of </w:t>
      </w:r>
      <w:r w:rsidRPr="00FF5BFB">
        <w:rPr>
          <w:rStyle w:val="issue-underline"/>
          <w:rFonts w:ascii="Arial" w:eastAsia="Calibri Light" w:hAnsi="Arial" w:cs="Arial"/>
          <w:sz w:val="22"/>
          <w:szCs w:val="22"/>
        </w:rPr>
        <w:t>belongingness</w:t>
      </w:r>
      <w:r w:rsidRPr="00FF5BFB">
        <w:rPr>
          <w:rFonts w:ascii="Arial" w:hAnsi="Arial" w:cs="Arial"/>
          <w:sz w:val="22"/>
          <w:szCs w:val="22"/>
        </w:rPr>
        <w:t xml:space="preserve"> </w:t>
      </w:r>
      <w:r w:rsidRPr="00FF5BFB">
        <w:rPr>
          <w:rStyle w:val="issue-underline"/>
          <w:rFonts w:ascii="Arial" w:eastAsia="Calibri Light" w:hAnsi="Arial" w:cs="Arial"/>
          <w:sz w:val="22"/>
          <w:szCs w:val="22"/>
        </w:rPr>
        <w:t>for</w:t>
      </w:r>
      <w:r w:rsidRPr="00FF5BFB">
        <w:rPr>
          <w:rFonts w:ascii="Arial" w:hAnsi="Arial" w:cs="Arial"/>
          <w:sz w:val="22"/>
          <w:szCs w:val="22"/>
        </w:rPr>
        <w:t xml:space="preserve"> psychological wellbeing. Similarly, Shoib </w:t>
      </w:r>
      <w:r w:rsidRPr="009C782A">
        <w:rPr>
          <w:rFonts w:ascii="Arial" w:hAnsi="Arial" w:cs="Arial"/>
          <w:i/>
          <w:iCs/>
          <w:sz w:val="22"/>
          <w:szCs w:val="22"/>
        </w:rPr>
        <w:t>et al.</w:t>
      </w:r>
      <w:r w:rsidRPr="00FF5BFB">
        <w:rPr>
          <w:rFonts w:ascii="Arial" w:hAnsi="Arial" w:cs="Arial"/>
          <w:sz w:val="22"/>
          <w:szCs w:val="22"/>
        </w:rPr>
        <w:t xml:space="preserve"> (2022) found that </w:t>
      </w:r>
      <w:r w:rsidRPr="00FF5BFB">
        <w:rPr>
          <w:rStyle w:val="issue-underline"/>
          <w:rFonts w:ascii="Arial" w:eastAsia="Calibri Light" w:hAnsi="Arial" w:cs="Arial"/>
          <w:sz w:val="22"/>
          <w:szCs w:val="22"/>
        </w:rPr>
        <w:t>the disruption of social connections during</w:t>
      </w:r>
      <w:r w:rsidRPr="00FF5BFB">
        <w:rPr>
          <w:rFonts w:ascii="Arial" w:hAnsi="Arial" w:cs="Arial"/>
          <w:sz w:val="22"/>
          <w:szCs w:val="22"/>
        </w:rPr>
        <w:t xml:space="preserve"> the pandemic resulted in heightened emotional distress among older adults. Mortell (2022) applied Maslow</w:t>
      </w:r>
      <w:r>
        <w:rPr>
          <w:rFonts w:ascii="Arial" w:hAnsi="Arial" w:cs="Arial"/>
          <w:sz w:val="22"/>
          <w:szCs w:val="22"/>
        </w:rPr>
        <w:t>'</w:t>
      </w:r>
      <w:r w:rsidRPr="00FF5BFB">
        <w:rPr>
          <w:rFonts w:ascii="Arial" w:hAnsi="Arial" w:cs="Arial"/>
          <w:sz w:val="22"/>
          <w:szCs w:val="22"/>
        </w:rPr>
        <w:t xml:space="preserve">s Hierarchy of Needs to analyse public non-compliance with COVID-19 safety measures, suggesting that unmet basic and psychological needs can lead individuals to </w:t>
      </w:r>
      <w:r w:rsidRPr="00EF1DCA">
        <w:rPr>
          <w:rFonts w:ascii="Arial" w:hAnsi="Arial" w:cs="Arial"/>
          <w:sz w:val="22"/>
          <w:szCs w:val="22"/>
        </w:rPr>
        <w:t>prioritise immediate necessities over adherence to health guidelines.</w:t>
      </w:r>
    </w:p>
    <w:p w14:paraId="4B3B73E6" w14:textId="77777777" w:rsidR="00C72E0E" w:rsidRPr="000D3501" w:rsidRDefault="00C72E0E" w:rsidP="00C72E0E">
      <w:pPr>
        <w:rPr>
          <w:rFonts w:ascii="Times New Roman" w:eastAsia="Times New Roman" w:hAnsi="Times New Roman" w:cs="Times New Roman"/>
          <w:kern w:val="0"/>
          <w:sz w:val="24"/>
          <w:szCs w:val="24"/>
          <w:lang w:eastAsia="en-GB"/>
          <w14:ligatures w14:val="none"/>
        </w:rPr>
      </w:pPr>
      <w:r w:rsidRPr="00EF1DCA">
        <w:rPr>
          <w:rFonts w:ascii="Arial" w:hAnsi="Arial" w:cs="Arial"/>
        </w:rPr>
        <w:t xml:space="preserve">SST has been </w:t>
      </w:r>
      <w:r w:rsidRPr="00EF1DCA">
        <w:rPr>
          <w:rStyle w:val="issue-underline"/>
          <w:rFonts w:ascii="Arial" w:hAnsi="Arial" w:cs="Arial"/>
        </w:rPr>
        <w:t>utilised to explain the behaviour of elderly individuals during</w:t>
      </w:r>
      <w:r w:rsidRPr="00EF1DCA">
        <w:rPr>
          <w:rFonts w:ascii="Arial" w:hAnsi="Arial" w:cs="Arial"/>
        </w:rPr>
        <w:t xml:space="preserve"> the pandemic (Carstensen, Shavit and Barnes, 2020). Research by Ayalon </w:t>
      </w:r>
      <w:r w:rsidRPr="00EF1DCA">
        <w:rPr>
          <w:rStyle w:val="Emphasis"/>
          <w:rFonts w:ascii="Arial" w:hAnsi="Arial" w:cs="Arial"/>
        </w:rPr>
        <w:t>et al.</w:t>
      </w:r>
      <w:r w:rsidRPr="00EF1DCA">
        <w:rPr>
          <w:rFonts w:ascii="Arial" w:hAnsi="Arial" w:cs="Arial"/>
        </w:rPr>
        <w:t xml:space="preserve"> (2020) and Derrer-Merk </w:t>
      </w:r>
      <w:r w:rsidRPr="00EF1DCA">
        <w:rPr>
          <w:rStyle w:val="Emphasis"/>
          <w:rFonts w:ascii="Arial" w:hAnsi="Arial" w:cs="Arial"/>
        </w:rPr>
        <w:t>et al.</w:t>
      </w:r>
      <w:r w:rsidRPr="00EF1DCA">
        <w:rPr>
          <w:rFonts w:ascii="Arial" w:hAnsi="Arial" w:cs="Arial"/>
        </w:rPr>
        <w:t xml:space="preserve"> (2024) indicates that older adults focused on maintaining close relationships, and the inability to engage with family members due to lockdown measures led to significant emotional challenges</w:t>
      </w:r>
      <w:r>
        <w:rPr>
          <w:rFonts w:ascii="Arial" w:hAnsi="Arial" w:cs="Arial"/>
        </w:rPr>
        <w:t xml:space="preserve"> </w:t>
      </w:r>
      <w:r w:rsidRPr="000D3501">
        <w:rPr>
          <w:rFonts w:ascii="Arial" w:eastAsia="Times New Roman" w:hAnsi="Arial" w:cs="Arial"/>
          <w:kern w:val="0"/>
          <w:lang w:eastAsia="en-GB"/>
          <w14:ligatures w14:val="none"/>
        </w:rPr>
        <w:t xml:space="preserve">(Choi </w:t>
      </w:r>
      <w:r w:rsidRPr="000D3501">
        <w:rPr>
          <w:rFonts w:ascii="Arial" w:eastAsia="Times New Roman" w:hAnsi="Arial" w:cs="Arial"/>
          <w:i/>
          <w:iCs/>
          <w:kern w:val="0"/>
          <w:lang w:eastAsia="en-GB"/>
          <w14:ligatures w14:val="none"/>
        </w:rPr>
        <w:t>et al.</w:t>
      </w:r>
      <w:r w:rsidRPr="000D3501">
        <w:rPr>
          <w:rFonts w:ascii="Arial" w:eastAsia="Times New Roman" w:hAnsi="Arial" w:cs="Arial"/>
          <w:kern w:val="0"/>
          <w:lang w:eastAsia="en-GB"/>
          <w14:ligatures w14:val="none"/>
        </w:rPr>
        <w:t>, 2021)</w:t>
      </w:r>
      <w:r w:rsidRPr="00EF1DCA">
        <w:rPr>
          <w:rFonts w:ascii="Arial" w:hAnsi="Arial" w:cs="Arial"/>
        </w:rPr>
        <w:t xml:space="preserve">. Technology was considered essential for care home residents to maintain </w:t>
      </w:r>
      <w:r w:rsidRPr="00EF1DCA">
        <w:rPr>
          <w:rStyle w:val="issue-underline"/>
          <w:rFonts w:ascii="Arial" w:hAnsi="Arial" w:cs="Arial"/>
        </w:rPr>
        <w:t>relationships, but</w:t>
      </w:r>
      <w:r w:rsidRPr="00EF1DCA">
        <w:rPr>
          <w:rFonts w:ascii="Arial" w:hAnsi="Arial" w:cs="Arial"/>
        </w:rPr>
        <w:t xml:space="preserve"> many struggled with digital literacy, as the technology is often not designed for older adults, as reported by Chapman </w:t>
      </w:r>
      <w:r w:rsidRPr="00EF1DCA">
        <w:rPr>
          <w:rStyle w:val="Emphasis"/>
          <w:rFonts w:ascii="Arial" w:hAnsi="Arial" w:cs="Arial"/>
        </w:rPr>
        <w:t>et al.</w:t>
      </w:r>
      <w:r w:rsidRPr="00EF1DCA">
        <w:rPr>
          <w:rFonts w:ascii="Arial" w:hAnsi="Arial" w:cs="Arial"/>
        </w:rPr>
        <w:t xml:space="preserve"> (2024)</w:t>
      </w:r>
    </w:p>
    <w:p w14:paraId="42DA128D" w14:textId="43C7ED7B" w:rsidR="00C72E0E" w:rsidRDefault="00C72E0E" w:rsidP="00C72E0E">
      <w:pPr>
        <w:pStyle w:val="pb-2"/>
        <w:spacing w:line="360" w:lineRule="auto"/>
        <w:jc w:val="both"/>
        <w:rPr>
          <w:rFonts w:ascii="Arial" w:hAnsi="Arial" w:cs="Arial"/>
          <w:sz w:val="22"/>
          <w:szCs w:val="22"/>
        </w:rPr>
      </w:pPr>
      <w:r w:rsidRPr="00FF5BFB">
        <w:rPr>
          <w:rFonts w:ascii="Arial" w:hAnsi="Arial" w:cs="Arial"/>
          <w:sz w:val="22"/>
          <w:szCs w:val="22"/>
        </w:rPr>
        <w:t xml:space="preserve">Activity Theory (Havighurst, 1961) emphasises the importance of active engagement in meaningful activities for wellbeing. Richardson, Cleary and Usher (2022) research found that COVID-19 restrictions led to a significant reduction in residents' participation in social and leisure activities, resulting in feelings of isolation and decreased quality of life. This underscores Activity Theory's assertion that continuous engagement in meaningful roles and activities is crucial for mental and emotional health (Winstead </w:t>
      </w:r>
      <w:r w:rsidRPr="00FF5BFB">
        <w:rPr>
          <w:rStyle w:val="Emphasis"/>
          <w:rFonts w:ascii="Arial" w:hAnsi="Arial" w:cs="Arial"/>
          <w:sz w:val="22"/>
          <w:szCs w:val="22"/>
        </w:rPr>
        <w:t>et al.</w:t>
      </w:r>
      <w:r w:rsidRPr="00FF5BFB">
        <w:rPr>
          <w:rFonts w:ascii="Arial" w:hAnsi="Arial" w:cs="Arial"/>
          <w:sz w:val="22"/>
          <w:szCs w:val="22"/>
        </w:rPr>
        <w:t xml:space="preserve">, 2014). Therefore, according to Kenyon, </w:t>
      </w:r>
      <w:proofErr w:type="spellStart"/>
      <w:r w:rsidRPr="00FF5BFB">
        <w:rPr>
          <w:rFonts w:ascii="Arial" w:hAnsi="Arial" w:cs="Arial"/>
          <w:sz w:val="22"/>
          <w:szCs w:val="22"/>
        </w:rPr>
        <w:t>Kinakh</w:t>
      </w:r>
      <w:proofErr w:type="spellEnd"/>
      <w:r w:rsidRPr="00FF5BFB">
        <w:rPr>
          <w:rFonts w:ascii="Arial" w:hAnsi="Arial" w:cs="Arial"/>
          <w:sz w:val="22"/>
          <w:szCs w:val="22"/>
        </w:rPr>
        <w:t xml:space="preserve"> and Harrison (2023), efforts to implement virtual social activities using VR interventions are aimed at upholding older adults' engagement levels and mitigating isolation. However, challenges such as digital literacy and accessibility </w:t>
      </w:r>
      <w:r w:rsidRPr="00FF5BFB">
        <w:rPr>
          <w:rStyle w:val="issue-underline"/>
          <w:rFonts w:ascii="Arial" w:eastAsia="Calibri Light" w:hAnsi="Arial" w:cs="Arial"/>
          <w:sz w:val="22"/>
          <w:szCs w:val="22"/>
        </w:rPr>
        <w:t>limited</w:t>
      </w:r>
      <w:r w:rsidRPr="00FF5BFB">
        <w:rPr>
          <w:rFonts w:ascii="Arial" w:hAnsi="Arial" w:cs="Arial"/>
          <w:sz w:val="22"/>
          <w:szCs w:val="22"/>
        </w:rPr>
        <w:t xml:space="preserve"> the effectiveness of these interventions (Welch </w:t>
      </w:r>
      <w:r w:rsidRPr="00FF5BFB">
        <w:rPr>
          <w:rStyle w:val="Emphasis"/>
          <w:rFonts w:ascii="Arial" w:hAnsi="Arial" w:cs="Arial"/>
          <w:sz w:val="22"/>
          <w:szCs w:val="22"/>
        </w:rPr>
        <w:t>et al.</w:t>
      </w:r>
      <w:r w:rsidRPr="00FF5BFB">
        <w:rPr>
          <w:rFonts w:ascii="Arial" w:hAnsi="Arial" w:cs="Arial"/>
          <w:sz w:val="22"/>
          <w:szCs w:val="22"/>
        </w:rPr>
        <w:t>, 2023).</w:t>
      </w:r>
    </w:p>
    <w:p w14:paraId="43067673" w14:textId="77777777" w:rsidR="00C72E0E" w:rsidRPr="00A753B4" w:rsidRDefault="00C72E0E" w:rsidP="00C72E0E">
      <w:pPr>
        <w:pStyle w:val="pb-2"/>
        <w:spacing w:line="360" w:lineRule="auto"/>
        <w:jc w:val="both"/>
        <w:rPr>
          <w:rFonts w:ascii="Arial" w:hAnsi="Arial" w:cs="Arial"/>
          <w:b/>
          <w:bCs/>
        </w:rPr>
      </w:pPr>
      <w:r w:rsidRPr="00A753B4">
        <w:rPr>
          <w:rFonts w:ascii="Arial" w:hAnsi="Arial" w:cs="Arial"/>
          <w:b/>
          <w:bCs/>
        </w:rPr>
        <w:lastRenderedPageBreak/>
        <w:t xml:space="preserve">Critical </w:t>
      </w:r>
      <w:r w:rsidRPr="00A753B4">
        <w:rPr>
          <w:rStyle w:val="issue-underline"/>
          <w:rFonts w:ascii="Arial" w:eastAsia="Calibri Light" w:hAnsi="Arial" w:cs="Arial"/>
          <w:b/>
          <w:bCs/>
        </w:rPr>
        <w:t>Evaluation</w:t>
      </w:r>
    </w:p>
    <w:p w14:paraId="69FB01B3" w14:textId="77777777" w:rsidR="00C72E0E" w:rsidRPr="005E17CE" w:rsidRDefault="00C72E0E" w:rsidP="00C72E0E">
      <w:pPr>
        <w:rPr>
          <w:rFonts w:ascii="Times New Roman" w:eastAsia="Times New Roman" w:hAnsi="Times New Roman" w:cs="Times New Roman"/>
          <w:kern w:val="0"/>
          <w:sz w:val="24"/>
          <w:szCs w:val="24"/>
          <w:lang w:eastAsia="en-GB"/>
          <w14:ligatures w14:val="none"/>
        </w:rPr>
      </w:pPr>
      <w:r w:rsidRPr="00FF5BFB">
        <w:rPr>
          <w:rFonts w:ascii="Arial" w:hAnsi="Arial" w:cs="Arial"/>
        </w:rPr>
        <w:t>Each theory provides valuable insights but also has limitations. Maslow</w:t>
      </w:r>
      <w:r>
        <w:rPr>
          <w:rFonts w:ascii="Arial" w:hAnsi="Arial" w:cs="Arial"/>
        </w:rPr>
        <w:t>'</w:t>
      </w:r>
      <w:r w:rsidRPr="00FF5BFB">
        <w:rPr>
          <w:rFonts w:ascii="Arial" w:hAnsi="Arial" w:cs="Arial"/>
        </w:rPr>
        <w:t>s Hierarchy of Needs has been critiqued for its rigid structure, suggesting that lower-level needs must be satisfied before higher ones (Saif, 2024</w:t>
      </w:r>
      <w:r>
        <w:rPr>
          <w:rFonts w:ascii="Arial" w:hAnsi="Arial" w:cs="Arial"/>
        </w:rPr>
        <w:t xml:space="preserve">; </w:t>
      </w:r>
      <w:r w:rsidRPr="00D41042">
        <w:rPr>
          <w:rFonts w:ascii="Arial" w:eastAsia="Times New Roman" w:hAnsi="Arial" w:cs="Arial"/>
          <w:kern w:val="0"/>
          <w:lang w:eastAsia="en-GB"/>
          <w14:ligatures w14:val="none"/>
        </w:rPr>
        <w:t xml:space="preserve">Kenrick </w:t>
      </w:r>
      <w:r w:rsidRPr="00D41042">
        <w:rPr>
          <w:rFonts w:ascii="Arial" w:eastAsia="Times New Roman" w:hAnsi="Arial" w:cs="Arial"/>
          <w:i/>
          <w:iCs/>
          <w:kern w:val="0"/>
          <w:lang w:eastAsia="en-GB"/>
          <w14:ligatures w14:val="none"/>
        </w:rPr>
        <w:t>et al.</w:t>
      </w:r>
      <w:r w:rsidRPr="00D41042">
        <w:rPr>
          <w:rFonts w:ascii="Arial" w:eastAsia="Times New Roman" w:hAnsi="Arial" w:cs="Arial"/>
          <w:kern w:val="0"/>
          <w:lang w:eastAsia="en-GB"/>
          <w14:ligatures w14:val="none"/>
        </w:rPr>
        <w:t>, 2010</w:t>
      </w:r>
      <w:r w:rsidRPr="00FF5BFB">
        <w:rPr>
          <w:rFonts w:ascii="Arial" w:hAnsi="Arial" w:cs="Arial"/>
        </w:rPr>
        <w:t xml:space="preserve">). </w:t>
      </w:r>
      <w:r w:rsidRPr="006A704E">
        <w:rPr>
          <w:rFonts w:ascii="Arial" w:hAnsi="Arial" w:cs="Arial"/>
          <w:lang w:eastAsia="en-GB"/>
        </w:rPr>
        <w:t xml:space="preserve">Maslow's hierarchy may be more flexible than </w:t>
      </w:r>
      <w:r>
        <w:rPr>
          <w:rFonts w:ascii="Arial" w:hAnsi="Arial" w:cs="Arial"/>
          <w:lang w:eastAsia="en-GB"/>
        </w:rPr>
        <w:t>initially</w:t>
      </w:r>
      <w:r w:rsidRPr="006A704E">
        <w:rPr>
          <w:rFonts w:ascii="Arial" w:hAnsi="Arial" w:cs="Arial"/>
          <w:lang w:eastAsia="en-GB"/>
        </w:rPr>
        <w:t xml:space="preserve"> believed, as some elderly individuals prioritised emotional connections over physical safety during the pandemic</w:t>
      </w:r>
      <w:r w:rsidRPr="00FF5BFB">
        <w:rPr>
          <w:rFonts w:ascii="Arial" w:hAnsi="Arial" w:cs="Arial"/>
        </w:rPr>
        <w:t xml:space="preserve"> (Mortell, 2022</w:t>
      </w:r>
      <w:r>
        <w:rPr>
          <w:rFonts w:ascii="Arial" w:hAnsi="Arial" w:cs="Arial"/>
        </w:rPr>
        <w:t>; Mind, 2023</w:t>
      </w:r>
      <w:r w:rsidRPr="00FF5BFB">
        <w:rPr>
          <w:rFonts w:ascii="Arial" w:hAnsi="Arial" w:cs="Arial"/>
        </w:rPr>
        <w:t>).</w:t>
      </w:r>
    </w:p>
    <w:p w14:paraId="5D7D2DC1" w14:textId="3A0A9893" w:rsidR="00C72E0E" w:rsidRPr="00FF5BFB" w:rsidRDefault="00C72E0E" w:rsidP="00C72E0E">
      <w:pPr>
        <w:pStyle w:val="pb-2"/>
        <w:spacing w:line="360" w:lineRule="auto"/>
        <w:jc w:val="both"/>
        <w:rPr>
          <w:rFonts w:ascii="Arial" w:hAnsi="Arial" w:cs="Arial"/>
          <w:sz w:val="22"/>
          <w:szCs w:val="22"/>
        </w:rPr>
      </w:pPr>
      <w:r w:rsidRPr="00FF5BFB">
        <w:rPr>
          <w:rFonts w:ascii="Arial" w:hAnsi="Arial" w:cs="Arial"/>
          <w:sz w:val="22"/>
          <w:szCs w:val="22"/>
        </w:rPr>
        <w:t xml:space="preserve">SST assumes that individuals </w:t>
      </w:r>
      <w:r w:rsidRPr="00FF5BFB">
        <w:rPr>
          <w:rStyle w:val="issue-underline"/>
          <w:rFonts w:ascii="Arial" w:eastAsia="Calibri Light" w:hAnsi="Arial" w:cs="Arial"/>
          <w:sz w:val="22"/>
          <w:szCs w:val="22"/>
        </w:rPr>
        <w:t>have the autonomy to</w:t>
      </w:r>
      <w:r w:rsidRPr="00FF5BFB">
        <w:rPr>
          <w:rFonts w:ascii="Arial" w:hAnsi="Arial" w:cs="Arial"/>
          <w:sz w:val="22"/>
          <w:szCs w:val="22"/>
        </w:rPr>
        <w:t xml:space="preserve"> prioritise their social interactions. In institutional settings like care homes, residents often lack this autonomy, especially during lockdowns, limiting the theory's applicability (Fitzpatrick </w:t>
      </w:r>
      <w:r w:rsidRPr="00FF5BFB">
        <w:rPr>
          <w:rStyle w:val="Emphasis"/>
          <w:rFonts w:ascii="Arial" w:hAnsi="Arial" w:cs="Arial"/>
          <w:sz w:val="22"/>
          <w:szCs w:val="22"/>
        </w:rPr>
        <w:t>et al.</w:t>
      </w:r>
      <w:r w:rsidRPr="00FF5BFB">
        <w:rPr>
          <w:rFonts w:ascii="Arial" w:hAnsi="Arial" w:cs="Arial"/>
          <w:sz w:val="22"/>
          <w:szCs w:val="22"/>
        </w:rPr>
        <w:t>, 2024). A further issue with SST is its failure to account for structural barriers like strict schedules, staff shortages, and regulated visiting policies in care homes, which limit opportunities for residents to form or maintain meaningful relationships (CQC, 202</w:t>
      </w:r>
      <w:r w:rsidR="00DC1FB0">
        <w:rPr>
          <w:rFonts w:ascii="Arial" w:hAnsi="Arial" w:cs="Arial"/>
          <w:sz w:val="22"/>
          <w:szCs w:val="22"/>
        </w:rPr>
        <w:t>2</w:t>
      </w:r>
      <w:r w:rsidR="00F5283F">
        <w:rPr>
          <w:rFonts w:ascii="Arial" w:hAnsi="Arial" w:cs="Arial"/>
          <w:sz w:val="22"/>
          <w:szCs w:val="22"/>
        </w:rPr>
        <w:t>c</w:t>
      </w:r>
      <w:r w:rsidRPr="00FF5BFB">
        <w:rPr>
          <w:rFonts w:ascii="Arial" w:hAnsi="Arial" w:cs="Arial"/>
          <w:sz w:val="22"/>
          <w:szCs w:val="22"/>
        </w:rPr>
        <w:t>).</w:t>
      </w:r>
    </w:p>
    <w:p w14:paraId="26513D60" w14:textId="31A5F547" w:rsidR="00C72E0E" w:rsidRDefault="00C72E0E" w:rsidP="00C72E0E">
      <w:pPr>
        <w:pStyle w:val="pb-2"/>
        <w:spacing w:line="360" w:lineRule="auto"/>
        <w:jc w:val="both"/>
        <w:rPr>
          <w:rFonts w:ascii="Arial" w:hAnsi="Arial" w:cs="Arial"/>
          <w:sz w:val="22"/>
          <w:szCs w:val="22"/>
        </w:rPr>
      </w:pPr>
      <w:r w:rsidRPr="00FF5BFB">
        <w:rPr>
          <w:rFonts w:ascii="Arial" w:hAnsi="Arial" w:cs="Arial"/>
          <w:sz w:val="22"/>
          <w:szCs w:val="22"/>
        </w:rPr>
        <w:t xml:space="preserve">Activity Theory emphasises the importance of active engagement but may not fully consider individual barriers such as cognitive impairments or physical limitations (Winstead </w:t>
      </w:r>
      <w:r w:rsidRPr="00FF5BFB">
        <w:rPr>
          <w:rStyle w:val="Emphasis"/>
          <w:rFonts w:ascii="Arial" w:hAnsi="Arial" w:cs="Arial"/>
          <w:sz w:val="22"/>
          <w:szCs w:val="22"/>
        </w:rPr>
        <w:t>et al.</w:t>
      </w:r>
      <w:r w:rsidRPr="00FF5BFB">
        <w:rPr>
          <w:rFonts w:ascii="Arial" w:hAnsi="Arial" w:cs="Arial"/>
          <w:sz w:val="22"/>
          <w:szCs w:val="22"/>
        </w:rPr>
        <w:t xml:space="preserve">, 2014). The pandemic highlighted these challenges, as many residents </w:t>
      </w:r>
      <w:r w:rsidRPr="00FF5BFB">
        <w:rPr>
          <w:rStyle w:val="issue-underline"/>
          <w:rFonts w:ascii="Arial" w:eastAsia="Calibri Light" w:hAnsi="Arial" w:cs="Arial"/>
          <w:sz w:val="22"/>
          <w:szCs w:val="22"/>
        </w:rPr>
        <w:t>were unable to</w:t>
      </w:r>
      <w:r w:rsidRPr="00FF5BFB">
        <w:rPr>
          <w:rFonts w:ascii="Arial" w:hAnsi="Arial" w:cs="Arial"/>
          <w:sz w:val="22"/>
          <w:szCs w:val="22"/>
        </w:rPr>
        <w:t xml:space="preserve"> participate in virtual activities due to technological barriers or health conditions (NHS England, 202</w:t>
      </w:r>
      <w:r w:rsidR="00374E78">
        <w:rPr>
          <w:rFonts w:ascii="Arial" w:hAnsi="Arial" w:cs="Arial"/>
          <w:sz w:val="22"/>
          <w:szCs w:val="22"/>
        </w:rPr>
        <w:t>4b</w:t>
      </w:r>
      <w:r w:rsidRPr="00FF5BFB">
        <w:rPr>
          <w:rFonts w:ascii="Arial" w:hAnsi="Arial" w:cs="Arial"/>
          <w:sz w:val="22"/>
          <w:szCs w:val="22"/>
        </w:rPr>
        <w:t>).</w:t>
      </w:r>
    </w:p>
    <w:p w14:paraId="0F17EE11" w14:textId="77777777" w:rsidR="00C72E0E" w:rsidRPr="003D0CEA" w:rsidRDefault="00C72E0E" w:rsidP="00C72E0E">
      <w:pPr>
        <w:pStyle w:val="paragraph"/>
        <w:spacing w:before="0" w:beforeAutospacing="0" w:after="0" w:afterAutospacing="0" w:line="360" w:lineRule="auto"/>
        <w:textAlignment w:val="baseline"/>
        <w:rPr>
          <w:rFonts w:ascii="Arial" w:hAnsi="Arial" w:cs="Arial"/>
          <w:color w:val="0F4761"/>
          <w:sz w:val="16"/>
          <w:szCs w:val="16"/>
        </w:rPr>
      </w:pPr>
      <w:r w:rsidRPr="003D0CEA">
        <w:rPr>
          <w:rStyle w:val="normaltextrun"/>
          <w:rFonts w:ascii="Arial" w:hAnsi="Arial" w:cs="Arial"/>
          <w:color w:val="0F4761"/>
        </w:rPr>
        <w:t xml:space="preserve">2.4 International Context </w:t>
      </w:r>
    </w:p>
    <w:p w14:paraId="2414A8B1" w14:textId="77777777" w:rsidR="00C72E0E" w:rsidRPr="00D7314E" w:rsidRDefault="00C72E0E" w:rsidP="00C72E0E">
      <w:pPr>
        <w:pStyle w:val="pb-2"/>
        <w:spacing w:line="360" w:lineRule="auto"/>
        <w:jc w:val="both"/>
        <w:rPr>
          <w:rStyle w:val="Strong"/>
          <w:rFonts w:ascii="Arial" w:eastAsia="Calibri Light" w:hAnsi="Arial" w:cs="Arial"/>
        </w:rPr>
      </w:pPr>
      <w:r w:rsidRPr="00D7314E">
        <w:rPr>
          <w:rStyle w:val="Strong"/>
          <w:rFonts w:ascii="Arial" w:eastAsia="Calibri Light" w:hAnsi="Arial" w:cs="Arial"/>
        </w:rPr>
        <w:t>Global Perspective</w:t>
      </w:r>
    </w:p>
    <w:p w14:paraId="47984FB7" w14:textId="77777777" w:rsidR="00C72E0E" w:rsidRPr="00F21E3B" w:rsidRDefault="00C72E0E" w:rsidP="00C72E0E">
      <w:pPr>
        <w:pStyle w:val="pb-2"/>
        <w:spacing w:line="360" w:lineRule="auto"/>
        <w:jc w:val="both"/>
        <w:rPr>
          <w:rFonts w:ascii="Arial" w:hAnsi="Arial" w:cs="Arial"/>
          <w:sz w:val="22"/>
          <w:szCs w:val="22"/>
        </w:rPr>
      </w:pPr>
      <w:r w:rsidRPr="00F21E3B">
        <w:rPr>
          <w:rFonts w:ascii="Arial" w:hAnsi="Arial" w:cs="Arial"/>
          <w:sz w:val="22"/>
          <w:szCs w:val="22"/>
        </w:rPr>
        <w:t xml:space="preserve">The impact of social isolation on elderly residents in care homes during COVID-19 lockdowns has been recognised internationally as a critical public health challenge (Thomas </w:t>
      </w:r>
      <w:r w:rsidRPr="00F21E3B">
        <w:rPr>
          <w:rStyle w:val="Emphasis"/>
          <w:rFonts w:ascii="Arial" w:hAnsi="Arial" w:cs="Arial"/>
          <w:sz w:val="22"/>
          <w:szCs w:val="22"/>
        </w:rPr>
        <w:t>et al.</w:t>
      </w:r>
      <w:r w:rsidRPr="00F21E3B">
        <w:rPr>
          <w:rFonts w:ascii="Arial" w:hAnsi="Arial" w:cs="Arial"/>
          <w:sz w:val="22"/>
          <w:szCs w:val="22"/>
        </w:rPr>
        <w:t xml:space="preserve">, 2022). According to Tang </w:t>
      </w:r>
      <w:r w:rsidRPr="00F21E3B">
        <w:rPr>
          <w:rStyle w:val="Emphasis"/>
          <w:rFonts w:ascii="Arial" w:hAnsi="Arial" w:cs="Arial"/>
          <w:sz w:val="22"/>
          <w:szCs w:val="22"/>
        </w:rPr>
        <w:t>et al.</w:t>
      </w:r>
      <w:r w:rsidRPr="00F21E3B">
        <w:rPr>
          <w:rFonts w:ascii="Arial" w:hAnsi="Arial" w:cs="Arial"/>
          <w:sz w:val="22"/>
          <w:szCs w:val="22"/>
        </w:rPr>
        <w:t xml:space="preserve"> (2022), responses to COVID-19 lockdowns and restrictions </w:t>
      </w:r>
      <w:r w:rsidRPr="00F21E3B">
        <w:rPr>
          <w:rStyle w:val="issue-underline"/>
          <w:rFonts w:ascii="Arial" w:hAnsi="Arial" w:cs="Arial"/>
          <w:sz w:val="22"/>
          <w:szCs w:val="22"/>
        </w:rPr>
        <w:t>have varied</w:t>
      </w:r>
      <w:r w:rsidRPr="00F21E3B">
        <w:rPr>
          <w:rFonts w:ascii="Arial" w:hAnsi="Arial" w:cs="Arial"/>
          <w:sz w:val="22"/>
          <w:szCs w:val="22"/>
        </w:rPr>
        <w:t xml:space="preserve"> widely due to differing cultural values, healthcare systems, and resource availability. In Canada, for example, strict isolation measures led to increased loneliness and mental health challenges among elderly populations, prompting national calls for person-centred policies that balance infection control with social engagement (Hsu </w:t>
      </w:r>
      <w:r w:rsidRPr="000C7DA7">
        <w:rPr>
          <w:rFonts w:ascii="Arial" w:hAnsi="Arial" w:cs="Arial"/>
          <w:i/>
          <w:iCs/>
          <w:sz w:val="22"/>
          <w:szCs w:val="22"/>
        </w:rPr>
        <w:t>et al.,</w:t>
      </w:r>
      <w:r w:rsidRPr="00F21E3B">
        <w:rPr>
          <w:rFonts w:ascii="Arial" w:hAnsi="Arial" w:cs="Arial"/>
          <w:sz w:val="22"/>
          <w:szCs w:val="22"/>
        </w:rPr>
        <w:t xml:space="preserve"> 2020; </w:t>
      </w:r>
      <w:proofErr w:type="spellStart"/>
      <w:r w:rsidRPr="00F21E3B">
        <w:rPr>
          <w:rFonts w:ascii="Arial" w:hAnsi="Arial" w:cs="Arial"/>
          <w:sz w:val="22"/>
          <w:szCs w:val="22"/>
        </w:rPr>
        <w:t>Ayukekbong</w:t>
      </w:r>
      <w:proofErr w:type="spellEnd"/>
      <w:r w:rsidRPr="00F21E3B">
        <w:rPr>
          <w:rFonts w:ascii="Arial" w:hAnsi="Arial" w:cs="Arial"/>
          <w:sz w:val="22"/>
          <w:szCs w:val="22"/>
        </w:rPr>
        <w:t xml:space="preserve">, 2021; Boamah </w:t>
      </w:r>
      <w:r w:rsidRPr="00F21E3B">
        <w:rPr>
          <w:rStyle w:val="Emphasis"/>
          <w:rFonts w:ascii="Arial" w:hAnsi="Arial" w:cs="Arial"/>
          <w:sz w:val="22"/>
          <w:szCs w:val="22"/>
        </w:rPr>
        <w:t>et al.</w:t>
      </w:r>
      <w:r w:rsidRPr="00F21E3B">
        <w:rPr>
          <w:rFonts w:ascii="Arial" w:hAnsi="Arial" w:cs="Arial"/>
          <w:sz w:val="22"/>
          <w:szCs w:val="22"/>
        </w:rPr>
        <w:t xml:space="preserve">, 2023). </w:t>
      </w:r>
    </w:p>
    <w:p w14:paraId="7E07D2D8" w14:textId="77777777" w:rsidR="004421A3" w:rsidRPr="004421A3" w:rsidRDefault="00C72E0E" w:rsidP="00624702">
      <w:pPr>
        <w:pStyle w:val="pb-2"/>
        <w:spacing w:line="360" w:lineRule="auto"/>
        <w:jc w:val="both"/>
        <w:rPr>
          <w:rFonts w:ascii="Arial" w:hAnsi="Arial" w:cs="Arial"/>
          <w:sz w:val="22"/>
          <w:szCs w:val="22"/>
        </w:rPr>
      </w:pPr>
      <w:r w:rsidRPr="004421A3">
        <w:rPr>
          <w:rFonts w:ascii="Arial" w:hAnsi="Arial" w:cs="Arial"/>
          <w:sz w:val="22"/>
          <w:szCs w:val="22"/>
        </w:rPr>
        <w:t xml:space="preserve">Similarly, Australia acknowledged the profound psychological impacts of isolation by revising policies to allow controlled family visits, enhance telecommunication access, and expand virtual mental health support (Royal Commission, 2021; Thompson, Morris and Bird, 2022). Bergman </w:t>
      </w:r>
      <w:r w:rsidRPr="004421A3">
        <w:rPr>
          <w:rStyle w:val="Emphasis"/>
          <w:rFonts w:ascii="Arial" w:hAnsi="Arial" w:cs="Arial"/>
          <w:sz w:val="22"/>
          <w:szCs w:val="22"/>
        </w:rPr>
        <w:t>et al.</w:t>
      </w:r>
      <w:r w:rsidRPr="004421A3">
        <w:rPr>
          <w:rFonts w:ascii="Arial" w:hAnsi="Arial" w:cs="Arial"/>
          <w:sz w:val="22"/>
          <w:szCs w:val="22"/>
        </w:rPr>
        <w:t xml:space="preserve"> (2020) reported that in the United States, care homes followed strict visitor </w:t>
      </w:r>
      <w:r w:rsidRPr="004421A3">
        <w:rPr>
          <w:rFonts w:ascii="Arial" w:hAnsi="Arial" w:cs="Arial"/>
          <w:sz w:val="22"/>
          <w:szCs w:val="22"/>
        </w:rPr>
        <w:lastRenderedPageBreak/>
        <w:t xml:space="preserve">restrictions issued by the Centers for Medicare &amp; Medicaid Services (CMS), which included bans on family visits and group activities (CMS.gov, 2020). </w:t>
      </w:r>
      <w:r w:rsidR="00624702" w:rsidRPr="004421A3">
        <w:rPr>
          <w:rFonts w:ascii="Arial" w:hAnsi="Arial" w:cs="Arial"/>
          <w:sz w:val="22"/>
          <w:szCs w:val="22"/>
        </w:rPr>
        <w:t>Although these measures were essential for infection control, they significantly contributed to emotional distress and isolation among residents (Shaw and Csikai, 2032).</w:t>
      </w:r>
    </w:p>
    <w:p w14:paraId="0A920CC9" w14:textId="138C077C" w:rsidR="00C72E0E" w:rsidRPr="004421A3" w:rsidRDefault="00C72E0E" w:rsidP="00624702">
      <w:pPr>
        <w:pStyle w:val="pb-2"/>
        <w:spacing w:line="360" w:lineRule="auto"/>
        <w:jc w:val="both"/>
        <w:rPr>
          <w:rFonts w:ascii="Arial" w:hAnsi="Arial" w:cs="Arial"/>
          <w:sz w:val="22"/>
          <w:szCs w:val="22"/>
        </w:rPr>
      </w:pPr>
      <w:r w:rsidRPr="004421A3">
        <w:rPr>
          <w:rFonts w:ascii="Arial" w:hAnsi="Arial" w:cs="Arial"/>
          <w:sz w:val="22"/>
          <w:szCs w:val="22"/>
        </w:rPr>
        <w:t xml:space="preserve">Throughout Europe, there </w:t>
      </w:r>
      <w:r w:rsidRPr="004421A3">
        <w:rPr>
          <w:rStyle w:val="issue-underline"/>
          <w:rFonts w:ascii="Arial" w:hAnsi="Arial" w:cs="Arial"/>
          <w:sz w:val="22"/>
          <w:szCs w:val="22"/>
        </w:rPr>
        <w:t>was a diversity of</w:t>
      </w:r>
      <w:r w:rsidRPr="004421A3">
        <w:rPr>
          <w:rFonts w:ascii="Arial" w:hAnsi="Arial" w:cs="Arial"/>
          <w:sz w:val="22"/>
          <w:szCs w:val="22"/>
        </w:rPr>
        <w:t xml:space="preserve"> approaches reflecting different healthcare philosophies (Lupu and </w:t>
      </w:r>
      <w:proofErr w:type="spellStart"/>
      <w:r w:rsidRPr="004421A3">
        <w:rPr>
          <w:rFonts w:ascii="Arial" w:hAnsi="Arial" w:cs="Arial"/>
          <w:sz w:val="22"/>
          <w:szCs w:val="22"/>
        </w:rPr>
        <w:t>Tiganasu</w:t>
      </w:r>
      <w:proofErr w:type="spellEnd"/>
      <w:r w:rsidRPr="004421A3">
        <w:rPr>
          <w:rFonts w:ascii="Arial" w:hAnsi="Arial" w:cs="Arial"/>
          <w:sz w:val="22"/>
          <w:szCs w:val="22"/>
        </w:rPr>
        <w:t>, 2022). Sweden's initial resistance to strict lockdowns, emphasising individual autonomy and normality, later drew criticism due to high infection and mortality rates among older adults (</w:t>
      </w:r>
      <w:proofErr w:type="spellStart"/>
      <w:r w:rsidRPr="004421A3">
        <w:rPr>
          <w:rFonts w:ascii="Arial" w:hAnsi="Arial" w:cs="Arial"/>
          <w:sz w:val="22"/>
          <w:szCs w:val="22"/>
        </w:rPr>
        <w:t>Kavaliunas</w:t>
      </w:r>
      <w:proofErr w:type="spellEnd"/>
      <w:r w:rsidRPr="004421A3">
        <w:rPr>
          <w:rFonts w:ascii="Arial" w:hAnsi="Arial" w:cs="Arial"/>
          <w:sz w:val="22"/>
          <w:szCs w:val="22"/>
        </w:rPr>
        <w:t xml:space="preserve"> </w:t>
      </w:r>
      <w:r w:rsidRPr="004421A3">
        <w:rPr>
          <w:rFonts w:ascii="Arial" w:hAnsi="Arial" w:cs="Arial"/>
          <w:i/>
          <w:iCs/>
          <w:sz w:val="22"/>
          <w:szCs w:val="22"/>
        </w:rPr>
        <w:t>et al.,</w:t>
      </w:r>
      <w:r w:rsidRPr="004421A3">
        <w:rPr>
          <w:rFonts w:ascii="Arial" w:hAnsi="Arial" w:cs="Arial"/>
          <w:sz w:val="22"/>
          <w:szCs w:val="22"/>
        </w:rPr>
        <w:t xml:space="preserve"> 2020; Björkman </w:t>
      </w:r>
      <w:r w:rsidRPr="004421A3">
        <w:rPr>
          <w:rStyle w:val="Emphasis"/>
          <w:rFonts w:ascii="Arial" w:hAnsi="Arial" w:cs="Arial"/>
          <w:sz w:val="22"/>
          <w:szCs w:val="22"/>
        </w:rPr>
        <w:t>et al.</w:t>
      </w:r>
      <w:r w:rsidRPr="004421A3">
        <w:rPr>
          <w:rFonts w:ascii="Arial" w:hAnsi="Arial" w:cs="Arial"/>
          <w:sz w:val="22"/>
          <w:szCs w:val="22"/>
        </w:rPr>
        <w:t xml:space="preserve">, 2023). Also, Duchene </w:t>
      </w:r>
      <w:r w:rsidRPr="004421A3">
        <w:rPr>
          <w:rFonts w:ascii="Arial" w:hAnsi="Arial" w:cs="Arial"/>
          <w:i/>
          <w:iCs/>
          <w:sz w:val="22"/>
          <w:szCs w:val="22"/>
        </w:rPr>
        <w:t>et al.</w:t>
      </w:r>
      <w:r w:rsidRPr="004421A3">
        <w:rPr>
          <w:rFonts w:ascii="Arial" w:hAnsi="Arial" w:cs="Arial"/>
          <w:sz w:val="22"/>
          <w:szCs w:val="22"/>
        </w:rPr>
        <w:t xml:space="preserve"> (2021) reported that </w:t>
      </w:r>
      <w:r w:rsidRPr="004421A3">
        <w:rPr>
          <w:rStyle w:val="issue-underline"/>
          <w:rFonts w:ascii="Arial" w:hAnsi="Arial" w:cs="Arial"/>
          <w:sz w:val="22"/>
          <w:szCs w:val="22"/>
        </w:rPr>
        <w:t>a higher level of self-isolation would probably have reduced deaths in Sweden</w:t>
      </w:r>
      <w:r w:rsidRPr="004421A3">
        <w:rPr>
          <w:rFonts w:ascii="Arial" w:hAnsi="Arial" w:cs="Arial"/>
          <w:sz w:val="22"/>
          <w:szCs w:val="22"/>
        </w:rPr>
        <w:t xml:space="preserve">. Furthermore, Frans (2022) reported that about 90% of people who died from COVID-19 in Sweden were 70 or older, and half lived in care homes. Germany and the Netherlands swiftly implemented restrictive measures alongside substantial mental health support strategies, successfully reducing loneliness through innovative social programmes (Verbeek </w:t>
      </w:r>
      <w:r w:rsidRPr="004421A3">
        <w:rPr>
          <w:rFonts w:ascii="Arial" w:hAnsi="Arial" w:cs="Arial"/>
          <w:i/>
          <w:iCs/>
          <w:sz w:val="22"/>
          <w:szCs w:val="22"/>
        </w:rPr>
        <w:t>et al</w:t>
      </w:r>
      <w:r w:rsidRPr="004421A3">
        <w:rPr>
          <w:rFonts w:ascii="Arial" w:hAnsi="Arial" w:cs="Arial"/>
          <w:sz w:val="22"/>
          <w:szCs w:val="22"/>
        </w:rPr>
        <w:t xml:space="preserve">., 2020; </w:t>
      </w:r>
      <w:proofErr w:type="spellStart"/>
      <w:r w:rsidRPr="004421A3">
        <w:rPr>
          <w:rFonts w:ascii="Arial" w:hAnsi="Arial" w:cs="Arial"/>
          <w:sz w:val="22"/>
          <w:szCs w:val="22"/>
        </w:rPr>
        <w:t>Röhr</w:t>
      </w:r>
      <w:proofErr w:type="spellEnd"/>
      <w:r w:rsidRPr="004421A3">
        <w:rPr>
          <w:rFonts w:ascii="Arial" w:hAnsi="Arial" w:cs="Arial"/>
          <w:sz w:val="22"/>
          <w:szCs w:val="22"/>
        </w:rPr>
        <w:t xml:space="preserve">, </w:t>
      </w:r>
      <w:proofErr w:type="spellStart"/>
      <w:r w:rsidRPr="004421A3">
        <w:rPr>
          <w:rFonts w:ascii="Arial" w:hAnsi="Arial" w:cs="Arial"/>
          <w:sz w:val="22"/>
          <w:szCs w:val="22"/>
        </w:rPr>
        <w:t>Reininghaus</w:t>
      </w:r>
      <w:proofErr w:type="spellEnd"/>
      <w:r w:rsidRPr="004421A3">
        <w:rPr>
          <w:rFonts w:ascii="Arial" w:hAnsi="Arial" w:cs="Arial"/>
          <w:sz w:val="22"/>
          <w:szCs w:val="22"/>
        </w:rPr>
        <w:t xml:space="preserve"> and Riedel-Heller, 2020; Giebel </w:t>
      </w:r>
      <w:r w:rsidRPr="004421A3">
        <w:rPr>
          <w:rStyle w:val="Emphasis"/>
          <w:rFonts w:ascii="Arial" w:hAnsi="Arial" w:cs="Arial"/>
          <w:sz w:val="22"/>
          <w:szCs w:val="22"/>
        </w:rPr>
        <w:t>et al.</w:t>
      </w:r>
      <w:r w:rsidRPr="004421A3">
        <w:rPr>
          <w:rFonts w:ascii="Arial" w:hAnsi="Arial" w:cs="Arial"/>
          <w:sz w:val="22"/>
          <w:szCs w:val="22"/>
        </w:rPr>
        <w:t xml:space="preserve">, 2023; </w:t>
      </w:r>
      <w:r w:rsidR="00F601E9" w:rsidRPr="004421A3">
        <w:rPr>
          <w:rFonts w:ascii="Arial" w:hAnsi="Arial" w:cs="Arial"/>
          <w:sz w:val="22"/>
          <w:szCs w:val="22"/>
        </w:rPr>
        <w:t>V</w:t>
      </w:r>
      <w:r w:rsidRPr="004421A3">
        <w:rPr>
          <w:rFonts w:ascii="Arial" w:hAnsi="Arial" w:cs="Arial"/>
          <w:sz w:val="22"/>
          <w:szCs w:val="22"/>
        </w:rPr>
        <w:t xml:space="preserve">an den Boom </w:t>
      </w:r>
      <w:r w:rsidRPr="004421A3">
        <w:rPr>
          <w:rStyle w:val="Emphasis"/>
          <w:rFonts w:ascii="Arial" w:hAnsi="Arial" w:cs="Arial"/>
          <w:sz w:val="22"/>
          <w:szCs w:val="22"/>
        </w:rPr>
        <w:t>et al.</w:t>
      </w:r>
      <w:r w:rsidRPr="004421A3">
        <w:rPr>
          <w:rFonts w:ascii="Arial" w:hAnsi="Arial" w:cs="Arial"/>
          <w:sz w:val="22"/>
          <w:szCs w:val="22"/>
        </w:rPr>
        <w:t>, 2023).</w:t>
      </w:r>
    </w:p>
    <w:p w14:paraId="20014234" w14:textId="77777777" w:rsidR="00C72E0E" w:rsidRPr="00D7314E" w:rsidRDefault="00C72E0E" w:rsidP="00C72E0E">
      <w:pPr>
        <w:pStyle w:val="pb-2"/>
        <w:spacing w:line="360" w:lineRule="auto"/>
        <w:jc w:val="both"/>
        <w:rPr>
          <w:rStyle w:val="Strong"/>
          <w:rFonts w:ascii="Arial" w:eastAsia="Calibri Light" w:hAnsi="Arial" w:cs="Arial"/>
        </w:rPr>
      </w:pPr>
      <w:r w:rsidRPr="00D7314E">
        <w:rPr>
          <w:rStyle w:val="Strong"/>
          <w:rFonts w:ascii="Arial" w:eastAsia="Calibri Light" w:hAnsi="Arial" w:cs="Arial"/>
        </w:rPr>
        <w:t>Comparative Analysis</w:t>
      </w:r>
    </w:p>
    <w:p w14:paraId="6B558DCB" w14:textId="77777777" w:rsidR="00C72E0E" w:rsidRPr="00DB7E49" w:rsidRDefault="00C72E0E" w:rsidP="00C72E0E">
      <w:pPr>
        <w:pStyle w:val="pb-2"/>
        <w:spacing w:line="360" w:lineRule="auto"/>
        <w:jc w:val="both"/>
        <w:rPr>
          <w:rFonts w:ascii="Arial" w:hAnsi="Arial" w:cs="Arial"/>
          <w:sz w:val="22"/>
          <w:szCs w:val="22"/>
        </w:rPr>
      </w:pPr>
      <w:r w:rsidRPr="00DB7E49">
        <w:rPr>
          <w:rFonts w:ascii="Arial" w:hAnsi="Arial" w:cs="Arial"/>
          <w:sz w:val="22"/>
          <w:szCs w:val="22"/>
        </w:rPr>
        <w:t xml:space="preserve">A comparative analysis highlights diverse international responses to elderly care home residents' mental health during COVID-19. South Korea and Japan emphasised technological innovations, including robotic companions and telehealth services, effectively combating isolation and loneliness (Park </w:t>
      </w:r>
      <w:r w:rsidRPr="005A6236">
        <w:rPr>
          <w:rFonts w:ascii="Arial" w:hAnsi="Arial" w:cs="Arial"/>
          <w:i/>
          <w:iCs/>
          <w:sz w:val="22"/>
          <w:szCs w:val="22"/>
        </w:rPr>
        <w:t>et al</w:t>
      </w:r>
      <w:r w:rsidRPr="00DB7E49">
        <w:rPr>
          <w:rFonts w:ascii="Arial" w:hAnsi="Arial" w:cs="Arial"/>
          <w:sz w:val="22"/>
          <w:szCs w:val="22"/>
        </w:rPr>
        <w:t xml:space="preserve">., 2023; Yang, 2023). Conversely, Sweden permitted controlled visits and outdoor interactions, moderately reducing psychological distress (Johansson-Pajala </w:t>
      </w:r>
      <w:r w:rsidRPr="000C7DA7">
        <w:rPr>
          <w:rFonts w:ascii="Arial" w:hAnsi="Arial" w:cs="Arial"/>
          <w:i/>
          <w:iCs/>
          <w:sz w:val="22"/>
          <w:szCs w:val="22"/>
        </w:rPr>
        <w:t>et al.,</w:t>
      </w:r>
      <w:r w:rsidRPr="00DB7E49">
        <w:rPr>
          <w:rFonts w:ascii="Arial" w:hAnsi="Arial" w:cs="Arial"/>
          <w:sz w:val="22"/>
          <w:szCs w:val="22"/>
        </w:rPr>
        <w:t xml:space="preserve"> 2022).</w:t>
      </w:r>
    </w:p>
    <w:p w14:paraId="4C2D9AD5" w14:textId="77777777" w:rsidR="00C72E0E" w:rsidRPr="00DB7E49" w:rsidRDefault="00C72E0E" w:rsidP="00C72E0E">
      <w:pPr>
        <w:pStyle w:val="pb-2"/>
        <w:spacing w:line="360" w:lineRule="auto"/>
        <w:jc w:val="both"/>
        <w:rPr>
          <w:rFonts w:ascii="Arial" w:hAnsi="Arial" w:cs="Arial"/>
          <w:sz w:val="22"/>
          <w:szCs w:val="22"/>
        </w:rPr>
      </w:pPr>
      <w:r w:rsidRPr="00DB7E49">
        <w:rPr>
          <w:rFonts w:ascii="Arial" w:hAnsi="Arial" w:cs="Arial"/>
          <w:sz w:val="22"/>
          <w:szCs w:val="22"/>
        </w:rPr>
        <w:t xml:space="preserve">In contrast, Italy imposed prolonged care home lockdowns, severely increasing loneliness and depression rates (Amerio </w:t>
      </w:r>
      <w:r w:rsidRPr="00DB7E49">
        <w:rPr>
          <w:rStyle w:val="Emphasis"/>
          <w:rFonts w:ascii="Arial" w:hAnsi="Arial" w:cs="Arial"/>
          <w:sz w:val="22"/>
          <w:szCs w:val="22"/>
        </w:rPr>
        <w:t>et al.</w:t>
      </w:r>
      <w:r w:rsidRPr="00DB7E49">
        <w:rPr>
          <w:rFonts w:ascii="Arial" w:hAnsi="Arial" w:cs="Arial"/>
          <w:sz w:val="22"/>
          <w:szCs w:val="22"/>
        </w:rPr>
        <w:t xml:space="preserve">, 2021). Ireland's integrative strategy focused on digital connectivity and mental health training for staff, moderating residents' loneliness (Mohan and Lyons, 2022; Cartmill, 2025). Hong Kong prioritised community-based outdoor activities and psychological support services, effectively mitigating emotional isolation among elderly residents (Ho </w:t>
      </w:r>
      <w:r w:rsidRPr="00C06A76">
        <w:rPr>
          <w:rFonts w:ascii="Arial" w:hAnsi="Arial" w:cs="Arial"/>
          <w:i/>
          <w:iCs/>
          <w:sz w:val="22"/>
          <w:szCs w:val="22"/>
        </w:rPr>
        <w:t>et al</w:t>
      </w:r>
      <w:r w:rsidRPr="00DB7E49">
        <w:rPr>
          <w:rFonts w:ascii="Arial" w:hAnsi="Arial" w:cs="Arial"/>
          <w:sz w:val="22"/>
          <w:szCs w:val="22"/>
        </w:rPr>
        <w:t>., 2022).</w:t>
      </w:r>
    </w:p>
    <w:p w14:paraId="0C99C169" w14:textId="24CFE35F" w:rsidR="00C72E0E" w:rsidRDefault="00C72E0E" w:rsidP="00C72E0E">
      <w:pPr>
        <w:pStyle w:val="pb-2"/>
        <w:spacing w:line="360" w:lineRule="auto"/>
        <w:jc w:val="both"/>
        <w:rPr>
          <w:rFonts w:ascii="Arial" w:hAnsi="Arial" w:cs="Arial"/>
          <w:sz w:val="22"/>
          <w:szCs w:val="22"/>
        </w:rPr>
      </w:pPr>
      <w:r w:rsidRPr="00D7314E">
        <w:rPr>
          <w:rFonts w:ascii="Arial" w:hAnsi="Arial" w:cs="Arial"/>
          <w:sz w:val="22"/>
          <w:szCs w:val="22"/>
        </w:rPr>
        <w:t xml:space="preserve">Global collaboration initiatives, particularly those led by organisations such as the WHO, have played an essential role during the pandemic. The WHO issued comprehensive guidelines advocating psychosocial support, digital inclusion, and balanced infection-control strategies, aiming to protect elderly individuals' mental and physical health (WHO, 2020). </w:t>
      </w:r>
      <w:r w:rsidR="00702E95" w:rsidRPr="00702E95">
        <w:rPr>
          <w:rFonts w:ascii="Arial" w:hAnsi="Arial" w:cs="Arial"/>
          <w:sz w:val="22"/>
          <w:szCs w:val="22"/>
        </w:rPr>
        <w:t xml:space="preserve">Despite cultural </w:t>
      </w:r>
      <w:r w:rsidR="00702E95" w:rsidRPr="00702E95">
        <w:rPr>
          <w:rFonts w:ascii="Arial" w:hAnsi="Arial" w:cs="Arial"/>
          <w:sz w:val="22"/>
          <w:szCs w:val="22"/>
        </w:rPr>
        <w:lastRenderedPageBreak/>
        <w:t>differences, policy differences, and healthcare system capabilities, implementation varied significantly among countries</w:t>
      </w:r>
      <w:r w:rsidR="00702E95" w:rsidRPr="00702E95">
        <w:rPr>
          <w:rFonts w:ascii="Arial" w:hAnsi="Arial" w:cs="Arial"/>
          <w:sz w:val="22"/>
          <w:szCs w:val="22"/>
        </w:rPr>
        <w:t xml:space="preserve"> </w:t>
      </w:r>
      <w:r w:rsidRPr="00702E95">
        <w:rPr>
          <w:rFonts w:ascii="Arial" w:hAnsi="Arial" w:cs="Arial"/>
          <w:sz w:val="22"/>
          <w:szCs w:val="22"/>
        </w:rPr>
        <w:t>(Nichols, 2020).</w:t>
      </w:r>
    </w:p>
    <w:p w14:paraId="019D9F6E" w14:textId="77777777" w:rsidR="00C72E0E" w:rsidRPr="00D7314E" w:rsidRDefault="00C72E0E" w:rsidP="00C72E0E">
      <w:pPr>
        <w:pStyle w:val="paragraph"/>
        <w:spacing w:before="0" w:beforeAutospacing="0" w:after="0" w:afterAutospacing="0" w:line="360" w:lineRule="auto"/>
        <w:jc w:val="both"/>
        <w:textAlignment w:val="baseline"/>
        <w:rPr>
          <w:rFonts w:ascii="Arial" w:hAnsi="Arial" w:cs="Arial"/>
        </w:rPr>
      </w:pPr>
      <w:r w:rsidRPr="00D7314E">
        <w:rPr>
          <w:rStyle w:val="normaltextrun"/>
          <w:rFonts w:ascii="Arial" w:hAnsi="Arial" w:cs="Arial"/>
          <w:b/>
          <w:bCs/>
        </w:rPr>
        <w:t>Case Studies</w:t>
      </w:r>
      <w:r w:rsidRPr="00D7314E">
        <w:rPr>
          <w:rStyle w:val="eop"/>
          <w:rFonts w:ascii="Arial" w:eastAsia="Calibri Light" w:hAnsi="Arial" w:cs="Arial"/>
        </w:rPr>
        <w:t> </w:t>
      </w:r>
    </w:p>
    <w:p w14:paraId="16FA00FA" w14:textId="67EE6C03" w:rsidR="00C72E0E" w:rsidRPr="00D7314E" w:rsidRDefault="00C72E0E" w:rsidP="00C72E0E">
      <w:pPr>
        <w:pStyle w:val="pb-2"/>
        <w:spacing w:line="360" w:lineRule="auto"/>
        <w:jc w:val="both"/>
        <w:rPr>
          <w:rFonts w:ascii="Arial" w:hAnsi="Arial" w:cs="Arial"/>
          <w:sz w:val="22"/>
          <w:szCs w:val="22"/>
        </w:rPr>
      </w:pPr>
      <w:r w:rsidRPr="00D7314E">
        <w:rPr>
          <w:rFonts w:ascii="Arial" w:hAnsi="Arial" w:cs="Arial"/>
          <w:sz w:val="22"/>
          <w:szCs w:val="22"/>
        </w:rPr>
        <w:t>During the COVID-19 pandemic, Malaysian care homes implemented strict Movement Control Orders (MCOs), significantly limiting residents' social interactions (</w:t>
      </w:r>
      <w:proofErr w:type="spellStart"/>
      <w:r w:rsidRPr="00D7314E">
        <w:rPr>
          <w:rFonts w:ascii="Arial" w:hAnsi="Arial" w:cs="Arial"/>
          <w:sz w:val="22"/>
          <w:szCs w:val="22"/>
        </w:rPr>
        <w:t>Hasmuk</w:t>
      </w:r>
      <w:proofErr w:type="spellEnd"/>
      <w:r w:rsidRPr="00D7314E">
        <w:rPr>
          <w:rFonts w:ascii="Arial" w:hAnsi="Arial" w:cs="Arial"/>
          <w:sz w:val="22"/>
          <w:szCs w:val="22"/>
        </w:rPr>
        <w:t xml:space="preserve"> </w:t>
      </w:r>
      <w:r w:rsidRPr="00D7314E">
        <w:rPr>
          <w:rStyle w:val="Emphasis"/>
          <w:rFonts w:ascii="Arial" w:eastAsia="Calibri Light" w:hAnsi="Arial" w:cs="Arial"/>
          <w:sz w:val="22"/>
          <w:szCs w:val="22"/>
        </w:rPr>
        <w:t>et al.</w:t>
      </w:r>
      <w:r w:rsidRPr="00D7314E">
        <w:rPr>
          <w:rFonts w:ascii="Arial" w:hAnsi="Arial" w:cs="Arial"/>
          <w:sz w:val="22"/>
          <w:szCs w:val="22"/>
        </w:rPr>
        <w:t xml:space="preserve">, 2020). </w:t>
      </w:r>
      <w:r w:rsidRPr="00D7314E">
        <w:rPr>
          <w:rStyle w:val="issue-underline"/>
          <w:rFonts w:ascii="Arial" w:hAnsi="Arial" w:cs="Arial"/>
          <w:sz w:val="22"/>
          <w:szCs w:val="22"/>
        </w:rPr>
        <w:t>A qualitative study by Chee (2020) highlighted older adults</w:t>
      </w:r>
      <w:r>
        <w:rPr>
          <w:rStyle w:val="issue-underline"/>
          <w:rFonts w:ascii="Arial" w:hAnsi="Arial" w:cs="Arial"/>
          <w:sz w:val="22"/>
          <w:szCs w:val="22"/>
        </w:rPr>
        <w:t>'</w:t>
      </w:r>
      <w:r w:rsidRPr="00D7314E">
        <w:rPr>
          <w:rStyle w:val="issue-underline"/>
          <w:rFonts w:ascii="Arial" w:hAnsi="Arial" w:cs="Arial"/>
          <w:sz w:val="22"/>
          <w:szCs w:val="22"/>
        </w:rPr>
        <w:t xml:space="preserve"> experiences of loneliness,</w:t>
      </w:r>
      <w:r w:rsidRPr="00D7314E">
        <w:rPr>
          <w:rFonts w:ascii="Arial" w:hAnsi="Arial" w:cs="Arial"/>
          <w:sz w:val="22"/>
          <w:szCs w:val="22"/>
        </w:rPr>
        <w:t xml:space="preserve"> fear, and uncertainty due to enforced visitor restrictions and social isolation. Despite these challenges, Malaysia introduced support packages such as PRIHATIN, providing financial aid and essential resources to care homes (Shah, 2020). However, the study </w:t>
      </w:r>
      <w:r w:rsidRPr="00D7314E">
        <w:rPr>
          <w:rStyle w:val="issue-underline"/>
          <w:rFonts w:ascii="Arial" w:hAnsi="Arial" w:cs="Arial"/>
          <w:sz w:val="22"/>
          <w:szCs w:val="22"/>
        </w:rPr>
        <w:t>emphasised</w:t>
      </w:r>
      <w:r w:rsidRPr="00D7314E">
        <w:rPr>
          <w:rFonts w:ascii="Arial" w:hAnsi="Arial" w:cs="Arial"/>
          <w:sz w:val="22"/>
          <w:szCs w:val="22"/>
        </w:rPr>
        <w:t xml:space="preserve"> ongoing struggles, including staffing shortages and inadequate emotional support, demonstrating the complexity of balancing infection control and mental wellbeing (</w:t>
      </w:r>
      <w:proofErr w:type="spellStart"/>
      <w:r w:rsidRPr="00D7314E">
        <w:rPr>
          <w:rFonts w:ascii="Arial" w:hAnsi="Arial" w:cs="Arial"/>
          <w:sz w:val="22"/>
          <w:szCs w:val="22"/>
        </w:rPr>
        <w:t>Hasmuk</w:t>
      </w:r>
      <w:proofErr w:type="spellEnd"/>
      <w:r w:rsidRPr="00D7314E">
        <w:rPr>
          <w:rFonts w:ascii="Arial" w:hAnsi="Arial" w:cs="Arial"/>
          <w:sz w:val="22"/>
          <w:szCs w:val="22"/>
        </w:rPr>
        <w:t xml:space="preserve"> </w:t>
      </w:r>
      <w:r w:rsidRPr="00D7314E">
        <w:rPr>
          <w:rStyle w:val="Emphasis"/>
          <w:rFonts w:ascii="Arial" w:eastAsia="Calibri Light" w:hAnsi="Arial" w:cs="Arial"/>
          <w:sz w:val="22"/>
          <w:szCs w:val="22"/>
        </w:rPr>
        <w:t>et al.</w:t>
      </w:r>
      <w:r w:rsidRPr="00D7314E">
        <w:rPr>
          <w:rFonts w:ascii="Arial" w:hAnsi="Arial" w:cs="Arial"/>
          <w:sz w:val="22"/>
          <w:szCs w:val="22"/>
        </w:rPr>
        <w:t>, 2020).</w:t>
      </w:r>
    </w:p>
    <w:p w14:paraId="10042B46" w14:textId="35233D30" w:rsidR="00C72E0E" w:rsidRPr="00D7314E" w:rsidRDefault="00C72E0E" w:rsidP="00C72E0E">
      <w:pPr>
        <w:pStyle w:val="pb-2"/>
        <w:spacing w:line="360" w:lineRule="auto"/>
        <w:jc w:val="both"/>
        <w:rPr>
          <w:rFonts w:ascii="Arial" w:hAnsi="Arial" w:cs="Arial"/>
          <w:sz w:val="22"/>
          <w:szCs w:val="22"/>
        </w:rPr>
      </w:pPr>
      <w:r w:rsidRPr="00D7314E">
        <w:rPr>
          <w:rFonts w:ascii="Arial" w:hAnsi="Arial" w:cs="Arial"/>
          <w:sz w:val="22"/>
          <w:szCs w:val="22"/>
        </w:rPr>
        <w:t xml:space="preserve">In the Netherlands, nursing homes allowed visitors again after strict COVID-19 bans. Visitation guidelines varied by location, particularly regarding protective equipment and supervision (Backhaus </w:t>
      </w:r>
      <w:r w:rsidRPr="00D7314E">
        <w:rPr>
          <w:rStyle w:val="Emphasis"/>
          <w:rFonts w:ascii="Arial" w:eastAsia="Calibri Light" w:hAnsi="Arial" w:cs="Arial"/>
          <w:sz w:val="22"/>
          <w:szCs w:val="22"/>
        </w:rPr>
        <w:t>et al.</w:t>
      </w:r>
      <w:r w:rsidRPr="00D7314E">
        <w:rPr>
          <w:rFonts w:ascii="Arial" w:hAnsi="Arial" w:cs="Arial"/>
          <w:sz w:val="22"/>
          <w:szCs w:val="22"/>
        </w:rPr>
        <w:t xml:space="preserve">, 2021). Overall, experiences were positive, highlighting the emotional benefits of personal interactions for </w:t>
      </w:r>
      <w:r w:rsidRPr="00133656">
        <w:rPr>
          <w:rFonts w:ascii="Arial" w:hAnsi="Arial" w:cs="Arial"/>
          <w:sz w:val="22"/>
          <w:szCs w:val="22"/>
        </w:rPr>
        <w:t xml:space="preserve">residents. However, challenges included insufficient protective gear and limited preparation time (Verbeek </w:t>
      </w:r>
      <w:r w:rsidRPr="00133656">
        <w:rPr>
          <w:rFonts w:ascii="Arial" w:hAnsi="Arial" w:cs="Arial"/>
          <w:i/>
          <w:iCs/>
          <w:sz w:val="22"/>
          <w:szCs w:val="22"/>
        </w:rPr>
        <w:t>et al</w:t>
      </w:r>
      <w:r w:rsidRPr="00133656">
        <w:rPr>
          <w:rFonts w:ascii="Arial" w:hAnsi="Arial" w:cs="Arial"/>
          <w:sz w:val="22"/>
          <w:szCs w:val="22"/>
        </w:rPr>
        <w:t xml:space="preserve">., 2020). </w:t>
      </w:r>
      <w:r w:rsidR="00133656" w:rsidRPr="00133656">
        <w:rPr>
          <w:rFonts w:ascii="Arial" w:hAnsi="Arial" w:cs="Arial"/>
          <w:sz w:val="22"/>
          <w:szCs w:val="22"/>
        </w:rPr>
        <w:t>Fortunately, infections did not rise as a result of these visits, underscoring the need for clear policies and adequate preparations</w:t>
      </w:r>
      <w:r w:rsidR="00133656" w:rsidRPr="00133656">
        <w:rPr>
          <w:rFonts w:ascii="Arial" w:hAnsi="Arial" w:cs="Arial"/>
          <w:sz w:val="22"/>
          <w:szCs w:val="22"/>
        </w:rPr>
        <w:t xml:space="preserve"> </w:t>
      </w:r>
      <w:r w:rsidRPr="00133656">
        <w:rPr>
          <w:rFonts w:ascii="Arial" w:hAnsi="Arial" w:cs="Arial"/>
          <w:sz w:val="22"/>
          <w:szCs w:val="22"/>
        </w:rPr>
        <w:t xml:space="preserve">(Verbeek </w:t>
      </w:r>
      <w:r w:rsidRPr="00133656">
        <w:rPr>
          <w:rFonts w:ascii="Arial" w:hAnsi="Arial" w:cs="Arial"/>
          <w:i/>
          <w:iCs/>
          <w:sz w:val="22"/>
          <w:szCs w:val="22"/>
        </w:rPr>
        <w:t>et al.,</w:t>
      </w:r>
      <w:r w:rsidRPr="00133656">
        <w:rPr>
          <w:rFonts w:ascii="Arial" w:hAnsi="Arial" w:cs="Arial"/>
          <w:sz w:val="22"/>
          <w:szCs w:val="22"/>
        </w:rPr>
        <w:t xml:space="preserve"> 2020).</w:t>
      </w:r>
    </w:p>
    <w:p w14:paraId="0AFCE11B" w14:textId="77777777" w:rsidR="00C72E0E" w:rsidRDefault="00C72E0E" w:rsidP="00C72E0E">
      <w:pPr>
        <w:pStyle w:val="pb-2"/>
        <w:spacing w:line="360" w:lineRule="auto"/>
        <w:jc w:val="both"/>
        <w:rPr>
          <w:rFonts w:ascii="Arial" w:hAnsi="Arial" w:cs="Arial"/>
          <w:sz w:val="22"/>
          <w:szCs w:val="22"/>
        </w:rPr>
      </w:pPr>
      <w:r w:rsidRPr="00D7314E">
        <w:rPr>
          <w:rFonts w:ascii="Arial" w:hAnsi="Arial" w:cs="Arial"/>
          <w:sz w:val="22"/>
          <w:szCs w:val="22"/>
        </w:rPr>
        <w:t xml:space="preserve">In Germany, COVID-19 prompted strict infection-control measures in nursing homes, including bans on visitation and group activities to protect residents. However, these measures significantly affected their mental health, worsening loneliness and depression in an already vulnerable population, with nearly 55% reporting loneliness before the pandemic (Dichter </w:t>
      </w:r>
      <w:r w:rsidRPr="000C7DA7">
        <w:rPr>
          <w:rFonts w:ascii="Arial" w:hAnsi="Arial" w:cs="Arial"/>
          <w:i/>
          <w:iCs/>
          <w:sz w:val="22"/>
          <w:szCs w:val="22"/>
        </w:rPr>
        <w:t>et al.</w:t>
      </w:r>
      <w:r w:rsidRPr="00D7314E">
        <w:rPr>
          <w:rFonts w:ascii="Arial" w:hAnsi="Arial" w:cs="Arial"/>
          <w:sz w:val="22"/>
          <w:szCs w:val="22"/>
        </w:rPr>
        <w:t xml:space="preserve">, 2020). The challenge of balancing infection control and person-centred care revealed critical issues such as staff shortages and ethical dilemmas around isolation. According to Dichter </w:t>
      </w:r>
      <w:r w:rsidRPr="000C7DA7">
        <w:rPr>
          <w:rFonts w:ascii="Arial" w:hAnsi="Arial" w:cs="Arial"/>
          <w:i/>
          <w:iCs/>
          <w:sz w:val="22"/>
          <w:szCs w:val="22"/>
        </w:rPr>
        <w:t>et al.</w:t>
      </w:r>
      <w:r w:rsidRPr="00D7314E">
        <w:rPr>
          <w:rFonts w:ascii="Arial" w:hAnsi="Arial" w:cs="Arial"/>
          <w:sz w:val="22"/>
          <w:szCs w:val="22"/>
        </w:rPr>
        <w:t xml:space="preserve"> (2020), efforts to maintain person-centred care through video communication </w:t>
      </w:r>
      <w:r w:rsidRPr="00D7314E">
        <w:rPr>
          <w:rStyle w:val="issue-underline"/>
          <w:rFonts w:ascii="Arial" w:hAnsi="Arial" w:cs="Arial"/>
          <w:sz w:val="22"/>
          <w:szCs w:val="22"/>
        </w:rPr>
        <w:t>underscored</w:t>
      </w:r>
      <w:r w:rsidRPr="00D7314E">
        <w:rPr>
          <w:rFonts w:ascii="Arial" w:hAnsi="Arial" w:cs="Arial"/>
          <w:sz w:val="22"/>
          <w:szCs w:val="22"/>
        </w:rPr>
        <w:t xml:space="preserve"> the need to balance safety with residents' quality of life.</w:t>
      </w:r>
    </w:p>
    <w:p w14:paraId="1E09FFF1" w14:textId="77777777" w:rsidR="00C72E0E" w:rsidRPr="00F05E5C" w:rsidRDefault="00C72E0E" w:rsidP="00C72E0E">
      <w:pPr>
        <w:pStyle w:val="paragraph"/>
        <w:spacing w:before="0" w:beforeAutospacing="0" w:after="0" w:afterAutospacing="0" w:line="360" w:lineRule="auto"/>
        <w:textAlignment w:val="baseline"/>
        <w:rPr>
          <w:rFonts w:ascii="Arial" w:hAnsi="Arial" w:cs="Arial"/>
          <w:color w:val="0F4761"/>
          <w:sz w:val="16"/>
          <w:szCs w:val="16"/>
        </w:rPr>
      </w:pPr>
      <w:r w:rsidRPr="003D0CEA">
        <w:rPr>
          <w:rStyle w:val="normaltextrun"/>
          <w:rFonts w:ascii="Arial" w:hAnsi="Arial" w:cs="Arial"/>
          <w:color w:val="0F4761"/>
        </w:rPr>
        <w:t xml:space="preserve">2.5 National/Local UK Context </w:t>
      </w:r>
    </w:p>
    <w:p w14:paraId="00AC71AC" w14:textId="77777777" w:rsidR="00C72E0E" w:rsidRPr="00106D7A" w:rsidRDefault="00C72E0E" w:rsidP="00C72E0E">
      <w:pPr>
        <w:pStyle w:val="pb-2"/>
        <w:rPr>
          <w:rFonts w:ascii="Arial" w:hAnsi="Arial" w:cs="Arial"/>
        </w:rPr>
      </w:pPr>
      <w:r w:rsidRPr="00106D7A">
        <w:rPr>
          <w:rStyle w:val="Strong"/>
          <w:rFonts w:ascii="Arial" w:hAnsi="Arial" w:cs="Arial"/>
        </w:rPr>
        <w:t>UK Perspective</w:t>
      </w:r>
    </w:p>
    <w:p w14:paraId="72917649" w14:textId="75FBE8EF" w:rsidR="00C72E0E" w:rsidRPr="0061273B" w:rsidRDefault="00C72E0E" w:rsidP="00C72E0E">
      <w:pPr>
        <w:rPr>
          <w:rFonts w:ascii="Times New Roman" w:eastAsia="Times New Roman" w:hAnsi="Times New Roman" w:cs="Times New Roman"/>
          <w:kern w:val="0"/>
          <w:sz w:val="24"/>
          <w:szCs w:val="24"/>
          <w:lang w:eastAsia="en-GB"/>
          <w14:ligatures w14:val="none"/>
        </w:rPr>
      </w:pPr>
      <w:r w:rsidRPr="00F82C00">
        <w:rPr>
          <w:rFonts w:ascii="Arial" w:hAnsi="Arial" w:cs="Arial"/>
        </w:rPr>
        <w:t>Throughout the UK, social isolation among elderly care home residents is well-recognised as a public health issue, which has been exacerbated by the COVID-19 epidemic (</w:t>
      </w:r>
      <w:proofErr w:type="spellStart"/>
      <w:r w:rsidRPr="00F82C00">
        <w:rPr>
          <w:rFonts w:ascii="Arial" w:hAnsi="Arial" w:cs="Arial"/>
        </w:rPr>
        <w:t>Bottery</w:t>
      </w:r>
      <w:proofErr w:type="spellEnd"/>
      <w:r w:rsidRPr="00F82C00">
        <w:rPr>
          <w:rFonts w:ascii="Arial" w:hAnsi="Arial" w:cs="Arial"/>
        </w:rPr>
        <w:t xml:space="preserve">, 2020). Research has consistently linked isolation with higher risks of depression, cognitive decline, and increased mortality (Boamah </w:t>
      </w:r>
      <w:r w:rsidRPr="000C7DA7">
        <w:rPr>
          <w:rFonts w:ascii="Arial" w:hAnsi="Arial" w:cs="Arial"/>
          <w:i/>
          <w:iCs/>
        </w:rPr>
        <w:t>et al</w:t>
      </w:r>
      <w:r w:rsidRPr="00F82C00">
        <w:rPr>
          <w:rFonts w:ascii="Arial" w:hAnsi="Arial" w:cs="Arial"/>
        </w:rPr>
        <w:t xml:space="preserve">., 2021; NIHR, 2021). </w:t>
      </w:r>
      <w:r>
        <w:rPr>
          <w:rFonts w:ascii="Arial" w:hAnsi="Arial" w:cs="Arial"/>
        </w:rPr>
        <w:t>Also, S</w:t>
      </w:r>
      <w:r w:rsidRPr="00F82C00">
        <w:rPr>
          <w:rFonts w:ascii="Arial" w:hAnsi="Arial" w:cs="Arial"/>
        </w:rPr>
        <w:t xml:space="preserve">ocial care policies have </w:t>
      </w:r>
      <w:r w:rsidRPr="00F82C00">
        <w:rPr>
          <w:rFonts w:ascii="Arial" w:hAnsi="Arial" w:cs="Arial"/>
        </w:rPr>
        <w:lastRenderedPageBreak/>
        <w:t>aimed to promote engagement and interaction among care home residents</w:t>
      </w:r>
      <w:r>
        <w:rPr>
          <w:rFonts w:ascii="Arial" w:hAnsi="Arial" w:cs="Arial"/>
        </w:rPr>
        <w:t xml:space="preserve"> </w:t>
      </w:r>
      <w:r w:rsidRPr="00451BDA">
        <w:rPr>
          <w:rFonts w:ascii="Arial" w:eastAsia="Times New Roman" w:hAnsi="Arial" w:cs="Arial"/>
          <w:kern w:val="0"/>
          <w:lang w:eastAsia="en-GB"/>
          <w14:ligatures w14:val="none"/>
        </w:rPr>
        <w:t>(NHS England, 2023)</w:t>
      </w:r>
      <w:r>
        <w:rPr>
          <w:rFonts w:ascii="Arial" w:hAnsi="Arial" w:cs="Arial"/>
        </w:rPr>
        <w:t>. Still, the</w:t>
      </w:r>
      <w:r w:rsidRPr="00F82C00">
        <w:rPr>
          <w:rFonts w:ascii="Arial" w:hAnsi="Arial" w:cs="Arial"/>
        </w:rPr>
        <w:t xml:space="preserve"> pandemic led to strict lockdowns, restricted visits, and reduced communal activities, significantly impacting mental wellbeing (</w:t>
      </w:r>
      <w:proofErr w:type="spellStart"/>
      <w:r w:rsidRPr="00F82C00">
        <w:rPr>
          <w:rFonts w:ascii="Arial" w:hAnsi="Arial" w:cs="Arial"/>
        </w:rPr>
        <w:t>Zaninotto</w:t>
      </w:r>
      <w:proofErr w:type="spellEnd"/>
      <w:r w:rsidRPr="00F82C00">
        <w:rPr>
          <w:rFonts w:ascii="Arial" w:hAnsi="Arial" w:cs="Arial"/>
        </w:rPr>
        <w:t xml:space="preserve"> </w:t>
      </w:r>
      <w:r w:rsidRPr="00966E7A">
        <w:rPr>
          <w:rFonts w:ascii="Arial" w:hAnsi="Arial" w:cs="Arial"/>
          <w:i/>
          <w:iCs/>
        </w:rPr>
        <w:t>et al</w:t>
      </w:r>
      <w:r w:rsidRPr="00F82C00">
        <w:rPr>
          <w:rFonts w:ascii="Arial" w:hAnsi="Arial" w:cs="Arial"/>
        </w:rPr>
        <w:t>., 2021).</w:t>
      </w:r>
    </w:p>
    <w:p w14:paraId="5173C9D1" w14:textId="57B46071" w:rsidR="00C72E0E" w:rsidRPr="00C42DBB" w:rsidRDefault="00C72E0E" w:rsidP="00C72E0E">
      <w:pPr>
        <w:rPr>
          <w:rFonts w:ascii="Times New Roman" w:eastAsia="Times New Roman" w:hAnsi="Times New Roman" w:cs="Times New Roman"/>
          <w:kern w:val="0"/>
          <w:sz w:val="24"/>
          <w:szCs w:val="24"/>
          <w:lang w:eastAsia="en-GB"/>
          <w14:ligatures w14:val="none"/>
        </w:rPr>
      </w:pPr>
      <w:r w:rsidRPr="00F82C00">
        <w:rPr>
          <w:rFonts w:ascii="Arial" w:hAnsi="Arial" w:cs="Arial"/>
        </w:rPr>
        <w:t xml:space="preserve">The </w:t>
      </w:r>
      <w:r>
        <w:rPr>
          <w:rFonts w:ascii="Arial" w:hAnsi="Arial" w:cs="Arial"/>
        </w:rPr>
        <w:t>ONS</w:t>
      </w:r>
      <w:r w:rsidRPr="00F82C00">
        <w:rPr>
          <w:rFonts w:ascii="Arial" w:hAnsi="Arial" w:cs="Arial"/>
        </w:rPr>
        <w:t xml:space="preserve"> </w:t>
      </w:r>
      <w:r w:rsidRPr="00F82C00">
        <w:rPr>
          <w:rStyle w:val="issue-underline"/>
          <w:rFonts w:ascii="Arial" w:hAnsi="Arial" w:cs="Arial"/>
        </w:rPr>
        <w:t>(2021) reported</w:t>
      </w:r>
      <w:r w:rsidRPr="00F82C00">
        <w:rPr>
          <w:rFonts w:ascii="Arial" w:hAnsi="Arial" w:cs="Arial"/>
        </w:rPr>
        <w:t xml:space="preserve"> that depression among older adults nearly doubled during the pandemic, rising from 5% to 9%. Age UK (2024</w:t>
      </w:r>
      <w:r w:rsidR="000C2FA4">
        <w:rPr>
          <w:rFonts w:ascii="Arial" w:hAnsi="Arial" w:cs="Arial"/>
        </w:rPr>
        <w:t>a</w:t>
      </w:r>
      <w:r w:rsidRPr="00F82C00">
        <w:rPr>
          <w:rFonts w:ascii="Arial" w:hAnsi="Arial" w:cs="Arial"/>
        </w:rPr>
        <w:t xml:space="preserve">) also highlighted that 8% of elderly individuals experience loneliness frequently, which is linked to a 29% increased </w:t>
      </w:r>
      <w:r w:rsidRPr="00F82C00">
        <w:rPr>
          <w:rStyle w:val="issue-underline"/>
          <w:rFonts w:ascii="Arial" w:hAnsi="Arial" w:cs="Arial"/>
        </w:rPr>
        <w:t>risk of mortality.</w:t>
      </w:r>
      <w:r w:rsidRPr="00F82C00">
        <w:rPr>
          <w:rFonts w:ascii="Arial" w:hAnsi="Arial" w:cs="Arial"/>
        </w:rPr>
        <w:t xml:space="preserve"> Additionally,</w:t>
      </w:r>
      <w:r>
        <w:rPr>
          <w:rFonts w:ascii="Arial" w:hAnsi="Arial" w:cs="Arial"/>
        </w:rPr>
        <w:t xml:space="preserve"> Age UK (2017) states that </w:t>
      </w:r>
      <w:r w:rsidRPr="00F82C00">
        <w:rPr>
          <w:rFonts w:ascii="Arial" w:hAnsi="Arial" w:cs="Arial"/>
        </w:rPr>
        <w:t xml:space="preserve">25% of older individuals feel uncomfortable discussing mental health issues, </w:t>
      </w:r>
      <w:r>
        <w:rPr>
          <w:rFonts w:ascii="Arial" w:hAnsi="Arial" w:cs="Arial"/>
        </w:rPr>
        <w:t>main</w:t>
      </w:r>
      <w:r w:rsidRPr="00F82C00">
        <w:rPr>
          <w:rFonts w:ascii="Arial" w:hAnsi="Arial" w:cs="Arial"/>
        </w:rPr>
        <w:t>ly due to societal attitudes that historically dismissed depression and anxiety as signs of weakness</w:t>
      </w:r>
      <w:r>
        <w:rPr>
          <w:rFonts w:ascii="Arial" w:hAnsi="Arial" w:cs="Arial"/>
        </w:rPr>
        <w:t xml:space="preserve"> </w:t>
      </w:r>
      <w:r w:rsidRPr="00A91535">
        <w:rPr>
          <w:rFonts w:ascii="Arial" w:eastAsia="Times New Roman" w:hAnsi="Arial" w:cs="Arial"/>
          <w:kern w:val="0"/>
          <w:lang w:eastAsia="en-GB"/>
          <w14:ligatures w14:val="none"/>
        </w:rPr>
        <w:t xml:space="preserve">(Augusto and </w:t>
      </w:r>
      <w:proofErr w:type="spellStart"/>
      <w:r w:rsidRPr="00A91535">
        <w:rPr>
          <w:rFonts w:ascii="Arial" w:eastAsia="Times New Roman" w:hAnsi="Arial" w:cs="Arial"/>
          <w:kern w:val="0"/>
          <w:lang w:eastAsia="en-GB"/>
          <w14:ligatures w14:val="none"/>
        </w:rPr>
        <w:t>Ivbijaro</w:t>
      </w:r>
      <w:proofErr w:type="spellEnd"/>
      <w:r w:rsidRPr="00A91535">
        <w:rPr>
          <w:rFonts w:ascii="Arial" w:eastAsia="Times New Roman" w:hAnsi="Arial" w:cs="Arial"/>
          <w:kern w:val="0"/>
          <w:lang w:eastAsia="en-GB"/>
          <w14:ligatures w14:val="none"/>
        </w:rPr>
        <w:t>, 2013)</w:t>
      </w:r>
      <w:r>
        <w:rPr>
          <w:rFonts w:ascii="Arial" w:hAnsi="Arial" w:cs="Arial"/>
        </w:rPr>
        <w:t>.</w:t>
      </w:r>
    </w:p>
    <w:p w14:paraId="621224ED" w14:textId="2924707B" w:rsidR="00C72E0E" w:rsidRPr="00A7322D" w:rsidRDefault="00C72E0E" w:rsidP="00C72E0E">
      <w:pPr>
        <w:pStyle w:val="pb-2"/>
        <w:spacing w:line="360" w:lineRule="auto"/>
        <w:jc w:val="both"/>
        <w:rPr>
          <w:rFonts w:ascii="Arial" w:hAnsi="Arial" w:cs="Arial"/>
          <w:sz w:val="22"/>
          <w:szCs w:val="22"/>
        </w:rPr>
      </w:pPr>
      <w:r w:rsidRPr="00F82C00">
        <w:rPr>
          <w:rFonts w:ascii="Arial" w:hAnsi="Arial" w:cs="Arial"/>
          <w:sz w:val="22"/>
          <w:szCs w:val="22"/>
        </w:rPr>
        <w:t xml:space="preserve">Consequently, UK policymakers and health organisations place a high priority </w:t>
      </w:r>
      <w:r w:rsidRPr="00F82C00">
        <w:rPr>
          <w:rStyle w:val="issue-underline"/>
          <w:rFonts w:ascii="Arial" w:hAnsi="Arial" w:cs="Arial"/>
          <w:sz w:val="22"/>
          <w:szCs w:val="22"/>
        </w:rPr>
        <w:t xml:space="preserve">on </w:t>
      </w:r>
      <w:r>
        <w:rPr>
          <w:rStyle w:val="issue-underline"/>
          <w:rFonts w:ascii="Arial" w:hAnsi="Arial" w:cs="Arial"/>
          <w:sz w:val="22"/>
          <w:szCs w:val="22"/>
        </w:rPr>
        <w:t xml:space="preserve">the </w:t>
      </w:r>
      <w:r w:rsidRPr="00F82C00">
        <w:rPr>
          <w:rStyle w:val="issue-underline"/>
          <w:rFonts w:ascii="Arial" w:hAnsi="Arial" w:cs="Arial"/>
          <w:sz w:val="22"/>
          <w:szCs w:val="22"/>
        </w:rPr>
        <w:t>balance</w:t>
      </w:r>
      <w:r w:rsidRPr="00F82C00">
        <w:rPr>
          <w:rFonts w:ascii="Arial" w:hAnsi="Arial" w:cs="Arial"/>
          <w:sz w:val="22"/>
          <w:szCs w:val="22"/>
        </w:rPr>
        <w:t xml:space="preserve"> between infection control and mental health support (C</w:t>
      </w:r>
      <w:r>
        <w:rPr>
          <w:rFonts w:ascii="Arial" w:hAnsi="Arial" w:cs="Arial"/>
          <w:sz w:val="22"/>
          <w:szCs w:val="22"/>
        </w:rPr>
        <w:t>QC</w:t>
      </w:r>
      <w:r w:rsidRPr="00F82C00">
        <w:rPr>
          <w:rFonts w:ascii="Arial" w:hAnsi="Arial" w:cs="Arial"/>
          <w:sz w:val="22"/>
          <w:szCs w:val="22"/>
        </w:rPr>
        <w:t>, 2020b). This includes promoting flexible visitation policies, digital communication strategies, and enhanced social support systems to address the long-term impact of isolation in care homes (</w:t>
      </w:r>
      <w:r>
        <w:rPr>
          <w:rFonts w:ascii="Arial" w:hAnsi="Arial" w:cs="Arial"/>
          <w:sz w:val="22"/>
          <w:szCs w:val="22"/>
        </w:rPr>
        <w:t>GOV.UK</w:t>
      </w:r>
      <w:r w:rsidRPr="00F82C00">
        <w:rPr>
          <w:rFonts w:ascii="Arial" w:hAnsi="Arial" w:cs="Arial"/>
          <w:sz w:val="22"/>
          <w:szCs w:val="22"/>
        </w:rPr>
        <w:t xml:space="preserve">, 2023b; NHS </w:t>
      </w:r>
      <w:r w:rsidRPr="00A7322D">
        <w:rPr>
          <w:rFonts w:ascii="Arial" w:hAnsi="Arial" w:cs="Arial"/>
          <w:sz w:val="22"/>
          <w:szCs w:val="22"/>
        </w:rPr>
        <w:t>England, 2023; CQC, 2022</w:t>
      </w:r>
      <w:r w:rsidR="00DC1FB0">
        <w:rPr>
          <w:rFonts w:ascii="Arial" w:hAnsi="Arial" w:cs="Arial"/>
          <w:sz w:val="22"/>
          <w:szCs w:val="22"/>
        </w:rPr>
        <w:t>a</w:t>
      </w:r>
      <w:r w:rsidRPr="00A7322D">
        <w:rPr>
          <w:rFonts w:ascii="Arial" w:hAnsi="Arial" w:cs="Arial"/>
          <w:sz w:val="22"/>
          <w:szCs w:val="22"/>
        </w:rPr>
        <w:t>).</w:t>
      </w:r>
    </w:p>
    <w:p w14:paraId="6D1F754E" w14:textId="77777777" w:rsidR="00C72E0E" w:rsidRPr="004676BF" w:rsidRDefault="00C72E0E" w:rsidP="00C72E0E">
      <w:pPr>
        <w:rPr>
          <w:rFonts w:ascii="Arial" w:hAnsi="Arial" w:cs="Arial"/>
          <w:b/>
          <w:bCs/>
          <w:sz w:val="24"/>
          <w:szCs w:val="24"/>
        </w:rPr>
      </w:pPr>
      <w:r w:rsidRPr="004676BF">
        <w:rPr>
          <w:rFonts w:ascii="Arial" w:hAnsi="Arial" w:cs="Arial"/>
          <w:b/>
          <w:bCs/>
          <w:sz w:val="24"/>
          <w:szCs w:val="24"/>
        </w:rPr>
        <w:t>Policy and Regulation</w:t>
      </w:r>
    </w:p>
    <w:p w14:paraId="6AE4300A" w14:textId="5714C030" w:rsidR="00C72E0E" w:rsidRPr="00A7322D" w:rsidRDefault="00C72E0E" w:rsidP="00C72E0E">
      <w:pPr>
        <w:pStyle w:val="pb-2"/>
        <w:spacing w:line="360" w:lineRule="auto"/>
        <w:jc w:val="both"/>
        <w:rPr>
          <w:rFonts w:ascii="Arial" w:hAnsi="Arial" w:cs="Arial"/>
          <w:sz w:val="22"/>
          <w:szCs w:val="22"/>
        </w:rPr>
      </w:pPr>
      <w:r w:rsidRPr="00A7322D">
        <w:rPr>
          <w:rFonts w:ascii="Arial" w:hAnsi="Arial" w:cs="Arial"/>
          <w:sz w:val="22"/>
          <w:szCs w:val="22"/>
        </w:rPr>
        <w:t xml:space="preserve">Several national policies address social isolation among elderly residents in UK care homes. The Health and Care Act 2022 promotes integrated care to enhance mental </w:t>
      </w:r>
      <w:r w:rsidRPr="00A7322D">
        <w:rPr>
          <w:rStyle w:val="issue-underline"/>
          <w:rFonts w:ascii="Arial" w:hAnsi="Arial" w:cs="Arial"/>
          <w:sz w:val="22"/>
          <w:szCs w:val="22"/>
        </w:rPr>
        <w:t>wellbeing, while</w:t>
      </w:r>
      <w:r w:rsidRPr="00A7322D">
        <w:rPr>
          <w:rFonts w:ascii="Arial" w:hAnsi="Arial" w:cs="Arial"/>
          <w:sz w:val="22"/>
          <w:szCs w:val="22"/>
        </w:rPr>
        <w:t xml:space="preserve"> the Care Act 2014 mandates local authorities to prevent social isolation by ensuring access to community and </w:t>
      </w:r>
      <w:r w:rsidRPr="00A7322D">
        <w:rPr>
          <w:rStyle w:val="issue-underline"/>
          <w:rFonts w:ascii="Arial" w:hAnsi="Arial" w:cs="Arial"/>
          <w:sz w:val="22"/>
          <w:szCs w:val="22"/>
        </w:rPr>
        <w:t>social</w:t>
      </w:r>
      <w:r w:rsidRPr="00A7322D">
        <w:rPr>
          <w:rFonts w:ascii="Arial" w:hAnsi="Arial" w:cs="Arial"/>
          <w:sz w:val="22"/>
          <w:szCs w:val="22"/>
        </w:rPr>
        <w:t xml:space="preserve"> care services. NHS England (2023) reports that the Enhanced Health in Care Homes (EHCH) Framework (2023) focuses on personalised care and </w:t>
      </w:r>
      <w:r w:rsidRPr="00A7322D">
        <w:rPr>
          <w:rStyle w:val="issue-underline"/>
          <w:rFonts w:ascii="Arial" w:hAnsi="Arial" w:cs="Arial"/>
          <w:sz w:val="22"/>
          <w:szCs w:val="22"/>
        </w:rPr>
        <w:t>social</w:t>
      </w:r>
      <w:r w:rsidRPr="00A7322D">
        <w:rPr>
          <w:rFonts w:ascii="Arial" w:hAnsi="Arial" w:cs="Arial"/>
          <w:sz w:val="22"/>
          <w:szCs w:val="22"/>
        </w:rPr>
        <w:t xml:space="preserve"> engagement to improve mental health outcomes. The Mental Capacity Act 2005 safeguards residents' rights to participate in </w:t>
      </w:r>
      <w:r w:rsidRPr="00A7322D">
        <w:rPr>
          <w:rStyle w:val="issue-underline"/>
          <w:rFonts w:ascii="Arial" w:hAnsi="Arial" w:cs="Arial"/>
          <w:sz w:val="22"/>
          <w:szCs w:val="22"/>
        </w:rPr>
        <w:t>social</w:t>
      </w:r>
      <w:r w:rsidRPr="00A7322D">
        <w:rPr>
          <w:rFonts w:ascii="Arial" w:hAnsi="Arial" w:cs="Arial"/>
          <w:sz w:val="22"/>
          <w:szCs w:val="22"/>
        </w:rPr>
        <w:t xml:space="preserve"> activities, even if they have cognitive impairments.</w:t>
      </w:r>
    </w:p>
    <w:p w14:paraId="4F13CF77" w14:textId="77777777" w:rsidR="00C72E0E" w:rsidRPr="00A7322D" w:rsidRDefault="00C72E0E" w:rsidP="00C72E0E">
      <w:pPr>
        <w:pStyle w:val="pb-2"/>
        <w:spacing w:line="360" w:lineRule="auto"/>
        <w:jc w:val="both"/>
        <w:rPr>
          <w:rFonts w:ascii="Arial" w:hAnsi="Arial" w:cs="Arial"/>
          <w:sz w:val="22"/>
          <w:szCs w:val="22"/>
        </w:rPr>
      </w:pPr>
      <w:r w:rsidRPr="00A7322D">
        <w:rPr>
          <w:rFonts w:ascii="Arial" w:hAnsi="Arial" w:cs="Arial"/>
          <w:sz w:val="22"/>
          <w:szCs w:val="22"/>
        </w:rPr>
        <w:t>Additionally, the Winter Plan for Adult Social Care (2021-22) and Coronavirus Act 2020 introduced infection control measures, restricting visitors in care homes, with 97% of UK care homes closing to visitors, which exacerbated loneliness (ONS, 2020). To counteract this, national policies now encourage digital inclusion, structured social activities, and mental health support in care homes.</w:t>
      </w:r>
    </w:p>
    <w:p w14:paraId="460AEE5C" w14:textId="77777777" w:rsidR="00C72E0E" w:rsidRPr="00A7322D" w:rsidRDefault="00C72E0E" w:rsidP="00C72E0E">
      <w:pPr>
        <w:rPr>
          <w:rFonts w:ascii="Arial" w:hAnsi="Arial" w:cs="Arial"/>
          <w:b/>
          <w:bCs/>
          <w:sz w:val="24"/>
          <w:szCs w:val="24"/>
        </w:rPr>
      </w:pPr>
      <w:r w:rsidRPr="00A7322D">
        <w:rPr>
          <w:rFonts w:ascii="Arial" w:hAnsi="Arial" w:cs="Arial"/>
          <w:b/>
          <w:bCs/>
          <w:sz w:val="24"/>
          <w:szCs w:val="24"/>
        </w:rPr>
        <w:t xml:space="preserve">Local </w:t>
      </w:r>
      <w:r w:rsidRPr="00A7322D">
        <w:rPr>
          <w:rStyle w:val="issue-underline"/>
          <w:rFonts w:ascii="Arial" w:hAnsi="Arial" w:cs="Arial"/>
          <w:b/>
          <w:bCs/>
          <w:sz w:val="24"/>
          <w:szCs w:val="24"/>
        </w:rPr>
        <w:t>Context</w:t>
      </w:r>
    </w:p>
    <w:p w14:paraId="2C670901" w14:textId="77777777" w:rsidR="00C72E0E" w:rsidRPr="00A7322D" w:rsidRDefault="00C72E0E" w:rsidP="00C72E0E">
      <w:pPr>
        <w:pStyle w:val="pb-2"/>
        <w:spacing w:line="360" w:lineRule="auto"/>
        <w:jc w:val="both"/>
        <w:rPr>
          <w:rFonts w:ascii="Arial" w:hAnsi="Arial" w:cs="Arial"/>
          <w:sz w:val="22"/>
          <w:szCs w:val="22"/>
        </w:rPr>
      </w:pPr>
      <w:r w:rsidRPr="00A7322D">
        <w:rPr>
          <w:rFonts w:ascii="Arial" w:hAnsi="Arial" w:cs="Arial"/>
          <w:sz w:val="22"/>
          <w:szCs w:val="22"/>
        </w:rPr>
        <w:t xml:space="preserve">The quality of care homes varies across the country. London and the South East tend to have better services, while rural areas </w:t>
      </w:r>
      <w:r w:rsidRPr="00A7322D">
        <w:rPr>
          <w:rStyle w:val="issue-underline"/>
          <w:rFonts w:ascii="Arial" w:hAnsi="Arial" w:cs="Arial"/>
          <w:sz w:val="22"/>
          <w:szCs w:val="22"/>
        </w:rPr>
        <w:t>parts of</w:t>
      </w:r>
      <w:r w:rsidRPr="00A7322D">
        <w:rPr>
          <w:rFonts w:ascii="Arial" w:hAnsi="Arial" w:cs="Arial"/>
          <w:sz w:val="22"/>
          <w:szCs w:val="22"/>
        </w:rPr>
        <w:t xml:space="preserve"> Wales, Northern England, and Scotland face staff shortages and funding issues (Dunn, Ewbank and </w:t>
      </w:r>
      <w:proofErr w:type="spellStart"/>
      <w:r w:rsidRPr="00A7322D">
        <w:rPr>
          <w:rFonts w:ascii="Arial" w:hAnsi="Arial" w:cs="Arial"/>
          <w:sz w:val="22"/>
          <w:szCs w:val="22"/>
        </w:rPr>
        <w:t>Alderwick</w:t>
      </w:r>
      <w:proofErr w:type="spellEnd"/>
      <w:r w:rsidRPr="00A7322D">
        <w:rPr>
          <w:rFonts w:ascii="Arial" w:hAnsi="Arial" w:cs="Arial"/>
          <w:sz w:val="22"/>
          <w:szCs w:val="22"/>
        </w:rPr>
        <w:t>, 2023).</w:t>
      </w:r>
    </w:p>
    <w:p w14:paraId="07D12D14" w14:textId="77777777" w:rsidR="00C72E0E" w:rsidRPr="00A7322D" w:rsidRDefault="00C72E0E" w:rsidP="00C72E0E">
      <w:pPr>
        <w:pStyle w:val="pb-2"/>
        <w:spacing w:line="360" w:lineRule="auto"/>
        <w:jc w:val="both"/>
        <w:rPr>
          <w:rFonts w:ascii="Arial" w:hAnsi="Arial" w:cs="Arial"/>
          <w:sz w:val="22"/>
          <w:szCs w:val="22"/>
        </w:rPr>
      </w:pPr>
      <w:r w:rsidRPr="00A7322D">
        <w:rPr>
          <w:rFonts w:ascii="Arial" w:hAnsi="Arial" w:cs="Arial"/>
          <w:sz w:val="22"/>
          <w:szCs w:val="22"/>
        </w:rPr>
        <w:lastRenderedPageBreak/>
        <w:t>At the local level, various initiatives promote social inclusion among elderly care home residents. According to a report by Age UK (2014), programmes like Dementia-Friendly Communities and Ageing Well encourage engagement, while local councils support befriending services, intergenerational projects, and digital literacy training to help residents stay connected with loved ones (LGA, 2015; LGA, 2021). Telehealth and virtual engagement tools are becoming more popular in rural areas, where access to in-person services is limited (</w:t>
      </w:r>
      <w:proofErr w:type="spellStart"/>
      <w:r w:rsidRPr="00A7322D">
        <w:rPr>
          <w:rFonts w:ascii="Arial" w:hAnsi="Arial" w:cs="Arial"/>
          <w:sz w:val="22"/>
          <w:szCs w:val="22"/>
        </w:rPr>
        <w:t>Gobburi</w:t>
      </w:r>
      <w:proofErr w:type="spellEnd"/>
      <w:r w:rsidRPr="00A7322D">
        <w:rPr>
          <w:rFonts w:ascii="Arial" w:hAnsi="Arial" w:cs="Arial"/>
          <w:sz w:val="22"/>
          <w:szCs w:val="22"/>
        </w:rPr>
        <w:t xml:space="preserve"> </w:t>
      </w:r>
      <w:r w:rsidRPr="000C7DA7">
        <w:rPr>
          <w:rFonts w:ascii="Arial" w:hAnsi="Arial" w:cs="Arial"/>
          <w:i/>
          <w:iCs/>
          <w:sz w:val="22"/>
          <w:szCs w:val="22"/>
        </w:rPr>
        <w:t>et al.,</w:t>
      </w:r>
      <w:r w:rsidRPr="00A7322D">
        <w:rPr>
          <w:rFonts w:ascii="Arial" w:hAnsi="Arial" w:cs="Arial"/>
          <w:sz w:val="22"/>
          <w:szCs w:val="22"/>
        </w:rPr>
        <w:t xml:space="preserve"> 2022). However, regional funding disparities affect the consistency and availability of these interventions (British </w:t>
      </w:r>
      <w:r w:rsidRPr="00A7322D">
        <w:rPr>
          <w:rStyle w:val="issue-underline"/>
          <w:rFonts w:ascii="Arial" w:hAnsi="Arial" w:cs="Arial"/>
          <w:sz w:val="22"/>
          <w:szCs w:val="22"/>
        </w:rPr>
        <w:t>Geriatrics</w:t>
      </w:r>
      <w:r w:rsidRPr="00A7322D">
        <w:rPr>
          <w:rFonts w:ascii="Arial" w:hAnsi="Arial" w:cs="Arial"/>
          <w:sz w:val="22"/>
          <w:szCs w:val="22"/>
        </w:rPr>
        <w:t xml:space="preserve"> Society, 2021).</w:t>
      </w:r>
    </w:p>
    <w:p w14:paraId="7EBB1734" w14:textId="319D5697" w:rsidR="00C72E0E" w:rsidRPr="00A7322D" w:rsidRDefault="00C72E0E" w:rsidP="00C72E0E">
      <w:pPr>
        <w:pStyle w:val="pb-2"/>
        <w:spacing w:line="360" w:lineRule="auto"/>
        <w:jc w:val="both"/>
        <w:rPr>
          <w:rFonts w:ascii="Arial" w:hAnsi="Arial" w:cs="Arial"/>
          <w:sz w:val="22"/>
          <w:szCs w:val="22"/>
        </w:rPr>
      </w:pPr>
      <w:r w:rsidRPr="00A7322D">
        <w:rPr>
          <w:rFonts w:ascii="Arial" w:hAnsi="Arial" w:cs="Arial"/>
          <w:sz w:val="22"/>
          <w:szCs w:val="22"/>
        </w:rPr>
        <w:t>Specific initiatives addressing isolation include Age UK</w:t>
      </w:r>
      <w:r>
        <w:rPr>
          <w:rFonts w:ascii="Arial" w:hAnsi="Arial" w:cs="Arial"/>
          <w:sz w:val="22"/>
          <w:szCs w:val="22"/>
        </w:rPr>
        <w:t>'</w:t>
      </w:r>
      <w:r w:rsidRPr="00A7322D">
        <w:rPr>
          <w:rFonts w:ascii="Arial" w:hAnsi="Arial" w:cs="Arial"/>
          <w:sz w:val="22"/>
          <w:szCs w:val="22"/>
        </w:rPr>
        <w:t xml:space="preserve">s </w:t>
      </w:r>
      <w:r w:rsidR="00AA7FA5">
        <w:rPr>
          <w:rFonts w:ascii="Arial" w:hAnsi="Arial" w:cs="Arial"/>
          <w:sz w:val="22"/>
          <w:szCs w:val="22"/>
        </w:rPr>
        <w:t>‘</w:t>
      </w:r>
      <w:r w:rsidRPr="00A7322D">
        <w:rPr>
          <w:rFonts w:ascii="Arial" w:hAnsi="Arial" w:cs="Arial"/>
          <w:sz w:val="22"/>
          <w:szCs w:val="22"/>
        </w:rPr>
        <w:t>Call in Time</w:t>
      </w:r>
      <w:r w:rsidR="00AA7FA5">
        <w:rPr>
          <w:rFonts w:ascii="Arial" w:hAnsi="Arial" w:cs="Arial"/>
          <w:sz w:val="22"/>
          <w:szCs w:val="22"/>
        </w:rPr>
        <w:t>’</w:t>
      </w:r>
      <w:r w:rsidRPr="00A7322D">
        <w:rPr>
          <w:rFonts w:ascii="Arial" w:hAnsi="Arial" w:cs="Arial"/>
          <w:sz w:val="22"/>
          <w:szCs w:val="22"/>
        </w:rPr>
        <w:t xml:space="preserve"> service, which provides </w:t>
      </w:r>
      <w:r w:rsidRPr="00BB1A16">
        <w:rPr>
          <w:rFonts w:ascii="Arial" w:hAnsi="Arial" w:cs="Arial"/>
          <w:sz w:val="22"/>
          <w:szCs w:val="22"/>
        </w:rPr>
        <w:t xml:space="preserve">regular phone check-ins for elderly individuals (Age UK, 2023b). Among the interventions suggested by Age UK (2014) </w:t>
      </w:r>
      <w:r>
        <w:rPr>
          <w:rFonts w:ascii="Arial" w:hAnsi="Arial" w:cs="Arial"/>
          <w:sz w:val="22"/>
          <w:szCs w:val="22"/>
        </w:rPr>
        <w:t>are</w:t>
      </w:r>
      <w:r w:rsidRPr="00BB1A16">
        <w:rPr>
          <w:rFonts w:ascii="Arial" w:hAnsi="Arial" w:cs="Arial"/>
          <w:sz w:val="22"/>
          <w:szCs w:val="22"/>
        </w:rPr>
        <w:t xml:space="preserve"> befriending, mentoring, gatekeeping, and the hiring of Community Navigators.</w:t>
      </w:r>
      <w:r w:rsidRPr="00A7322D">
        <w:rPr>
          <w:rFonts w:ascii="Arial" w:hAnsi="Arial" w:cs="Arial"/>
          <w:sz w:val="22"/>
          <w:szCs w:val="22"/>
        </w:rPr>
        <w:t xml:space="preserve"> During COVID-19, NHSX collaborated with technology firms to combat social isolation by distributing Portal video-calling devices to hospitals, care homes, and hospices (GOV.UK, 2020). Pilot programmes in Surrey, Manchester, Newcastle, and London helped residents stay connected with loved ones, improving emotional wellbeing and reducing loneliness (Jopling, 2015; GOV.UK, 2020).</w:t>
      </w:r>
    </w:p>
    <w:p w14:paraId="6A7615E8" w14:textId="77777777" w:rsidR="00C72E0E" w:rsidRPr="003D0CEA" w:rsidRDefault="00C72E0E" w:rsidP="00C72E0E">
      <w:pPr>
        <w:pStyle w:val="paragraph"/>
        <w:spacing w:before="0" w:beforeAutospacing="0" w:after="0" w:afterAutospacing="0" w:line="360" w:lineRule="auto"/>
        <w:ind w:left="1080"/>
        <w:textAlignment w:val="baseline"/>
        <w:rPr>
          <w:rFonts w:ascii="Arial" w:hAnsi="Arial" w:cs="Arial"/>
          <w:sz w:val="16"/>
          <w:szCs w:val="16"/>
        </w:rPr>
      </w:pPr>
      <w:r w:rsidRPr="003D0CEA">
        <w:rPr>
          <w:rStyle w:val="eop"/>
          <w:rFonts w:ascii="Arial" w:eastAsia="Calibri Light" w:hAnsi="Arial" w:cs="Arial"/>
          <w:sz w:val="22"/>
          <w:szCs w:val="22"/>
        </w:rPr>
        <w:t> </w:t>
      </w:r>
    </w:p>
    <w:p w14:paraId="4F335466" w14:textId="77777777" w:rsidR="00C72E0E" w:rsidRPr="003D0CEA" w:rsidRDefault="00C72E0E" w:rsidP="00C72E0E">
      <w:pPr>
        <w:pStyle w:val="paragraph"/>
        <w:spacing w:before="0" w:beforeAutospacing="0" w:after="0" w:afterAutospacing="0" w:line="360" w:lineRule="auto"/>
        <w:textAlignment w:val="baseline"/>
        <w:rPr>
          <w:rFonts w:ascii="Arial" w:hAnsi="Arial" w:cs="Arial"/>
          <w:color w:val="0F4761"/>
          <w:sz w:val="16"/>
          <w:szCs w:val="16"/>
        </w:rPr>
      </w:pPr>
      <w:r w:rsidRPr="003D0CEA">
        <w:rPr>
          <w:rStyle w:val="normaltextrun"/>
          <w:rFonts w:ascii="Arial" w:hAnsi="Arial" w:cs="Arial"/>
          <w:color w:val="0F4761"/>
        </w:rPr>
        <w:t xml:space="preserve">2.6 Conclusion </w:t>
      </w:r>
    </w:p>
    <w:p w14:paraId="7F39B534" w14:textId="77777777" w:rsidR="00C72E0E" w:rsidRDefault="00C72E0E" w:rsidP="00C72E0E">
      <w:pPr>
        <w:pStyle w:val="paragraph"/>
        <w:spacing w:before="0" w:beforeAutospacing="0" w:after="0" w:afterAutospacing="0" w:line="360" w:lineRule="auto"/>
        <w:textAlignment w:val="baseline"/>
        <w:rPr>
          <w:rStyle w:val="eop"/>
          <w:rFonts w:ascii="Arial" w:eastAsia="Calibri Light" w:hAnsi="Arial" w:cs="Arial"/>
          <w:sz w:val="22"/>
          <w:szCs w:val="22"/>
        </w:rPr>
      </w:pPr>
    </w:p>
    <w:p w14:paraId="63E97829" w14:textId="77777777" w:rsidR="00C72E0E" w:rsidRPr="00FA6EC2" w:rsidRDefault="00C72E0E" w:rsidP="00C72E0E">
      <w:pPr>
        <w:pStyle w:val="paragraph"/>
        <w:spacing w:before="0" w:beforeAutospacing="0" w:after="0" w:afterAutospacing="0" w:line="360" w:lineRule="auto"/>
        <w:textAlignment w:val="baseline"/>
        <w:rPr>
          <w:rFonts w:ascii="Arial" w:hAnsi="Arial" w:cs="Arial"/>
          <w:sz w:val="22"/>
          <w:szCs w:val="22"/>
        </w:rPr>
      </w:pPr>
      <w:r w:rsidRPr="00FA6EC2">
        <w:rPr>
          <w:rFonts w:ascii="Arial" w:hAnsi="Arial" w:cs="Arial"/>
          <w:sz w:val="22"/>
          <w:szCs w:val="22"/>
        </w:rPr>
        <w:t xml:space="preserve">This chapter provides a thorough overview of the historical, theoretical, international, and national contexts that </w:t>
      </w:r>
      <w:r w:rsidRPr="00FA6EC2">
        <w:rPr>
          <w:rStyle w:val="issue-underline"/>
          <w:rFonts w:ascii="Arial" w:eastAsia="Calibri Light" w:hAnsi="Arial" w:cs="Arial"/>
          <w:sz w:val="22"/>
          <w:szCs w:val="22"/>
        </w:rPr>
        <w:t>inform</w:t>
      </w:r>
      <w:r w:rsidRPr="00FA6EC2">
        <w:rPr>
          <w:rFonts w:ascii="Arial" w:hAnsi="Arial" w:cs="Arial"/>
          <w:sz w:val="22"/>
          <w:szCs w:val="22"/>
        </w:rPr>
        <w:t xml:space="preserve"> the study of social isolation and its psychological effects on elderly residents in UK care homes during the COVID-19 pandemic. It </w:t>
      </w:r>
      <w:r w:rsidRPr="00FA6EC2">
        <w:rPr>
          <w:rStyle w:val="issue-underline"/>
          <w:rFonts w:ascii="Arial" w:eastAsia="Calibri Light" w:hAnsi="Arial" w:cs="Arial"/>
          <w:sz w:val="22"/>
          <w:szCs w:val="22"/>
        </w:rPr>
        <w:t>traced</w:t>
      </w:r>
      <w:r w:rsidRPr="00FA6EC2">
        <w:rPr>
          <w:rFonts w:ascii="Arial" w:hAnsi="Arial" w:cs="Arial"/>
          <w:sz w:val="22"/>
          <w:szCs w:val="22"/>
        </w:rPr>
        <w:t xml:space="preserve"> the evolution of elderly care in the UK, beginning with almshouses and workhouses and moving toward modern regulated care home </w:t>
      </w:r>
      <w:r w:rsidRPr="00FA6EC2">
        <w:rPr>
          <w:rStyle w:val="issue-underline"/>
          <w:rFonts w:ascii="Arial" w:eastAsia="Calibri Light" w:hAnsi="Arial" w:cs="Arial"/>
          <w:sz w:val="22"/>
          <w:szCs w:val="22"/>
        </w:rPr>
        <w:t>systems.</w:t>
      </w:r>
      <w:r w:rsidRPr="00FA6EC2">
        <w:rPr>
          <w:rFonts w:ascii="Arial" w:hAnsi="Arial" w:cs="Arial"/>
          <w:sz w:val="22"/>
          <w:szCs w:val="22"/>
        </w:rPr>
        <w:t xml:space="preserve"> Additionally, it </w:t>
      </w:r>
      <w:r w:rsidRPr="00FA6EC2">
        <w:rPr>
          <w:rStyle w:val="issue-underline"/>
          <w:rFonts w:ascii="Arial" w:eastAsia="Calibri Light" w:hAnsi="Arial" w:cs="Arial"/>
          <w:sz w:val="22"/>
          <w:szCs w:val="22"/>
        </w:rPr>
        <w:t>acknowledged</w:t>
      </w:r>
      <w:r w:rsidRPr="00FA6EC2">
        <w:rPr>
          <w:rFonts w:ascii="Arial" w:hAnsi="Arial" w:cs="Arial"/>
          <w:sz w:val="22"/>
          <w:szCs w:val="22"/>
        </w:rPr>
        <w:t xml:space="preserve"> the lasting significance of John Snow's contributions to public health.</w:t>
      </w:r>
    </w:p>
    <w:p w14:paraId="0EB3A8DF" w14:textId="77777777" w:rsidR="00C72E0E" w:rsidRPr="00FA6EC2" w:rsidRDefault="00C72E0E" w:rsidP="00C72E0E">
      <w:pPr>
        <w:pStyle w:val="pb-2"/>
        <w:spacing w:line="360" w:lineRule="auto"/>
        <w:jc w:val="both"/>
        <w:rPr>
          <w:rFonts w:ascii="Arial" w:hAnsi="Arial" w:cs="Arial"/>
          <w:sz w:val="22"/>
          <w:szCs w:val="22"/>
        </w:rPr>
      </w:pPr>
      <w:r w:rsidRPr="00FA6EC2">
        <w:rPr>
          <w:rFonts w:ascii="Arial" w:hAnsi="Arial" w:cs="Arial"/>
          <w:sz w:val="22"/>
          <w:szCs w:val="22"/>
        </w:rPr>
        <w:t xml:space="preserve">Key theories, including Maslow's Hierarchy of Needs, Socioemotional Selectivity Theory, and Activity Theory, were critically examined for their relevance and limitations in the context of the pandemic. International comparisons and case studies </w:t>
      </w:r>
      <w:r w:rsidRPr="00FA6EC2">
        <w:rPr>
          <w:rStyle w:val="issue-underline"/>
          <w:rFonts w:ascii="Arial" w:eastAsia="Calibri Light" w:hAnsi="Arial" w:cs="Arial"/>
          <w:sz w:val="22"/>
          <w:szCs w:val="22"/>
        </w:rPr>
        <w:t>highlighted the diverse approaches taken worldwide,</w:t>
      </w:r>
      <w:r w:rsidRPr="00FA6EC2">
        <w:rPr>
          <w:rFonts w:ascii="Arial" w:hAnsi="Arial" w:cs="Arial"/>
          <w:sz w:val="22"/>
          <w:szCs w:val="22"/>
        </w:rPr>
        <w:t xml:space="preserve"> revealing both successes and challenges. The chapter also explored national and local initiatives and policy frameworks in the UK, </w:t>
      </w:r>
      <w:r w:rsidRPr="00FA6EC2">
        <w:rPr>
          <w:rStyle w:val="issue-underline"/>
          <w:rFonts w:ascii="Arial" w:eastAsia="Calibri Light" w:hAnsi="Arial" w:cs="Arial"/>
          <w:sz w:val="22"/>
          <w:szCs w:val="22"/>
        </w:rPr>
        <w:t>emphasising</w:t>
      </w:r>
      <w:r w:rsidRPr="00FA6EC2">
        <w:rPr>
          <w:rFonts w:ascii="Arial" w:hAnsi="Arial" w:cs="Arial"/>
          <w:sz w:val="22"/>
          <w:szCs w:val="22"/>
        </w:rPr>
        <w:t xml:space="preserve"> efforts to mitigate social isolation.</w:t>
      </w:r>
    </w:p>
    <w:p w14:paraId="1D621CAD" w14:textId="77777777" w:rsidR="00C72E0E" w:rsidRDefault="00C72E0E" w:rsidP="00C72E0E">
      <w:pPr>
        <w:pStyle w:val="pb-2"/>
        <w:spacing w:line="360" w:lineRule="auto"/>
        <w:jc w:val="both"/>
        <w:rPr>
          <w:rFonts w:ascii="Arial" w:hAnsi="Arial" w:cs="Arial"/>
          <w:sz w:val="22"/>
          <w:szCs w:val="22"/>
        </w:rPr>
      </w:pPr>
      <w:r w:rsidRPr="00FA6EC2">
        <w:rPr>
          <w:rFonts w:ascii="Arial" w:hAnsi="Arial" w:cs="Arial"/>
          <w:sz w:val="22"/>
          <w:szCs w:val="22"/>
        </w:rPr>
        <w:t xml:space="preserve">This background sets the stage for the next </w:t>
      </w:r>
      <w:r w:rsidRPr="00FA6EC2">
        <w:rPr>
          <w:rStyle w:val="issue-underline"/>
          <w:rFonts w:ascii="Arial" w:eastAsia="Calibri Light" w:hAnsi="Arial" w:cs="Arial"/>
          <w:sz w:val="22"/>
          <w:szCs w:val="22"/>
        </w:rPr>
        <w:t>chapter, which</w:t>
      </w:r>
      <w:r w:rsidRPr="00FA6EC2">
        <w:rPr>
          <w:rFonts w:ascii="Arial" w:hAnsi="Arial" w:cs="Arial"/>
          <w:sz w:val="22"/>
          <w:szCs w:val="22"/>
        </w:rPr>
        <w:t xml:space="preserve"> will outline the research methodology and demonstrate how these contextual insights have shaped the dissertation's design and approach.</w:t>
      </w:r>
    </w:p>
    <w:p w14:paraId="1DFAFBD2" w14:textId="2E95AB45" w:rsidR="00292A36" w:rsidRPr="00292A36" w:rsidRDefault="00292A36" w:rsidP="0064021A">
      <w:pPr>
        <w:pStyle w:val="Heading1"/>
        <w:ind w:left="0"/>
      </w:pPr>
      <w:bookmarkStart w:id="6" w:name="_Toc204127877"/>
      <w:r w:rsidRPr="00292A36">
        <w:rPr>
          <w:rFonts w:ascii="Aptos" w:hAnsi="Aptos"/>
        </w:rPr>
        <w:lastRenderedPageBreak/>
        <w:t>C</w:t>
      </w:r>
      <w:r>
        <w:rPr>
          <w:rFonts w:ascii="Aptos" w:hAnsi="Aptos"/>
        </w:rPr>
        <w:t>HAPTER</w:t>
      </w:r>
      <w:r w:rsidRPr="00292A36">
        <w:rPr>
          <w:rFonts w:ascii="Aptos" w:hAnsi="Aptos"/>
        </w:rPr>
        <w:t xml:space="preserve"> 3 – </w:t>
      </w:r>
      <w:r w:rsidR="00E325CF">
        <w:rPr>
          <w:rFonts w:ascii="Aptos" w:hAnsi="Aptos"/>
        </w:rPr>
        <w:t>Methods and Search Strategy</w:t>
      </w:r>
      <w:bookmarkEnd w:id="6"/>
      <w:r w:rsidR="00E325CF">
        <w:rPr>
          <w:rFonts w:ascii="Aptos" w:hAnsi="Aptos"/>
        </w:rPr>
        <w:t xml:space="preserve"> </w:t>
      </w:r>
    </w:p>
    <w:p w14:paraId="5C2EC55E" w14:textId="77777777" w:rsidR="00B7073C" w:rsidRPr="00292A36" w:rsidRDefault="00B7073C" w:rsidP="00B7073C"/>
    <w:p w14:paraId="5A7AB555" w14:textId="4FD50417" w:rsidR="003A66FD" w:rsidRDefault="00292A36" w:rsidP="00E40B0D">
      <w:pPr>
        <w:pStyle w:val="Heading2"/>
      </w:pPr>
      <w:bookmarkStart w:id="7" w:name="_Toc204127878"/>
      <w:r w:rsidRPr="0021364B">
        <w:t>3.</w:t>
      </w:r>
      <w:r w:rsidR="005D7A1E">
        <w:t>1</w:t>
      </w:r>
      <w:r w:rsidRPr="0021364B">
        <w:t xml:space="preserve"> –</w:t>
      </w:r>
      <w:r w:rsidR="0021364B">
        <w:t xml:space="preserve"> </w:t>
      </w:r>
      <w:r w:rsidRPr="0021364B">
        <w:t>Introduction</w:t>
      </w:r>
      <w:bookmarkEnd w:id="7"/>
      <w:r w:rsidRPr="0021364B">
        <w:t xml:space="preserve"> </w:t>
      </w:r>
    </w:p>
    <w:p w14:paraId="35B2B06C" w14:textId="1E99B761" w:rsidR="004A2D77" w:rsidRPr="004A2D77" w:rsidRDefault="004A2D77" w:rsidP="004A2D77">
      <w:pPr>
        <w:rPr>
          <w:rFonts w:ascii="Arial" w:hAnsi="Arial" w:cs="Arial"/>
        </w:rPr>
      </w:pPr>
      <w:r w:rsidRPr="004A2D77">
        <w:rPr>
          <w:rFonts w:ascii="Arial" w:hAnsi="Arial" w:cs="Arial"/>
        </w:rPr>
        <w:t>This chapter explains the methodology used to conduct a secondary literature review investigating the impact of social isolation during COVID-19 lockdowns on depression and loneliness among elderly residents in UK care homes. It expands on the visual overview provided in the Academic Methodology Poster, includ</w:t>
      </w:r>
      <w:r w:rsidRPr="007F3FD3">
        <w:rPr>
          <w:rFonts w:ascii="Arial" w:hAnsi="Arial" w:cs="Arial"/>
        </w:rPr>
        <w:t xml:space="preserve">ed in </w:t>
      </w:r>
      <w:r w:rsidRPr="007F3FD3">
        <w:rPr>
          <w:rStyle w:val="Strong"/>
          <w:rFonts w:ascii="Arial" w:hAnsi="Arial" w:cs="Arial"/>
          <w:b w:val="0"/>
          <w:bCs w:val="0"/>
        </w:rPr>
        <w:t>Appendix A</w:t>
      </w:r>
      <w:r w:rsidRPr="007F3FD3">
        <w:rPr>
          <w:rFonts w:ascii="Arial" w:hAnsi="Arial" w:cs="Arial"/>
          <w:b/>
          <w:bCs/>
        </w:rPr>
        <w:t xml:space="preserve">, </w:t>
      </w:r>
      <w:r w:rsidRPr="007F3FD3">
        <w:rPr>
          <w:rFonts w:ascii="Arial" w:hAnsi="Arial" w:cs="Arial"/>
        </w:rPr>
        <w:t xml:space="preserve">and </w:t>
      </w:r>
      <w:r w:rsidRPr="004A2D77">
        <w:rPr>
          <w:rFonts w:ascii="Arial" w:hAnsi="Arial" w:cs="Arial"/>
        </w:rPr>
        <w:t>offers a detailed account of the search and selection strategy, criteria for inclusion and exclusion, validation of sources, and thematic coding approach. These methods were essential in identifying, evaluating, and synthesising relevant literature, which informed the thematic analysis presented in Chapter 4.</w:t>
      </w:r>
    </w:p>
    <w:p w14:paraId="644CE1D2" w14:textId="0709F78F" w:rsidR="009E5B14" w:rsidRDefault="00292A36" w:rsidP="009E5B14">
      <w:pPr>
        <w:pStyle w:val="Heading2"/>
      </w:pPr>
      <w:bookmarkStart w:id="8" w:name="_Toc204127879"/>
      <w:r w:rsidRPr="0021364B">
        <w:t>3.</w:t>
      </w:r>
      <w:r w:rsidR="00E40B0D">
        <w:t>2</w:t>
      </w:r>
      <w:r w:rsidRPr="0021364B">
        <w:t xml:space="preserve"> – Search Strategy</w:t>
      </w:r>
      <w:bookmarkEnd w:id="8"/>
      <w:r w:rsidRPr="0021364B">
        <w:t xml:space="preserve">  </w:t>
      </w:r>
    </w:p>
    <w:p w14:paraId="52D3F21E" w14:textId="471585D8" w:rsidR="00DA2105" w:rsidRPr="00DA2105" w:rsidRDefault="00B7073C" w:rsidP="00DA2105">
      <w:pPr>
        <w:rPr>
          <w:rFonts w:ascii="Arial" w:hAnsi="Arial" w:cs="Arial"/>
        </w:rPr>
      </w:pPr>
      <w:r>
        <w:br/>
      </w:r>
      <w:r w:rsidR="00DA2105" w:rsidRPr="00DA2105">
        <w:rPr>
          <w:rFonts w:ascii="Arial" w:hAnsi="Arial" w:cs="Arial"/>
        </w:rPr>
        <w:t>A structured search strategy was developed to identify academic literature relevant to the research questio</w:t>
      </w:r>
      <w:r w:rsidR="00DA2105" w:rsidRPr="00F52EC2">
        <w:rPr>
          <w:rFonts w:ascii="Arial" w:hAnsi="Arial" w:cs="Arial"/>
        </w:rPr>
        <w:t>n</w:t>
      </w:r>
      <w:r w:rsidR="00060886" w:rsidRPr="00F52EC2">
        <w:rPr>
          <w:rFonts w:ascii="Arial" w:hAnsi="Arial" w:cs="Arial"/>
        </w:rPr>
        <w:t xml:space="preserve"> (University of Leeds, 2022)</w:t>
      </w:r>
      <w:r w:rsidR="00DA2105" w:rsidRPr="00F52EC2">
        <w:rPr>
          <w:rFonts w:ascii="Arial" w:hAnsi="Arial" w:cs="Arial"/>
        </w:rPr>
        <w:t xml:space="preserve">. </w:t>
      </w:r>
      <w:r w:rsidR="00DA2105" w:rsidRPr="00DA2105">
        <w:rPr>
          <w:rFonts w:ascii="Arial" w:hAnsi="Arial" w:cs="Arial"/>
        </w:rPr>
        <w:t xml:space="preserve">Keywords were derived directly from the dissertation title and included terms such as </w:t>
      </w:r>
      <w:r w:rsidR="00A844F5">
        <w:rPr>
          <w:rFonts w:ascii="Arial" w:hAnsi="Arial" w:cs="Arial"/>
        </w:rPr>
        <w:t>"</w:t>
      </w:r>
      <w:r w:rsidR="00DA2105" w:rsidRPr="00DA2105">
        <w:rPr>
          <w:rFonts w:ascii="Arial" w:hAnsi="Arial" w:cs="Arial"/>
        </w:rPr>
        <w:t>social isolation,</w:t>
      </w:r>
      <w:r w:rsidR="00A844F5">
        <w:rPr>
          <w:rFonts w:ascii="Arial" w:hAnsi="Arial" w:cs="Arial"/>
        </w:rPr>
        <w:t>" "</w:t>
      </w:r>
      <w:r w:rsidR="00DA2105" w:rsidRPr="00DA2105">
        <w:rPr>
          <w:rFonts w:ascii="Arial" w:hAnsi="Arial" w:cs="Arial"/>
        </w:rPr>
        <w:t>COVID-19,</w:t>
      </w:r>
      <w:r w:rsidR="00A844F5">
        <w:rPr>
          <w:rFonts w:ascii="Arial" w:hAnsi="Arial" w:cs="Arial"/>
        </w:rPr>
        <w:t>" "</w:t>
      </w:r>
      <w:r w:rsidR="00DA2105" w:rsidRPr="00DA2105">
        <w:rPr>
          <w:rFonts w:ascii="Arial" w:hAnsi="Arial" w:cs="Arial"/>
        </w:rPr>
        <w:t>loneliness,</w:t>
      </w:r>
      <w:r w:rsidR="00A844F5">
        <w:rPr>
          <w:rFonts w:ascii="Arial" w:hAnsi="Arial" w:cs="Arial"/>
        </w:rPr>
        <w:t>" "</w:t>
      </w:r>
      <w:r w:rsidR="00DA2105" w:rsidRPr="00DA2105">
        <w:rPr>
          <w:rFonts w:ascii="Arial" w:hAnsi="Arial" w:cs="Arial"/>
        </w:rPr>
        <w:t>depression,</w:t>
      </w:r>
      <w:r w:rsidR="00A844F5">
        <w:rPr>
          <w:rFonts w:ascii="Arial" w:hAnsi="Arial" w:cs="Arial"/>
        </w:rPr>
        <w:t>" "</w:t>
      </w:r>
      <w:r w:rsidR="00DA2105" w:rsidRPr="00DA2105">
        <w:rPr>
          <w:rFonts w:ascii="Arial" w:hAnsi="Arial" w:cs="Arial"/>
        </w:rPr>
        <w:t>elderly residents,</w:t>
      </w:r>
      <w:r w:rsidR="00A844F5">
        <w:rPr>
          <w:rFonts w:ascii="Arial" w:hAnsi="Arial" w:cs="Arial"/>
        </w:rPr>
        <w:t>"</w:t>
      </w:r>
      <w:r w:rsidR="00DA2105" w:rsidRPr="00DA2105">
        <w:rPr>
          <w:rFonts w:ascii="Arial" w:hAnsi="Arial" w:cs="Arial"/>
        </w:rPr>
        <w:t xml:space="preserve"> and </w:t>
      </w:r>
      <w:r w:rsidR="00A844F5">
        <w:rPr>
          <w:rFonts w:ascii="Arial" w:hAnsi="Arial" w:cs="Arial"/>
        </w:rPr>
        <w:t>"</w:t>
      </w:r>
      <w:r w:rsidR="00DA2105" w:rsidRPr="00DA2105">
        <w:rPr>
          <w:rFonts w:ascii="Arial" w:hAnsi="Arial" w:cs="Arial"/>
        </w:rPr>
        <w:t>UK care homes.</w:t>
      </w:r>
      <w:r w:rsidR="00A844F5">
        <w:rPr>
          <w:rFonts w:ascii="Arial" w:hAnsi="Arial" w:cs="Arial"/>
        </w:rPr>
        <w:t>"</w:t>
      </w:r>
      <w:r w:rsidR="00DA2105" w:rsidRPr="00DA2105">
        <w:rPr>
          <w:rFonts w:ascii="Arial" w:hAnsi="Arial" w:cs="Arial"/>
        </w:rPr>
        <w:t xml:space="preserve"> These terms were chosen to capture both clinical and social dimensions of the topic. Synonyms and related terms were also considered, such as </w:t>
      </w:r>
      <w:r w:rsidR="00A844F5">
        <w:rPr>
          <w:rFonts w:ascii="Arial" w:hAnsi="Arial" w:cs="Arial"/>
        </w:rPr>
        <w:t>"</w:t>
      </w:r>
      <w:r w:rsidR="00DA2105" w:rsidRPr="00DA2105">
        <w:rPr>
          <w:rFonts w:ascii="Arial" w:hAnsi="Arial" w:cs="Arial"/>
        </w:rPr>
        <w:t>older adults</w:t>
      </w:r>
      <w:r w:rsidR="00A844F5">
        <w:rPr>
          <w:rFonts w:ascii="Arial" w:hAnsi="Arial" w:cs="Arial"/>
        </w:rPr>
        <w:t>"</w:t>
      </w:r>
      <w:r w:rsidR="00DA2105" w:rsidRPr="00DA2105">
        <w:rPr>
          <w:rFonts w:ascii="Arial" w:hAnsi="Arial" w:cs="Arial"/>
        </w:rPr>
        <w:t xml:space="preserve"> for </w:t>
      </w:r>
      <w:r w:rsidR="00A844F5">
        <w:rPr>
          <w:rFonts w:ascii="Arial" w:hAnsi="Arial" w:cs="Arial"/>
        </w:rPr>
        <w:t>"</w:t>
      </w:r>
      <w:r w:rsidR="00DA2105" w:rsidRPr="00DA2105">
        <w:rPr>
          <w:rFonts w:ascii="Arial" w:hAnsi="Arial" w:cs="Arial"/>
        </w:rPr>
        <w:t>elderly</w:t>
      </w:r>
      <w:r w:rsidR="00A844F5">
        <w:rPr>
          <w:rFonts w:ascii="Arial" w:hAnsi="Arial" w:cs="Arial"/>
        </w:rPr>
        <w:t>"</w:t>
      </w:r>
      <w:r w:rsidR="00DA2105" w:rsidRPr="00DA2105">
        <w:rPr>
          <w:rFonts w:ascii="Arial" w:hAnsi="Arial" w:cs="Arial"/>
        </w:rPr>
        <w:t xml:space="preserve"> and </w:t>
      </w:r>
      <w:r w:rsidR="00A844F5">
        <w:rPr>
          <w:rFonts w:ascii="Arial" w:hAnsi="Arial" w:cs="Arial"/>
        </w:rPr>
        <w:t>"</w:t>
      </w:r>
      <w:r w:rsidR="00DA2105" w:rsidRPr="00DA2105">
        <w:rPr>
          <w:rFonts w:ascii="Arial" w:hAnsi="Arial" w:cs="Arial"/>
        </w:rPr>
        <w:t>long-term care</w:t>
      </w:r>
      <w:r w:rsidR="00A844F5">
        <w:rPr>
          <w:rFonts w:ascii="Arial" w:hAnsi="Arial" w:cs="Arial"/>
        </w:rPr>
        <w:t>"</w:t>
      </w:r>
      <w:r w:rsidR="00DA2105" w:rsidRPr="00DA2105">
        <w:rPr>
          <w:rFonts w:ascii="Arial" w:hAnsi="Arial" w:cs="Arial"/>
        </w:rPr>
        <w:t xml:space="preserve"> for </w:t>
      </w:r>
      <w:r w:rsidR="00A844F5">
        <w:rPr>
          <w:rFonts w:ascii="Arial" w:hAnsi="Arial" w:cs="Arial"/>
        </w:rPr>
        <w:t>"</w:t>
      </w:r>
      <w:r w:rsidR="00DA2105" w:rsidRPr="00DA2105">
        <w:rPr>
          <w:rFonts w:ascii="Arial" w:hAnsi="Arial" w:cs="Arial"/>
        </w:rPr>
        <w:t>care homes.</w:t>
      </w:r>
      <w:r w:rsidR="00A844F5">
        <w:rPr>
          <w:rFonts w:ascii="Arial" w:hAnsi="Arial" w:cs="Arial"/>
        </w:rPr>
        <w:t>"</w:t>
      </w:r>
    </w:p>
    <w:p w14:paraId="27FC382D" w14:textId="5C3035BE" w:rsidR="00DA2105" w:rsidRPr="00DA2105" w:rsidRDefault="00DA2105" w:rsidP="00DA2105">
      <w:pPr>
        <w:rPr>
          <w:rFonts w:ascii="Arial" w:hAnsi="Arial" w:cs="Arial"/>
        </w:rPr>
      </w:pPr>
      <w:r w:rsidRPr="00DA2105">
        <w:rPr>
          <w:rFonts w:ascii="Arial" w:hAnsi="Arial" w:cs="Arial"/>
        </w:rPr>
        <w:t xml:space="preserve">Boolean operators were used to refine the search </w:t>
      </w:r>
      <w:r w:rsidRPr="000F6334">
        <w:rPr>
          <w:rFonts w:ascii="Arial" w:hAnsi="Arial" w:cs="Arial"/>
        </w:rPr>
        <w:t>results</w:t>
      </w:r>
      <w:r w:rsidR="000F6334" w:rsidRPr="000F6334">
        <w:rPr>
          <w:rFonts w:ascii="Arial" w:hAnsi="Arial" w:cs="Arial"/>
        </w:rPr>
        <w:t xml:space="preserve"> (Bramer </w:t>
      </w:r>
      <w:r w:rsidR="000F6334" w:rsidRPr="00AF5FFA">
        <w:rPr>
          <w:rFonts w:ascii="Arial" w:hAnsi="Arial" w:cs="Arial"/>
          <w:i/>
          <w:iCs/>
        </w:rPr>
        <w:t>et al.,</w:t>
      </w:r>
      <w:r w:rsidR="000F6334" w:rsidRPr="000F6334">
        <w:rPr>
          <w:rFonts w:ascii="Arial" w:hAnsi="Arial" w:cs="Arial"/>
        </w:rPr>
        <w:t xml:space="preserve"> 2018)</w:t>
      </w:r>
      <w:r w:rsidRPr="000F6334">
        <w:rPr>
          <w:rFonts w:ascii="Arial" w:hAnsi="Arial" w:cs="Arial"/>
        </w:rPr>
        <w:t>.</w:t>
      </w:r>
      <w:r w:rsidRPr="00DA2105">
        <w:rPr>
          <w:rFonts w:ascii="Arial" w:hAnsi="Arial" w:cs="Arial"/>
        </w:rPr>
        <w:t xml:space="preserve"> </w:t>
      </w:r>
      <w:r w:rsidR="00A844F5">
        <w:rPr>
          <w:rFonts w:ascii="Arial" w:hAnsi="Arial" w:cs="Arial"/>
        </w:rPr>
        <w:t>"</w:t>
      </w:r>
      <w:r w:rsidRPr="00DA2105">
        <w:rPr>
          <w:rFonts w:ascii="Arial" w:hAnsi="Arial" w:cs="Arial"/>
        </w:rPr>
        <w:t>AND</w:t>
      </w:r>
      <w:r w:rsidR="00A844F5">
        <w:rPr>
          <w:rFonts w:ascii="Arial" w:hAnsi="Arial" w:cs="Arial"/>
        </w:rPr>
        <w:t>"</w:t>
      </w:r>
      <w:r w:rsidRPr="00DA2105">
        <w:rPr>
          <w:rFonts w:ascii="Arial" w:hAnsi="Arial" w:cs="Arial"/>
        </w:rPr>
        <w:t xml:space="preserve"> was applied to link key concepts and narrow the search (e.g., </w:t>
      </w:r>
      <w:r w:rsidR="00A844F5">
        <w:rPr>
          <w:rFonts w:ascii="Arial" w:hAnsi="Arial" w:cs="Arial"/>
        </w:rPr>
        <w:t>"</w:t>
      </w:r>
      <w:r w:rsidRPr="00DA2105">
        <w:rPr>
          <w:rFonts w:ascii="Arial" w:hAnsi="Arial" w:cs="Arial"/>
        </w:rPr>
        <w:t>COVID-19 AND care homes</w:t>
      </w:r>
      <w:r w:rsidR="00A844F5">
        <w:rPr>
          <w:rFonts w:ascii="Arial" w:hAnsi="Arial" w:cs="Arial"/>
        </w:rPr>
        <w:t>"</w:t>
      </w:r>
      <w:r w:rsidRPr="00DA2105">
        <w:rPr>
          <w:rFonts w:ascii="Arial" w:hAnsi="Arial" w:cs="Arial"/>
        </w:rPr>
        <w:t xml:space="preserve">), while </w:t>
      </w:r>
      <w:r w:rsidR="00A844F5">
        <w:rPr>
          <w:rFonts w:ascii="Arial" w:hAnsi="Arial" w:cs="Arial"/>
        </w:rPr>
        <w:t>"</w:t>
      </w:r>
      <w:r w:rsidRPr="00DA2105">
        <w:rPr>
          <w:rFonts w:ascii="Arial" w:hAnsi="Arial" w:cs="Arial"/>
        </w:rPr>
        <w:t>OR</w:t>
      </w:r>
      <w:r w:rsidR="00A844F5">
        <w:rPr>
          <w:rFonts w:ascii="Arial" w:hAnsi="Arial" w:cs="Arial"/>
        </w:rPr>
        <w:t>"</w:t>
      </w:r>
      <w:r w:rsidRPr="00DA2105">
        <w:rPr>
          <w:rFonts w:ascii="Arial" w:hAnsi="Arial" w:cs="Arial"/>
        </w:rPr>
        <w:t xml:space="preserve"> expanded the search to include alternative phrasing (e.g., </w:t>
      </w:r>
      <w:r w:rsidR="00A844F5">
        <w:rPr>
          <w:rFonts w:ascii="Arial" w:hAnsi="Arial" w:cs="Arial"/>
        </w:rPr>
        <w:t>"</w:t>
      </w:r>
      <w:r w:rsidRPr="00DA2105">
        <w:rPr>
          <w:rFonts w:ascii="Arial" w:hAnsi="Arial" w:cs="Arial"/>
        </w:rPr>
        <w:t>elderly OR older adults</w:t>
      </w:r>
      <w:r w:rsidR="00A844F5">
        <w:rPr>
          <w:rFonts w:ascii="Arial" w:hAnsi="Arial" w:cs="Arial"/>
        </w:rPr>
        <w:t>"</w:t>
      </w:r>
      <w:r w:rsidRPr="00DA2105">
        <w:rPr>
          <w:rFonts w:ascii="Arial" w:hAnsi="Arial" w:cs="Arial"/>
        </w:rPr>
        <w:t xml:space="preserve">). The </w:t>
      </w:r>
      <w:r w:rsidR="00A844F5">
        <w:rPr>
          <w:rFonts w:ascii="Arial" w:hAnsi="Arial" w:cs="Arial"/>
        </w:rPr>
        <w:t>"</w:t>
      </w:r>
      <w:r w:rsidRPr="00DA2105">
        <w:rPr>
          <w:rFonts w:ascii="Arial" w:hAnsi="Arial" w:cs="Arial"/>
        </w:rPr>
        <w:t>NOT</w:t>
      </w:r>
      <w:r w:rsidR="00A844F5">
        <w:rPr>
          <w:rFonts w:ascii="Arial" w:hAnsi="Arial" w:cs="Arial"/>
        </w:rPr>
        <w:t>"</w:t>
      </w:r>
      <w:r w:rsidRPr="00DA2105">
        <w:rPr>
          <w:rFonts w:ascii="Arial" w:hAnsi="Arial" w:cs="Arial"/>
        </w:rPr>
        <w:t xml:space="preserve"> operator helped exclude irrelevant material, such as studies focused solely on dementia. A search log was maintained to record keyword combinations and ensure consistency and transparency throughout the process.</w:t>
      </w:r>
    </w:p>
    <w:p w14:paraId="0293381E" w14:textId="1203D092" w:rsidR="00D13A82" w:rsidRPr="00D13A82" w:rsidRDefault="00D13A82" w:rsidP="00DA2105"/>
    <w:p w14:paraId="57AFDE7A" w14:textId="7C870F2C" w:rsidR="00B575E2" w:rsidRDefault="00292A36" w:rsidP="00FA2326">
      <w:pPr>
        <w:pStyle w:val="Heading2"/>
        <w:numPr>
          <w:ilvl w:val="1"/>
          <w:numId w:val="81"/>
        </w:numPr>
        <w:jc w:val="left"/>
      </w:pPr>
      <w:bookmarkStart w:id="9" w:name="_Toc204127880"/>
      <w:r w:rsidRPr="0021364B">
        <w:t>– Searching for Information</w:t>
      </w:r>
      <w:bookmarkEnd w:id="9"/>
      <w:r w:rsidRPr="0021364B">
        <w:t xml:space="preserve"> </w:t>
      </w:r>
    </w:p>
    <w:p w14:paraId="344F392A" w14:textId="69B74146" w:rsidR="00BC0F5C" w:rsidRPr="00BC0F5C" w:rsidRDefault="00BC0F5C" w:rsidP="00BC0F5C">
      <w:pPr>
        <w:rPr>
          <w:rFonts w:ascii="Arial" w:hAnsi="Arial" w:cs="Arial"/>
        </w:rPr>
      </w:pPr>
      <w:r w:rsidRPr="00BC0F5C">
        <w:rPr>
          <w:rFonts w:ascii="Arial" w:hAnsi="Arial" w:cs="Arial"/>
        </w:rPr>
        <w:t xml:space="preserve">A range of academic databases and research platforms were used to gather literature, including the UWTSD Library, Google Scholar, PubMed, and BMJ. These sources were selected for their credibility, accessibility, and relevance to health and social care research. The UWTSD Library was used to access institutional subscriptions to peer-reviewed journals. Google Scholar provided broader access to grey literature, including charity reports and </w:t>
      </w:r>
      <w:r w:rsidR="00540529">
        <w:rPr>
          <w:rFonts w:ascii="Arial" w:hAnsi="Arial" w:cs="Arial"/>
        </w:rPr>
        <w:t>journal articles</w:t>
      </w:r>
      <w:r w:rsidRPr="00BC0F5C">
        <w:rPr>
          <w:rFonts w:ascii="Arial" w:hAnsi="Arial" w:cs="Arial"/>
        </w:rPr>
        <w:t>. PubMed and BMJ were particularly useful for sourcing health policy papers and clinical studies related to COVID-19 and elderly mental health.</w:t>
      </w:r>
    </w:p>
    <w:p w14:paraId="5E50C87D" w14:textId="355DAD8E" w:rsidR="00BC0F5C" w:rsidRPr="00BC0F5C" w:rsidRDefault="00C45E46" w:rsidP="00BC0F5C">
      <w:pPr>
        <w:rPr>
          <w:rFonts w:ascii="Arial" w:hAnsi="Arial" w:cs="Arial"/>
        </w:rPr>
      </w:pPr>
      <w:r>
        <w:rPr>
          <w:rFonts w:ascii="Arial" w:hAnsi="Arial" w:cs="Arial"/>
        </w:rPr>
        <w:lastRenderedPageBreak/>
        <w:t>Several filters were applied to refine the search results</w:t>
      </w:r>
      <w:r w:rsidR="00BC0F5C" w:rsidRPr="00BC0F5C">
        <w:rPr>
          <w:rFonts w:ascii="Arial" w:hAnsi="Arial" w:cs="Arial"/>
        </w:rPr>
        <w:t>. These included limiting the publication date to between 201</w:t>
      </w:r>
      <w:r w:rsidR="00D67F39">
        <w:rPr>
          <w:rFonts w:ascii="Arial" w:hAnsi="Arial" w:cs="Arial"/>
        </w:rPr>
        <w:t>9</w:t>
      </w:r>
      <w:r w:rsidR="00BC0F5C" w:rsidRPr="00BC0F5C">
        <w:rPr>
          <w:rFonts w:ascii="Arial" w:hAnsi="Arial" w:cs="Arial"/>
        </w:rPr>
        <w:t xml:space="preserve"> and 2025 to ensure relevance and recency, selecting English-language sources, and prioritising UK-based studies. Filters for full-text availability and peer-reviewed status were also applied when available. Although the research initially aimed to include only UK-specific literature, it became evident that relevant UK studies were limited. Therefore, the search was broadened to include internationally transferable findings from long-term care settings outside the UK.</w:t>
      </w:r>
    </w:p>
    <w:p w14:paraId="5C284125" w14:textId="77777777" w:rsidR="00BC0F5C" w:rsidRPr="00BC0F5C" w:rsidRDefault="00BC0F5C" w:rsidP="00BC0F5C">
      <w:pPr>
        <w:rPr>
          <w:rFonts w:ascii="Arial" w:hAnsi="Arial" w:cs="Arial"/>
        </w:rPr>
      </w:pPr>
      <w:r w:rsidRPr="00BC0F5C">
        <w:rPr>
          <w:rFonts w:ascii="Arial" w:hAnsi="Arial" w:cs="Arial"/>
        </w:rPr>
        <w:t xml:space="preserve">A </w:t>
      </w:r>
      <w:r w:rsidRPr="007F3FD3">
        <w:rPr>
          <w:rStyle w:val="Strong"/>
          <w:rFonts w:ascii="Arial" w:hAnsi="Arial" w:cs="Arial"/>
          <w:b w:val="0"/>
          <w:bCs w:val="0"/>
        </w:rPr>
        <w:t>Source Tracking Table</w:t>
      </w:r>
      <w:r w:rsidRPr="00BC0F5C">
        <w:rPr>
          <w:rFonts w:ascii="Arial" w:hAnsi="Arial" w:cs="Arial"/>
        </w:rPr>
        <w:t xml:space="preserve"> was used to document the search process in detail. It included the platforms searched, keywords used, filters applied, purposes, and the number of results retrieved. This table is presented in </w:t>
      </w:r>
      <w:r w:rsidRPr="007F3FD3">
        <w:rPr>
          <w:rStyle w:val="Strong"/>
          <w:rFonts w:ascii="Arial" w:hAnsi="Arial" w:cs="Arial"/>
          <w:b w:val="0"/>
          <w:bCs w:val="0"/>
        </w:rPr>
        <w:t>Appendix B</w:t>
      </w:r>
      <w:r w:rsidRPr="00BC0F5C">
        <w:rPr>
          <w:rFonts w:ascii="Arial" w:hAnsi="Arial" w:cs="Arial"/>
        </w:rPr>
        <w:t xml:space="preserve"> and helped ensure a transparent and replicable search strategy.</w:t>
      </w:r>
    </w:p>
    <w:p w14:paraId="6F09D47B" w14:textId="77777777" w:rsidR="00B575E2" w:rsidRPr="00F84C23" w:rsidRDefault="00B575E2" w:rsidP="00BC0F5C"/>
    <w:p w14:paraId="0BEB0164" w14:textId="45A0E5AD" w:rsidR="00E325CF" w:rsidRDefault="00292A36" w:rsidP="00FA2326">
      <w:pPr>
        <w:pStyle w:val="Heading2"/>
        <w:numPr>
          <w:ilvl w:val="1"/>
          <w:numId w:val="81"/>
        </w:numPr>
        <w:jc w:val="left"/>
      </w:pPr>
      <w:bookmarkStart w:id="10" w:name="_Toc204127881"/>
      <w:r w:rsidRPr="0021364B">
        <w:t>– Research Validation</w:t>
      </w:r>
      <w:bookmarkEnd w:id="10"/>
      <w:r w:rsidRPr="0021364B">
        <w:t xml:space="preserve">  </w:t>
      </w:r>
    </w:p>
    <w:p w14:paraId="66D42E03" w14:textId="77777777" w:rsidR="002B5A15" w:rsidRPr="002B5A15" w:rsidRDefault="002B5A15" w:rsidP="002B5A15"/>
    <w:p w14:paraId="6D3F9625" w14:textId="26540BFC" w:rsidR="00436900" w:rsidRPr="00436900" w:rsidRDefault="00436900" w:rsidP="00436900">
      <w:pPr>
        <w:rPr>
          <w:rFonts w:ascii="Arial" w:hAnsi="Arial" w:cs="Arial"/>
        </w:rPr>
      </w:pPr>
      <w:r w:rsidRPr="00436900">
        <w:rPr>
          <w:rFonts w:ascii="Arial" w:hAnsi="Arial" w:cs="Arial"/>
        </w:rPr>
        <w:t xml:space="preserve">Once a </w:t>
      </w:r>
      <w:r w:rsidR="00D67F39" w:rsidRPr="00436900">
        <w:rPr>
          <w:rFonts w:ascii="Arial" w:hAnsi="Arial" w:cs="Arial"/>
        </w:rPr>
        <w:t>group</w:t>
      </w:r>
      <w:r w:rsidRPr="00436900">
        <w:rPr>
          <w:rFonts w:ascii="Arial" w:hAnsi="Arial" w:cs="Arial"/>
        </w:rPr>
        <w:t xml:space="preserve"> of potentially relevant literature was identified, a two-step validation process was applied. The first step involved skimming each article to assess its suitability by reviewing the title, abstract, introduction, and conclusion. Articles that did not meet the core focus on elderly care homes, mental health, and social isolation during the COVID-19 pandemic were excluded at this stage.</w:t>
      </w:r>
    </w:p>
    <w:p w14:paraId="3B70060C" w14:textId="21E6B979" w:rsidR="00436900" w:rsidRPr="00436900" w:rsidRDefault="00436900" w:rsidP="00436900">
      <w:pPr>
        <w:rPr>
          <w:rFonts w:ascii="Arial" w:hAnsi="Arial" w:cs="Arial"/>
        </w:rPr>
      </w:pPr>
      <w:r w:rsidRPr="00436900">
        <w:rPr>
          <w:rFonts w:ascii="Arial" w:hAnsi="Arial" w:cs="Arial"/>
        </w:rPr>
        <w:t>The second stage involved applying the CRAAP test (</w:t>
      </w:r>
      <w:r w:rsidRPr="00D67F39">
        <w:rPr>
          <w:rFonts w:ascii="Arial" w:hAnsi="Arial" w:cs="Arial"/>
        </w:rPr>
        <w:t>Currency, Relevance, Authority, Accuracy, and Purpose) to assess the quality of each source</w:t>
      </w:r>
      <w:r w:rsidR="00D67F39" w:rsidRPr="00D67F39">
        <w:rPr>
          <w:rFonts w:ascii="Arial" w:hAnsi="Arial" w:cs="Arial"/>
        </w:rPr>
        <w:t xml:space="preserve"> (Birmingham City University, 2024)</w:t>
      </w:r>
      <w:r w:rsidRPr="00D67F39">
        <w:rPr>
          <w:rFonts w:ascii="Arial" w:hAnsi="Arial" w:cs="Arial"/>
        </w:rPr>
        <w:t>.</w:t>
      </w:r>
      <w:r w:rsidRPr="00436900">
        <w:rPr>
          <w:rFonts w:ascii="Arial" w:hAnsi="Arial" w:cs="Arial"/>
        </w:rPr>
        <w:t xml:space="preserve"> Priority was given to articles that were recently published, directly relevant to the research topic, authored by credible institutions or researchers, and supported by empirical evidence. For example, although the Age UK (2021</w:t>
      </w:r>
      <w:r w:rsidR="00D907D4">
        <w:rPr>
          <w:rFonts w:ascii="Arial" w:hAnsi="Arial" w:cs="Arial"/>
        </w:rPr>
        <w:t>a</w:t>
      </w:r>
      <w:r w:rsidRPr="00436900">
        <w:rPr>
          <w:rFonts w:ascii="Arial" w:hAnsi="Arial" w:cs="Arial"/>
        </w:rPr>
        <w:t>) report was not peer-reviewed, it was included due to its large sample size and relevance to care home residents</w:t>
      </w:r>
      <w:r w:rsidR="00A844F5">
        <w:rPr>
          <w:rFonts w:ascii="Arial" w:hAnsi="Arial" w:cs="Arial"/>
        </w:rPr>
        <w:t>'</w:t>
      </w:r>
      <w:r w:rsidRPr="00436900">
        <w:rPr>
          <w:rFonts w:ascii="Arial" w:hAnsi="Arial" w:cs="Arial"/>
        </w:rPr>
        <w:t xml:space="preserve"> lived experiences during the pandemic. Not all articles met every CRAAP criterion, but those meeting at least three</w:t>
      </w:r>
      <w:r>
        <w:rPr>
          <w:rFonts w:ascii="Arial" w:hAnsi="Arial" w:cs="Arial"/>
        </w:rPr>
        <w:t xml:space="preserve">, particularly Currency, Relevance, and Authority, </w:t>
      </w:r>
      <w:r w:rsidRPr="00436900">
        <w:rPr>
          <w:rFonts w:ascii="Arial" w:hAnsi="Arial" w:cs="Arial"/>
        </w:rPr>
        <w:t>were deemed appropriate for inclusion.</w:t>
      </w:r>
    </w:p>
    <w:p w14:paraId="1C1CD00C" w14:textId="77777777" w:rsidR="00B575E2" w:rsidRPr="00B575E2" w:rsidRDefault="00B575E2" w:rsidP="00B575E2"/>
    <w:p w14:paraId="0E7E3997" w14:textId="6D489425" w:rsidR="0021364B" w:rsidRDefault="00292A36" w:rsidP="00FA2326">
      <w:pPr>
        <w:pStyle w:val="Heading2"/>
        <w:numPr>
          <w:ilvl w:val="1"/>
          <w:numId w:val="81"/>
        </w:numPr>
        <w:jc w:val="left"/>
      </w:pPr>
      <w:bookmarkStart w:id="11" w:name="_Toc204127882"/>
      <w:r w:rsidRPr="000D2B00">
        <w:rPr>
          <w:rStyle w:val="Heading2Char"/>
        </w:rPr>
        <w:t>- Inclusion and Exclusion Criteria</w:t>
      </w:r>
      <w:bookmarkEnd w:id="11"/>
      <w:r w:rsidRPr="000D2B00">
        <w:rPr>
          <w:rStyle w:val="Heading2Char"/>
        </w:rPr>
        <w:t xml:space="preserve"> </w:t>
      </w:r>
      <w:r w:rsidRPr="00E325CF">
        <w:rPr>
          <w:sz w:val="28"/>
          <w:szCs w:val="28"/>
        </w:rPr>
        <w:t xml:space="preserve"> </w:t>
      </w:r>
      <w:r w:rsidR="00C17A49">
        <w:rPr>
          <w:sz w:val="28"/>
          <w:szCs w:val="28"/>
        </w:rPr>
        <w:br/>
      </w:r>
    </w:p>
    <w:p w14:paraId="2EC2770A" w14:textId="77777777" w:rsidR="00E16502" w:rsidRPr="00E16502" w:rsidRDefault="00E16502" w:rsidP="00E16502">
      <w:pPr>
        <w:rPr>
          <w:rFonts w:ascii="Arial" w:hAnsi="Arial" w:cs="Arial"/>
        </w:rPr>
      </w:pPr>
      <w:r w:rsidRPr="00E16502">
        <w:rPr>
          <w:rFonts w:ascii="Arial" w:hAnsi="Arial" w:cs="Arial"/>
        </w:rPr>
        <w:t xml:space="preserve">The inclusion criteria for the literature review focused on sources published between 2019 and 2025, written in English, and available in full text. Articles were selected if they were peer-reviewed or reputable grey literature, such as government or charity reports. Studies needed </w:t>
      </w:r>
      <w:r w:rsidRPr="00E16502">
        <w:rPr>
          <w:rFonts w:ascii="Arial" w:hAnsi="Arial" w:cs="Arial"/>
        </w:rPr>
        <w:lastRenderedPageBreak/>
        <w:t>to focus on elderly populations within care homes or long-term care facilities, and address mental health impacts such as loneliness, depression, or isolation related to COVID-19.</w:t>
      </w:r>
    </w:p>
    <w:p w14:paraId="755D7766" w14:textId="77777777" w:rsidR="00E16502" w:rsidRPr="00E16502" w:rsidRDefault="00E16502" w:rsidP="00E16502">
      <w:pPr>
        <w:rPr>
          <w:rFonts w:ascii="Arial" w:hAnsi="Arial" w:cs="Arial"/>
        </w:rPr>
      </w:pPr>
      <w:r w:rsidRPr="00E16502">
        <w:rPr>
          <w:rFonts w:ascii="Arial" w:hAnsi="Arial" w:cs="Arial"/>
        </w:rPr>
        <w:t>Articles were excluded if they were published before 2019, written in languages other than English, or primarily focused on unrelated conditions such as dementia without discussing broader emotional or social implications. Opinion-based pieces, blogs, and inaccessible paywalled sources were also excluded. These criteria helped to ensure that the review remained focused, relevant, and methodologically rigorous.</w:t>
      </w:r>
    </w:p>
    <w:p w14:paraId="79EFA533" w14:textId="77777777" w:rsidR="00B575E2" w:rsidRPr="00292A36" w:rsidRDefault="00B575E2" w:rsidP="00B01396"/>
    <w:p w14:paraId="522230D8" w14:textId="77777777" w:rsidR="00250A9E" w:rsidRDefault="00292A36" w:rsidP="00FA2326">
      <w:pPr>
        <w:pStyle w:val="Heading2"/>
        <w:numPr>
          <w:ilvl w:val="1"/>
          <w:numId w:val="81"/>
        </w:numPr>
        <w:jc w:val="left"/>
      </w:pPr>
      <w:bookmarkStart w:id="12" w:name="_Toc204127883"/>
      <w:r w:rsidRPr="001C3AF6">
        <w:t>– Analysing Research</w:t>
      </w:r>
      <w:bookmarkEnd w:id="12"/>
      <w:r w:rsidRPr="001C3AF6">
        <w:t xml:space="preserve"> </w:t>
      </w:r>
    </w:p>
    <w:p w14:paraId="01A5598C" w14:textId="37444BF1" w:rsidR="0021364B" w:rsidRDefault="00292A36" w:rsidP="00AD7D84">
      <w:pPr>
        <w:pStyle w:val="Heading2"/>
        <w:jc w:val="left"/>
      </w:pPr>
      <w:r w:rsidRPr="001C3AF6">
        <w:t xml:space="preserve"> </w:t>
      </w:r>
    </w:p>
    <w:p w14:paraId="543D1256" w14:textId="67BA0946" w:rsidR="00250A9E" w:rsidRPr="00250A9E" w:rsidRDefault="00250A9E" w:rsidP="00250A9E">
      <w:pPr>
        <w:rPr>
          <w:rFonts w:ascii="Arial" w:hAnsi="Arial" w:cs="Arial"/>
        </w:rPr>
      </w:pPr>
      <w:r w:rsidRPr="00250A9E">
        <w:rPr>
          <w:rFonts w:ascii="Arial" w:hAnsi="Arial" w:cs="Arial"/>
        </w:rPr>
        <w:t xml:space="preserve">A thematic coding approach was used to analyse and synthesise the selected literature. Each article was read in full, and key issues, ideas, and findings were highlighted. Frequently recurring terms and concepts such as </w:t>
      </w:r>
      <w:r w:rsidR="00A844F5">
        <w:rPr>
          <w:rFonts w:ascii="Arial" w:hAnsi="Arial" w:cs="Arial"/>
        </w:rPr>
        <w:t>"</w:t>
      </w:r>
      <w:r w:rsidRPr="00250A9E">
        <w:rPr>
          <w:rFonts w:ascii="Arial" w:hAnsi="Arial" w:cs="Arial"/>
        </w:rPr>
        <w:t>depression,</w:t>
      </w:r>
      <w:r w:rsidR="00A844F5">
        <w:rPr>
          <w:rFonts w:ascii="Arial" w:hAnsi="Arial" w:cs="Arial"/>
        </w:rPr>
        <w:t>" "</w:t>
      </w:r>
      <w:r w:rsidRPr="00250A9E">
        <w:rPr>
          <w:rFonts w:ascii="Arial" w:hAnsi="Arial" w:cs="Arial"/>
        </w:rPr>
        <w:t>loneliness,</w:t>
      </w:r>
      <w:r w:rsidR="00A844F5">
        <w:rPr>
          <w:rFonts w:ascii="Arial" w:hAnsi="Arial" w:cs="Arial"/>
        </w:rPr>
        <w:t>" "</w:t>
      </w:r>
      <w:r w:rsidRPr="00250A9E">
        <w:rPr>
          <w:rFonts w:ascii="Arial" w:hAnsi="Arial" w:cs="Arial"/>
        </w:rPr>
        <w:t>emotional distress,</w:t>
      </w:r>
      <w:r w:rsidR="00A844F5">
        <w:rPr>
          <w:rFonts w:ascii="Arial" w:hAnsi="Arial" w:cs="Arial"/>
        </w:rPr>
        <w:t>" "</w:t>
      </w:r>
      <w:r w:rsidRPr="00250A9E">
        <w:rPr>
          <w:rFonts w:ascii="Arial" w:hAnsi="Arial" w:cs="Arial"/>
        </w:rPr>
        <w:t>social isolation,</w:t>
      </w:r>
      <w:r w:rsidR="00A844F5">
        <w:rPr>
          <w:rFonts w:ascii="Arial" w:hAnsi="Arial" w:cs="Arial"/>
        </w:rPr>
        <w:t>" "</w:t>
      </w:r>
      <w:r w:rsidRPr="00250A9E">
        <w:rPr>
          <w:rFonts w:ascii="Arial" w:hAnsi="Arial" w:cs="Arial"/>
        </w:rPr>
        <w:t>cognitive decline,</w:t>
      </w:r>
      <w:r w:rsidR="00A844F5">
        <w:rPr>
          <w:rFonts w:ascii="Arial" w:hAnsi="Arial" w:cs="Arial"/>
        </w:rPr>
        <w:t>"</w:t>
      </w:r>
      <w:r w:rsidRPr="00250A9E">
        <w:rPr>
          <w:rFonts w:ascii="Arial" w:hAnsi="Arial" w:cs="Arial"/>
        </w:rPr>
        <w:t xml:space="preserve"> and </w:t>
      </w:r>
      <w:r w:rsidR="00A844F5">
        <w:rPr>
          <w:rFonts w:ascii="Arial" w:hAnsi="Arial" w:cs="Arial"/>
        </w:rPr>
        <w:t>"</w:t>
      </w:r>
      <w:r w:rsidRPr="00250A9E">
        <w:rPr>
          <w:rFonts w:ascii="Arial" w:hAnsi="Arial" w:cs="Arial"/>
        </w:rPr>
        <w:t>staff shortages</w:t>
      </w:r>
      <w:r w:rsidR="00A844F5">
        <w:rPr>
          <w:rFonts w:ascii="Arial" w:hAnsi="Arial" w:cs="Arial"/>
        </w:rPr>
        <w:t>"</w:t>
      </w:r>
      <w:r w:rsidRPr="00250A9E">
        <w:rPr>
          <w:rFonts w:ascii="Arial" w:hAnsi="Arial" w:cs="Arial"/>
        </w:rPr>
        <w:t xml:space="preserve"> were manually coded. These initial codes were then grouped into broader categories that reflected the dissertation</w:t>
      </w:r>
      <w:r w:rsidR="00A844F5">
        <w:rPr>
          <w:rFonts w:ascii="Arial" w:hAnsi="Arial" w:cs="Arial"/>
        </w:rPr>
        <w:t>'</w:t>
      </w:r>
      <w:r w:rsidRPr="00250A9E">
        <w:rPr>
          <w:rFonts w:ascii="Arial" w:hAnsi="Arial" w:cs="Arial"/>
        </w:rPr>
        <w:t>s research objectives.</w:t>
      </w:r>
    </w:p>
    <w:p w14:paraId="45F5467B" w14:textId="2E003E32" w:rsidR="00250A9E" w:rsidRPr="00250A9E" w:rsidRDefault="00250A9E" w:rsidP="00250A9E">
      <w:pPr>
        <w:rPr>
          <w:rFonts w:ascii="Arial" w:hAnsi="Arial" w:cs="Arial"/>
        </w:rPr>
      </w:pPr>
      <w:r w:rsidRPr="00250A9E">
        <w:rPr>
          <w:rFonts w:ascii="Arial" w:hAnsi="Arial" w:cs="Arial"/>
        </w:rPr>
        <w:t xml:space="preserve">Themes were developed by identifying patterns across multiple studies and clustering similar codes. For example, findings related to depression, anxiety, reduced confidence, and emotional withdrawal were grouped under the theme </w:t>
      </w:r>
      <w:r w:rsidRPr="00BE7FF7">
        <w:rPr>
          <w:rStyle w:val="Emphasis"/>
          <w:rFonts w:ascii="Arial" w:hAnsi="Arial" w:cs="Arial"/>
          <w:i w:val="0"/>
          <w:iCs w:val="0"/>
        </w:rPr>
        <w:t>Emotional and Psychological Deterioration</w:t>
      </w:r>
      <w:r w:rsidRPr="00250A9E">
        <w:rPr>
          <w:rFonts w:ascii="Arial" w:hAnsi="Arial" w:cs="Arial"/>
        </w:rPr>
        <w:t>. Similarly, codes connected to loneliness, cognitive decline, and functional limitations</w:t>
      </w:r>
      <w:r w:rsidR="00AD7D84">
        <w:rPr>
          <w:rFonts w:ascii="Arial" w:hAnsi="Arial" w:cs="Arial"/>
        </w:rPr>
        <w:t>, such as reduced mobility or activity,</w:t>
      </w:r>
      <w:r w:rsidRPr="00250A9E">
        <w:rPr>
          <w:rFonts w:ascii="Arial" w:hAnsi="Arial" w:cs="Arial"/>
        </w:rPr>
        <w:t xml:space="preserve"> were placed under </w:t>
      </w:r>
      <w:r w:rsidRPr="00BE7FF7">
        <w:rPr>
          <w:rStyle w:val="Emphasis"/>
          <w:rFonts w:ascii="Arial" w:hAnsi="Arial" w:cs="Arial"/>
          <w:i w:val="0"/>
          <w:iCs w:val="0"/>
        </w:rPr>
        <w:t>Cognitive and Functional Impairment</w:t>
      </w:r>
      <w:r w:rsidRPr="00250A9E">
        <w:rPr>
          <w:rFonts w:ascii="Arial" w:hAnsi="Arial" w:cs="Arial"/>
        </w:rPr>
        <w:t xml:space="preserve">. A third theme, </w:t>
      </w:r>
      <w:r w:rsidRPr="00BE7FF7">
        <w:rPr>
          <w:rStyle w:val="Emphasis"/>
          <w:rFonts w:ascii="Arial" w:hAnsi="Arial" w:cs="Arial"/>
          <w:i w:val="0"/>
          <w:iCs w:val="0"/>
        </w:rPr>
        <w:t xml:space="preserve">Barriers to Quality </w:t>
      </w:r>
      <w:r w:rsidR="00CF4998">
        <w:rPr>
          <w:rStyle w:val="Emphasis"/>
          <w:rFonts w:ascii="Arial" w:hAnsi="Arial" w:cs="Arial"/>
          <w:i w:val="0"/>
          <w:iCs w:val="0"/>
        </w:rPr>
        <w:t xml:space="preserve">of </w:t>
      </w:r>
      <w:r w:rsidRPr="00BE7FF7">
        <w:rPr>
          <w:rStyle w:val="Emphasis"/>
          <w:rFonts w:ascii="Arial" w:hAnsi="Arial" w:cs="Arial"/>
          <w:i w:val="0"/>
          <w:iCs w:val="0"/>
        </w:rPr>
        <w:t>Care</w:t>
      </w:r>
      <w:r w:rsidRPr="00250A9E">
        <w:rPr>
          <w:rFonts w:ascii="Arial" w:hAnsi="Arial" w:cs="Arial"/>
        </w:rPr>
        <w:t>, emerged from analysis of issues such as staff shortages, lack of digital access, limited family involvement, and institutional challenges in delivering person-centred support.</w:t>
      </w:r>
    </w:p>
    <w:p w14:paraId="6D9DC355" w14:textId="42FF50B4" w:rsidR="00250A9E" w:rsidRPr="00250A9E" w:rsidRDefault="00250A9E" w:rsidP="00250A9E">
      <w:pPr>
        <w:rPr>
          <w:rFonts w:ascii="Arial" w:hAnsi="Arial" w:cs="Arial"/>
        </w:rPr>
      </w:pPr>
      <w:r w:rsidRPr="00250A9E">
        <w:rPr>
          <w:rFonts w:ascii="Arial" w:hAnsi="Arial" w:cs="Arial"/>
        </w:rPr>
        <w:t xml:space="preserve">To manage this process, a colour-coded </w:t>
      </w:r>
      <w:r w:rsidR="00AD7D84">
        <w:rPr>
          <w:rFonts w:ascii="Arial" w:hAnsi="Arial" w:cs="Arial"/>
        </w:rPr>
        <w:t>table</w:t>
      </w:r>
      <w:r w:rsidRPr="00250A9E">
        <w:rPr>
          <w:rFonts w:ascii="Arial" w:hAnsi="Arial" w:cs="Arial"/>
        </w:rPr>
        <w:t xml:space="preserve"> was used to track each article</w:t>
      </w:r>
      <w:r w:rsidR="00A844F5">
        <w:rPr>
          <w:rFonts w:ascii="Arial" w:hAnsi="Arial" w:cs="Arial"/>
        </w:rPr>
        <w:t>'</w:t>
      </w:r>
      <w:r w:rsidRPr="00250A9E">
        <w:rPr>
          <w:rFonts w:ascii="Arial" w:hAnsi="Arial" w:cs="Arial"/>
        </w:rPr>
        <w:t xml:space="preserve">s codes and contributions. This analysis is summarised in the </w:t>
      </w:r>
      <w:r w:rsidRPr="007F3FD3">
        <w:rPr>
          <w:rStyle w:val="Strong"/>
          <w:rFonts w:ascii="Arial" w:hAnsi="Arial" w:cs="Arial"/>
          <w:b w:val="0"/>
          <w:bCs w:val="0"/>
        </w:rPr>
        <w:t>Results Summary Table</w:t>
      </w:r>
      <w:r w:rsidRPr="007F3FD3">
        <w:rPr>
          <w:rFonts w:ascii="Arial" w:hAnsi="Arial" w:cs="Arial"/>
          <w:b/>
          <w:bCs/>
        </w:rPr>
        <w:t xml:space="preserve"> </w:t>
      </w:r>
      <w:r w:rsidRPr="007F3FD3">
        <w:rPr>
          <w:rFonts w:ascii="Arial" w:hAnsi="Arial" w:cs="Arial"/>
        </w:rPr>
        <w:t>in</w:t>
      </w:r>
      <w:r w:rsidRPr="007F3FD3">
        <w:rPr>
          <w:rFonts w:ascii="Arial" w:hAnsi="Arial" w:cs="Arial"/>
          <w:b/>
          <w:bCs/>
        </w:rPr>
        <w:t xml:space="preserve"> </w:t>
      </w:r>
      <w:r w:rsidRPr="007F3FD3">
        <w:rPr>
          <w:rStyle w:val="Strong"/>
          <w:rFonts w:ascii="Arial" w:hAnsi="Arial" w:cs="Arial"/>
          <w:b w:val="0"/>
          <w:bCs w:val="0"/>
        </w:rPr>
        <w:t>Appendix C</w:t>
      </w:r>
      <w:r w:rsidRPr="007F3FD3">
        <w:rPr>
          <w:rFonts w:ascii="Arial" w:hAnsi="Arial" w:cs="Arial"/>
          <w:b/>
          <w:bCs/>
        </w:rPr>
        <w:t>,</w:t>
      </w:r>
      <w:r w:rsidRPr="00250A9E">
        <w:rPr>
          <w:rFonts w:ascii="Arial" w:hAnsi="Arial" w:cs="Arial"/>
        </w:rPr>
        <w:t xml:space="preserve"> which presents the key findings, strengths, limitations, and coded themes for each article. These themes form the structure of the discussion in Chapter 4.</w:t>
      </w:r>
    </w:p>
    <w:p w14:paraId="701C686E" w14:textId="77777777" w:rsidR="00C17A49" w:rsidRPr="00B01396" w:rsidRDefault="00C17A49" w:rsidP="00B01396"/>
    <w:p w14:paraId="34D844F4" w14:textId="0BCF4F43" w:rsidR="00B01396" w:rsidRDefault="00292A36" w:rsidP="00FA2326">
      <w:pPr>
        <w:pStyle w:val="Heading2"/>
        <w:numPr>
          <w:ilvl w:val="1"/>
          <w:numId w:val="81"/>
        </w:numPr>
      </w:pPr>
      <w:bookmarkStart w:id="13" w:name="_Toc204127884"/>
      <w:r w:rsidRPr="001C3AF6">
        <w:t>– Ethical Considerations</w:t>
      </w:r>
      <w:bookmarkEnd w:id="13"/>
      <w:r w:rsidRPr="001C3AF6">
        <w:t xml:space="preserve">  </w:t>
      </w:r>
    </w:p>
    <w:p w14:paraId="31C2015E" w14:textId="77777777" w:rsidR="00EE4E70" w:rsidRDefault="00EE4E70" w:rsidP="00EE4E70">
      <w:pPr>
        <w:rPr>
          <w:rFonts w:ascii="Arial" w:hAnsi="Arial" w:cs="Arial"/>
        </w:rPr>
      </w:pPr>
    </w:p>
    <w:p w14:paraId="570BCFEB" w14:textId="009A1270" w:rsidR="00EE4E70" w:rsidRPr="00EE4E70" w:rsidRDefault="00EE4E70" w:rsidP="00EE4E70">
      <w:pPr>
        <w:rPr>
          <w:rFonts w:ascii="Arial" w:hAnsi="Arial" w:cs="Arial"/>
        </w:rPr>
      </w:pPr>
      <w:r w:rsidRPr="00EE4E70">
        <w:rPr>
          <w:rFonts w:ascii="Arial" w:hAnsi="Arial" w:cs="Arial"/>
        </w:rPr>
        <w:t>This dissertation involved no primary data collection and relied entirely on secondary sources that were publicly accessible or obtained through institutional access. As such, formal ethical approval was not required. However, ethical research practices were strictly followed.</w:t>
      </w:r>
    </w:p>
    <w:p w14:paraId="7B344B53" w14:textId="29D286B4" w:rsidR="00EE4E70" w:rsidRPr="00EE4E70" w:rsidRDefault="00EE4E70" w:rsidP="00EE4E70">
      <w:pPr>
        <w:rPr>
          <w:rFonts w:ascii="Arial" w:hAnsi="Arial" w:cs="Arial"/>
        </w:rPr>
      </w:pPr>
      <w:r w:rsidRPr="00EE4E70">
        <w:rPr>
          <w:rFonts w:ascii="Arial" w:hAnsi="Arial" w:cs="Arial"/>
        </w:rPr>
        <w:lastRenderedPageBreak/>
        <w:t>All literature was selected and presented fairly, without misrepresentation or selective reporting. Academic integrity was maintained by correctly citing all sources using the UWTSD Harvard referencing style and avoiding plagiarism through appropriate paraphrasing and referencing. The CRAAP test further supported ethical decision-making by helping to filter out outdated, biased, or unreliable sources. The research process adhered to the University of Wales Trinity Saint David</w:t>
      </w:r>
      <w:r w:rsidR="00A844F5">
        <w:rPr>
          <w:rFonts w:ascii="Arial" w:hAnsi="Arial" w:cs="Arial"/>
        </w:rPr>
        <w:t>'</w:t>
      </w:r>
      <w:r w:rsidRPr="00EE4E70">
        <w:rPr>
          <w:rFonts w:ascii="Arial" w:hAnsi="Arial" w:cs="Arial"/>
        </w:rPr>
        <w:t>s Research Integri</w:t>
      </w:r>
      <w:r w:rsidRPr="00835F89">
        <w:rPr>
          <w:rFonts w:ascii="Arial" w:hAnsi="Arial" w:cs="Arial"/>
        </w:rPr>
        <w:t>ty and Ethics guidelines throughout</w:t>
      </w:r>
      <w:r w:rsidR="00BD16F7" w:rsidRPr="00835F89">
        <w:rPr>
          <w:rFonts w:ascii="Arial" w:hAnsi="Arial" w:cs="Arial"/>
        </w:rPr>
        <w:t xml:space="preserve"> (University of Wales Trinity Saint David, 2022; </w:t>
      </w:r>
      <w:r w:rsidR="00BD16F7" w:rsidRPr="00835F89">
        <w:rPr>
          <w:rFonts w:ascii="Arial" w:eastAsia="Times New Roman" w:hAnsi="Arial" w:cs="Arial"/>
          <w:kern w:val="0"/>
          <w:lang w:eastAsia="en-GB"/>
          <w14:ligatures w14:val="none"/>
        </w:rPr>
        <w:t>Resnik, 2020</w:t>
      </w:r>
      <w:r w:rsidR="00BD16F7" w:rsidRPr="00835F89">
        <w:rPr>
          <w:rFonts w:ascii="Arial" w:hAnsi="Arial" w:cs="Arial"/>
        </w:rPr>
        <w:t>)</w:t>
      </w:r>
      <w:r w:rsidRPr="00835F89">
        <w:rPr>
          <w:rFonts w:ascii="Arial" w:hAnsi="Arial" w:cs="Arial"/>
        </w:rPr>
        <w:t>.</w:t>
      </w:r>
    </w:p>
    <w:p w14:paraId="6C566482" w14:textId="77777777" w:rsidR="001A7715" w:rsidRPr="00C17A49" w:rsidRDefault="001A7715" w:rsidP="00C17A49"/>
    <w:p w14:paraId="7F51675F" w14:textId="56B55620" w:rsidR="00292A36" w:rsidRDefault="00E325CF" w:rsidP="00E325CF">
      <w:pPr>
        <w:pStyle w:val="Heading2"/>
      </w:pPr>
      <w:bookmarkStart w:id="14" w:name="_Toc204127885"/>
      <w:r>
        <w:t xml:space="preserve">3.8 </w:t>
      </w:r>
      <w:r w:rsidR="00292A36" w:rsidRPr="001C3AF6">
        <w:t>– Chapter Conclusion</w:t>
      </w:r>
      <w:bookmarkEnd w:id="14"/>
      <w:r w:rsidR="00292A36" w:rsidRPr="001C3AF6">
        <w:t xml:space="preserve"> </w:t>
      </w:r>
    </w:p>
    <w:p w14:paraId="7F8BD393" w14:textId="77777777" w:rsidR="005446BF" w:rsidRDefault="005446BF" w:rsidP="005446BF">
      <w:pPr>
        <w:pStyle w:val="ListParagraph"/>
      </w:pPr>
    </w:p>
    <w:p w14:paraId="73898CB8" w14:textId="246BFCA1" w:rsidR="00BD71BC" w:rsidRDefault="003377EF" w:rsidP="003377EF">
      <w:pPr>
        <w:rPr>
          <w:rFonts w:ascii="Arial" w:hAnsi="Arial" w:cs="Arial"/>
        </w:rPr>
      </w:pPr>
      <w:r w:rsidRPr="003377EF">
        <w:rPr>
          <w:rFonts w:ascii="Arial" w:hAnsi="Arial" w:cs="Arial"/>
        </w:rPr>
        <w:t xml:space="preserve">This chapter has provided a detailed overview of the methods used to conduct a secondary literature review. A systematic search strategy, structured keyword combinations, and Boolean operators were used to identify relevant literature across trusted academic platforms. The inclusion and exclusion criteria, along with the CRAAP validation process, helped maintain the focus and quality of selected sources. A thematic coding approach was applied to analyse the literature and identify recurring themes. The methodology was supported by three key appendices: the </w:t>
      </w:r>
      <w:r w:rsidRPr="007F3FD3">
        <w:rPr>
          <w:rStyle w:val="Strong"/>
          <w:rFonts w:ascii="Arial" w:hAnsi="Arial" w:cs="Arial"/>
          <w:b w:val="0"/>
          <w:bCs w:val="0"/>
        </w:rPr>
        <w:t>Academic Poster (Appendix A)</w:t>
      </w:r>
      <w:r w:rsidRPr="007F3FD3">
        <w:rPr>
          <w:rFonts w:ascii="Arial" w:hAnsi="Arial" w:cs="Arial"/>
          <w:b/>
          <w:bCs/>
        </w:rPr>
        <w:t xml:space="preserve">, </w:t>
      </w:r>
      <w:r w:rsidRPr="007F3FD3">
        <w:rPr>
          <w:rFonts w:ascii="Arial" w:hAnsi="Arial" w:cs="Arial"/>
        </w:rPr>
        <w:t>the</w:t>
      </w:r>
      <w:r w:rsidRPr="007F3FD3">
        <w:rPr>
          <w:rFonts w:ascii="Arial" w:hAnsi="Arial" w:cs="Arial"/>
          <w:b/>
          <w:bCs/>
        </w:rPr>
        <w:t xml:space="preserve"> </w:t>
      </w:r>
      <w:r w:rsidRPr="007F3FD3">
        <w:rPr>
          <w:rStyle w:val="Strong"/>
          <w:rFonts w:ascii="Arial" w:hAnsi="Arial" w:cs="Arial"/>
          <w:b w:val="0"/>
          <w:bCs w:val="0"/>
        </w:rPr>
        <w:t>Source Tracking Table (Appendix B)</w:t>
      </w:r>
      <w:r w:rsidRPr="007F3FD3">
        <w:rPr>
          <w:rFonts w:ascii="Arial" w:hAnsi="Arial" w:cs="Arial"/>
          <w:b/>
          <w:bCs/>
        </w:rPr>
        <w:t>,</w:t>
      </w:r>
      <w:r w:rsidRPr="007F3FD3">
        <w:rPr>
          <w:rFonts w:ascii="Arial" w:hAnsi="Arial" w:cs="Arial"/>
        </w:rPr>
        <w:t xml:space="preserve"> and</w:t>
      </w:r>
      <w:r w:rsidRPr="007F3FD3">
        <w:rPr>
          <w:rFonts w:ascii="Arial" w:hAnsi="Arial" w:cs="Arial"/>
          <w:b/>
          <w:bCs/>
        </w:rPr>
        <w:t xml:space="preserve"> </w:t>
      </w:r>
      <w:r w:rsidRPr="007F3FD3">
        <w:rPr>
          <w:rFonts w:ascii="Arial" w:hAnsi="Arial" w:cs="Arial"/>
        </w:rPr>
        <w:t xml:space="preserve">the </w:t>
      </w:r>
      <w:r w:rsidRPr="007F3FD3">
        <w:rPr>
          <w:rStyle w:val="Strong"/>
          <w:rFonts w:ascii="Arial" w:hAnsi="Arial" w:cs="Arial"/>
          <w:b w:val="0"/>
          <w:bCs w:val="0"/>
        </w:rPr>
        <w:t>Results Summary Table (Appendix C)</w:t>
      </w:r>
      <w:r w:rsidRPr="007F3FD3">
        <w:rPr>
          <w:rFonts w:ascii="Arial" w:hAnsi="Arial" w:cs="Arial"/>
          <w:b/>
          <w:bCs/>
        </w:rPr>
        <w:t xml:space="preserve">. </w:t>
      </w:r>
      <w:r w:rsidRPr="003377EF">
        <w:rPr>
          <w:rFonts w:ascii="Arial" w:hAnsi="Arial" w:cs="Arial"/>
        </w:rPr>
        <w:t>The findings from this analysis are presented in Chapter 4 and discussed in relation to the central research question.</w:t>
      </w:r>
    </w:p>
    <w:p w14:paraId="5DC782E1" w14:textId="77777777" w:rsidR="00BD71BC" w:rsidRDefault="00BD71BC">
      <w:pPr>
        <w:spacing w:line="259" w:lineRule="auto"/>
        <w:jc w:val="left"/>
        <w:rPr>
          <w:rFonts w:ascii="Arial" w:hAnsi="Arial" w:cs="Arial"/>
        </w:rPr>
      </w:pPr>
      <w:r>
        <w:rPr>
          <w:rFonts w:ascii="Arial" w:hAnsi="Arial" w:cs="Arial"/>
        </w:rPr>
        <w:br w:type="page"/>
      </w:r>
    </w:p>
    <w:p w14:paraId="3E27A013" w14:textId="4FB3EDBB" w:rsidR="001C3AF6" w:rsidRPr="00636D9A" w:rsidRDefault="001C3AF6" w:rsidP="00636D9A">
      <w:pPr>
        <w:pStyle w:val="Heading1"/>
        <w:ind w:left="0"/>
        <w:rPr>
          <w:rFonts w:ascii="Aptos" w:hAnsi="Aptos"/>
        </w:rPr>
      </w:pPr>
      <w:bookmarkStart w:id="15" w:name="_Toc204127886"/>
      <w:r w:rsidRPr="00636D9A">
        <w:rPr>
          <w:rFonts w:ascii="Aptos" w:hAnsi="Aptos"/>
        </w:rPr>
        <w:lastRenderedPageBreak/>
        <w:t>C</w:t>
      </w:r>
      <w:r w:rsidR="00636D9A">
        <w:rPr>
          <w:rFonts w:ascii="Aptos" w:hAnsi="Aptos"/>
        </w:rPr>
        <w:t>HAPTER</w:t>
      </w:r>
      <w:r w:rsidRPr="00636D9A">
        <w:rPr>
          <w:rFonts w:ascii="Aptos" w:hAnsi="Aptos"/>
        </w:rPr>
        <w:t xml:space="preserve"> 4 – Findings and Discussion</w:t>
      </w:r>
      <w:bookmarkEnd w:id="15"/>
    </w:p>
    <w:p w14:paraId="1134D897" w14:textId="77777777" w:rsidR="001C3AF6" w:rsidRDefault="001C3AF6" w:rsidP="001C3AF6"/>
    <w:p w14:paraId="367F223F" w14:textId="31D74829" w:rsidR="00636D9A" w:rsidRDefault="001C3AF6" w:rsidP="009972F6">
      <w:pPr>
        <w:pStyle w:val="Heading2"/>
      </w:pPr>
      <w:bookmarkStart w:id="16" w:name="_Toc204127887"/>
      <w:r w:rsidRPr="00636D9A">
        <w:t>4.1 –</w:t>
      </w:r>
      <w:r w:rsidR="00636D9A" w:rsidRPr="00636D9A">
        <w:t xml:space="preserve"> </w:t>
      </w:r>
      <w:r w:rsidRPr="00636D9A">
        <w:t>Introduction</w:t>
      </w:r>
      <w:bookmarkEnd w:id="16"/>
    </w:p>
    <w:p w14:paraId="0C146287" w14:textId="77777777" w:rsidR="009972F6" w:rsidRPr="009972F6" w:rsidRDefault="009972F6" w:rsidP="009972F6">
      <w:pPr>
        <w:spacing w:after="0"/>
        <w:rPr>
          <w:rFonts w:ascii="Arial" w:hAnsi="Arial" w:cs="Arial"/>
        </w:rPr>
      </w:pPr>
    </w:p>
    <w:p w14:paraId="1AD67B4C" w14:textId="0A20A0DC" w:rsidR="009972F6" w:rsidRPr="009972F6" w:rsidRDefault="009972F6" w:rsidP="009972F6">
      <w:pPr>
        <w:spacing w:after="0"/>
        <w:rPr>
          <w:rFonts w:ascii="Arial" w:hAnsi="Arial" w:cs="Arial"/>
        </w:rPr>
      </w:pPr>
      <w:r w:rsidRPr="009972F6">
        <w:rPr>
          <w:rFonts w:ascii="Arial" w:hAnsi="Arial" w:cs="Arial"/>
        </w:rPr>
        <w:t xml:space="preserve">This chapter presents the findings and discussion </w:t>
      </w:r>
      <w:r w:rsidRPr="009972F6">
        <w:rPr>
          <w:rStyle w:val="issue-underline"/>
          <w:rFonts w:ascii="Arial" w:hAnsi="Arial" w:cs="Arial"/>
        </w:rPr>
        <w:t>of the research</w:t>
      </w:r>
      <w:r w:rsidRPr="009972F6">
        <w:rPr>
          <w:rFonts w:ascii="Arial" w:hAnsi="Arial" w:cs="Arial"/>
        </w:rPr>
        <w:t xml:space="preserve"> examining the impact of social isolation during COVID-19 lockdowns on depression and loneliness among elderly residents in UK care homes. Drawing on the thematic </w:t>
      </w:r>
      <w:r w:rsidRPr="009972F6">
        <w:rPr>
          <w:rStyle w:val="issue-underline"/>
          <w:rFonts w:ascii="Arial" w:hAnsi="Arial" w:cs="Arial"/>
        </w:rPr>
        <w:t>analysis</w:t>
      </w:r>
      <w:r w:rsidRPr="009972F6">
        <w:rPr>
          <w:rFonts w:ascii="Arial" w:hAnsi="Arial" w:cs="Arial"/>
        </w:rPr>
        <w:t xml:space="preserve"> detailed in Chapter 3, three key themes are explored: Emotional and Psychological Deterioration, Cognitive and Functional </w:t>
      </w:r>
      <w:r w:rsidR="00521329">
        <w:rPr>
          <w:rFonts w:ascii="Arial" w:hAnsi="Arial" w:cs="Arial"/>
        </w:rPr>
        <w:t>Decline</w:t>
      </w:r>
      <w:r w:rsidRPr="009972F6">
        <w:rPr>
          <w:rFonts w:ascii="Arial" w:hAnsi="Arial" w:cs="Arial"/>
        </w:rPr>
        <w:t xml:space="preserve">, and Barriers to Quality </w:t>
      </w:r>
      <w:r w:rsidR="00CF4998">
        <w:rPr>
          <w:rFonts w:ascii="Arial" w:hAnsi="Arial" w:cs="Arial"/>
        </w:rPr>
        <w:t xml:space="preserve">of </w:t>
      </w:r>
      <w:r w:rsidRPr="009972F6">
        <w:rPr>
          <w:rFonts w:ascii="Arial" w:hAnsi="Arial" w:cs="Arial"/>
        </w:rPr>
        <w:t xml:space="preserve">Care. Each theme is discussed in depth using examples from the reviewed literature to evaluate how isolation measures </w:t>
      </w:r>
      <w:r w:rsidRPr="009972F6">
        <w:rPr>
          <w:rStyle w:val="issue-underline"/>
          <w:rFonts w:ascii="Arial" w:hAnsi="Arial" w:cs="Arial"/>
        </w:rPr>
        <w:t>affected</w:t>
      </w:r>
      <w:r w:rsidRPr="009972F6">
        <w:rPr>
          <w:rFonts w:ascii="Arial" w:hAnsi="Arial" w:cs="Arial"/>
        </w:rPr>
        <w:t xml:space="preserve"> residents</w:t>
      </w:r>
      <w:r w:rsidR="00A844F5">
        <w:rPr>
          <w:rFonts w:ascii="Arial" w:hAnsi="Arial" w:cs="Arial"/>
        </w:rPr>
        <w:t>'</w:t>
      </w:r>
      <w:r w:rsidRPr="009972F6">
        <w:rPr>
          <w:rFonts w:ascii="Arial" w:hAnsi="Arial" w:cs="Arial"/>
        </w:rPr>
        <w:t xml:space="preserve"> wellbeing. This chapter also considers the implications of these findings for practice and policy, </w:t>
      </w:r>
      <w:r w:rsidRPr="009972F6">
        <w:rPr>
          <w:rStyle w:val="issue-underline"/>
          <w:rFonts w:ascii="Arial" w:hAnsi="Arial" w:cs="Arial"/>
        </w:rPr>
        <w:t>addressing the research</w:t>
      </w:r>
      <w:r w:rsidRPr="009972F6">
        <w:rPr>
          <w:rFonts w:ascii="Arial" w:hAnsi="Arial" w:cs="Arial"/>
        </w:rPr>
        <w:t xml:space="preserve"> objectives and providing insights for future care strategies.</w:t>
      </w:r>
    </w:p>
    <w:p w14:paraId="7B6D738E" w14:textId="77777777" w:rsidR="002865F5" w:rsidRDefault="002865F5" w:rsidP="009972F6"/>
    <w:p w14:paraId="49AC5888" w14:textId="3EEDC912" w:rsidR="001C3AF6" w:rsidRDefault="001C3AF6" w:rsidP="003B1E32">
      <w:pPr>
        <w:pStyle w:val="Heading2"/>
      </w:pPr>
      <w:bookmarkStart w:id="17" w:name="_Toc204127888"/>
      <w:r w:rsidRPr="00636D9A">
        <w:t>4.2 – Thematic Analysis</w:t>
      </w:r>
      <w:bookmarkEnd w:id="17"/>
      <w:r w:rsidRPr="00636D9A">
        <w:t xml:space="preserve"> </w:t>
      </w:r>
    </w:p>
    <w:p w14:paraId="28D5481D" w14:textId="77777777" w:rsidR="00F02DB5" w:rsidRPr="00F02DB5" w:rsidRDefault="00F02DB5" w:rsidP="00F02DB5"/>
    <w:p w14:paraId="0B55C3B0" w14:textId="58D8731D" w:rsidR="009267D9" w:rsidRPr="007067A1" w:rsidRDefault="009267D9" w:rsidP="007067A1">
      <w:pPr>
        <w:rPr>
          <w:rFonts w:ascii="Arial" w:hAnsi="Arial" w:cs="Arial"/>
        </w:rPr>
      </w:pPr>
      <w:r w:rsidRPr="007067A1">
        <w:rPr>
          <w:rFonts w:ascii="Arial" w:hAnsi="Arial" w:cs="Arial"/>
        </w:rPr>
        <w:t xml:space="preserve">Thematic analysis is a widely used method in qualitative and secondary research (Ahmed </w:t>
      </w:r>
      <w:r w:rsidRPr="007067A1">
        <w:rPr>
          <w:rFonts w:ascii="Arial" w:hAnsi="Arial" w:cs="Arial"/>
          <w:i/>
          <w:iCs/>
        </w:rPr>
        <w:t>et al</w:t>
      </w:r>
      <w:r w:rsidRPr="007067A1">
        <w:rPr>
          <w:rFonts w:ascii="Arial" w:hAnsi="Arial" w:cs="Arial"/>
        </w:rPr>
        <w:t xml:space="preserve">., 2025). Clarke and Braun (2016) define it as </w:t>
      </w:r>
      <w:r w:rsidR="00A844F5">
        <w:rPr>
          <w:rFonts w:ascii="Arial" w:hAnsi="Arial" w:cs="Arial"/>
        </w:rPr>
        <w:t>"</w:t>
      </w:r>
      <w:r w:rsidRPr="007067A1">
        <w:rPr>
          <w:rFonts w:ascii="Arial" w:hAnsi="Arial" w:cs="Arial"/>
        </w:rPr>
        <w:t>a method for identifying, analysing and reporting patterns (themes) within data.</w:t>
      </w:r>
      <w:r w:rsidR="00A844F5">
        <w:rPr>
          <w:rFonts w:ascii="Arial" w:hAnsi="Arial" w:cs="Arial"/>
        </w:rPr>
        <w:t>"</w:t>
      </w:r>
      <w:r w:rsidRPr="007067A1">
        <w:rPr>
          <w:rFonts w:ascii="Arial" w:hAnsi="Arial" w:cs="Arial"/>
        </w:rPr>
        <w:t xml:space="preserve"> In this way, researchers can systematically organise complex information and interpret key patterns from multiple sources. This dissertation uses thematic analysis to synthesise research findings on the psychological impacts of social isolation among elderly care home residents during the COVID-19 lockdowns.</w:t>
      </w:r>
    </w:p>
    <w:p w14:paraId="7440FDBE" w14:textId="7241463E" w:rsidR="009267D9" w:rsidRPr="007067A1" w:rsidRDefault="009267D9" w:rsidP="007067A1">
      <w:pPr>
        <w:rPr>
          <w:rFonts w:ascii="Arial" w:hAnsi="Arial" w:cs="Arial"/>
        </w:rPr>
      </w:pPr>
      <w:r w:rsidRPr="007067A1">
        <w:rPr>
          <w:rFonts w:ascii="Arial" w:hAnsi="Arial" w:cs="Arial"/>
        </w:rPr>
        <w:t xml:space="preserve">As described in Chapter 3, each article was read in full, </w:t>
      </w:r>
      <w:r w:rsidRPr="007067A1">
        <w:rPr>
          <w:rStyle w:val="issue-underline"/>
          <w:rFonts w:ascii="Arial" w:hAnsi="Arial" w:cs="Arial"/>
        </w:rPr>
        <w:t>with particular</w:t>
      </w:r>
      <w:r w:rsidRPr="007067A1">
        <w:rPr>
          <w:rFonts w:ascii="Arial" w:hAnsi="Arial" w:cs="Arial"/>
        </w:rPr>
        <w:t xml:space="preserve"> focus on the key findings and results </w:t>
      </w:r>
      <w:r w:rsidRPr="007067A1">
        <w:rPr>
          <w:rStyle w:val="issue-underline"/>
          <w:rFonts w:ascii="Arial" w:hAnsi="Arial" w:cs="Arial"/>
        </w:rPr>
        <w:t>sections</w:t>
      </w:r>
      <w:r w:rsidRPr="007067A1">
        <w:rPr>
          <w:rFonts w:ascii="Arial" w:hAnsi="Arial" w:cs="Arial"/>
        </w:rPr>
        <w:t xml:space="preserve"> to identify recurring words, phrases, and concepts related to the research question. Keywords such as depression, loneliness, cognitive decline, staff shortages, and loss of autonomy were manually coded based on these repeated ideas. These codes were organised in a colour-coded table and summarised in the Results Summary Table (Appendix C), providing clear evidence of how data were categorised and contributing to transparency in the analysis process (Maguire and Delahunt, 2017). From this coding, three primary themes emerged: Emotional and Psychological Deterioration, Cognitive and Functional </w:t>
      </w:r>
      <w:r w:rsidR="001B440B">
        <w:rPr>
          <w:rFonts w:ascii="Arial" w:hAnsi="Arial" w:cs="Arial"/>
        </w:rPr>
        <w:t>Decline</w:t>
      </w:r>
      <w:r w:rsidRPr="007067A1">
        <w:rPr>
          <w:rFonts w:ascii="Arial" w:hAnsi="Arial" w:cs="Arial"/>
        </w:rPr>
        <w:t xml:space="preserve">, and Barriers to Quality </w:t>
      </w:r>
      <w:r w:rsidR="00CF4998">
        <w:rPr>
          <w:rFonts w:ascii="Arial" w:hAnsi="Arial" w:cs="Arial"/>
        </w:rPr>
        <w:t xml:space="preserve">of </w:t>
      </w:r>
      <w:r w:rsidRPr="007067A1">
        <w:rPr>
          <w:rFonts w:ascii="Arial" w:hAnsi="Arial" w:cs="Arial"/>
        </w:rPr>
        <w:t>Care. Throughout this chapter, these themes will be explored in detail as they encompass the key findings of this study.</w:t>
      </w:r>
    </w:p>
    <w:p w14:paraId="3B39D7B4" w14:textId="77777777" w:rsidR="00636D9A" w:rsidRDefault="00636D9A" w:rsidP="001C3AF6"/>
    <w:p w14:paraId="1E614ABD" w14:textId="4EFDD678" w:rsidR="001C3AF6" w:rsidRDefault="001C3AF6" w:rsidP="00F02DB5">
      <w:pPr>
        <w:pStyle w:val="Heading2"/>
      </w:pPr>
      <w:bookmarkStart w:id="18" w:name="_Toc204127889"/>
      <w:r w:rsidRPr="00F02DB5">
        <w:lastRenderedPageBreak/>
        <w:t>4.3 – Theme 1</w:t>
      </w:r>
      <w:r w:rsidR="00EF03E5">
        <w:t>-</w:t>
      </w:r>
      <w:r w:rsidRPr="00F02DB5">
        <w:t xml:space="preserve"> </w:t>
      </w:r>
      <w:r w:rsidR="00F02DB5" w:rsidRPr="00F02DB5">
        <w:t>Emotional and Psychological Deterioration</w:t>
      </w:r>
      <w:bookmarkEnd w:id="18"/>
      <w:r w:rsidRPr="00F02DB5">
        <w:t xml:space="preserve"> </w:t>
      </w:r>
    </w:p>
    <w:p w14:paraId="3FECC413" w14:textId="77777777" w:rsidR="001F47CB" w:rsidRPr="001F47CB" w:rsidRDefault="001F47CB" w:rsidP="001F47CB"/>
    <w:p w14:paraId="37162A03" w14:textId="4F25BAB9" w:rsidR="007063BA" w:rsidRDefault="007063BA" w:rsidP="007063BA">
      <w:pPr>
        <w:pStyle w:val="Heading4"/>
        <w:rPr>
          <w:rFonts w:ascii="Aptos" w:hAnsi="Aptos"/>
        </w:rPr>
      </w:pPr>
      <w:r w:rsidRPr="007063BA">
        <w:rPr>
          <w:rFonts w:ascii="Aptos" w:hAnsi="Aptos"/>
        </w:rPr>
        <w:t xml:space="preserve">Definition </w:t>
      </w:r>
      <w:r w:rsidR="009C2E7E">
        <w:rPr>
          <w:rFonts w:ascii="Aptos" w:hAnsi="Aptos"/>
        </w:rPr>
        <w:t>and Scope</w:t>
      </w:r>
    </w:p>
    <w:p w14:paraId="15112C45" w14:textId="0BAB3CF7" w:rsidR="006F0065" w:rsidRPr="00A35C32" w:rsidRDefault="006F0065" w:rsidP="00A35C32">
      <w:pPr>
        <w:jc w:val="left"/>
        <w:rPr>
          <w:rFonts w:ascii="Times New Roman" w:eastAsia="Times New Roman" w:hAnsi="Times New Roman" w:cs="Times New Roman"/>
          <w:kern w:val="0"/>
          <w:lang w:eastAsia="en-GB"/>
          <w14:ligatures w14:val="none"/>
        </w:rPr>
      </w:pPr>
      <w:r w:rsidRPr="00A35C32">
        <w:rPr>
          <w:rFonts w:ascii="Arial" w:hAnsi="Arial" w:cs="Arial"/>
        </w:rPr>
        <w:t>Emotional and psychological deterioration is the decline in mental wellbeing, seen through growing feelings of depression, anxiety, distress, and wanting to withdraw from others</w:t>
      </w:r>
      <w:r w:rsidR="005761A1" w:rsidRPr="00A35C32">
        <w:rPr>
          <w:rFonts w:ascii="Arial" w:hAnsi="Arial" w:cs="Arial"/>
        </w:rPr>
        <w:t xml:space="preserve"> </w:t>
      </w:r>
      <w:r w:rsidR="005761A1" w:rsidRPr="00A35C32">
        <w:rPr>
          <w:rFonts w:ascii="Arial" w:eastAsia="Times New Roman" w:hAnsi="Arial" w:cs="Arial"/>
          <w:kern w:val="0"/>
          <w:lang w:eastAsia="en-GB"/>
          <w14:ligatures w14:val="none"/>
        </w:rPr>
        <w:t>(Gaskin and Gavin, 2018</w:t>
      </w:r>
      <w:r w:rsidR="00A35C32" w:rsidRPr="00A35C32">
        <w:rPr>
          <w:rFonts w:ascii="Arial" w:eastAsia="Times New Roman" w:hAnsi="Arial" w:cs="Arial"/>
          <w:kern w:val="0"/>
          <w:lang w:eastAsia="en-GB"/>
          <w14:ligatures w14:val="none"/>
        </w:rPr>
        <w:t>; Tai, 2025</w:t>
      </w:r>
      <w:r w:rsidR="005761A1" w:rsidRPr="00A35C32">
        <w:rPr>
          <w:rFonts w:ascii="Arial" w:eastAsia="Times New Roman" w:hAnsi="Arial" w:cs="Arial"/>
          <w:kern w:val="0"/>
          <w:lang w:eastAsia="en-GB"/>
          <w14:ligatures w14:val="none"/>
        </w:rPr>
        <w:t>)</w:t>
      </w:r>
      <w:r w:rsidRPr="00A35C32">
        <w:rPr>
          <w:rFonts w:ascii="Arial" w:hAnsi="Arial" w:cs="Arial"/>
        </w:rPr>
        <w:t>. Key terms include depression, which means feeling low and losing interest in life; anxiety, which is constant worry or fear; and emotional distress, which is strong feelings of sadness or upset caused by stressful events</w:t>
      </w:r>
      <w:r w:rsidR="00F27987" w:rsidRPr="00A35C32">
        <w:rPr>
          <w:rFonts w:ascii="Arial" w:hAnsi="Arial" w:cs="Arial"/>
        </w:rPr>
        <w:t xml:space="preserve"> </w:t>
      </w:r>
      <w:r w:rsidR="00F27987" w:rsidRPr="00A35C32">
        <w:rPr>
          <w:rFonts w:ascii="Arial" w:eastAsia="Times New Roman" w:hAnsi="Arial" w:cs="Arial"/>
          <w:kern w:val="0"/>
          <w:lang w:eastAsia="en-GB"/>
          <w14:ligatures w14:val="none"/>
        </w:rPr>
        <w:t>(Joseph, 2022</w:t>
      </w:r>
      <w:r w:rsidR="0049430F" w:rsidRPr="00A35C32">
        <w:rPr>
          <w:rFonts w:ascii="Arial" w:eastAsia="Times New Roman" w:hAnsi="Arial" w:cs="Arial"/>
          <w:kern w:val="0"/>
          <w:lang w:eastAsia="en-GB"/>
          <w14:ligatures w14:val="none"/>
        </w:rPr>
        <w:t>; GOV.UK, 2022)</w:t>
      </w:r>
      <w:r w:rsidRPr="00A35C32">
        <w:rPr>
          <w:rFonts w:ascii="Arial" w:hAnsi="Arial" w:cs="Arial"/>
        </w:rPr>
        <w:t xml:space="preserve">. This theme includes how residents emotionally reacted to being cut off from loved ones during </w:t>
      </w:r>
      <w:r w:rsidR="00CA4B20" w:rsidRPr="00A35C32">
        <w:rPr>
          <w:rFonts w:ascii="Arial" w:hAnsi="Arial" w:cs="Arial"/>
        </w:rPr>
        <w:t>lockdowns</w:t>
      </w:r>
      <w:r w:rsidR="00CA4B20">
        <w:rPr>
          <w:rFonts w:ascii="Arial" w:hAnsi="Arial" w:cs="Arial"/>
        </w:rPr>
        <w:t>,</w:t>
      </w:r>
      <w:r w:rsidR="00CA4B20" w:rsidRPr="00A35C32">
        <w:rPr>
          <w:rFonts w:ascii="Arial" w:hAnsi="Arial" w:cs="Arial"/>
        </w:rPr>
        <w:t xml:space="preserve"> but</w:t>
      </w:r>
      <w:r w:rsidRPr="00A35C32">
        <w:rPr>
          <w:rFonts w:ascii="Arial" w:hAnsi="Arial" w:cs="Arial"/>
        </w:rPr>
        <w:t xml:space="preserve"> does not cover cognitive or physical changes</w:t>
      </w:r>
      <w:r w:rsidR="00EC7751">
        <w:rPr>
          <w:rFonts w:ascii="Arial" w:hAnsi="Arial" w:cs="Arial"/>
        </w:rPr>
        <w:t xml:space="preserve"> and barriers</w:t>
      </w:r>
      <w:r w:rsidR="00CA4B20">
        <w:rPr>
          <w:rFonts w:ascii="Arial" w:hAnsi="Arial" w:cs="Arial"/>
        </w:rPr>
        <w:t>,</w:t>
      </w:r>
      <w:r w:rsidR="00EC7751">
        <w:rPr>
          <w:rFonts w:ascii="Arial" w:hAnsi="Arial" w:cs="Arial"/>
        </w:rPr>
        <w:t xml:space="preserve"> </w:t>
      </w:r>
      <w:r w:rsidRPr="00A35C32">
        <w:rPr>
          <w:rFonts w:ascii="Arial" w:hAnsi="Arial" w:cs="Arial"/>
        </w:rPr>
        <w:t xml:space="preserve">which are explored in other themes. </w:t>
      </w:r>
      <w:r w:rsidR="00700860">
        <w:rPr>
          <w:rFonts w:ascii="Arial" w:hAnsi="Arial" w:cs="Arial"/>
        </w:rPr>
        <w:t>This definition</w:t>
      </w:r>
      <w:r w:rsidRPr="00A35C32">
        <w:rPr>
          <w:rFonts w:ascii="Arial" w:hAnsi="Arial" w:cs="Arial"/>
        </w:rPr>
        <w:t xml:space="preserve"> clearly</w:t>
      </w:r>
      <w:r w:rsidR="00700860">
        <w:rPr>
          <w:rFonts w:ascii="Arial" w:hAnsi="Arial" w:cs="Arial"/>
        </w:rPr>
        <w:t xml:space="preserve"> </w:t>
      </w:r>
      <w:r w:rsidRPr="00A35C32">
        <w:rPr>
          <w:rFonts w:ascii="Arial" w:hAnsi="Arial" w:cs="Arial"/>
        </w:rPr>
        <w:t xml:space="preserve">shows how the emotional </w:t>
      </w:r>
      <w:r w:rsidR="00700860">
        <w:rPr>
          <w:rFonts w:ascii="Arial" w:hAnsi="Arial" w:cs="Arial"/>
        </w:rPr>
        <w:t xml:space="preserve">and </w:t>
      </w:r>
      <w:r w:rsidR="00B01259">
        <w:rPr>
          <w:rFonts w:ascii="Arial" w:hAnsi="Arial" w:cs="Arial"/>
        </w:rPr>
        <w:t xml:space="preserve">psychological </w:t>
      </w:r>
      <w:r w:rsidRPr="00A35C32">
        <w:rPr>
          <w:rFonts w:ascii="Arial" w:hAnsi="Arial" w:cs="Arial"/>
        </w:rPr>
        <w:t>impact of isolation connects directly to the aim of understanding depression and loneliness among elderly care home residents during COVID-19</w:t>
      </w:r>
      <w:r w:rsidR="00CA4B20">
        <w:rPr>
          <w:rFonts w:ascii="Arial" w:hAnsi="Arial" w:cs="Arial"/>
        </w:rPr>
        <w:t xml:space="preserve"> lockdown</w:t>
      </w:r>
      <w:r w:rsidR="00726F94">
        <w:rPr>
          <w:rFonts w:ascii="Arial" w:hAnsi="Arial" w:cs="Arial"/>
        </w:rPr>
        <w:t>s</w:t>
      </w:r>
      <w:r w:rsidRPr="00A35C32">
        <w:rPr>
          <w:rFonts w:ascii="Arial" w:hAnsi="Arial" w:cs="Arial"/>
        </w:rPr>
        <w:t>.</w:t>
      </w:r>
    </w:p>
    <w:p w14:paraId="6920ED58" w14:textId="77777777" w:rsidR="007063BA" w:rsidRPr="007063BA" w:rsidRDefault="007063BA" w:rsidP="007063BA">
      <w:pPr>
        <w:pStyle w:val="Heading4"/>
        <w:rPr>
          <w:rFonts w:ascii="Aptos" w:hAnsi="Aptos"/>
        </w:rPr>
      </w:pPr>
      <w:r w:rsidRPr="007063BA">
        <w:rPr>
          <w:rFonts w:ascii="Aptos" w:hAnsi="Aptos"/>
        </w:rPr>
        <w:t>Background Information</w:t>
      </w:r>
    </w:p>
    <w:p w14:paraId="5DCF06CF" w14:textId="6F633685" w:rsidR="00207DCA" w:rsidRPr="00082F52" w:rsidRDefault="00206CB2" w:rsidP="00082F52">
      <w:pPr>
        <w:rPr>
          <w:rFonts w:ascii="Arial" w:hAnsi="Arial" w:cs="Arial"/>
        </w:rPr>
      </w:pPr>
      <w:r w:rsidRPr="006014F2">
        <w:rPr>
          <w:rFonts w:ascii="Arial" w:hAnsi="Arial" w:cs="Arial"/>
        </w:rPr>
        <w:t xml:space="preserve">Before the </w:t>
      </w:r>
      <w:r>
        <w:rPr>
          <w:rFonts w:ascii="Arial" w:hAnsi="Arial" w:cs="Arial"/>
        </w:rPr>
        <w:t xml:space="preserve">COVID-19 </w:t>
      </w:r>
      <w:r w:rsidRPr="006014F2">
        <w:rPr>
          <w:rFonts w:ascii="Arial" w:hAnsi="Arial" w:cs="Arial"/>
        </w:rPr>
        <w:t>pandemic, loneliness and depression were already major issues in UK care homes, with Age UK (2</w:t>
      </w:r>
      <w:r>
        <w:rPr>
          <w:rFonts w:ascii="Arial" w:hAnsi="Arial" w:cs="Arial"/>
        </w:rPr>
        <w:t>024b</w:t>
      </w:r>
      <w:r w:rsidRPr="006014F2">
        <w:rPr>
          <w:rFonts w:ascii="Arial" w:hAnsi="Arial" w:cs="Arial"/>
        </w:rPr>
        <w:t xml:space="preserve">) estimating that </w:t>
      </w:r>
      <w:r>
        <w:rPr>
          <w:rFonts w:ascii="Arial" w:hAnsi="Arial" w:cs="Arial"/>
        </w:rPr>
        <w:t>270,000</w:t>
      </w:r>
      <w:r w:rsidRPr="006014F2">
        <w:rPr>
          <w:rFonts w:ascii="Arial" w:hAnsi="Arial" w:cs="Arial"/>
        </w:rPr>
        <w:t xml:space="preserve"> older people spent days without </w:t>
      </w:r>
      <w:r w:rsidRPr="00AA0810">
        <w:rPr>
          <w:rFonts w:ascii="Arial" w:hAnsi="Arial" w:cs="Arial"/>
        </w:rPr>
        <w:t>speaking to anyone.</w:t>
      </w:r>
      <w:r w:rsidR="00757E4C" w:rsidRPr="00AA0810">
        <w:rPr>
          <w:rFonts w:ascii="Arial" w:hAnsi="Arial" w:cs="Arial"/>
        </w:rPr>
        <w:t xml:space="preserve"> </w:t>
      </w:r>
      <w:r w:rsidR="00AA0810" w:rsidRPr="00AA0810">
        <w:rPr>
          <w:rFonts w:ascii="Arial" w:hAnsi="Arial" w:cs="Arial"/>
        </w:rPr>
        <w:t>Institutional priorities focused on physical safety and clinical care because regulatory frameworks and funding models emphasised inspectable, measurable clinical standards</w:t>
      </w:r>
      <w:r w:rsidR="00C3675E">
        <w:rPr>
          <w:rFonts w:ascii="Arial" w:hAnsi="Arial" w:cs="Arial"/>
        </w:rPr>
        <w:t xml:space="preserve">, </w:t>
      </w:r>
      <w:r w:rsidR="00AA0810" w:rsidRPr="00AA0810">
        <w:rPr>
          <w:rFonts w:ascii="Arial" w:hAnsi="Arial" w:cs="Arial"/>
        </w:rPr>
        <w:t>mandated by the Care Standards Act 2000 and the CQC inspection regime</w:t>
      </w:r>
      <w:r w:rsidR="00C3675E">
        <w:rPr>
          <w:rFonts w:ascii="Arial" w:hAnsi="Arial" w:cs="Arial"/>
        </w:rPr>
        <w:t xml:space="preserve">; </w:t>
      </w:r>
      <w:r w:rsidR="00AA0810" w:rsidRPr="00AA0810">
        <w:rPr>
          <w:rFonts w:ascii="Arial" w:hAnsi="Arial" w:cs="Arial"/>
        </w:rPr>
        <w:t>while emotional wellbeing was neither required nor routinely assessed (Care Standards Act 2000; CQC, 2020</w:t>
      </w:r>
      <w:r w:rsidR="008F0AC4">
        <w:rPr>
          <w:rFonts w:ascii="Arial" w:hAnsi="Arial" w:cs="Arial"/>
        </w:rPr>
        <w:t>b</w:t>
      </w:r>
      <w:r w:rsidR="00AA0810" w:rsidRPr="00AA0810">
        <w:rPr>
          <w:rFonts w:ascii="Arial" w:hAnsi="Arial" w:cs="Arial"/>
        </w:rPr>
        <w:t>; Age UK, 2019</w:t>
      </w:r>
      <w:r w:rsidR="00F86FDA">
        <w:rPr>
          <w:rFonts w:ascii="Arial" w:hAnsi="Arial" w:cs="Arial"/>
        </w:rPr>
        <w:t>a</w:t>
      </w:r>
      <w:r w:rsidR="00AA0810" w:rsidRPr="00AA0810">
        <w:rPr>
          <w:rFonts w:ascii="Arial" w:hAnsi="Arial" w:cs="Arial"/>
        </w:rPr>
        <w:t>).</w:t>
      </w:r>
      <w:r w:rsidR="00207DCA" w:rsidRPr="00AA0810">
        <w:rPr>
          <w:rFonts w:ascii="Arial" w:hAnsi="Arial" w:cs="Arial"/>
        </w:rPr>
        <w:t xml:space="preserve"> Age </w:t>
      </w:r>
      <w:r w:rsidR="00207DCA" w:rsidRPr="00207DCA">
        <w:rPr>
          <w:rFonts w:ascii="Arial" w:hAnsi="Arial" w:cs="Arial"/>
        </w:rPr>
        <w:t>UK</w:t>
      </w:r>
      <w:r w:rsidR="007C7889">
        <w:rPr>
          <w:rFonts w:ascii="Arial" w:hAnsi="Arial" w:cs="Arial"/>
        </w:rPr>
        <w:t xml:space="preserve"> (2019</w:t>
      </w:r>
      <w:r w:rsidR="00F86FDA">
        <w:rPr>
          <w:rFonts w:ascii="Arial" w:hAnsi="Arial" w:cs="Arial"/>
        </w:rPr>
        <w:t>a</w:t>
      </w:r>
      <w:r w:rsidR="007C7889">
        <w:rPr>
          <w:rFonts w:ascii="Arial" w:hAnsi="Arial" w:cs="Arial"/>
        </w:rPr>
        <w:t>)</w:t>
      </w:r>
      <w:r w:rsidR="00207DCA" w:rsidRPr="00207DCA">
        <w:rPr>
          <w:rFonts w:ascii="Arial" w:hAnsi="Arial" w:cs="Arial"/>
        </w:rPr>
        <w:t xml:space="preserve"> reported that 25% of older adults in England frequently felt lonely and that many homes lacked structured programmes to address emotional needs. </w:t>
      </w:r>
      <w:r w:rsidR="00873315">
        <w:rPr>
          <w:rFonts w:ascii="Arial" w:hAnsi="Arial" w:cs="Arial"/>
        </w:rPr>
        <w:t>Also, Age</w:t>
      </w:r>
      <w:r w:rsidR="00BF610D">
        <w:rPr>
          <w:rFonts w:ascii="Arial" w:hAnsi="Arial" w:cs="Arial"/>
        </w:rPr>
        <w:t xml:space="preserve"> UK</w:t>
      </w:r>
      <w:r w:rsidR="00EE04F3">
        <w:rPr>
          <w:rFonts w:ascii="Arial" w:hAnsi="Arial" w:cs="Arial"/>
        </w:rPr>
        <w:t xml:space="preserve"> (</w:t>
      </w:r>
      <w:r w:rsidR="00207DCA" w:rsidRPr="00207DCA">
        <w:rPr>
          <w:rFonts w:ascii="Arial" w:hAnsi="Arial" w:cs="Arial"/>
        </w:rPr>
        <w:t>2017</w:t>
      </w:r>
      <w:r w:rsidR="00EE04F3">
        <w:rPr>
          <w:rFonts w:ascii="Arial" w:hAnsi="Arial" w:cs="Arial"/>
        </w:rPr>
        <w:t>)</w:t>
      </w:r>
      <w:r w:rsidR="00207DCA" w:rsidRPr="00207DCA">
        <w:rPr>
          <w:rFonts w:ascii="Arial" w:hAnsi="Arial" w:cs="Arial"/>
        </w:rPr>
        <w:t xml:space="preserve"> found that half of adults over 55 had experienced mental health problems yet </w:t>
      </w:r>
      <w:r w:rsidR="00207DCA" w:rsidRPr="00082F52">
        <w:rPr>
          <w:rFonts w:ascii="Arial" w:hAnsi="Arial" w:cs="Arial"/>
        </w:rPr>
        <w:t xml:space="preserve">were reluctant to discuss them, reflecting longstanding stigma and under-resourcing of psychological support in long-term care </w:t>
      </w:r>
      <w:r w:rsidRPr="00082F52">
        <w:rPr>
          <w:rFonts w:ascii="Arial" w:hAnsi="Arial" w:cs="Arial"/>
        </w:rPr>
        <w:t>settings</w:t>
      </w:r>
      <w:r w:rsidR="00207DCA" w:rsidRPr="00082F52">
        <w:rPr>
          <w:rFonts w:ascii="Arial" w:hAnsi="Arial" w:cs="Arial"/>
        </w:rPr>
        <w:t>.</w:t>
      </w:r>
    </w:p>
    <w:p w14:paraId="6A452337" w14:textId="00603A14" w:rsidR="00207DCA" w:rsidRPr="00082F52" w:rsidRDefault="00207DCA" w:rsidP="00082F52">
      <w:pPr>
        <w:rPr>
          <w:rFonts w:ascii="Arial" w:eastAsia="Times New Roman" w:hAnsi="Arial" w:cs="Arial"/>
          <w:kern w:val="0"/>
          <w:sz w:val="24"/>
          <w:szCs w:val="24"/>
          <w:lang w:eastAsia="en-GB"/>
          <w14:ligatures w14:val="none"/>
        </w:rPr>
      </w:pPr>
      <w:r w:rsidRPr="00082F52">
        <w:rPr>
          <w:rFonts w:ascii="Arial" w:hAnsi="Arial" w:cs="Arial"/>
        </w:rPr>
        <w:t>Regulatory reforms over the past two decades, such as the Care Standards Act 2000, improved standards for hygiene, nutrition, and safeguarding in care homes</w:t>
      </w:r>
      <w:r w:rsidR="00206CB2" w:rsidRPr="00082F52">
        <w:rPr>
          <w:rFonts w:ascii="Arial" w:hAnsi="Arial" w:cs="Arial"/>
        </w:rPr>
        <w:t>,</w:t>
      </w:r>
      <w:r w:rsidRPr="00082F52">
        <w:rPr>
          <w:rFonts w:ascii="Arial" w:hAnsi="Arial" w:cs="Arial"/>
        </w:rPr>
        <w:t xml:space="preserve"> but did not mandate emotional-wellbeing measures. Consequently, social activities and one-to-one engagement often depended on individua</w:t>
      </w:r>
      <w:r w:rsidRPr="004E4863">
        <w:rPr>
          <w:rFonts w:ascii="Arial" w:hAnsi="Arial" w:cs="Arial"/>
        </w:rPr>
        <w:t>l home policies or charitable initiatives rather than systematic practice</w:t>
      </w:r>
      <w:r w:rsidR="00082F52" w:rsidRPr="004E4863">
        <w:rPr>
          <w:rFonts w:ascii="Arial" w:hAnsi="Arial" w:cs="Arial"/>
        </w:rPr>
        <w:t xml:space="preserve"> </w:t>
      </w:r>
      <w:r w:rsidR="00082F52" w:rsidRPr="004E4863">
        <w:rPr>
          <w:rFonts w:ascii="Arial" w:eastAsia="Times New Roman" w:hAnsi="Arial" w:cs="Arial"/>
          <w:kern w:val="0"/>
          <w:lang w:eastAsia="en-GB"/>
          <w14:ligatures w14:val="none"/>
        </w:rPr>
        <w:t xml:space="preserve">(Bethell </w:t>
      </w:r>
      <w:r w:rsidR="00082F52" w:rsidRPr="004E4863">
        <w:rPr>
          <w:rFonts w:ascii="Arial" w:eastAsia="Times New Roman" w:hAnsi="Arial" w:cs="Arial"/>
          <w:i/>
          <w:iCs/>
          <w:kern w:val="0"/>
          <w:lang w:eastAsia="en-GB"/>
          <w14:ligatures w14:val="none"/>
        </w:rPr>
        <w:t>et al.</w:t>
      </w:r>
      <w:r w:rsidR="00082F52" w:rsidRPr="004E4863">
        <w:rPr>
          <w:rFonts w:ascii="Arial" w:eastAsia="Times New Roman" w:hAnsi="Arial" w:cs="Arial"/>
          <w:kern w:val="0"/>
          <w:lang w:eastAsia="en-GB"/>
          <w14:ligatures w14:val="none"/>
        </w:rPr>
        <w:t>, 2021)</w:t>
      </w:r>
      <w:r w:rsidRPr="004E4863">
        <w:rPr>
          <w:rFonts w:ascii="Arial" w:hAnsi="Arial" w:cs="Arial"/>
        </w:rPr>
        <w:t xml:space="preserve">. </w:t>
      </w:r>
      <w:r w:rsidR="004E4863" w:rsidRPr="004E4863">
        <w:rPr>
          <w:rFonts w:ascii="Arial" w:hAnsi="Arial" w:cs="Arial"/>
        </w:rPr>
        <w:t>The under-emphasis on mental health laid the groundwork for the devastating emotional and psychological decline that followed COVID-19 lockdowns.</w:t>
      </w:r>
    </w:p>
    <w:p w14:paraId="61F9D094" w14:textId="77777777" w:rsidR="006014F2" w:rsidRPr="006014F2" w:rsidRDefault="006014F2" w:rsidP="006014F2">
      <w:pPr>
        <w:rPr>
          <w:rFonts w:ascii="Arial" w:hAnsi="Arial" w:cs="Arial"/>
        </w:rPr>
      </w:pPr>
    </w:p>
    <w:p w14:paraId="7749FD3C" w14:textId="77777777" w:rsidR="007063BA" w:rsidRPr="007063BA" w:rsidRDefault="007063BA" w:rsidP="007063BA">
      <w:pPr>
        <w:pStyle w:val="Heading4"/>
        <w:rPr>
          <w:rFonts w:ascii="Aptos" w:hAnsi="Aptos"/>
        </w:rPr>
      </w:pPr>
      <w:r w:rsidRPr="007063BA">
        <w:rPr>
          <w:rFonts w:ascii="Aptos" w:hAnsi="Aptos"/>
        </w:rPr>
        <w:lastRenderedPageBreak/>
        <w:t>Impact on Research Question</w:t>
      </w:r>
    </w:p>
    <w:p w14:paraId="2A54C98F" w14:textId="362918A2" w:rsidR="00480EAA" w:rsidRPr="001D2096" w:rsidRDefault="00480EAA" w:rsidP="001D2096">
      <w:pPr>
        <w:rPr>
          <w:rFonts w:ascii="Arial" w:eastAsia="Times New Roman" w:hAnsi="Arial" w:cs="Arial"/>
          <w:kern w:val="0"/>
          <w:sz w:val="24"/>
          <w:szCs w:val="24"/>
          <w:lang w:eastAsia="en-GB"/>
          <w14:ligatures w14:val="none"/>
        </w:rPr>
      </w:pPr>
      <w:r w:rsidRPr="001D2096">
        <w:rPr>
          <w:rFonts w:ascii="Arial" w:hAnsi="Arial" w:cs="Arial"/>
        </w:rPr>
        <w:t xml:space="preserve">This theme sits at the heart of the research question by showing that enforced isolation during COVID-19 lockdowns did more than limit visits; it directly led to spikes in depression, anxiety, and social withdrawal among care home residents (Age UK, 2021; Sims </w:t>
      </w:r>
      <w:r w:rsidRPr="00F86FDA">
        <w:rPr>
          <w:rFonts w:ascii="Arial" w:hAnsi="Arial" w:cs="Arial"/>
          <w:i/>
          <w:iCs/>
        </w:rPr>
        <w:t>et al</w:t>
      </w:r>
      <w:r w:rsidRPr="001D2096">
        <w:rPr>
          <w:rFonts w:ascii="Arial" w:hAnsi="Arial" w:cs="Arial"/>
        </w:rPr>
        <w:t>., 2024). By highlighting emotional decline as a primary consequence of lockdown policies (British Geriatrics Society, 2020), the theme demonstrates how mental wellbeing was often overlooked compared to physical safety. This matters because the rise in depression and loneliness reveals that protection measures unintentionally created new health risks, making it clear that future crisis responses must consider emotional needs alongside infection control</w:t>
      </w:r>
      <w:r w:rsidR="001A640F" w:rsidRPr="001D2096">
        <w:rPr>
          <w:rFonts w:ascii="Arial" w:hAnsi="Arial" w:cs="Arial"/>
        </w:rPr>
        <w:t xml:space="preserve"> </w:t>
      </w:r>
      <w:r w:rsidR="001A640F" w:rsidRPr="001D2096">
        <w:rPr>
          <w:rFonts w:ascii="Arial" w:eastAsia="Times New Roman" w:hAnsi="Arial" w:cs="Arial"/>
          <w:kern w:val="0"/>
          <w:lang w:eastAsia="en-GB"/>
          <w14:ligatures w14:val="none"/>
        </w:rPr>
        <w:t>(House of Commons and House of Lords, 2021)</w:t>
      </w:r>
      <w:r w:rsidRPr="001D2096">
        <w:rPr>
          <w:rFonts w:ascii="Arial" w:hAnsi="Arial" w:cs="Arial"/>
        </w:rPr>
        <w:t>. Including this theme supports Objective 4 by providing evidence that targeted psychosocial interventions are necessary to prevent emotional harm in similar situations. Furthermore, understanding these emotional effects helps explain why some residents went on to experience cognitive decline and exposes weaknesses in care-home systems, setting the stage for examining the cognitive and systemic issues explored in later themes.</w:t>
      </w:r>
    </w:p>
    <w:p w14:paraId="6A42E4BF" w14:textId="77777777" w:rsidR="007063BA" w:rsidRDefault="007063BA" w:rsidP="007063BA">
      <w:pPr>
        <w:pStyle w:val="Heading4"/>
        <w:rPr>
          <w:rFonts w:ascii="Aptos" w:hAnsi="Aptos"/>
        </w:rPr>
      </w:pPr>
      <w:r w:rsidRPr="007063BA">
        <w:rPr>
          <w:rFonts w:ascii="Aptos" w:hAnsi="Aptos"/>
        </w:rPr>
        <w:t>Statistical Information</w:t>
      </w:r>
    </w:p>
    <w:p w14:paraId="254B0DD9" w14:textId="5E933A38" w:rsidR="001610D3" w:rsidRDefault="00DE161D" w:rsidP="00640F3A">
      <w:r w:rsidRPr="00DE161D">
        <w:rPr>
          <w:noProof/>
        </w:rPr>
        <w:drawing>
          <wp:inline distT="0" distB="0" distL="0" distR="0" wp14:anchorId="7C0DB9BC" wp14:editId="1B1C9FE6">
            <wp:extent cx="5720316" cy="4833446"/>
            <wp:effectExtent l="0" t="0" r="0" b="5715"/>
            <wp:docPr id="1195129175"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129175" name="Picture 1" descr="A table with text on it&#10;&#10;AI-generated content may be incorrect."/>
                    <pic:cNvPicPr/>
                  </pic:nvPicPr>
                  <pic:blipFill>
                    <a:blip r:embed="rId9"/>
                    <a:stretch>
                      <a:fillRect/>
                    </a:stretch>
                  </pic:blipFill>
                  <pic:spPr>
                    <a:xfrm>
                      <a:off x="0" y="0"/>
                      <a:ext cx="5729464" cy="4841176"/>
                    </a:xfrm>
                    <a:prstGeom prst="rect">
                      <a:avLst/>
                    </a:prstGeom>
                  </pic:spPr>
                </pic:pic>
              </a:graphicData>
            </a:graphic>
          </wp:inline>
        </w:drawing>
      </w:r>
    </w:p>
    <w:p w14:paraId="729725BA" w14:textId="77777777" w:rsidR="004B4BFA" w:rsidRPr="00167462" w:rsidRDefault="00640F3A" w:rsidP="00167462">
      <w:pPr>
        <w:rPr>
          <w:rFonts w:ascii="Arial" w:hAnsi="Arial" w:cs="Arial"/>
        </w:rPr>
      </w:pPr>
      <w:r w:rsidRPr="00167462">
        <w:rPr>
          <w:rFonts w:ascii="Arial" w:hAnsi="Arial" w:cs="Arial"/>
        </w:rPr>
        <w:lastRenderedPageBreak/>
        <w:t xml:space="preserve">The table above summarises key statistics illustrating the emotional and psychological impact of COVID-19 lockdowns on elderly care home residents. </w:t>
      </w:r>
      <w:r w:rsidR="004B4BFA" w:rsidRPr="00167462">
        <w:rPr>
          <w:rFonts w:ascii="Arial" w:hAnsi="Arial" w:cs="Arial"/>
        </w:rPr>
        <w:t>As evidenced by these figures, mental wellbeing needs to be prioritised during health crises in order to combat depression, anxiety, and emotional distress.</w:t>
      </w:r>
    </w:p>
    <w:p w14:paraId="7A9C5A7B" w14:textId="2B8F3F51" w:rsidR="004B4BFA" w:rsidRPr="00640F3A" w:rsidRDefault="004B4BFA" w:rsidP="00167462"/>
    <w:p w14:paraId="142DB4B4" w14:textId="512D5F9E" w:rsidR="007063BA" w:rsidRDefault="007063BA" w:rsidP="007063BA">
      <w:pPr>
        <w:pStyle w:val="Heading4"/>
        <w:rPr>
          <w:rFonts w:ascii="Aptos" w:hAnsi="Aptos"/>
        </w:rPr>
      </w:pPr>
      <w:r w:rsidRPr="007063BA">
        <w:rPr>
          <w:rFonts w:ascii="Aptos" w:hAnsi="Aptos"/>
        </w:rPr>
        <w:t>Theories, Policies, and Legislation</w:t>
      </w:r>
    </w:p>
    <w:p w14:paraId="63B2454F" w14:textId="20AF627D" w:rsidR="00D05BFA" w:rsidRPr="00D679A3" w:rsidRDefault="00FC0C61" w:rsidP="004668AF">
      <w:pPr>
        <w:rPr>
          <w:rFonts w:ascii="Times New Roman" w:eastAsia="Times New Roman" w:hAnsi="Times New Roman" w:cs="Times New Roman"/>
          <w:kern w:val="0"/>
          <w:sz w:val="24"/>
          <w:szCs w:val="24"/>
          <w:lang w:eastAsia="en-GB"/>
          <w14:ligatures w14:val="none"/>
        </w:rPr>
      </w:pPr>
      <w:r w:rsidRPr="00D05BFA">
        <w:rPr>
          <w:rFonts w:ascii="Arial" w:hAnsi="Arial" w:cs="Arial"/>
        </w:rPr>
        <w:t>Socioemotional Selectivity Theory suggests that as people age, they place greater value on close, emotionally meaningful relationships (Carstensen, 1995). During COVID-19 lockdowns, cutting off these relationships left residents without their main sources of emotional support, worsening loneliness and depression. However, this theory does not account for practical barriers like staff shortages and rigid care</w:t>
      </w:r>
      <w:r w:rsidR="00167462">
        <w:rPr>
          <w:rFonts w:ascii="Arial" w:hAnsi="Arial" w:cs="Arial"/>
        </w:rPr>
        <w:t xml:space="preserve"> </w:t>
      </w:r>
      <w:r w:rsidRPr="00D05BFA">
        <w:rPr>
          <w:rFonts w:ascii="Arial" w:hAnsi="Arial" w:cs="Arial"/>
        </w:rPr>
        <w:t>home routines, nor does it consider the effects of cognitive impairments, such as dementia, that limit residents</w:t>
      </w:r>
      <w:r w:rsidR="00A844F5">
        <w:rPr>
          <w:rFonts w:ascii="Arial" w:hAnsi="Arial" w:cs="Arial"/>
        </w:rPr>
        <w:t>'</w:t>
      </w:r>
      <w:r w:rsidRPr="00D05BFA">
        <w:rPr>
          <w:rFonts w:ascii="Arial" w:hAnsi="Arial" w:cs="Arial"/>
        </w:rPr>
        <w:t xml:space="preserve"> ability to adapt emotionally</w:t>
      </w:r>
      <w:r w:rsidR="00943856">
        <w:rPr>
          <w:rFonts w:ascii="Arial" w:hAnsi="Arial" w:cs="Arial"/>
        </w:rPr>
        <w:t xml:space="preserve"> </w:t>
      </w:r>
      <w:r w:rsidR="00D679A3" w:rsidRPr="00D679A3">
        <w:rPr>
          <w:rFonts w:ascii="Arial" w:eastAsia="Times New Roman" w:hAnsi="Arial" w:cs="Arial"/>
          <w:kern w:val="0"/>
          <w:lang w:eastAsia="en-GB"/>
          <w14:ligatures w14:val="none"/>
        </w:rPr>
        <w:t xml:space="preserve">(Bunn </w:t>
      </w:r>
      <w:r w:rsidR="00D679A3" w:rsidRPr="00D679A3">
        <w:rPr>
          <w:rFonts w:ascii="Arial" w:eastAsia="Times New Roman" w:hAnsi="Arial" w:cs="Arial"/>
          <w:i/>
          <w:iCs/>
          <w:kern w:val="0"/>
          <w:lang w:eastAsia="en-GB"/>
          <w14:ligatures w14:val="none"/>
        </w:rPr>
        <w:t>et al.</w:t>
      </w:r>
      <w:r w:rsidR="00D679A3" w:rsidRPr="00D679A3">
        <w:rPr>
          <w:rFonts w:ascii="Arial" w:eastAsia="Times New Roman" w:hAnsi="Arial" w:cs="Arial"/>
          <w:kern w:val="0"/>
          <w:lang w:eastAsia="en-GB"/>
          <w14:ligatures w14:val="none"/>
        </w:rPr>
        <w:t>, 2021)</w:t>
      </w:r>
      <w:r w:rsidRPr="00D05BFA">
        <w:rPr>
          <w:rFonts w:ascii="Arial" w:hAnsi="Arial" w:cs="Arial"/>
        </w:rPr>
        <w:t>. Maslow</w:t>
      </w:r>
      <w:r w:rsidR="00A844F5">
        <w:rPr>
          <w:rFonts w:ascii="Arial" w:hAnsi="Arial" w:cs="Arial"/>
        </w:rPr>
        <w:t>'</w:t>
      </w:r>
      <w:r w:rsidRPr="00D05BFA">
        <w:rPr>
          <w:rFonts w:ascii="Arial" w:hAnsi="Arial" w:cs="Arial"/>
        </w:rPr>
        <w:t>s Hierarchy of Needs similarly shows that social belonging is fundamental for mental health; when lockdowns prevented social contact, residents</w:t>
      </w:r>
      <w:r w:rsidR="00A844F5">
        <w:rPr>
          <w:rFonts w:ascii="Arial" w:hAnsi="Arial" w:cs="Arial"/>
        </w:rPr>
        <w:t>'</w:t>
      </w:r>
      <w:r w:rsidRPr="00D05BFA">
        <w:rPr>
          <w:rFonts w:ascii="Arial" w:hAnsi="Arial" w:cs="Arial"/>
        </w:rPr>
        <w:t xml:space="preserve"> psychological needs were neglected, leading to emotional decline. Although the Care Act 2014 requires authorities to promote wellbeing and protect against loneliness, pandemic policies focused almost exclusively on infection control, sidelining emotional needs and exposing a gap between legal intentions and actual care practices</w:t>
      </w:r>
      <w:r w:rsidR="00DF2C3A">
        <w:rPr>
          <w:rFonts w:ascii="Arial" w:hAnsi="Arial" w:cs="Arial"/>
        </w:rPr>
        <w:t xml:space="preserve"> </w:t>
      </w:r>
      <w:r w:rsidR="004668AF" w:rsidRPr="004668AF">
        <w:rPr>
          <w:rFonts w:ascii="Arial" w:eastAsia="Times New Roman" w:hAnsi="Arial" w:cs="Arial"/>
          <w:kern w:val="0"/>
          <w:lang w:eastAsia="en-GB"/>
          <w14:ligatures w14:val="none"/>
        </w:rPr>
        <w:t>(CQC, 2022d)</w:t>
      </w:r>
      <w:r w:rsidRPr="00D05BFA">
        <w:rPr>
          <w:rFonts w:ascii="Arial" w:hAnsi="Arial" w:cs="Arial"/>
        </w:rPr>
        <w:t>. Together, these frameworks highlight why social isolation caused severe emotional harm and show the importance of including emotional wellbeing in future emergency planning (Care Act 2014; Maslow, 1943).</w:t>
      </w:r>
    </w:p>
    <w:p w14:paraId="7A10632A" w14:textId="6349BD41" w:rsidR="004E217B" w:rsidRDefault="007063BA" w:rsidP="0082760D">
      <w:pPr>
        <w:pStyle w:val="Heading4"/>
        <w:rPr>
          <w:rFonts w:ascii="Aptos" w:hAnsi="Aptos"/>
        </w:rPr>
      </w:pPr>
      <w:r w:rsidRPr="007063BA">
        <w:rPr>
          <w:rFonts w:ascii="Aptos" w:hAnsi="Aptos"/>
        </w:rPr>
        <w:t>Implications</w:t>
      </w:r>
    </w:p>
    <w:p w14:paraId="003E2BD0" w14:textId="17678032" w:rsidR="004E217B" w:rsidRPr="00F036CD" w:rsidRDefault="004E217B" w:rsidP="00F036CD">
      <w:pPr>
        <w:rPr>
          <w:rFonts w:ascii="Arial" w:eastAsia="Times New Roman" w:hAnsi="Arial" w:cs="Arial"/>
          <w:kern w:val="0"/>
          <w:sz w:val="24"/>
          <w:szCs w:val="24"/>
          <w:lang w:eastAsia="en-GB"/>
          <w14:ligatures w14:val="none"/>
        </w:rPr>
      </w:pPr>
      <w:r w:rsidRPr="00F036CD">
        <w:rPr>
          <w:rFonts w:ascii="Arial" w:hAnsi="Arial" w:cs="Arial"/>
        </w:rPr>
        <w:t>The theme of emotional and psychological deterioration has significant implications for understanding how social isolation during COVID-19 lockdowns affected elderly care-home residents. On the negative side, increased depression, anxiety, and loneliness not only reduced residents</w:t>
      </w:r>
      <w:r w:rsidR="00A844F5">
        <w:rPr>
          <w:rFonts w:ascii="Arial" w:hAnsi="Arial" w:cs="Arial"/>
        </w:rPr>
        <w:t>'</w:t>
      </w:r>
      <w:r w:rsidRPr="00F036CD">
        <w:rPr>
          <w:rFonts w:ascii="Arial" w:hAnsi="Arial" w:cs="Arial"/>
        </w:rPr>
        <w:t xml:space="preserve"> quality of life but also heightened risks of physical decline, faster cognitive deterioration, and greater reliance on medication to manage distress</w:t>
      </w:r>
      <w:r w:rsidR="00847A93" w:rsidRPr="00F036CD">
        <w:rPr>
          <w:rFonts w:ascii="Arial" w:hAnsi="Arial" w:cs="Arial"/>
        </w:rPr>
        <w:t xml:space="preserve"> </w:t>
      </w:r>
      <w:r w:rsidR="00847A93" w:rsidRPr="00F036CD">
        <w:rPr>
          <w:rFonts w:ascii="Arial" w:eastAsia="Times New Roman" w:hAnsi="Arial" w:cs="Arial"/>
          <w:kern w:val="0"/>
          <w:lang w:eastAsia="en-GB"/>
          <w14:ligatures w14:val="none"/>
        </w:rPr>
        <w:t xml:space="preserve">(Fitzpatrick </w:t>
      </w:r>
      <w:r w:rsidR="00847A93" w:rsidRPr="00F036CD">
        <w:rPr>
          <w:rFonts w:ascii="Arial" w:eastAsia="Times New Roman" w:hAnsi="Arial" w:cs="Arial"/>
          <w:i/>
          <w:iCs/>
          <w:kern w:val="0"/>
          <w:lang w:eastAsia="en-GB"/>
          <w14:ligatures w14:val="none"/>
        </w:rPr>
        <w:t>et al.</w:t>
      </w:r>
      <w:r w:rsidR="00847A93" w:rsidRPr="00F036CD">
        <w:rPr>
          <w:rFonts w:ascii="Arial" w:eastAsia="Times New Roman" w:hAnsi="Arial" w:cs="Arial"/>
          <w:kern w:val="0"/>
          <w:lang w:eastAsia="en-GB"/>
          <w14:ligatures w14:val="none"/>
        </w:rPr>
        <w:t>, 2021)</w:t>
      </w:r>
      <w:r w:rsidRPr="00F036CD">
        <w:rPr>
          <w:rFonts w:ascii="Arial" w:hAnsi="Arial" w:cs="Arial"/>
        </w:rPr>
        <w:t>. These outcomes show that policies focused solely on infection control can cause severe unintended harm when emotional needs are ignored</w:t>
      </w:r>
      <w:r w:rsidR="005140C4" w:rsidRPr="00F036CD">
        <w:rPr>
          <w:rFonts w:ascii="Arial" w:hAnsi="Arial" w:cs="Arial"/>
        </w:rPr>
        <w:t xml:space="preserve"> </w:t>
      </w:r>
      <w:r w:rsidR="005140C4" w:rsidRPr="00F036CD">
        <w:rPr>
          <w:rFonts w:ascii="Arial" w:eastAsia="Times New Roman" w:hAnsi="Arial" w:cs="Arial"/>
          <w:kern w:val="0"/>
          <w:lang w:eastAsia="en-GB"/>
          <w14:ligatures w14:val="none"/>
        </w:rPr>
        <w:t>(CQC, 2020a)</w:t>
      </w:r>
      <w:r w:rsidRPr="00F036CD">
        <w:rPr>
          <w:rFonts w:ascii="Arial" w:hAnsi="Arial" w:cs="Arial"/>
        </w:rPr>
        <w:t>. On the positive side, awareness of these issues has led to new conversations about the importance of emotional wellbeing in care settings, prompting initiatives like befriending services and funding for digital technologies to support remote social connections</w:t>
      </w:r>
      <w:r w:rsidR="00F036CD" w:rsidRPr="00F036CD">
        <w:rPr>
          <w:rFonts w:ascii="Arial" w:hAnsi="Arial" w:cs="Arial"/>
        </w:rPr>
        <w:t xml:space="preserve"> </w:t>
      </w:r>
      <w:r w:rsidR="00F036CD" w:rsidRPr="00F036CD">
        <w:rPr>
          <w:rFonts w:ascii="Arial" w:eastAsia="Times New Roman" w:hAnsi="Arial" w:cs="Arial"/>
          <w:kern w:val="0"/>
          <w:lang w:eastAsia="en-GB"/>
          <w14:ligatures w14:val="none"/>
        </w:rPr>
        <w:t>(Holt</w:t>
      </w:r>
      <w:r w:rsidR="00F036CD" w:rsidRPr="00F036CD">
        <w:rPr>
          <w:rFonts w:ascii="Cambria Math" w:eastAsia="Times New Roman" w:hAnsi="Cambria Math" w:cs="Cambria Math"/>
          <w:kern w:val="0"/>
          <w:lang w:eastAsia="en-GB"/>
          <w14:ligatures w14:val="none"/>
        </w:rPr>
        <w:t>‐</w:t>
      </w:r>
      <w:proofErr w:type="spellStart"/>
      <w:r w:rsidR="00F036CD" w:rsidRPr="00F036CD">
        <w:rPr>
          <w:rFonts w:ascii="Arial" w:eastAsia="Times New Roman" w:hAnsi="Arial" w:cs="Arial"/>
          <w:kern w:val="0"/>
          <w:lang w:eastAsia="en-GB"/>
          <w14:ligatures w14:val="none"/>
        </w:rPr>
        <w:t>Lunstad</w:t>
      </w:r>
      <w:proofErr w:type="spellEnd"/>
      <w:r w:rsidR="00F036CD" w:rsidRPr="00F036CD">
        <w:rPr>
          <w:rFonts w:ascii="Arial" w:eastAsia="Times New Roman" w:hAnsi="Arial" w:cs="Arial"/>
          <w:kern w:val="0"/>
          <w:lang w:eastAsia="en-GB"/>
          <w14:ligatures w14:val="none"/>
        </w:rPr>
        <w:t>, 2024)</w:t>
      </w:r>
      <w:r w:rsidRPr="00F036CD">
        <w:rPr>
          <w:rFonts w:ascii="Arial" w:hAnsi="Arial" w:cs="Arial"/>
        </w:rPr>
        <w:t>. These responses highlight opportunities to design future policies that balance physical safety with strategies to maintain residents</w:t>
      </w:r>
      <w:r w:rsidR="00A844F5">
        <w:rPr>
          <w:rFonts w:ascii="Arial" w:hAnsi="Arial" w:cs="Arial"/>
        </w:rPr>
        <w:t>'</w:t>
      </w:r>
      <w:r w:rsidRPr="00F036CD">
        <w:rPr>
          <w:rFonts w:ascii="Arial" w:hAnsi="Arial" w:cs="Arial"/>
        </w:rPr>
        <w:t xml:space="preserve"> social and emotional health, directly addressing the research aim of reducing depression and loneliness in care homes.</w:t>
      </w:r>
    </w:p>
    <w:p w14:paraId="49B8C6C4" w14:textId="77777777" w:rsidR="004E217B" w:rsidRPr="004E217B" w:rsidRDefault="004E217B" w:rsidP="004E217B"/>
    <w:p w14:paraId="538020D2" w14:textId="5E90F4E8" w:rsidR="0082760D" w:rsidRDefault="0082760D" w:rsidP="0082760D">
      <w:pPr>
        <w:pStyle w:val="Heading4"/>
        <w:rPr>
          <w:rFonts w:ascii="Aptos" w:hAnsi="Aptos"/>
        </w:rPr>
      </w:pPr>
      <w:r w:rsidRPr="00FE5C58">
        <w:rPr>
          <w:rFonts w:ascii="Aptos" w:hAnsi="Aptos"/>
        </w:rPr>
        <w:t>Examples from Your Articles</w:t>
      </w:r>
    </w:p>
    <w:p w14:paraId="26E900DD" w14:textId="4EF9A1CA" w:rsidR="00DD393E" w:rsidRDefault="000D74AC" w:rsidP="00DD393E">
      <w:pPr>
        <w:rPr>
          <w:rFonts w:ascii="Arial" w:hAnsi="Arial" w:cs="Arial"/>
        </w:rPr>
      </w:pPr>
      <w:r w:rsidRPr="000D74AC">
        <w:rPr>
          <w:rFonts w:ascii="Arial" w:hAnsi="Arial" w:cs="Arial"/>
        </w:rPr>
        <w:t xml:space="preserve">Age UK (2021) provided large-scale survey evidence showing that many older adults felt lonelier, more anxious, and less motivated during COVID-19 lockdowns, especially those in care homes. This supports the theme by demonstrating how social isolation led to widespread emotional decline, with many residents experiencing worsening depression and reduced confidence. Martín-Erice </w:t>
      </w:r>
      <w:r w:rsidRPr="003A30D0">
        <w:rPr>
          <w:rFonts w:ascii="Arial" w:hAnsi="Arial" w:cs="Arial"/>
          <w:i/>
          <w:iCs/>
        </w:rPr>
        <w:t>et al</w:t>
      </w:r>
      <w:r w:rsidRPr="000D74AC">
        <w:rPr>
          <w:rFonts w:ascii="Arial" w:hAnsi="Arial" w:cs="Arial"/>
        </w:rPr>
        <w:t>. (2024) reviewed multiple studies of nursing home residents and found consistent patterns of emotional distress, loss of autonomy, and weakened social networks during lockdowns, which deepened loneliness and anxiety. Their work reinforces Age UK</w:t>
      </w:r>
      <w:r w:rsidR="00A844F5">
        <w:rPr>
          <w:rFonts w:ascii="Arial" w:hAnsi="Arial" w:cs="Arial"/>
        </w:rPr>
        <w:t>'</w:t>
      </w:r>
      <w:r w:rsidRPr="000D74AC">
        <w:rPr>
          <w:rFonts w:ascii="Arial" w:hAnsi="Arial" w:cs="Arial"/>
        </w:rPr>
        <w:t xml:space="preserve">s findings and shows that emotional deterioration was not an isolated problem but a consistent trend across care settings. Sims </w:t>
      </w:r>
      <w:r w:rsidRPr="003A30D0">
        <w:rPr>
          <w:rFonts w:ascii="Arial" w:hAnsi="Arial" w:cs="Arial"/>
          <w:i/>
          <w:iCs/>
        </w:rPr>
        <w:t>et al.</w:t>
      </w:r>
      <w:r w:rsidRPr="000D74AC">
        <w:rPr>
          <w:rFonts w:ascii="Arial" w:hAnsi="Arial" w:cs="Arial"/>
        </w:rPr>
        <w:t xml:space="preserve"> (2024) offered in-depth qualitative interviews revealing how restricted visits and loss of physical touch left residents feeling abandoned and fearful, highlighting the personal and relational dimensions of emotional decline. Together, these sources agree that lockdown policies severely undermined residents</w:t>
      </w:r>
      <w:r w:rsidR="00A844F5">
        <w:rPr>
          <w:rFonts w:ascii="Arial" w:hAnsi="Arial" w:cs="Arial"/>
        </w:rPr>
        <w:t>'</w:t>
      </w:r>
      <w:r w:rsidRPr="000D74AC">
        <w:rPr>
          <w:rFonts w:ascii="Arial" w:hAnsi="Arial" w:cs="Arial"/>
        </w:rPr>
        <w:t xml:space="preserve"> mental health, offering strong evidence to answer the research question about how social isolation during COVID-19 increased depression and loneliness in UK care homes.</w:t>
      </w:r>
    </w:p>
    <w:p w14:paraId="47E6572D" w14:textId="77777777" w:rsidR="00D84922" w:rsidRPr="00DD393E" w:rsidRDefault="00D84922" w:rsidP="00DD393E">
      <w:pPr>
        <w:rPr>
          <w:rFonts w:ascii="Arial" w:hAnsi="Arial" w:cs="Arial"/>
        </w:rPr>
      </w:pPr>
    </w:p>
    <w:p w14:paraId="72338162" w14:textId="46FF8F0F" w:rsidR="000D3DF6" w:rsidRDefault="007063BA" w:rsidP="000D3DF6">
      <w:pPr>
        <w:pStyle w:val="Heading4"/>
        <w:rPr>
          <w:rFonts w:ascii="Aptos" w:hAnsi="Aptos"/>
        </w:rPr>
      </w:pPr>
      <w:r w:rsidRPr="007063BA">
        <w:rPr>
          <w:rFonts w:ascii="Aptos" w:hAnsi="Aptos"/>
        </w:rPr>
        <w:t>Connections to Other Themes</w:t>
      </w:r>
    </w:p>
    <w:p w14:paraId="54BE8296" w14:textId="2D2D276B" w:rsidR="000D3DF6" w:rsidRPr="009C372F" w:rsidRDefault="009C372F" w:rsidP="000D3DF6">
      <w:pPr>
        <w:rPr>
          <w:rFonts w:ascii="Arial" w:hAnsi="Arial" w:cs="Arial"/>
        </w:rPr>
      </w:pPr>
      <w:r w:rsidRPr="009C372F">
        <w:rPr>
          <w:rFonts w:ascii="Arial" w:hAnsi="Arial" w:cs="Arial"/>
        </w:rPr>
        <w:t>This theme of emotional and psychological deterioration is closely connected to the other themes in the dissertation. For example, feelings of depression and anxiety often reduced residents</w:t>
      </w:r>
      <w:r w:rsidR="00A844F5">
        <w:rPr>
          <w:rFonts w:ascii="Arial" w:hAnsi="Arial" w:cs="Arial"/>
        </w:rPr>
        <w:t>'</w:t>
      </w:r>
      <w:r w:rsidRPr="009C372F">
        <w:rPr>
          <w:rFonts w:ascii="Arial" w:hAnsi="Arial" w:cs="Arial"/>
        </w:rPr>
        <w:t xml:space="preserve"> motivation to engage in daily activities, contributing to the cognitive and functional decline explored in Theme 2. Emotional distress also made it harder for residents to interact with staff or use technology to maintain social connections, which relates to the barriers to quality </w:t>
      </w:r>
      <w:r w:rsidR="00CF4998">
        <w:rPr>
          <w:rFonts w:ascii="Arial" w:hAnsi="Arial" w:cs="Arial"/>
        </w:rPr>
        <w:t xml:space="preserve">of </w:t>
      </w:r>
      <w:r w:rsidRPr="009C372F">
        <w:rPr>
          <w:rFonts w:ascii="Arial" w:hAnsi="Arial" w:cs="Arial"/>
        </w:rPr>
        <w:t xml:space="preserve">care </w:t>
      </w:r>
      <w:r w:rsidRPr="00590757">
        <w:rPr>
          <w:rFonts w:ascii="Arial" w:hAnsi="Arial" w:cs="Arial"/>
        </w:rPr>
        <w:t xml:space="preserve">discussed in Theme 3. </w:t>
      </w:r>
      <w:r w:rsidR="00590757" w:rsidRPr="00590757">
        <w:rPr>
          <w:rFonts w:ascii="Arial" w:hAnsi="Arial" w:cs="Arial"/>
        </w:rPr>
        <w:t>These interconnections show that emotional deterioration both affected and was affected by residents</w:t>
      </w:r>
      <w:r w:rsidR="00590757">
        <w:rPr>
          <w:rFonts w:ascii="Arial" w:hAnsi="Arial" w:cs="Arial"/>
        </w:rPr>
        <w:t>'</w:t>
      </w:r>
      <w:r w:rsidR="00590757" w:rsidRPr="00590757">
        <w:rPr>
          <w:rFonts w:ascii="Arial" w:hAnsi="Arial" w:cs="Arial"/>
        </w:rPr>
        <w:t xml:space="preserve"> physical health, cognitive abilities, and systemic care challenges, highlighting the need to address emotional wellbeing alongside other aspects of care.</w:t>
      </w:r>
    </w:p>
    <w:p w14:paraId="77F78541" w14:textId="77777777" w:rsidR="009C372F" w:rsidRPr="000D3DF6" w:rsidRDefault="009C372F" w:rsidP="000D3DF6"/>
    <w:p w14:paraId="35C7BB28" w14:textId="09F67547" w:rsidR="00636D9A" w:rsidRDefault="001C3AF6" w:rsidP="00437A71">
      <w:pPr>
        <w:pStyle w:val="Heading2"/>
      </w:pPr>
      <w:bookmarkStart w:id="19" w:name="_Toc204127890"/>
      <w:r w:rsidRPr="00636D9A">
        <w:t>4.4 – Theme 2</w:t>
      </w:r>
      <w:r w:rsidR="00EF03E5">
        <w:t xml:space="preserve">- </w:t>
      </w:r>
      <w:r w:rsidR="00F672B9">
        <w:t>Cognitive and Functional Decline</w:t>
      </w:r>
      <w:bookmarkEnd w:id="19"/>
      <w:r w:rsidRPr="00636D9A">
        <w:t xml:space="preserve"> </w:t>
      </w:r>
    </w:p>
    <w:p w14:paraId="6A182D6A" w14:textId="77777777" w:rsidR="002E164D" w:rsidRPr="002E164D" w:rsidRDefault="002E164D" w:rsidP="002E164D"/>
    <w:p w14:paraId="1C7906C5" w14:textId="4624F24C" w:rsidR="002E164D" w:rsidRDefault="002865F5" w:rsidP="002865F5">
      <w:pPr>
        <w:pStyle w:val="Heading4"/>
        <w:rPr>
          <w:rFonts w:ascii="Aptos" w:hAnsi="Aptos"/>
        </w:rPr>
      </w:pPr>
      <w:r w:rsidRPr="007063BA">
        <w:rPr>
          <w:rFonts w:ascii="Aptos" w:hAnsi="Aptos"/>
        </w:rPr>
        <w:t xml:space="preserve">Definition </w:t>
      </w:r>
      <w:r w:rsidR="002E164D">
        <w:rPr>
          <w:rFonts w:ascii="Aptos" w:hAnsi="Aptos"/>
        </w:rPr>
        <w:t>and Scope</w:t>
      </w:r>
    </w:p>
    <w:p w14:paraId="4DC48170" w14:textId="04F38418" w:rsidR="002E164D" w:rsidRPr="003C2B76" w:rsidRDefault="002E164D" w:rsidP="00D626F9">
      <w:pPr>
        <w:rPr>
          <w:rFonts w:ascii="Times New Roman" w:eastAsia="Times New Roman" w:hAnsi="Times New Roman" w:cs="Times New Roman"/>
          <w:kern w:val="0"/>
          <w:sz w:val="24"/>
          <w:szCs w:val="24"/>
          <w:lang w:eastAsia="en-GB"/>
          <w14:ligatures w14:val="none"/>
        </w:rPr>
      </w:pPr>
      <w:r w:rsidRPr="00E47D59">
        <w:rPr>
          <w:rFonts w:ascii="Arial" w:hAnsi="Arial" w:cs="Arial"/>
          <w:lang w:eastAsia="en-GB"/>
        </w:rPr>
        <w:t>Cognitive and functional decline means a gradual loss of thinking skills like memory, focus, and planning</w:t>
      </w:r>
      <w:r w:rsidR="003C2B76">
        <w:rPr>
          <w:rFonts w:ascii="Arial" w:hAnsi="Arial" w:cs="Arial"/>
          <w:lang w:eastAsia="en-GB"/>
        </w:rPr>
        <w:t xml:space="preserve"> </w:t>
      </w:r>
      <w:r w:rsidR="003C2B76" w:rsidRPr="003C2B76">
        <w:rPr>
          <w:rFonts w:ascii="Arial" w:eastAsia="Times New Roman" w:hAnsi="Arial" w:cs="Arial"/>
          <w:kern w:val="0"/>
          <w:lang w:eastAsia="en-GB"/>
          <w14:ligatures w14:val="none"/>
        </w:rPr>
        <w:t>(</w:t>
      </w:r>
      <w:proofErr w:type="spellStart"/>
      <w:r w:rsidR="003C2B76" w:rsidRPr="003C2B76">
        <w:rPr>
          <w:rFonts w:ascii="Arial" w:eastAsia="Times New Roman" w:hAnsi="Arial" w:cs="Arial"/>
          <w:kern w:val="0"/>
          <w:lang w:eastAsia="en-GB"/>
          <w14:ligatures w14:val="none"/>
        </w:rPr>
        <w:t>Stanborough</w:t>
      </w:r>
      <w:proofErr w:type="spellEnd"/>
      <w:r w:rsidR="003C2B76" w:rsidRPr="003C2B76">
        <w:rPr>
          <w:rFonts w:ascii="Arial" w:eastAsia="Times New Roman" w:hAnsi="Arial" w:cs="Arial"/>
          <w:kern w:val="0"/>
          <w:lang w:eastAsia="en-GB"/>
          <w14:ligatures w14:val="none"/>
        </w:rPr>
        <w:t>, 2022</w:t>
      </w:r>
      <w:r w:rsidR="00C54370">
        <w:rPr>
          <w:rFonts w:ascii="Arial" w:eastAsia="Times New Roman" w:hAnsi="Arial" w:cs="Arial"/>
          <w:kern w:val="0"/>
          <w:lang w:eastAsia="en-GB"/>
          <w14:ligatures w14:val="none"/>
        </w:rPr>
        <w:t xml:space="preserve">; </w:t>
      </w:r>
      <w:r w:rsidR="00C54370" w:rsidRPr="00C54370">
        <w:rPr>
          <w:rFonts w:ascii="Arial" w:eastAsia="Times New Roman" w:hAnsi="Arial" w:cs="Arial"/>
          <w:kern w:val="0"/>
          <w:lang w:eastAsia="en-GB"/>
          <w14:ligatures w14:val="none"/>
        </w:rPr>
        <w:t>Cleveland Clinic, 2019</w:t>
      </w:r>
      <w:r w:rsidR="003C2B76" w:rsidRPr="003C2B76">
        <w:rPr>
          <w:rFonts w:ascii="Arial" w:eastAsia="Times New Roman" w:hAnsi="Arial" w:cs="Arial"/>
          <w:kern w:val="0"/>
          <w:lang w:eastAsia="en-GB"/>
          <w14:ligatures w14:val="none"/>
        </w:rPr>
        <w:t>)</w:t>
      </w:r>
      <w:r w:rsidRPr="00E47D59">
        <w:rPr>
          <w:rFonts w:ascii="Arial" w:hAnsi="Arial" w:cs="Arial"/>
          <w:lang w:eastAsia="en-GB"/>
        </w:rPr>
        <w:t>. It also involves struggling with everyday tasks such as walking, bathing, or getting dressed</w:t>
      </w:r>
      <w:r w:rsidR="00E83366">
        <w:rPr>
          <w:rFonts w:ascii="Arial" w:hAnsi="Arial" w:cs="Arial"/>
          <w:lang w:eastAsia="en-GB"/>
        </w:rPr>
        <w:t xml:space="preserve"> </w:t>
      </w:r>
      <w:r w:rsidR="00E83366" w:rsidRPr="00E83366">
        <w:rPr>
          <w:rFonts w:ascii="Arial" w:eastAsia="Times New Roman" w:hAnsi="Arial" w:cs="Arial"/>
          <w:kern w:val="0"/>
          <w:lang w:eastAsia="en-GB"/>
          <w14:ligatures w14:val="none"/>
        </w:rPr>
        <w:t xml:space="preserve">(Corbett </w:t>
      </w:r>
      <w:r w:rsidR="00E83366" w:rsidRPr="00E83366">
        <w:rPr>
          <w:rFonts w:ascii="Arial" w:eastAsia="Times New Roman" w:hAnsi="Arial" w:cs="Arial"/>
          <w:i/>
          <w:iCs/>
          <w:kern w:val="0"/>
          <w:lang w:eastAsia="en-GB"/>
          <w14:ligatures w14:val="none"/>
        </w:rPr>
        <w:t>et al.</w:t>
      </w:r>
      <w:r w:rsidR="00E83366" w:rsidRPr="00E83366">
        <w:rPr>
          <w:rFonts w:ascii="Arial" w:eastAsia="Times New Roman" w:hAnsi="Arial" w:cs="Arial"/>
          <w:kern w:val="0"/>
          <w:lang w:eastAsia="en-GB"/>
          <w14:ligatures w14:val="none"/>
        </w:rPr>
        <w:t>, 2023)</w:t>
      </w:r>
      <w:r w:rsidRPr="00E47D59">
        <w:rPr>
          <w:rFonts w:ascii="Arial" w:hAnsi="Arial" w:cs="Arial"/>
          <w:lang w:eastAsia="en-GB"/>
        </w:rPr>
        <w:t xml:space="preserve">. These </w:t>
      </w:r>
      <w:r w:rsidRPr="00E47D59">
        <w:rPr>
          <w:rFonts w:ascii="Arial" w:hAnsi="Arial" w:cs="Arial"/>
          <w:lang w:eastAsia="en-GB"/>
        </w:rPr>
        <w:lastRenderedPageBreak/>
        <w:t>difficulties are common in older adults and are even more likely in those with dementia</w:t>
      </w:r>
      <w:r w:rsidR="00936C6E">
        <w:rPr>
          <w:rFonts w:ascii="Arial" w:hAnsi="Arial" w:cs="Arial"/>
          <w:lang w:eastAsia="en-GB"/>
        </w:rPr>
        <w:t xml:space="preserve"> </w:t>
      </w:r>
      <w:r w:rsidR="00936C6E" w:rsidRPr="00936C6E">
        <w:rPr>
          <w:rFonts w:ascii="Arial" w:eastAsia="Times New Roman" w:hAnsi="Arial" w:cs="Arial"/>
          <w:kern w:val="0"/>
          <w:lang w:eastAsia="en-GB"/>
          <w14:ligatures w14:val="none"/>
        </w:rPr>
        <w:t xml:space="preserve">(Crivelli </w:t>
      </w:r>
      <w:r w:rsidR="00936C6E" w:rsidRPr="00936C6E">
        <w:rPr>
          <w:rFonts w:ascii="Arial" w:eastAsia="Times New Roman" w:hAnsi="Arial" w:cs="Arial"/>
          <w:i/>
          <w:iCs/>
          <w:kern w:val="0"/>
          <w:lang w:eastAsia="en-GB"/>
          <w14:ligatures w14:val="none"/>
        </w:rPr>
        <w:t>et al.</w:t>
      </w:r>
      <w:r w:rsidR="00936C6E" w:rsidRPr="00936C6E">
        <w:rPr>
          <w:rFonts w:ascii="Arial" w:eastAsia="Times New Roman" w:hAnsi="Arial" w:cs="Arial"/>
          <w:kern w:val="0"/>
          <w:lang w:eastAsia="en-GB"/>
          <w14:ligatures w14:val="none"/>
        </w:rPr>
        <w:t>, 2024)</w:t>
      </w:r>
      <w:r w:rsidRPr="00E47D59">
        <w:rPr>
          <w:rFonts w:ascii="Arial" w:hAnsi="Arial" w:cs="Arial"/>
          <w:lang w:eastAsia="en-GB"/>
        </w:rPr>
        <w:t>. They often lead to greater dependence on staff for basic care.</w:t>
      </w:r>
    </w:p>
    <w:p w14:paraId="06A68DD7" w14:textId="628AE571" w:rsidR="002E164D" w:rsidRPr="00397A61" w:rsidRDefault="002E164D" w:rsidP="00A76CF3">
      <w:pPr>
        <w:rPr>
          <w:rFonts w:ascii="Times New Roman" w:eastAsia="Times New Roman" w:hAnsi="Times New Roman" w:cs="Times New Roman"/>
          <w:kern w:val="0"/>
          <w:sz w:val="24"/>
          <w:szCs w:val="24"/>
          <w:lang w:eastAsia="en-GB"/>
          <w14:ligatures w14:val="none"/>
        </w:rPr>
      </w:pPr>
      <w:r w:rsidRPr="00E47D59">
        <w:rPr>
          <w:rFonts w:ascii="Arial" w:hAnsi="Arial" w:cs="Arial"/>
          <w:lang w:eastAsia="en-GB"/>
        </w:rPr>
        <w:t>This theme looks at how the COVID-19 lockdowns in UK care homes made this decline worse</w:t>
      </w:r>
      <w:r w:rsidR="006B45D6">
        <w:rPr>
          <w:rFonts w:ascii="Arial" w:hAnsi="Arial" w:cs="Arial"/>
          <w:lang w:eastAsia="en-GB"/>
        </w:rPr>
        <w:t xml:space="preserve"> </w:t>
      </w:r>
      <w:r w:rsidR="00B95B87" w:rsidRPr="00B95B87">
        <w:rPr>
          <w:rFonts w:ascii="Arial" w:eastAsia="Times New Roman" w:hAnsi="Arial" w:cs="Arial"/>
          <w:kern w:val="0"/>
          <w:lang w:eastAsia="en-GB"/>
          <w14:ligatures w14:val="none"/>
        </w:rPr>
        <w:t xml:space="preserve">(Pérez-Rodríguez </w:t>
      </w:r>
      <w:r w:rsidR="00B95B87" w:rsidRPr="00B95B87">
        <w:rPr>
          <w:rFonts w:ascii="Arial" w:eastAsia="Times New Roman" w:hAnsi="Arial" w:cs="Arial"/>
          <w:i/>
          <w:iCs/>
          <w:kern w:val="0"/>
          <w:lang w:eastAsia="en-GB"/>
          <w14:ligatures w14:val="none"/>
        </w:rPr>
        <w:t>et al.</w:t>
      </w:r>
      <w:r w:rsidR="00B95B87" w:rsidRPr="00B95B87">
        <w:rPr>
          <w:rFonts w:ascii="Arial" w:eastAsia="Times New Roman" w:hAnsi="Arial" w:cs="Arial"/>
          <w:kern w:val="0"/>
          <w:lang w:eastAsia="en-GB"/>
          <w14:ligatures w14:val="none"/>
        </w:rPr>
        <w:t>, 2021)</w:t>
      </w:r>
      <w:r w:rsidRPr="00E47D59">
        <w:rPr>
          <w:rFonts w:ascii="Arial" w:hAnsi="Arial" w:cs="Arial"/>
          <w:lang w:eastAsia="en-GB"/>
        </w:rPr>
        <w:t>. Social and physical activities were stopped</w:t>
      </w:r>
      <w:r w:rsidR="00D46B15">
        <w:rPr>
          <w:rFonts w:ascii="Arial" w:hAnsi="Arial" w:cs="Arial"/>
          <w:lang w:eastAsia="en-GB"/>
        </w:rPr>
        <w:t>,</w:t>
      </w:r>
      <w:r w:rsidR="00397A61">
        <w:rPr>
          <w:rFonts w:ascii="Arial" w:hAnsi="Arial" w:cs="Arial"/>
          <w:lang w:eastAsia="en-GB"/>
        </w:rPr>
        <w:t xml:space="preserve"> and r</w:t>
      </w:r>
      <w:r w:rsidRPr="00E47D59">
        <w:rPr>
          <w:rFonts w:ascii="Arial" w:hAnsi="Arial" w:cs="Arial"/>
          <w:lang w:eastAsia="en-GB"/>
        </w:rPr>
        <w:t>esidents could no longer attend group sessions, eat together, or take part in therapy</w:t>
      </w:r>
      <w:r w:rsidR="00397A61">
        <w:rPr>
          <w:rFonts w:ascii="Arial" w:hAnsi="Arial" w:cs="Arial"/>
          <w:lang w:eastAsia="en-GB"/>
        </w:rPr>
        <w:t xml:space="preserve"> </w:t>
      </w:r>
      <w:r w:rsidR="00397A61" w:rsidRPr="00397A61">
        <w:rPr>
          <w:rFonts w:ascii="Arial" w:eastAsia="Times New Roman" w:hAnsi="Arial" w:cs="Arial"/>
          <w:kern w:val="0"/>
          <w:lang w:eastAsia="en-GB"/>
          <w14:ligatures w14:val="none"/>
        </w:rPr>
        <w:t xml:space="preserve">(Ammar </w:t>
      </w:r>
      <w:r w:rsidR="00397A61" w:rsidRPr="00397A61">
        <w:rPr>
          <w:rFonts w:ascii="Arial" w:eastAsia="Times New Roman" w:hAnsi="Arial" w:cs="Arial"/>
          <w:i/>
          <w:iCs/>
          <w:kern w:val="0"/>
          <w:lang w:eastAsia="en-GB"/>
          <w14:ligatures w14:val="none"/>
        </w:rPr>
        <w:t>et al.</w:t>
      </w:r>
      <w:r w:rsidR="00397A61" w:rsidRPr="00397A61">
        <w:rPr>
          <w:rFonts w:ascii="Arial" w:eastAsia="Times New Roman" w:hAnsi="Arial" w:cs="Arial"/>
          <w:kern w:val="0"/>
          <w:lang w:eastAsia="en-GB"/>
          <w14:ligatures w14:val="none"/>
        </w:rPr>
        <w:t>, 2020)</w:t>
      </w:r>
      <w:r w:rsidRPr="00E47D59">
        <w:rPr>
          <w:rFonts w:ascii="Arial" w:hAnsi="Arial" w:cs="Arial"/>
          <w:lang w:eastAsia="en-GB"/>
        </w:rPr>
        <w:t>. Without this support, their condition often worsened</w:t>
      </w:r>
      <w:r w:rsidR="00A76CF3">
        <w:rPr>
          <w:rFonts w:ascii="Arial" w:hAnsi="Arial" w:cs="Arial"/>
          <w:lang w:eastAsia="en-GB"/>
        </w:rPr>
        <w:t xml:space="preserve"> </w:t>
      </w:r>
      <w:r w:rsidR="00A76CF3" w:rsidRPr="00A76CF3">
        <w:rPr>
          <w:rFonts w:ascii="Arial" w:eastAsia="Times New Roman" w:hAnsi="Arial" w:cs="Arial"/>
          <w:kern w:val="0"/>
          <w:lang w:eastAsia="en-GB"/>
          <w14:ligatures w14:val="none"/>
        </w:rPr>
        <w:t xml:space="preserve">(Pérez-Rodríguez </w:t>
      </w:r>
      <w:r w:rsidR="00A76CF3" w:rsidRPr="00A76CF3">
        <w:rPr>
          <w:rFonts w:ascii="Arial" w:eastAsia="Times New Roman" w:hAnsi="Arial" w:cs="Arial"/>
          <w:i/>
          <w:iCs/>
          <w:kern w:val="0"/>
          <w:lang w:eastAsia="en-GB"/>
          <w14:ligatures w14:val="none"/>
        </w:rPr>
        <w:t>et al.</w:t>
      </w:r>
      <w:r w:rsidR="00A76CF3" w:rsidRPr="00A76CF3">
        <w:rPr>
          <w:rFonts w:ascii="Arial" w:eastAsia="Times New Roman" w:hAnsi="Arial" w:cs="Arial"/>
          <w:kern w:val="0"/>
          <w:lang w:eastAsia="en-GB"/>
          <w14:ligatures w14:val="none"/>
        </w:rPr>
        <w:t>, 2021)</w:t>
      </w:r>
      <w:r w:rsidRPr="00E47D59">
        <w:rPr>
          <w:rFonts w:ascii="Arial" w:hAnsi="Arial" w:cs="Arial"/>
          <w:lang w:eastAsia="en-GB"/>
        </w:rPr>
        <w:t>.</w:t>
      </w:r>
    </w:p>
    <w:p w14:paraId="3E9C3704" w14:textId="48224BC4" w:rsidR="002E164D" w:rsidRPr="00C2195C" w:rsidRDefault="002E164D" w:rsidP="00C2195C">
      <w:pPr>
        <w:rPr>
          <w:rFonts w:ascii="Times New Roman" w:eastAsia="Times New Roman" w:hAnsi="Times New Roman" w:cs="Times New Roman"/>
          <w:kern w:val="0"/>
          <w:sz w:val="24"/>
          <w:szCs w:val="24"/>
          <w:lang w:eastAsia="en-GB"/>
          <w14:ligatures w14:val="none"/>
        </w:rPr>
      </w:pPr>
      <w:r w:rsidRPr="00E47D59">
        <w:rPr>
          <w:rFonts w:ascii="Arial" w:hAnsi="Arial" w:cs="Arial"/>
          <w:lang w:eastAsia="en-GB"/>
        </w:rPr>
        <w:t>While Theme 1 focused on emotional wellbeing, this section focuses on mental ability and day-to-day independence. It shows how lockdowns, though aimed at keeping people safe, had serious side effects</w:t>
      </w:r>
      <w:r w:rsidR="00C2195C">
        <w:rPr>
          <w:rFonts w:ascii="Arial" w:hAnsi="Arial" w:cs="Arial"/>
          <w:lang w:eastAsia="en-GB"/>
        </w:rPr>
        <w:t xml:space="preserve"> </w:t>
      </w:r>
      <w:r w:rsidR="00C2195C" w:rsidRPr="00C2195C">
        <w:rPr>
          <w:rFonts w:ascii="Arial" w:eastAsia="Times New Roman" w:hAnsi="Arial" w:cs="Arial"/>
          <w:kern w:val="0"/>
          <w:lang w:eastAsia="en-GB"/>
          <w14:ligatures w14:val="none"/>
        </w:rPr>
        <w:t xml:space="preserve">(Vickery </w:t>
      </w:r>
      <w:r w:rsidR="00C2195C" w:rsidRPr="00C2195C">
        <w:rPr>
          <w:rFonts w:ascii="Arial" w:eastAsia="Times New Roman" w:hAnsi="Arial" w:cs="Arial"/>
          <w:i/>
          <w:iCs/>
          <w:kern w:val="0"/>
          <w:lang w:eastAsia="en-GB"/>
          <w14:ligatures w14:val="none"/>
        </w:rPr>
        <w:t>et al.</w:t>
      </w:r>
      <w:r w:rsidR="00C2195C" w:rsidRPr="00C2195C">
        <w:rPr>
          <w:rFonts w:ascii="Arial" w:eastAsia="Times New Roman" w:hAnsi="Arial" w:cs="Arial"/>
          <w:kern w:val="0"/>
          <w:lang w:eastAsia="en-GB"/>
          <w14:ligatures w14:val="none"/>
        </w:rPr>
        <w:t>, 2023)</w:t>
      </w:r>
      <w:r w:rsidRPr="00E47D59">
        <w:rPr>
          <w:rFonts w:ascii="Arial" w:hAnsi="Arial" w:cs="Arial"/>
          <w:lang w:eastAsia="en-GB"/>
        </w:rPr>
        <w:t>. The goal is to help shape better care policies that protect both health and independence in future crises.</w:t>
      </w:r>
    </w:p>
    <w:p w14:paraId="725027D6" w14:textId="77777777" w:rsidR="002E164D" w:rsidRPr="002E164D" w:rsidRDefault="002E164D" w:rsidP="002E164D"/>
    <w:p w14:paraId="27A8A87C" w14:textId="084AF111" w:rsidR="00F43859" w:rsidRDefault="002865F5" w:rsidP="002865F5">
      <w:pPr>
        <w:pStyle w:val="Heading4"/>
        <w:rPr>
          <w:rFonts w:ascii="Aptos" w:hAnsi="Aptos"/>
        </w:rPr>
      </w:pPr>
      <w:r w:rsidRPr="007063BA">
        <w:rPr>
          <w:rFonts w:ascii="Aptos" w:hAnsi="Aptos"/>
        </w:rPr>
        <w:t>Background Information</w:t>
      </w:r>
    </w:p>
    <w:p w14:paraId="75A703B7" w14:textId="512A4D68" w:rsidR="00F43859" w:rsidRPr="00D31E0E" w:rsidRDefault="00F43859" w:rsidP="00574392">
      <w:pPr>
        <w:rPr>
          <w:rFonts w:ascii="Times New Roman" w:eastAsia="Times New Roman" w:hAnsi="Times New Roman" w:cs="Times New Roman"/>
          <w:kern w:val="0"/>
          <w:sz w:val="24"/>
          <w:szCs w:val="24"/>
          <w:lang w:eastAsia="en-GB"/>
          <w14:ligatures w14:val="none"/>
        </w:rPr>
      </w:pPr>
      <w:r w:rsidRPr="00F43859">
        <w:rPr>
          <w:rFonts w:ascii="Arial" w:hAnsi="Arial" w:cs="Arial"/>
        </w:rPr>
        <w:t>Before the COVID-19 pandemic, cognitive and functional decline in care home residents was typically associated with age and dementia</w:t>
      </w:r>
      <w:r w:rsidR="00D31E0E">
        <w:rPr>
          <w:rFonts w:ascii="Arial" w:hAnsi="Arial" w:cs="Arial"/>
        </w:rPr>
        <w:t xml:space="preserve"> </w:t>
      </w:r>
      <w:r w:rsidR="00D31E0E" w:rsidRPr="00D31E0E">
        <w:rPr>
          <w:rFonts w:ascii="Arial" w:eastAsia="Times New Roman" w:hAnsi="Arial" w:cs="Arial"/>
          <w:kern w:val="0"/>
          <w:lang w:eastAsia="en-GB"/>
          <w14:ligatures w14:val="none"/>
        </w:rPr>
        <w:t>(Ray and Davidson, 2014</w:t>
      </w:r>
      <w:r w:rsidR="00574392">
        <w:rPr>
          <w:rFonts w:ascii="Arial" w:eastAsia="Times New Roman" w:hAnsi="Arial" w:cs="Arial"/>
          <w:kern w:val="0"/>
          <w:lang w:eastAsia="en-GB"/>
          <w14:ligatures w14:val="none"/>
        </w:rPr>
        <w:t>; National Institute on Ageing</w:t>
      </w:r>
      <w:r w:rsidR="00574392" w:rsidRPr="00574392">
        <w:rPr>
          <w:rFonts w:ascii="Arial" w:eastAsia="Times New Roman" w:hAnsi="Arial" w:cs="Arial"/>
          <w:kern w:val="0"/>
          <w:lang w:eastAsia="en-GB"/>
          <w14:ligatures w14:val="none"/>
        </w:rPr>
        <w:t>, 2019</w:t>
      </w:r>
      <w:r w:rsidR="00D31E0E" w:rsidRPr="00D31E0E">
        <w:rPr>
          <w:rFonts w:ascii="Arial" w:eastAsia="Times New Roman" w:hAnsi="Arial" w:cs="Arial"/>
          <w:kern w:val="0"/>
          <w:lang w:eastAsia="en-GB"/>
          <w14:ligatures w14:val="none"/>
        </w:rPr>
        <w:t>)</w:t>
      </w:r>
      <w:r w:rsidRPr="00F43859">
        <w:rPr>
          <w:rFonts w:ascii="Arial" w:hAnsi="Arial" w:cs="Arial"/>
        </w:rPr>
        <w:t>. According to the British Geriatrics Society (2016), 75-80% of people living in care homes suffer from cognitive impairments, functional dependency, and multiple long-term conditions.</w:t>
      </w:r>
    </w:p>
    <w:p w14:paraId="23466A6F" w14:textId="36A714CE" w:rsidR="00F43859" w:rsidRPr="00772CE4" w:rsidRDefault="00F43859" w:rsidP="00751A7B">
      <w:pPr>
        <w:rPr>
          <w:rFonts w:ascii="Times New Roman" w:eastAsia="Times New Roman" w:hAnsi="Times New Roman" w:cs="Times New Roman"/>
          <w:kern w:val="0"/>
          <w:sz w:val="24"/>
          <w:szCs w:val="24"/>
          <w:lang w:eastAsia="en-GB"/>
          <w14:ligatures w14:val="none"/>
        </w:rPr>
      </w:pPr>
      <w:r w:rsidRPr="00F43859">
        <w:rPr>
          <w:rStyle w:val="issue-underline"/>
          <w:rFonts w:ascii="Arial" w:hAnsi="Arial" w:cs="Arial"/>
        </w:rPr>
        <w:t>However, lockdown measures during the</w:t>
      </w:r>
      <w:r w:rsidRPr="00F43859">
        <w:rPr>
          <w:rFonts w:ascii="Arial" w:hAnsi="Arial" w:cs="Arial"/>
        </w:rPr>
        <w:t xml:space="preserve"> COVID-19 pandemic introduced a sudden loss of routine, social interaction, and structured activity, all essential for maintaining mental alertness and independence</w:t>
      </w:r>
      <w:r w:rsidR="00772CE4">
        <w:rPr>
          <w:rFonts w:ascii="Arial" w:hAnsi="Arial" w:cs="Arial"/>
        </w:rPr>
        <w:t xml:space="preserve"> </w:t>
      </w:r>
      <w:r w:rsidR="00772CE4" w:rsidRPr="00772CE4">
        <w:rPr>
          <w:rFonts w:ascii="Arial" w:eastAsia="Times New Roman" w:hAnsi="Arial" w:cs="Arial"/>
          <w:kern w:val="0"/>
          <w:lang w:eastAsia="en-GB"/>
          <w14:ligatures w14:val="none"/>
        </w:rPr>
        <w:t>(Hsu and Walters, 2024</w:t>
      </w:r>
      <w:r w:rsidR="00751A7B">
        <w:rPr>
          <w:rFonts w:ascii="Arial" w:eastAsia="Times New Roman" w:hAnsi="Arial" w:cs="Arial"/>
          <w:kern w:val="0"/>
          <w:lang w:eastAsia="en-GB"/>
          <w14:ligatures w14:val="none"/>
        </w:rPr>
        <w:t xml:space="preserve">; </w:t>
      </w:r>
      <w:r w:rsidR="00751A7B" w:rsidRPr="00751A7B">
        <w:rPr>
          <w:rFonts w:ascii="Arial" w:eastAsia="Times New Roman" w:hAnsi="Arial" w:cs="Arial"/>
          <w:kern w:val="0"/>
          <w:lang w:eastAsia="en-GB"/>
          <w14:ligatures w14:val="none"/>
        </w:rPr>
        <w:t>McKinlay, Fancourt and Burton, 2021</w:t>
      </w:r>
      <w:r w:rsidR="00772CE4" w:rsidRPr="00772CE4">
        <w:rPr>
          <w:rFonts w:ascii="Arial" w:eastAsia="Times New Roman" w:hAnsi="Arial" w:cs="Arial"/>
          <w:kern w:val="0"/>
          <w:lang w:eastAsia="en-GB"/>
          <w14:ligatures w14:val="none"/>
        </w:rPr>
        <w:t>)</w:t>
      </w:r>
      <w:r w:rsidRPr="00F43859">
        <w:rPr>
          <w:rFonts w:ascii="Arial" w:hAnsi="Arial" w:cs="Arial"/>
        </w:rPr>
        <w:t xml:space="preserve">. Residents were confined to their rooms, communal areas were </w:t>
      </w:r>
      <w:r w:rsidRPr="00F43859">
        <w:rPr>
          <w:rStyle w:val="issue-underline"/>
          <w:rFonts w:ascii="Arial" w:hAnsi="Arial" w:cs="Arial"/>
        </w:rPr>
        <w:t>shut,</w:t>
      </w:r>
      <w:r w:rsidRPr="00F43859">
        <w:rPr>
          <w:rFonts w:ascii="Arial" w:hAnsi="Arial" w:cs="Arial"/>
        </w:rPr>
        <w:t xml:space="preserve"> and visits were suspended, severely limiting cognitive stimulation and physical movement (Martín-Erice </w:t>
      </w:r>
      <w:r w:rsidRPr="008B2980">
        <w:rPr>
          <w:rFonts w:ascii="Arial" w:hAnsi="Arial" w:cs="Arial"/>
          <w:i/>
          <w:iCs/>
        </w:rPr>
        <w:t>et al</w:t>
      </w:r>
      <w:r w:rsidRPr="00F43859">
        <w:rPr>
          <w:rFonts w:ascii="Arial" w:hAnsi="Arial" w:cs="Arial"/>
        </w:rPr>
        <w:t xml:space="preserve">., 2024). These conditions accelerated deconditioning and functional loss, particularly in those with existing vulnerabilities (Arora </w:t>
      </w:r>
      <w:r w:rsidRPr="00F43859">
        <w:rPr>
          <w:rStyle w:val="Emphasis"/>
          <w:rFonts w:ascii="Arial" w:hAnsi="Arial" w:cs="Arial"/>
        </w:rPr>
        <w:t>et al.</w:t>
      </w:r>
      <w:r w:rsidRPr="00F43859">
        <w:rPr>
          <w:rFonts w:ascii="Arial" w:hAnsi="Arial" w:cs="Arial"/>
        </w:rPr>
        <w:t>, 2023).</w:t>
      </w:r>
    </w:p>
    <w:p w14:paraId="5F6DEDFA" w14:textId="4D32A1F9" w:rsidR="00F43859" w:rsidRPr="005D44C8" w:rsidRDefault="00F43859" w:rsidP="005D3195">
      <w:pPr>
        <w:rPr>
          <w:rFonts w:ascii="Times New Roman" w:eastAsia="Times New Roman" w:hAnsi="Times New Roman" w:cs="Times New Roman"/>
          <w:kern w:val="0"/>
          <w:sz w:val="24"/>
          <w:szCs w:val="24"/>
          <w:lang w:eastAsia="en-GB"/>
          <w14:ligatures w14:val="none"/>
        </w:rPr>
      </w:pPr>
      <w:r w:rsidRPr="00F43859">
        <w:rPr>
          <w:rFonts w:ascii="Arial" w:hAnsi="Arial" w:cs="Arial"/>
        </w:rPr>
        <w:t xml:space="preserve">Staff shortages and a shift toward infection control </w:t>
      </w:r>
      <w:r w:rsidRPr="00F43859">
        <w:rPr>
          <w:rStyle w:val="issue-underline"/>
          <w:rFonts w:ascii="Arial" w:hAnsi="Arial" w:cs="Arial"/>
        </w:rPr>
        <w:t>meant</w:t>
      </w:r>
      <w:r w:rsidRPr="00F43859">
        <w:rPr>
          <w:rFonts w:ascii="Arial" w:hAnsi="Arial" w:cs="Arial"/>
        </w:rPr>
        <w:t xml:space="preserve"> less time for therapeutic engagement, contradicting policy intentions </w:t>
      </w:r>
      <w:r w:rsidRPr="00F43859">
        <w:rPr>
          <w:rStyle w:val="issue-underline"/>
          <w:rFonts w:ascii="Arial" w:hAnsi="Arial" w:cs="Arial"/>
        </w:rPr>
        <w:t>set by</w:t>
      </w:r>
      <w:r w:rsidRPr="00F43859">
        <w:rPr>
          <w:rFonts w:ascii="Arial" w:hAnsi="Arial" w:cs="Arial"/>
        </w:rPr>
        <w:t xml:space="preserve"> the Care Act 2014</w:t>
      </w:r>
      <w:r w:rsidR="005D44C8">
        <w:rPr>
          <w:rFonts w:ascii="Arial" w:hAnsi="Arial" w:cs="Arial"/>
        </w:rPr>
        <w:t xml:space="preserve"> </w:t>
      </w:r>
      <w:r w:rsidR="005D44C8" w:rsidRPr="005D44C8">
        <w:rPr>
          <w:rFonts w:ascii="Arial" w:eastAsia="Times New Roman" w:hAnsi="Arial" w:cs="Arial"/>
          <w:kern w:val="0"/>
          <w:lang w:eastAsia="en-GB"/>
          <w14:ligatures w14:val="none"/>
        </w:rPr>
        <w:t xml:space="preserve">(Bunn </w:t>
      </w:r>
      <w:r w:rsidR="005D44C8" w:rsidRPr="005D44C8">
        <w:rPr>
          <w:rFonts w:ascii="Arial" w:eastAsia="Times New Roman" w:hAnsi="Arial" w:cs="Arial"/>
          <w:i/>
          <w:iCs/>
          <w:kern w:val="0"/>
          <w:lang w:eastAsia="en-GB"/>
          <w14:ligatures w14:val="none"/>
        </w:rPr>
        <w:t>et al.</w:t>
      </w:r>
      <w:r w:rsidR="005D44C8" w:rsidRPr="005D44C8">
        <w:rPr>
          <w:rFonts w:ascii="Arial" w:eastAsia="Times New Roman" w:hAnsi="Arial" w:cs="Arial"/>
          <w:kern w:val="0"/>
          <w:lang w:eastAsia="en-GB"/>
          <w14:ligatures w14:val="none"/>
        </w:rPr>
        <w:t>, 2021)</w:t>
      </w:r>
      <w:r w:rsidRPr="00F43859">
        <w:rPr>
          <w:rFonts w:ascii="Arial" w:hAnsi="Arial" w:cs="Arial"/>
        </w:rPr>
        <w:t xml:space="preserve">. Vickery </w:t>
      </w:r>
      <w:r w:rsidRPr="008725BC">
        <w:rPr>
          <w:rFonts w:ascii="Arial" w:hAnsi="Arial" w:cs="Arial"/>
          <w:i/>
          <w:iCs/>
        </w:rPr>
        <w:t>et al.</w:t>
      </w:r>
      <w:r w:rsidRPr="00F43859">
        <w:rPr>
          <w:rFonts w:ascii="Arial" w:hAnsi="Arial" w:cs="Arial"/>
        </w:rPr>
        <w:t xml:space="preserve"> (2023) reported increased dependency and reduced autonomy, outcomes rooted in preventable factors. This context is critical because it reveals how crisis responses </w:t>
      </w:r>
      <w:r w:rsidRPr="00F43859">
        <w:rPr>
          <w:rStyle w:val="issue-underline"/>
          <w:rFonts w:ascii="Arial" w:hAnsi="Arial" w:cs="Arial"/>
        </w:rPr>
        <w:t>overlooked</w:t>
      </w:r>
      <w:r w:rsidRPr="00F43859">
        <w:rPr>
          <w:rFonts w:ascii="Arial" w:hAnsi="Arial" w:cs="Arial"/>
        </w:rPr>
        <w:t xml:space="preserve"> mental and functional wellbeing</w:t>
      </w:r>
      <w:r w:rsidR="005D3195">
        <w:rPr>
          <w:rFonts w:ascii="Arial" w:hAnsi="Arial" w:cs="Arial"/>
        </w:rPr>
        <w:t xml:space="preserve"> </w:t>
      </w:r>
      <w:r w:rsidR="005D3195" w:rsidRPr="005D3195">
        <w:rPr>
          <w:rFonts w:ascii="Arial" w:eastAsia="Times New Roman" w:hAnsi="Arial" w:cs="Arial"/>
          <w:kern w:val="0"/>
          <w:lang w:eastAsia="en-GB"/>
          <w14:ligatures w14:val="none"/>
        </w:rPr>
        <w:t>(Alzheimers Society, 2020)</w:t>
      </w:r>
      <w:r w:rsidRPr="00F43859">
        <w:rPr>
          <w:rFonts w:ascii="Arial" w:hAnsi="Arial" w:cs="Arial"/>
        </w:rPr>
        <w:t xml:space="preserve">. The theme highlights </w:t>
      </w:r>
      <w:r w:rsidRPr="00F43859">
        <w:rPr>
          <w:rStyle w:val="issue-underline"/>
          <w:rFonts w:ascii="Arial" w:hAnsi="Arial" w:cs="Arial"/>
        </w:rPr>
        <w:t>a</w:t>
      </w:r>
      <w:r w:rsidRPr="00F43859">
        <w:rPr>
          <w:rFonts w:ascii="Arial" w:hAnsi="Arial" w:cs="Arial"/>
        </w:rPr>
        <w:t xml:space="preserve"> need to rebalance emergency care approaches to safeguard holistic health in care homes.</w:t>
      </w:r>
    </w:p>
    <w:p w14:paraId="59C0D969" w14:textId="77777777" w:rsidR="00F43859" w:rsidRDefault="00F43859" w:rsidP="00F43859"/>
    <w:p w14:paraId="1800EAD5" w14:textId="2CF3FFCA" w:rsidR="002865F5" w:rsidRPr="007063BA" w:rsidRDefault="002865F5" w:rsidP="002865F5">
      <w:pPr>
        <w:pStyle w:val="Heading4"/>
        <w:rPr>
          <w:rFonts w:ascii="Aptos" w:hAnsi="Aptos"/>
        </w:rPr>
      </w:pPr>
      <w:r w:rsidRPr="007063BA">
        <w:rPr>
          <w:rFonts w:ascii="Aptos" w:hAnsi="Aptos"/>
        </w:rPr>
        <w:lastRenderedPageBreak/>
        <w:t>Impact on Research Question</w:t>
      </w:r>
    </w:p>
    <w:p w14:paraId="58C28F40" w14:textId="5595FD0D" w:rsidR="00B252D8" w:rsidRPr="00E51F02" w:rsidRDefault="00B252D8" w:rsidP="005C67E9">
      <w:pPr>
        <w:rPr>
          <w:rFonts w:ascii="Times New Roman" w:eastAsia="Times New Roman" w:hAnsi="Times New Roman" w:cs="Times New Roman"/>
          <w:kern w:val="0"/>
          <w:sz w:val="24"/>
          <w:szCs w:val="24"/>
          <w:lang w:eastAsia="en-GB"/>
          <w14:ligatures w14:val="none"/>
        </w:rPr>
      </w:pPr>
      <w:r w:rsidRPr="00B252D8">
        <w:rPr>
          <w:rFonts w:ascii="Arial" w:hAnsi="Arial" w:cs="Arial"/>
        </w:rPr>
        <w:t xml:space="preserve">This theme is directly relevant to the research </w:t>
      </w:r>
      <w:r w:rsidRPr="00B252D8">
        <w:rPr>
          <w:rStyle w:val="issue-underline"/>
          <w:rFonts w:ascii="Arial" w:hAnsi="Arial" w:cs="Arial"/>
        </w:rPr>
        <w:t>question</w:t>
      </w:r>
      <w:r w:rsidRPr="00B252D8">
        <w:rPr>
          <w:rFonts w:ascii="Arial" w:hAnsi="Arial" w:cs="Arial"/>
        </w:rPr>
        <w:t xml:space="preserve"> because it shows how social isolation </w:t>
      </w:r>
      <w:r w:rsidRPr="00B252D8">
        <w:rPr>
          <w:rStyle w:val="issue-underline"/>
          <w:rFonts w:ascii="Arial" w:hAnsi="Arial" w:cs="Arial"/>
        </w:rPr>
        <w:t>during the COVID-19</w:t>
      </w:r>
      <w:r w:rsidRPr="00B252D8">
        <w:rPr>
          <w:rFonts w:ascii="Arial" w:hAnsi="Arial" w:cs="Arial"/>
        </w:rPr>
        <w:t xml:space="preserve"> </w:t>
      </w:r>
      <w:r w:rsidRPr="00B252D8">
        <w:rPr>
          <w:rStyle w:val="issue-underline"/>
          <w:rFonts w:ascii="Arial" w:hAnsi="Arial" w:cs="Arial"/>
        </w:rPr>
        <w:t>lockdowns</w:t>
      </w:r>
      <w:r w:rsidRPr="00B252D8">
        <w:rPr>
          <w:rFonts w:ascii="Arial" w:hAnsi="Arial" w:cs="Arial"/>
        </w:rPr>
        <w:t xml:space="preserve"> caused real declines in thinking skills and physical independence among elderly care home residents</w:t>
      </w:r>
      <w:r w:rsidR="00EE10FB">
        <w:rPr>
          <w:rFonts w:ascii="Arial" w:hAnsi="Arial" w:cs="Arial"/>
        </w:rPr>
        <w:t xml:space="preserve"> </w:t>
      </w:r>
      <w:r w:rsidR="00EE10FB" w:rsidRPr="00EE10FB">
        <w:rPr>
          <w:rFonts w:ascii="Arial" w:eastAsia="Times New Roman" w:hAnsi="Arial" w:cs="Arial"/>
          <w:kern w:val="0"/>
          <w:lang w:eastAsia="en-GB"/>
          <w14:ligatures w14:val="none"/>
        </w:rPr>
        <w:t xml:space="preserve">(Chapman </w:t>
      </w:r>
      <w:r w:rsidR="00EE10FB" w:rsidRPr="00EE10FB">
        <w:rPr>
          <w:rFonts w:ascii="Arial" w:eastAsia="Times New Roman" w:hAnsi="Arial" w:cs="Arial"/>
          <w:i/>
          <w:iCs/>
          <w:kern w:val="0"/>
          <w:lang w:eastAsia="en-GB"/>
          <w14:ligatures w14:val="none"/>
        </w:rPr>
        <w:t>et al.</w:t>
      </w:r>
      <w:r w:rsidR="00EE10FB" w:rsidRPr="00EE10FB">
        <w:rPr>
          <w:rFonts w:ascii="Arial" w:eastAsia="Times New Roman" w:hAnsi="Arial" w:cs="Arial"/>
          <w:kern w:val="0"/>
          <w:lang w:eastAsia="en-GB"/>
          <w14:ligatures w14:val="none"/>
        </w:rPr>
        <w:t>, 2024</w:t>
      </w:r>
      <w:r w:rsidR="009F6917">
        <w:rPr>
          <w:rFonts w:ascii="Arial" w:eastAsia="Times New Roman" w:hAnsi="Arial" w:cs="Arial"/>
          <w:kern w:val="0"/>
          <w:lang w:eastAsia="en-GB"/>
          <w14:ligatures w14:val="none"/>
        </w:rPr>
        <w:t xml:space="preserve">; </w:t>
      </w:r>
      <w:r w:rsidR="009F6917" w:rsidRPr="009F6917">
        <w:rPr>
          <w:rFonts w:ascii="Arial" w:eastAsia="Times New Roman" w:hAnsi="Arial" w:cs="Arial"/>
          <w:kern w:val="0"/>
          <w:lang w:eastAsia="en-GB"/>
          <w14:ligatures w14:val="none"/>
        </w:rPr>
        <w:t xml:space="preserve">Hwang </w:t>
      </w:r>
      <w:r w:rsidR="009F6917" w:rsidRPr="009F6917">
        <w:rPr>
          <w:rFonts w:ascii="Arial" w:eastAsia="Times New Roman" w:hAnsi="Arial" w:cs="Arial"/>
          <w:i/>
          <w:iCs/>
          <w:kern w:val="0"/>
          <w:lang w:eastAsia="en-GB"/>
          <w14:ligatures w14:val="none"/>
        </w:rPr>
        <w:t>et al.</w:t>
      </w:r>
      <w:r w:rsidR="009F6917" w:rsidRPr="009F6917">
        <w:rPr>
          <w:rFonts w:ascii="Arial" w:eastAsia="Times New Roman" w:hAnsi="Arial" w:cs="Arial"/>
          <w:kern w:val="0"/>
          <w:lang w:eastAsia="en-GB"/>
          <w14:ligatures w14:val="none"/>
        </w:rPr>
        <w:t>, 2020</w:t>
      </w:r>
      <w:r w:rsidR="00EE10FB" w:rsidRPr="00EE10FB">
        <w:rPr>
          <w:rFonts w:ascii="Arial" w:eastAsia="Times New Roman" w:hAnsi="Arial" w:cs="Arial"/>
          <w:kern w:val="0"/>
          <w:lang w:eastAsia="en-GB"/>
          <w14:ligatures w14:val="none"/>
        </w:rPr>
        <w:t>)</w:t>
      </w:r>
      <w:r w:rsidRPr="00B252D8">
        <w:rPr>
          <w:rFonts w:ascii="Arial" w:hAnsi="Arial" w:cs="Arial"/>
        </w:rPr>
        <w:t xml:space="preserve">. These changes go beyond medical symptoms and contribute to </w:t>
      </w:r>
      <w:r w:rsidRPr="00B252D8">
        <w:rPr>
          <w:rStyle w:val="issue-underline"/>
          <w:rFonts w:ascii="Arial" w:hAnsi="Arial" w:cs="Arial"/>
        </w:rPr>
        <w:t>greater</w:t>
      </w:r>
      <w:r w:rsidRPr="00B252D8">
        <w:rPr>
          <w:rFonts w:ascii="Arial" w:hAnsi="Arial" w:cs="Arial"/>
        </w:rPr>
        <w:t xml:space="preserve"> feelings of helplessness, disconnection, and worsening mental health</w:t>
      </w:r>
      <w:r w:rsidR="00767D93">
        <w:rPr>
          <w:rFonts w:ascii="Arial" w:hAnsi="Arial" w:cs="Arial"/>
        </w:rPr>
        <w:t xml:space="preserve"> </w:t>
      </w:r>
      <w:r w:rsidR="00767D93" w:rsidRPr="00767D93">
        <w:rPr>
          <w:rFonts w:ascii="Arial" w:eastAsia="Times New Roman" w:hAnsi="Arial" w:cs="Arial"/>
          <w:kern w:val="0"/>
          <w:lang w:eastAsia="en-GB"/>
          <w14:ligatures w14:val="none"/>
        </w:rPr>
        <w:t>(Akinlotan and Jalo, 2024)</w:t>
      </w:r>
      <w:r w:rsidRPr="00B252D8">
        <w:rPr>
          <w:rFonts w:ascii="Arial" w:hAnsi="Arial" w:cs="Arial"/>
        </w:rPr>
        <w:t xml:space="preserve">. </w:t>
      </w:r>
      <w:r w:rsidRPr="00B252D8">
        <w:rPr>
          <w:rStyle w:val="issue-underline"/>
          <w:rFonts w:ascii="Arial" w:hAnsi="Arial" w:cs="Arial"/>
        </w:rPr>
        <w:t>The loss</w:t>
      </w:r>
      <w:r w:rsidRPr="00B252D8">
        <w:rPr>
          <w:rFonts w:ascii="Arial" w:hAnsi="Arial" w:cs="Arial"/>
        </w:rPr>
        <w:t xml:space="preserve"> of routine, reduced stimulation, and growing dependency all </w:t>
      </w:r>
      <w:r w:rsidRPr="00B252D8">
        <w:rPr>
          <w:rStyle w:val="issue-underline"/>
          <w:rFonts w:ascii="Arial" w:hAnsi="Arial" w:cs="Arial"/>
        </w:rPr>
        <w:t>played</w:t>
      </w:r>
      <w:r w:rsidRPr="00B252D8">
        <w:rPr>
          <w:rFonts w:ascii="Arial" w:hAnsi="Arial" w:cs="Arial"/>
        </w:rPr>
        <w:t xml:space="preserve"> a role in making residents feel more isolated and emotionally distressed</w:t>
      </w:r>
      <w:r w:rsidR="005C67E9">
        <w:rPr>
          <w:rFonts w:ascii="Arial" w:hAnsi="Arial" w:cs="Arial"/>
        </w:rPr>
        <w:t xml:space="preserve"> </w:t>
      </w:r>
      <w:r w:rsidR="005C67E9" w:rsidRPr="005C67E9">
        <w:rPr>
          <w:rFonts w:ascii="Arial" w:eastAsia="Times New Roman" w:hAnsi="Arial" w:cs="Arial"/>
          <w:kern w:val="0"/>
          <w:lang w:eastAsia="en-GB"/>
          <w14:ligatures w14:val="none"/>
        </w:rPr>
        <w:t>(NIHR, 2022)</w:t>
      </w:r>
      <w:r w:rsidRPr="00B252D8">
        <w:rPr>
          <w:rFonts w:ascii="Arial" w:hAnsi="Arial" w:cs="Arial"/>
        </w:rPr>
        <w:t xml:space="preserve">. This helps explain why rates of depression and loneliness rose so sharply during the lockdown period. The theme moves the argument forward by identifying a key pathway through which isolation affects </w:t>
      </w:r>
      <w:r w:rsidRPr="00B252D8">
        <w:rPr>
          <w:rStyle w:val="issue-underline"/>
          <w:rFonts w:ascii="Arial" w:hAnsi="Arial" w:cs="Arial"/>
        </w:rPr>
        <w:t>wellbeing.</w:t>
      </w:r>
      <w:r w:rsidRPr="00B252D8">
        <w:rPr>
          <w:rFonts w:ascii="Arial" w:hAnsi="Arial" w:cs="Arial"/>
        </w:rPr>
        <w:t xml:space="preserve"> It also supports Objective</w:t>
      </w:r>
      <w:r w:rsidR="003C4E8A">
        <w:rPr>
          <w:rFonts w:ascii="Arial" w:hAnsi="Arial" w:cs="Arial"/>
        </w:rPr>
        <w:t>s</w:t>
      </w:r>
      <w:r w:rsidRPr="00B252D8">
        <w:rPr>
          <w:rFonts w:ascii="Arial" w:hAnsi="Arial" w:cs="Arial"/>
        </w:rPr>
        <w:t xml:space="preserve"> 1 and 3 by offering clear evidence that reduced cognitive and physical abilities added to </w:t>
      </w:r>
      <w:r w:rsidRPr="00B252D8">
        <w:rPr>
          <w:rStyle w:val="issue-underline"/>
          <w:rFonts w:ascii="Arial" w:hAnsi="Arial" w:cs="Arial"/>
        </w:rPr>
        <w:t>the emotional strain residents experienced.</w:t>
      </w:r>
      <w:r w:rsidRPr="00B252D8">
        <w:rPr>
          <w:rFonts w:ascii="Arial" w:hAnsi="Arial" w:cs="Arial"/>
        </w:rPr>
        <w:t xml:space="preserve"> Without considering these impacts, the picture of how lockdown influenced mental health in care homes would be incomplete.</w:t>
      </w:r>
    </w:p>
    <w:p w14:paraId="6149FFCD" w14:textId="3CC851F1" w:rsidR="002E66A6" w:rsidRDefault="002865F5" w:rsidP="002865F5">
      <w:pPr>
        <w:pStyle w:val="Heading4"/>
        <w:rPr>
          <w:rFonts w:ascii="Aptos" w:hAnsi="Aptos"/>
        </w:rPr>
      </w:pPr>
      <w:r w:rsidRPr="007063BA">
        <w:rPr>
          <w:rFonts w:ascii="Aptos" w:hAnsi="Aptos"/>
        </w:rPr>
        <w:t>Statistical Information</w:t>
      </w:r>
    </w:p>
    <w:p w14:paraId="5E1E0A3B" w14:textId="4C1D3DC6" w:rsidR="00D120DB" w:rsidRPr="00384DAE" w:rsidRDefault="00384DAE" w:rsidP="00384DAE">
      <w:pPr>
        <w:rPr>
          <w:rFonts w:ascii="Arial" w:hAnsi="Arial" w:cs="Arial"/>
        </w:rPr>
      </w:pPr>
      <w:r w:rsidRPr="00384DAE">
        <w:rPr>
          <w:rFonts w:ascii="Arial" w:hAnsi="Arial" w:cs="Arial"/>
          <w:noProof/>
        </w:rPr>
        <w:drawing>
          <wp:anchor distT="0" distB="0" distL="114300" distR="114300" simplePos="0" relativeHeight="251666432" behindDoc="0" locked="0" layoutInCell="1" allowOverlap="1" wp14:anchorId="24A2F222" wp14:editId="591978AE">
            <wp:simplePos x="0" y="0"/>
            <wp:positionH relativeFrom="column">
              <wp:posOffset>-326552</wp:posOffset>
            </wp:positionH>
            <wp:positionV relativeFrom="paragraph">
              <wp:posOffset>1167765</wp:posOffset>
            </wp:positionV>
            <wp:extent cx="6602818" cy="4016117"/>
            <wp:effectExtent l="0" t="0" r="7620" b="3810"/>
            <wp:wrapNone/>
            <wp:docPr id="1181823467" name="Picture 1" descr="A screenshot of a green and whit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823467" name="Picture 1" descr="A screenshot of a green and white char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6602818" cy="4016117"/>
                    </a:xfrm>
                    <a:prstGeom prst="rect">
                      <a:avLst/>
                    </a:prstGeom>
                  </pic:spPr>
                </pic:pic>
              </a:graphicData>
            </a:graphic>
            <wp14:sizeRelH relativeFrom="margin">
              <wp14:pctWidth>0</wp14:pctWidth>
            </wp14:sizeRelH>
            <wp14:sizeRelV relativeFrom="margin">
              <wp14:pctHeight>0</wp14:pctHeight>
            </wp14:sizeRelV>
          </wp:anchor>
        </w:drawing>
      </w:r>
      <w:r w:rsidRPr="00384DAE">
        <w:rPr>
          <w:rFonts w:ascii="Arial" w:hAnsi="Arial" w:cs="Arial"/>
        </w:rPr>
        <w:t>The following table presents key statistics from UK-based and international studies that highlight the impact of COVID-19 lockdowns on cognitive and functional decline among elderly care home residents. These data offer measurable evidence that supports the theme, demonstrating how social isolation contributed to reduced mental abilities and loss of independence.</w:t>
      </w:r>
      <w:r w:rsidR="00D120DB" w:rsidRPr="00384DAE">
        <w:rPr>
          <w:rFonts w:ascii="Arial" w:hAnsi="Arial" w:cs="Arial"/>
        </w:rPr>
        <w:br w:type="page"/>
      </w:r>
    </w:p>
    <w:p w14:paraId="36D02D6F" w14:textId="1AEAB1A7" w:rsidR="007B7C48" w:rsidRDefault="002865F5" w:rsidP="002865F5">
      <w:pPr>
        <w:pStyle w:val="Heading4"/>
        <w:rPr>
          <w:rFonts w:ascii="Aptos" w:hAnsi="Aptos"/>
        </w:rPr>
      </w:pPr>
      <w:r w:rsidRPr="007063BA">
        <w:rPr>
          <w:rFonts w:ascii="Aptos" w:hAnsi="Aptos"/>
        </w:rPr>
        <w:lastRenderedPageBreak/>
        <w:t>Theories, Policies, and Legislation</w:t>
      </w:r>
    </w:p>
    <w:p w14:paraId="081B3F32" w14:textId="4E380B42" w:rsidR="007B7C48" w:rsidRPr="004167A4" w:rsidRDefault="007B7C48" w:rsidP="00963871">
      <w:pPr>
        <w:rPr>
          <w:rFonts w:ascii="Times New Roman" w:eastAsia="Times New Roman" w:hAnsi="Times New Roman" w:cs="Times New Roman"/>
          <w:kern w:val="0"/>
          <w:sz w:val="24"/>
          <w:szCs w:val="24"/>
          <w:lang w:eastAsia="en-GB"/>
          <w14:ligatures w14:val="none"/>
        </w:rPr>
      </w:pPr>
      <w:r w:rsidRPr="007B7C48">
        <w:rPr>
          <w:rFonts w:ascii="Arial" w:hAnsi="Arial" w:cs="Arial"/>
        </w:rPr>
        <w:t>Cognitive and functional decline in care home residents during lockdowns can be better understood by using the Stress Process Model</w:t>
      </w:r>
      <w:r w:rsidR="004167A4">
        <w:rPr>
          <w:rFonts w:ascii="Arial" w:hAnsi="Arial" w:cs="Arial"/>
        </w:rPr>
        <w:t xml:space="preserve"> </w:t>
      </w:r>
      <w:r w:rsidR="00DD355D">
        <w:rPr>
          <w:rFonts w:ascii="Arial" w:hAnsi="Arial" w:cs="Arial"/>
        </w:rPr>
        <w:t>(</w:t>
      </w:r>
      <w:proofErr w:type="spellStart"/>
      <w:r w:rsidR="004167A4" w:rsidRPr="004167A4">
        <w:rPr>
          <w:rFonts w:ascii="Arial" w:eastAsia="Times New Roman" w:hAnsi="Arial" w:cs="Arial"/>
          <w:kern w:val="0"/>
          <w:lang w:eastAsia="en-GB"/>
          <w14:ligatures w14:val="none"/>
        </w:rPr>
        <w:t>Pearlin</w:t>
      </w:r>
      <w:proofErr w:type="spellEnd"/>
      <w:r w:rsidR="004167A4" w:rsidRPr="004167A4">
        <w:rPr>
          <w:rFonts w:ascii="Arial" w:eastAsia="Times New Roman" w:hAnsi="Arial" w:cs="Arial"/>
          <w:kern w:val="0"/>
          <w:lang w:eastAsia="en-GB"/>
          <w14:ligatures w14:val="none"/>
        </w:rPr>
        <w:t xml:space="preserve"> </w:t>
      </w:r>
      <w:r w:rsidR="004167A4" w:rsidRPr="004167A4">
        <w:rPr>
          <w:rFonts w:ascii="Arial" w:eastAsia="Times New Roman" w:hAnsi="Arial" w:cs="Arial"/>
          <w:i/>
          <w:iCs/>
          <w:kern w:val="0"/>
          <w:lang w:eastAsia="en-GB"/>
          <w14:ligatures w14:val="none"/>
        </w:rPr>
        <w:t>et al.</w:t>
      </w:r>
      <w:r w:rsidR="00DD355D">
        <w:rPr>
          <w:rFonts w:ascii="Arial" w:eastAsia="Times New Roman" w:hAnsi="Arial" w:cs="Arial"/>
          <w:kern w:val="0"/>
          <w:lang w:eastAsia="en-GB"/>
          <w14:ligatures w14:val="none"/>
        </w:rPr>
        <w:t xml:space="preserve">, </w:t>
      </w:r>
      <w:r w:rsidR="004167A4" w:rsidRPr="004167A4">
        <w:rPr>
          <w:rFonts w:ascii="Arial" w:eastAsia="Times New Roman" w:hAnsi="Arial" w:cs="Arial"/>
          <w:kern w:val="0"/>
          <w:lang w:eastAsia="en-GB"/>
          <w14:ligatures w14:val="none"/>
        </w:rPr>
        <w:t>1981)</w:t>
      </w:r>
      <w:r w:rsidRPr="007B7C48">
        <w:rPr>
          <w:rFonts w:ascii="Arial" w:hAnsi="Arial" w:cs="Arial"/>
        </w:rPr>
        <w:t>. This theory explains how long-term stress, like prolonged social isolation, gradually impacts both mental and physical health. Older people in care homes, already vulnerable due to age and underlying conditions, were particularly at risk when their routines, social contact, and stimulation were suddenly removed. While the Care Act 2014 sets out the importance of promoting wellbeing and independence, these principles were often sidelined during the pandemic in favour of infection control</w:t>
      </w:r>
      <w:r w:rsidR="00E26820">
        <w:rPr>
          <w:rFonts w:ascii="Arial" w:hAnsi="Arial" w:cs="Arial"/>
        </w:rPr>
        <w:t xml:space="preserve"> </w:t>
      </w:r>
      <w:r w:rsidR="00E26820" w:rsidRPr="00E26820">
        <w:rPr>
          <w:rFonts w:ascii="Arial" w:eastAsia="Times New Roman" w:hAnsi="Arial" w:cs="Arial"/>
          <w:kern w:val="0"/>
          <w:lang w:eastAsia="en-GB"/>
          <w14:ligatures w14:val="none"/>
        </w:rPr>
        <w:t>(SCIE, 2022</w:t>
      </w:r>
      <w:r w:rsidR="00F4743B">
        <w:rPr>
          <w:rFonts w:ascii="Arial" w:eastAsia="Times New Roman" w:hAnsi="Arial" w:cs="Arial"/>
          <w:kern w:val="0"/>
          <w:lang w:eastAsia="en-GB"/>
          <w14:ligatures w14:val="none"/>
        </w:rPr>
        <w:t>a</w:t>
      </w:r>
      <w:r w:rsidR="00E26820" w:rsidRPr="00E26820">
        <w:rPr>
          <w:rFonts w:ascii="Arial" w:eastAsia="Times New Roman" w:hAnsi="Arial" w:cs="Arial"/>
          <w:kern w:val="0"/>
          <w:lang w:eastAsia="en-GB"/>
          <w14:ligatures w14:val="none"/>
        </w:rPr>
        <w:t>)</w:t>
      </w:r>
      <w:r w:rsidRPr="007B7C48">
        <w:rPr>
          <w:rFonts w:ascii="Arial" w:hAnsi="Arial" w:cs="Arial"/>
        </w:rPr>
        <w:t>. Similarly, the NHS Long Term Plan calls for preventative, person-centred care, yet many care homes lacked the resources or flexibility to maintain these standards under lockdown</w:t>
      </w:r>
      <w:r w:rsidR="008D678C">
        <w:rPr>
          <w:rFonts w:ascii="Arial" w:hAnsi="Arial" w:cs="Arial"/>
        </w:rPr>
        <w:t xml:space="preserve"> </w:t>
      </w:r>
      <w:r w:rsidR="008D678C" w:rsidRPr="008D678C">
        <w:rPr>
          <w:rFonts w:ascii="Arial" w:eastAsia="Times New Roman" w:hAnsi="Arial" w:cs="Arial"/>
          <w:kern w:val="0"/>
          <w:lang w:eastAsia="en-GB"/>
          <w14:ligatures w14:val="none"/>
        </w:rPr>
        <w:t>(NHS England, 2023)</w:t>
      </w:r>
      <w:r w:rsidRPr="007B7C48">
        <w:rPr>
          <w:rFonts w:ascii="Arial" w:hAnsi="Arial" w:cs="Arial"/>
        </w:rPr>
        <w:t>. These policies are meant to protect and support older adults, but their limited practical application during the crisis highlights a gap between what is promised on paper and what was delivered in reality.</w:t>
      </w:r>
    </w:p>
    <w:p w14:paraId="0F33FF0F" w14:textId="742EBA96" w:rsidR="00DF0EA0" w:rsidRDefault="002865F5" w:rsidP="0082760D">
      <w:pPr>
        <w:pStyle w:val="Heading4"/>
        <w:rPr>
          <w:rFonts w:ascii="Aptos" w:hAnsi="Aptos"/>
        </w:rPr>
      </w:pPr>
      <w:r w:rsidRPr="007063BA">
        <w:rPr>
          <w:rFonts w:ascii="Aptos" w:hAnsi="Aptos"/>
        </w:rPr>
        <w:t>Implications</w:t>
      </w:r>
    </w:p>
    <w:p w14:paraId="0BE87023" w14:textId="255E409D" w:rsidR="00DF0EA0" w:rsidRPr="00F01181" w:rsidRDefault="00DF0EA0" w:rsidP="00E500E6">
      <w:pPr>
        <w:rPr>
          <w:rFonts w:ascii="Times New Roman" w:eastAsia="Times New Roman" w:hAnsi="Times New Roman" w:cs="Times New Roman"/>
          <w:kern w:val="0"/>
          <w:sz w:val="24"/>
          <w:szCs w:val="24"/>
          <w:lang w:eastAsia="en-GB"/>
          <w14:ligatures w14:val="none"/>
        </w:rPr>
      </w:pPr>
      <w:r w:rsidRPr="00DF0EA0">
        <w:rPr>
          <w:rFonts w:ascii="Arial" w:hAnsi="Arial" w:cs="Arial"/>
        </w:rPr>
        <w:t>The findings on cognitive and functional decline during COVID-19 lockdowns have important implications for understanding how isolation affected the wellbeing of elderly care home residents</w:t>
      </w:r>
      <w:r w:rsidR="00F01181">
        <w:rPr>
          <w:rFonts w:ascii="Arial" w:hAnsi="Arial" w:cs="Arial"/>
        </w:rPr>
        <w:t xml:space="preserve"> </w:t>
      </w:r>
      <w:r w:rsidR="00F01181" w:rsidRPr="00F01181">
        <w:rPr>
          <w:rFonts w:ascii="Arial" w:eastAsia="Times New Roman" w:hAnsi="Arial" w:cs="Arial"/>
          <w:kern w:val="0"/>
          <w:lang w:eastAsia="en-GB"/>
          <w14:ligatures w14:val="none"/>
        </w:rPr>
        <w:t xml:space="preserve">(Martín-Erice </w:t>
      </w:r>
      <w:r w:rsidR="00F01181" w:rsidRPr="00F01181">
        <w:rPr>
          <w:rFonts w:ascii="Arial" w:eastAsia="Times New Roman" w:hAnsi="Arial" w:cs="Arial"/>
          <w:i/>
          <w:iCs/>
          <w:kern w:val="0"/>
          <w:lang w:eastAsia="en-GB"/>
          <w14:ligatures w14:val="none"/>
        </w:rPr>
        <w:t>et al.</w:t>
      </w:r>
      <w:r w:rsidR="00F01181" w:rsidRPr="00F01181">
        <w:rPr>
          <w:rFonts w:ascii="Arial" w:eastAsia="Times New Roman" w:hAnsi="Arial" w:cs="Arial"/>
          <w:kern w:val="0"/>
          <w:lang w:eastAsia="en-GB"/>
          <w14:ligatures w14:val="none"/>
        </w:rPr>
        <w:t>, 2024</w:t>
      </w:r>
      <w:r w:rsidR="00E500E6">
        <w:rPr>
          <w:rFonts w:ascii="Arial" w:eastAsia="Times New Roman" w:hAnsi="Arial" w:cs="Arial"/>
          <w:kern w:val="0"/>
          <w:lang w:eastAsia="en-GB"/>
          <w14:ligatures w14:val="none"/>
        </w:rPr>
        <w:t xml:space="preserve">; </w:t>
      </w:r>
      <w:r w:rsidR="00E500E6" w:rsidRPr="00E500E6">
        <w:rPr>
          <w:rFonts w:ascii="Arial" w:eastAsia="Times New Roman" w:hAnsi="Arial" w:cs="Arial"/>
          <w:kern w:val="0"/>
          <w:lang w:eastAsia="en-GB"/>
          <w14:ligatures w14:val="none"/>
        </w:rPr>
        <w:t>Kassam and McMillan, 2023</w:t>
      </w:r>
      <w:r w:rsidR="00F01181" w:rsidRPr="00F01181">
        <w:rPr>
          <w:rFonts w:ascii="Arial" w:eastAsia="Times New Roman" w:hAnsi="Arial" w:cs="Arial"/>
          <w:kern w:val="0"/>
          <w:lang w:eastAsia="en-GB"/>
          <w14:ligatures w14:val="none"/>
        </w:rPr>
        <w:t>)</w:t>
      </w:r>
      <w:r w:rsidRPr="00DF0EA0">
        <w:rPr>
          <w:rFonts w:ascii="Arial" w:hAnsi="Arial" w:cs="Arial"/>
        </w:rPr>
        <w:t>. On the negative side, the evidence points to a serious deterioration in memory, executive function, and the ability to carry out daily tasks like walking or preparing meals</w:t>
      </w:r>
      <w:r w:rsidR="00F01181">
        <w:rPr>
          <w:rFonts w:ascii="Arial" w:hAnsi="Arial" w:cs="Arial"/>
        </w:rPr>
        <w:t xml:space="preserve"> (Age UK 2021)</w:t>
      </w:r>
      <w:r w:rsidRPr="00DF0EA0">
        <w:rPr>
          <w:rFonts w:ascii="Arial" w:hAnsi="Arial" w:cs="Arial"/>
        </w:rPr>
        <w:t>. These declines not only increased residents’ dependency but also placed additional pressure on already overstretched care staff</w:t>
      </w:r>
      <w:r w:rsidR="002215A8">
        <w:rPr>
          <w:rFonts w:ascii="Arial" w:hAnsi="Arial" w:cs="Arial"/>
        </w:rPr>
        <w:t xml:space="preserve"> </w:t>
      </w:r>
      <w:r w:rsidR="002215A8" w:rsidRPr="002215A8">
        <w:rPr>
          <w:rFonts w:ascii="Arial" w:eastAsia="Times New Roman" w:hAnsi="Arial" w:cs="Arial"/>
          <w:kern w:val="0"/>
          <w:lang w:eastAsia="en-GB"/>
          <w14:ligatures w14:val="none"/>
        </w:rPr>
        <w:t>(UK Covid-19 Inquiry, 2025)</w:t>
      </w:r>
      <w:r w:rsidRPr="00DF0EA0">
        <w:rPr>
          <w:rFonts w:ascii="Arial" w:hAnsi="Arial" w:cs="Arial"/>
        </w:rPr>
        <w:t>. They reinforce concerns that infection control policies came at the cost of cognitive stimulation, physical activity, and dignity.</w:t>
      </w:r>
    </w:p>
    <w:p w14:paraId="6F22936D" w14:textId="06B07D2C" w:rsidR="00DF0EA0" w:rsidRPr="00D34F16" w:rsidRDefault="00DF0EA0" w:rsidP="00E500E6">
      <w:pPr>
        <w:rPr>
          <w:rFonts w:ascii="Times New Roman" w:eastAsia="Times New Roman" w:hAnsi="Times New Roman" w:cs="Times New Roman"/>
          <w:kern w:val="0"/>
          <w:sz w:val="24"/>
          <w:szCs w:val="24"/>
          <w:lang w:eastAsia="en-GB"/>
          <w14:ligatures w14:val="none"/>
        </w:rPr>
      </w:pPr>
      <w:r w:rsidRPr="00DF0EA0">
        <w:rPr>
          <w:rFonts w:ascii="Arial" w:hAnsi="Arial" w:cs="Arial"/>
        </w:rPr>
        <w:t>However, these challenges have also sparked some positive shifts. The crisis highlighted the urgent need to balance physical safety with mental and cognitive wellbeing</w:t>
      </w:r>
      <w:r w:rsidR="00FC25AD">
        <w:rPr>
          <w:rFonts w:ascii="Arial" w:hAnsi="Arial" w:cs="Arial"/>
        </w:rPr>
        <w:t xml:space="preserve"> (NHS England, 2023)</w:t>
      </w:r>
      <w:r w:rsidRPr="00DF0EA0">
        <w:rPr>
          <w:rFonts w:ascii="Arial" w:hAnsi="Arial" w:cs="Arial"/>
        </w:rPr>
        <w:t xml:space="preserve">. As a result, it has prompted stronger calls for holistic care models, better training for staff, and innovation in care home routines, such as safe social activities and movement-based </w:t>
      </w:r>
      <w:r w:rsidR="00D34F16">
        <w:rPr>
          <w:rFonts w:ascii="Arial" w:hAnsi="Arial" w:cs="Arial"/>
        </w:rPr>
        <w:t xml:space="preserve">music </w:t>
      </w:r>
      <w:r w:rsidRPr="00DF0EA0">
        <w:rPr>
          <w:rFonts w:ascii="Arial" w:hAnsi="Arial" w:cs="Arial"/>
        </w:rPr>
        <w:t>therapy</w:t>
      </w:r>
      <w:r w:rsidR="00D34F16">
        <w:rPr>
          <w:rFonts w:ascii="Arial" w:hAnsi="Arial" w:cs="Arial"/>
        </w:rPr>
        <w:t xml:space="preserve"> </w:t>
      </w:r>
      <w:r w:rsidR="00D34F16" w:rsidRPr="00D34F16">
        <w:rPr>
          <w:rFonts w:ascii="Arial" w:eastAsia="Times New Roman" w:hAnsi="Arial" w:cs="Arial"/>
          <w:kern w:val="0"/>
          <w:lang w:eastAsia="en-GB"/>
          <w14:ligatures w14:val="none"/>
        </w:rPr>
        <w:t xml:space="preserve">(Schneider </w:t>
      </w:r>
      <w:r w:rsidR="00D34F16" w:rsidRPr="00D34F16">
        <w:rPr>
          <w:rFonts w:ascii="Arial" w:eastAsia="Times New Roman" w:hAnsi="Arial" w:cs="Arial"/>
          <w:i/>
          <w:iCs/>
          <w:kern w:val="0"/>
          <w:lang w:eastAsia="en-GB"/>
          <w14:ligatures w14:val="none"/>
        </w:rPr>
        <w:t>et al.</w:t>
      </w:r>
      <w:r w:rsidR="00D34F16" w:rsidRPr="00D34F16">
        <w:rPr>
          <w:rFonts w:ascii="Arial" w:eastAsia="Times New Roman" w:hAnsi="Arial" w:cs="Arial"/>
          <w:kern w:val="0"/>
          <w:lang w:eastAsia="en-GB"/>
          <w14:ligatures w14:val="none"/>
        </w:rPr>
        <w:t>, 2024</w:t>
      </w:r>
      <w:r w:rsidR="007D11DA">
        <w:rPr>
          <w:rFonts w:ascii="Arial" w:eastAsia="Times New Roman" w:hAnsi="Arial" w:cs="Arial"/>
          <w:kern w:val="0"/>
          <w:lang w:eastAsia="en-GB"/>
          <w14:ligatures w14:val="none"/>
        </w:rPr>
        <w:t xml:space="preserve">; </w:t>
      </w:r>
      <w:r w:rsidR="007D11DA" w:rsidRPr="007D11DA">
        <w:rPr>
          <w:rFonts w:ascii="Arial" w:eastAsia="Times New Roman" w:hAnsi="Arial" w:cs="Arial"/>
          <w:kern w:val="0"/>
          <w:lang w:eastAsia="en-GB"/>
          <w14:ligatures w14:val="none"/>
        </w:rPr>
        <w:t>CQC, 2022b</w:t>
      </w:r>
      <w:r w:rsidR="00B7720D">
        <w:rPr>
          <w:rFonts w:ascii="Arial" w:eastAsia="Times New Roman" w:hAnsi="Arial" w:cs="Arial"/>
          <w:kern w:val="0"/>
          <w:lang w:eastAsia="en-GB"/>
          <w14:ligatures w14:val="none"/>
        </w:rPr>
        <w:t xml:space="preserve">; </w:t>
      </w:r>
      <w:r w:rsidR="00B7720D" w:rsidRPr="00B7720D">
        <w:rPr>
          <w:rFonts w:ascii="Arial" w:eastAsia="Times New Roman" w:hAnsi="Arial" w:cs="Arial"/>
          <w:kern w:val="0"/>
          <w:lang w:eastAsia="en-GB"/>
          <w14:ligatures w14:val="none"/>
        </w:rPr>
        <w:t>Broomhall and Thompson, 2021</w:t>
      </w:r>
      <w:r w:rsidR="00D34F16" w:rsidRPr="00D34F16">
        <w:rPr>
          <w:rFonts w:ascii="Arial" w:eastAsia="Times New Roman" w:hAnsi="Arial" w:cs="Arial"/>
          <w:kern w:val="0"/>
          <w:lang w:eastAsia="en-GB"/>
          <w14:ligatures w14:val="none"/>
        </w:rPr>
        <w:t>)</w:t>
      </w:r>
      <w:r w:rsidRPr="00DF0EA0">
        <w:rPr>
          <w:rFonts w:ascii="Arial" w:hAnsi="Arial" w:cs="Arial"/>
        </w:rPr>
        <w:t>. These implications show that addressing isolation must go beyond just mental health</w:t>
      </w:r>
      <w:r w:rsidR="00433594">
        <w:rPr>
          <w:rFonts w:ascii="Arial" w:hAnsi="Arial" w:cs="Arial"/>
        </w:rPr>
        <w:t>.</w:t>
      </w:r>
      <w:r>
        <w:rPr>
          <w:rFonts w:ascii="Arial" w:hAnsi="Arial" w:cs="Arial"/>
        </w:rPr>
        <w:t xml:space="preserve"> </w:t>
      </w:r>
      <w:r w:rsidR="00433594">
        <w:rPr>
          <w:rFonts w:ascii="Arial" w:hAnsi="Arial" w:cs="Arial"/>
        </w:rPr>
        <w:t>I</w:t>
      </w:r>
      <w:r w:rsidRPr="00DF0EA0">
        <w:rPr>
          <w:rFonts w:ascii="Arial" w:hAnsi="Arial" w:cs="Arial"/>
        </w:rPr>
        <w:t>t must consider how quickly cognitive and physical function can deteriorate when support structures are removed.</w:t>
      </w:r>
    </w:p>
    <w:p w14:paraId="355A662E" w14:textId="77777777" w:rsidR="00DF0EA0" w:rsidRPr="00DF0EA0" w:rsidRDefault="00DF0EA0" w:rsidP="00DF0EA0"/>
    <w:p w14:paraId="70C2B916" w14:textId="3EC639AD" w:rsidR="0082760D" w:rsidRDefault="0082760D" w:rsidP="002865F5">
      <w:pPr>
        <w:pStyle w:val="Heading4"/>
        <w:rPr>
          <w:rFonts w:ascii="Aptos" w:hAnsi="Aptos"/>
        </w:rPr>
      </w:pPr>
      <w:r w:rsidRPr="00FE5C58">
        <w:rPr>
          <w:rFonts w:ascii="Aptos" w:hAnsi="Aptos"/>
        </w:rPr>
        <w:t>Examples from Your Articles</w:t>
      </w:r>
    </w:p>
    <w:p w14:paraId="15BF1819" w14:textId="6297DD14" w:rsidR="0071659D" w:rsidRPr="0071659D" w:rsidRDefault="0071659D" w:rsidP="0071659D">
      <w:pPr>
        <w:pStyle w:val="NormalWeb"/>
        <w:spacing w:line="360" w:lineRule="auto"/>
        <w:jc w:val="both"/>
        <w:rPr>
          <w:rFonts w:ascii="Arial" w:hAnsi="Arial" w:cs="Arial"/>
          <w:sz w:val="22"/>
          <w:szCs w:val="22"/>
        </w:rPr>
      </w:pPr>
      <w:r w:rsidRPr="0071659D">
        <w:rPr>
          <w:rFonts w:ascii="Arial" w:hAnsi="Arial" w:cs="Arial"/>
          <w:sz w:val="22"/>
          <w:szCs w:val="22"/>
        </w:rPr>
        <w:t xml:space="preserve">Martín-Erice </w:t>
      </w:r>
      <w:r w:rsidRPr="008725BC">
        <w:rPr>
          <w:rFonts w:ascii="Arial" w:hAnsi="Arial" w:cs="Arial"/>
          <w:i/>
          <w:iCs/>
          <w:sz w:val="22"/>
          <w:szCs w:val="22"/>
        </w:rPr>
        <w:t>et al.</w:t>
      </w:r>
      <w:r w:rsidRPr="0071659D">
        <w:rPr>
          <w:rFonts w:ascii="Arial" w:hAnsi="Arial" w:cs="Arial"/>
          <w:sz w:val="22"/>
          <w:szCs w:val="22"/>
        </w:rPr>
        <w:t xml:space="preserve"> (2024) reported a marked decline in both cognitive and physical functioning among care home residents during lockdown. Reduced access to stimulation and exercise led </w:t>
      </w:r>
      <w:r w:rsidRPr="0071659D">
        <w:rPr>
          <w:rFonts w:ascii="Arial" w:hAnsi="Arial" w:cs="Arial"/>
          <w:sz w:val="22"/>
          <w:szCs w:val="22"/>
        </w:rPr>
        <w:lastRenderedPageBreak/>
        <w:t xml:space="preserve">to noticeable worsening in memory, attention, and independence in daily tasks. Similarly, Bethell </w:t>
      </w:r>
      <w:r w:rsidRPr="008725BC">
        <w:rPr>
          <w:rFonts w:ascii="Arial" w:hAnsi="Arial" w:cs="Arial"/>
          <w:i/>
          <w:iCs/>
          <w:sz w:val="22"/>
          <w:szCs w:val="22"/>
        </w:rPr>
        <w:t>et al.</w:t>
      </w:r>
      <w:r w:rsidRPr="0071659D">
        <w:rPr>
          <w:rFonts w:ascii="Arial" w:hAnsi="Arial" w:cs="Arial"/>
          <w:sz w:val="22"/>
          <w:szCs w:val="22"/>
        </w:rPr>
        <w:t xml:space="preserve"> (2021) found that restrictions on social contact and routine activity significantly impacted residents with pre-existing cognitive vulnerabilities, accelerating decline through loss of structure and emotional support. Vickery </w:t>
      </w:r>
      <w:r w:rsidRPr="008725BC">
        <w:rPr>
          <w:rFonts w:ascii="Arial" w:hAnsi="Arial" w:cs="Arial"/>
          <w:i/>
          <w:iCs/>
          <w:sz w:val="22"/>
          <w:szCs w:val="22"/>
        </w:rPr>
        <w:t>et al.</w:t>
      </w:r>
      <w:r w:rsidRPr="0071659D">
        <w:rPr>
          <w:rFonts w:ascii="Arial" w:hAnsi="Arial" w:cs="Arial"/>
          <w:sz w:val="22"/>
          <w:szCs w:val="22"/>
        </w:rPr>
        <w:t xml:space="preserve"> (2023) supported these findings by highlighting that many residents lost autonomy and mobility as a result of suspended group activities and therapies. </w:t>
      </w:r>
      <w:r w:rsidR="00436D92">
        <w:rPr>
          <w:rFonts w:ascii="Arial" w:hAnsi="Arial" w:cs="Arial"/>
          <w:sz w:val="22"/>
          <w:szCs w:val="22"/>
        </w:rPr>
        <w:t>The three articles are mostly in agreement and offer additional perspectives that enhance one another.</w:t>
      </w:r>
      <w:r w:rsidRPr="0071659D">
        <w:rPr>
          <w:rFonts w:ascii="Arial" w:hAnsi="Arial" w:cs="Arial"/>
          <w:sz w:val="22"/>
          <w:szCs w:val="22"/>
        </w:rPr>
        <w:t xml:space="preserve"> While Martín-Erice</w:t>
      </w:r>
      <w:r w:rsidR="00A32053">
        <w:rPr>
          <w:rFonts w:ascii="Arial" w:hAnsi="Arial" w:cs="Arial"/>
          <w:sz w:val="22"/>
          <w:szCs w:val="22"/>
        </w:rPr>
        <w:t xml:space="preserve"> (2024)</w:t>
      </w:r>
      <w:r w:rsidRPr="0071659D">
        <w:rPr>
          <w:rFonts w:ascii="Arial" w:hAnsi="Arial" w:cs="Arial"/>
          <w:sz w:val="22"/>
          <w:szCs w:val="22"/>
        </w:rPr>
        <w:t xml:space="preserve"> focused on direct observations in </w:t>
      </w:r>
      <w:r w:rsidR="005F4742">
        <w:rPr>
          <w:rFonts w:ascii="Arial" w:hAnsi="Arial" w:cs="Arial"/>
          <w:sz w:val="22"/>
          <w:szCs w:val="22"/>
        </w:rPr>
        <w:t>nursing</w:t>
      </w:r>
      <w:r w:rsidRPr="0071659D">
        <w:rPr>
          <w:rFonts w:ascii="Arial" w:hAnsi="Arial" w:cs="Arial"/>
          <w:sz w:val="22"/>
          <w:szCs w:val="22"/>
        </w:rPr>
        <w:t xml:space="preserve"> homes, Bethell and Vickery explored broader systemic factors. Together, they strengthen the argument that lockdown-induced isolation played a major role in deteriorating cognitive and functional health, directly supporting the research question on how isolation contributed to mental health challenges in care settings.</w:t>
      </w:r>
    </w:p>
    <w:p w14:paraId="6310D855" w14:textId="77777777" w:rsidR="0071659D" w:rsidRPr="0071659D" w:rsidRDefault="0071659D" w:rsidP="0071659D"/>
    <w:p w14:paraId="219757CE" w14:textId="0020434E" w:rsidR="002865F5" w:rsidRPr="007063BA" w:rsidRDefault="002865F5" w:rsidP="002865F5">
      <w:pPr>
        <w:pStyle w:val="Heading4"/>
        <w:rPr>
          <w:rFonts w:ascii="Aptos" w:hAnsi="Aptos"/>
        </w:rPr>
      </w:pPr>
      <w:r w:rsidRPr="007063BA">
        <w:rPr>
          <w:rFonts w:ascii="Aptos" w:hAnsi="Aptos"/>
        </w:rPr>
        <w:t>Connections to Other Themes</w:t>
      </w:r>
    </w:p>
    <w:p w14:paraId="023A2BA7" w14:textId="7619D22E" w:rsidR="006A0807" w:rsidRPr="00CF12B5" w:rsidRDefault="00B8604F" w:rsidP="00EE303F">
      <w:pPr>
        <w:rPr>
          <w:rFonts w:ascii="Times New Roman" w:eastAsia="Times New Roman" w:hAnsi="Times New Roman" w:cs="Times New Roman"/>
          <w:kern w:val="0"/>
          <w:sz w:val="24"/>
          <w:szCs w:val="24"/>
          <w:lang w:eastAsia="en-GB"/>
          <w14:ligatures w14:val="none"/>
        </w:rPr>
      </w:pPr>
      <w:r w:rsidRPr="006A0807">
        <w:rPr>
          <w:rFonts w:ascii="Arial" w:hAnsi="Arial" w:cs="Arial"/>
        </w:rPr>
        <w:t>This theme ties in strongly with emotional and psychological d</w:t>
      </w:r>
      <w:r w:rsidR="00813DFA" w:rsidRPr="006A0807">
        <w:rPr>
          <w:rFonts w:ascii="Arial" w:hAnsi="Arial" w:cs="Arial"/>
        </w:rPr>
        <w:t>ete</w:t>
      </w:r>
      <w:r w:rsidR="0058211E" w:rsidRPr="006A0807">
        <w:rPr>
          <w:rFonts w:ascii="Arial" w:hAnsi="Arial" w:cs="Arial"/>
        </w:rPr>
        <w:t>rio</w:t>
      </w:r>
      <w:r w:rsidR="00813DFA" w:rsidRPr="006A0807">
        <w:rPr>
          <w:rFonts w:ascii="Arial" w:hAnsi="Arial" w:cs="Arial"/>
        </w:rPr>
        <w:t>ration (Theme 1)</w:t>
      </w:r>
      <w:r w:rsidRPr="006A0807">
        <w:rPr>
          <w:rFonts w:ascii="Arial" w:hAnsi="Arial" w:cs="Arial"/>
        </w:rPr>
        <w:t>. When residents started losing their ability to do everyday tasks or think clearly, it often made them feel more anxious, frustrated, or low</w:t>
      </w:r>
      <w:r w:rsidR="00065BF8">
        <w:rPr>
          <w:rFonts w:ascii="Arial" w:hAnsi="Arial" w:cs="Arial"/>
        </w:rPr>
        <w:t xml:space="preserve"> </w:t>
      </w:r>
      <w:r w:rsidR="00065BF8" w:rsidRPr="00065BF8">
        <w:rPr>
          <w:rFonts w:ascii="Arial" w:eastAsia="Times New Roman" w:hAnsi="Arial" w:cs="Arial"/>
          <w:kern w:val="0"/>
          <w:lang w:eastAsia="en-GB"/>
          <w14:ligatures w14:val="none"/>
        </w:rPr>
        <w:t>(Age UK, 2019</w:t>
      </w:r>
      <w:r w:rsidR="003A30D0">
        <w:rPr>
          <w:rFonts w:ascii="Arial" w:eastAsia="Times New Roman" w:hAnsi="Arial" w:cs="Arial"/>
          <w:kern w:val="0"/>
          <w:lang w:eastAsia="en-GB"/>
          <w14:ligatures w14:val="none"/>
        </w:rPr>
        <w:t>a</w:t>
      </w:r>
      <w:r w:rsidR="00065BF8" w:rsidRPr="00065BF8">
        <w:rPr>
          <w:rFonts w:ascii="Arial" w:eastAsia="Times New Roman" w:hAnsi="Arial" w:cs="Arial"/>
          <w:kern w:val="0"/>
          <w:lang w:eastAsia="en-GB"/>
          <w14:ligatures w14:val="none"/>
        </w:rPr>
        <w:t>)</w:t>
      </w:r>
      <w:r w:rsidRPr="006A0807">
        <w:rPr>
          <w:rFonts w:ascii="Arial" w:hAnsi="Arial" w:cs="Arial"/>
        </w:rPr>
        <w:t>. At the same time, feeling isolated or depressed seemed to speed up how quickly their memory and thinking got worse</w:t>
      </w:r>
      <w:r w:rsidR="00CF12B5">
        <w:rPr>
          <w:rFonts w:ascii="Arial" w:hAnsi="Arial" w:cs="Arial"/>
        </w:rPr>
        <w:t xml:space="preserve"> </w:t>
      </w:r>
      <w:r w:rsidR="00CF12B5" w:rsidRPr="00CF12B5">
        <w:rPr>
          <w:rFonts w:ascii="Arial" w:eastAsia="Times New Roman" w:hAnsi="Arial" w:cs="Arial"/>
          <w:kern w:val="0"/>
          <w:lang w:eastAsia="en-GB"/>
          <w14:ligatures w14:val="none"/>
        </w:rPr>
        <w:t>(National Institute on Aging, 2024)</w:t>
      </w:r>
      <w:r w:rsidRPr="006A0807">
        <w:rPr>
          <w:rFonts w:ascii="Arial" w:hAnsi="Arial" w:cs="Arial"/>
        </w:rPr>
        <w:t xml:space="preserve">. </w:t>
      </w:r>
      <w:r w:rsidR="006A0807" w:rsidRPr="006A0807">
        <w:rPr>
          <w:rFonts w:ascii="Arial" w:hAnsi="Arial" w:cs="Arial"/>
        </w:rPr>
        <w:t>The two themes are interconnected; one influences the other because</w:t>
      </w:r>
      <w:r w:rsidR="006A0807">
        <w:rPr>
          <w:rFonts w:ascii="Arial" w:hAnsi="Arial" w:cs="Arial"/>
        </w:rPr>
        <w:t>,</w:t>
      </w:r>
      <w:r w:rsidR="006A0807" w:rsidRPr="006A0807">
        <w:rPr>
          <w:rFonts w:ascii="Arial" w:hAnsi="Arial" w:cs="Arial"/>
        </w:rPr>
        <w:t xml:space="preserve"> as residents experienced cognitive and functional decline, they often became more dependent, isolated, and frustrated, which increased feelings of loneliness and depression</w:t>
      </w:r>
      <w:r w:rsidR="00AE4143">
        <w:rPr>
          <w:rFonts w:ascii="Arial" w:hAnsi="Arial" w:cs="Arial"/>
        </w:rPr>
        <w:t xml:space="preserve"> </w:t>
      </w:r>
      <w:r w:rsidR="00AE4143" w:rsidRPr="00AE4143">
        <w:rPr>
          <w:rFonts w:ascii="Arial" w:eastAsia="Times New Roman" w:hAnsi="Arial" w:cs="Arial"/>
          <w:kern w:val="0"/>
          <w:lang w:eastAsia="en-GB"/>
          <w14:ligatures w14:val="none"/>
        </w:rPr>
        <w:t xml:space="preserve">(Fitzpatrick </w:t>
      </w:r>
      <w:r w:rsidR="00AE4143" w:rsidRPr="00AE4143">
        <w:rPr>
          <w:rFonts w:ascii="Arial" w:eastAsia="Times New Roman" w:hAnsi="Arial" w:cs="Arial"/>
          <w:i/>
          <w:iCs/>
          <w:kern w:val="0"/>
          <w:lang w:eastAsia="en-GB"/>
          <w14:ligatures w14:val="none"/>
        </w:rPr>
        <w:t>et al.</w:t>
      </w:r>
      <w:r w:rsidR="00AE4143" w:rsidRPr="00AE4143">
        <w:rPr>
          <w:rFonts w:ascii="Arial" w:eastAsia="Times New Roman" w:hAnsi="Arial" w:cs="Arial"/>
          <w:kern w:val="0"/>
          <w:lang w:eastAsia="en-GB"/>
          <w14:ligatures w14:val="none"/>
        </w:rPr>
        <w:t>, 2021</w:t>
      </w:r>
      <w:r w:rsidR="0033066F">
        <w:rPr>
          <w:rFonts w:ascii="Arial" w:eastAsia="Times New Roman" w:hAnsi="Arial" w:cs="Arial"/>
          <w:kern w:val="0"/>
          <w:lang w:eastAsia="en-GB"/>
          <w14:ligatures w14:val="none"/>
        </w:rPr>
        <w:t xml:space="preserve">; </w:t>
      </w:r>
      <w:r w:rsidR="0033066F" w:rsidRPr="0033066F">
        <w:rPr>
          <w:rFonts w:ascii="Arial" w:eastAsia="Times New Roman" w:hAnsi="Arial" w:cs="Arial"/>
          <w:kern w:val="0"/>
          <w:lang w:eastAsia="en-GB"/>
          <w14:ligatures w14:val="none"/>
        </w:rPr>
        <w:t xml:space="preserve">Gordon </w:t>
      </w:r>
      <w:r w:rsidR="0033066F" w:rsidRPr="0033066F">
        <w:rPr>
          <w:rFonts w:ascii="Arial" w:eastAsia="Times New Roman" w:hAnsi="Arial" w:cs="Arial"/>
          <w:i/>
          <w:iCs/>
          <w:kern w:val="0"/>
          <w:lang w:eastAsia="en-GB"/>
          <w14:ligatures w14:val="none"/>
        </w:rPr>
        <w:t>et al.</w:t>
      </w:r>
      <w:r w:rsidR="0033066F" w:rsidRPr="0033066F">
        <w:rPr>
          <w:rFonts w:ascii="Arial" w:eastAsia="Times New Roman" w:hAnsi="Arial" w:cs="Arial"/>
          <w:kern w:val="0"/>
          <w:lang w:eastAsia="en-GB"/>
          <w14:ligatures w14:val="none"/>
        </w:rPr>
        <w:t>, 2020</w:t>
      </w:r>
      <w:r w:rsidR="00AE4143" w:rsidRPr="00AE4143">
        <w:rPr>
          <w:rFonts w:ascii="Arial" w:eastAsia="Times New Roman" w:hAnsi="Arial" w:cs="Arial"/>
          <w:kern w:val="0"/>
          <w:lang w:eastAsia="en-GB"/>
          <w14:ligatures w14:val="none"/>
        </w:rPr>
        <w:t>)</w:t>
      </w:r>
      <w:r w:rsidR="006A0807" w:rsidRPr="006A0807">
        <w:rPr>
          <w:rFonts w:ascii="Arial" w:hAnsi="Arial" w:cs="Arial"/>
        </w:rPr>
        <w:t>. At the same time, emotional distress made it harder for them to stay mentally active or motivated, leading to a faster decline in memory and daily functioning. This cycle shows how closely linked the mind and body are, and why both need to be supported together in care settings.</w:t>
      </w:r>
    </w:p>
    <w:p w14:paraId="772DF0C0" w14:textId="0CA94EF5" w:rsidR="00B8604F" w:rsidRDefault="00B8604F" w:rsidP="006A0807">
      <w:pPr>
        <w:pStyle w:val="NormalWeb"/>
        <w:spacing w:line="360" w:lineRule="auto"/>
        <w:jc w:val="both"/>
      </w:pPr>
    </w:p>
    <w:p w14:paraId="3CADB6AC" w14:textId="35910206" w:rsidR="001C3AF6" w:rsidRDefault="001C3AF6" w:rsidP="003B1E32">
      <w:pPr>
        <w:pStyle w:val="Heading2"/>
      </w:pPr>
      <w:bookmarkStart w:id="20" w:name="_Toc204127891"/>
      <w:r w:rsidRPr="00636D9A">
        <w:t>4.5 – Theme 3</w:t>
      </w:r>
      <w:r w:rsidR="00A712E4">
        <w:t xml:space="preserve">- Barriers to Quality </w:t>
      </w:r>
      <w:r w:rsidR="008C039B">
        <w:t xml:space="preserve">of </w:t>
      </w:r>
      <w:r w:rsidR="00A712E4">
        <w:t>Care</w:t>
      </w:r>
      <w:bookmarkEnd w:id="20"/>
      <w:r w:rsidRPr="00636D9A">
        <w:t xml:space="preserve"> </w:t>
      </w:r>
    </w:p>
    <w:p w14:paraId="0D8B4DA0" w14:textId="77777777" w:rsidR="00636D9A" w:rsidRPr="00636D9A" w:rsidRDefault="00636D9A" w:rsidP="001C3AF6">
      <w:pPr>
        <w:pStyle w:val="Heading1"/>
        <w:rPr>
          <w:rFonts w:ascii="Aptos" w:hAnsi="Aptos"/>
          <w:sz w:val="28"/>
          <w:szCs w:val="28"/>
        </w:rPr>
      </w:pPr>
    </w:p>
    <w:p w14:paraId="4915A324" w14:textId="1874F0FA" w:rsidR="002865F5" w:rsidRDefault="002865F5" w:rsidP="002865F5">
      <w:pPr>
        <w:pStyle w:val="Heading4"/>
        <w:rPr>
          <w:rFonts w:ascii="Aptos" w:hAnsi="Aptos"/>
        </w:rPr>
      </w:pPr>
      <w:r w:rsidRPr="007063BA">
        <w:rPr>
          <w:rFonts w:ascii="Aptos" w:hAnsi="Aptos"/>
        </w:rPr>
        <w:t xml:space="preserve">Definition </w:t>
      </w:r>
      <w:r w:rsidR="00C54371">
        <w:rPr>
          <w:rFonts w:ascii="Aptos" w:hAnsi="Aptos"/>
        </w:rPr>
        <w:t>and Scope</w:t>
      </w:r>
    </w:p>
    <w:p w14:paraId="4AD2B989" w14:textId="753C78C2" w:rsidR="009655C4" w:rsidRDefault="009655C4" w:rsidP="00040F4B">
      <w:pPr>
        <w:rPr>
          <w:rFonts w:ascii="Arial" w:hAnsi="Arial" w:cs="Arial"/>
        </w:rPr>
      </w:pPr>
      <w:r w:rsidRPr="009655C4">
        <w:rPr>
          <w:rFonts w:ascii="Arial" w:hAnsi="Arial" w:cs="Arial"/>
        </w:rPr>
        <w:t xml:space="preserve">Barriers to quality </w:t>
      </w:r>
      <w:r w:rsidR="008C039B">
        <w:rPr>
          <w:rFonts w:ascii="Arial" w:hAnsi="Arial" w:cs="Arial"/>
        </w:rPr>
        <w:t xml:space="preserve">of </w:t>
      </w:r>
      <w:r w:rsidRPr="009655C4">
        <w:rPr>
          <w:rFonts w:ascii="Arial" w:hAnsi="Arial" w:cs="Arial"/>
        </w:rPr>
        <w:t>care refer to the challenges and obstacles that prevent elderly care home residents from receiving consistent, person-centred, and effective support</w:t>
      </w:r>
      <w:r w:rsidR="001C44F9">
        <w:rPr>
          <w:rFonts w:ascii="Arial" w:hAnsi="Arial" w:cs="Arial"/>
        </w:rPr>
        <w:t xml:space="preserve"> </w:t>
      </w:r>
      <w:r w:rsidR="001C44F9" w:rsidRPr="001C44F9">
        <w:rPr>
          <w:rFonts w:ascii="Arial" w:eastAsia="Times New Roman" w:hAnsi="Arial" w:cs="Arial"/>
          <w:kern w:val="0"/>
          <w:lang w:eastAsia="en-GB"/>
          <w14:ligatures w14:val="none"/>
        </w:rPr>
        <w:t>(Kenny, Odell-Miller and Hsu, 2025)</w:t>
      </w:r>
      <w:r w:rsidRPr="009655C4">
        <w:rPr>
          <w:rFonts w:ascii="Arial" w:hAnsi="Arial" w:cs="Arial"/>
        </w:rPr>
        <w:t xml:space="preserve">. </w:t>
      </w:r>
      <w:r w:rsidR="00F07D92">
        <w:rPr>
          <w:rFonts w:ascii="Arial" w:hAnsi="Arial" w:cs="Arial"/>
        </w:rPr>
        <w:t xml:space="preserve">According to </w:t>
      </w:r>
      <w:r w:rsidR="00F07D92" w:rsidRPr="00F07D92">
        <w:rPr>
          <w:rFonts w:ascii="Arial" w:eastAsia="Times New Roman" w:hAnsi="Arial" w:cs="Arial"/>
          <w:kern w:val="0"/>
          <w:lang w:eastAsia="en-GB"/>
          <w14:ligatures w14:val="none"/>
        </w:rPr>
        <w:t xml:space="preserve">Chen </w:t>
      </w:r>
      <w:r w:rsidR="00F07D92" w:rsidRPr="00F07D92">
        <w:rPr>
          <w:rFonts w:ascii="Arial" w:eastAsia="Times New Roman" w:hAnsi="Arial" w:cs="Arial"/>
          <w:i/>
          <w:iCs/>
          <w:kern w:val="0"/>
          <w:lang w:eastAsia="en-GB"/>
          <w14:ligatures w14:val="none"/>
        </w:rPr>
        <w:t>et al.</w:t>
      </w:r>
      <w:r w:rsidR="00956BA6">
        <w:rPr>
          <w:rFonts w:ascii="Arial" w:eastAsia="Times New Roman" w:hAnsi="Arial" w:cs="Arial"/>
          <w:kern w:val="0"/>
          <w:lang w:eastAsia="en-GB"/>
          <w14:ligatures w14:val="none"/>
        </w:rPr>
        <w:t xml:space="preserve"> (2023) and Seifert, Cotten and Xie (2021),</w:t>
      </w:r>
      <w:r w:rsidR="00956BA6">
        <w:rPr>
          <w:rFonts w:ascii="Times New Roman" w:eastAsia="Times New Roman" w:hAnsi="Times New Roman" w:cs="Times New Roman"/>
          <w:kern w:val="0"/>
          <w:sz w:val="24"/>
          <w:szCs w:val="24"/>
          <w:lang w:eastAsia="en-GB"/>
          <w14:ligatures w14:val="none"/>
        </w:rPr>
        <w:t xml:space="preserve"> </w:t>
      </w:r>
      <w:r w:rsidR="00CC3CA1">
        <w:rPr>
          <w:rFonts w:ascii="Arial" w:eastAsia="Times New Roman" w:hAnsi="Arial" w:cs="Arial"/>
          <w:kern w:val="0"/>
          <w:lang w:eastAsia="en-GB"/>
          <w14:ligatures w14:val="none"/>
        </w:rPr>
        <w:t>t</w:t>
      </w:r>
      <w:r w:rsidRPr="009655C4">
        <w:rPr>
          <w:rFonts w:ascii="Arial" w:hAnsi="Arial" w:cs="Arial"/>
        </w:rPr>
        <w:t xml:space="preserve">hese barriers may include understaffing, limited access to healthcare services, poor communication, lack of training, digital exclusion, and restrictive infection control policies. During the COVID-19 lockdowns, many of these issues were intensified, directly affecting the emotional, cognitive, </w:t>
      </w:r>
      <w:r w:rsidRPr="009655C4">
        <w:rPr>
          <w:rFonts w:ascii="Arial" w:hAnsi="Arial" w:cs="Arial"/>
        </w:rPr>
        <w:lastRenderedPageBreak/>
        <w:t>and physical wellbeing of residents</w:t>
      </w:r>
      <w:r w:rsidR="005A7E8F">
        <w:rPr>
          <w:rFonts w:ascii="Arial" w:hAnsi="Arial" w:cs="Arial"/>
        </w:rPr>
        <w:t xml:space="preserve"> </w:t>
      </w:r>
      <w:r w:rsidR="005A7E8F" w:rsidRPr="005A7E8F">
        <w:rPr>
          <w:rFonts w:ascii="Arial" w:eastAsia="Times New Roman" w:hAnsi="Arial" w:cs="Arial"/>
          <w:kern w:val="0"/>
          <w:lang w:eastAsia="en-GB"/>
          <w14:ligatures w14:val="none"/>
        </w:rPr>
        <w:t>(House of Commons, 2021)</w:t>
      </w:r>
      <w:r w:rsidRPr="009655C4">
        <w:rPr>
          <w:rFonts w:ascii="Arial" w:hAnsi="Arial" w:cs="Arial"/>
        </w:rPr>
        <w:t>. This theme focuses on how systemic weaknesses and pandemic-related restrictions reduced the quality of care delivered, linking directly to the dissertation’s aim of understanding how isolation worsened residents’ mental health outcomes during lockdown.</w:t>
      </w:r>
    </w:p>
    <w:p w14:paraId="56479130" w14:textId="77777777" w:rsidR="00040F4B" w:rsidRPr="00AD6FE9" w:rsidRDefault="00040F4B" w:rsidP="00040F4B">
      <w:pPr>
        <w:rPr>
          <w:rFonts w:ascii="Times New Roman" w:eastAsia="Times New Roman" w:hAnsi="Times New Roman" w:cs="Times New Roman"/>
          <w:kern w:val="0"/>
          <w:sz w:val="24"/>
          <w:szCs w:val="24"/>
          <w:lang w:eastAsia="en-GB"/>
          <w14:ligatures w14:val="none"/>
        </w:rPr>
      </w:pPr>
    </w:p>
    <w:p w14:paraId="4C45B33B" w14:textId="5429BA0C" w:rsidR="005D2185" w:rsidRDefault="002865F5" w:rsidP="002865F5">
      <w:pPr>
        <w:pStyle w:val="Heading4"/>
        <w:rPr>
          <w:rFonts w:ascii="Aptos" w:hAnsi="Aptos"/>
        </w:rPr>
      </w:pPr>
      <w:r w:rsidRPr="007063BA">
        <w:rPr>
          <w:rFonts w:ascii="Aptos" w:hAnsi="Aptos"/>
        </w:rPr>
        <w:t>Background Information</w:t>
      </w:r>
    </w:p>
    <w:p w14:paraId="493BDEDE" w14:textId="36332CFA" w:rsidR="005D2185" w:rsidRPr="000B769E" w:rsidRDefault="005D2185" w:rsidP="000A47DB">
      <w:pPr>
        <w:rPr>
          <w:rFonts w:ascii="Times New Roman" w:eastAsia="Times New Roman" w:hAnsi="Times New Roman" w:cs="Times New Roman"/>
          <w:kern w:val="0"/>
          <w:sz w:val="24"/>
          <w:szCs w:val="24"/>
          <w:lang w:eastAsia="en-GB"/>
          <w14:ligatures w14:val="none"/>
        </w:rPr>
      </w:pPr>
      <w:r w:rsidRPr="005D2185">
        <w:rPr>
          <w:rFonts w:ascii="Arial" w:hAnsi="Arial" w:cs="Arial"/>
        </w:rPr>
        <w:t>Before the COVID-19 pandemic, concerns about the quality of care in UK care homes were already well recognised</w:t>
      </w:r>
      <w:r w:rsidR="000B769E">
        <w:rPr>
          <w:rFonts w:ascii="Arial" w:hAnsi="Arial" w:cs="Arial"/>
        </w:rPr>
        <w:t xml:space="preserve"> </w:t>
      </w:r>
      <w:r w:rsidR="000B769E" w:rsidRPr="000B769E">
        <w:rPr>
          <w:rFonts w:ascii="Arial" w:eastAsia="Times New Roman" w:hAnsi="Arial" w:cs="Arial"/>
          <w:kern w:val="0"/>
          <w:lang w:eastAsia="en-GB"/>
          <w14:ligatures w14:val="none"/>
        </w:rPr>
        <w:t>(CQC, 2020b)</w:t>
      </w:r>
      <w:r w:rsidRPr="005D2185">
        <w:rPr>
          <w:rFonts w:ascii="Arial" w:hAnsi="Arial" w:cs="Arial"/>
        </w:rPr>
        <w:t>. Issues like chronic underfunding, limited staffing, and inconsistencies in care standards were highlighted in several CQC reports</w:t>
      </w:r>
      <w:r w:rsidR="003D0793">
        <w:rPr>
          <w:rFonts w:ascii="Arial" w:hAnsi="Arial" w:cs="Arial"/>
        </w:rPr>
        <w:t xml:space="preserve"> </w:t>
      </w:r>
      <w:r w:rsidR="00D23C78" w:rsidRPr="00D23C78">
        <w:rPr>
          <w:rFonts w:ascii="Arial" w:eastAsia="Times New Roman" w:hAnsi="Arial" w:cs="Arial"/>
          <w:kern w:val="0"/>
          <w:lang w:eastAsia="en-GB"/>
          <w14:ligatures w14:val="none"/>
        </w:rPr>
        <w:t>(CQC, 2019</w:t>
      </w:r>
      <w:r w:rsidR="009F3513">
        <w:rPr>
          <w:rFonts w:ascii="Arial" w:eastAsia="Times New Roman" w:hAnsi="Arial" w:cs="Arial"/>
          <w:kern w:val="0"/>
          <w:lang w:eastAsia="en-GB"/>
          <w14:ligatures w14:val="none"/>
        </w:rPr>
        <w:t xml:space="preserve">; </w:t>
      </w:r>
      <w:r w:rsidR="003D0793" w:rsidRPr="003D0793">
        <w:rPr>
          <w:rFonts w:ascii="Arial" w:eastAsia="Times New Roman" w:hAnsi="Arial" w:cs="Arial"/>
          <w:kern w:val="0"/>
          <w:lang w:eastAsia="en-GB"/>
          <w14:ligatures w14:val="none"/>
        </w:rPr>
        <w:t>CQC, 2022c)</w:t>
      </w:r>
      <w:r w:rsidRPr="005D2185">
        <w:rPr>
          <w:rFonts w:ascii="Arial" w:hAnsi="Arial" w:cs="Arial"/>
        </w:rPr>
        <w:t xml:space="preserve">. </w:t>
      </w:r>
      <w:r w:rsidR="00CA1134">
        <w:rPr>
          <w:rFonts w:ascii="Arial" w:hAnsi="Arial" w:cs="Arial"/>
        </w:rPr>
        <w:t xml:space="preserve">As per </w:t>
      </w:r>
      <w:r w:rsidR="00A55E07" w:rsidRPr="00A55E07">
        <w:rPr>
          <w:rFonts w:ascii="Arial" w:eastAsia="Times New Roman" w:hAnsi="Arial" w:cs="Arial"/>
          <w:kern w:val="0"/>
          <w:lang w:eastAsia="en-GB"/>
          <w14:ligatures w14:val="none"/>
        </w:rPr>
        <w:t xml:space="preserve">Dudman </w:t>
      </w:r>
      <w:r w:rsidR="00A55E07" w:rsidRPr="00A55E07">
        <w:rPr>
          <w:rFonts w:ascii="Arial" w:eastAsia="Times New Roman" w:hAnsi="Arial" w:cs="Arial"/>
          <w:i/>
          <w:iCs/>
          <w:kern w:val="0"/>
          <w:lang w:eastAsia="en-GB"/>
          <w14:ligatures w14:val="none"/>
        </w:rPr>
        <w:t>et al.</w:t>
      </w:r>
      <w:r w:rsidR="00B73653">
        <w:rPr>
          <w:rFonts w:ascii="Arial" w:eastAsia="Times New Roman" w:hAnsi="Arial" w:cs="Arial"/>
          <w:kern w:val="0"/>
          <w:lang w:eastAsia="en-GB"/>
          <w14:ligatures w14:val="none"/>
        </w:rPr>
        <w:t xml:space="preserve"> (2018), </w:t>
      </w:r>
      <w:r w:rsidRPr="005D2185">
        <w:rPr>
          <w:rFonts w:ascii="Arial" w:hAnsi="Arial" w:cs="Arial"/>
        </w:rPr>
        <w:t>Many homes were struggling to meet the complex needs of residents, especially those with dementia or multiple health conditions. When lockdowns were introduced</w:t>
      </w:r>
      <w:r w:rsidRPr="00DD0B88">
        <w:rPr>
          <w:rFonts w:ascii="Arial" w:hAnsi="Arial" w:cs="Arial"/>
        </w:rPr>
        <w:t>, these pre-existing pressures were pushed to breaking point. Staff had to manage rapidly changing guidance, often without the training or resources needed to deliver safe, dignified care</w:t>
      </w:r>
      <w:r w:rsidR="00BC7966" w:rsidRPr="00DD0B88">
        <w:rPr>
          <w:rFonts w:ascii="Arial" w:hAnsi="Arial" w:cs="Arial"/>
        </w:rPr>
        <w:t xml:space="preserve"> </w:t>
      </w:r>
      <w:r w:rsidR="00BC7966" w:rsidRPr="00DD0B88">
        <w:rPr>
          <w:rFonts w:ascii="Arial" w:eastAsia="Times New Roman" w:hAnsi="Arial" w:cs="Arial"/>
          <w:kern w:val="0"/>
          <w:lang w:eastAsia="en-GB"/>
          <w14:ligatures w14:val="none"/>
        </w:rPr>
        <w:t xml:space="preserve">(Marshall </w:t>
      </w:r>
      <w:r w:rsidR="00BC7966" w:rsidRPr="00DD0B88">
        <w:rPr>
          <w:rFonts w:ascii="Arial" w:eastAsia="Times New Roman" w:hAnsi="Arial" w:cs="Arial"/>
          <w:i/>
          <w:iCs/>
          <w:kern w:val="0"/>
          <w:lang w:eastAsia="en-GB"/>
          <w14:ligatures w14:val="none"/>
        </w:rPr>
        <w:t>et al.</w:t>
      </w:r>
      <w:r w:rsidR="00BC7966" w:rsidRPr="00DD0B88">
        <w:rPr>
          <w:rFonts w:ascii="Arial" w:eastAsia="Times New Roman" w:hAnsi="Arial" w:cs="Arial"/>
          <w:kern w:val="0"/>
          <w:lang w:eastAsia="en-GB"/>
          <w14:ligatures w14:val="none"/>
        </w:rPr>
        <w:t>, 2023)</w:t>
      </w:r>
      <w:r w:rsidRPr="00DD0B88">
        <w:rPr>
          <w:rFonts w:ascii="Arial" w:hAnsi="Arial" w:cs="Arial"/>
        </w:rPr>
        <w:t>. Limited access to GPs, therapists, and families made it harder to monitor health changes or respond early to problems</w:t>
      </w:r>
      <w:r w:rsidR="00503FA9" w:rsidRPr="00DD0B88">
        <w:rPr>
          <w:rFonts w:ascii="Arial" w:hAnsi="Arial" w:cs="Arial"/>
        </w:rPr>
        <w:t xml:space="preserve"> </w:t>
      </w:r>
      <w:r w:rsidR="00503FA9" w:rsidRPr="00DD0B88">
        <w:rPr>
          <w:rFonts w:ascii="Arial" w:eastAsia="Times New Roman" w:hAnsi="Arial" w:cs="Arial"/>
          <w:kern w:val="0"/>
          <w:lang w:eastAsia="en-GB"/>
          <w14:ligatures w14:val="none"/>
        </w:rPr>
        <w:t xml:space="preserve">(Marshall </w:t>
      </w:r>
      <w:r w:rsidR="00503FA9" w:rsidRPr="00DD0B88">
        <w:rPr>
          <w:rFonts w:ascii="Arial" w:eastAsia="Times New Roman" w:hAnsi="Arial" w:cs="Arial"/>
          <w:i/>
          <w:iCs/>
          <w:kern w:val="0"/>
          <w:lang w:eastAsia="en-GB"/>
          <w14:ligatures w14:val="none"/>
        </w:rPr>
        <w:t>et al.</w:t>
      </w:r>
      <w:r w:rsidR="00503FA9" w:rsidRPr="00DD0B88">
        <w:rPr>
          <w:rFonts w:ascii="Arial" w:eastAsia="Times New Roman" w:hAnsi="Arial" w:cs="Arial"/>
          <w:kern w:val="0"/>
          <w:lang w:eastAsia="en-GB"/>
          <w14:ligatures w14:val="none"/>
        </w:rPr>
        <w:t>, 2021</w:t>
      </w:r>
      <w:r w:rsidR="00503FA9" w:rsidRPr="00DD0B88">
        <w:rPr>
          <w:rFonts w:ascii="Arial" w:hAnsi="Arial" w:cs="Arial"/>
          <w:lang w:eastAsia="en-GB"/>
        </w:rPr>
        <w:t>)</w:t>
      </w:r>
      <w:r w:rsidRPr="00DD0B88">
        <w:rPr>
          <w:rFonts w:ascii="Arial" w:hAnsi="Arial" w:cs="Arial"/>
        </w:rPr>
        <w:t xml:space="preserve">. </w:t>
      </w:r>
      <w:r w:rsidR="00DD0B88" w:rsidRPr="00DD0B88">
        <w:rPr>
          <w:rFonts w:ascii="Arial" w:hAnsi="Arial" w:cs="Arial"/>
        </w:rPr>
        <w:t>While infection control was essential, it often caused staff time and resources to be diverted to PPE protocols, frequent testing and deep cleaning routines, leaving little time for social engagement, cognitive stimulation or emotional support</w:t>
      </w:r>
      <w:r w:rsidR="00B17942" w:rsidRPr="00DD0B88">
        <w:rPr>
          <w:rFonts w:ascii="Arial" w:hAnsi="Arial" w:cs="Arial"/>
        </w:rPr>
        <w:t xml:space="preserve"> </w:t>
      </w:r>
      <w:r w:rsidR="00EF2988" w:rsidRPr="00DD0B88">
        <w:rPr>
          <w:rFonts w:ascii="Arial" w:hAnsi="Arial" w:cs="Arial"/>
          <w:lang w:eastAsia="en-GB"/>
        </w:rPr>
        <w:t>(CQC</w:t>
      </w:r>
      <w:r w:rsidR="00EF2988" w:rsidRPr="00DD0B88">
        <w:rPr>
          <w:rFonts w:ascii="Arial" w:eastAsia="Times New Roman" w:hAnsi="Arial" w:cs="Arial"/>
          <w:kern w:val="0"/>
          <w:lang w:eastAsia="en-GB"/>
          <w14:ligatures w14:val="none"/>
        </w:rPr>
        <w:t>, 2022a)</w:t>
      </w:r>
      <w:r w:rsidRPr="00DD0B88">
        <w:rPr>
          <w:rFonts w:ascii="Arial" w:hAnsi="Arial" w:cs="Arial"/>
        </w:rPr>
        <w:t>.</w:t>
      </w:r>
      <w:r w:rsidRPr="005D2185">
        <w:rPr>
          <w:rFonts w:ascii="Arial" w:hAnsi="Arial" w:cs="Arial"/>
        </w:rPr>
        <w:t xml:space="preserve"> This theme focuses on how those systemic barriers affected care during lockdowns and connects back to Chapter 2 by showing how national-level gaps translated into real-world challenges for vulnerable residents. Understanding this context helps us better evaluate the failures and potential improvements in future crisis responses.</w:t>
      </w:r>
    </w:p>
    <w:p w14:paraId="04EB3D4D" w14:textId="1C967DBD" w:rsidR="00FB7560" w:rsidRDefault="002865F5" w:rsidP="002865F5">
      <w:pPr>
        <w:pStyle w:val="Heading4"/>
        <w:rPr>
          <w:rFonts w:ascii="Aptos" w:hAnsi="Aptos"/>
        </w:rPr>
      </w:pPr>
      <w:r w:rsidRPr="007063BA">
        <w:rPr>
          <w:rFonts w:ascii="Aptos" w:hAnsi="Aptos"/>
        </w:rPr>
        <w:t>Impact on Research Question</w:t>
      </w:r>
    </w:p>
    <w:p w14:paraId="57E1AA26" w14:textId="65E8E0E1" w:rsidR="00FB7560" w:rsidRPr="00BB30CC" w:rsidRDefault="00FB7560" w:rsidP="005B2854">
      <w:pPr>
        <w:rPr>
          <w:rFonts w:ascii="Times New Roman" w:eastAsia="Times New Roman" w:hAnsi="Times New Roman" w:cs="Times New Roman"/>
          <w:kern w:val="0"/>
          <w:sz w:val="24"/>
          <w:szCs w:val="24"/>
          <w:lang w:eastAsia="en-GB"/>
          <w14:ligatures w14:val="none"/>
        </w:rPr>
      </w:pPr>
      <w:r w:rsidRPr="00FB7560">
        <w:rPr>
          <w:rFonts w:ascii="Arial" w:hAnsi="Arial" w:cs="Arial"/>
        </w:rPr>
        <w:t>This theme directly supports the research question by highlighting how systemic barriers made it harder to maintain emotional, cognitive, and physical wellbeing for older people during lockdowns</w:t>
      </w:r>
      <w:r w:rsidR="001C702C">
        <w:rPr>
          <w:rFonts w:ascii="Arial" w:hAnsi="Arial" w:cs="Arial"/>
        </w:rPr>
        <w:t xml:space="preserve"> </w:t>
      </w:r>
      <w:r w:rsidR="00212BBB" w:rsidRPr="00212BBB">
        <w:rPr>
          <w:rFonts w:ascii="Arial" w:eastAsia="Times New Roman" w:hAnsi="Arial" w:cs="Arial"/>
          <w:kern w:val="0"/>
          <w:lang w:eastAsia="en-GB"/>
          <w14:ligatures w14:val="none"/>
        </w:rPr>
        <w:t xml:space="preserve">(Sims </w:t>
      </w:r>
      <w:r w:rsidR="00212BBB" w:rsidRPr="00212BBB">
        <w:rPr>
          <w:rFonts w:ascii="Arial" w:eastAsia="Times New Roman" w:hAnsi="Arial" w:cs="Arial"/>
          <w:i/>
          <w:iCs/>
          <w:kern w:val="0"/>
          <w:lang w:eastAsia="en-GB"/>
          <w14:ligatures w14:val="none"/>
        </w:rPr>
        <w:t>et al.</w:t>
      </w:r>
      <w:r w:rsidR="00212BBB" w:rsidRPr="00212BBB">
        <w:rPr>
          <w:rFonts w:ascii="Arial" w:eastAsia="Times New Roman" w:hAnsi="Arial" w:cs="Arial"/>
          <w:kern w:val="0"/>
          <w:lang w:eastAsia="en-GB"/>
          <w14:ligatures w14:val="none"/>
        </w:rPr>
        <w:t>, 2024</w:t>
      </w:r>
      <w:r w:rsidR="00212BBB">
        <w:rPr>
          <w:rFonts w:ascii="Arial" w:eastAsia="Times New Roman" w:hAnsi="Arial" w:cs="Arial"/>
          <w:kern w:val="0"/>
          <w:lang w:eastAsia="en-GB"/>
          <w14:ligatures w14:val="none"/>
        </w:rPr>
        <w:t xml:space="preserve">; </w:t>
      </w:r>
      <w:r w:rsidR="00BB30CC" w:rsidRPr="00BB30CC">
        <w:rPr>
          <w:rFonts w:ascii="Arial" w:eastAsia="Times New Roman" w:hAnsi="Arial" w:cs="Arial"/>
          <w:kern w:val="0"/>
          <w:lang w:eastAsia="en-GB"/>
          <w14:ligatures w14:val="none"/>
        </w:rPr>
        <w:t xml:space="preserve">Vickery </w:t>
      </w:r>
      <w:r w:rsidR="00BB30CC" w:rsidRPr="00BB30CC">
        <w:rPr>
          <w:rFonts w:ascii="Arial" w:eastAsia="Times New Roman" w:hAnsi="Arial" w:cs="Arial"/>
          <w:i/>
          <w:iCs/>
          <w:kern w:val="0"/>
          <w:lang w:eastAsia="en-GB"/>
          <w14:ligatures w14:val="none"/>
        </w:rPr>
        <w:t>et al.</w:t>
      </w:r>
      <w:r w:rsidR="00BB30CC" w:rsidRPr="00BB30CC">
        <w:rPr>
          <w:rFonts w:ascii="Arial" w:eastAsia="Times New Roman" w:hAnsi="Arial" w:cs="Arial"/>
          <w:kern w:val="0"/>
          <w:lang w:eastAsia="en-GB"/>
          <w14:ligatures w14:val="none"/>
        </w:rPr>
        <w:t>, 2023)</w:t>
      </w:r>
      <w:r w:rsidRPr="00FB7560">
        <w:rPr>
          <w:rFonts w:ascii="Arial" w:hAnsi="Arial" w:cs="Arial"/>
        </w:rPr>
        <w:t>. The pandemic did</w:t>
      </w:r>
      <w:r w:rsidR="002D60B7">
        <w:rPr>
          <w:rFonts w:ascii="Arial" w:hAnsi="Arial" w:cs="Arial"/>
        </w:rPr>
        <w:t xml:space="preserve"> no</w:t>
      </w:r>
      <w:r w:rsidRPr="00FB7560">
        <w:rPr>
          <w:rFonts w:ascii="Arial" w:hAnsi="Arial" w:cs="Arial"/>
        </w:rPr>
        <w:t>t just expose existing weaknesses</w:t>
      </w:r>
      <w:r>
        <w:rPr>
          <w:rFonts w:ascii="Arial" w:hAnsi="Arial" w:cs="Arial"/>
        </w:rPr>
        <w:t xml:space="preserve">; </w:t>
      </w:r>
      <w:r w:rsidRPr="00FB7560">
        <w:rPr>
          <w:rFonts w:ascii="Arial" w:hAnsi="Arial" w:cs="Arial"/>
        </w:rPr>
        <w:t>it deepened them. Staff shortages, lack of PPE, restricted family visits, and limited access to external healthcare services all disrupted the usual standards of care</w:t>
      </w:r>
      <w:r w:rsidR="0009661D">
        <w:rPr>
          <w:rFonts w:ascii="Arial" w:hAnsi="Arial" w:cs="Arial"/>
        </w:rPr>
        <w:t xml:space="preserve"> </w:t>
      </w:r>
      <w:r w:rsidR="0009661D" w:rsidRPr="0009661D">
        <w:rPr>
          <w:rFonts w:ascii="Arial" w:eastAsia="Times New Roman" w:hAnsi="Arial" w:cs="Arial"/>
          <w:kern w:val="0"/>
          <w:lang w:eastAsia="en-GB"/>
          <w14:ligatures w14:val="none"/>
        </w:rPr>
        <w:t xml:space="preserve">(SCIE, </w:t>
      </w:r>
      <w:r w:rsidR="0009661D" w:rsidRPr="00201AC4">
        <w:rPr>
          <w:rFonts w:ascii="Arial" w:eastAsia="Times New Roman" w:hAnsi="Arial" w:cs="Arial"/>
          <w:kern w:val="0"/>
          <w:lang w:eastAsia="en-GB"/>
          <w14:ligatures w14:val="none"/>
        </w:rPr>
        <w:t>2022b)</w:t>
      </w:r>
      <w:r w:rsidRPr="00201AC4">
        <w:rPr>
          <w:rFonts w:ascii="Arial" w:hAnsi="Arial" w:cs="Arial"/>
        </w:rPr>
        <w:t xml:space="preserve">. These factors made it more difficult to identify early signs of depression, cognitive decline, or physical deterioration, which are core concerns of this dissertation. </w:t>
      </w:r>
      <w:r w:rsidR="00201AC4" w:rsidRPr="00201AC4">
        <w:rPr>
          <w:rFonts w:ascii="Arial" w:hAnsi="Arial" w:cs="Arial"/>
        </w:rPr>
        <w:t>The theme explores the factors that contribute to loneliness and mental health issues among residents; it was not just isolation, but also the strain on the care system</w:t>
      </w:r>
      <w:r w:rsidR="00201AC4" w:rsidRPr="00201AC4">
        <w:rPr>
          <w:rFonts w:ascii="Arial" w:hAnsi="Arial" w:cs="Arial"/>
        </w:rPr>
        <w:t xml:space="preserve"> </w:t>
      </w:r>
      <w:r w:rsidR="009B7DAC" w:rsidRPr="00201AC4">
        <w:rPr>
          <w:rFonts w:ascii="Arial" w:eastAsia="Times New Roman" w:hAnsi="Arial" w:cs="Arial"/>
          <w:kern w:val="0"/>
          <w:lang w:eastAsia="en-GB"/>
          <w14:ligatures w14:val="none"/>
        </w:rPr>
        <w:t xml:space="preserve">(Dunn, Ewbank and </w:t>
      </w:r>
      <w:proofErr w:type="spellStart"/>
      <w:r w:rsidR="009B7DAC" w:rsidRPr="00201AC4">
        <w:rPr>
          <w:rFonts w:ascii="Arial" w:eastAsia="Times New Roman" w:hAnsi="Arial" w:cs="Arial"/>
          <w:kern w:val="0"/>
          <w:lang w:eastAsia="en-GB"/>
          <w14:ligatures w14:val="none"/>
        </w:rPr>
        <w:t>Alderwick</w:t>
      </w:r>
      <w:proofErr w:type="spellEnd"/>
      <w:r w:rsidR="009B7DAC" w:rsidRPr="00201AC4">
        <w:rPr>
          <w:rFonts w:ascii="Arial" w:eastAsia="Times New Roman" w:hAnsi="Arial" w:cs="Arial"/>
          <w:kern w:val="0"/>
          <w:lang w:eastAsia="en-GB"/>
          <w14:ligatures w14:val="none"/>
        </w:rPr>
        <w:t>, 2023)</w:t>
      </w:r>
      <w:r w:rsidRPr="00201AC4">
        <w:rPr>
          <w:rFonts w:ascii="Arial" w:hAnsi="Arial" w:cs="Arial"/>
        </w:rPr>
        <w:t>.</w:t>
      </w:r>
      <w:r w:rsidRPr="00FB7560">
        <w:rPr>
          <w:rFonts w:ascii="Arial" w:hAnsi="Arial" w:cs="Arial"/>
        </w:rPr>
        <w:t xml:space="preserve"> This builds on previous themes by focusing on how care delivery was impacted, and helps answer the overall research question by </w:t>
      </w:r>
      <w:r w:rsidR="00EE2BAB" w:rsidRPr="00FB7560">
        <w:rPr>
          <w:rFonts w:ascii="Arial" w:hAnsi="Arial" w:cs="Arial"/>
        </w:rPr>
        <w:t>connecting</w:t>
      </w:r>
      <w:r w:rsidRPr="00FB7560">
        <w:rPr>
          <w:rFonts w:ascii="Arial" w:hAnsi="Arial" w:cs="Arial"/>
        </w:rPr>
        <w:t xml:space="preserve"> the quality of care directly to the residents' psychological outcomes during COVID-19 lockdowns.</w:t>
      </w:r>
    </w:p>
    <w:p w14:paraId="54B244D8" w14:textId="7AAE1F14" w:rsidR="002865F5" w:rsidRPr="007063BA" w:rsidRDefault="002865F5" w:rsidP="002865F5">
      <w:pPr>
        <w:pStyle w:val="Heading4"/>
        <w:rPr>
          <w:rFonts w:ascii="Aptos" w:hAnsi="Aptos"/>
        </w:rPr>
      </w:pPr>
      <w:r w:rsidRPr="007063BA">
        <w:rPr>
          <w:rFonts w:ascii="Aptos" w:hAnsi="Aptos"/>
        </w:rPr>
        <w:lastRenderedPageBreak/>
        <w:t>Statistical Information</w:t>
      </w:r>
    </w:p>
    <w:p w14:paraId="3D1CFC23" w14:textId="4D105D01" w:rsidR="000A65CA" w:rsidRPr="00EF317C" w:rsidRDefault="00EF317C" w:rsidP="00EF317C">
      <w:pPr>
        <w:rPr>
          <w:rFonts w:ascii="Arial" w:hAnsi="Arial" w:cs="Arial"/>
          <w:sz w:val="24"/>
          <w:szCs w:val="24"/>
        </w:rPr>
      </w:pPr>
      <w:r w:rsidRPr="00EF317C">
        <w:rPr>
          <w:rFonts w:ascii="Arial" w:hAnsi="Arial" w:cs="Arial"/>
        </w:rPr>
        <w:t>The table reveals significant barriers to quality care in the UK's social care system, worsened by the COVID-19 pandemic. Key issues include a reduction in publicly funded long-term care, staffing shortages, long assessment waiting times, digital exclusion, and unmet care needs. These factors contribute to increased social isolation, loneliness, and mental health decline among elderly care home residents. The data highlights systemic inadequacies and the urgent need for policy and resource improvements to enhance care quality and accessibility</w:t>
      </w:r>
      <w:r w:rsidR="000A65CA" w:rsidRPr="00EF317C">
        <w:rPr>
          <w:rFonts w:ascii="Arial" w:hAnsi="Arial" w:cs="Arial"/>
        </w:rPr>
        <w:t>.</w:t>
      </w:r>
    </w:p>
    <w:p w14:paraId="2A58ABBC" w14:textId="07CCBE44" w:rsidR="00E92CF6" w:rsidRDefault="00E92CF6">
      <w:pPr>
        <w:spacing w:line="259" w:lineRule="auto"/>
        <w:jc w:val="left"/>
      </w:pPr>
      <w:r w:rsidRPr="00EF317C">
        <w:rPr>
          <w:rFonts w:ascii="Arial" w:hAnsi="Arial" w:cs="Arial"/>
          <w:noProof/>
        </w:rPr>
        <w:drawing>
          <wp:anchor distT="0" distB="0" distL="114300" distR="114300" simplePos="0" relativeHeight="251667456" behindDoc="0" locked="0" layoutInCell="1" allowOverlap="1" wp14:anchorId="16EE14E3" wp14:editId="28A4953E">
            <wp:simplePos x="0" y="0"/>
            <wp:positionH relativeFrom="column">
              <wp:posOffset>-600075</wp:posOffset>
            </wp:positionH>
            <wp:positionV relativeFrom="paragraph">
              <wp:posOffset>34764</wp:posOffset>
            </wp:positionV>
            <wp:extent cx="7082155" cy="4171950"/>
            <wp:effectExtent l="0" t="0" r="4445" b="0"/>
            <wp:wrapNone/>
            <wp:docPr id="747520886" name="Picture 1" descr="A table with green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520886" name="Picture 1" descr="A table with green square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7082155" cy="4171950"/>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28E29938" w14:textId="77777777" w:rsidR="002865F5" w:rsidRPr="007063BA" w:rsidRDefault="002865F5" w:rsidP="002865F5">
      <w:pPr>
        <w:pStyle w:val="Heading4"/>
        <w:rPr>
          <w:rFonts w:ascii="Aptos" w:hAnsi="Aptos"/>
        </w:rPr>
      </w:pPr>
      <w:r w:rsidRPr="007063BA">
        <w:rPr>
          <w:rFonts w:ascii="Aptos" w:hAnsi="Aptos"/>
        </w:rPr>
        <w:lastRenderedPageBreak/>
        <w:t>Theories, Policies, and Legislation</w:t>
      </w:r>
    </w:p>
    <w:p w14:paraId="6812E5EB" w14:textId="4A346198" w:rsidR="00F507C3" w:rsidRPr="0043124F" w:rsidRDefault="00F507C3" w:rsidP="00FF748A">
      <w:pPr>
        <w:rPr>
          <w:rFonts w:ascii="Times New Roman" w:eastAsia="Times New Roman" w:hAnsi="Times New Roman" w:cs="Times New Roman"/>
          <w:kern w:val="0"/>
          <w:sz w:val="24"/>
          <w:szCs w:val="24"/>
          <w:lang w:eastAsia="en-GB"/>
          <w14:ligatures w14:val="none"/>
        </w:rPr>
      </w:pPr>
      <w:r w:rsidRPr="00F507C3">
        <w:rPr>
          <w:rFonts w:ascii="Arial" w:hAnsi="Arial" w:cs="Arial"/>
        </w:rPr>
        <w:t>To understand the barriers to quality of care in UK care homes during the COVID-19 pandemic, it is essential to explore the relevant theoretical frameworks and legislative policies. Donabedian's model of care quality</w:t>
      </w:r>
      <w:r w:rsidR="006D1B7C">
        <w:rPr>
          <w:rFonts w:ascii="Arial" w:hAnsi="Arial" w:cs="Arial"/>
        </w:rPr>
        <w:t xml:space="preserve"> (2005) </w:t>
      </w:r>
      <w:r w:rsidRPr="00F507C3">
        <w:rPr>
          <w:rFonts w:ascii="Arial" w:hAnsi="Arial" w:cs="Arial"/>
        </w:rPr>
        <w:t xml:space="preserve"> provides a helpful lens, breaking quality down into three domains: structure, process, and outcomes</w:t>
      </w:r>
      <w:r w:rsidR="0043124F">
        <w:rPr>
          <w:rFonts w:ascii="Arial" w:hAnsi="Arial" w:cs="Arial"/>
        </w:rPr>
        <w:t xml:space="preserve"> </w:t>
      </w:r>
      <w:r w:rsidR="0043124F" w:rsidRPr="0043124F">
        <w:rPr>
          <w:rFonts w:ascii="Arial" w:eastAsia="Times New Roman" w:hAnsi="Arial" w:cs="Arial"/>
          <w:kern w:val="0"/>
          <w:lang w:eastAsia="en-GB"/>
          <w14:ligatures w14:val="none"/>
        </w:rPr>
        <w:t>(NHS Improvement, 2021)</w:t>
      </w:r>
      <w:r w:rsidRPr="00F507C3">
        <w:rPr>
          <w:rFonts w:ascii="Arial" w:hAnsi="Arial" w:cs="Arial"/>
        </w:rPr>
        <w:t xml:space="preserve">. For example, understaffing and PPE shortages (structure) led to disrupted care routines (process), ultimately resulting in increased </w:t>
      </w:r>
      <w:r w:rsidR="0043124F">
        <w:rPr>
          <w:rFonts w:ascii="Arial" w:hAnsi="Arial" w:cs="Arial"/>
        </w:rPr>
        <w:t>depression and loneliness</w:t>
      </w:r>
      <w:r w:rsidRPr="00F507C3">
        <w:rPr>
          <w:rFonts w:ascii="Arial" w:hAnsi="Arial" w:cs="Arial"/>
        </w:rPr>
        <w:t xml:space="preserve"> in residents (outcomes).</w:t>
      </w:r>
    </w:p>
    <w:p w14:paraId="380B5D8F" w14:textId="10736A7E" w:rsidR="00F507C3" w:rsidRPr="003536F9" w:rsidRDefault="00F507C3" w:rsidP="00FF748A">
      <w:pPr>
        <w:rPr>
          <w:rFonts w:ascii="Times New Roman" w:eastAsia="Times New Roman" w:hAnsi="Times New Roman" w:cs="Times New Roman"/>
          <w:kern w:val="0"/>
          <w:sz w:val="24"/>
          <w:szCs w:val="24"/>
          <w:lang w:eastAsia="en-GB"/>
          <w14:ligatures w14:val="none"/>
        </w:rPr>
      </w:pPr>
      <w:r w:rsidRPr="00F507C3">
        <w:rPr>
          <w:rFonts w:ascii="Arial" w:hAnsi="Arial" w:cs="Arial"/>
        </w:rPr>
        <w:t xml:space="preserve">In terms of policy, the Care Act </w:t>
      </w:r>
      <w:r w:rsidR="00232CDB">
        <w:rPr>
          <w:rFonts w:ascii="Arial" w:hAnsi="Arial" w:cs="Arial"/>
        </w:rPr>
        <w:t>(</w:t>
      </w:r>
      <w:r w:rsidRPr="00F507C3">
        <w:rPr>
          <w:rFonts w:ascii="Arial" w:hAnsi="Arial" w:cs="Arial"/>
        </w:rPr>
        <w:t>2014</w:t>
      </w:r>
      <w:r w:rsidR="00232CDB">
        <w:rPr>
          <w:rFonts w:ascii="Arial" w:hAnsi="Arial" w:cs="Arial"/>
        </w:rPr>
        <w:t>)</w:t>
      </w:r>
      <w:r w:rsidRPr="00F507C3">
        <w:rPr>
          <w:rFonts w:ascii="Arial" w:hAnsi="Arial" w:cs="Arial"/>
        </w:rPr>
        <w:t xml:space="preserve"> is central, setting out local authorities' responsibilities to promote individual wellbeing and prevent care needs from escalating. However, during the pandemic, the Coronavirus Act </w:t>
      </w:r>
      <w:r w:rsidR="00232CDB">
        <w:rPr>
          <w:rFonts w:ascii="Arial" w:hAnsi="Arial" w:cs="Arial"/>
        </w:rPr>
        <w:t>(</w:t>
      </w:r>
      <w:r w:rsidRPr="00F507C3">
        <w:rPr>
          <w:rFonts w:ascii="Arial" w:hAnsi="Arial" w:cs="Arial"/>
        </w:rPr>
        <w:t>2020</w:t>
      </w:r>
      <w:r w:rsidR="00232CDB">
        <w:rPr>
          <w:rFonts w:ascii="Arial" w:hAnsi="Arial" w:cs="Arial"/>
        </w:rPr>
        <w:t>)</w:t>
      </w:r>
      <w:r w:rsidRPr="00F507C3">
        <w:rPr>
          <w:rFonts w:ascii="Arial" w:hAnsi="Arial" w:cs="Arial"/>
        </w:rPr>
        <w:t xml:space="preserve"> temporarily relaxed some of these duties, allowing local authorities to prioritise resources</w:t>
      </w:r>
      <w:r w:rsidR="003536F9">
        <w:rPr>
          <w:rFonts w:ascii="Arial" w:hAnsi="Arial" w:cs="Arial"/>
        </w:rPr>
        <w:t xml:space="preserve"> </w:t>
      </w:r>
      <w:r w:rsidR="003536F9" w:rsidRPr="003536F9">
        <w:rPr>
          <w:rFonts w:ascii="Arial" w:eastAsia="Times New Roman" w:hAnsi="Arial" w:cs="Arial"/>
          <w:kern w:val="0"/>
          <w:lang w:eastAsia="en-GB"/>
          <w14:ligatures w14:val="none"/>
        </w:rPr>
        <w:t>(Department of Health and Social Care, 2021)</w:t>
      </w:r>
      <w:r w:rsidRPr="00F507C3">
        <w:rPr>
          <w:rFonts w:ascii="Arial" w:hAnsi="Arial" w:cs="Arial"/>
        </w:rPr>
        <w:t>. This raised concerns over the dilution of person-centred care</w:t>
      </w:r>
      <w:r w:rsidR="00FF748A">
        <w:rPr>
          <w:rFonts w:ascii="Arial" w:hAnsi="Arial" w:cs="Arial"/>
        </w:rPr>
        <w:t xml:space="preserve"> </w:t>
      </w:r>
      <w:r w:rsidR="00FF748A" w:rsidRPr="00FF748A">
        <w:rPr>
          <w:rFonts w:ascii="Arial" w:eastAsia="Times New Roman" w:hAnsi="Arial" w:cs="Arial"/>
          <w:kern w:val="0"/>
          <w:lang w:eastAsia="en-GB"/>
          <w14:ligatures w14:val="none"/>
        </w:rPr>
        <w:t>(SCIE, 2022a)</w:t>
      </w:r>
      <w:r w:rsidRPr="00F507C3">
        <w:rPr>
          <w:rFonts w:ascii="Arial" w:hAnsi="Arial" w:cs="Arial"/>
        </w:rPr>
        <w:t>.</w:t>
      </w:r>
    </w:p>
    <w:p w14:paraId="27111416" w14:textId="19BA600F" w:rsidR="00F507C3" w:rsidRPr="00D950A1" w:rsidRDefault="00F507C3" w:rsidP="009A33A8">
      <w:pPr>
        <w:rPr>
          <w:rFonts w:ascii="Times New Roman" w:eastAsia="Times New Roman" w:hAnsi="Times New Roman" w:cs="Times New Roman"/>
          <w:kern w:val="0"/>
          <w:sz w:val="24"/>
          <w:szCs w:val="24"/>
          <w:lang w:eastAsia="en-GB"/>
          <w14:ligatures w14:val="none"/>
        </w:rPr>
      </w:pPr>
      <w:r w:rsidRPr="00F507C3">
        <w:rPr>
          <w:rFonts w:ascii="Arial" w:hAnsi="Arial" w:cs="Arial"/>
        </w:rPr>
        <w:t xml:space="preserve">Further guidance came from Public Health England </w:t>
      </w:r>
      <w:r w:rsidR="00D950A1">
        <w:rPr>
          <w:rFonts w:ascii="Arial" w:hAnsi="Arial" w:cs="Arial"/>
        </w:rPr>
        <w:t xml:space="preserve">(now UK Health Security Agency) </w:t>
      </w:r>
      <w:r w:rsidRPr="00F507C3">
        <w:rPr>
          <w:rFonts w:ascii="Arial" w:hAnsi="Arial" w:cs="Arial"/>
        </w:rPr>
        <w:t>and the Department of Health and Social Care, including infection control protocols</w:t>
      </w:r>
      <w:r w:rsidR="00D950A1">
        <w:rPr>
          <w:rFonts w:ascii="Arial" w:hAnsi="Arial" w:cs="Arial"/>
        </w:rPr>
        <w:t xml:space="preserve"> </w:t>
      </w:r>
      <w:r w:rsidR="00D950A1" w:rsidRPr="00D950A1">
        <w:rPr>
          <w:rFonts w:ascii="Arial" w:eastAsia="Times New Roman" w:hAnsi="Arial" w:cs="Arial"/>
          <w:kern w:val="0"/>
          <w:lang w:eastAsia="en-GB"/>
          <w14:ligatures w14:val="none"/>
        </w:rPr>
        <w:t>(NHS England, 2022)</w:t>
      </w:r>
      <w:r w:rsidRPr="00F507C3">
        <w:rPr>
          <w:rFonts w:ascii="Arial" w:hAnsi="Arial" w:cs="Arial"/>
        </w:rPr>
        <w:t>. Yet</w:t>
      </w:r>
      <w:r>
        <w:rPr>
          <w:rFonts w:ascii="Arial" w:hAnsi="Arial" w:cs="Arial"/>
        </w:rPr>
        <w:t>,</w:t>
      </w:r>
      <w:r w:rsidRPr="00F507C3">
        <w:rPr>
          <w:rFonts w:ascii="Arial" w:hAnsi="Arial" w:cs="Arial"/>
        </w:rPr>
        <w:t xml:space="preserve"> inconsistent implementation and communication challenges often undermined their effectiveness</w:t>
      </w:r>
      <w:r w:rsidR="009A33A8">
        <w:rPr>
          <w:rFonts w:ascii="Arial" w:hAnsi="Arial" w:cs="Arial"/>
        </w:rPr>
        <w:t xml:space="preserve"> </w:t>
      </w:r>
      <w:r w:rsidR="009A33A8" w:rsidRPr="009A33A8">
        <w:rPr>
          <w:rFonts w:ascii="Arial" w:eastAsia="Times New Roman" w:hAnsi="Arial" w:cs="Arial"/>
          <w:kern w:val="0"/>
          <w:lang w:eastAsia="en-GB"/>
          <w14:ligatures w14:val="none"/>
        </w:rPr>
        <w:t>(CQC, 2020b)</w:t>
      </w:r>
      <w:r w:rsidRPr="00F507C3">
        <w:rPr>
          <w:rFonts w:ascii="Arial" w:hAnsi="Arial" w:cs="Arial"/>
        </w:rPr>
        <w:t>.</w:t>
      </w:r>
    </w:p>
    <w:p w14:paraId="553C615D" w14:textId="77777777" w:rsidR="00F507C3" w:rsidRPr="00F507C3" w:rsidRDefault="00F507C3" w:rsidP="00F507C3">
      <w:pPr>
        <w:pStyle w:val="NormalWeb"/>
        <w:spacing w:line="360" w:lineRule="auto"/>
        <w:jc w:val="both"/>
        <w:rPr>
          <w:rFonts w:ascii="Arial" w:hAnsi="Arial" w:cs="Arial"/>
          <w:sz w:val="22"/>
          <w:szCs w:val="22"/>
        </w:rPr>
      </w:pPr>
      <w:r w:rsidRPr="00F507C3">
        <w:rPr>
          <w:rFonts w:ascii="Arial" w:hAnsi="Arial" w:cs="Arial"/>
          <w:sz w:val="22"/>
          <w:szCs w:val="22"/>
        </w:rPr>
        <w:t>Altogether, these theories and policies reveal both structural weaknesses and systemic gaps. They help explain why care homes struggled to deliver consistent, high-quality care during the pandemic. Analysing these frameworks highlights the need for policy reform and more resilient systems in future public health crises.</w:t>
      </w:r>
    </w:p>
    <w:p w14:paraId="58DF5BCB" w14:textId="77777777" w:rsidR="00292601" w:rsidRPr="007063BA" w:rsidRDefault="00292601" w:rsidP="00F507C3">
      <w:pPr>
        <w:spacing w:before="100" w:beforeAutospacing="1" w:after="100" w:afterAutospacing="1"/>
        <w:jc w:val="left"/>
      </w:pPr>
    </w:p>
    <w:p w14:paraId="67C4F09B" w14:textId="614E7C02" w:rsidR="003627A6" w:rsidRDefault="002865F5" w:rsidP="00FE5C58">
      <w:pPr>
        <w:pStyle w:val="Heading4"/>
        <w:rPr>
          <w:rFonts w:ascii="Aptos" w:hAnsi="Aptos"/>
        </w:rPr>
      </w:pPr>
      <w:r w:rsidRPr="007063BA">
        <w:rPr>
          <w:rFonts w:ascii="Aptos" w:hAnsi="Aptos"/>
        </w:rPr>
        <w:t>Implications</w:t>
      </w:r>
    </w:p>
    <w:p w14:paraId="1EFC02E8" w14:textId="5471FE51" w:rsidR="003627A6" w:rsidRPr="00EE35F8" w:rsidRDefault="003627A6" w:rsidP="00457A1F">
      <w:pPr>
        <w:rPr>
          <w:rFonts w:ascii="Times New Roman" w:eastAsia="Times New Roman" w:hAnsi="Times New Roman" w:cs="Times New Roman"/>
          <w:kern w:val="0"/>
          <w:sz w:val="24"/>
          <w:szCs w:val="24"/>
          <w:lang w:eastAsia="en-GB"/>
          <w14:ligatures w14:val="none"/>
        </w:rPr>
      </w:pPr>
      <w:r w:rsidRPr="00C056D6">
        <w:rPr>
          <w:rFonts w:ascii="Arial" w:hAnsi="Arial" w:cs="Arial"/>
        </w:rPr>
        <w:t>Barriers to quality care during the COVID-19 lockdowns had both harmful and instructive outcomes. Staff shortages, inconsistent infection control, and limited family visits led to delays in care and reduced emotional support, worsening residents’ health</w:t>
      </w:r>
      <w:r w:rsidR="001F0408">
        <w:rPr>
          <w:rFonts w:ascii="Arial" w:hAnsi="Arial" w:cs="Arial"/>
        </w:rPr>
        <w:t xml:space="preserve"> </w:t>
      </w:r>
      <w:r w:rsidR="00EE35F8" w:rsidRPr="00EE35F8">
        <w:rPr>
          <w:rFonts w:ascii="Arial" w:eastAsia="Times New Roman" w:hAnsi="Arial" w:cs="Arial"/>
          <w:kern w:val="0"/>
          <w:lang w:eastAsia="en-GB"/>
          <w14:ligatures w14:val="none"/>
        </w:rPr>
        <w:t>(CQC, 2022c)</w:t>
      </w:r>
      <w:r w:rsidRPr="00C056D6">
        <w:rPr>
          <w:rFonts w:ascii="Arial" w:hAnsi="Arial" w:cs="Arial"/>
        </w:rPr>
        <w:t>. Many struggled with unmet needs due to digital exclusion and limited access to services</w:t>
      </w:r>
      <w:r w:rsidR="00EE35F8">
        <w:rPr>
          <w:rFonts w:ascii="Arial" w:hAnsi="Arial" w:cs="Arial"/>
        </w:rPr>
        <w:t xml:space="preserve"> </w:t>
      </w:r>
      <w:r w:rsidR="00DE6107" w:rsidRPr="00DE6107">
        <w:rPr>
          <w:rFonts w:ascii="Arial" w:eastAsia="Times New Roman" w:hAnsi="Arial" w:cs="Arial"/>
          <w:kern w:val="0"/>
          <w:lang w:eastAsia="en-GB"/>
          <w14:ligatures w14:val="none"/>
        </w:rPr>
        <w:t>(Age UK, 2021a)</w:t>
      </w:r>
      <w:r w:rsidRPr="00C056D6">
        <w:rPr>
          <w:rFonts w:ascii="Arial" w:hAnsi="Arial" w:cs="Arial"/>
        </w:rPr>
        <w:t>. However, the crisis also exposed systemic weaknesses, prompting calls for reform. It encouraged investment in digital tools, improved infection control training, and highlighted the importance of workforce wellbeing</w:t>
      </w:r>
      <w:r w:rsidR="00457A1F">
        <w:rPr>
          <w:rFonts w:ascii="Arial" w:hAnsi="Arial" w:cs="Arial"/>
        </w:rPr>
        <w:t xml:space="preserve"> </w:t>
      </w:r>
      <w:r w:rsidR="00457A1F" w:rsidRPr="00457A1F">
        <w:rPr>
          <w:rFonts w:ascii="Arial" w:eastAsia="Times New Roman" w:hAnsi="Arial" w:cs="Arial"/>
          <w:kern w:val="0"/>
          <w:lang w:eastAsia="en-GB"/>
          <w14:ligatures w14:val="none"/>
        </w:rPr>
        <w:t>(BGS, 2020)</w:t>
      </w:r>
      <w:r w:rsidRPr="00C056D6">
        <w:rPr>
          <w:rFonts w:ascii="Arial" w:hAnsi="Arial" w:cs="Arial"/>
        </w:rPr>
        <w:t>. These lessons can help shape more resilient, compassionate care models that better protect older people in future health emergencies.</w:t>
      </w:r>
    </w:p>
    <w:p w14:paraId="410BBB94" w14:textId="77777777" w:rsidR="003627A6" w:rsidRPr="003627A6" w:rsidRDefault="003627A6" w:rsidP="003627A6"/>
    <w:p w14:paraId="0AD9FEAE" w14:textId="13EC3549" w:rsidR="00FE5C58" w:rsidRDefault="00FE5C58" w:rsidP="00FE5C58">
      <w:pPr>
        <w:pStyle w:val="Heading4"/>
        <w:rPr>
          <w:rFonts w:ascii="Aptos" w:hAnsi="Aptos"/>
        </w:rPr>
      </w:pPr>
      <w:r w:rsidRPr="00FE5C58">
        <w:rPr>
          <w:rFonts w:ascii="Aptos" w:hAnsi="Aptos"/>
        </w:rPr>
        <w:lastRenderedPageBreak/>
        <w:t>Examples from Your Articles</w:t>
      </w:r>
    </w:p>
    <w:p w14:paraId="1EC67965" w14:textId="2F9896E3" w:rsidR="001C4915" w:rsidRPr="001C4915" w:rsidRDefault="001C4915" w:rsidP="001C4915">
      <w:pPr>
        <w:pStyle w:val="NormalWeb"/>
        <w:spacing w:line="360" w:lineRule="auto"/>
        <w:jc w:val="both"/>
        <w:rPr>
          <w:rFonts w:ascii="Arial" w:hAnsi="Arial" w:cs="Arial"/>
          <w:sz w:val="22"/>
          <w:szCs w:val="22"/>
        </w:rPr>
      </w:pPr>
      <w:r w:rsidRPr="001C4915">
        <w:rPr>
          <w:rFonts w:ascii="Arial" w:hAnsi="Arial" w:cs="Arial"/>
          <w:sz w:val="22"/>
          <w:szCs w:val="22"/>
        </w:rPr>
        <w:t xml:space="preserve">The COVID-19 pandemic revealed entrenched systemic barriers to quality care in long-term care (LTC) homes, as evidenced by Bethell </w:t>
      </w:r>
      <w:r w:rsidRPr="008725BC">
        <w:rPr>
          <w:rFonts w:ascii="Arial" w:hAnsi="Arial" w:cs="Arial"/>
          <w:i/>
          <w:iCs/>
          <w:sz w:val="22"/>
          <w:szCs w:val="22"/>
        </w:rPr>
        <w:t>et al.</w:t>
      </w:r>
      <w:r w:rsidRPr="001C4915">
        <w:rPr>
          <w:rFonts w:ascii="Arial" w:hAnsi="Arial" w:cs="Arial"/>
          <w:sz w:val="22"/>
          <w:szCs w:val="22"/>
        </w:rPr>
        <w:t xml:space="preserve"> (2021). Their scoping review found that infection control measures such as visitor bans and restricted activities critically reduced social engagement</w:t>
      </w:r>
      <w:r w:rsidR="003902C1">
        <w:rPr>
          <w:rFonts w:ascii="Arial" w:hAnsi="Arial" w:cs="Arial"/>
          <w:sz w:val="22"/>
          <w:szCs w:val="22"/>
        </w:rPr>
        <w:t xml:space="preserve">, </w:t>
      </w:r>
      <w:r w:rsidRPr="001C4915">
        <w:rPr>
          <w:rFonts w:ascii="Arial" w:hAnsi="Arial" w:cs="Arial"/>
          <w:sz w:val="22"/>
          <w:szCs w:val="22"/>
        </w:rPr>
        <w:t>essential to mental health and wellbeing. These restrictions compounded challenges already present among LTC residents, including cognitive decline, sensory impairments, and physical frailty, all of which limited their ability to maintain meaningful relationships. The authors emphasise that such social disconnection was not merely an unfortunate side effect, but a key contributor to psychological distress, deteriorating quality of life, and increasing health inequalities.</w:t>
      </w:r>
    </w:p>
    <w:p w14:paraId="3F2BE684" w14:textId="4941401C" w:rsidR="001C4915" w:rsidRPr="001C4915" w:rsidRDefault="001C4915" w:rsidP="001C4915">
      <w:pPr>
        <w:pStyle w:val="NormalWeb"/>
        <w:spacing w:line="360" w:lineRule="auto"/>
        <w:jc w:val="both"/>
        <w:rPr>
          <w:rFonts w:ascii="Arial" w:hAnsi="Arial" w:cs="Arial"/>
          <w:sz w:val="22"/>
          <w:szCs w:val="22"/>
        </w:rPr>
      </w:pPr>
      <w:r w:rsidRPr="001C4915">
        <w:rPr>
          <w:rFonts w:ascii="Arial" w:hAnsi="Arial" w:cs="Arial"/>
          <w:sz w:val="22"/>
          <w:szCs w:val="22"/>
        </w:rPr>
        <w:t>Vickery (2023) builds on this by illustrating how these barriers persisted post-pandemic, identifying chronic emotional neglect and structural shortcomings in mental health provision for elderly residents. Staffing shortages, lack of specialist training, and policy inertia meant many vulnerable individuals</w:t>
      </w:r>
      <w:r w:rsidR="003902C1">
        <w:rPr>
          <w:rFonts w:ascii="Arial" w:hAnsi="Arial" w:cs="Arial"/>
          <w:sz w:val="22"/>
          <w:szCs w:val="22"/>
        </w:rPr>
        <w:t xml:space="preserve">, </w:t>
      </w:r>
      <w:r w:rsidRPr="001C4915">
        <w:rPr>
          <w:rFonts w:ascii="Arial" w:hAnsi="Arial" w:cs="Arial"/>
          <w:sz w:val="22"/>
          <w:szCs w:val="22"/>
        </w:rPr>
        <w:t>especially those with dementia</w:t>
      </w:r>
      <w:r w:rsidR="003902C1">
        <w:rPr>
          <w:rFonts w:ascii="Arial" w:hAnsi="Arial" w:cs="Arial"/>
          <w:sz w:val="22"/>
          <w:szCs w:val="22"/>
        </w:rPr>
        <w:t xml:space="preserve">, </w:t>
      </w:r>
      <w:r w:rsidRPr="001C4915">
        <w:rPr>
          <w:rFonts w:ascii="Arial" w:hAnsi="Arial" w:cs="Arial"/>
          <w:sz w:val="22"/>
          <w:szCs w:val="22"/>
        </w:rPr>
        <w:t>were excluded from meaningful psychosocial support. These findings underline that the quality of care is deeply tied to emotional availability, not just clinical safety. The failure to integrate emotional care and therapeutic engagement into routine practice exposed a deficit in holistic wellbeing frameworks.</w:t>
      </w:r>
    </w:p>
    <w:p w14:paraId="12373318" w14:textId="2E39549E" w:rsidR="001C4915" w:rsidRPr="001C4915" w:rsidRDefault="001C4915" w:rsidP="001C4915">
      <w:pPr>
        <w:pStyle w:val="NormalWeb"/>
        <w:spacing w:line="360" w:lineRule="auto"/>
        <w:jc w:val="both"/>
        <w:rPr>
          <w:rFonts w:ascii="Arial" w:hAnsi="Arial" w:cs="Arial"/>
          <w:sz w:val="22"/>
          <w:szCs w:val="22"/>
        </w:rPr>
      </w:pPr>
      <w:r w:rsidRPr="001C4915">
        <w:rPr>
          <w:rFonts w:ascii="Arial" w:hAnsi="Arial" w:cs="Arial"/>
          <w:sz w:val="22"/>
          <w:szCs w:val="22"/>
        </w:rPr>
        <w:t>Complementing these critiques, Age UK (2021</w:t>
      </w:r>
      <w:r w:rsidR="005070C7">
        <w:rPr>
          <w:rFonts w:ascii="Arial" w:hAnsi="Arial" w:cs="Arial"/>
          <w:sz w:val="22"/>
          <w:szCs w:val="22"/>
        </w:rPr>
        <w:t>a</w:t>
      </w:r>
      <w:r w:rsidRPr="001C4915">
        <w:rPr>
          <w:rFonts w:ascii="Arial" w:hAnsi="Arial" w:cs="Arial"/>
          <w:sz w:val="22"/>
          <w:szCs w:val="22"/>
        </w:rPr>
        <w:t>) underscores the ethical dimension of these barriers, arguing that pandemic policies disregarded person-centred principles. Isolation eroded dignity, autonomy, and meaningful engagement, reinforcing Age UK’s call for rights-based approaches that prioritise relational care. Their advocacy highlights gaps in community integration and the need for sustained support networks beyond institutional walls. Together, these three sources form a compelling case for structural reform, emphasising that quality care demands more than safety</w:t>
      </w:r>
      <w:r w:rsidR="003902C1">
        <w:rPr>
          <w:rFonts w:ascii="Arial" w:hAnsi="Arial" w:cs="Arial"/>
          <w:sz w:val="22"/>
          <w:szCs w:val="22"/>
        </w:rPr>
        <w:t xml:space="preserve">; </w:t>
      </w:r>
      <w:r w:rsidRPr="001C4915">
        <w:rPr>
          <w:rFonts w:ascii="Arial" w:hAnsi="Arial" w:cs="Arial"/>
          <w:sz w:val="22"/>
          <w:szCs w:val="22"/>
        </w:rPr>
        <w:t>it requires inclusive, emotionally intelligent, and equity-driven practice.</w:t>
      </w:r>
    </w:p>
    <w:p w14:paraId="5D397A48" w14:textId="77777777" w:rsidR="00FE5C58" w:rsidRPr="00FE5C58" w:rsidRDefault="00FE5C58" w:rsidP="00FE5C58">
      <w:pPr>
        <w:pStyle w:val="ListParagraph"/>
        <w:ind w:left="1080" w:firstLine="0"/>
      </w:pPr>
    </w:p>
    <w:p w14:paraId="486EB594" w14:textId="77777777" w:rsidR="002865F5" w:rsidRPr="007063BA" w:rsidRDefault="002865F5" w:rsidP="002865F5">
      <w:pPr>
        <w:pStyle w:val="Heading4"/>
        <w:rPr>
          <w:rFonts w:ascii="Aptos" w:hAnsi="Aptos"/>
        </w:rPr>
      </w:pPr>
      <w:r w:rsidRPr="007063BA">
        <w:rPr>
          <w:rFonts w:ascii="Aptos" w:hAnsi="Aptos"/>
        </w:rPr>
        <w:t>Connections to Other Themes</w:t>
      </w:r>
    </w:p>
    <w:p w14:paraId="63080DBC" w14:textId="0851D08F" w:rsidR="00A8386F" w:rsidRDefault="00A8386F" w:rsidP="00947B80">
      <w:pPr>
        <w:rPr>
          <w:rFonts w:ascii="Arial" w:hAnsi="Arial" w:cs="Arial"/>
        </w:rPr>
      </w:pPr>
      <w:r w:rsidRPr="00A8386F">
        <w:rPr>
          <w:rFonts w:ascii="Arial" w:hAnsi="Arial" w:cs="Arial"/>
        </w:rPr>
        <w:t>The three themes explored in this dissertation are closely connected and influence one another. Emotional and psychological deterioration (Theme 1) is often both a cause and consequence of cognitive and functional decline (Theme 2), as feelings of loneliness and depression can accelerate memory loss and reduce motivation to stay physically active</w:t>
      </w:r>
      <w:r w:rsidR="0053545B">
        <w:rPr>
          <w:rFonts w:ascii="Arial" w:hAnsi="Arial" w:cs="Arial"/>
        </w:rPr>
        <w:t xml:space="preserve"> </w:t>
      </w:r>
      <w:r w:rsidR="0053545B" w:rsidRPr="0053545B">
        <w:rPr>
          <w:rFonts w:ascii="Arial" w:eastAsia="Times New Roman" w:hAnsi="Arial" w:cs="Arial"/>
          <w:kern w:val="0"/>
          <w:lang w:eastAsia="en-GB"/>
          <w14:ligatures w14:val="none"/>
        </w:rPr>
        <w:t>(Guarnera, Yuen and Macpherson, 2023</w:t>
      </w:r>
      <w:r w:rsidR="00443012">
        <w:rPr>
          <w:rFonts w:ascii="Arial" w:eastAsia="Times New Roman" w:hAnsi="Arial" w:cs="Arial"/>
          <w:kern w:val="0"/>
          <w:lang w:eastAsia="en-GB"/>
          <w14:ligatures w14:val="none"/>
        </w:rPr>
        <w:t xml:space="preserve">; </w:t>
      </w:r>
      <w:r w:rsidR="00443012" w:rsidRPr="00443012">
        <w:rPr>
          <w:rFonts w:ascii="Arial" w:eastAsia="Times New Roman" w:hAnsi="Arial" w:cs="Arial"/>
          <w:kern w:val="0"/>
          <w:lang w:eastAsia="en-GB"/>
          <w14:ligatures w14:val="none"/>
        </w:rPr>
        <w:t>Kassam and McMillan, 2023</w:t>
      </w:r>
      <w:r w:rsidR="0053545B" w:rsidRPr="0053545B">
        <w:rPr>
          <w:rFonts w:ascii="Arial" w:eastAsia="Times New Roman" w:hAnsi="Arial" w:cs="Arial"/>
          <w:kern w:val="0"/>
          <w:lang w:eastAsia="en-GB"/>
          <w14:ligatures w14:val="none"/>
        </w:rPr>
        <w:t>)</w:t>
      </w:r>
      <w:r w:rsidRPr="00A8386F">
        <w:rPr>
          <w:rFonts w:ascii="Arial" w:hAnsi="Arial" w:cs="Arial"/>
        </w:rPr>
        <w:t xml:space="preserve">. Barriers to quality of care (Theme 3) then exacerbate both issues, as limited staffing, digital exclusion, and reduced </w:t>
      </w:r>
      <w:r w:rsidRPr="00A8386F">
        <w:rPr>
          <w:rFonts w:ascii="Arial" w:hAnsi="Arial" w:cs="Arial"/>
        </w:rPr>
        <w:lastRenderedPageBreak/>
        <w:t>therapeutic engagement restrict access to person-centred care</w:t>
      </w:r>
      <w:r w:rsidR="002F1E1F">
        <w:rPr>
          <w:rFonts w:ascii="Arial" w:hAnsi="Arial" w:cs="Arial"/>
        </w:rPr>
        <w:t xml:space="preserve"> </w:t>
      </w:r>
      <w:r w:rsidR="002F1E1F" w:rsidRPr="002F1E1F">
        <w:rPr>
          <w:rFonts w:ascii="Arial" w:eastAsia="Times New Roman" w:hAnsi="Arial" w:cs="Arial"/>
          <w:kern w:val="0"/>
          <w:lang w:eastAsia="en-GB"/>
          <w14:ligatures w14:val="none"/>
        </w:rPr>
        <w:t>(McKinlay, Fancourt and Burton, 2021)</w:t>
      </w:r>
      <w:r w:rsidRPr="00A8386F">
        <w:rPr>
          <w:rFonts w:ascii="Arial" w:hAnsi="Arial" w:cs="Arial"/>
        </w:rPr>
        <w:t>. Together, these themes highlight a cycle where emotional distress, cognitive decline, and poor care environments reinforce each other, deepening the impact of social isolation during the COVID-19 lockdowns</w:t>
      </w:r>
      <w:r w:rsidR="00697A58">
        <w:rPr>
          <w:rFonts w:ascii="Arial" w:hAnsi="Arial" w:cs="Arial"/>
        </w:rPr>
        <w:t xml:space="preserve"> </w:t>
      </w:r>
      <w:r w:rsidR="00697A58" w:rsidRPr="00697A58">
        <w:rPr>
          <w:rFonts w:ascii="Arial" w:eastAsia="Times New Roman" w:hAnsi="Arial" w:cs="Arial"/>
          <w:kern w:val="0"/>
          <w:lang w:eastAsia="en-GB"/>
          <w14:ligatures w14:val="none"/>
        </w:rPr>
        <w:t>(NIHR, 2022)</w:t>
      </w:r>
      <w:r w:rsidRPr="00A8386F">
        <w:rPr>
          <w:rFonts w:ascii="Arial" w:hAnsi="Arial" w:cs="Arial"/>
        </w:rPr>
        <w:t>.</w:t>
      </w:r>
    </w:p>
    <w:p w14:paraId="7D78A1BD" w14:textId="77777777" w:rsidR="00947B80" w:rsidRPr="0053545B" w:rsidRDefault="00947B80" w:rsidP="0053545B">
      <w:pPr>
        <w:spacing w:line="240" w:lineRule="auto"/>
        <w:jc w:val="left"/>
        <w:rPr>
          <w:rFonts w:ascii="Times New Roman" w:eastAsia="Times New Roman" w:hAnsi="Times New Roman" w:cs="Times New Roman"/>
          <w:kern w:val="0"/>
          <w:sz w:val="24"/>
          <w:szCs w:val="24"/>
          <w:lang w:eastAsia="en-GB"/>
          <w14:ligatures w14:val="none"/>
        </w:rPr>
      </w:pPr>
    </w:p>
    <w:p w14:paraId="0B7345EE" w14:textId="61384A69" w:rsidR="001C3AF6" w:rsidRDefault="001C3AF6" w:rsidP="003B1E32">
      <w:pPr>
        <w:pStyle w:val="Heading2"/>
      </w:pPr>
      <w:bookmarkStart w:id="21" w:name="_Toc204127892"/>
      <w:r w:rsidRPr="00636D9A">
        <w:t>4.6 – Chapter Conclusion</w:t>
      </w:r>
      <w:bookmarkEnd w:id="21"/>
    </w:p>
    <w:p w14:paraId="3405AB47" w14:textId="1F160852" w:rsidR="002C4C8A" w:rsidRPr="00814A9D" w:rsidRDefault="002C4C8A" w:rsidP="00C83EC7">
      <w:pPr>
        <w:rPr>
          <w:rFonts w:ascii="Times New Roman" w:eastAsia="Times New Roman" w:hAnsi="Times New Roman" w:cs="Times New Roman"/>
          <w:kern w:val="0"/>
          <w:sz w:val="24"/>
          <w:szCs w:val="24"/>
          <w:lang w:eastAsia="en-GB"/>
          <w14:ligatures w14:val="none"/>
        </w:rPr>
      </w:pPr>
      <w:r w:rsidRPr="002C4C8A">
        <w:rPr>
          <w:rFonts w:ascii="Arial" w:hAnsi="Arial" w:cs="Arial"/>
        </w:rPr>
        <w:t>This chapter explored the impact of social isolation during COVID-19 lockdowns on depression and loneliness among elderly care home residents through a detailed thematic analysis</w:t>
      </w:r>
      <w:r w:rsidR="00E34294">
        <w:rPr>
          <w:rFonts w:ascii="Arial" w:hAnsi="Arial" w:cs="Arial"/>
        </w:rPr>
        <w:t xml:space="preserve"> </w:t>
      </w:r>
      <w:r w:rsidR="00814A9D" w:rsidRPr="00814A9D">
        <w:rPr>
          <w:rFonts w:ascii="Arial" w:eastAsia="Times New Roman" w:hAnsi="Arial" w:cs="Arial"/>
          <w:kern w:val="0"/>
          <w:lang w:eastAsia="en-GB"/>
          <w14:ligatures w14:val="none"/>
        </w:rPr>
        <w:t xml:space="preserve">(Ahmed </w:t>
      </w:r>
      <w:r w:rsidR="00814A9D" w:rsidRPr="00814A9D">
        <w:rPr>
          <w:rFonts w:ascii="Arial" w:eastAsia="Times New Roman" w:hAnsi="Arial" w:cs="Arial"/>
          <w:i/>
          <w:iCs/>
          <w:kern w:val="0"/>
          <w:lang w:eastAsia="en-GB"/>
          <w14:ligatures w14:val="none"/>
        </w:rPr>
        <w:t>et al.</w:t>
      </w:r>
      <w:r w:rsidR="00814A9D" w:rsidRPr="00814A9D">
        <w:rPr>
          <w:rFonts w:ascii="Arial" w:eastAsia="Times New Roman" w:hAnsi="Arial" w:cs="Arial"/>
          <w:kern w:val="0"/>
          <w:lang w:eastAsia="en-GB"/>
          <w14:ligatures w14:val="none"/>
        </w:rPr>
        <w:t>, 2025)</w:t>
      </w:r>
      <w:r w:rsidRPr="002C4C8A">
        <w:rPr>
          <w:rFonts w:ascii="Arial" w:hAnsi="Arial" w:cs="Arial"/>
        </w:rPr>
        <w:t>. The analysis began with a structured coding process where seven peer-reviewed UK-based studies were reviewed in full and analysed line by line. Repeated ideas and key terms were manually colour-coded and categorised into an evidence-based Summary Table (Appendix C). From this process, three key themes emerged: Emotional and Psychological Deterioration, Cognitive and Functional Decline, and Barriers to Quality of Care.</w:t>
      </w:r>
    </w:p>
    <w:p w14:paraId="588883AE" w14:textId="3314EA29" w:rsidR="002C4C8A" w:rsidRPr="00EA7702" w:rsidRDefault="002C4C8A" w:rsidP="00C83EC7">
      <w:pPr>
        <w:rPr>
          <w:rFonts w:ascii="Times New Roman" w:eastAsia="Times New Roman" w:hAnsi="Times New Roman" w:cs="Times New Roman"/>
          <w:kern w:val="0"/>
          <w:sz w:val="24"/>
          <w:szCs w:val="24"/>
          <w:lang w:eastAsia="en-GB"/>
          <w14:ligatures w14:val="none"/>
        </w:rPr>
      </w:pPr>
      <w:r w:rsidRPr="002C4C8A">
        <w:rPr>
          <w:rFonts w:ascii="Arial" w:hAnsi="Arial" w:cs="Arial"/>
        </w:rPr>
        <w:t>Theme 1 highlighted how restricted visitation and isolation measures significantly increased depression, anxiety, and emotional withdrawal</w:t>
      </w:r>
      <w:r w:rsidR="00AC484E">
        <w:rPr>
          <w:rFonts w:ascii="Arial" w:hAnsi="Arial" w:cs="Arial"/>
        </w:rPr>
        <w:t xml:space="preserve"> </w:t>
      </w:r>
      <w:r w:rsidR="00EA7702" w:rsidRPr="00EA7702">
        <w:rPr>
          <w:rFonts w:ascii="Arial" w:eastAsia="Times New Roman" w:hAnsi="Arial" w:cs="Arial"/>
          <w:kern w:val="0"/>
          <w:lang w:eastAsia="en-GB"/>
          <w14:ligatures w14:val="none"/>
        </w:rPr>
        <w:t xml:space="preserve">(Chapman </w:t>
      </w:r>
      <w:r w:rsidR="00EA7702" w:rsidRPr="00EA7702">
        <w:rPr>
          <w:rFonts w:ascii="Arial" w:eastAsia="Times New Roman" w:hAnsi="Arial" w:cs="Arial"/>
          <w:i/>
          <w:iCs/>
          <w:kern w:val="0"/>
          <w:lang w:eastAsia="en-GB"/>
          <w14:ligatures w14:val="none"/>
        </w:rPr>
        <w:t>et al.</w:t>
      </w:r>
      <w:r w:rsidR="00EA7702" w:rsidRPr="00EA7702">
        <w:rPr>
          <w:rFonts w:ascii="Arial" w:eastAsia="Times New Roman" w:hAnsi="Arial" w:cs="Arial"/>
          <w:kern w:val="0"/>
          <w:lang w:eastAsia="en-GB"/>
          <w14:ligatures w14:val="none"/>
        </w:rPr>
        <w:t>, 2024)</w:t>
      </w:r>
      <w:r w:rsidRPr="002C4C8A">
        <w:rPr>
          <w:rFonts w:ascii="Arial" w:hAnsi="Arial" w:cs="Arial"/>
        </w:rPr>
        <w:t>. Theme 2 demonstrated how reduced social interaction and physical inactivity accelerated memory loss and reduced independence</w:t>
      </w:r>
      <w:r w:rsidR="00EA7702">
        <w:rPr>
          <w:rFonts w:ascii="Arial" w:hAnsi="Arial" w:cs="Arial"/>
        </w:rPr>
        <w:t xml:space="preserve"> </w:t>
      </w:r>
      <w:r w:rsidR="000530BB" w:rsidRPr="000530BB">
        <w:rPr>
          <w:rFonts w:ascii="Arial" w:eastAsia="Times New Roman" w:hAnsi="Arial" w:cs="Arial"/>
          <w:kern w:val="0"/>
          <w:lang w:eastAsia="en-GB"/>
          <w14:ligatures w14:val="none"/>
        </w:rPr>
        <w:t xml:space="preserve">(Corbett </w:t>
      </w:r>
      <w:r w:rsidR="000530BB" w:rsidRPr="000530BB">
        <w:rPr>
          <w:rFonts w:ascii="Arial" w:eastAsia="Times New Roman" w:hAnsi="Arial" w:cs="Arial"/>
          <w:i/>
          <w:iCs/>
          <w:kern w:val="0"/>
          <w:lang w:eastAsia="en-GB"/>
          <w14:ligatures w14:val="none"/>
        </w:rPr>
        <w:t>et al.</w:t>
      </w:r>
      <w:r w:rsidR="000530BB" w:rsidRPr="000530BB">
        <w:rPr>
          <w:rFonts w:ascii="Arial" w:eastAsia="Times New Roman" w:hAnsi="Arial" w:cs="Arial"/>
          <w:kern w:val="0"/>
          <w:lang w:eastAsia="en-GB"/>
          <w14:ligatures w14:val="none"/>
        </w:rPr>
        <w:t>, 2023)</w:t>
      </w:r>
      <w:r w:rsidRPr="002C4C8A">
        <w:rPr>
          <w:rFonts w:ascii="Arial" w:hAnsi="Arial" w:cs="Arial"/>
        </w:rPr>
        <w:t>. Theme 3 exposed systemic issues such as staff shortages, digital exclusion, and inconsistent policies that undermined the quality of care</w:t>
      </w:r>
      <w:r w:rsidR="00867073">
        <w:rPr>
          <w:rFonts w:ascii="Arial" w:hAnsi="Arial" w:cs="Arial"/>
        </w:rPr>
        <w:t xml:space="preserve"> </w:t>
      </w:r>
      <w:r w:rsidR="00867073" w:rsidRPr="00867073">
        <w:rPr>
          <w:rFonts w:ascii="Arial" w:eastAsia="Times New Roman" w:hAnsi="Arial" w:cs="Arial"/>
          <w:kern w:val="0"/>
          <w:lang w:eastAsia="en-GB"/>
          <w14:ligatures w14:val="none"/>
        </w:rPr>
        <w:t xml:space="preserve">(Dunn, Ewbank and </w:t>
      </w:r>
      <w:proofErr w:type="spellStart"/>
      <w:r w:rsidR="00867073" w:rsidRPr="00867073">
        <w:rPr>
          <w:rFonts w:ascii="Arial" w:eastAsia="Times New Roman" w:hAnsi="Arial" w:cs="Arial"/>
          <w:kern w:val="0"/>
          <w:lang w:eastAsia="en-GB"/>
          <w14:ligatures w14:val="none"/>
        </w:rPr>
        <w:t>Alderwick</w:t>
      </w:r>
      <w:proofErr w:type="spellEnd"/>
      <w:r w:rsidR="00867073" w:rsidRPr="00867073">
        <w:rPr>
          <w:rFonts w:ascii="Arial" w:eastAsia="Times New Roman" w:hAnsi="Arial" w:cs="Arial"/>
          <w:kern w:val="0"/>
          <w:lang w:eastAsia="en-GB"/>
          <w14:ligatures w14:val="none"/>
        </w:rPr>
        <w:t>, 2023)</w:t>
      </w:r>
      <w:r w:rsidRPr="002C4C8A">
        <w:rPr>
          <w:rFonts w:ascii="Arial" w:hAnsi="Arial" w:cs="Arial"/>
        </w:rPr>
        <w:t>.</w:t>
      </w:r>
    </w:p>
    <w:p w14:paraId="08308F98" w14:textId="1E4ED3CB" w:rsidR="002C4C8A" w:rsidRPr="002C4C8A" w:rsidRDefault="002C4C8A" w:rsidP="00C83EC7">
      <w:pPr>
        <w:rPr>
          <w:rFonts w:ascii="Arial" w:hAnsi="Arial" w:cs="Arial"/>
        </w:rPr>
      </w:pPr>
      <w:r w:rsidRPr="002C4C8A">
        <w:rPr>
          <w:rFonts w:ascii="Arial" w:hAnsi="Arial" w:cs="Arial"/>
        </w:rPr>
        <w:t xml:space="preserve">Each theme was critically discussed using theoretical frameworks such as Maslow's Hierarchy of Needs and Donabedian’s model, alongside policies including the Care Act 2014 and Coronavirus Act 2020. These findings support the research aim by illustrating how isolation exacerbated mental health issues in care settings. The following chapter will conclude the dissertation and provide practical, </w:t>
      </w:r>
      <w:r w:rsidR="00C83EC7">
        <w:rPr>
          <w:rFonts w:ascii="Arial" w:hAnsi="Arial" w:cs="Arial"/>
        </w:rPr>
        <w:t>achievable</w:t>
      </w:r>
      <w:r w:rsidRPr="002C4C8A">
        <w:rPr>
          <w:rFonts w:ascii="Arial" w:hAnsi="Arial" w:cs="Arial"/>
        </w:rPr>
        <w:t xml:space="preserve"> recommendations to address these issues in future care planning.</w:t>
      </w:r>
    </w:p>
    <w:p w14:paraId="43B2A859" w14:textId="77777777" w:rsidR="00425538" w:rsidRDefault="00425538">
      <w:pPr>
        <w:spacing w:line="259" w:lineRule="auto"/>
        <w:jc w:val="left"/>
      </w:pPr>
      <w:r>
        <w:br w:type="page"/>
      </w:r>
    </w:p>
    <w:p w14:paraId="77A00B92" w14:textId="5D59A7E4" w:rsidR="0040563E" w:rsidRDefault="00636D9A" w:rsidP="0040563E">
      <w:pPr>
        <w:pStyle w:val="Heading1"/>
        <w:ind w:left="0"/>
        <w:rPr>
          <w:rFonts w:ascii="Aptos" w:hAnsi="Aptos"/>
        </w:rPr>
      </w:pPr>
      <w:bookmarkStart w:id="22" w:name="_Toc204127893"/>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bookmarkEnd w:id="22"/>
      <w:r w:rsidRPr="00636D9A">
        <w:rPr>
          <w:rFonts w:ascii="Aptos" w:hAnsi="Aptos"/>
        </w:rPr>
        <w:t xml:space="preserve"> </w:t>
      </w:r>
    </w:p>
    <w:p w14:paraId="1CB963D8" w14:textId="77777777" w:rsidR="004B7EA3" w:rsidRPr="0040563E" w:rsidRDefault="004B7EA3" w:rsidP="0040563E">
      <w:pPr>
        <w:pStyle w:val="Heading1"/>
        <w:ind w:left="0"/>
      </w:pPr>
    </w:p>
    <w:p w14:paraId="5F3B2774" w14:textId="0F381742" w:rsidR="00486103" w:rsidRDefault="00636D9A" w:rsidP="003B1E32">
      <w:pPr>
        <w:pStyle w:val="Heading2"/>
      </w:pPr>
      <w:bookmarkStart w:id="23" w:name="_Toc204127894"/>
      <w:r w:rsidRPr="005C5E80">
        <w:t>5.1 – Overall Conclusion</w:t>
      </w:r>
      <w:bookmarkEnd w:id="23"/>
      <w:r w:rsidRPr="005C5E80">
        <w:t xml:space="preserve"> </w:t>
      </w:r>
    </w:p>
    <w:p w14:paraId="33AC72A3" w14:textId="030A839A" w:rsidR="00F24F05" w:rsidRPr="00FB130F" w:rsidRDefault="00F24F05" w:rsidP="00BE7448">
      <w:pPr>
        <w:rPr>
          <w:rFonts w:ascii="Times New Roman" w:eastAsia="Times New Roman" w:hAnsi="Times New Roman" w:cs="Times New Roman"/>
          <w:kern w:val="0"/>
          <w:sz w:val="24"/>
          <w:szCs w:val="24"/>
          <w:lang w:eastAsia="en-GB"/>
          <w14:ligatures w14:val="none"/>
        </w:rPr>
      </w:pPr>
      <w:r w:rsidRPr="00F24F05">
        <w:rPr>
          <w:rFonts w:ascii="Arial" w:hAnsi="Arial" w:cs="Arial"/>
        </w:rPr>
        <w:t>This dissertation critically evaluated the impact of social isolation during COVID-19 lockdowns on depression and loneliness among elderly residents in UK care homes</w:t>
      </w:r>
      <w:r w:rsidR="00FB130F">
        <w:rPr>
          <w:rFonts w:ascii="Arial" w:hAnsi="Arial" w:cs="Arial"/>
        </w:rPr>
        <w:t xml:space="preserve"> </w:t>
      </w:r>
      <w:r w:rsidR="00FB130F" w:rsidRPr="00FB130F">
        <w:rPr>
          <w:rFonts w:ascii="Arial" w:eastAsia="Times New Roman" w:hAnsi="Arial" w:cs="Arial"/>
          <w:kern w:val="0"/>
          <w:lang w:eastAsia="en-GB"/>
          <w14:ligatures w14:val="none"/>
        </w:rPr>
        <w:t>(House of Commons, 2021)</w:t>
      </w:r>
      <w:r w:rsidRPr="00F24F05">
        <w:rPr>
          <w:rFonts w:ascii="Arial" w:hAnsi="Arial" w:cs="Arial"/>
        </w:rPr>
        <w:t>. Chapter 1 introduced the research aim and objectives, clearly setting out the intention to define social isolation, analyse its psychological impact, evaluate existing literature, and suggest practical interventions. Chapter 2 provided an in-depth background, examining historical developments, relevant psychological and social theories, and both international and UK-specific contexts. Chapter 3 detailed the methodology used, including systematic literature review and thematic coding, while ensuring ethical considerations were clearly addressed. Chapter 4 explored the findings through three primary themes: Emotional and Psychological Deterioration, Cognitive and Functional Decline, and Barriers to Quality of Care.</w:t>
      </w:r>
    </w:p>
    <w:p w14:paraId="79B69421" w14:textId="7462BAB9" w:rsidR="00F24F05" w:rsidRPr="007551F1" w:rsidRDefault="00F24F05" w:rsidP="00BE7448">
      <w:pPr>
        <w:rPr>
          <w:rFonts w:ascii="Times New Roman" w:eastAsia="Times New Roman" w:hAnsi="Times New Roman" w:cs="Times New Roman"/>
          <w:kern w:val="0"/>
          <w:sz w:val="24"/>
          <w:szCs w:val="24"/>
          <w:lang w:eastAsia="en-GB"/>
          <w14:ligatures w14:val="none"/>
        </w:rPr>
      </w:pPr>
      <w:r w:rsidRPr="00F24F05">
        <w:rPr>
          <w:rFonts w:ascii="Arial" w:hAnsi="Arial" w:cs="Arial"/>
        </w:rPr>
        <w:t>The research revealed that social isolation substantially heightened symptoms of depression and loneliness among elderly residents, subsequently exacerbating cognitive and functional decline due to reduced engagement and stimulation</w:t>
      </w:r>
      <w:r w:rsidR="007551F1">
        <w:rPr>
          <w:rFonts w:ascii="Arial" w:hAnsi="Arial" w:cs="Arial"/>
        </w:rPr>
        <w:t xml:space="preserve"> </w:t>
      </w:r>
      <w:r w:rsidR="007551F1" w:rsidRPr="007551F1">
        <w:rPr>
          <w:rFonts w:ascii="Arial" w:eastAsia="Times New Roman" w:hAnsi="Arial" w:cs="Arial"/>
          <w:kern w:val="0"/>
          <w:lang w:eastAsia="en-GB"/>
          <w14:ligatures w14:val="none"/>
        </w:rPr>
        <w:t xml:space="preserve">(Sims </w:t>
      </w:r>
      <w:r w:rsidR="007551F1" w:rsidRPr="007551F1">
        <w:rPr>
          <w:rFonts w:ascii="Arial" w:eastAsia="Times New Roman" w:hAnsi="Arial" w:cs="Arial"/>
          <w:i/>
          <w:iCs/>
          <w:kern w:val="0"/>
          <w:lang w:eastAsia="en-GB"/>
          <w14:ligatures w14:val="none"/>
        </w:rPr>
        <w:t>et al.</w:t>
      </w:r>
      <w:r w:rsidR="007551F1" w:rsidRPr="007551F1">
        <w:rPr>
          <w:rFonts w:ascii="Arial" w:eastAsia="Times New Roman" w:hAnsi="Arial" w:cs="Arial"/>
          <w:kern w:val="0"/>
          <w:lang w:eastAsia="en-GB"/>
          <w14:ligatures w14:val="none"/>
        </w:rPr>
        <w:t>, 2024)</w:t>
      </w:r>
      <w:r w:rsidRPr="00F24F05">
        <w:rPr>
          <w:rFonts w:ascii="Arial" w:hAnsi="Arial" w:cs="Arial"/>
        </w:rPr>
        <w:t>. Additionally, systemic barriers such as staffing shortages, digital exclusion, and restrictive infection-control measures further compromised care quality, worsening residents' emotional, cognitive, and physical wellbeing</w:t>
      </w:r>
      <w:r w:rsidR="0043479C">
        <w:rPr>
          <w:rFonts w:ascii="Arial" w:hAnsi="Arial" w:cs="Arial"/>
        </w:rPr>
        <w:t xml:space="preserve"> </w:t>
      </w:r>
      <w:r w:rsidR="0043479C" w:rsidRPr="0043479C">
        <w:rPr>
          <w:rFonts w:ascii="Arial" w:eastAsia="Times New Roman" w:hAnsi="Arial" w:cs="Arial"/>
          <w:kern w:val="0"/>
          <w:lang w:eastAsia="en-GB"/>
          <w14:ligatures w14:val="none"/>
        </w:rPr>
        <w:t xml:space="preserve">(Bethell </w:t>
      </w:r>
      <w:r w:rsidR="0043479C" w:rsidRPr="0043479C">
        <w:rPr>
          <w:rFonts w:ascii="Arial" w:eastAsia="Times New Roman" w:hAnsi="Arial" w:cs="Arial"/>
          <w:i/>
          <w:iCs/>
          <w:kern w:val="0"/>
          <w:lang w:eastAsia="en-GB"/>
          <w14:ligatures w14:val="none"/>
        </w:rPr>
        <w:t>et al.</w:t>
      </w:r>
      <w:r w:rsidR="0043479C" w:rsidRPr="0043479C">
        <w:rPr>
          <w:rFonts w:ascii="Arial" w:eastAsia="Times New Roman" w:hAnsi="Arial" w:cs="Arial"/>
          <w:kern w:val="0"/>
          <w:lang w:eastAsia="en-GB"/>
          <w14:ligatures w14:val="none"/>
        </w:rPr>
        <w:t>, 2021</w:t>
      </w:r>
      <w:r w:rsidR="00BE7448">
        <w:rPr>
          <w:rFonts w:ascii="Arial" w:eastAsia="Times New Roman" w:hAnsi="Arial" w:cs="Arial"/>
          <w:kern w:val="0"/>
          <w:lang w:eastAsia="en-GB"/>
          <w14:ligatures w14:val="none"/>
        </w:rPr>
        <w:t xml:space="preserve">; </w:t>
      </w:r>
      <w:r w:rsidR="00BE7448" w:rsidRPr="00BE7448">
        <w:rPr>
          <w:rFonts w:ascii="Arial" w:eastAsia="Times New Roman" w:hAnsi="Arial" w:cs="Arial"/>
          <w:kern w:val="0"/>
          <w:lang w:eastAsia="en-GB"/>
          <w14:ligatures w14:val="none"/>
        </w:rPr>
        <w:t xml:space="preserve">Ayalon </w:t>
      </w:r>
      <w:r w:rsidR="00BE7448" w:rsidRPr="00BE7448">
        <w:rPr>
          <w:rFonts w:ascii="Arial" w:eastAsia="Times New Roman" w:hAnsi="Arial" w:cs="Arial"/>
          <w:i/>
          <w:iCs/>
          <w:kern w:val="0"/>
          <w:lang w:eastAsia="en-GB"/>
          <w14:ligatures w14:val="none"/>
        </w:rPr>
        <w:t>et al.</w:t>
      </w:r>
      <w:r w:rsidR="00BE7448" w:rsidRPr="00BE7448">
        <w:rPr>
          <w:rFonts w:ascii="Arial" w:eastAsia="Times New Roman" w:hAnsi="Arial" w:cs="Arial"/>
          <w:kern w:val="0"/>
          <w:lang w:eastAsia="en-GB"/>
          <w14:ligatures w14:val="none"/>
        </w:rPr>
        <w:t>, 2020</w:t>
      </w:r>
      <w:r w:rsidR="00D061AC">
        <w:rPr>
          <w:rFonts w:ascii="Arial" w:eastAsia="Times New Roman" w:hAnsi="Arial" w:cs="Arial"/>
          <w:kern w:val="0"/>
          <w:lang w:eastAsia="en-GB"/>
          <w14:ligatures w14:val="none"/>
        </w:rPr>
        <w:t>; LGA, 2020</w:t>
      </w:r>
      <w:r w:rsidR="0043479C" w:rsidRPr="0043479C">
        <w:rPr>
          <w:rFonts w:ascii="Arial" w:eastAsia="Times New Roman" w:hAnsi="Arial" w:cs="Arial"/>
          <w:kern w:val="0"/>
          <w:lang w:eastAsia="en-GB"/>
          <w14:ligatures w14:val="none"/>
        </w:rPr>
        <w:t>)</w:t>
      </w:r>
      <w:r w:rsidRPr="00F24F05">
        <w:rPr>
          <w:rFonts w:ascii="Arial" w:hAnsi="Arial" w:cs="Arial"/>
        </w:rPr>
        <w:t>. Despite successfully meeting research objectives, notable gaps in UK-specific literature highlight an urgent need for further research to strengthen local policy and practice.</w:t>
      </w:r>
    </w:p>
    <w:p w14:paraId="1B151946" w14:textId="77777777" w:rsidR="00486103" w:rsidRPr="00486103" w:rsidRDefault="00486103" w:rsidP="00486103"/>
    <w:p w14:paraId="71010707" w14:textId="1509F76D" w:rsidR="00636D9A" w:rsidRDefault="00636D9A" w:rsidP="00D07B7B">
      <w:pPr>
        <w:pStyle w:val="Heading2"/>
      </w:pPr>
      <w:bookmarkStart w:id="24" w:name="_Toc204127895"/>
      <w:r w:rsidRPr="005C5E80">
        <w:t>5.</w:t>
      </w:r>
      <w:r w:rsidR="005C5E80" w:rsidRPr="005C5E80">
        <w:t>2</w:t>
      </w:r>
      <w:r w:rsidRPr="005C5E80">
        <w:t xml:space="preserve"> – </w:t>
      </w:r>
      <w:r w:rsidR="005C5E80" w:rsidRPr="005C5E80">
        <w:t>Recommendations</w:t>
      </w:r>
      <w:bookmarkEnd w:id="24"/>
      <w:r w:rsidRPr="005C5E80">
        <w:t xml:space="preserve"> </w:t>
      </w:r>
    </w:p>
    <w:p w14:paraId="25D370BB" w14:textId="77777777" w:rsidR="00C60EDD" w:rsidRPr="00C60EDD" w:rsidRDefault="00C60EDD" w:rsidP="00C60EDD"/>
    <w:p w14:paraId="43ADB94C" w14:textId="1DA8D770" w:rsidR="00AD1935" w:rsidRPr="00C60EDD" w:rsidRDefault="005C5E80" w:rsidP="00AD1935">
      <w:pPr>
        <w:pStyle w:val="Heading1"/>
        <w:ind w:left="0"/>
        <w:rPr>
          <w:rFonts w:cs="Arial"/>
          <w:sz w:val="24"/>
          <w:szCs w:val="24"/>
        </w:rPr>
      </w:pPr>
      <w:bookmarkStart w:id="25" w:name="_Toc204127896"/>
      <w:r w:rsidRPr="00C60EDD">
        <w:rPr>
          <w:rFonts w:cs="Arial"/>
          <w:sz w:val="24"/>
          <w:szCs w:val="24"/>
        </w:rPr>
        <w:t>5.2.1 – Recommendation 1</w:t>
      </w:r>
      <w:r w:rsidR="00D43326" w:rsidRPr="00C60EDD">
        <w:rPr>
          <w:rFonts w:cs="Arial"/>
          <w:sz w:val="24"/>
          <w:szCs w:val="24"/>
        </w:rPr>
        <w:t xml:space="preserve">: </w:t>
      </w:r>
      <w:r w:rsidR="002A2E97" w:rsidRPr="00C60EDD">
        <w:rPr>
          <w:rFonts w:cs="Arial"/>
          <w:sz w:val="24"/>
          <w:szCs w:val="24"/>
        </w:rPr>
        <w:t>S</w:t>
      </w:r>
      <w:r w:rsidR="00D43326" w:rsidRPr="00C60EDD">
        <w:rPr>
          <w:rFonts w:cs="Arial"/>
          <w:sz w:val="24"/>
          <w:szCs w:val="24"/>
        </w:rPr>
        <w:t>tructured emotional and social support interventions in care homes</w:t>
      </w:r>
      <w:bookmarkEnd w:id="25"/>
    </w:p>
    <w:p w14:paraId="00787866" w14:textId="77777777" w:rsidR="00CD5561" w:rsidRDefault="00CD5561" w:rsidP="00500907"/>
    <w:p w14:paraId="55030CFF" w14:textId="734705A5" w:rsidR="00D263EC" w:rsidRPr="00F26C81" w:rsidRDefault="00D263EC" w:rsidP="00F931CB">
      <w:pPr>
        <w:rPr>
          <w:rFonts w:ascii="Times New Roman" w:eastAsia="Times New Roman" w:hAnsi="Times New Roman" w:cs="Times New Roman"/>
          <w:kern w:val="0"/>
          <w:sz w:val="24"/>
          <w:szCs w:val="24"/>
          <w:lang w:eastAsia="en-GB"/>
          <w14:ligatures w14:val="none"/>
        </w:rPr>
      </w:pPr>
      <w:r w:rsidRPr="00413AE9">
        <w:rPr>
          <w:rFonts w:ascii="Arial" w:hAnsi="Arial" w:cs="Arial"/>
        </w:rPr>
        <w:t>Introduce structured emotional and social support interventions in care homes, including both regular group and individual activities facilitated by adequately trained staff</w:t>
      </w:r>
      <w:r w:rsidR="00F26C81">
        <w:rPr>
          <w:rFonts w:ascii="Arial" w:hAnsi="Arial" w:cs="Arial"/>
        </w:rPr>
        <w:t xml:space="preserve"> </w:t>
      </w:r>
      <w:r w:rsidR="00F26C81" w:rsidRPr="00F26C81">
        <w:rPr>
          <w:rFonts w:ascii="Arial" w:eastAsia="Times New Roman" w:hAnsi="Arial" w:cs="Arial"/>
          <w:kern w:val="0"/>
          <w:lang w:eastAsia="en-GB"/>
          <w14:ligatures w14:val="none"/>
        </w:rPr>
        <w:t>(NHS England, 2024</w:t>
      </w:r>
      <w:r w:rsidR="006263FF">
        <w:rPr>
          <w:rFonts w:ascii="Arial" w:eastAsia="Times New Roman" w:hAnsi="Arial" w:cs="Arial"/>
          <w:kern w:val="0"/>
          <w:lang w:eastAsia="en-GB"/>
          <w14:ligatures w14:val="none"/>
        </w:rPr>
        <w:t>a</w:t>
      </w:r>
      <w:r w:rsidR="009225E6">
        <w:rPr>
          <w:rFonts w:ascii="Arial" w:eastAsia="Times New Roman" w:hAnsi="Arial" w:cs="Arial"/>
          <w:kern w:val="0"/>
          <w:lang w:eastAsia="en-GB"/>
          <w14:ligatures w14:val="none"/>
        </w:rPr>
        <w:t xml:space="preserve">; </w:t>
      </w:r>
      <w:r w:rsidR="009225E6" w:rsidRPr="009225E6">
        <w:rPr>
          <w:rFonts w:ascii="Arial" w:eastAsia="Times New Roman" w:hAnsi="Arial" w:cs="Arial"/>
          <w:kern w:val="0"/>
          <w:lang w:eastAsia="en-GB"/>
          <w14:ligatures w14:val="none"/>
        </w:rPr>
        <w:t>NIHR, 2014</w:t>
      </w:r>
      <w:r w:rsidR="00F26C81" w:rsidRPr="00F26C81">
        <w:rPr>
          <w:rFonts w:ascii="Arial" w:eastAsia="Times New Roman" w:hAnsi="Arial" w:cs="Arial"/>
          <w:kern w:val="0"/>
          <w:lang w:eastAsia="en-GB"/>
          <w14:ligatures w14:val="none"/>
        </w:rPr>
        <w:t>)</w:t>
      </w:r>
      <w:r w:rsidRPr="00413AE9">
        <w:rPr>
          <w:rFonts w:ascii="Arial" w:hAnsi="Arial" w:cs="Arial"/>
        </w:rPr>
        <w:t>. These activities should prioritise emotional resilience, peer engagement, and sustained family involvement, using accessible digital tools to maintain connections during restricted visitation periods</w:t>
      </w:r>
      <w:r w:rsidR="00C11973">
        <w:rPr>
          <w:rFonts w:ascii="Arial" w:hAnsi="Arial" w:cs="Arial"/>
        </w:rPr>
        <w:t xml:space="preserve"> </w:t>
      </w:r>
      <w:r w:rsidR="00C11973" w:rsidRPr="00C11973">
        <w:rPr>
          <w:rFonts w:ascii="Arial" w:eastAsia="Times New Roman" w:hAnsi="Arial" w:cs="Arial"/>
          <w:kern w:val="0"/>
          <w:lang w:eastAsia="en-GB"/>
          <w14:ligatures w14:val="none"/>
        </w:rPr>
        <w:t xml:space="preserve">(Behrendt </w:t>
      </w:r>
      <w:r w:rsidR="00C11973" w:rsidRPr="00C11973">
        <w:rPr>
          <w:rFonts w:ascii="Arial" w:eastAsia="Times New Roman" w:hAnsi="Arial" w:cs="Arial"/>
          <w:i/>
          <w:iCs/>
          <w:kern w:val="0"/>
          <w:lang w:eastAsia="en-GB"/>
          <w14:ligatures w14:val="none"/>
        </w:rPr>
        <w:t>et al.</w:t>
      </w:r>
      <w:r w:rsidR="00C11973" w:rsidRPr="00C11973">
        <w:rPr>
          <w:rFonts w:ascii="Arial" w:eastAsia="Times New Roman" w:hAnsi="Arial" w:cs="Arial"/>
          <w:kern w:val="0"/>
          <w:lang w:eastAsia="en-GB"/>
          <w14:ligatures w14:val="none"/>
        </w:rPr>
        <w:t>, 2023</w:t>
      </w:r>
      <w:r w:rsidR="0002677F">
        <w:rPr>
          <w:rFonts w:ascii="Arial" w:eastAsia="Times New Roman" w:hAnsi="Arial" w:cs="Arial"/>
          <w:kern w:val="0"/>
          <w:lang w:eastAsia="en-GB"/>
          <w14:ligatures w14:val="none"/>
        </w:rPr>
        <w:t xml:space="preserve">; </w:t>
      </w:r>
      <w:r w:rsidR="0002677F" w:rsidRPr="0002677F">
        <w:rPr>
          <w:rFonts w:ascii="Arial" w:eastAsia="Times New Roman" w:hAnsi="Arial" w:cs="Arial"/>
          <w:kern w:val="0"/>
          <w:lang w:eastAsia="en-GB"/>
          <w14:ligatures w14:val="none"/>
        </w:rPr>
        <w:t>NHS England, no date</w:t>
      </w:r>
      <w:r w:rsidR="00C11973" w:rsidRPr="00C11973">
        <w:rPr>
          <w:rFonts w:ascii="Arial" w:eastAsia="Times New Roman" w:hAnsi="Arial" w:cs="Arial"/>
          <w:kern w:val="0"/>
          <w:lang w:eastAsia="en-GB"/>
          <w14:ligatures w14:val="none"/>
        </w:rPr>
        <w:t>)</w:t>
      </w:r>
      <w:r w:rsidRPr="00413AE9">
        <w:rPr>
          <w:rFonts w:ascii="Arial" w:hAnsi="Arial" w:cs="Arial"/>
        </w:rPr>
        <w:t>. Interventions may include reminiscence therapy, guided conversation circles, digital storytelling, and virtual family sessions</w:t>
      </w:r>
      <w:r w:rsidR="0016140D">
        <w:rPr>
          <w:rFonts w:ascii="Arial" w:hAnsi="Arial" w:cs="Arial"/>
        </w:rPr>
        <w:t xml:space="preserve"> </w:t>
      </w:r>
      <w:r w:rsidR="0016140D" w:rsidRPr="0016140D">
        <w:rPr>
          <w:rFonts w:ascii="Arial" w:eastAsia="Times New Roman" w:hAnsi="Arial" w:cs="Arial"/>
          <w:kern w:val="0"/>
          <w:lang w:eastAsia="en-GB"/>
          <w14:ligatures w14:val="none"/>
        </w:rPr>
        <w:t xml:space="preserve">(Lu </w:t>
      </w:r>
      <w:r w:rsidR="0016140D" w:rsidRPr="0016140D">
        <w:rPr>
          <w:rFonts w:ascii="Arial" w:eastAsia="Times New Roman" w:hAnsi="Arial" w:cs="Arial"/>
          <w:i/>
          <w:iCs/>
          <w:kern w:val="0"/>
          <w:lang w:eastAsia="en-GB"/>
          <w14:ligatures w14:val="none"/>
        </w:rPr>
        <w:t>et al.</w:t>
      </w:r>
      <w:r w:rsidR="0016140D" w:rsidRPr="0016140D">
        <w:rPr>
          <w:rFonts w:ascii="Arial" w:eastAsia="Times New Roman" w:hAnsi="Arial" w:cs="Arial"/>
          <w:kern w:val="0"/>
          <w:lang w:eastAsia="en-GB"/>
          <w14:ligatures w14:val="none"/>
        </w:rPr>
        <w:t>, 2023</w:t>
      </w:r>
      <w:r w:rsidR="00CF28EE">
        <w:rPr>
          <w:rFonts w:ascii="Arial" w:eastAsia="Times New Roman" w:hAnsi="Arial" w:cs="Arial"/>
          <w:kern w:val="0"/>
          <w:lang w:eastAsia="en-GB"/>
          <w14:ligatures w14:val="none"/>
        </w:rPr>
        <w:t xml:space="preserve">; </w:t>
      </w:r>
      <w:r w:rsidR="00CF28EE" w:rsidRPr="00CF28EE">
        <w:rPr>
          <w:rFonts w:ascii="Arial" w:eastAsia="Times New Roman" w:hAnsi="Arial" w:cs="Arial"/>
          <w:kern w:val="0"/>
          <w:lang w:eastAsia="en-GB"/>
          <w14:ligatures w14:val="none"/>
        </w:rPr>
        <w:t>Moon and Park, 2020</w:t>
      </w:r>
      <w:r w:rsidR="00E9169F">
        <w:rPr>
          <w:rFonts w:ascii="Arial" w:eastAsia="Times New Roman" w:hAnsi="Arial" w:cs="Arial"/>
          <w:kern w:val="0"/>
          <w:lang w:eastAsia="en-GB"/>
          <w14:ligatures w14:val="none"/>
        </w:rPr>
        <w:t xml:space="preserve">; </w:t>
      </w:r>
      <w:r w:rsidR="00E9169F" w:rsidRPr="00E9169F">
        <w:rPr>
          <w:rFonts w:ascii="Arial" w:eastAsia="Times New Roman" w:hAnsi="Arial" w:cs="Arial"/>
          <w:kern w:val="0"/>
          <w:lang w:eastAsia="en-GB"/>
          <w14:ligatures w14:val="none"/>
        </w:rPr>
        <w:t>Patwary, 2024</w:t>
      </w:r>
      <w:r w:rsidR="0016140D" w:rsidRPr="0016140D">
        <w:rPr>
          <w:rFonts w:ascii="Arial" w:eastAsia="Times New Roman" w:hAnsi="Arial" w:cs="Arial"/>
          <w:kern w:val="0"/>
          <w:lang w:eastAsia="en-GB"/>
          <w14:ligatures w14:val="none"/>
        </w:rPr>
        <w:t>)</w:t>
      </w:r>
      <w:r w:rsidRPr="00413AE9">
        <w:rPr>
          <w:rFonts w:ascii="Arial" w:hAnsi="Arial" w:cs="Arial"/>
        </w:rPr>
        <w:t xml:space="preserve">. Feasibility is </w:t>
      </w:r>
      <w:r w:rsidRPr="00413AE9">
        <w:rPr>
          <w:rFonts w:ascii="Arial" w:hAnsi="Arial" w:cs="Arial"/>
        </w:rPr>
        <w:lastRenderedPageBreak/>
        <w:t>demonstrated by existing UK care models, such as the Eden Alternative and Namaste Care, which have shown promising outcomes in enhancing residents' emotional wellbeing</w:t>
      </w:r>
      <w:r w:rsidR="006A0815">
        <w:rPr>
          <w:rFonts w:ascii="Arial" w:hAnsi="Arial" w:cs="Arial"/>
        </w:rPr>
        <w:t xml:space="preserve"> </w:t>
      </w:r>
      <w:r w:rsidR="006A0815" w:rsidRPr="006A0815">
        <w:rPr>
          <w:rFonts w:ascii="Arial" w:eastAsia="Times New Roman" w:hAnsi="Arial" w:cs="Arial"/>
          <w:kern w:val="0"/>
          <w:lang w:eastAsia="en-GB"/>
          <w14:ligatures w14:val="none"/>
        </w:rPr>
        <w:t>(The Eden Alternative UK, 2024</w:t>
      </w:r>
      <w:r w:rsidR="00167AA5">
        <w:rPr>
          <w:rFonts w:ascii="Arial" w:eastAsia="Times New Roman" w:hAnsi="Arial" w:cs="Arial"/>
          <w:kern w:val="0"/>
          <w:lang w:eastAsia="en-GB"/>
          <w14:ligatures w14:val="none"/>
        </w:rPr>
        <w:t xml:space="preserve">; </w:t>
      </w:r>
      <w:r w:rsidR="00167AA5" w:rsidRPr="00167AA5">
        <w:rPr>
          <w:rFonts w:ascii="Arial" w:eastAsia="Times New Roman" w:hAnsi="Arial" w:cs="Arial"/>
          <w:kern w:val="0"/>
          <w:lang w:eastAsia="en-GB"/>
          <w14:ligatures w14:val="none"/>
        </w:rPr>
        <w:t xml:space="preserve">Froggatt </w:t>
      </w:r>
      <w:r w:rsidR="00167AA5" w:rsidRPr="00167AA5">
        <w:rPr>
          <w:rFonts w:ascii="Arial" w:eastAsia="Times New Roman" w:hAnsi="Arial" w:cs="Arial"/>
          <w:i/>
          <w:iCs/>
          <w:kern w:val="0"/>
          <w:lang w:eastAsia="en-GB"/>
          <w14:ligatures w14:val="none"/>
        </w:rPr>
        <w:t>et al.</w:t>
      </w:r>
      <w:r w:rsidR="00167AA5" w:rsidRPr="00167AA5">
        <w:rPr>
          <w:rFonts w:ascii="Arial" w:eastAsia="Times New Roman" w:hAnsi="Arial" w:cs="Arial"/>
          <w:kern w:val="0"/>
          <w:lang w:eastAsia="en-GB"/>
          <w14:ligatures w14:val="none"/>
        </w:rPr>
        <w:t>, 2018</w:t>
      </w:r>
      <w:r w:rsidR="006A0815" w:rsidRPr="006A0815">
        <w:rPr>
          <w:rFonts w:ascii="Arial" w:eastAsia="Times New Roman" w:hAnsi="Arial" w:cs="Arial"/>
          <w:kern w:val="0"/>
          <w:lang w:eastAsia="en-GB"/>
          <w14:ligatures w14:val="none"/>
        </w:rPr>
        <w:t>)</w:t>
      </w:r>
      <w:r w:rsidRPr="00413AE9">
        <w:rPr>
          <w:rFonts w:ascii="Arial" w:hAnsi="Arial" w:cs="Arial"/>
        </w:rPr>
        <w:t>.</w:t>
      </w:r>
    </w:p>
    <w:p w14:paraId="71167C22" w14:textId="50FDE372" w:rsidR="00D263EC" w:rsidRPr="00B311CD" w:rsidRDefault="00D263EC" w:rsidP="00F931CB">
      <w:pPr>
        <w:rPr>
          <w:rFonts w:ascii="Times New Roman" w:eastAsia="Times New Roman" w:hAnsi="Times New Roman" w:cs="Times New Roman"/>
          <w:kern w:val="0"/>
          <w:sz w:val="24"/>
          <w:szCs w:val="24"/>
          <w:lang w:eastAsia="en-GB"/>
          <w14:ligatures w14:val="none"/>
        </w:rPr>
      </w:pPr>
      <w:r w:rsidRPr="00413AE9">
        <w:rPr>
          <w:rFonts w:ascii="Arial" w:hAnsi="Arial" w:cs="Arial"/>
        </w:rPr>
        <w:t>However, significant implementation barriers remain. These include limited funding streams, chronic understaffing, and insufficient staff training in emotional care practices and digital competence</w:t>
      </w:r>
      <w:r w:rsidR="00DA0EE9">
        <w:rPr>
          <w:rFonts w:ascii="Arial" w:hAnsi="Arial" w:cs="Arial"/>
        </w:rPr>
        <w:t xml:space="preserve"> </w:t>
      </w:r>
      <w:r w:rsidR="00DA0EE9" w:rsidRPr="00DA0EE9">
        <w:rPr>
          <w:rFonts w:ascii="Arial" w:eastAsia="Times New Roman" w:hAnsi="Arial" w:cs="Arial"/>
          <w:kern w:val="0"/>
          <w:lang w:eastAsia="en-GB"/>
          <w14:ligatures w14:val="none"/>
        </w:rPr>
        <w:t>(CQC, 2021</w:t>
      </w:r>
      <w:r w:rsidR="00F931CB">
        <w:rPr>
          <w:rFonts w:ascii="Arial" w:eastAsia="Times New Roman" w:hAnsi="Arial" w:cs="Arial"/>
          <w:kern w:val="0"/>
          <w:lang w:eastAsia="en-GB"/>
          <w14:ligatures w14:val="none"/>
        </w:rPr>
        <w:t xml:space="preserve">; </w:t>
      </w:r>
      <w:r w:rsidR="00F931CB" w:rsidRPr="00F931CB">
        <w:rPr>
          <w:rFonts w:ascii="Arial" w:eastAsia="Times New Roman" w:hAnsi="Arial" w:cs="Arial"/>
          <w:kern w:val="0"/>
          <w:lang w:eastAsia="en-GB"/>
          <w14:ligatures w14:val="none"/>
        </w:rPr>
        <w:t>BGS, 2020</w:t>
      </w:r>
      <w:r w:rsidR="00860A28">
        <w:rPr>
          <w:rFonts w:ascii="Arial" w:eastAsia="Times New Roman" w:hAnsi="Arial" w:cs="Arial"/>
          <w:kern w:val="0"/>
          <w:lang w:eastAsia="en-GB"/>
          <w14:ligatures w14:val="none"/>
        </w:rPr>
        <w:t>; LGA</w:t>
      </w:r>
      <w:r w:rsidR="00D061AC">
        <w:rPr>
          <w:rFonts w:ascii="Arial" w:eastAsia="Times New Roman" w:hAnsi="Arial" w:cs="Arial"/>
          <w:kern w:val="0"/>
          <w:lang w:eastAsia="en-GB"/>
          <w14:ligatures w14:val="none"/>
        </w:rPr>
        <w:t>,</w:t>
      </w:r>
      <w:r w:rsidR="00860A28">
        <w:rPr>
          <w:rFonts w:ascii="Arial" w:eastAsia="Times New Roman" w:hAnsi="Arial" w:cs="Arial"/>
          <w:kern w:val="0"/>
          <w:lang w:eastAsia="en-GB"/>
          <w14:ligatures w14:val="none"/>
        </w:rPr>
        <w:t xml:space="preserve"> 2020</w:t>
      </w:r>
      <w:r w:rsidR="00DA0EE9" w:rsidRPr="00DA0EE9">
        <w:rPr>
          <w:rFonts w:ascii="Arial" w:eastAsia="Times New Roman" w:hAnsi="Arial" w:cs="Arial"/>
          <w:kern w:val="0"/>
          <w:lang w:eastAsia="en-GB"/>
          <w14:ligatures w14:val="none"/>
        </w:rPr>
        <w:t>)</w:t>
      </w:r>
      <w:r w:rsidRPr="00413AE9">
        <w:rPr>
          <w:rFonts w:ascii="Arial" w:hAnsi="Arial" w:cs="Arial"/>
        </w:rPr>
        <w:t>. To mitigate these obstacles, policymakers and care providers must commit to dedicated financial investment, develop comprehensive training frameworks, and collaborate with technology partners to ensure equitable access to devices and broadband</w:t>
      </w:r>
      <w:r w:rsidR="00B311CD">
        <w:rPr>
          <w:rFonts w:ascii="Arial" w:hAnsi="Arial" w:cs="Arial"/>
        </w:rPr>
        <w:t xml:space="preserve"> </w:t>
      </w:r>
      <w:r w:rsidR="00B311CD" w:rsidRPr="00B311CD">
        <w:rPr>
          <w:rFonts w:ascii="Arial" w:eastAsia="Times New Roman" w:hAnsi="Arial" w:cs="Arial"/>
          <w:kern w:val="0"/>
          <w:lang w:eastAsia="en-GB"/>
          <w14:ligatures w14:val="none"/>
        </w:rPr>
        <w:t>(</w:t>
      </w:r>
      <w:r w:rsidR="00FA348A" w:rsidRPr="00FA348A">
        <w:rPr>
          <w:rFonts w:ascii="Arial" w:eastAsia="Times New Roman" w:hAnsi="Arial" w:cs="Arial"/>
          <w:kern w:val="0"/>
          <w:lang w:eastAsia="en-GB"/>
          <w14:ligatures w14:val="none"/>
        </w:rPr>
        <w:t>GOV.UK, 2025</w:t>
      </w:r>
      <w:r w:rsidR="00FA348A">
        <w:rPr>
          <w:rFonts w:ascii="Arial" w:eastAsia="Times New Roman" w:hAnsi="Arial" w:cs="Arial"/>
          <w:kern w:val="0"/>
          <w:lang w:eastAsia="en-GB"/>
          <w14:ligatures w14:val="none"/>
        </w:rPr>
        <w:t xml:space="preserve">; </w:t>
      </w:r>
      <w:r w:rsidR="00B311CD" w:rsidRPr="00B311CD">
        <w:rPr>
          <w:rFonts w:ascii="Arial" w:eastAsia="Times New Roman" w:hAnsi="Arial" w:cs="Arial"/>
          <w:kern w:val="0"/>
          <w:lang w:eastAsia="en-GB"/>
          <w14:ligatures w14:val="none"/>
        </w:rPr>
        <w:t xml:space="preserve">Ayalon </w:t>
      </w:r>
      <w:r w:rsidR="00B311CD" w:rsidRPr="00B311CD">
        <w:rPr>
          <w:rFonts w:ascii="Arial" w:eastAsia="Times New Roman" w:hAnsi="Arial" w:cs="Arial"/>
          <w:i/>
          <w:iCs/>
          <w:kern w:val="0"/>
          <w:lang w:eastAsia="en-GB"/>
          <w14:ligatures w14:val="none"/>
        </w:rPr>
        <w:t>et al.</w:t>
      </w:r>
      <w:r w:rsidR="00B311CD" w:rsidRPr="00B311CD">
        <w:rPr>
          <w:rFonts w:ascii="Arial" w:eastAsia="Times New Roman" w:hAnsi="Arial" w:cs="Arial"/>
          <w:kern w:val="0"/>
          <w:lang w:eastAsia="en-GB"/>
          <w14:ligatures w14:val="none"/>
        </w:rPr>
        <w:t>, 2020)</w:t>
      </w:r>
      <w:r w:rsidRPr="00413AE9">
        <w:rPr>
          <w:rFonts w:ascii="Arial" w:hAnsi="Arial" w:cs="Arial"/>
        </w:rPr>
        <w:t>. Pilot programmes can aid gradual roll-out, allowing for continuous evaluation and refinement across diverse care settings</w:t>
      </w:r>
      <w:r w:rsidR="003955A4">
        <w:rPr>
          <w:rFonts w:ascii="Arial" w:hAnsi="Arial" w:cs="Arial"/>
        </w:rPr>
        <w:t xml:space="preserve"> </w:t>
      </w:r>
      <w:r w:rsidR="003955A4" w:rsidRPr="003955A4">
        <w:rPr>
          <w:rFonts w:ascii="Arial" w:eastAsia="Times New Roman" w:hAnsi="Arial" w:cs="Arial"/>
          <w:kern w:val="0"/>
          <w:lang w:eastAsia="en-GB"/>
          <w14:ligatures w14:val="none"/>
        </w:rPr>
        <w:t>(Government Commercial Function, 2021)</w:t>
      </w:r>
      <w:r w:rsidRPr="00413AE9">
        <w:rPr>
          <w:rFonts w:ascii="Arial" w:hAnsi="Arial" w:cs="Arial"/>
        </w:rPr>
        <w:t>.</w:t>
      </w:r>
    </w:p>
    <w:p w14:paraId="3B275961" w14:textId="47F75258" w:rsidR="000116BE" w:rsidRPr="00AA58E7" w:rsidRDefault="00D263EC" w:rsidP="00817173">
      <w:pPr>
        <w:rPr>
          <w:rFonts w:ascii="Times New Roman" w:eastAsia="Times New Roman" w:hAnsi="Times New Roman" w:cs="Times New Roman"/>
          <w:kern w:val="0"/>
          <w:sz w:val="24"/>
          <w:szCs w:val="24"/>
          <w:lang w:eastAsia="en-GB"/>
          <w14:ligatures w14:val="none"/>
        </w:rPr>
      </w:pPr>
      <w:r w:rsidRPr="00413AE9">
        <w:rPr>
          <w:rFonts w:ascii="Arial" w:hAnsi="Arial" w:cs="Arial"/>
        </w:rPr>
        <w:t xml:space="preserve">These interventions directly align with the dissertation’s research aim by actively mitigating emotional deterioration, loneliness, and social isolation among elderly residents. By </w:t>
      </w:r>
      <w:r w:rsidR="00EC5316" w:rsidRPr="00413AE9">
        <w:rPr>
          <w:rFonts w:ascii="Arial" w:hAnsi="Arial" w:cs="Arial"/>
        </w:rPr>
        <w:t>encouraging</w:t>
      </w:r>
      <w:r w:rsidRPr="00413AE9">
        <w:rPr>
          <w:rFonts w:ascii="Arial" w:hAnsi="Arial" w:cs="Arial"/>
        </w:rPr>
        <w:t xml:space="preserve"> meaningful relationships, boosting emotional engagement, and enhancing mental health, they contribute to a more person-centred and resilient care-home environment, especially crucial during public health crises and beyond</w:t>
      </w:r>
      <w:r w:rsidR="00AA58E7">
        <w:rPr>
          <w:rFonts w:ascii="Arial" w:hAnsi="Arial" w:cs="Arial"/>
        </w:rPr>
        <w:t xml:space="preserve"> </w:t>
      </w:r>
      <w:r w:rsidR="00AA58E7" w:rsidRPr="00AA58E7">
        <w:rPr>
          <w:rFonts w:ascii="Arial" w:eastAsia="Times New Roman" w:hAnsi="Arial" w:cs="Arial"/>
          <w:kern w:val="0"/>
          <w:lang w:eastAsia="en-GB"/>
          <w14:ligatures w14:val="none"/>
        </w:rPr>
        <w:t xml:space="preserve">(Bradshaw </w:t>
      </w:r>
      <w:r w:rsidR="00AA58E7" w:rsidRPr="00AA58E7">
        <w:rPr>
          <w:rFonts w:ascii="Arial" w:eastAsia="Times New Roman" w:hAnsi="Arial" w:cs="Arial"/>
          <w:i/>
          <w:iCs/>
          <w:kern w:val="0"/>
          <w:lang w:eastAsia="en-GB"/>
          <w14:ligatures w14:val="none"/>
        </w:rPr>
        <w:t>et al.</w:t>
      </w:r>
      <w:r w:rsidR="00AA58E7" w:rsidRPr="00AA58E7">
        <w:rPr>
          <w:rFonts w:ascii="Arial" w:eastAsia="Times New Roman" w:hAnsi="Arial" w:cs="Arial"/>
          <w:kern w:val="0"/>
          <w:lang w:eastAsia="en-GB"/>
          <w14:ligatures w14:val="none"/>
        </w:rPr>
        <w:t>, 2022)</w:t>
      </w:r>
      <w:r w:rsidRPr="00413AE9">
        <w:rPr>
          <w:rFonts w:ascii="Arial" w:hAnsi="Arial" w:cs="Arial"/>
        </w:rPr>
        <w:t>.</w:t>
      </w:r>
    </w:p>
    <w:p w14:paraId="78CFF915" w14:textId="77777777" w:rsidR="00AD1935" w:rsidRPr="005C5E80" w:rsidRDefault="00AD1935" w:rsidP="009F470F"/>
    <w:p w14:paraId="1019826B" w14:textId="24C6CEB4" w:rsidR="005C5E80" w:rsidRPr="00C60EDD" w:rsidRDefault="005C5E80" w:rsidP="00D07B7B">
      <w:pPr>
        <w:pStyle w:val="Heading1"/>
        <w:ind w:left="0"/>
        <w:rPr>
          <w:rFonts w:cs="Arial"/>
          <w:sz w:val="24"/>
          <w:szCs w:val="24"/>
        </w:rPr>
      </w:pPr>
      <w:bookmarkStart w:id="26" w:name="_Toc204127897"/>
      <w:r w:rsidRPr="00C60EDD">
        <w:rPr>
          <w:rFonts w:cs="Arial"/>
          <w:sz w:val="24"/>
          <w:szCs w:val="24"/>
        </w:rPr>
        <w:t>5.2.2 – Recommendation 2</w:t>
      </w:r>
      <w:r w:rsidR="00023624" w:rsidRPr="00C60EDD">
        <w:rPr>
          <w:rFonts w:cs="Arial"/>
          <w:sz w:val="24"/>
          <w:szCs w:val="24"/>
        </w:rPr>
        <w:t xml:space="preserve">: </w:t>
      </w:r>
      <w:r w:rsidR="00023624" w:rsidRPr="00C60EDD">
        <w:rPr>
          <w:rFonts w:cs="Arial"/>
          <w:sz w:val="24"/>
          <w:szCs w:val="24"/>
        </w:rPr>
        <w:t>Strengthen Cognitive and Functional Stimulation through Personalised Daily Routines and Sensory-Based Interventions</w:t>
      </w:r>
      <w:bookmarkEnd w:id="26"/>
    </w:p>
    <w:p w14:paraId="5B5BE543" w14:textId="77777777" w:rsidR="007A4CCB" w:rsidRPr="005C5E80" w:rsidRDefault="007A4CCB" w:rsidP="00D07B7B">
      <w:pPr>
        <w:pStyle w:val="Heading1"/>
        <w:ind w:left="0"/>
        <w:rPr>
          <w:rFonts w:ascii="Aptos" w:hAnsi="Aptos"/>
          <w:sz w:val="28"/>
          <w:szCs w:val="28"/>
        </w:rPr>
      </w:pPr>
    </w:p>
    <w:p w14:paraId="36123D6C" w14:textId="356C3D29" w:rsidR="0042025B" w:rsidRPr="00015BCB" w:rsidRDefault="0042025B" w:rsidP="007A4CCB">
      <w:pPr>
        <w:rPr>
          <w:rFonts w:ascii="Times New Roman" w:eastAsia="Times New Roman" w:hAnsi="Times New Roman" w:cs="Times New Roman"/>
          <w:kern w:val="0"/>
          <w:sz w:val="24"/>
          <w:szCs w:val="24"/>
          <w:lang w:eastAsia="en-GB"/>
          <w14:ligatures w14:val="none"/>
        </w:rPr>
      </w:pPr>
      <w:r w:rsidRPr="00413AE9">
        <w:rPr>
          <w:rFonts w:ascii="Arial" w:hAnsi="Arial" w:cs="Arial"/>
        </w:rPr>
        <w:t>Implement structured, personalised daily routines in care homes that incorporate cognitive stimulation and meaningful activities tailored to individual needs and capabilities</w:t>
      </w:r>
      <w:r w:rsidR="00BB6D01">
        <w:rPr>
          <w:rFonts w:ascii="Arial" w:hAnsi="Arial" w:cs="Arial"/>
        </w:rPr>
        <w:t xml:space="preserve"> </w:t>
      </w:r>
      <w:r w:rsidR="00BB6D01" w:rsidRPr="00BB6D01">
        <w:rPr>
          <w:rFonts w:ascii="Arial" w:eastAsia="Times New Roman" w:hAnsi="Arial" w:cs="Arial"/>
          <w:kern w:val="0"/>
          <w:lang w:eastAsia="en-GB"/>
          <w14:ligatures w14:val="none"/>
        </w:rPr>
        <w:t>(Turner, 2025)</w:t>
      </w:r>
      <w:r w:rsidRPr="00413AE9">
        <w:rPr>
          <w:rFonts w:ascii="Arial" w:hAnsi="Arial" w:cs="Arial"/>
        </w:rPr>
        <w:t>.</w:t>
      </w:r>
      <w:r w:rsidR="00EE1F05">
        <w:rPr>
          <w:rFonts w:ascii="Arial" w:hAnsi="Arial" w:cs="Arial"/>
        </w:rPr>
        <w:t xml:space="preserve"> </w:t>
      </w:r>
      <w:r w:rsidRPr="00413AE9">
        <w:rPr>
          <w:rFonts w:ascii="Arial" w:hAnsi="Arial" w:cs="Arial"/>
        </w:rPr>
        <w:t xml:space="preserve"> Activities should include music therapy, arts and crafts, simple cognitive games, gardening, and sensory-based engagement to preserve functional abilities and reduce cognitive decline </w:t>
      </w:r>
      <w:r w:rsidR="00015BCB" w:rsidRPr="00015BCB">
        <w:rPr>
          <w:rFonts w:ascii="Arial" w:eastAsia="Times New Roman" w:hAnsi="Arial" w:cs="Arial"/>
          <w:kern w:val="0"/>
          <w:lang w:eastAsia="en-GB"/>
          <w14:ligatures w14:val="none"/>
        </w:rPr>
        <w:t>(Jones, 2024)</w:t>
      </w:r>
      <w:r w:rsidR="00015BCB">
        <w:rPr>
          <w:rFonts w:ascii="Arial" w:eastAsia="Times New Roman" w:hAnsi="Arial" w:cs="Arial"/>
          <w:kern w:val="0"/>
          <w:lang w:eastAsia="en-GB"/>
          <w14:ligatures w14:val="none"/>
        </w:rPr>
        <w:t xml:space="preserve">. </w:t>
      </w:r>
      <w:r w:rsidRPr="00413AE9">
        <w:rPr>
          <w:rFonts w:ascii="Arial" w:hAnsi="Arial" w:cs="Arial"/>
        </w:rPr>
        <w:t>Evidence from dementia care practices supports the efficacy of routine-based, multi-sensory interventions in improving attention, memory, and mood</w:t>
      </w:r>
      <w:r w:rsidR="009E2749">
        <w:rPr>
          <w:rFonts w:ascii="Arial" w:hAnsi="Arial" w:cs="Arial"/>
        </w:rPr>
        <w:t xml:space="preserve"> </w:t>
      </w:r>
      <w:r w:rsidR="009E2749" w:rsidRPr="009E2749">
        <w:rPr>
          <w:rFonts w:ascii="Arial" w:eastAsia="Times New Roman" w:hAnsi="Arial" w:cs="Arial"/>
          <w:kern w:val="0"/>
          <w:lang w:eastAsia="en-GB"/>
          <w14:ligatures w14:val="none"/>
        </w:rPr>
        <w:t>(</w:t>
      </w:r>
      <w:proofErr w:type="spellStart"/>
      <w:r w:rsidR="009E2749" w:rsidRPr="009E2749">
        <w:rPr>
          <w:rFonts w:ascii="Arial" w:eastAsia="Times New Roman" w:hAnsi="Arial" w:cs="Arial"/>
          <w:kern w:val="0"/>
          <w:lang w:eastAsia="en-GB"/>
          <w14:ligatures w14:val="none"/>
        </w:rPr>
        <w:t>Tulliani</w:t>
      </w:r>
      <w:proofErr w:type="spellEnd"/>
      <w:r w:rsidR="009E2749" w:rsidRPr="009E2749">
        <w:rPr>
          <w:rFonts w:ascii="Arial" w:eastAsia="Times New Roman" w:hAnsi="Arial" w:cs="Arial"/>
          <w:kern w:val="0"/>
          <w:lang w:eastAsia="en-GB"/>
          <w14:ligatures w14:val="none"/>
        </w:rPr>
        <w:t xml:space="preserve"> </w:t>
      </w:r>
      <w:r w:rsidR="009E2749" w:rsidRPr="009E2749">
        <w:rPr>
          <w:rFonts w:ascii="Arial" w:eastAsia="Times New Roman" w:hAnsi="Arial" w:cs="Arial"/>
          <w:i/>
          <w:iCs/>
          <w:kern w:val="0"/>
          <w:lang w:eastAsia="en-GB"/>
          <w14:ligatures w14:val="none"/>
        </w:rPr>
        <w:t>et al.</w:t>
      </w:r>
      <w:r w:rsidR="009E2749" w:rsidRPr="009E2749">
        <w:rPr>
          <w:rFonts w:ascii="Arial" w:eastAsia="Times New Roman" w:hAnsi="Arial" w:cs="Arial"/>
          <w:kern w:val="0"/>
          <w:lang w:eastAsia="en-GB"/>
          <w14:ligatures w14:val="none"/>
        </w:rPr>
        <w:t>, 2023</w:t>
      </w:r>
      <w:r w:rsidR="00FE30B1">
        <w:rPr>
          <w:rFonts w:ascii="Arial" w:eastAsia="Times New Roman" w:hAnsi="Arial" w:cs="Arial"/>
          <w:kern w:val="0"/>
          <w:lang w:eastAsia="en-GB"/>
          <w14:ligatures w14:val="none"/>
        </w:rPr>
        <w:t xml:space="preserve">; </w:t>
      </w:r>
      <w:r w:rsidR="00FE30B1" w:rsidRPr="00FE30B1">
        <w:rPr>
          <w:rFonts w:ascii="Arial" w:eastAsia="Times New Roman" w:hAnsi="Arial" w:cs="Arial"/>
          <w:kern w:val="0"/>
          <w:lang w:eastAsia="en-GB"/>
          <w14:ligatures w14:val="none"/>
        </w:rPr>
        <w:t xml:space="preserve">Fisher </w:t>
      </w:r>
      <w:r w:rsidR="00FE30B1" w:rsidRPr="00FE30B1">
        <w:rPr>
          <w:rFonts w:ascii="Arial" w:eastAsia="Times New Roman" w:hAnsi="Arial" w:cs="Arial"/>
          <w:i/>
          <w:iCs/>
          <w:kern w:val="0"/>
          <w:lang w:eastAsia="en-GB"/>
          <w14:ligatures w14:val="none"/>
        </w:rPr>
        <w:t>et al.</w:t>
      </w:r>
      <w:r w:rsidR="00FE30B1" w:rsidRPr="00FE30B1">
        <w:rPr>
          <w:rFonts w:ascii="Arial" w:eastAsia="Times New Roman" w:hAnsi="Arial" w:cs="Arial"/>
          <w:kern w:val="0"/>
          <w:lang w:eastAsia="en-GB"/>
          <w14:ligatures w14:val="none"/>
        </w:rPr>
        <w:t>, 2025</w:t>
      </w:r>
      <w:r w:rsidR="009E2749" w:rsidRPr="009E2749">
        <w:rPr>
          <w:rFonts w:ascii="Arial" w:eastAsia="Times New Roman" w:hAnsi="Arial" w:cs="Arial"/>
          <w:kern w:val="0"/>
          <w:lang w:eastAsia="en-GB"/>
          <w14:ligatures w14:val="none"/>
        </w:rPr>
        <w:t>)</w:t>
      </w:r>
      <w:r w:rsidR="007A4CCB">
        <w:rPr>
          <w:rFonts w:ascii="Arial" w:eastAsia="Times New Roman" w:hAnsi="Arial" w:cs="Arial"/>
          <w:kern w:val="0"/>
          <w:lang w:eastAsia="en-GB"/>
          <w14:ligatures w14:val="none"/>
        </w:rPr>
        <w:t>.</w:t>
      </w:r>
    </w:p>
    <w:p w14:paraId="1F80D6A6" w14:textId="74F8D5CC" w:rsidR="005C5E80" w:rsidRDefault="0042025B" w:rsidP="00E210E9">
      <w:pPr>
        <w:rPr>
          <w:rFonts w:ascii="Arial" w:hAnsi="Arial" w:cs="Arial"/>
        </w:rPr>
      </w:pPr>
      <w:r w:rsidRPr="00B82B8B">
        <w:rPr>
          <w:rFonts w:ascii="Arial" w:hAnsi="Arial" w:cs="Arial"/>
        </w:rPr>
        <w:t>This approach is feasible, as many tools required are low-cost and adaptable</w:t>
      </w:r>
      <w:r w:rsidR="00E75412" w:rsidRPr="00B82B8B">
        <w:rPr>
          <w:rFonts w:ascii="Arial" w:hAnsi="Arial" w:cs="Arial"/>
        </w:rPr>
        <w:t xml:space="preserve"> </w:t>
      </w:r>
      <w:r w:rsidR="00E75412" w:rsidRPr="00B82B8B">
        <w:rPr>
          <w:rFonts w:ascii="Arial" w:eastAsia="Times New Roman" w:hAnsi="Arial" w:cs="Arial"/>
          <w:kern w:val="0"/>
          <w:lang w:eastAsia="en-GB"/>
          <w14:ligatures w14:val="none"/>
        </w:rPr>
        <w:t>(Comas-Herrera and Knapp, 2016)</w:t>
      </w:r>
      <w:r w:rsidRPr="00B82B8B">
        <w:rPr>
          <w:rFonts w:ascii="Arial" w:hAnsi="Arial" w:cs="Arial"/>
        </w:rPr>
        <w:t>. For instance, sensory boxes and memory aids can be personalised with support from families and community volunteers</w:t>
      </w:r>
      <w:r w:rsidR="005A77BD">
        <w:rPr>
          <w:rFonts w:ascii="Arial" w:hAnsi="Arial" w:cs="Arial"/>
        </w:rPr>
        <w:t xml:space="preserve"> </w:t>
      </w:r>
      <w:r w:rsidR="005A77BD" w:rsidRPr="005A77BD">
        <w:rPr>
          <w:rFonts w:ascii="Arial" w:eastAsia="Times New Roman" w:hAnsi="Arial" w:cs="Arial"/>
          <w:kern w:val="0"/>
          <w:lang w:eastAsia="en-GB"/>
          <w14:ligatures w14:val="none"/>
        </w:rPr>
        <w:t>(Bethesda Health Group, 2022)</w:t>
      </w:r>
      <w:r w:rsidRPr="00B82B8B">
        <w:rPr>
          <w:rFonts w:ascii="Arial" w:hAnsi="Arial" w:cs="Arial"/>
        </w:rPr>
        <w:t xml:space="preserve">. Successful examples include the Cognitive Stimulation Therapy (CST) model used across NHS memory clinics and some residential homes </w:t>
      </w:r>
      <w:r w:rsidR="002267E2" w:rsidRPr="00B82B8B">
        <w:rPr>
          <w:rFonts w:ascii="Arial" w:eastAsia="Times New Roman" w:hAnsi="Arial" w:cs="Arial"/>
          <w:kern w:val="0"/>
          <w:lang w:eastAsia="en-GB"/>
          <w14:ligatures w14:val="none"/>
        </w:rPr>
        <w:t>(NHS Foundation Trust, 2023)</w:t>
      </w:r>
      <w:r w:rsidRPr="00B82B8B">
        <w:rPr>
          <w:rFonts w:ascii="Arial" w:hAnsi="Arial" w:cs="Arial"/>
        </w:rPr>
        <w:t xml:space="preserve">. Barriers may include a lack of staff confidence in delivering tailored cognitive activities and limited time for one-on-one interaction </w:t>
      </w:r>
      <w:r w:rsidR="00A928CC" w:rsidRPr="00B82B8B">
        <w:rPr>
          <w:rFonts w:ascii="Arial" w:eastAsia="Times New Roman" w:hAnsi="Arial" w:cs="Arial"/>
          <w:kern w:val="0"/>
          <w:lang w:eastAsia="en-GB"/>
          <w14:ligatures w14:val="none"/>
        </w:rPr>
        <w:t xml:space="preserve">(Hicks </w:t>
      </w:r>
      <w:r w:rsidR="00A928CC" w:rsidRPr="00B82B8B">
        <w:rPr>
          <w:rFonts w:ascii="Arial" w:eastAsia="Times New Roman" w:hAnsi="Arial" w:cs="Arial"/>
          <w:i/>
          <w:iCs/>
          <w:kern w:val="0"/>
          <w:lang w:eastAsia="en-GB"/>
          <w14:ligatures w14:val="none"/>
        </w:rPr>
        <w:t>et al.</w:t>
      </w:r>
      <w:r w:rsidR="00A928CC" w:rsidRPr="00B82B8B">
        <w:rPr>
          <w:rFonts w:ascii="Arial" w:eastAsia="Times New Roman" w:hAnsi="Arial" w:cs="Arial"/>
          <w:kern w:val="0"/>
          <w:lang w:eastAsia="en-GB"/>
          <w14:ligatures w14:val="none"/>
        </w:rPr>
        <w:t>, 2022)</w:t>
      </w:r>
      <w:r w:rsidR="00B82B8B" w:rsidRPr="00B82B8B">
        <w:rPr>
          <w:rFonts w:ascii="Arial" w:eastAsia="Times New Roman" w:hAnsi="Arial" w:cs="Arial"/>
          <w:kern w:val="0"/>
          <w:lang w:eastAsia="en-GB"/>
          <w14:ligatures w14:val="none"/>
        </w:rPr>
        <w:t xml:space="preserve">. </w:t>
      </w:r>
      <w:r w:rsidRPr="00B82B8B">
        <w:rPr>
          <w:rFonts w:ascii="Arial" w:hAnsi="Arial" w:cs="Arial"/>
        </w:rPr>
        <w:t>These challenges can be addressed by embedding basic CST principles into staff training and designating activity coordinators with specialist skills</w:t>
      </w:r>
      <w:r w:rsidR="00C96DEE" w:rsidRPr="00B82B8B">
        <w:rPr>
          <w:rFonts w:ascii="Arial" w:hAnsi="Arial" w:cs="Arial"/>
        </w:rPr>
        <w:t xml:space="preserve"> </w:t>
      </w:r>
      <w:r w:rsidR="00C96DEE" w:rsidRPr="00B82B8B">
        <w:rPr>
          <w:rFonts w:ascii="Arial" w:eastAsia="Times New Roman" w:hAnsi="Arial" w:cs="Arial"/>
          <w:kern w:val="0"/>
          <w:lang w:eastAsia="en-GB"/>
          <w14:ligatures w14:val="none"/>
        </w:rPr>
        <w:t xml:space="preserve">(Jones, </w:t>
      </w:r>
      <w:r w:rsidR="00C96DEE" w:rsidRPr="00B82B8B">
        <w:rPr>
          <w:rFonts w:ascii="Arial" w:eastAsia="Times New Roman" w:hAnsi="Arial" w:cs="Arial"/>
          <w:kern w:val="0"/>
          <w:lang w:eastAsia="en-GB"/>
          <w14:ligatures w14:val="none"/>
        </w:rPr>
        <w:lastRenderedPageBreak/>
        <w:t>2025</w:t>
      </w:r>
      <w:r w:rsidR="00FE240D">
        <w:rPr>
          <w:rFonts w:ascii="Arial" w:eastAsia="Times New Roman" w:hAnsi="Arial" w:cs="Arial"/>
          <w:kern w:val="0"/>
          <w:lang w:eastAsia="en-GB"/>
          <w14:ligatures w14:val="none"/>
        </w:rPr>
        <w:t xml:space="preserve">; </w:t>
      </w:r>
      <w:r w:rsidR="00FE240D" w:rsidRPr="00FE240D">
        <w:rPr>
          <w:rFonts w:ascii="Arial" w:eastAsia="Times New Roman" w:hAnsi="Arial" w:cs="Arial"/>
          <w:kern w:val="0"/>
          <w:lang w:eastAsia="en-GB"/>
          <w14:ligatures w14:val="none"/>
        </w:rPr>
        <w:t>Ballard, Corbett and Khan, 2014</w:t>
      </w:r>
      <w:r w:rsidR="00C96DEE" w:rsidRPr="00B82B8B">
        <w:rPr>
          <w:rFonts w:ascii="Arial" w:eastAsia="Times New Roman" w:hAnsi="Arial" w:cs="Arial"/>
          <w:kern w:val="0"/>
          <w:lang w:eastAsia="en-GB"/>
          <w14:ligatures w14:val="none"/>
        </w:rPr>
        <w:t>)</w:t>
      </w:r>
      <w:r w:rsidRPr="00B82B8B">
        <w:rPr>
          <w:rFonts w:ascii="Arial" w:hAnsi="Arial" w:cs="Arial"/>
        </w:rPr>
        <w:t>. Partnerships with occupational therapists and local volunteers can also enhance delivery</w:t>
      </w:r>
      <w:r w:rsidR="0018760C">
        <w:rPr>
          <w:rFonts w:ascii="Arial" w:hAnsi="Arial" w:cs="Arial"/>
        </w:rPr>
        <w:t xml:space="preserve"> </w:t>
      </w:r>
      <w:r w:rsidR="0018760C" w:rsidRPr="0018760C">
        <w:rPr>
          <w:rFonts w:ascii="Arial" w:eastAsia="Times New Roman" w:hAnsi="Arial" w:cs="Arial"/>
          <w:kern w:val="0"/>
          <w:lang w:eastAsia="en-GB"/>
          <w14:ligatures w14:val="none"/>
        </w:rPr>
        <w:t>(RCOT, 2023)</w:t>
      </w:r>
      <w:r w:rsidRPr="00B82B8B">
        <w:rPr>
          <w:rFonts w:ascii="Arial" w:hAnsi="Arial" w:cs="Arial"/>
        </w:rPr>
        <w:t>. This recommendation promotes autonomy, slows deterioration, and enhances quality of life through engaging, therapeutic routines.</w:t>
      </w:r>
    </w:p>
    <w:p w14:paraId="691C571A" w14:textId="77777777" w:rsidR="00C03A8C" w:rsidRPr="005C5E80" w:rsidRDefault="00C03A8C" w:rsidP="00E210E9"/>
    <w:p w14:paraId="6DEFF1C6" w14:textId="6569C591" w:rsidR="005C5E80" w:rsidRPr="00C60EDD" w:rsidRDefault="005C5E80" w:rsidP="00D07B7B">
      <w:pPr>
        <w:pStyle w:val="Heading1"/>
        <w:ind w:left="0"/>
        <w:rPr>
          <w:rFonts w:cs="Arial"/>
          <w:sz w:val="24"/>
          <w:szCs w:val="24"/>
        </w:rPr>
      </w:pPr>
      <w:bookmarkStart w:id="27" w:name="_Toc204127898"/>
      <w:r w:rsidRPr="00C60EDD">
        <w:rPr>
          <w:rFonts w:cs="Arial"/>
          <w:sz w:val="24"/>
          <w:szCs w:val="24"/>
        </w:rPr>
        <w:t>5.2.3 – Recommendation 3</w:t>
      </w:r>
      <w:r w:rsidR="00F2741A" w:rsidRPr="00C60EDD">
        <w:rPr>
          <w:rFonts w:cs="Arial"/>
          <w:sz w:val="24"/>
          <w:szCs w:val="24"/>
        </w:rPr>
        <w:t xml:space="preserve">: </w:t>
      </w:r>
      <w:r w:rsidR="00DA75FF" w:rsidRPr="00C60EDD">
        <w:rPr>
          <w:rFonts w:cs="Arial"/>
          <w:sz w:val="24"/>
          <w:szCs w:val="24"/>
        </w:rPr>
        <w:t>Promoting Digital Inclusion to Reduce Isolation and Enhance Care Quality</w:t>
      </w:r>
      <w:bookmarkEnd w:id="27"/>
    </w:p>
    <w:p w14:paraId="61CD43C9" w14:textId="77777777" w:rsidR="00211184" w:rsidRDefault="00211184"/>
    <w:p w14:paraId="18CCC734" w14:textId="217498F6" w:rsidR="005E66BC" w:rsidRDefault="00501C90" w:rsidP="00FD61CE">
      <w:pPr>
        <w:rPr>
          <w:rFonts w:ascii="Arial" w:hAnsi="Arial" w:cs="Arial"/>
        </w:rPr>
      </w:pPr>
      <w:r w:rsidRPr="00566E70">
        <w:rPr>
          <w:rFonts w:ascii="Arial" w:hAnsi="Arial" w:cs="Arial"/>
        </w:rPr>
        <w:t>To reduce social isolation and improve quality of care, care homes should implement structured digital inclusion programmes</w:t>
      </w:r>
      <w:r w:rsidR="004E708D" w:rsidRPr="00566E70">
        <w:rPr>
          <w:rFonts w:ascii="Arial" w:hAnsi="Arial" w:cs="Arial"/>
        </w:rPr>
        <w:t xml:space="preserve"> </w:t>
      </w:r>
      <w:r w:rsidR="004E708D" w:rsidRPr="00566E70">
        <w:rPr>
          <w:rFonts w:ascii="Arial" w:eastAsia="Times New Roman" w:hAnsi="Arial" w:cs="Arial"/>
          <w:kern w:val="0"/>
          <w:lang w:eastAsia="en-GB"/>
          <w14:ligatures w14:val="none"/>
        </w:rPr>
        <w:t>(NHS England, 202</w:t>
      </w:r>
      <w:r w:rsidR="006263FF">
        <w:rPr>
          <w:rFonts w:ascii="Arial" w:eastAsia="Times New Roman" w:hAnsi="Arial" w:cs="Arial"/>
          <w:kern w:val="0"/>
          <w:lang w:eastAsia="en-GB"/>
          <w14:ligatures w14:val="none"/>
        </w:rPr>
        <w:t>4b</w:t>
      </w:r>
      <w:r w:rsidR="004E708D" w:rsidRPr="00566E70">
        <w:rPr>
          <w:rFonts w:ascii="Arial" w:eastAsia="Times New Roman" w:hAnsi="Arial" w:cs="Arial"/>
          <w:kern w:val="0"/>
          <w:lang w:eastAsia="en-GB"/>
          <w14:ligatures w14:val="none"/>
        </w:rPr>
        <w:t>)</w:t>
      </w:r>
      <w:r w:rsidRPr="00566E70">
        <w:rPr>
          <w:rFonts w:ascii="Arial" w:hAnsi="Arial" w:cs="Arial"/>
        </w:rPr>
        <w:t>. These should include the provision of simplified, user-friendly devices, stable internet access, and tailored digital skills training for both staff and residents. Such initiatives should be embedded within personalised care plans, accommodating residents’ sensory or cognitive needs. This recommendation directly responds to the dissertation’s findings, which revealed that digital exclusion significantly worsened loneliness and depression among elderly care home residents during the COVID-19 lockdowns</w:t>
      </w:r>
      <w:r w:rsidR="00F62AE9" w:rsidRPr="00566E70">
        <w:rPr>
          <w:rFonts w:ascii="Arial" w:hAnsi="Arial" w:cs="Arial"/>
        </w:rPr>
        <w:t xml:space="preserve"> </w:t>
      </w:r>
      <w:r w:rsidR="00F62AE9" w:rsidRPr="00566E70">
        <w:rPr>
          <w:rFonts w:ascii="Arial" w:eastAsia="Times New Roman" w:hAnsi="Arial" w:cs="Arial"/>
          <w:kern w:val="0"/>
          <w:lang w:eastAsia="en-GB"/>
          <w14:ligatures w14:val="none"/>
        </w:rPr>
        <w:t>(Herlitz and Harden, 2021)</w:t>
      </w:r>
      <w:r w:rsidRPr="00566E70">
        <w:rPr>
          <w:rFonts w:ascii="Arial" w:hAnsi="Arial" w:cs="Arial"/>
        </w:rPr>
        <w:t xml:space="preserve">. </w:t>
      </w:r>
      <w:r w:rsidR="002D575F" w:rsidRPr="00566E70">
        <w:rPr>
          <w:rFonts w:ascii="Arial" w:hAnsi="Arial" w:cs="Arial"/>
        </w:rPr>
        <w:t xml:space="preserve">According to </w:t>
      </w:r>
      <w:r w:rsidR="002D575F" w:rsidRPr="00566E70">
        <w:rPr>
          <w:rFonts w:ascii="Arial" w:eastAsia="Times New Roman" w:hAnsi="Arial" w:cs="Arial"/>
          <w:kern w:val="0"/>
          <w:lang w:eastAsia="en-GB"/>
          <w14:ligatures w14:val="none"/>
        </w:rPr>
        <w:t xml:space="preserve">(Baker </w:t>
      </w:r>
      <w:r w:rsidR="002D575F" w:rsidRPr="00566E70">
        <w:rPr>
          <w:rFonts w:ascii="Arial" w:eastAsia="Times New Roman" w:hAnsi="Arial" w:cs="Arial"/>
          <w:i/>
          <w:iCs/>
          <w:kern w:val="0"/>
          <w:lang w:eastAsia="en-GB"/>
          <w14:ligatures w14:val="none"/>
        </w:rPr>
        <w:t>et al.</w:t>
      </w:r>
      <w:r w:rsidR="002D575F" w:rsidRPr="00566E70">
        <w:rPr>
          <w:rFonts w:ascii="Arial" w:eastAsia="Times New Roman" w:hAnsi="Arial" w:cs="Arial"/>
          <w:kern w:val="0"/>
          <w:lang w:eastAsia="en-GB"/>
          <w14:ligatures w14:val="none"/>
        </w:rPr>
        <w:t>, 2020)</w:t>
      </w:r>
      <w:r w:rsidR="005E66BC">
        <w:rPr>
          <w:rFonts w:ascii="Arial" w:eastAsia="Times New Roman" w:hAnsi="Arial" w:cs="Arial"/>
          <w:kern w:val="0"/>
          <w:lang w:eastAsia="en-GB"/>
          <w14:ligatures w14:val="none"/>
        </w:rPr>
        <w:t>,</w:t>
      </w:r>
      <w:r w:rsidR="00566E70" w:rsidRPr="00566E70">
        <w:rPr>
          <w:rFonts w:ascii="Arial" w:eastAsia="Times New Roman" w:hAnsi="Arial" w:cs="Arial"/>
          <w:kern w:val="0"/>
          <w:lang w:eastAsia="en-GB"/>
          <w14:ligatures w14:val="none"/>
        </w:rPr>
        <w:t xml:space="preserve"> w</w:t>
      </w:r>
      <w:r w:rsidRPr="00566E70">
        <w:rPr>
          <w:rFonts w:ascii="Arial" w:hAnsi="Arial" w:cs="Arial"/>
        </w:rPr>
        <w:t>ithout digital access, many were unable to maintain contact with loved ones, participate in online activities, or access remote healthcare</w:t>
      </w:r>
      <w:r w:rsidRPr="00566E70">
        <w:rPr>
          <w:rFonts w:ascii="Arial" w:hAnsi="Arial" w:cs="Arial"/>
        </w:rPr>
        <w:t xml:space="preserve">, </w:t>
      </w:r>
      <w:r w:rsidRPr="00566E70">
        <w:rPr>
          <w:rFonts w:ascii="Arial" w:hAnsi="Arial" w:cs="Arial"/>
        </w:rPr>
        <w:t>further exacerbating emotional and cognitive decline.</w:t>
      </w:r>
    </w:p>
    <w:p w14:paraId="65F969F3" w14:textId="75246CDB" w:rsidR="000400E4" w:rsidRPr="001A2F63" w:rsidRDefault="00501C90" w:rsidP="001A2F63">
      <w:pPr>
        <w:rPr>
          <w:rFonts w:ascii="Times New Roman" w:eastAsia="Times New Roman" w:hAnsi="Times New Roman" w:cs="Times New Roman"/>
          <w:kern w:val="0"/>
          <w:sz w:val="24"/>
          <w:szCs w:val="24"/>
          <w:lang w:eastAsia="en-GB"/>
          <w14:ligatures w14:val="none"/>
        </w:rPr>
      </w:pPr>
      <w:r w:rsidRPr="00566E70">
        <w:rPr>
          <w:rFonts w:ascii="Arial" w:hAnsi="Arial" w:cs="Arial"/>
        </w:rPr>
        <w:t xml:space="preserve">The feasibility of such interventions is demonstrated by NHS Digital’s </w:t>
      </w:r>
      <w:r w:rsidR="005F2D39" w:rsidRPr="00566E70">
        <w:rPr>
          <w:rFonts w:ascii="Arial" w:hAnsi="Arial" w:cs="Arial"/>
        </w:rPr>
        <w:t>‘</w:t>
      </w:r>
      <w:r w:rsidRPr="00566E70">
        <w:rPr>
          <w:rStyle w:val="Emphasis"/>
          <w:rFonts w:ascii="Arial" w:hAnsi="Arial" w:cs="Arial"/>
          <w:i w:val="0"/>
          <w:iCs w:val="0"/>
        </w:rPr>
        <w:t>Digitising Social Care</w:t>
      </w:r>
      <w:r w:rsidR="005F2D39" w:rsidRPr="00566E70">
        <w:rPr>
          <w:rStyle w:val="Emphasis"/>
          <w:rFonts w:ascii="Arial" w:hAnsi="Arial" w:cs="Arial"/>
          <w:i w:val="0"/>
          <w:iCs w:val="0"/>
        </w:rPr>
        <w:t>’</w:t>
      </w:r>
      <w:r w:rsidRPr="00566E70">
        <w:rPr>
          <w:rFonts w:ascii="Arial" w:hAnsi="Arial" w:cs="Arial"/>
        </w:rPr>
        <w:t xml:space="preserve"> initiative, which supports care homes with infrastructure, assistive technologies, and training</w:t>
      </w:r>
      <w:r w:rsidR="001A1E05" w:rsidRPr="00566E70">
        <w:rPr>
          <w:rFonts w:ascii="Arial" w:hAnsi="Arial" w:cs="Arial"/>
        </w:rPr>
        <w:t xml:space="preserve"> (Skinner, 2025)</w:t>
      </w:r>
      <w:r w:rsidRPr="00566E70">
        <w:rPr>
          <w:rFonts w:ascii="Arial" w:hAnsi="Arial" w:cs="Arial"/>
        </w:rPr>
        <w:t xml:space="preserve">. </w:t>
      </w:r>
      <w:r w:rsidR="00D04C83" w:rsidRPr="00566E70">
        <w:rPr>
          <w:rFonts w:ascii="Arial" w:hAnsi="Arial" w:cs="Arial"/>
        </w:rPr>
        <w:t>Real-life initiatives such as the One Digital project, funded by the National Lottery Community Fund, demonstrate how community-based support</w:t>
      </w:r>
      <w:r w:rsidR="00657A65" w:rsidRPr="00566E70">
        <w:rPr>
          <w:rFonts w:ascii="Arial" w:hAnsi="Arial" w:cs="Arial"/>
        </w:rPr>
        <w:t xml:space="preserve">, </w:t>
      </w:r>
      <w:r w:rsidR="00D04C83" w:rsidRPr="00566E70">
        <w:rPr>
          <w:rFonts w:ascii="Arial" w:hAnsi="Arial" w:cs="Arial"/>
        </w:rPr>
        <w:t>particularly through trained Digital Champions</w:t>
      </w:r>
      <w:r w:rsidR="00657A65" w:rsidRPr="00566E70">
        <w:rPr>
          <w:rFonts w:ascii="Arial" w:hAnsi="Arial" w:cs="Arial"/>
        </w:rPr>
        <w:t xml:space="preserve">, </w:t>
      </w:r>
      <w:r w:rsidR="00D04C83" w:rsidRPr="00566E70">
        <w:rPr>
          <w:rFonts w:ascii="Arial" w:hAnsi="Arial" w:cs="Arial"/>
        </w:rPr>
        <w:t>can significantly improve digital literacy and engagement among older adults</w:t>
      </w:r>
      <w:r w:rsidR="00F86FDA" w:rsidRPr="00566E70">
        <w:rPr>
          <w:rFonts w:ascii="Arial" w:hAnsi="Arial" w:cs="Arial"/>
        </w:rPr>
        <w:t xml:space="preserve"> (Age UK, 2019b)</w:t>
      </w:r>
      <w:r w:rsidR="00D04C83" w:rsidRPr="00566E70">
        <w:rPr>
          <w:rFonts w:ascii="Arial" w:hAnsi="Arial" w:cs="Arial"/>
        </w:rPr>
        <w:t>.</w:t>
      </w:r>
      <w:r w:rsidRPr="00566E70">
        <w:rPr>
          <w:rFonts w:ascii="Arial" w:hAnsi="Arial" w:cs="Arial"/>
        </w:rPr>
        <w:t xml:space="preserve"> However, barriers include poor Wi-Fi infrastructure, digital illiteracy, and funding limitations</w:t>
      </w:r>
      <w:r w:rsidR="00FD61CE">
        <w:rPr>
          <w:rFonts w:ascii="Arial" w:hAnsi="Arial" w:cs="Arial"/>
        </w:rPr>
        <w:t xml:space="preserve"> </w:t>
      </w:r>
      <w:r w:rsidR="00FD61CE" w:rsidRPr="00FD61CE">
        <w:rPr>
          <w:rFonts w:ascii="Arial" w:eastAsia="Times New Roman" w:hAnsi="Arial" w:cs="Arial"/>
          <w:kern w:val="0"/>
          <w:lang w:eastAsia="en-GB"/>
          <w14:ligatures w14:val="none"/>
        </w:rPr>
        <w:t>(NHS England, 2024b)</w:t>
      </w:r>
      <w:r w:rsidRPr="00566E70">
        <w:rPr>
          <w:rFonts w:ascii="Arial" w:hAnsi="Arial" w:cs="Arial"/>
        </w:rPr>
        <w:t>. To address these, care providers should partner with NHS Digital, local authorities, and charities like the Good Things Foundation</w:t>
      </w:r>
      <w:r w:rsidR="001F0988">
        <w:rPr>
          <w:rFonts w:ascii="Arial" w:hAnsi="Arial" w:cs="Arial"/>
        </w:rPr>
        <w:t xml:space="preserve"> </w:t>
      </w:r>
      <w:r w:rsidR="001F0988" w:rsidRPr="001F0988">
        <w:rPr>
          <w:rFonts w:ascii="Arial" w:eastAsia="Times New Roman" w:hAnsi="Arial" w:cs="Arial"/>
          <w:kern w:val="0"/>
          <w:lang w:eastAsia="en-GB"/>
          <w14:ligatures w14:val="none"/>
        </w:rPr>
        <w:t>(Good Things Foundation, 2025)</w:t>
      </w:r>
      <w:r w:rsidRPr="00566E70">
        <w:rPr>
          <w:rFonts w:ascii="Arial" w:hAnsi="Arial" w:cs="Arial"/>
        </w:rPr>
        <w:t>. Accessibility features, confidence-building sessions, and co-designed support plans can help ensure equitable and sustainable digital inclusion in care homes.</w:t>
      </w:r>
    </w:p>
    <w:p w14:paraId="59D70DFF" w14:textId="77777777" w:rsidR="000400E4" w:rsidRDefault="000400E4"/>
    <w:p w14:paraId="132A973C" w14:textId="77777777" w:rsidR="000400E4" w:rsidRDefault="000400E4"/>
    <w:p w14:paraId="54494726" w14:textId="77777777" w:rsidR="000400E4" w:rsidRDefault="000400E4"/>
    <w:p w14:paraId="722FC155" w14:textId="77777777" w:rsidR="000400E4" w:rsidRDefault="000400E4"/>
    <w:p w14:paraId="3BCE94A6" w14:textId="77777777" w:rsidR="00D90FD5" w:rsidRPr="003D0CEA" w:rsidRDefault="00D90FD5" w:rsidP="00D90FD5">
      <w:pPr>
        <w:pStyle w:val="Heading1"/>
        <w:ind w:left="0"/>
        <w:rPr>
          <w:rFonts w:cs="Arial"/>
        </w:rPr>
      </w:pPr>
      <w:bookmarkStart w:id="28" w:name="_Toc194093196"/>
      <w:bookmarkStart w:id="29" w:name="_Toc204127899"/>
      <w:r w:rsidRPr="003D0CEA">
        <w:rPr>
          <w:rFonts w:cs="Arial"/>
        </w:rPr>
        <w:lastRenderedPageBreak/>
        <w:t>CHAPTER 6 – References and Appendices</w:t>
      </w:r>
      <w:bookmarkEnd w:id="28"/>
      <w:bookmarkEnd w:id="29"/>
      <w:r w:rsidRPr="003D0CEA">
        <w:rPr>
          <w:rFonts w:cs="Arial"/>
        </w:rPr>
        <w:t xml:space="preserve"> </w:t>
      </w:r>
    </w:p>
    <w:p w14:paraId="7F2983C3" w14:textId="77777777" w:rsidR="00D90FD5" w:rsidRPr="003D0CEA" w:rsidRDefault="00D90FD5" w:rsidP="00D90FD5">
      <w:pPr>
        <w:rPr>
          <w:rFonts w:ascii="Arial" w:hAnsi="Arial" w:cs="Arial"/>
        </w:rPr>
      </w:pPr>
    </w:p>
    <w:p w14:paraId="74C5EECC" w14:textId="27C8B8BA" w:rsidR="00D90FD5" w:rsidRDefault="00D90FD5" w:rsidP="00D90FD5">
      <w:pPr>
        <w:pStyle w:val="Heading1"/>
        <w:ind w:left="0"/>
        <w:rPr>
          <w:rFonts w:cs="Arial"/>
          <w:sz w:val="28"/>
          <w:szCs w:val="28"/>
        </w:rPr>
      </w:pPr>
      <w:bookmarkStart w:id="30" w:name="_Toc194093197"/>
      <w:bookmarkStart w:id="31" w:name="_Toc204127900"/>
      <w:r w:rsidRPr="003D0CEA">
        <w:rPr>
          <w:rFonts w:cs="Arial"/>
          <w:sz w:val="28"/>
          <w:szCs w:val="28"/>
        </w:rPr>
        <w:t>6.1 – References</w:t>
      </w:r>
      <w:bookmarkEnd w:id="30"/>
      <w:bookmarkEnd w:id="31"/>
      <w:r w:rsidRPr="003D0CEA">
        <w:rPr>
          <w:rFonts w:cs="Arial"/>
          <w:sz w:val="28"/>
          <w:szCs w:val="28"/>
        </w:rPr>
        <w:t xml:space="preserve"> </w:t>
      </w:r>
    </w:p>
    <w:p w14:paraId="6A608E42" w14:textId="77777777" w:rsidR="00723F0B" w:rsidRDefault="00723F0B" w:rsidP="002C2D5C">
      <w:pPr>
        <w:pStyle w:val="NormalWeb"/>
        <w:spacing w:before="0" w:beforeAutospacing="0" w:after="240" w:afterAutospacing="0" w:line="360" w:lineRule="auto"/>
        <w:rPr>
          <w:rFonts w:ascii="Arial" w:hAnsi="Arial" w:cs="Arial"/>
          <w:sz w:val="22"/>
          <w:szCs w:val="22"/>
        </w:rPr>
      </w:pPr>
      <w:bookmarkStart w:id="32" w:name="_Toc194093198"/>
    </w:p>
    <w:p w14:paraId="57289451" w14:textId="7E8C608A"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Age UK (2014) </w:t>
      </w:r>
      <w:r>
        <w:rPr>
          <w:rFonts w:ascii="Arial" w:hAnsi="Arial" w:cs="Arial"/>
          <w:i/>
          <w:iCs/>
          <w:sz w:val="22"/>
          <w:szCs w:val="22"/>
        </w:rPr>
        <w:t>Improving later life. Services for older people -what works</w:t>
      </w:r>
      <w:r>
        <w:rPr>
          <w:rFonts w:ascii="Arial" w:hAnsi="Arial" w:cs="Arial"/>
          <w:sz w:val="22"/>
          <w:szCs w:val="22"/>
        </w:rPr>
        <w:t>, pp. 40–48. Available at: https://www.ageuk.org.uk/siteassets/documents/reports-and-publications/reports-and-briefings/care--support/rb_apr14_services-what_works_spreads.pdf (Accessed: 14 March 2025).</w:t>
      </w:r>
    </w:p>
    <w:p w14:paraId="4ACED33F"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Age UK (2017) </w:t>
      </w:r>
      <w:r>
        <w:rPr>
          <w:rFonts w:ascii="Arial" w:hAnsi="Arial" w:cs="Arial"/>
          <w:i/>
          <w:iCs/>
          <w:sz w:val="22"/>
          <w:szCs w:val="22"/>
        </w:rPr>
        <w:t>Half of adults aged 55 and over have experienced mental health problems, says Age UK</w:t>
      </w:r>
      <w:r>
        <w:rPr>
          <w:rFonts w:ascii="Arial" w:hAnsi="Arial" w:cs="Arial"/>
          <w:sz w:val="22"/>
          <w:szCs w:val="22"/>
        </w:rPr>
        <w:t>. Available at: https://www.ageuk.org.uk/latest-news/articles/2017/october/half-aged-55-have-had-mental-health-problems/?form=MG0AV3&amp;form=MG0AV3 (Accessed: 13 March 2025).</w:t>
      </w:r>
    </w:p>
    <w:p w14:paraId="7B8B0055"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Age UK (2019a) </w:t>
      </w:r>
      <w:r>
        <w:rPr>
          <w:rFonts w:ascii="Arial" w:hAnsi="Arial" w:cs="Arial"/>
          <w:i/>
          <w:iCs/>
          <w:sz w:val="22"/>
          <w:szCs w:val="22"/>
        </w:rPr>
        <w:t>Briefing: Health and Care of Older People in England 2019</w:t>
      </w:r>
      <w:r>
        <w:rPr>
          <w:rFonts w:ascii="Arial" w:hAnsi="Arial" w:cs="Arial"/>
          <w:sz w:val="22"/>
          <w:szCs w:val="22"/>
        </w:rPr>
        <w:t>. Available at: https://www.ageuk.org.uk/siteassets/documents/reports-and-publications/reports-and-briefings/health--wellbeing/age_uk_briefing_state_of_health_and_care_of_older_people_july2019.pdf (Accessed: 22 February 2025).</w:t>
      </w:r>
    </w:p>
    <w:p w14:paraId="1E98C507"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Age UK (2019b) </w:t>
      </w:r>
      <w:r>
        <w:rPr>
          <w:rFonts w:ascii="Arial" w:hAnsi="Arial" w:cs="Arial"/>
          <w:i/>
          <w:iCs/>
          <w:sz w:val="22"/>
          <w:szCs w:val="22"/>
        </w:rPr>
        <w:t>Digital inclusion for older people | Discover</w:t>
      </w:r>
      <w:r>
        <w:rPr>
          <w:rFonts w:ascii="Arial" w:hAnsi="Arial" w:cs="Arial"/>
          <w:sz w:val="22"/>
          <w:szCs w:val="22"/>
        </w:rPr>
        <w:t>. Available at: https://www.ageuk.org.uk/discover/2019/october/digital-inclusion/ (Accessed: 22 July 2025).</w:t>
      </w:r>
    </w:p>
    <w:p w14:paraId="65CB52AA" w14:textId="652312DD"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Age UK (2021a) </w:t>
      </w:r>
      <w:r>
        <w:rPr>
          <w:rFonts w:ascii="Arial" w:hAnsi="Arial" w:cs="Arial"/>
          <w:i/>
          <w:iCs/>
          <w:sz w:val="22"/>
          <w:szCs w:val="22"/>
        </w:rPr>
        <w:t>Impact of Covid-19 on older people’s mental and physical health: one year on</w:t>
      </w:r>
      <w:r>
        <w:rPr>
          <w:rFonts w:ascii="Arial" w:hAnsi="Arial" w:cs="Arial"/>
          <w:sz w:val="22"/>
          <w:szCs w:val="22"/>
        </w:rPr>
        <w:t>. Available at: https://www.ageuk.org.uk/siteassets/documents/reports-and-publications/reports-and-briefings/id204712_hi_covid-report-final.pdf#:~:text=Successive%20lockdowns%20and%20on%2Dgoing%20social%20distancing%20measures%2C,themselves%20as%20fit%20and%20well%20as%20possible.&amp;text=Older%20people%20continue%20to%20tell%20us%20that,anxious%2C%20depressed%2C%20and%20fearful%20for%20the%20future. (Accessed: 30 June 2025).</w:t>
      </w:r>
    </w:p>
    <w:p w14:paraId="442F3BA5" w14:textId="0EFA406A"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Age UK (2021b) </w:t>
      </w:r>
      <w:r>
        <w:rPr>
          <w:rFonts w:ascii="Arial" w:hAnsi="Arial" w:cs="Arial"/>
          <w:i/>
          <w:iCs/>
          <w:sz w:val="22"/>
          <w:szCs w:val="22"/>
        </w:rPr>
        <w:t>Same as it ever was: ‘Life during the pandemic was no different to normal… I’m always lonely’</w:t>
      </w:r>
      <w:r>
        <w:rPr>
          <w:rFonts w:ascii="Arial" w:hAnsi="Arial" w:cs="Arial"/>
          <w:sz w:val="22"/>
          <w:szCs w:val="22"/>
        </w:rPr>
        <w:t>. Available at: https://www.ageuk.org.uk/siteassets/documents/reports-and-publications/consultation-responses-and-submissions/health--wellbeing/loneliness-and-covid-19---december-2021.pdf (Accessed: 27 February 2025).</w:t>
      </w:r>
    </w:p>
    <w:p w14:paraId="630FF464"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Age UK (2023a) </w:t>
      </w:r>
      <w:r>
        <w:rPr>
          <w:rFonts w:ascii="Arial" w:hAnsi="Arial" w:cs="Arial"/>
          <w:i/>
          <w:iCs/>
          <w:sz w:val="22"/>
          <w:szCs w:val="22"/>
        </w:rPr>
        <w:t>Fixing the foundations</w:t>
      </w:r>
      <w:r>
        <w:rPr>
          <w:rFonts w:ascii="Arial" w:hAnsi="Arial" w:cs="Arial"/>
          <w:sz w:val="22"/>
          <w:szCs w:val="22"/>
        </w:rPr>
        <w:t>. Available at: https://www.ageuk.org.uk/siteassets/documents/reports-and-publications/reports-and-</w:t>
      </w:r>
      <w:r>
        <w:rPr>
          <w:rFonts w:ascii="Arial" w:hAnsi="Arial" w:cs="Arial"/>
          <w:sz w:val="22"/>
          <w:szCs w:val="22"/>
        </w:rPr>
        <w:lastRenderedPageBreak/>
        <w:t>briefings/health--wellbeing/fixing-the-foundations/FTF-feb-2023.pdf (Accessed: 14 March 2025).</w:t>
      </w:r>
    </w:p>
    <w:p w14:paraId="761F9D28"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Age UK (2023b) </w:t>
      </w:r>
      <w:r>
        <w:rPr>
          <w:rFonts w:ascii="Arial" w:hAnsi="Arial" w:cs="Arial"/>
          <w:i/>
          <w:iCs/>
          <w:sz w:val="22"/>
          <w:szCs w:val="22"/>
        </w:rPr>
        <w:t>Telephone friendship</w:t>
      </w:r>
      <w:r>
        <w:rPr>
          <w:rFonts w:ascii="Arial" w:hAnsi="Arial" w:cs="Arial"/>
          <w:sz w:val="22"/>
          <w:szCs w:val="22"/>
        </w:rPr>
        <w:t>. Available at: https://www.ageuk.org.uk/services/befriending-services/sign-up-for-telephone-befriending/ (Accessed: 15 March 2025).</w:t>
      </w:r>
    </w:p>
    <w:p w14:paraId="35DCF8E6"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Age UK (2024a) </w:t>
      </w:r>
      <w:r>
        <w:rPr>
          <w:rFonts w:ascii="Arial" w:hAnsi="Arial" w:cs="Arial"/>
          <w:i/>
          <w:iCs/>
          <w:sz w:val="22"/>
          <w:szCs w:val="22"/>
        </w:rPr>
        <w:t>AGE UK’S NEW REPORT SHOWS ‘YOU ARE NOT ALONE IN FEELING LONELY’</w:t>
      </w:r>
      <w:r>
        <w:rPr>
          <w:rFonts w:ascii="Arial" w:hAnsi="Arial" w:cs="Arial"/>
          <w:sz w:val="22"/>
          <w:szCs w:val="22"/>
        </w:rPr>
        <w:t xml:space="preserve">, </w:t>
      </w:r>
      <w:r>
        <w:rPr>
          <w:rFonts w:ascii="Arial" w:hAnsi="Arial" w:cs="Arial"/>
          <w:i/>
          <w:iCs/>
          <w:sz w:val="22"/>
          <w:szCs w:val="22"/>
        </w:rPr>
        <w:t>Age UK</w:t>
      </w:r>
      <w:r>
        <w:rPr>
          <w:rFonts w:ascii="Arial" w:hAnsi="Arial" w:cs="Arial"/>
          <w:sz w:val="22"/>
          <w:szCs w:val="22"/>
        </w:rPr>
        <w:t>. Available at: https://www.ageuk.org.uk/latest-press/articles/age-uks-new-report-shows-you-are-not-alone-in-feeling-lonely/ (Accessed: 31 January 2025).</w:t>
      </w:r>
    </w:p>
    <w:p w14:paraId="794562A6"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Age UK (2024b) </w:t>
      </w:r>
      <w:r>
        <w:rPr>
          <w:rFonts w:ascii="Arial" w:hAnsi="Arial" w:cs="Arial"/>
          <w:i/>
          <w:iCs/>
          <w:sz w:val="22"/>
          <w:szCs w:val="22"/>
        </w:rPr>
        <w:t>You are not alone in feeling lonely: Loneliness in later life</w:t>
      </w:r>
      <w:r>
        <w:rPr>
          <w:rFonts w:ascii="Arial" w:hAnsi="Arial" w:cs="Arial"/>
          <w:sz w:val="22"/>
          <w:szCs w:val="22"/>
        </w:rPr>
        <w:t>. Available at: https://www.ageuk.org.uk/siteassets/documents/reports-and-publications/reports-and-briefings/loneliness/you-are-not-alone-in-feeling-lonely.pdf (Accessed: 30 June 2025).</w:t>
      </w:r>
    </w:p>
    <w:p w14:paraId="75E66500" w14:textId="77777777" w:rsidR="002C2D5C" w:rsidRDefault="002C2D5C" w:rsidP="002C2D5C">
      <w:pPr>
        <w:pStyle w:val="NormalWeb"/>
        <w:spacing w:before="0" w:beforeAutospacing="0" w:after="240" w:afterAutospacing="0" w:line="360" w:lineRule="auto"/>
        <w:rPr>
          <w:rFonts w:ascii="Arial" w:hAnsi="Arial" w:cs="Arial"/>
          <w:sz w:val="22"/>
          <w:szCs w:val="22"/>
        </w:rPr>
      </w:pPr>
      <w:r w:rsidRPr="009530D9">
        <w:rPr>
          <w:rFonts w:ascii="Arial" w:hAnsi="Arial" w:cs="Arial"/>
          <w:sz w:val="22"/>
          <w:szCs w:val="22"/>
          <w:lang w:val="nl-NL"/>
        </w:rPr>
        <w:t xml:space="preserve">Ahmed, S.K. </w:t>
      </w:r>
      <w:r w:rsidRPr="009530D9">
        <w:rPr>
          <w:rFonts w:ascii="Arial" w:hAnsi="Arial" w:cs="Arial"/>
          <w:i/>
          <w:iCs/>
          <w:sz w:val="22"/>
          <w:szCs w:val="22"/>
          <w:lang w:val="nl-NL"/>
        </w:rPr>
        <w:t>et al.</w:t>
      </w:r>
      <w:r w:rsidRPr="009530D9">
        <w:rPr>
          <w:rFonts w:ascii="Arial" w:hAnsi="Arial" w:cs="Arial"/>
          <w:sz w:val="22"/>
          <w:szCs w:val="22"/>
          <w:lang w:val="nl-NL"/>
        </w:rPr>
        <w:t xml:space="preserve"> </w:t>
      </w:r>
      <w:r>
        <w:rPr>
          <w:rFonts w:ascii="Arial" w:hAnsi="Arial" w:cs="Arial"/>
          <w:sz w:val="22"/>
          <w:szCs w:val="22"/>
        </w:rPr>
        <w:t xml:space="preserve">(2025) ‘Using thematic analysis in qualitative research’, </w:t>
      </w:r>
      <w:r>
        <w:rPr>
          <w:rFonts w:ascii="Arial" w:hAnsi="Arial" w:cs="Arial"/>
          <w:i/>
          <w:iCs/>
          <w:sz w:val="22"/>
          <w:szCs w:val="22"/>
        </w:rPr>
        <w:t>Journal of Medicine, Surgery, and Public Health</w:t>
      </w:r>
      <w:r>
        <w:rPr>
          <w:rFonts w:ascii="Arial" w:hAnsi="Arial" w:cs="Arial"/>
          <w:sz w:val="22"/>
          <w:szCs w:val="22"/>
        </w:rPr>
        <w:t>, 6(6), p. 100198. Available at: https://doi.org/10.1016/j.glmedi.2025.100198.</w:t>
      </w:r>
    </w:p>
    <w:p w14:paraId="22BDA404"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Akinlotan, O. and Jalo, A. (2024) ‘“I Am Actually Scared of Everyone”: Older Adults’ Experiences of Social Isolation during COVID-19: A Qualitative Systematic Review’, </w:t>
      </w:r>
      <w:r>
        <w:rPr>
          <w:rFonts w:ascii="Arial" w:hAnsi="Arial" w:cs="Arial"/>
          <w:i/>
          <w:iCs/>
          <w:sz w:val="22"/>
          <w:szCs w:val="22"/>
        </w:rPr>
        <w:t>COVID</w:t>
      </w:r>
      <w:r>
        <w:rPr>
          <w:rFonts w:ascii="Arial" w:hAnsi="Arial" w:cs="Arial"/>
          <w:sz w:val="22"/>
          <w:szCs w:val="22"/>
        </w:rPr>
        <w:t>, 4(7), pp. 896–909. Available at: https://doi.org/10.3390/covid4070062.</w:t>
      </w:r>
    </w:p>
    <w:p w14:paraId="604A0066"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Alzheimers Society (2020) </w:t>
      </w:r>
      <w:r>
        <w:rPr>
          <w:rFonts w:ascii="Arial" w:hAnsi="Arial" w:cs="Arial"/>
          <w:i/>
          <w:iCs/>
          <w:sz w:val="22"/>
          <w:szCs w:val="22"/>
        </w:rPr>
        <w:t>Coronavirus restrictions in care homes: ‘Bit by bit, Mum is forgetting who I am’</w:t>
      </w:r>
      <w:r>
        <w:rPr>
          <w:rFonts w:ascii="Arial" w:hAnsi="Arial" w:cs="Arial"/>
          <w:sz w:val="22"/>
          <w:szCs w:val="22"/>
        </w:rPr>
        <w:t>. Available at: https://www.alzheimers.org.uk/blog/coronavirus-care-home-restrictions-mum-forgetting-me (Accessed: 14 July 2025).</w:t>
      </w:r>
    </w:p>
    <w:p w14:paraId="11FE25D2"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Amerio, A. </w:t>
      </w:r>
      <w:r>
        <w:rPr>
          <w:rFonts w:ascii="Arial" w:hAnsi="Arial" w:cs="Arial"/>
          <w:i/>
          <w:iCs/>
          <w:sz w:val="22"/>
          <w:szCs w:val="22"/>
        </w:rPr>
        <w:t>et al.</w:t>
      </w:r>
      <w:r>
        <w:rPr>
          <w:rFonts w:ascii="Arial" w:hAnsi="Arial" w:cs="Arial"/>
          <w:sz w:val="22"/>
          <w:szCs w:val="22"/>
        </w:rPr>
        <w:t xml:space="preserve"> (2021) ‘COVID-19 lockdown impact on mental health in a large representative sample of Italian adults’, </w:t>
      </w:r>
      <w:r>
        <w:rPr>
          <w:rFonts w:ascii="Arial" w:hAnsi="Arial" w:cs="Arial"/>
          <w:i/>
          <w:iCs/>
          <w:sz w:val="22"/>
          <w:szCs w:val="22"/>
        </w:rPr>
        <w:t>Journal of Affective Disorders</w:t>
      </w:r>
      <w:r>
        <w:rPr>
          <w:rFonts w:ascii="Arial" w:hAnsi="Arial" w:cs="Arial"/>
          <w:sz w:val="22"/>
          <w:szCs w:val="22"/>
        </w:rPr>
        <w:t>, 292, pp. 398–404. Available at: https://doi.org/10.1016/j.jad.2021.05.117.</w:t>
      </w:r>
    </w:p>
    <w:p w14:paraId="5DFD97D1"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Ammar, A. </w:t>
      </w:r>
      <w:r>
        <w:rPr>
          <w:rFonts w:ascii="Arial" w:hAnsi="Arial" w:cs="Arial"/>
          <w:i/>
          <w:iCs/>
          <w:sz w:val="22"/>
          <w:szCs w:val="22"/>
        </w:rPr>
        <w:t>et al.</w:t>
      </w:r>
      <w:r>
        <w:rPr>
          <w:rFonts w:ascii="Arial" w:hAnsi="Arial" w:cs="Arial"/>
          <w:sz w:val="22"/>
          <w:szCs w:val="22"/>
        </w:rPr>
        <w:t xml:space="preserve"> (2020) ‘Effects of COVID-19 Home Confinement on Eating Behaviour and Physical Activity: Results of the ECLB-COVID19 International Online Survey’, </w:t>
      </w:r>
      <w:r>
        <w:rPr>
          <w:rFonts w:ascii="Arial" w:hAnsi="Arial" w:cs="Arial"/>
          <w:i/>
          <w:iCs/>
          <w:sz w:val="22"/>
          <w:szCs w:val="22"/>
        </w:rPr>
        <w:t>Nutrients</w:t>
      </w:r>
      <w:r>
        <w:rPr>
          <w:rFonts w:ascii="Arial" w:hAnsi="Arial" w:cs="Arial"/>
          <w:sz w:val="22"/>
          <w:szCs w:val="22"/>
        </w:rPr>
        <w:t>, 12(6). Available at: https://doi.org/10.3390/nu12061583.</w:t>
      </w:r>
    </w:p>
    <w:p w14:paraId="64B62569"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Arora, G. </w:t>
      </w:r>
      <w:r>
        <w:rPr>
          <w:rFonts w:ascii="Arial" w:hAnsi="Arial" w:cs="Arial"/>
          <w:i/>
          <w:iCs/>
          <w:sz w:val="22"/>
          <w:szCs w:val="22"/>
        </w:rPr>
        <w:t>et al.</w:t>
      </w:r>
      <w:r>
        <w:rPr>
          <w:rFonts w:ascii="Arial" w:hAnsi="Arial" w:cs="Arial"/>
          <w:sz w:val="22"/>
          <w:szCs w:val="22"/>
        </w:rPr>
        <w:t xml:space="preserve"> (2023) ‘Identifying predictors of cognitive decline in long-term care: a scoping review’, </w:t>
      </w:r>
      <w:r>
        <w:rPr>
          <w:rFonts w:ascii="Arial" w:hAnsi="Arial" w:cs="Arial"/>
          <w:i/>
          <w:iCs/>
          <w:sz w:val="22"/>
          <w:szCs w:val="22"/>
        </w:rPr>
        <w:t>BMC Geriatrics</w:t>
      </w:r>
      <w:r>
        <w:rPr>
          <w:rFonts w:ascii="Arial" w:hAnsi="Arial" w:cs="Arial"/>
          <w:sz w:val="22"/>
          <w:szCs w:val="22"/>
        </w:rPr>
        <w:t>, 23(1). Available at: https://doi.org/10.1186/s12877-023-04193-6.</w:t>
      </w:r>
    </w:p>
    <w:p w14:paraId="3AC609FB"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Augusto, C. and </w:t>
      </w:r>
      <w:proofErr w:type="spellStart"/>
      <w:r>
        <w:rPr>
          <w:rFonts w:ascii="Arial" w:hAnsi="Arial" w:cs="Arial"/>
          <w:sz w:val="22"/>
          <w:szCs w:val="22"/>
        </w:rPr>
        <w:t>Ivbijaro</w:t>
      </w:r>
      <w:proofErr w:type="spellEnd"/>
      <w:r>
        <w:rPr>
          <w:rFonts w:ascii="Arial" w:hAnsi="Arial" w:cs="Arial"/>
          <w:sz w:val="22"/>
          <w:szCs w:val="22"/>
        </w:rPr>
        <w:t xml:space="preserve">, G. (2013) ‘Mental health and wellbeing of older people: opportunities and challenges’, </w:t>
      </w:r>
      <w:r>
        <w:rPr>
          <w:rFonts w:ascii="Arial" w:hAnsi="Arial" w:cs="Arial"/>
          <w:i/>
          <w:iCs/>
          <w:sz w:val="22"/>
          <w:szCs w:val="22"/>
        </w:rPr>
        <w:t>Mental Health in Family Medicine</w:t>
      </w:r>
      <w:r>
        <w:rPr>
          <w:rFonts w:ascii="Arial" w:hAnsi="Arial" w:cs="Arial"/>
          <w:sz w:val="22"/>
          <w:szCs w:val="22"/>
        </w:rPr>
        <w:t>, 10(3), p. 125. Available at: https://pmc.ncbi.nlm.nih.gov/articles/PMC3822658/ (Accessed: 13 March 2025).</w:t>
      </w:r>
    </w:p>
    <w:p w14:paraId="5A79BE0B" w14:textId="3185C919" w:rsidR="002C2D5C" w:rsidRDefault="002C2D5C" w:rsidP="002C2D5C">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Avdulla</w:t>
      </w:r>
      <w:proofErr w:type="spellEnd"/>
      <w:r>
        <w:rPr>
          <w:rFonts w:ascii="Arial" w:hAnsi="Arial" w:cs="Arial"/>
          <w:sz w:val="22"/>
          <w:szCs w:val="22"/>
        </w:rPr>
        <w:t xml:space="preserve">, C.S. and </w:t>
      </w:r>
      <w:proofErr w:type="spellStart"/>
      <w:r>
        <w:rPr>
          <w:rFonts w:ascii="Arial" w:hAnsi="Arial" w:cs="Arial"/>
          <w:sz w:val="22"/>
          <w:szCs w:val="22"/>
        </w:rPr>
        <w:t>Tachirai</w:t>
      </w:r>
      <w:proofErr w:type="spellEnd"/>
      <w:r>
        <w:rPr>
          <w:rFonts w:ascii="Arial" w:hAnsi="Arial" w:cs="Arial"/>
          <w:sz w:val="22"/>
          <w:szCs w:val="22"/>
        </w:rPr>
        <w:t>, N. (2024) ‘John Snow: The Pioneer of Modern Epidemiology and An</w:t>
      </w:r>
      <w:r w:rsidR="00613BA5">
        <w:rPr>
          <w:rFonts w:ascii="Arial" w:hAnsi="Arial" w:cs="Arial"/>
          <w:sz w:val="22"/>
          <w:szCs w:val="22"/>
        </w:rPr>
        <w:t>a</w:t>
      </w:r>
      <w:r>
        <w:rPr>
          <w:rFonts w:ascii="Arial" w:hAnsi="Arial" w:cs="Arial"/>
          <w:sz w:val="22"/>
          <w:szCs w:val="22"/>
        </w:rPr>
        <w:t xml:space="preserve">esthesia’, </w:t>
      </w:r>
      <w:r>
        <w:rPr>
          <w:rFonts w:ascii="Arial" w:hAnsi="Arial" w:cs="Arial"/>
          <w:i/>
          <w:iCs/>
          <w:sz w:val="22"/>
          <w:szCs w:val="22"/>
        </w:rPr>
        <w:t>Cureus</w:t>
      </w:r>
      <w:r>
        <w:rPr>
          <w:rFonts w:ascii="Arial" w:hAnsi="Arial" w:cs="Arial"/>
          <w:sz w:val="22"/>
          <w:szCs w:val="22"/>
        </w:rPr>
        <w:t>, 16(8). Available at: https://doi.org/10.7759/cureus.67602.</w:t>
      </w:r>
    </w:p>
    <w:p w14:paraId="0B7CA05D"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Ayalon, L. </w:t>
      </w:r>
      <w:r>
        <w:rPr>
          <w:rFonts w:ascii="Arial" w:hAnsi="Arial" w:cs="Arial"/>
          <w:i/>
          <w:iCs/>
          <w:sz w:val="22"/>
          <w:szCs w:val="22"/>
        </w:rPr>
        <w:t>et al.</w:t>
      </w:r>
      <w:r>
        <w:rPr>
          <w:rFonts w:ascii="Arial" w:hAnsi="Arial" w:cs="Arial"/>
          <w:sz w:val="22"/>
          <w:szCs w:val="22"/>
        </w:rPr>
        <w:t xml:space="preserve"> (2020) ‘Long-term care settings in the times of COVID-19: Challenges and future directions’, </w:t>
      </w:r>
      <w:r>
        <w:rPr>
          <w:rFonts w:ascii="Arial" w:hAnsi="Arial" w:cs="Arial"/>
          <w:i/>
          <w:iCs/>
          <w:sz w:val="22"/>
          <w:szCs w:val="22"/>
        </w:rPr>
        <w:t>International Psychogeriatrics</w:t>
      </w:r>
      <w:r>
        <w:rPr>
          <w:rFonts w:ascii="Arial" w:hAnsi="Arial" w:cs="Arial"/>
          <w:sz w:val="22"/>
          <w:szCs w:val="22"/>
        </w:rPr>
        <w:t>, 32(10), pp. 1–5. Available at: https://doi.org/10.1017/s1041610220001416.</w:t>
      </w:r>
    </w:p>
    <w:p w14:paraId="4720C6A2" w14:textId="77777777" w:rsidR="002C2D5C" w:rsidRDefault="002C2D5C" w:rsidP="002C2D5C">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Ayukekbong</w:t>
      </w:r>
      <w:proofErr w:type="spellEnd"/>
      <w:r>
        <w:rPr>
          <w:rFonts w:ascii="Arial" w:hAnsi="Arial" w:cs="Arial"/>
          <w:sz w:val="22"/>
          <w:szCs w:val="22"/>
        </w:rPr>
        <w:t xml:space="preserve">, J. (2021) </w:t>
      </w:r>
      <w:r>
        <w:rPr>
          <w:rFonts w:ascii="Arial" w:hAnsi="Arial" w:cs="Arial"/>
          <w:i/>
          <w:iCs/>
          <w:sz w:val="22"/>
          <w:szCs w:val="22"/>
        </w:rPr>
        <w:t>Infection prevention and control in long-term care: Lessons learned from COVID-19 outbreaks and future perspectives</w:t>
      </w:r>
      <w:r>
        <w:rPr>
          <w:rFonts w:ascii="Arial" w:hAnsi="Arial" w:cs="Arial"/>
          <w:sz w:val="22"/>
          <w:szCs w:val="22"/>
        </w:rPr>
        <w:t xml:space="preserve">, </w:t>
      </w:r>
      <w:r>
        <w:rPr>
          <w:rFonts w:ascii="Arial" w:hAnsi="Arial" w:cs="Arial"/>
          <w:i/>
          <w:iCs/>
          <w:sz w:val="22"/>
          <w:szCs w:val="22"/>
        </w:rPr>
        <w:t>Canadian Journal of Infection Control</w:t>
      </w:r>
      <w:r>
        <w:rPr>
          <w:rFonts w:ascii="Arial" w:hAnsi="Arial" w:cs="Arial"/>
          <w:sz w:val="22"/>
          <w:szCs w:val="22"/>
        </w:rPr>
        <w:t>. Available at: https://ipac-canada.org/photos/custom/CJIC/IPAC_Spring2021_Ayukekbong.pdf (Accessed: 24 March 2025).</w:t>
      </w:r>
    </w:p>
    <w:p w14:paraId="4F710D31"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Backhaus, R. </w:t>
      </w:r>
      <w:r>
        <w:rPr>
          <w:rFonts w:ascii="Arial" w:hAnsi="Arial" w:cs="Arial"/>
          <w:i/>
          <w:iCs/>
          <w:sz w:val="22"/>
          <w:szCs w:val="22"/>
        </w:rPr>
        <w:t>et al.</w:t>
      </w:r>
      <w:r>
        <w:rPr>
          <w:rFonts w:ascii="Arial" w:hAnsi="Arial" w:cs="Arial"/>
          <w:sz w:val="22"/>
          <w:szCs w:val="22"/>
        </w:rPr>
        <w:t xml:space="preserve"> (2021) ‘From wave to wave: a Dutch national study on the long-term impact of COVID-19 on well-being and family visitation in nursing homes’, </w:t>
      </w:r>
      <w:r>
        <w:rPr>
          <w:rFonts w:ascii="Arial" w:hAnsi="Arial" w:cs="Arial"/>
          <w:i/>
          <w:iCs/>
          <w:sz w:val="22"/>
          <w:szCs w:val="22"/>
        </w:rPr>
        <w:t>BMC Geriatrics</w:t>
      </w:r>
      <w:r>
        <w:rPr>
          <w:rFonts w:ascii="Arial" w:hAnsi="Arial" w:cs="Arial"/>
          <w:sz w:val="22"/>
          <w:szCs w:val="22"/>
        </w:rPr>
        <w:t>, 21(1). Available at: https://doi.org/10.1186/s12877-021-02530-1.</w:t>
      </w:r>
    </w:p>
    <w:p w14:paraId="3F13F08F" w14:textId="4CAAF62D"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Baker, C. </w:t>
      </w:r>
      <w:r>
        <w:rPr>
          <w:rFonts w:ascii="Arial" w:hAnsi="Arial" w:cs="Arial"/>
          <w:i/>
          <w:iCs/>
          <w:sz w:val="22"/>
          <w:szCs w:val="22"/>
        </w:rPr>
        <w:t>et al.</w:t>
      </w:r>
      <w:r>
        <w:rPr>
          <w:rFonts w:ascii="Arial" w:hAnsi="Arial" w:cs="Arial"/>
          <w:sz w:val="22"/>
          <w:szCs w:val="22"/>
        </w:rPr>
        <w:t xml:space="preserve"> (2020) ‘COVID-19 and the digital divide’, </w:t>
      </w:r>
      <w:r>
        <w:rPr>
          <w:rFonts w:ascii="Arial" w:hAnsi="Arial" w:cs="Arial"/>
          <w:i/>
          <w:iCs/>
          <w:sz w:val="22"/>
          <w:szCs w:val="22"/>
        </w:rPr>
        <w:t>UK Parliament</w:t>
      </w:r>
      <w:r>
        <w:rPr>
          <w:rFonts w:ascii="Arial" w:hAnsi="Arial" w:cs="Arial"/>
          <w:sz w:val="22"/>
          <w:szCs w:val="22"/>
        </w:rPr>
        <w:t>. Available at: https://doi.org/10.58248/RR56.</w:t>
      </w:r>
    </w:p>
    <w:p w14:paraId="7B007D08"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Ballard, C., Corbett, A. and Khan, Z. (2014) ‘Cognitive stimulation therapy: training, maintenance and implementation in clinical trials’, </w:t>
      </w:r>
      <w:r>
        <w:rPr>
          <w:rFonts w:ascii="Arial" w:hAnsi="Arial" w:cs="Arial"/>
          <w:i/>
          <w:iCs/>
          <w:sz w:val="22"/>
          <w:szCs w:val="22"/>
        </w:rPr>
        <w:t>Pragmatic and Observational Research</w:t>
      </w:r>
      <w:r>
        <w:rPr>
          <w:rFonts w:ascii="Arial" w:hAnsi="Arial" w:cs="Arial"/>
          <w:sz w:val="22"/>
          <w:szCs w:val="22"/>
        </w:rPr>
        <w:t>, p. 15. Available at: https://doi.org/10.2147/por.s56000.</w:t>
      </w:r>
    </w:p>
    <w:p w14:paraId="5CC98900" w14:textId="7CDB4F55"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Ballor, J.J. (2010) </w:t>
      </w:r>
      <w:r>
        <w:rPr>
          <w:rFonts w:ascii="Arial" w:hAnsi="Arial" w:cs="Arial"/>
          <w:i/>
          <w:iCs/>
          <w:sz w:val="22"/>
          <w:szCs w:val="22"/>
        </w:rPr>
        <w:t>Almshouses in Europe from the Late Middle Ages to the Present</w:t>
      </w:r>
      <w:r>
        <w:rPr>
          <w:rFonts w:ascii="Arial" w:hAnsi="Arial" w:cs="Arial"/>
          <w:sz w:val="22"/>
          <w:szCs w:val="22"/>
        </w:rPr>
        <w:t>. Available at: https://rlo.acton.org/archives/19130-almshouses-in-europe-from-the-late-middle-ages-to-the-present.html (Accessed: 12 March 2025).</w:t>
      </w:r>
    </w:p>
    <w:p w14:paraId="3A99B0D3"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Begum, F. (2016) </w:t>
      </w:r>
      <w:r>
        <w:rPr>
          <w:rFonts w:ascii="Arial" w:hAnsi="Arial" w:cs="Arial"/>
          <w:i/>
          <w:iCs/>
          <w:sz w:val="22"/>
          <w:szCs w:val="22"/>
        </w:rPr>
        <w:t>Mapping disease: John Snow and Cholera</w:t>
      </w:r>
      <w:r>
        <w:rPr>
          <w:rFonts w:ascii="Arial" w:hAnsi="Arial" w:cs="Arial"/>
          <w:sz w:val="22"/>
          <w:szCs w:val="22"/>
        </w:rPr>
        <w:t>. Available at: https://www.rcseng.ac.uk/library-and-publications/library/blog/mapping-disease-john-snow-and-cholera/ (Accessed: 17 March 2025).</w:t>
      </w:r>
    </w:p>
    <w:p w14:paraId="352150BD"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Behrendt, D. </w:t>
      </w:r>
      <w:r>
        <w:rPr>
          <w:rFonts w:ascii="Arial" w:hAnsi="Arial" w:cs="Arial"/>
          <w:i/>
          <w:iCs/>
          <w:sz w:val="22"/>
          <w:szCs w:val="22"/>
        </w:rPr>
        <w:t>et al.</w:t>
      </w:r>
      <w:r>
        <w:rPr>
          <w:rFonts w:ascii="Arial" w:hAnsi="Arial" w:cs="Arial"/>
          <w:sz w:val="22"/>
          <w:szCs w:val="22"/>
        </w:rPr>
        <w:t xml:space="preserve"> (2023) ‘Integrating social support into interventions among the elderly in nursing homes: a scoping review’, </w:t>
      </w:r>
      <w:r>
        <w:rPr>
          <w:rFonts w:ascii="Arial" w:hAnsi="Arial" w:cs="Arial"/>
          <w:i/>
          <w:iCs/>
          <w:sz w:val="22"/>
          <w:szCs w:val="22"/>
        </w:rPr>
        <w:t>BMJ Open</w:t>
      </w:r>
      <w:r>
        <w:rPr>
          <w:rFonts w:ascii="Arial" w:hAnsi="Arial" w:cs="Arial"/>
          <w:sz w:val="22"/>
          <w:szCs w:val="22"/>
        </w:rPr>
        <w:t>, 13(4), p. e071962. Available at: https://doi.org/10.1136/bmjopen-2023-071962.</w:t>
      </w:r>
    </w:p>
    <w:p w14:paraId="5A234471"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Bergman, C. </w:t>
      </w:r>
      <w:r>
        <w:rPr>
          <w:rFonts w:ascii="Arial" w:hAnsi="Arial" w:cs="Arial"/>
          <w:i/>
          <w:iCs/>
          <w:sz w:val="22"/>
          <w:szCs w:val="22"/>
        </w:rPr>
        <w:t>et al.</w:t>
      </w:r>
      <w:r>
        <w:rPr>
          <w:rFonts w:ascii="Arial" w:hAnsi="Arial" w:cs="Arial"/>
          <w:sz w:val="22"/>
          <w:szCs w:val="22"/>
        </w:rPr>
        <w:t xml:space="preserve"> (2020) ‘Recommendations for Welcoming Back Nursing Home Visitors during the COVID-19 Pandemic: Results of a Delphi Panel’, </w:t>
      </w:r>
      <w:r>
        <w:rPr>
          <w:rFonts w:ascii="Arial" w:hAnsi="Arial" w:cs="Arial"/>
          <w:i/>
          <w:iCs/>
          <w:sz w:val="22"/>
          <w:szCs w:val="22"/>
        </w:rPr>
        <w:t>Journal of the American Medical Directors Association</w:t>
      </w:r>
      <w:r>
        <w:rPr>
          <w:rFonts w:ascii="Arial" w:hAnsi="Arial" w:cs="Arial"/>
          <w:sz w:val="22"/>
          <w:szCs w:val="22"/>
        </w:rPr>
        <w:t>, 21(12). Available at: https://doi.org/10.1016/j.jamda.2020.09.036.</w:t>
      </w:r>
    </w:p>
    <w:p w14:paraId="16057E77" w14:textId="77777777" w:rsidR="002C2D5C" w:rsidRDefault="002C2D5C" w:rsidP="002C2D5C">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Bertolote</w:t>
      </w:r>
      <w:proofErr w:type="spellEnd"/>
      <w:r>
        <w:rPr>
          <w:rFonts w:ascii="Arial" w:hAnsi="Arial" w:cs="Arial"/>
          <w:sz w:val="22"/>
          <w:szCs w:val="22"/>
        </w:rPr>
        <w:t xml:space="preserve">, J. (2008) ‘The roots of the concept of mental health’, </w:t>
      </w:r>
      <w:r>
        <w:rPr>
          <w:rFonts w:ascii="Arial" w:hAnsi="Arial" w:cs="Arial"/>
          <w:i/>
          <w:iCs/>
          <w:sz w:val="22"/>
          <w:szCs w:val="22"/>
        </w:rPr>
        <w:t>World Psychiatry</w:t>
      </w:r>
      <w:r>
        <w:rPr>
          <w:rFonts w:ascii="Arial" w:hAnsi="Arial" w:cs="Arial"/>
          <w:sz w:val="22"/>
          <w:szCs w:val="22"/>
        </w:rPr>
        <w:t>, 7(2), pp. 113–116. Available at: https://doi.org/10.1002/j.2051-5545.2008.tb00172.x.</w:t>
      </w:r>
    </w:p>
    <w:p w14:paraId="6BD165C8"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Bethell, J. </w:t>
      </w:r>
      <w:r>
        <w:rPr>
          <w:rFonts w:ascii="Arial" w:hAnsi="Arial" w:cs="Arial"/>
          <w:i/>
          <w:iCs/>
          <w:sz w:val="22"/>
          <w:szCs w:val="22"/>
        </w:rPr>
        <w:t>et al.</w:t>
      </w:r>
      <w:r>
        <w:rPr>
          <w:rFonts w:ascii="Arial" w:hAnsi="Arial" w:cs="Arial"/>
          <w:sz w:val="22"/>
          <w:szCs w:val="22"/>
        </w:rPr>
        <w:t xml:space="preserve"> (2021) ‘Social connection in long-term care homes: A scoping review of published research on the mental health impacts and potential strategies during COVID-19’, </w:t>
      </w:r>
      <w:r>
        <w:rPr>
          <w:rFonts w:ascii="Arial" w:hAnsi="Arial" w:cs="Arial"/>
          <w:i/>
          <w:iCs/>
          <w:sz w:val="22"/>
          <w:szCs w:val="22"/>
        </w:rPr>
        <w:t>Journal of the American Medical Directors Association</w:t>
      </w:r>
      <w:r>
        <w:rPr>
          <w:rFonts w:ascii="Arial" w:hAnsi="Arial" w:cs="Arial"/>
          <w:sz w:val="22"/>
          <w:szCs w:val="22"/>
        </w:rPr>
        <w:t>, 22(2), pp. 228–237. Available at: https://doi.org/10.1016/j.jamda.2020.11.025.</w:t>
      </w:r>
    </w:p>
    <w:p w14:paraId="5B3A9F98"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Bethesda Health Group (2022) </w:t>
      </w:r>
      <w:r>
        <w:rPr>
          <w:rFonts w:ascii="Arial" w:hAnsi="Arial" w:cs="Arial"/>
          <w:i/>
          <w:iCs/>
          <w:sz w:val="22"/>
          <w:szCs w:val="22"/>
        </w:rPr>
        <w:t>Benefits of Sensory Objects for Dementia</w:t>
      </w:r>
      <w:r>
        <w:rPr>
          <w:rFonts w:ascii="Arial" w:hAnsi="Arial" w:cs="Arial"/>
          <w:sz w:val="22"/>
          <w:szCs w:val="22"/>
        </w:rPr>
        <w:t>. Available at: https://bethesdahealth.org/blog/the-benefits-of-sensory-objects-for-dementia-patients/ (Accessed: 21 July 2025).</w:t>
      </w:r>
    </w:p>
    <w:p w14:paraId="73096075"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BGS (2020) </w:t>
      </w:r>
      <w:r>
        <w:rPr>
          <w:rFonts w:ascii="Arial" w:hAnsi="Arial" w:cs="Arial"/>
          <w:i/>
          <w:iCs/>
          <w:sz w:val="22"/>
          <w:szCs w:val="22"/>
        </w:rPr>
        <w:t>COVID-19: Managing the COVID-19 pandemic in care homes | British Geriatrics Society</w:t>
      </w:r>
      <w:r>
        <w:rPr>
          <w:rFonts w:ascii="Arial" w:hAnsi="Arial" w:cs="Arial"/>
          <w:sz w:val="22"/>
          <w:szCs w:val="22"/>
        </w:rPr>
        <w:t>. Available at: https://www.bgs.org.uk/covid-19-managing-the-covid-19-pandemic-in-care-homes (Accessed: 19 July 2025).</w:t>
      </w:r>
    </w:p>
    <w:p w14:paraId="49C66B54"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Birmingham City University (2024) </w:t>
      </w:r>
      <w:r>
        <w:rPr>
          <w:rFonts w:ascii="Arial" w:hAnsi="Arial" w:cs="Arial"/>
          <w:i/>
          <w:iCs/>
          <w:sz w:val="22"/>
          <w:szCs w:val="22"/>
        </w:rPr>
        <w:t>Subject Guides: Critical Evaluation: Criteria Checklist Approach: CRAAP</w:t>
      </w:r>
      <w:r>
        <w:rPr>
          <w:rFonts w:ascii="Arial" w:hAnsi="Arial" w:cs="Arial"/>
          <w:sz w:val="22"/>
          <w:szCs w:val="22"/>
        </w:rPr>
        <w:t xml:space="preserve">, </w:t>
      </w:r>
      <w:r>
        <w:rPr>
          <w:rFonts w:ascii="Arial" w:hAnsi="Arial" w:cs="Arial"/>
          <w:i/>
          <w:iCs/>
          <w:sz w:val="22"/>
          <w:szCs w:val="22"/>
        </w:rPr>
        <w:t>libguides.bcu.ac.uk</w:t>
      </w:r>
      <w:r>
        <w:rPr>
          <w:rFonts w:ascii="Arial" w:hAnsi="Arial" w:cs="Arial"/>
          <w:sz w:val="22"/>
          <w:szCs w:val="22"/>
        </w:rPr>
        <w:t>. Available at: https://libguides.bcu.ac.uk/critical-evaluation/checklist-approach (Accessed: 14 May 2025).</w:t>
      </w:r>
    </w:p>
    <w:p w14:paraId="5C10550C"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Björkman, A. </w:t>
      </w:r>
      <w:r>
        <w:rPr>
          <w:rFonts w:ascii="Arial" w:hAnsi="Arial" w:cs="Arial"/>
          <w:i/>
          <w:iCs/>
          <w:sz w:val="22"/>
          <w:szCs w:val="22"/>
        </w:rPr>
        <w:t>et al.</w:t>
      </w:r>
      <w:r>
        <w:rPr>
          <w:rFonts w:ascii="Arial" w:hAnsi="Arial" w:cs="Arial"/>
          <w:sz w:val="22"/>
          <w:szCs w:val="22"/>
        </w:rPr>
        <w:t xml:space="preserve"> (2023) ‘The Swedish COVID-19 approach: a scientific dialogue on mitigation policies’, </w:t>
      </w:r>
      <w:r>
        <w:rPr>
          <w:rFonts w:ascii="Arial" w:hAnsi="Arial" w:cs="Arial"/>
          <w:i/>
          <w:iCs/>
          <w:sz w:val="22"/>
          <w:szCs w:val="22"/>
        </w:rPr>
        <w:t>Frontiers in Public Health</w:t>
      </w:r>
      <w:r>
        <w:rPr>
          <w:rFonts w:ascii="Arial" w:hAnsi="Arial" w:cs="Arial"/>
          <w:sz w:val="22"/>
          <w:szCs w:val="22"/>
        </w:rPr>
        <w:t>, 11. Available at: https://doi.org/10.3389/fpubh.2023.1206732.</w:t>
      </w:r>
    </w:p>
    <w:p w14:paraId="799B9DE6"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Boamah, S.A. </w:t>
      </w:r>
      <w:r>
        <w:rPr>
          <w:rFonts w:ascii="Arial" w:hAnsi="Arial" w:cs="Arial"/>
          <w:i/>
          <w:iCs/>
          <w:sz w:val="22"/>
          <w:szCs w:val="22"/>
        </w:rPr>
        <w:t>et al.</w:t>
      </w:r>
      <w:r>
        <w:rPr>
          <w:rFonts w:ascii="Arial" w:hAnsi="Arial" w:cs="Arial"/>
          <w:sz w:val="22"/>
          <w:szCs w:val="22"/>
        </w:rPr>
        <w:t xml:space="preserve"> (2021) ‘Social Isolation among Older Adults in Long-Term Care: a Scoping Review’, </w:t>
      </w:r>
      <w:r>
        <w:rPr>
          <w:rFonts w:ascii="Arial" w:hAnsi="Arial" w:cs="Arial"/>
          <w:i/>
          <w:iCs/>
          <w:sz w:val="22"/>
          <w:szCs w:val="22"/>
        </w:rPr>
        <w:t>Journal of Aging and Health</w:t>
      </w:r>
      <w:r>
        <w:rPr>
          <w:rFonts w:ascii="Arial" w:hAnsi="Arial" w:cs="Arial"/>
          <w:sz w:val="22"/>
          <w:szCs w:val="22"/>
        </w:rPr>
        <w:t>, 33(7-8), pp. 618–632. Available at: https://doi.org/10.1177/08982643211004174.</w:t>
      </w:r>
    </w:p>
    <w:p w14:paraId="62057A03"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Boamah, S.A. </w:t>
      </w:r>
      <w:r>
        <w:rPr>
          <w:rFonts w:ascii="Arial" w:hAnsi="Arial" w:cs="Arial"/>
          <w:i/>
          <w:iCs/>
          <w:sz w:val="22"/>
          <w:szCs w:val="22"/>
        </w:rPr>
        <w:t>et al.</w:t>
      </w:r>
      <w:r>
        <w:rPr>
          <w:rFonts w:ascii="Arial" w:hAnsi="Arial" w:cs="Arial"/>
          <w:sz w:val="22"/>
          <w:szCs w:val="22"/>
        </w:rPr>
        <w:t xml:space="preserve"> (2023) ‘“Picturing a way forward”: Strategies to manage the effects of COVID-19-related isolation on long-term care residents and their informal caregivers’, </w:t>
      </w:r>
      <w:r>
        <w:rPr>
          <w:rFonts w:ascii="Arial" w:hAnsi="Arial" w:cs="Arial"/>
          <w:i/>
          <w:iCs/>
          <w:sz w:val="22"/>
          <w:szCs w:val="22"/>
        </w:rPr>
        <w:t>Gerontologist</w:t>
      </w:r>
      <w:r>
        <w:rPr>
          <w:rFonts w:ascii="Arial" w:hAnsi="Arial" w:cs="Arial"/>
          <w:sz w:val="22"/>
          <w:szCs w:val="22"/>
        </w:rPr>
        <w:t>, 64(1). Available at: https://doi.org/10.1093/geront/gnad035.</w:t>
      </w:r>
    </w:p>
    <w:p w14:paraId="0726AFDE" w14:textId="77777777" w:rsidR="002C2D5C" w:rsidRDefault="002C2D5C" w:rsidP="002C2D5C">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Bottery</w:t>
      </w:r>
      <w:proofErr w:type="spellEnd"/>
      <w:r>
        <w:rPr>
          <w:rFonts w:ascii="Arial" w:hAnsi="Arial" w:cs="Arial"/>
          <w:sz w:val="22"/>
          <w:szCs w:val="22"/>
        </w:rPr>
        <w:t xml:space="preserve">, S. (2020) </w:t>
      </w:r>
      <w:r>
        <w:rPr>
          <w:rFonts w:ascii="Arial" w:hAnsi="Arial" w:cs="Arial"/>
          <w:i/>
          <w:iCs/>
          <w:sz w:val="22"/>
          <w:szCs w:val="22"/>
        </w:rPr>
        <w:t>How Covid-19 Has Magnified Some of Social Care’s Key Problems</w:t>
      </w:r>
      <w:r>
        <w:rPr>
          <w:rFonts w:ascii="Arial" w:hAnsi="Arial" w:cs="Arial"/>
          <w:sz w:val="22"/>
          <w:szCs w:val="22"/>
        </w:rPr>
        <w:t>. Available at: https://www.kingsfund.org.uk/insight-and-analysis/long-reads/covid-19-magnified-social-care-problems (Accessed: 12 March 2025).</w:t>
      </w:r>
    </w:p>
    <w:p w14:paraId="723584E7" w14:textId="77777777" w:rsidR="002C2D5C" w:rsidRDefault="002C2D5C" w:rsidP="002C2D5C">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lastRenderedPageBreak/>
        <w:t>Bottery</w:t>
      </w:r>
      <w:proofErr w:type="spellEnd"/>
      <w:r>
        <w:rPr>
          <w:rFonts w:ascii="Arial" w:hAnsi="Arial" w:cs="Arial"/>
          <w:sz w:val="22"/>
          <w:szCs w:val="22"/>
        </w:rPr>
        <w:t xml:space="preserve">, S. (2023) </w:t>
      </w:r>
      <w:r>
        <w:rPr>
          <w:rFonts w:ascii="Arial" w:hAnsi="Arial" w:cs="Arial"/>
          <w:i/>
          <w:iCs/>
          <w:sz w:val="22"/>
          <w:szCs w:val="22"/>
        </w:rPr>
        <w:t>Why We Should Celebrate The Birth Of Social Care?</w:t>
      </w:r>
      <w:r>
        <w:rPr>
          <w:rFonts w:ascii="Arial" w:hAnsi="Arial" w:cs="Arial"/>
          <w:sz w:val="22"/>
          <w:szCs w:val="22"/>
        </w:rPr>
        <w:t xml:space="preserve">, </w:t>
      </w:r>
      <w:r>
        <w:rPr>
          <w:rFonts w:ascii="Arial" w:hAnsi="Arial" w:cs="Arial"/>
          <w:i/>
          <w:iCs/>
          <w:sz w:val="22"/>
          <w:szCs w:val="22"/>
        </w:rPr>
        <w:t>The King’s Fund</w:t>
      </w:r>
      <w:r>
        <w:rPr>
          <w:rFonts w:ascii="Arial" w:hAnsi="Arial" w:cs="Arial"/>
          <w:sz w:val="22"/>
          <w:szCs w:val="22"/>
        </w:rPr>
        <w:t>. Available at: https://www.kingsfund.org.uk/insight-and-analysis/blogs/celebrate-birth-social-care (Accessed: 3 March 2025).</w:t>
      </w:r>
    </w:p>
    <w:p w14:paraId="0A388709"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Bradshaw, J. </w:t>
      </w:r>
      <w:r>
        <w:rPr>
          <w:rFonts w:ascii="Arial" w:hAnsi="Arial" w:cs="Arial"/>
          <w:i/>
          <w:iCs/>
          <w:sz w:val="22"/>
          <w:szCs w:val="22"/>
        </w:rPr>
        <w:t>et al.</w:t>
      </w:r>
      <w:r>
        <w:rPr>
          <w:rFonts w:ascii="Arial" w:hAnsi="Arial" w:cs="Arial"/>
          <w:sz w:val="22"/>
          <w:szCs w:val="22"/>
        </w:rPr>
        <w:t xml:space="preserve"> (2022) ‘Kindness, listening, and connection: Patient and Clinician Key Requirements for Emotional Support in Chronic and Complex Care’, </w:t>
      </w:r>
      <w:r>
        <w:rPr>
          <w:rFonts w:ascii="Arial" w:hAnsi="Arial" w:cs="Arial"/>
          <w:i/>
          <w:iCs/>
          <w:sz w:val="22"/>
          <w:szCs w:val="22"/>
        </w:rPr>
        <w:t>Journal of Patient Experience</w:t>
      </w:r>
      <w:r>
        <w:rPr>
          <w:rFonts w:ascii="Arial" w:hAnsi="Arial" w:cs="Arial"/>
          <w:sz w:val="22"/>
          <w:szCs w:val="22"/>
        </w:rPr>
        <w:t>, 9(9). Available at: https://doi.org/10.1177/23743735221092627.</w:t>
      </w:r>
    </w:p>
    <w:p w14:paraId="35A11426"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Bramer, W.M. </w:t>
      </w:r>
      <w:r>
        <w:rPr>
          <w:rFonts w:ascii="Arial" w:hAnsi="Arial" w:cs="Arial"/>
          <w:i/>
          <w:iCs/>
          <w:sz w:val="22"/>
          <w:szCs w:val="22"/>
        </w:rPr>
        <w:t>et al.</w:t>
      </w:r>
      <w:r>
        <w:rPr>
          <w:rFonts w:ascii="Arial" w:hAnsi="Arial" w:cs="Arial"/>
          <w:sz w:val="22"/>
          <w:szCs w:val="22"/>
        </w:rPr>
        <w:t xml:space="preserve"> (2018) ‘A Systematic Approach to Searching: an Efficient and Complete Method to Develop Literature Searches’, </w:t>
      </w:r>
      <w:r>
        <w:rPr>
          <w:rFonts w:ascii="Arial" w:hAnsi="Arial" w:cs="Arial"/>
          <w:i/>
          <w:iCs/>
          <w:sz w:val="22"/>
          <w:szCs w:val="22"/>
        </w:rPr>
        <w:t>Journal of the Medical Library Association</w:t>
      </w:r>
      <w:r>
        <w:rPr>
          <w:rFonts w:ascii="Arial" w:hAnsi="Arial" w:cs="Arial"/>
          <w:sz w:val="22"/>
          <w:szCs w:val="22"/>
        </w:rPr>
        <w:t>, 106(4), pp. 531–541. Available at: https://pmc.ncbi.nlm.nih.gov/articles/PMC6148622/.</w:t>
      </w:r>
    </w:p>
    <w:p w14:paraId="7F8ED243"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Briggs, R. </w:t>
      </w:r>
      <w:r>
        <w:rPr>
          <w:rFonts w:ascii="Arial" w:hAnsi="Arial" w:cs="Arial"/>
          <w:i/>
          <w:iCs/>
          <w:sz w:val="22"/>
          <w:szCs w:val="22"/>
        </w:rPr>
        <w:t>et al.</w:t>
      </w:r>
      <w:r>
        <w:rPr>
          <w:rFonts w:ascii="Arial" w:hAnsi="Arial" w:cs="Arial"/>
          <w:sz w:val="22"/>
          <w:szCs w:val="22"/>
        </w:rPr>
        <w:t xml:space="preserve"> (2021) ‘Depressive symptoms among older adults pre- and post- COVID-19 pandemic’, </w:t>
      </w:r>
      <w:r>
        <w:rPr>
          <w:rFonts w:ascii="Arial" w:hAnsi="Arial" w:cs="Arial"/>
          <w:i/>
          <w:iCs/>
          <w:sz w:val="22"/>
          <w:szCs w:val="22"/>
        </w:rPr>
        <w:t>Journal of the American Medical Directors Association</w:t>
      </w:r>
      <w:r>
        <w:rPr>
          <w:rFonts w:ascii="Arial" w:hAnsi="Arial" w:cs="Arial"/>
          <w:sz w:val="22"/>
          <w:szCs w:val="22"/>
        </w:rPr>
        <w:t>, 22(11). Available at: https://doi.org/10.1016/j.jamda.2021.09.003.</w:t>
      </w:r>
    </w:p>
    <w:p w14:paraId="25255A17"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British Geriatrics Society (2020) </w:t>
      </w:r>
      <w:r>
        <w:rPr>
          <w:rFonts w:ascii="Arial" w:hAnsi="Arial" w:cs="Arial"/>
          <w:i/>
          <w:iCs/>
          <w:sz w:val="22"/>
          <w:szCs w:val="22"/>
        </w:rPr>
        <w:t>Managing the COVID-19 pandemic in care homes for older people</w:t>
      </w:r>
      <w:r>
        <w:rPr>
          <w:rFonts w:ascii="Arial" w:hAnsi="Arial" w:cs="Arial"/>
          <w:sz w:val="22"/>
          <w:szCs w:val="22"/>
        </w:rPr>
        <w:t>. Available at: https://www.bgs.org.uk/sites/default/files/content/attachment/2020-11-16/Managing%20the%20COVID-19%20pandemic%20in%20care%20homes%20November%202020_0.pdf (Accessed: 26 February 2025).</w:t>
      </w:r>
    </w:p>
    <w:p w14:paraId="24FDE0AD"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British Geriatrics Society (2021) </w:t>
      </w:r>
      <w:r>
        <w:rPr>
          <w:rFonts w:ascii="Arial" w:hAnsi="Arial" w:cs="Arial"/>
          <w:i/>
          <w:iCs/>
          <w:sz w:val="22"/>
          <w:szCs w:val="22"/>
        </w:rPr>
        <w:t>Ambitions for change: Improving healthcare in care homes</w:t>
      </w:r>
      <w:r>
        <w:rPr>
          <w:rFonts w:ascii="Arial" w:hAnsi="Arial" w:cs="Arial"/>
          <w:sz w:val="22"/>
          <w:szCs w:val="22"/>
        </w:rPr>
        <w:t>. Available at: https://www.bgs.org.uk/resources/ambitions-for-change-improving-healthcare-in-care-homes (Accessed: 4 March 2025).</w:t>
      </w:r>
    </w:p>
    <w:p w14:paraId="3AA108CA"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Brooke, J. and Jackson, D. (2020) ‘Older people and COVID-19: Isolation, risk and ageism’, </w:t>
      </w:r>
      <w:r>
        <w:rPr>
          <w:rFonts w:ascii="Arial" w:hAnsi="Arial" w:cs="Arial"/>
          <w:i/>
          <w:iCs/>
          <w:sz w:val="22"/>
          <w:szCs w:val="22"/>
        </w:rPr>
        <w:t>Journal of Clinical Nursing</w:t>
      </w:r>
      <w:r>
        <w:rPr>
          <w:rFonts w:ascii="Arial" w:hAnsi="Arial" w:cs="Arial"/>
          <w:sz w:val="22"/>
          <w:szCs w:val="22"/>
        </w:rPr>
        <w:t>, 29(13-14). Available at: https://doi.org/10.1111/jocn.15274.</w:t>
      </w:r>
    </w:p>
    <w:p w14:paraId="4EDB1336"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Broomhall, J. and Thompson, N. (2021) </w:t>
      </w:r>
      <w:r>
        <w:rPr>
          <w:rFonts w:ascii="Arial" w:hAnsi="Arial" w:cs="Arial"/>
          <w:i/>
          <w:iCs/>
          <w:sz w:val="22"/>
          <w:szCs w:val="22"/>
        </w:rPr>
        <w:t>Lessons Learned and Recovery Planning Adult Social Care</w:t>
      </w:r>
      <w:r>
        <w:rPr>
          <w:rFonts w:ascii="Arial" w:hAnsi="Arial" w:cs="Arial"/>
          <w:sz w:val="22"/>
          <w:szCs w:val="22"/>
        </w:rPr>
        <w:t>. Available at: https://moderngov.cheshireeast.gov.uk/ecminutes/documents/s88974/Lessons%20Learned%20and%20Recovery%20v1.pdf (Accessed: 14 July 2025).</w:t>
      </w:r>
    </w:p>
    <w:p w14:paraId="457CD2B0"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Brown, J. and Kirk-Wade, E. (2021) </w:t>
      </w:r>
      <w:r>
        <w:rPr>
          <w:rFonts w:ascii="Arial" w:hAnsi="Arial" w:cs="Arial"/>
          <w:i/>
          <w:iCs/>
          <w:sz w:val="22"/>
          <w:szCs w:val="22"/>
        </w:rPr>
        <w:t>Coronavirus: A history of English lockdown laws</w:t>
      </w:r>
      <w:r>
        <w:rPr>
          <w:rFonts w:ascii="Arial" w:hAnsi="Arial" w:cs="Arial"/>
          <w:sz w:val="22"/>
          <w:szCs w:val="22"/>
        </w:rPr>
        <w:t>. House of Commons Library. Available at: https://researchbriefings.files.parliament.uk/documents/CBP-9068/CBP-9068.pdf (Accessed: 22 February 2025).</w:t>
      </w:r>
    </w:p>
    <w:p w14:paraId="60AB7C22"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Bunn, D. </w:t>
      </w:r>
      <w:r>
        <w:rPr>
          <w:rFonts w:ascii="Arial" w:hAnsi="Arial" w:cs="Arial"/>
          <w:i/>
          <w:iCs/>
          <w:sz w:val="22"/>
          <w:szCs w:val="22"/>
        </w:rPr>
        <w:t>et al.</w:t>
      </w:r>
      <w:r>
        <w:rPr>
          <w:rFonts w:ascii="Arial" w:hAnsi="Arial" w:cs="Arial"/>
          <w:sz w:val="22"/>
          <w:szCs w:val="22"/>
        </w:rPr>
        <w:t xml:space="preserve"> (2021) ‘The Lived Experience of Implementing Infection Control Measures in Care Homes during Two Waves of the COVID-19 Pandemic. A Mixed-Methods Study’, </w:t>
      </w:r>
      <w:r>
        <w:rPr>
          <w:rFonts w:ascii="Arial" w:hAnsi="Arial" w:cs="Arial"/>
          <w:i/>
          <w:iCs/>
          <w:sz w:val="22"/>
          <w:szCs w:val="22"/>
        </w:rPr>
        <w:t>Journal of Long Term Care</w:t>
      </w:r>
      <w:r>
        <w:rPr>
          <w:rFonts w:ascii="Arial" w:hAnsi="Arial" w:cs="Arial"/>
          <w:sz w:val="22"/>
          <w:szCs w:val="22"/>
        </w:rPr>
        <w:t>, pp. 386–400. Available at: https://doi.org/10.31389/jltc.109.</w:t>
      </w:r>
    </w:p>
    <w:p w14:paraId="2DC60828"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Campaign to End Loneliness (2023) </w:t>
      </w:r>
      <w:r>
        <w:rPr>
          <w:rFonts w:ascii="Arial" w:hAnsi="Arial" w:cs="Arial"/>
          <w:i/>
          <w:iCs/>
          <w:sz w:val="22"/>
          <w:szCs w:val="22"/>
        </w:rPr>
        <w:t>Facts and statistics</w:t>
      </w:r>
      <w:r>
        <w:rPr>
          <w:rFonts w:ascii="Arial" w:hAnsi="Arial" w:cs="Arial"/>
          <w:sz w:val="22"/>
          <w:szCs w:val="22"/>
        </w:rPr>
        <w:t>. Available at: https://www.campaigntoendloneliness.org/facts-and-statistics/ (Accessed: 22 February 2025).</w:t>
      </w:r>
    </w:p>
    <w:p w14:paraId="2133BE46" w14:textId="79FD9342"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i/>
          <w:iCs/>
          <w:sz w:val="22"/>
          <w:szCs w:val="22"/>
        </w:rPr>
        <w:t>Care Act 2014, c. 23.</w:t>
      </w:r>
      <w:r>
        <w:rPr>
          <w:rFonts w:ascii="Arial" w:hAnsi="Arial" w:cs="Arial"/>
          <w:sz w:val="22"/>
          <w:szCs w:val="22"/>
        </w:rPr>
        <w:t xml:space="preserve"> Available at: https://www.legislation.gov.uk/ukpga/2014/23/introduction (Accessed: 6 March 2025).</w:t>
      </w:r>
    </w:p>
    <w:p w14:paraId="591751CE" w14:textId="6FFD077C"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Care Inspectorate (2023) </w:t>
      </w:r>
      <w:r>
        <w:rPr>
          <w:rFonts w:ascii="Arial" w:hAnsi="Arial" w:cs="Arial"/>
          <w:i/>
          <w:iCs/>
          <w:sz w:val="22"/>
          <w:szCs w:val="22"/>
        </w:rPr>
        <w:t>Review of psychoactive medicines in care homes for older people during the pandemic</w:t>
      </w:r>
      <w:r>
        <w:rPr>
          <w:rFonts w:ascii="Arial" w:hAnsi="Arial" w:cs="Arial"/>
          <w:sz w:val="22"/>
          <w:szCs w:val="22"/>
        </w:rPr>
        <w:t>. Available at: https://www.careinspectorate.com/images/documents/7341/Review%20of%20psychoactive%20meds%20in%20care%20homes%20in%20pandemic.pdf (Accessed: 27 February 2025).</w:t>
      </w:r>
    </w:p>
    <w:p w14:paraId="6EAA2586" w14:textId="07D9548C"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i/>
          <w:iCs/>
          <w:sz w:val="22"/>
          <w:szCs w:val="22"/>
        </w:rPr>
        <w:t>Care Standards Act 2000, c. 14.</w:t>
      </w:r>
      <w:r>
        <w:rPr>
          <w:rFonts w:ascii="Arial" w:hAnsi="Arial" w:cs="Arial"/>
          <w:sz w:val="22"/>
          <w:szCs w:val="22"/>
        </w:rPr>
        <w:t xml:space="preserve"> </w:t>
      </w:r>
      <w:r>
        <w:rPr>
          <w:rFonts w:ascii="Arial" w:hAnsi="Arial" w:cs="Arial"/>
          <w:i/>
          <w:iCs/>
          <w:sz w:val="22"/>
          <w:szCs w:val="22"/>
        </w:rPr>
        <w:t>Legislation.gov.uk</w:t>
      </w:r>
      <w:r>
        <w:rPr>
          <w:rFonts w:ascii="Arial" w:hAnsi="Arial" w:cs="Arial"/>
          <w:sz w:val="22"/>
          <w:szCs w:val="22"/>
        </w:rPr>
        <w:t>. Available at: https://www.legislation.gov.uk/ukpga/2000/14 (Accessed: 15 March 2025).</w:t>
      </w:r>
    </w:p>
    <w:p w14:paraId="106E6FC8"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Carstensen, L.L., </w:t>
      </w:r>
      <w:proofErr w:type="spellStart"/>
      <w:r>
        <w:rPr>
          <w:rFonts w:ascii="Arial" w:hAnsi="Arial" w:cs="Arial"/>
          <w:sz w:val="22"/>
          <w:szCs w:val="22"/>
        </w:rPr>
        <w:t>Isaacowitz</w:t>
      </w:r>
      <w:proofErr w:type="spellEnd"/>
      <w:r>
        <w:rPr>
          <w:rFonts w:ascii="Arial" w:hAnsi="Arial" w:cs="Arial"/>
          <w:sz w:val="22"/>
          <w:szCs w:val="22"/>
        </w:rPr>
        <w:t xml:space="preserve">, D.M. and Charles, S.T. (1999) ‘Taking time seriously: A theory of socioemotional selectivity’, </w:t>
      </w:r>
      <w:r>
        <w:rPr>
          <w:rFonts w:ascii="Arial" w:hAnsi="Arial" w:cs="Arial"/>
          <w:i/>
          <w:iCs/>
          <w:sz w:val="22"/>
          <w:szCs w:val="22"/>
        </w:rPr>
        <w:t>American Psychologist</w:t>
      </w:r>
      <w:r>
        <w:rPr>
          <w:rFonts w:ascii="Arial" w:hAnsi="Arial" w:cs="Arial"/>
          <w:sz w:val="22"/>
          <w:szCs w:val="22"/>
        </w:rPr>
        <w:t>, 54(3), pp. 165–181. Available at: https://doi.org/10.1037/0003-066x.54.3.165.</w:t>
      </w:r>
    </w:p>
    <w:p w14:paraId="77C306EC"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Carstensen, L.L., Shavit, Y.Z. and Barnes, J.T. (2020) ‘Age Advantages in Emotional Experience Persist Even Under Threat From the COVID-19 Pandemic’, </w:t>
      </w:r>
      <w:r>
        <w:rPr>
          <w:rFonts w:ascii="Arial" w:hAnsi="Arial" w:cs="Arial"/>
          <w:i/>
          <w:iCs/>
          <w:sz w:val="22"/>
          <w:szCs w:val="22"/>
        </w:rPr>
        <w:t>Psychological Science</w:t>
      </w:r>
      <w:r>
        <w:rPr>
          <w:rFonts w:ascii="Arial" w:hAnsi="Arial" w:cs="Arial"/>
          <w:sz w:val="22"/>
          <w:szCs w:val="22"/>
        </w:rPr>
        <w:t>, 31(11), pp. 1374–1385. Available at: https://doi.org/10.1177/0956797620967261.</w:t>
      </w:r>
    </w:p>
    <w:p w14:paraId="0FED7F94"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Cartmill, A. (2025) </w:t>
      </w:r>
      <w:r>
        <w:rPr>
          <w:rFonts w:ascii="Arial" w:hAnsi="Arial" w:cs="Arial"/>
          <w:i/>
          <w:iCs/>
          <w:sz w:val="22"/>
          <w:szCs w:val="22"/>
        </w:rPr>
        <w:t>Mental Health in Northern Ireland: Pathways to innovation and effective collaboration - Health Innovation Network</w:t>
      </w:r>
      <w:r>
        <w:rPr>
          <w:rFonts w:ascii="Arial" w:hAnsi="Arial" w:cs="Arial"/>
          <w:sz w:val="22"/>
          <w:szCs w:val="22"/>
        </w:rPr>
        <w:t>. Available at: https://healthinnovationnetwork.com/mental-health/mental-health-in-northern-ireland-pathways-to-innovation-and-effective-collaboration/ (Accessed: 25 March 2025).</w:t>
      </w:r>
    </w:p>
    <w:p w14:paraId="2543FD5A"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Centers for Disease Control and Prevention (2024) </w:t>
      </w:r>
      <w:r>
        <w:rPr>
          <w:rFonts w:ascii="Arial" w:hAnsi="Arial" w:cs="Arial"/>
          <w:i/>
          <w:iCs/>
          <w:sz w:val="22"/>
          <w:szCs w:val="22"/>
        </w:rPr>
        <w:t>Health Effects of Social Isolation and Loneliness</w:t>
      </w:r>
      <w:r>
        <w:rPr>
          <w:rFonts w:ascii="Arial" w:hAnsi="Arial" w:cs="Arial"/>
          <w:sz w:val="22"/>
          <w:szCs w:val="22"/>
        </w:rPr>
        <w:t>. Available at: https://www.cdc.gov/social-connectedness/risk-factors/index.html (Accessed: 22 February 2025).</w:t>
      </w:r>
    </w:p>
    <w:p w14:paraId="3C5B1C18"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Chapman, H. </w:t>
      </w:r>
      <w:r>
        <w:rPr>
          <w:rFonts w:ascii="Arial" w:hAnsi="Arial" w:cs="Arial"/>
          <w:i/>
          <w:iCs/>
          <w:sz w:val="22"/>
          <w:szCs w:val="22"/>
        </w:rPr>
        <w:t>et al.</w:t>
      </w:r>
      <w:r>
        <w:rPr>
          <w:rFonts w:ascii="Arial" w:hAnsi="Arial" w:cs="Arial"/>
          <w:sz w:val="22"/>
          <w:szCs w:val="22"/>
        </w:rPr>
        <w:t xml:space="preserve"> (2024) ‘Social connection in long-term care homes: a qualitative study of barriers and facilitators’, </w:t>
      </w:r>
      <w:r>
        <w:rPr>
          <w:rFonts w:ascii="Arial" w:hAnsi="Arial" w:cs="Arial"/>
          <w:i/>
          <w:iCs/>
          <w:sz w:val="22"/>
          <w:szCs w:val="22"/>
        </w:rPr>
        <w:t>BMC Geriatrics</w:t>
      </w:r>
      <w:r>
        <w:rPr>
          <w:rFonts w:ascii="Arial" w:hAnsi="Arial" w:cs="Arial"/>
          <w:sz w:val="22"/>
          <w:szCs w:val="22"/>
        </w:rPr>
        <w:t>, 24(1). Available at: https://doi.org/10.1186/s12877-024-05454-8.</w:t>
      </w:r>
    </w:p>
    <w:p w14:paraId="0E51999E"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Chee, S.Y. (2020) ‘COVID-19 Pandemic: The Lived Experiences of Older Adults in Aged Care Homes’, </w:t>
      </w:r>
      <w:r>
        <w:rPr>
          <w:rFonts w:ascii="Arial" w:hAnsi="Arial" w:cs="Arial"/>
          <w:i/>
          <w:iCs/>
          <w:sz w:val="22"/>
          <w:szCs w:val="22"/>
        </w:rPr>
        <w:t>Millennial Asia</w:t>
      </w:r>
      <w:r>
        <w:rPr>
          <w:rFonts w:ascii="Arial" w:hAnsi="Arial" w:cs="Arial"/>
          <w:sz w:val="22"/>
          <w:szCs w:val="22"/>
        </w:rPr>
        <w:t>, 11(3). Available at: https://doi.org/10.1177/0976399620958326.</w:t>
      </w:r>
    </w:p>
    <w:p w14:paraId="6B7EEE27"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Chen, A. </w:t>
      </w:r>
      <w:r>
        <w:rPr>
          <w:rFonts w:ascii="Arial" w:hAnsi="Arial" w:cs="Arial"/>
          <w:i/>
          <w:iCs/>
          <w:sz w:val="22"/>
          <w:szCs w:val="22"/>
        </w:rPr>
        <w:t>et al.</w:t>
      </w:r>
      <w:r>
        <w:rPr>
          <w:rFonts w:ascii="Arial" w:hAnsi="Arial" w:cs="Arial"/>
          <w:sz w:val="22"/>
          <w:szCs w:val="22"/>
        </w:rPr>
        <w:t xml:space="preserve"> (2023) ‘Care delivery approaches and perceived barriers to improving quality of care: A national survey of skilled nursing facilities’, </w:t>
      </w:r>
      <w:r>
        <w:rPr>
          <w:rFonts w:ascii="Arial" w:hAnsi="Arial" w:cs="Arial"/>
          <w:i/>
          <w:iCs/>
          <w:sz w:val="22"/>
          <w:szCs w:val="22"/>
        </w:rPr>
        <w:t>Journal of the American Geriatrics Society</w:t>
      </w:r>
      <w:r>
        <w:rPr>
          <w:rFonts w:ascii="Arial" w:hAnsi="Arial" w:cs="Arial"/>
          <w:sz w:val="22"/>
          <w:szCs w:val="22"/>
        </w:rPr>
        <w:t>, 71(7), pp. 2141–2150. Available at: https://doi.org/10.1111/jgs.18331.</w:t>
      </w:r>
    </w:p>
    <w:p w14:paraId="7F83515D"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Choi, E.Y. </w:t>
      </w:r>
      <w:r>
        <w:rPr>
          <w:rFonts w:ascii="Arial" w:hAnsi="Arial" w:cs="Arial"/>
          <w:i/>
          <w:iCs/>
          <w:sz w:val="22"/>
          <w:szCs w:val="22"/>
        </w:rPr>
        <w:t>et al.</w:t>
      </w:r>
      <w:r>
        <w:rPr>
          <w:rFonts w:ascii="Arial" w:hAnsi="Arial" w:cs="Arial"/>
          <w:sz w:val="22"/>
          <w:szCs w:val="22"/>
        </w:rPr>
        <w:t xml:space="preserve"> (2021) ‘COVID-19 Social Distancing Measures and Loneliness Among Older Adults’, </w:t>
      </w:r>
      <w:r>
        <w:rPr>
          <w:rFonts w:ascii="Arial" w:hAnsi="Arial" w:cs="Arial"/>
          <w:i/>
          <w:iCs/>
          <w:sz w:val="22"/>
          <w:szCs w:val="22"/>
        </w:rPr>
        <w:t>The Journals of Gerontology: Series B</w:t>
      </w:r>
      <w:r>
        <w:rPr>
          <w:rFonts w:ascii="Arial" w:hAnsi="Arial" w:cs="Arial"/>
          <w:sz w:val="22"/>
          <w:szCs w:val="22"/>
        </w:rPr>
        <w:t>, 77(7). Available at: https://doi.org/10.1093/geronb/gbab009.</w:t>
      </w:r>
    </w:p>
    <w:p w14:paraId="6BD55F15"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Clarke, V. and Braun, V. (2016) ‘Thematic Analysis’, </w:t>
      </w:r>
      <w:r>
        <w:rPr>
          <w:rFonts w:ascii="Arial" w:hAnsi="Arial" w:cs="Arial"/>
          <w:i/>
          <w:iCs/>
          <w:sz w:val="22"/>
          <w:szCs w:val="22"/>
        </w:rPr>
        <w:t>The Journal of Positive Psychology</w:t>
      </w:r>
      <w:r>
        <w:rPr>
          <w:rFonts w:ascii="Arial" w:hAnsi="Arial" w:cs="Arial"/>
          <w:sz w:val="22"/>
          <w:szCs w:val="22"/>
        </w:rPr>
        <w:t>, 12(3), pp. 297–298. Available at: https://doi.org/10.1080/17439760.2016.1262613.</w:t>
      </w:r>
    </w:p>
    <w:p w14:paraId="73ADA408"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Cleveland Clinic (2019) </w:t>
      </w:r>
      <w:r>
        <w:rPr>
          <w:rFonts w:ascii="Arial" w:hAnsi="Arial" w:cs="Arial"/>
          <w:i/>
          <w:iCs/>
          <w:sz w:val="22"/>
          <w:szCs w:val="22"/>
        </w:rPr>
        <w:t>Mild Cognitive Impairment: Symptoms, Causes, Treatments &amp; Tests</w:t>
      </w:r>
      <w:r>
        <w:rPr>
          <w:rFonts w:ascii="Arial" w:hAnsi="Arial" w:cs="Arial"/>
          <w:sz w:val="22"/>
          <w:szCs w:val="22"/>
        </w:rPr>
        <w:t>. Available at: https://my.clevelandclinic.org/health/diseases/17990-mild-cognitive-impairment (Accessed: 13 July 2025).</w:t>
      </w:r>
    </w:p>
    <w:p w14:paraId="677ACD67"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CMS.gov (2020) </w:t>
      </w:r>
      <w:r>
        <w:rPr>
          <w:rFonts w:ascii="Arial" w:hAnsi="Arial" w:cs="Arial"/>
          <w:i/>
          <w:iCs/>
          <w:sz w:val="22"/>
          <w:szCs w:val="22"/>
        </w:rPr>
        <w:t>CMS Announces New Measures to Protect Nursing Home Residents from COVID-19 | CMS</w:t>
      </w:r>
      <w:r>
        <w:rPr>
          <w:rFonts w:ascii="Arial" w:hAnsi="Arial" w:cs="Arial"/>
          <w:sz w:val="22"/>
          <w:szCs w:val="22"/>
        </w:rPr>
        <w:t xml:space="preserve">, </w:t>
      </w:r>
      <w:r>
        <w:rPr>
          <w:rFonts w:ascii="Arial" w:hAnsi="Arial" w:cs="Arial"/>
          <w:i/>
          <w:iCs/>
          <w:sz w:val="22"/>
          <w:szCs w:val="22"/>
        </w:rPr>
        <w:t>www.cms.gov</w:t>
      </w:r>
      <w:r>
        <w:rPr>
          <w:rFonts w:ascii="Arial" w:hAnsi="Arial" w:cs="Arial"/>
          <w:sz w:val="22"/>
          <w:szCs w:val="22"/>
        </w:rPr>
        <w:t>. Available at: https://www.cms.gov/newsroom/press-releases/cms-announces-new-measures-protect-nursing-home-residents-covid-19 (Accessed: 24 March 2025).</w:t>
      </w:r>
    </w:p>
    <w:p w14:paraId="6D26C40E"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Comas-Herrera, A. and Knapp, M. (2016) </w:t>
      </w:r>
      <w:r>
        <w:rPr>
          <w:rFonts w:ascii="Arial" w:hAnsi="Arial" w:cs="Arial"/>
          <w:i/>
          <w:iCs/>
          <w:sz w:val="22"/>
          <w:szCs w:val="22"/>
        </w:rPr>
        <w:t>Cognitive Stimulation Therapy (CST): summary of evidence on cost-effectiveness</w:t>
      </w:r>
      <w:r>
        <w:rPr>
          <w:rFonts w:ascii="Arial" w:hAnsi="Arial" w:cs="Arial"/>
          <w:sz w:val="22"/>
          <w:szCs w:val="22"/>
        </w:rPr>
        <w:t>. Available at: https://www.england.nhs.uk/wp-content/uploads/2018/01/dg-cognitive-stimulation-therapy.pdf (Accessed: 21 July 2025).</w:t>
      </w:r>
    </w:p>
    <w:p w14:paraId="033C2C8C"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Corbett, A. </w:t>
      </w:r>
      <w:r>
        <w:rPr>
          <w:rFonts w:ascii="Arial" w:hAnsi="Arial" w:cs="Arial"/>
          <w:i/>
          <w:iCs/>
          <w:sz w:val="22"/>
          <w:szCs w:val="22"/>
        </w:rPr>
        <w:t>et al.</w:t>
      </w:r>
      <w:r>
        <w:rPr>
          <w:rFonts w:ascii="Arial" w:hAnsi="Arial" w:cs="Arial"/>
          <w:sz w:val="22"/>
          <w:szCs w:val="22"/>
        </w:rPr>
        <w:t xml:space="preserve"> (2023) ‘Cognitive decline in older adults in the UK during and after the COVID-19 pandemic: a longitudinal analysis of PROTECT study data’, </w:t>
      </w:r>
      <w:r>
        <w:rPr>
          <w:rFonts w:ascii="Arial" w:hAnsi="Arial" w:cs="Arial"/>
          <w:i/>
          <w:iCs/>
          <w:sz w:val="22"/>
          <w:szCs w:val="22"/>
        </w:rPr>
        <w:t>The Lancet Healthy Longevity</w:t>
      </w:r>
      <w:r>
        <w:rPr>
          <w:rFonts w:ascii="Arial" w:hAnsi="Arial" w:cs="Arial"/>
          <w:sz w:val="22"/>
          <w:szCs w:val="22"/>
        </w:rPr>
        <w:t>, 4(11), pp. e591–e599. Available at: https://doi.org/10.1016/S2666-7568(23)00187-3.</w:t>
      </w:r>
    </w:p>
    <w:p w14:paraId="3685BA39" w14:textId="50B0850B"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i/>
          <w:iCs/>
          <w:sz w:val="22"/>
          <w:szCs w:val="22"/>
        </w:rPr>
        <w:t>Coronavirus Act 2020, c. 7</w:t>
      </w:r>
      <w:r>
        <w:rPr>
          <w:rFonts w:ascii="Arial" w:hAnsi="Arial" w:cs="Arial"/>
          <w:sz w:val="22"/>
          <w:szCs w:val="22"/>
        </w:rPr>
        <w:t>. Available at: https://www.legislation.gov.uk/ukpga/2020/7 (Accessed: 15 March 2025).</w:t>
      </w:r>
    </w:p>
    <w:p w14:paraId="4345DB80"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CQC (2019) </w:t>
      </w:r>
      <w:r>
        <w:rPr>
          <w:rFonts w:ascii="Arial" w:hAnsi="Arial" w:cs="Arial"/>
          <w:i/>
          <w:iCs/>
          <w:sz w:val="22"/>
          <w:szCs w:val="22"/>
        </w:rPr>
        <w:t>State of Care</w:t>
      </w:r>
      <w:r>
        <w:rPr>
          <w:rFonts w:ascii="Arial" w:hAnsi="Arial" w:cs="Arial"/>
          <w:sz w:val="22"/>
          <w:szCs w:val="22"/>
        </w:rPr>
        <w:t>. Available at: https://www.cqc.org.uk/sites/default/files/20191015b_stateofcare1819_fullreport.pdf (Accessed: 18 July 2025).</w:t>
      </w:r>
    </w:p>
    <w:p w14:paraId="6A029038"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CQC (2020a) </w:t>
      </w:r>
      <w:r>
        <w:rPr>
          <w:rFonts w:ascii="Arial" w:hAnsi="Arial" w:cs="Arial"/>
          <w:i/>
          <w:iCs/>
          <w:sz w:val="22"/>
          <w:szCs w:val="22"/>
        </w:rPr>
        <w:t>How care homes managed infection prevention and control during the coronavirus pandemic 2020</w:t>
      </w:r>
      <w:r>
        <w:rPr>
          <w:rFonts w:ascii="Arial" w:hAnsi="Arial" w:cs="Arial"/>
          <w:sz w:val="22"/>
          <w:szCs w:val="22"/>
        </w:rPr>
        <w:t>. Available at: https://www.cqc.org.uk/publications/themed-work/how-care-homes-managed-infection-prevention-control-during-coronavirus (Accessed: 4 March 2025).</w:t>
      </w:r>
    </w:p>
    <w:p w14:paraId="7F63A28F"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CQC (2020b) </w:t>
      </w:r>
      <w:r>
        <w:rPr>
          <w:rFonts w:ascii="Arial" w:hAnsi="Arial" w:cs="Arial"/>
          <w:i/>
          <w:iCs/>
          <w:sz w:val="22"/>
          <w:szCs w:val="22"/>
        </w:rPr>
        <w:t>The state of health care and adult social care in England 2019/20</w:t>
      </w:r>
      <w:r>
        <w:rPr>
          <w:rFonts w:ascii="Arial" w:hAnsi="Arial" w:cs="Arial"/>
          <w:sz w:val="22"/>
          <w:szCs w:val="22"/>
        </w:rPr>
        <w:t>. Available at: https://www.cqc.org.uk/sites/default/files/20201016_stateofcare1920_fullreport.pdf (Accessed: 12 March 2025).</w:t>
      </w:r>
    </w:p>
    <w:p w14:paraId="2C604F92"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CQC (2021) </w:t>
      </w:r>
      <w:r>
        <w:rPr>
          <w:rFonts w:ascii="Arial" w:hAnsi="Arial" w:cs="Arial"/>
          <w:i/>
          <w:iCs/>
          <w:sz w:val="22"/>
          <w:szCs w:val="22"/>
        </w:rPr>
        <w:t>The state of health care and adult social care in England 2021/22</w:t>
      </w:r>
      <w:r>
        <w:rPr>
          <w:rFonts w:ascii="Arial" w:hAnsi="Arial" w:cs="Arial"/>
          <w:sz w:val="22"/>
          <w:szCs w:val="22"/>
        </w:rPr>
        <w:t>. Available at: https://www.cqc.org.uk/sites/default/files/2022-10/20221024_stateofcare2122_print.pdf (Accessed: 21 July 2025).</w:t>
      </w:r>
    </w:p>
    <w:p w14:paraId="05D96531"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CQC (2022a) </w:t>
      </w:r>
      <w:r>
        <w:rPr>
          <w:rFonts w:ascii="Arial" w:hAnsi="Arial" w:cs="Arial"/>
          <w:i/>
          <w:iCs/>
          <w:sz w:val="22"/>
          <w:szCs w:val="22"/>
        </w:rPr>
        <w:t>COVID-19 Insight 5: Infection prevention and control in care homes - Care Quality Commission</w:t>
      </w:r>
      <w:r>
        <w:rPr>
          <w:rFonts w:ascii="Arial" w:hAnsi="Arial" w:cs="Arial"/>
          <w:sz w:val="22"/>
          <w:szCs w:val="22"/>
        </w:rPr>
        <w:t xml:space="preserve">, </w:t>
      </w:r>
      <w:r>
        <w:rPr>
          <w:rFonts w:ascii="Arial" w:hAnsi="Arial" w:cs="Arial"/>
          <w:i/>
          <w:iCs/>
          <w:sz w:val="22"/>
          <w:szCs w:val="22"/>
        </w:rPr>
        <w:t>www.cqc.org.uk</w:t>
      </w:r>
      <w:r>
        <w:rPr>
          <w:rFonts w:ascii="Arial" w:hAnsi="Arial" w:cs="Arial"/>
          <w:sz w:val="22"/>
          <w:szCs w:val="22"/>
        </w:rPr>
        <w:t>. Available at: https://www.cqc.org.uk/publications/major-reports/covid-19-insight-5-infection-prevention-control-care-homes (Accessed: 12 March 2025).</w:t>
      </w:r>
    </w:p>
    <w:p w14:paraId="000BB16B"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CQC (2022b) </w:t>
      </w:r>
      <w:r>
        <w:rPr>
          <w:rFonts w:ascii="Arial" w:hAnsi="Arial" w:cs="Arial"/>
          <w:i/>
          <w:iCs/>
          <w:sz w:val="22"/>
          <w:szCs w:val="22"/>
        </w:rPr>
        <w:t>Innovation and the speed of change - Care Quality Commission</w:t>
      </w:r>
      <w:r>
        <w:rPr>
          <w:rFonts w:ascii="Arial" w:hAnsi="Arial" w:cs="Arial"/>
          <w:sz w:val="22"/>
          <w:szCs w:val="22"/>
        </w:rPr>
        <w:t>. Available at: https://www.cqc.org.uk/publications/major-report/soc201920_2f_innovation (Accessed: 14 July 2025).</w:t>
      </w:r>
    </w:p>
    <w:p w14:paraId="5BA1F437"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CQC (2022c) </w:t>
      </w:r>
      <w:r>
        <w:rPr>
          <w:rFonts w:ascii="Arial" w:hAnsi="Arial" w:cs="Arial"/>
          <w:i/>
          <w:iCs/>
          <w:sz w:val="22"/>
          <w:szCs w:val="22"/>
        </w:rPr>
        <w:t>Staff Shortages and the Impact on Patients - Care Quality Commission</w:t>
      </w:r>
      <w:r>
        <w:rPr>
          <w:rFonts w:ascii="Arial" w:hAnsi="Arial" w:cs="Arial"/>
          <w:sz w:val="22"/>
          <w:szCs w:val="22"/>
        </w:rPr>
        <w:t>. Available at: https://www.cqc.org.uk/publications/monitoring-mental-health-act/2021-2022/staff-shortages (Accessed: 30 June 2025).</w:t>
      </w:r>
    </w:p>
    <w:p w14:paraId="53EE7168" w14:textId="77777777" w:rsidR="008E528A" w:rsidRDefault="008E528A" w:rsidP="008E528A">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CQC (2022d) </w:t>
      </w:r>
      <w:r>
        <w:rPr>
          <w:rFonts w:ascii="Arial" w:hAnsi="Arial" w:cs="Arial"/>
          <w:i/>
          <w:iCs/>
          <w:sz w:val="22"/>
          <w:szCs w:val="22"/>
        </w:rPr>
        <w:t>The Care Act and the ‘easements’ to it</w:t>
      </w:r>
      <w:r>
        <w:rPr>
          <w:rFonts w:ascii="Arial" w:hAnsi="Arial" w:cs="Arial"/>
          <w:sz w:val="22"/>
          <w:szCs w:val="22"/>
        </w:rPr>
        <w:t>. Available at: https://www.cqc.org.uk/guidance-providers/adult-social-care/care-act-easements-it (Accessed: 20 July 2025).</w:t>
      </w:r>
    </w:p>
    <w:p w14:paraId="6F22D179"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Crivelli, L. </w:t>
      </w:r>
      <w:r>
        <w:rPr>
          <w:rFonts w:ascii="Arial" w:hAnsi="Arial" w:cs="Arial"/>
          <w:i/>
          <w:iCs/>
          <w:sz w:val="22"/>
          <w:szCs w:val="22"/>
        </w:rPr>
        <w:t>et al.</w:t>
      </w:r>
      <w:r>
        <w:rPr>
          <w:rFonts w:ascii="Arial" w:hAnsi="Arial" w:cs="Arial"/>
          <w:sz w:val="22"/>
          <w:szCs w:val="22"/>
        </w:rPr>
        <w:t xml:space="preserve"> (2024) ‘Impact of COVID-19 on functional, cognitive, neuropsychiatric, and </w:t>
      </w:r>
      <w:proofErr w:type="spellStart"/>
      <w:r>
        <w:rPr>
          <w:rFonts w:ascii="Arial" w:hAnsi="Arial" w:cs="Arial"/>
          <w:sz w:val="22"/>
          <w:szCs w:val="22"/>
        </w:rPr>
        <w:t>health-related</w:t>
      </w:r>
      <w:proofErr w:type="spellEnd"/>
      <w:r>
        <w:rPr>
          <w:rFonts w:ascii="Arial" w:hAnsi="Arial" w:cs="Arial"/>
          <w:sz w:val="22"/>
          <w:szCs w:val="22"/>
        </w:rPr>
        <w:t xml:space="preserve"> outcomes in patients with dementia: A systematic review’, </w:t>
      </w:r>
      <w:proofErr w:type="spellStart"/>
      <w:r>
        <w:rPr>
          <w:rFonts w:ascii="Arial" w:hAnsi="Arial" w:cs="Arial"/>
          <w:i/>
          <w:iCs/>
          <w:sz w:val="22"/>
          <w:szCs w:val="22"/>
        </w:rPr>
        <w:t>eNeurologicalSci</w:t>
      </w:r>
      <w:proofErr w:type="spellEnd"/>
      <w:r>
        <w:rPr>
          <w:rFonts w:ascii="Arial" w:hAnsi="Arial" w:cs="Arial"/>
          <w:sz w:val="22"/>
          <w:szCs w:val="22"/>
        </w:rPr>
        <w:t>, 38, p. 100539. Available at: https://doi.org/10.1016/j.ensci.2024.100539.</w:t>
      </w:r>
    </w:p>
    <w:p w14:paraId="25CB0139"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Department of Health and Social Care (2021) </w:t>
      </w:r>
      <w:r>
        <w:rPr>
          <w:rFonts w:ascii="Arial" w:hAnsi="Arial" w:cs="Arial"/>
          <w:i/>
          <w:iCs/>
          <w:sz w:val="22"/>
          <w:szCs w:val="22"/>
        </w:rPr>
        <w:t>Care Act easements: guidance for local authorities</w:t>
      </w:r>
      <w:r>
        <w:rPr>
          <w:rFonts w:ascii="Arial" w:hAnsi="Arial" w:cs="Arial"/>
          <w:sz w:val="22"/>
          <w:szCs w:val="22"/>
        </w:rPr>
        <w:t>. Available at: https://www.gov.uk/government/publications/coronavirus-covid-19-changes-to-the-care-act-2014/care-act-easements-guidance-for-local-authorities (Accessed: 19 July 2025).</w:t>
      </w:r>
    </w:p>
    <w:p w14:paraId="77FAC1B1" w14:textId="77777777" w:rsidR="002C2D5C" w:rsidRDefault="002C2D5C" w:rsidP="002C2D5C">
      <w:pPr>
        <w:pStyle w:val="NormalWeb"/>
        <w:spacing w:before="0" w:beforeAutospacing="0" w:after="240" w:afterAutospacing="0" w:line="360" w:lineRule="auto"/>
        <w:rPr>
          <w:rFonts w:ascii="Arial" w:hAnsi="Arial" w:cs="Arial"/>
          <w:sz w:val="22"/>
          <w:szCs w:val="22"/>
        </w:rPr>
      </w:pPr>
      <w:r w:rsidRPr="009530D9">
        <w:rPr>
          <w:rFonts w:ascii="Arial" w:hAnsi="Arial" w:cs="Arial"/>
          <w:sz w:val="22"/>
          <w:szCs w:val="22"/>
          <w:lang w:val="nl-NL"/>
        </w:rPr>
        <w:lastRenderedPageBreak/>
        <w:t xml:space="preserve">Derrer-Merk, E. </w:t>
      </w:r>
      <w:r w:rsidRPr="009530D9">
        <w:rPr>
          <w:rFonts w:ascii="Arial" w:hAnsi="Arial" w:cs="Arial"/>
          <w:i/>
          <w:iCs/>
          <w:sz w:val="22"/>
          <w:szCs w:val="22"/>
          <w:lang w:val="nl-NL"/>
        </w:rPr>
        <w:t>et al.</w:t>
      </w:r>
      <w:r w:rsidRPr="009530D9">
        <w:rPr>
          <w:rFonts w:ascii="Arial" w:hAnsi="Arial" w:cs="Arial"/>
          <w:sz w:val="22"/>
          <w:szCs w:val="22"/>
          <w:lang w:val="nl-NL"/>
        </w:rPr>
        <w:t xml:space="preserve"> </w:t>
      </w:r>
      <w:r>
        <w:rPr>
          <w:rFonts w:ascii="Arial" w:hAnsi="Arial" w:cs="Arial"/>
          <w:sz w:val="22"/>
          <w:szCs w:val="22"/>
        </w:rPr>
        <w:t>(2024) ‘Older people’s family relationships in disequilibrium during the COVID-19 pandemic. What really matters? ’, 44(3). Available at: https://eprints.whiterose.ac.uk/190516/1/older-peoples-family-relationships-in-disequilibrium-during-the-covid-19-pandemic-what-really-matters.pdf.</w:t>
      </w:r>
    </w:p>
    <w:p w14:paraId="69E5A945" w14:textId="77777777" w:rsidR="002C2D5C" w:rsidRDefault="002C2D5C" w:rsidP="002C2D5C">
      <w:pPr>
        <w:pStyle w:val="NormalWeb"/>
        <w:spacing w:before="0" w:beforeAutospacing="0" w:after="240" w:afterAutospacing="0" w:line="360" w:lineRule="auto"/>
        <w:rPr>
          <w:rFonts w:ascii="Arial" w:hAnsi="Arial" w:cs="Arial"/>
          <w:sz w:val="22"/>
          <w:szCs w:val="22"/>
        </w:rPr>
      </w:pPr>
      <w:r w:rsidRPr="009530D9">
        <w:rPr>
          <w:rFonts w:ascii="Arial" w:hAnsi="Arial" w:cs="Arial"/>
          <w:sz w:val="22"/>
          <w:szCs w:val="22"/>
          <w:lang w:val="nl-NL"/>
        </w:rPr>
        <w:t xml:space="preserve">Dichter, M.N. </w:t>
      </w:r>
      <w:r w:rsidRPr="009530D9">
        <w:rPr>
          <w:rFonts w:ascii="Arial" w:hAnsi="Arial" w:cs="Arial"/>
          <w:i/>
          <w:iCs/>
          <w:sz w:val="22"/>
          <w:szCs w:val="22"/>
          <w:lang w:val="nl-NL"/>
        </w:rPr>
        <w:t>et al.</w:t>
      </w:r>
      <w:r w:rsidRPr="009530D9">
        <w:rPr>
          <w:rFonts w:ascii="Arial" w:hAnsi="Arial" w:cs="Arial"/>
          <w:sz w:val="22"/>
          <w:szCs w:val="22"/>
          <w:lang w:val="nl-NL"/>
        </w:rPr>
        <w:t xml:space="preserve"> </w:t>
      </w:r>
      <w:r>
        <w:rPr>
          <w:rFonts w:ascii="Arial" w:hAnsi="Arial" w:cs="Arial"/>
          <w:sz w:val="22"/>
          <w:szCs w:val="22"/>
        </w:rPr>
        <w:t xml:space="preserve">(2020) ‘COVID-19: it is time to balance infection management and person-centered care to maintain mental health of people living in German nursing homes’, </w:t>
      </w:r>
      <w:r>
        <w:rPr>
          <w:rFonts w:ascii="Arial" w:hAnsi="Arial" w:cs="Arial"/>
          <w:i/>
          <w:iCs/>
          <w:sz w:val="22"/>
          <w:szCs w:val="22"/>
        </w:rPr>
        <w:t>International Psychogeriatrics</w:t>
      </w:r>
      <w:r>
        <w:rPr>
          <w:rFonts w:ascii="Arial" w:hAnsi="Arial" w:cs="Arial"/>
          <w:sz w:val="22"/>
          <w:szCs w:val="22"/>
        </w:rPr>
        <w:t>, 32(10), pp. 1157–1160. Available at: https://doi.org/10.1017/s1041610220000897.</w:t>
      </w:r>
    </w:p>
    <w:p w14:paraId="2A9BB394"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Donabedian, A. (2005) ‘Evaluating the Quality of Medical Care’, </w:t>
      </w:r>
      <w:r>
        <w:rPr>
          <w:rFonts w:ascii="Arial" w:hAnsi="Arial" w:cs="Arial"/>
          <w:i/>
          <w:iCs/>
          <w:sz w:val="22"/>
          <w:szCs w:val="22"/>
        </w:rPr>
        <w:t>Milbank Quarterly</w:t>
      </w:r>
      <w:r>
        <w:rPr>
          <w:rFonts w:ascii="Arial" w:hAnsi="Arial" w:cs="Arial"/>
          <w:sz w:val="22"/>
          <w:szCs w:val="22"/>
        </w:rPr>
        <w:t>, 83(4), pp. 691–729. Available at: https://doi.org/10.1111/j.1468-0009.2005.00397.x.</w:t>
      </w:r>
    </w:p>
    <w:p w14:paraId="324503BE"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Duchene, S. </w:t>
      </w:r>
      <w:r>
        <w:rPr>
          <w:rFonts w:ascii="Arial" w:hAnsi="Arial" w:cs="Arial"/>
          <w:i/>
          <w:iCs/>
          <w:sz w:val="22"/>
          <w:szCs w:val="22"/>
        </w:rPr>
        <w:t>et al.</w:t>
      </w:r>
      <w:r>
        <w:rPr>
          <w:rFonts w:ascii="Arial" w:hAnsi="Arial" w:cs="Arial"/>
          <w:sz w:val="22"/>
          <w:szCs w:val="22"/>
        </w:rPr>
        <w:t xml:space="preserve"> (2021) ‘The impact of public health interventions in the Nordic countries during the first year of SARS-CoV-2 transmission and evolution’, </w:t>
      </w:r>
      <w:r>
        <w:rPr>
          <w:rFonts w:ascii="Arial" w:hAnsi="Arial" w:cs="Arial"/>
          <w:i/>
          <w:iCs/>
          <w:sz w:val="22"/>
          <w:szCs w:val="22"/>
        </w:rPr>
        <w:t>Eurosurveillance</w:t>
      </w:r>
      <w:r>
        <w:rPr>
          <w:rFonts w:ascii="Arial" w:hAnsi="Arial" w:cs="Arial"/>
          <w:sz w:val="22"/>
          <w:szCs w:val="22"/>
        </w:rPr>
        <w:t>, 26(44). Available at: https://doi.org/10.2807/1560-7917.es.2021.26.44.2001996.</w:t>
      </w:r>
    </w:p>
    <w:p w14:paraId="1CAD54BC"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Dudman, J. </w:t>
      </w:r>
      <w:r>
        <w:rPr>
          <w:rFonts w:ascii="Arial" w:hAnsi="Arial" w:cs="Arial"/>
          <w:i/>
          <w:iCs/>
          <w:sz w:val="22"/>
          <w:szCs w:val="22"/>
        </w:rPr>
        <w:t>et al.</w:t>
      </w:r>
      <w:r>
        <w:rPr>
          <w:rFonts w:ascii="Arial" w:hAnsi="Arial" w:cs="Arial"/>
          <w:sz w:val="22"/>
          <w:szCs w:val="22"/>
        </w:rPr>
        <w:t xml:space="preserve"> (2018) ‘Recognition of the complexity facing residential care homes: a practitioner inquiry’, </w:t>
      </w:r>
      <w:r>
        <w:rPr>
          <w:rFonts w:ascii="Arial" w:hAnsi="Arial" w:cs="Arial"/>
          <w:i/>
          <w:iCs/>
          <w:sz w:val="22"/>
          <w:szCs w:val="22"/>
        </w:rPr>
        <w:t>Primary Health Care Research &amp; Development</w:t>
      </w:r>
      <w:r>
        <w:rPr>
          <w:rFonts w:ascii="Arial" w:hAnsi="Arial" w:cs="Arial"/>
          <w:sz w:val="22"/>
          <w:szCs w:val="22"/>
        </w:rPr>
        <w:t>, 19(6), pp. 584–590. Available at: https://doi.org/10.1017/s1463423618000105.</w:t>
      </w:r>
    </w:p>
    <w:p w14:paraId="4098796D"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Dunn, P., Ewbank, L. and </w:t>
      </w:r>
      <w:proofErr w:type="spellStart"/>
      <w:r>
        <w:rPr>
          <w:rFonts w:ascii="Arial" w:hAnsi="Arial" w:cs="Arial"/>
          <w:sz w:val="22"/>
          <w:szCs w:val="22"/>
        </w:rPr>
        <w:t>Alderwick</w:t>
      </w:r>
      <w:proofErr w:type="spellEnd"/>
      <w:r>
        <w:rPr>
          <w:rFonts w:ascii="Arial" w:hAnsi="Arial" w:cs="Arial"/>
          <w:sz w:val="22"/>
          <w:szCs w:val="22"/>
        </w:rPr>
        <w:t xml:space="preserve">, H. (2023) </w:t>
      </w:r>
      <w:r>
        <w:rPr>
          <w:rFonts w:ascii="Arial" w:hAnsi="Arial" w:cs="Arial"/>
          <w:i/>
          <w:iCs/>
          <w:sz w:val="22"/>
          <w:szCs w:val="22"/>
        </w:rPr>
        <w:t>Nine major challenges facing health and care in England</w:t>
      </w:r>
      <w:r>
        <w:rPr>
          <w:rFonts w:ascii="Arial" w:hAnsi="Arial" w:cs="Arial"/>
          <w:sz w:val="22"/>
          <w:szCs w:val="22"/>
        </w:rPr>
        <w:t>. Available at: https://www.health.org.uk/reports-and-analysis/briefings/nine-major-challenges-facing-health-and-care-in-england (Accessed: 14 March 2025).</w:t>
      </w:r>
    </w:p>
    <w:p w14:paraId="34772F3A"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Fisher, E. </w:t>
      </w:r>
      <w:r>
        <w:rPr>
          <w:rFonts w:ascii="Arial" w:hAnsi="Arial" w:cs="Arial"/>
          <w:i/>
          <w:iCs/>
          <w:sz w:val="22"/>
          <w:szCs w:val="22"/>
        </w:rPr>
        <w:t>et al.</w:t>
      </w:r>
      <w:r>
        <w:rPr>
          <w:rFonts w:ascii="Arial" w:hAnsi="Arial" w:cs="Arial"/>
          <w:sz w:val="22"/>
          <w:szCs w:val="22"/>
        </w:rPr>
        <w:t xml:space="preserve"> (2025) ‘Barriers and Facilitators to Implementing Cognitive Stimulation and Reminiscence Therapy for Dementia in Care Homes: Systematic Review’, </w:t>
      </w:r>
      <w:r>
        <w:rPr>
          <w:rFonts w:ascii="Arial" w:hAnsi="Arial" w:cs="Arial"/>
          <w:i/>
          <w:iCs/>
          <w:sz w:val="22"/>
          <w:szCs w:val="22"/>
        </w:rPr>
        <w:t>International Journal of Geriatric Psychiatry</w:t>
      </w:r>
      <w:r>
        <w:rPr>
          <w:rFonts w:ascii="Arial" w:hAnsi="Arial" w:cs="Arial"/>
          <w:sz w:val="22"/>
          <w:szCs w:val="22"/>
        </w:rPr>
        <w:t>, 40(7). Available at: https://doi.org/10.1002/gps.70124.</w:t>
      </w:r>
    </w:p>
    <w:p w14:paraId="5B5B9BBC"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Fitzpatrick, J.M. </w:t>
      </w:r>
      <w:r>
        <w:rPr>
          <w:rFonts w:ascii="Arial" w:hAnsi="Arial" w:cs="Arial"/>
          <w:i/>
          <w:iCs/>
          <w:sz w:val="22"/>
          <w:szCs w:val="22"/>
        </w:rPr>
        <w:t>et al.</w:t>
      </w:r>
      <w:r>
        <w:rPr>
          <w:rFonts w:ascii="Arial" w:hAnsi="Arial" w:cs="Arial"/>
          <w:sz w:val="22"/>
          <w:szCs w:val="22"/>
        </w:rPr>
        <w:t xml:space="preserve"> (2021) ‘Protecting older people living in care homes from COVID-19: a protocol for a mixed-methods study to understand the challenges and solutions to implementing social distancing and isolation’, </w:t>
      </w:r>
      <w:r>
        <w:rPr>
          <w:rFonts w:ascii="Arial" w:hAnsi="Arial" w:cs="Arial"/>
          <w:i/>
          <w:iCs/>
          <w:sz w:val="22"/>
          <w:szCs w:val="22"/>
        </w:rPr>
        <w:t>BMJ Open</w:t>
      </w:r>
      <w:r>
        <w:rPr>
          <w:rFonts w:ascii="Arial" w:hAnsi="Arial" w:cs="Arial"/>
          <w:sz w:val="22"/>
          <w:szCs w:val="22"/>
        </w:rPr>
        <w:t>, 11(8), p. e050706. Available at: https://doi.org/10.1136/bmjopen-2021-050706.</w:t>
      </w:r>
    </w:p>
    <w:p w14:paraId="64726911"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Fitzpatrick, J.M. </w:t>
      </w:r>
      <w:r>
        <w:rPr>
          <w:rFonts w:ascii="Arial" w:hAnsi="Arial" w:cs="Arial"/>
          <w:i/>
          <w:iCs/>
          <w:sz w:val="22"/>
          <w:szCs w:val="22"/>
        </w:rPr>
        <w:t>et al.</w:t>
      </w:r>
      <w:r>
        <w:rPr>
          <w:rFonts w:ascii="Arial" w:hAnsi="Arial" w:cs="Arial"/>
          <w:sz w:val="22"/>
          <w:szCs w:val="22"/>
        </w:rPr>
        <w:t xml:space="preserve"> (2024) ‘Challenges and guidance for implementing social distancing for COVID-19 in care homes: a mixed methods rapid review’, </w:t>
      </w:r>
      <w:r>
        <w:rPr>
          <w:rFonts w:ascii="Arial" w:hAnsi="Arial" w:cs="Arial"/>
          <w:i/>
          <w:iCs/>
          <w:sz w:val="22"/>
          <w:szCs w:val="22"/>
        </w:rPr>
        <w:t>Health and Social Care Delivery Research</w:t>
      </w:r>
      <w:r>
        <w:rPr>
          <w:rFonts w:ascii="Arial" w:hAnsi="Arial" w:cs="Arial"/>
          <w:sz w:val="22"/>
          <w:szCs w:val="22"/>
        </w:rPr>
        <w:t>, 12(45), pp. 1–164. Available at: https://doi.org/10.3310/yntw4569.</w:t>
      </w:r>
    </w:p>
    <w:p w14:paraId="14358EFD"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Frans, E. (2022) </w:t>
      </w:r>
      <w:r>
        <w:rPr>
          <w:rFonts w:ascii="Arial" w:hAnsi="Arial" w:cs="Arial"/>
          <w:i/>
          <w:iCs/>
          <w:sz w:val="22"/>
          <w:szCs w:val="22"/>
        </w:rPr>
        <w:t>Did Sweden’s controversial COVID strategy pay off? In many ways it did – but it let the elderly down</w:t>
      </w:r>
      <w:r>
        <w:rPr>
          <w:rFonts w:ascii="Arial" w:hAnsi="Arial" w:cs="Arial"/>
          <w:sz w:val="22"/>
          <w:szCs w:val="22"/>
        </w:rPr>
        <w:t>. Available at: https://www.preventionweb.net/news/did-swedens-</w:t>
      </w:r>
      <w:r>
        <w:rPr>
          <w:rFonts w:ascii="Arial" w:hAnsi="Arial" w:cs="Arial"/>
          <w:sz w:val="22"/>
          <w:szCs w:val="22"/>
        </w:rPr>
        <w:lastRenderedPageBreak/>
        <w:t>controversial-covid-strategy-pay-many-ways-it-did-it-let-elderly-down (Accessed: 24 March 2025).</w:t>
      </w:r>
    </w:p>
    <w:p w14:paraId="65BB4345" w14:textId="77777777" w:rsidR="002C2D5C" w:rsidRDefault="002C2D5C" w:rsidP="002C2D5C">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Fremantletrust</w:t>
      </w:r>
      <w:proofErr w:type="spellEnd"/>
      <w:r>
        <w:rPr>
          <w:rFonts w:ascii="Arial" w:hAnsi="Arial" w:cs="Arial"/>
          <w:sz w:val="22"/>
          <w:szCs w:val="22"/>
        </w:rPr>
        <w:t xml:space="preserve"> (2024) </w:t>
      </w:r>
      <w:r>
        <w:rPr>
          <w:rFonts w:ascii="Arial" w:hAnsi="Arial" w:cs="Arial"/>
          <w:i/>
          <w:iCs/>
          <w:sz w:val="22"/>
          <w:szCs w:val="22"/>
        </w:rPr>
        <w:t>The importance of social activities in care homes</w:t>
      </w:r>
      <w:r>
        <w:rPr>
          <w:rFonts w:ascii="Arial" w:hAnsi="Arial" w:cs="Arial"/>
          <w:sz w:val="22"/>
          <w:szCs w:val="22"/>
        </w:rPr>
        <w:t>. Available at: https://www.fremantletrust.org/help-and-advice/the-importance-of-social-activities-in-care-homes (Accessed: 21 March 2025).</w:t>
      </w:r>
    </w:p>
    <w:p w14:paraId="5C109338"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Froggatt, K. </w:t>
      </w:r>
      <w:r>
        <w:rPr>
          <w:rFonts w:ascii="Arial" w:hAnsi="Arial" w:cs="Arial"/>
          <w:i/>
          <w:iCs/>
          <w:sz w:val="22"/>
          <w:szCs w:val="22"/>
        </w:rPr>
        <w:t>et al.</w:t>
      </w:r>
      <w:r>
        <w:rPr>
          <w:rFonts w:ascii="Arial" w:hAnsi="Arial" w:cs="Arial"/>
          <w:sz w:val="22"/>
          <w:szCs w:val="22"/>
        </w:rPr>
        <w:t xml:space="preserve"> (2018) ‘Namaste Care in nursing care homes for people with advanced dementia: protocol for a feasibility randomised controlled trial’, </w:t>
      </w:r>
      <w:r>
        <w:rPr>
          <w:rFonts w:ascii="Arial" w:hAnsi="Arial" w:cs="Arial"/>
          <w:i/>
          <w:iCs/>
          <w:sz w:val="22"/>
          <w:szCs w:val="22"/>
        </w:rPr>
        <w:t>BMJ Open</w:t>
      </w:r>
      <w:r>
        <w:rPr>
          <w:rFonts w:ascii="Arial" w:hAnsi="Arial" w:cs="Arial"/>
          <w:sz w:val="22"/>
          <w:szCs w:val="22"/>
        </w:rPr>
        <w:t>, 8(11), p. e026531. Available at: https://doi.org/10.1136/bmjopen-2018-026531.</w:t>
      </w:r>
    </w:p>
    <w:p w14:paraId="02ECAD6E"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Gaskin, C. and Gavin, D. (2018) </w:t>
      </w:r>
      <w:r>
        <w:rPr>
          <w:rFonts w:ascii="Arial" w:hAnsi="Arial" w:cs="Arial"/>
          <w:i/>
          <w:iCs/>
          <w:sz w:val="22"/>
          <w:szCs w:val="22"/>
        </w:rPr>
        <w:t>Recognising signs of deterioration in a person’s mental state</w:t>
      </w:r>
      <w:r>
        <w:rPr>
          <w:rFonts w:ascii="Arial" w:hAnsi="Arial" w:cs="Arial"/>
          <w:sz w:val="22"/>
          <w:szCs w:val="22"/>
        </w:rPr>
        <w:t>. Australian Commission on Safety and Quality in Health Care. Available at: https://www.safetyandquality.gov.au/sites/default/files/migrated/Recognising-Signs-of-Deterioration-in-a-Persons-Mental-State-Gaskin-Research-Final-Report.pdf (Accessed: 30 June 2025).</w:t>
      </w:r>
    </w:p>
    <w:p w14:paraId="4CC5FF85"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Giebel, C. </w:t>
      </w:r>
      <w:r>
        <w:rPr>
          <w:rFonts w:ascii="Arial" w:hAnsi="Arial" w:cs="Arial"/>
          <w:i/>
          <w:iCs/>
          <w:sz w:val="22"/>
          <w:szCs w:val="22"/>
        </w:rPr>
        <w:t>et al.</w:t>
      </w:r>
      <w:r>
        <w:rPr>
          <w:rFonts w:ascii="Arial" w:hAnsi="Arial" w:cs="Arial"/>
          <w:sz w:val="22"/>
          <w:szCs w:val="22"/>
        </w:rPr>
        <w:t xml:space="preserve"> (2023) ‘“Because if I don’t hold his hand then I might as well not be there”: Experiences of Dutch and UK care home visiting during the COVID-19 pandemic’, </w:t>
      </w:r>
      <w:r>
        <w:rPr>
          <w:rFonts w:ascii="Arial" w:hAnsi="Arial" w:cs="Arial"/>
          <w:i/>
          <w:iCs/>
          <w:sz w:val="22"/>
          <w:szCs w:val="22"/>
        </w:rPr>
        <w:t>International Psychogeriatrics</w:t>
      </w:r>
      <w:r>
        <w:rPr>
          <w:rFonts w:ascii="Arial" w:hAnsi="Arial" w:cs="Arial"/>
          <w:sz w:val="22"/>
          <w:szCs w:val="22"/>
        </w:rPr>
        <w:t>, 35(2), pp. 1–10. Available at: https://doi.org/10.1017/S1041610221002799.</w:t>
      </w:r>
    </w:p>
    <w:p w14:paraId="62E871C0" w14:textId="39A94656"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Gilbert, P.K. (2012) </w:t>
      </w:r>
      <w:r>
        <w:rPr>
          <w:rFonts w:ascii="Arial" w:hAnsi="Arial" w:cs="Arial"/>
          <w:i/>
          <w:iCs/>
          <w:sz w:val="22"/>
          <w:szCs w:val="22"/>
        </w:rPr>
        <w:t>On Cholera in Nineteenth-Century England</w:t>
      </w:r>
      <w:r>
        <w:rPr>
          <w:rFonts w:ascii="Arial" w:hAnsi="Arial" w:cs="Arial"/>
          <w:sz w:val="22"/>
          <w:szCs w:val="22"/>
        </w:rPr>
        <w:t>. Available at: https://branchcollective.org/?ps_articles=pamela-k-gilbert-on-cholera-in-nineteenth-century-england (Accessed: 12 March 2025).</w:t>
      </w:r>
    </w:p>
    <w:p w14:paraId="0A60BAD4" w14:textId="77777777" w:rsidR="002C2D5C" w:rsidRDefault="002C2D5C" w:rsidP="002C2D5C">
      <w:pPr>
        <w:pStyle w:val="NormalWeb"/>
        <w:spacing w:before="0" w:beforeAutospacing="0" w:after="240" w:afterAutospacing="0" w:line="360" w:lineRule="auto"/>
        <w:rPr>
          <w:rFonts w:ascii="Arial" w:hAnsi="Arial" w:cs="Arial"/>
          <w:sz w:val="22"/>
          <w:szCs w:val="22"/>
        </w:rPr>
      </w:pPr>
      <w:r w:rsidRPr="009530D9">
        <w:rPr>
          <w:rFonts w:ascii="Arial" w:hAnsi="Arial" w:cs="Arial"/>
          <w:sz w:val="22"/>
          <w:szCs w:val="22"/>
          <w:lang w:val="nl-NL"/>
        </w:rPr>
        <w:t xml:space="preserve">Gobburi, R.K. </w:t>
      </w:r>
      <w:r w:rsidRPr="009530D9">
        <w:rPr>
          <w:rFonts w:ascii="Arial" w:hAnsi="Arial" w:cs="Arial"/>
          <w:i/>
          <w:iCs/>
          <w:sz w:val="22"/>
          <w:szCs w:val="22"/>
          <w:lang w:val="nl-NL"/>
        </w:rPr>
        <w:t>et al.</w:t>
      </w:r>
      <w:r w:rsidRPr="009530D9">
        <w:rPr>
          <w:rFonts w:ascii="Arial" w:hAnsi="Arial" w:cs="Arial"/>
          <w:sz w:val="22"/>
          <w:szCs w:val="22"/>
          <w:lang w:val="nl-NL"/>
        </w:rPr>
        <w:t xml:space="preserve"> </w:t>
      </w:r>
      <w:r>
        <w:rPr>
          <w:rFonts w:ascii="Arial" w:hAnsi="Arial" w:cs="Arial"/>
          <w:sz w:val="22"/>
          <w:szCs w:val="22"/>
        </w:rPr>
        <w:t xml:space="preserve">(2025) ‘Telemedicine use in rural areas of the United Kingdom to improve access to healthcare facilities: A review of current evidence’, </w:t>
      </w:r>
      <w:r>
        <w:rPr>
          <w:rFonts w:ascii="Arial" w:hAnsi="Arial" w:cs="Arial"/>
          <w:i/>
          <w:iCs/>
          <w:sz w:val="22"/>
          <w:szCs w:val="22"/>
        </w:rPr>
        <w:t>Informatics and Health</w:t>
      </w:r>
      <w:r>
        <w:rPr>
          <w:rFonts w:ascii="Arial" w:hAnsi="Arial" w:cs="Arial"/>
          <w:sz w:val="22"/>
          <w:szCs w:val="22"/>
        </w:rPr>
        <w:t>, 2(1), pp. 41–48. Available at: https://doi.org/10.1016/j.infoh.2025.01.003.</w:t>
      </w:r>
    </w:p>
    <w:p w14:paraId="3BEC15F5"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Good Things Foundation (2025) </w:t>
      </w:r>
      <w:r>
        <w:rPr>
          <w:rFonts w:ascii="Arial" w:hAnsi="Arial" w:cs="Arial"/>
          <w:i/>
          <w:iCs/>
          <w:sz w:val="22"/>
          <w:szCs w:val="22"/>
        </w:rPr>
        <w:t>Partnership working to promote digital inclusion for health: Approaches to addressing digital inclusion in your area</w:t>
      </w:r>
      <w:r>
        <w:rPr>
          <w:rFonts w:ascii="Arial" w:hAnsi="Arial" w:cs="Arial"/>
          <w:sz w:val="22"/>
          <w:szCs w:val="22"/>
        </w:rPr>
        <w:t>. Available at: https://www.goodthingsfoundation.org/policy-and-research/research-and-evidence/research-2024/partnership-working-to-promote-digital-inclusion-for-health#priorities (Accessed: 22 July 2025).</w:t>
      </w:r>
    </w:p>
    <w:p w14:paraId="6B1321A8" w14:textId="77777777" w:rsidR="002C2D5C" w:rsidRDefault="002C2D5C" w:rsidP="002C2D5C">
      <w:pPr>
        <w:pStyle w:val="NormalWeb"/>
        <w:spacing w:before="0" w:beforeAutospacing="0" w:after="240" w:afterAutospacing="0" w:line="360" w:lineRule="auto"/>
        <w:rPr>
          <w:rFonts w:ascii="Arial" w:hAnsi="Arial" w:cs="Arial"/>
          <w:sz w:val="22"/>
          <w:szCs w:val="22"/>
        </w:rPr>
      </w:pPr>
      <w:r w:rsidRPr="009530D9">
        <w:rPr>
          <w:rFonts w:ascii="Arial" w:hAnsi="Arial" w:cs="Arial"/>
          <w:sz w:val="22"/>
          <w:szCs w:val="22"/>
          <w:lang w:val="nl-NL"/>
        </w:rPr>
        <w:t xml:space="preserve">Gordon, A.L. </w:t>
      </w:r>
      <w:r w:rsidRPr="009530D9">
        <w:rPr>
          <w:rFonts w:ascii="Arial" w:hAnsi="Arial" w:cs="Arial"/>
          <w:i/>
          <w:iCs/>
          <w:sz w:val="22"/>
          <w:szCs w:val="22"/>
          <w:lang w:val="nl-NL"/>
        </w:rPr>
        <w:t>et al.</w:t>
      </w:r>
      <w:r w:rsidRPr="009530D9">
        <w:rPr>
          <w:rFonts w:ascii="Arial" w:hAnsi="Arial" w:cs="Arial"/>
          <w:sz w:val="22"/>
          <w:szCs w:val="22"/>
          <w:lang w:val="nl-NL"/>
        </w:rPr>
        <w:t xml:space="preserve"> </w:t>
      </w:r>
      <w:r>
        <w:rPr>
          <w:rFonts w:ascii="Arial" w:hAnsi="Arial" w:cs="Arial"/>
          <w:sz w:val="22"/>
          <w:szCs w:val="22"/>
        </w:rPr>
        <w:t xml:space="preserve">(2020) ‘Commentary: COVID in care homes—challenges and dilemmas in healthcare delivery’, </w:t>
      </w:r>
      <w:r>
        <w:rPr>
          <w:rFonts w:ascii="Arial" w:hAnsi="Arial" w:cs="Arial"/>
          <w:i/>
          <w:iCs/>
          <w:sz w:val="22"/>
          <w:szCs w:val="22"/>
        </w:rPr>
        <w:t>Age and Ageing</w:t>
      </w:r>
      <w:r>
        <w:rPr>
          <w:rFonts w:ascii="Arial" w:hAnsi="Arial" w:cs="Arial"/>
          <w:sz w:val="22"/>
          <w:szCs w:val="22"/>
        </w:rPr>
        <w:t>, 49(5), pp. 701–705. Available at: https://doi.org/10.1093/ageing/afaa113.</w:t>
      </w:r>
    </w:p>
    <w:p w14:paraId="57FF1913" w14:textId="6375B83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GOV.UK (2003) </w:t>
      </w:r>
      <w:r>
        <w:rPr>
          <w:rFonts w:ascii="Arial" w:hAnsi="Arial" w:cs="Arial"/>
          <w:i/>
          <w:iCs/>
          <w:sz w:val="22"/>
          <w:szCs w:val="22"/>
        </w:rPr>
        <w:t>National Care Standards Commission Account 2001-2002</w:t>
      </w:r>
      <w:r>
        <w:rPr>
          <w:rFonts w:ascii="Arial" w:hAnsi="Arial" w:cs="Arial"/>
          <w:sz w:val="22"/>
          <w:szCs w:val="22"/>
        </w:rPr>
        <w:t>. Available at: https://assets.publishing.service.gov.uk/media/5a7c88fae5274a7b7e321162/0630.pdf (Accessed: 28 March 2025).</w:t>
      </w:r>
    </w:p>
    <w:p w14:paraId="7071CF3B"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GOV.UK (2020) </w:t>
      </w:r>
      <w:r>
        <w:rPr>
          <w:rFonts w:ascii="Arial" w:hAnsi="Arial" w:cs="Arial"/>
          <w:i/>
          <w:iCs/>
          <w:sz w:val="22"/>
          <w:szCs w:val="22"/>
        </w:rPr>
        <w:t>NHS works with tech firms to help care home residents and patients connect with loved ones</w:t>
      </w:r>
      <w:r>
        <w:rPr>
          <w:rFonts w:ascii="Arial" w:hAnsi="Arial" w:cs="Arial"/>
          <w:sz w:val="22"/>
          <w:szCs w:val="22"/>
        </w:rPr>
        <w:t>. Available at: https://www.gov.uk/government/news/nhs-works-with-tech-firms-to-help-care-home-residents-and-patients-connect-with-loved-ones?form=MG0AV3&amp;form=MG0AV3 (Accessed: 15 March 2025).</w:t>
      </w:r>
    </w:p>
    <w:p w14:paraId="592808C3"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GOV.UK (2022) </w:t>
      </w:r>
      <w:r>
        <w:rPr>
          <w:rFonts w:ascii="Arial" w:hAnsi="Arial" w:cs="Arial"/>
          <w:i/>
          <w:iCs/>
          <w:sz w:val="22"/>
          <w:szCs w:val="22"/>
        </w:rPr>
        <w:t>Mental Health and loneliness: the Relationship across Life Stages</w:t>
      </w:r>
      <w:r>
        <w:rPr>
          <w:rFonts w:ascii="Arial" w:hAnsi="Arial" w:cs="Arial"/>
          <w:sz w:val="22"/>
          <w:szCs w:val="22"/>
        </w:rPr>
        <w:t>. Available at: https://www.gov.uk/government/publications/mental-health-and-loneliness-the-relationship-across-life-stages/mental-health-and-loneliness-the-relationship-across-life-stages (Accessed: 31 January 2025).</w:t>
      </w:r>
    </w:p>
    <w:p w14:paraId="6FE50444"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GOV.UK (2023a) </w:t>
      </w:r>
      <w:r>
        <w:rPr>
          <w:rFonts w:ascii="Arial" w:hAnsi="Arial" w:cs="Arial"/>
          <w:i/>
          <w:iCs/>
          <w:sz w:val="22"/>
          <w:szCs w:val="22"/>
        </w:rPr>
        <w:t>Chapter 8.2: Care Homes</w:t>
      </w:r>
      <w:r>
        <w:rPr>
          <w:rFonts w:ascii="Arial" w:hAnsi="Arial" w:cs="Arial"/>
          <w:sz w:val="22"/>
          <w:szCs w:val="22"/>
        </w:rPr>
        <w:t>. Available at: https://www.gov.uk/government/publications/technical-report-on-the-covid-19-pandemic-in-the-uk/chapter-82-care-homes (Accessed: 22 February 2025).</w:t>
      </w:r>
    </w:p>
    <w:p w14:paraId="3FE1A654"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GOV.UK (2023b) </w:t>
      </w:r>
      <w:r>
        <w:rPr>
          <w:rFonts w:ascii="Arial" w:hAnsi="Arial" w:cs="Arial"/>
          <w:i/>
          <w:iCs/>
          <w:sz w:val="22"/>
          <w:szCs w:val="22"/>
        </w:rPr>
        <w:t>Visiting in care homes, hospitals and hospices</w:t>
      </w:r>
      <w:r>
        <w:rPr>
          <w:rFonts w:ascii="Arial" w:hAnsi="Arial" w:cs="Arial"/>
          <w:sz w:val="22"/>
          <w:szCs w:val="22"/>
        </w:rPr>
        <w:t>. Available at: https://www.gov.uk/government/consultations/visiting-in-care-homes-hospitals-and-hospices/visiting-in-care-homes-hospitals-and-hospices (Accessed: 4 March 2025).</w:t>
      </w:r>
    </w:p>
    <w:p w14:paraId="4EB6C7A5"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GOV.UK (2025) </w:t>
      </w:r>
      <w:r>
        <w:rPr>
          <w:rFonts w:ascii="Arial" w:hAnsi="Arial" w:cs="Arial"/>
          <w:i/>
          <w:iCs/>
          <w:sz w:val="22"/>
          <w:szCs w:val="22"/>
        </w:rPr>
        <w:t>Digital Inclusion Action Plan: First Steps</w:t>
      </w:r>
      <w:r>
        <w:rPr>
          <w:rFonts w:ascii="Arial" w:hAnsi="Arial" w:cs="Arial"/>
          <w:sz w:val="22"/>
          <w:szCs w:val="22"/>
        </w:rPr>
        <w:t>. Available at: https://www.gov.uk/government/publications/digital-inclusion-action-plan-first-steps/digital-inclusion-action-plan-first-steps (Accessed: 21 July 2025).</w:t>
      </w:r>
    </w:p>
    <w:p w14:paraId="5515EAB1"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Government Commercial Function (2021) </w:t>
      </w:r>
      <w:r>
        <w:rPr>
          <w:rFonts w:ascii="Arial" w:hAnsi="Arial" w:cs="Arial"/>
          <w:i/>
          <w:iCs/>
          <w:sz w:val="22"/>
          <w:szCs w:val="22"/>
        </w:rPr>
        <w:t>Testing and Piloting Services Guidance Notes</w:t>
      </w:r>
      <w:r>
        <w:rPr>
          <w:rFonts w:ascii="Arial" w:hAnsi="Arial" w:cs="Arial"/>
          <w:sz w:val="22"/>
          <w:szCs w:val="22"/>
        </w:rPr>
        <w:t>. Available at: https://assets.publishing.service.gov.uk/media/60a388398fa8f56a3a295910/Testing_and_piloting_services_guidance_note_May_2021.pdf (Accessed: 21 July 2025).</w:t>
      </w:r>
    </w:p>
    <w:p w14:paraId="44D97BC4"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Grey, E. </w:t>
      </w:r>
      <w:r>
        <w:rPr>
          <w:rFonts w:ascii="Arial" w:hAnsi="Arial" w:cs="Arial"/>
          <w:i/>
          <w:iCs/>
          <w:sz w:val="22"/>
          <w:szCs w:val="22"/>
        </w:rPr>
        <w:t>et al.</w:t>
      </w:r>
      <w:r>
        <w:rPr>
          <w:rFonts w:ascii="Arial" w:hAnsi="Arial" w:cs="Arial"/>
          <w:sz w:val="22"/>
          <w:szCs w:val="22"/>
        </w:rPr>
        <w:t xml:space="preserve"> (2024) ‘The use of technology to address loneliness and social isolation among older adults: the role of social care providers’, </w:t>
      </w:r>
      <w:r>
        <w:rPr>
          <w:rFonts w:ascii="Arial" w:hAnsi="Arial" w:cs="Arial"/>
          <w:i/>
          <w:iCs/>
          <w:sz w:val="22"/>
          <w:szCs w:val="22"/>
        </w:rPr>
        <w:t>BMC Public Health</w:t>
      </w:r>
      <w:r>
        <w:rPr>
          <w:rFonts w:ascii="Arial" w:hAnsi="Arial" w:cs="Arial"/>
          <w:sz w:val="22"/>
          <w:szCs w:val="22"/>
        </w:rPr>
        <w:t>, 24(1), p. 108. Available at: https://doi.org/10.1186/s12889-023-17386-w.</w:t>
      </w:r>
    </w:p>
    <w:p w14:paraId="666DE485"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Guarnera, J., Yuen, E. and Macpherson, H. (2023) ‘The Impact of Loneliness and Social Isolation on Cognitive Aging: a Narrative Review’, </w:t>
      </w:r>
      <w:r>
        <w:rPr>
          <w:rFonts w:ascii="Arial" w:hAnsi="Arial" w:cs="Arial"/>
          <w:i/>
          <w:iCs/>
          <w:sz w:val="22"/>
          <w:szCs w:val="22"/>
        </w:rPr>
        <w:t>Journal of Alzheimer’s Disease Reports</w:t>
      </w:r>
      <w:r>
        <w:rPr>
          <w:rFonts w:ascii="Arial" w:hAnsi="Arial" w:cs="Arial"/>
          <w:sz w:val="22"/>
          <w:szCs w:val="22"/>
        </w:rPr>
        <w:t>, 7(1), pp. 699–714. Available at: https://doi.org/10.3233/ADR-230011.</w:t>
      </w:r>
    </w:p>
    <w:p w14:paraId="20E4A5C0"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Hao, H., Du, M. and Yue, J. (2024) ‘Social isolation, loneliness, and subjective wellbeing among Chinese older adults during the COVID-19 pandemic’, </w:t>
      </w:r>
      <w:r>
        <w:rPr>
          <w:rFonts w:ascii="Arial" w:hAnsi="Arial" w:cs="Arial"/>
          <w:i/>
          <w:iCs/>
          <w:sz w:val="22"/>
          <w:szCs w:val="22"/>
        </w:rPr>
        <w:t>Frontiers in Public Health</w:t>
      </w:r>
      <w:r>
        <w:rPr>
          <w:rFonts w:ascii="Arial" w:hAnsi="Arial" w:cs="Arial"/>
          <w:sz w:val="22"/>
          <w:szCs w:val="22"/>
        </w:rPr>
        <w:t>, 12. Available at: https://doi.org/10.3389/fpubh.2024.1425575.</w:t>
      </w:r>
    </w:p>
    <w:p w14:paraId="7EB76BA5"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Hasmuk, K. </w:t>
      </w:r>
      <w:r>
        <w:rPr>
          <w:rFonts w:ascii="Arial" w:hAnsi="Arial" w:cs="Arial"/>
          <w:i/>
          <w:iCs/>
          <w:sz w:val="22"/>
          <w:szCs w:val="22"/>
        </w:rPr>
        <w:t>et al.</w:t>
      </w:r>
      <w:r>
        <w:rPr>
          <w:rFonts w:ascii="Arial" w:hAnsi="Arial" w:cs="Arial"/>
          <w:sz w:val="22"/>
          <w:szCs w:val="22"/>
        </w:rPr>
        <w:t xml:space="preserve"> (2020) ‘The Long Term Care COVID-19 Situation in Malaysia’, </w:t>
      </w:r>
      <w:r>
        <w:rPr>
          <w:rFonts w:ascii="Arial" w:hAnsi="Arial" w:cs="Arial"/>
          <w:i/>
          <w:iCs/>
          <w:sz w:val="22"/>
          <w:szCs w:val="22"/>
        </w:rPr>
        <w:t>International Long-Term Care Policy Network</w:t>
      </w:r>
      <w:r>
        <w:rPr>
          <w:rFonts w:ascii="Arial" w:hAnsi="Arial" w:cs="Arial"/>
          <w:sz w:val="22"/>
          <w:szCs w:val="22"/>
        </w:rPr>
        <w:t>, 1, p. 1. Available at: https://ltccovid.org/wp-content/uploads/2020/05/Malaysia-LTC-COVID-situation-report-30-May.pdf (Accessed: 25 March 2025).</w:t>
      </w:r>
    </w:p>
    <w:p w14:paraId="5DA9A249"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Hassan, M. (2023) </w:t>
      </w:r>
      <w:r>
        <w:rPr>
          <w:rFonts w:ascii="Arial" w:hAnsi="Arial" w:cs="Arial"/>
          <w:i/>
          <w:iCs/>
          <w:sz w:val="22"/>
          <w:szCs w:val="22"/>
        </w:rPr>
        <w:t>Research Validity – Types and Examples</w:t>
      </w:r>
      <w:r>
        <w:rPr>
          <w:rFonts w:ascii="Arial" w:hAnsi="Arial" w:cs="Arial"/>
          <w:sz w:val="22"/>
          <w:szCs w:val="22"/>
        </w:rPr>
        <w:t>. Available at: https://researchmethod.net/validity/ (Accessed: 11 June 2025).</w:t>
      </w:r>
    </w:p>
    <w:p w14:paraId="4FC3A269"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Havighurst, R.J. (1961) ‘Successful aging’, </w:t>
      </w:r>
      <w:r>
        <w:rPr>
          <w:rFonts w:ascii="Arial" w:hAnsi="Arial" w:cs="Arial"/>
          <w:i/>
          <w:iCs/>
          <w:sz w:val="22"/>
          <w:szCs w:val="22"/>
        </w:rPr>
        <w:t>The Gerontologist</w:t>
      </w:r>
      <w:r>
        <w:rPr>
          <w:rFonts w:ascii="Arial" w:hAnsi="Arial" w:cs="Arial"/>
          <w:sz w:val="22"/>
          <w:szCs w:val="22"/>
        </w:rPr>
        <w:t>, 1(1), pp. 8–13. Available at: https://doi.org/10.1093/geront/1.1.8.</w:t>
      </w:r>
    </w:p>
    <w:p w14:paraId="1F3A7275" w14:textId="3D2C0ACE"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i/>
          <w:iCs/>
          <w:sz w:val="22"/>
          <w:szCs w:val="22"/>
        </w:rPr>
        <w:t>Health and Care Act 2022, c. 31.</w:t>
      </w:r>
      <w:r>
        <w:rPr>
          <w:rFonts w:ascii="Arial" w:hAnsi="Arial" w:cs="Arial"/>
          <w:sz w:val="22"/>
          <w:szCs w:val="22"/>
        </w:rPr>
        <w:t xml:space="preserve"> Available at: https://www.legislation.gov.uk/ukpga/2022/31/introduction (Accessed: 6 March 2025).</w:t>
      </w:r>
    </w:p>
    <w:p w14:paraId="2045C3F4"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Herlitz, L. and Harden, A. (2021) </w:t>
      </w:r>
      <w:r>
        <w:rPr>
          <w:rFonts w:ascii="Arial" w:hAnsi="Arial" w:cs="Arial"/>
          <w:i/>
          <w:iCs/>
          <w:sz w:val="22"/>
          <w:szCs w:val="22"/>
        </w:rPr>
        <w:t>Can the use of technology help to reduce social isolation and loneliness?</w:t>
      </w:r>
      <w:r>
        <w:rPr>
          <w:rFonts w:ascii="Arial" w:hAnsi="Arial" w:cs="Arial"/>
          <w:sz w:val="22"/>
          <w:szCs w:val="22"/>
        </w:rPr>
        <w:t xml:space="preserve"> Available at: https://www.tnlcommunityfund.org.uk/media/insights/documents/Digital-Inclusion-Final-Report-07_2021.pdf?mtime=20210723123910&amp;focal=none (Accessed: 21 July 2025).</w:t>
      </w:r>
    </w:p>
    <w:p w14:paraId="2F7B2C20"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Hicks, B. </w:t>
      </w:r>
      <w:r>
        <w:rPr>
          <w:rFonts w:ascii="Arial" w:hAnsi="Arial" w:cs="Arial"/>
          <w:i/>
          <w:iCs/>
          <w:sz w:val="22"/>
          <w:szCs w:val="22"/>
        </w:rPr>
        <w:t>et al.</w:t>
      </w:r>
      <w:r>
        <w:rPr>
          <w:rFonts w:ascii="Arial" w:hAnsi="Arial" w:cs="Arial"/>
          <w:sz w:val="22"/>
          <w:szCs w:val="22"/>
        </w:rPr>
        <w:t xml:space="preserve"> (2022) ‘Care home practitioners’ perceptions of the barriers and facilitators for using off-the-shelf gaming technology with people with dementia’, </w:t>
      </w:r>
      <w:r>
        <w:rPr>
          <w:rFonts w:ascii="Arial" w:hAnsi="Arial" w:cs="Arial"/>
          <w:i/>
          <w:iCs/>
          <w:sz w:val="22"/>
          <w:szCs w:val="22"/>
        </w:rPr>
        <w:t>Dementia</w:t>
      </w:r>
      <w:r>
        <w:rPr>
          <w:rFonts w:ascii="Arial" w:hAnsi="Arial" w:cs="Arial"/>
          <w:sz w:val="22"/>
          <w:szCs w:val="22"/>
        </w:rPr>
        <w:t>, 21(5), p. 147130122210852. Available at: https://doi.org/10.1177/14713012221085229.</w:t>
      </w:r>
    </w:p>
    <w:p w14:paraId="2358A237"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Ho, K.H.M. </w:t>
      </w:r>
      <w:r>
        <w:rPr>
          <w:rFonts w:ascii="Arial" w:hAnsi="Arial" w:cs="Arial"/>
          <w:i/>
          <w:iCs/>
          <w:sz w:val="22"/>
          <w:szCs w:val="22"/>
        </w:rPr>
        <w:t>et al.</w:t>
      </w:r>
      <w:r>
        <w:rPr>
          <w:rFonts w:ascii="Arial" w:hAnsi="Arial" w:cs="Arial"/>
          <w:sz w:val="22"/>
          <w:szCs w:val="22"/>
        </w:rPr>
        <w:t xml:space="preserve"> (2021) ‘Implications of COVID-19 on the Loneliness of Older Adults in Residential Care Homes’, </w:t>
      </w:r>
      <w:r>
        <w:rPr>
          <w:rFonts w:ascii="Arial" w:hAnsi="Arial" w:cs="Arial"/>
          <w:i/>
          <w:iCs/>
          <w:sz w:val="22"/>
          <w:szCs w:val="22"/>
        </w:rPr>
        <w:t>Qualitative Health Research</w:t>
      </w:r>
      <w:r>
        <w:rPr>
          <w:rFonts w:ascii="Arial" w:hAnsi="Arial" w:cs="Arial"/>
          <w:sz w:val="22"/>
          <w:szCs w:val="22"/>
        </w:rPr>
        <w:t>, 32(2), pp. 279–290. Available at: https://doi.org/10.1177/10497323211050910.</w:t>
      </w:r>
    </w:p>
    <w:p w14:paraId="1A53E29D"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Holt</w:t>
      </w:r>
      <w:r>
        <w:rPr>
          <w:rFonts w:ascii="Cambria Math" w:hAnsi="Cambria Math" w:cs="Cambria Math"/>
          <w:sz w:val="22"/>
          <w:szCs w:val="22"/>
        </w:rPr>
        <w:t>‐</w:t>
      </w:r>
      <w:proofErr w:type="spellStart"/>
      <w:r>
        <w:rPr>
          <w:rFonts w:ascii="Arial" w:hAnsi="Arial" w:cs="Arial"/>
          <w:sz w:val="22"/>
          <w:szCs w:val="22"/>
        </w:rPr>
        <w:t>Lunstad</w:t>
      </w:r>
      <w:proofErr w:type="spellEnd"/>
      <w:r>
        <w:rPr>
          <w:rFonts w:ascii="Arial" w:hAnsi="Arial" w:cs="Arial"/>
          <w:sz w:val="22"/>
          <w:szCs w:val="22"/>
        </w:rPr>
        <w:t xml:space="preserve">, J. (2024) ‘Social connection as a critical factor for mental and physical health: evidence, trends, challenges, and future implications’, </w:t>
      </w:r>
      <w:r>
        <w:rPr>
          <w:rFonts w:ascii="Arial" w:hAnsi="Arial" w:cs="Arial"/>
          <w:i/>
          <w:iCs/>
          <w:sz w:val="22"/>
          <w:szCs w:val="22"/>
        </w:rPr>
        <w:t>World Psychiatry</w:t>
      </w:r>
      <w:r>
        <w:rPr>
          <w:rFonts w:ascii="Arial" w:hAnsi="Arial" w:cs="Arial"/>
          <w:sz w:val="22"/>
          <w:szCs w:val="22"/>
        </w:rPr>
        <w:t>, 23(3), pp. 312–332. Available at: https://doi.org/10.1002/wps.21224.</w:t>
      </w:r>
    </w:p>
    <w:p w14:paraId="1F295137"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House of Commons (2021) </w:t>
      </w:r>
      <w:r>
        <w:rPr>
          <w:rFonts w:ascii="Arial" w:hAnsi="Arial" w:cs="Arial"/>
          <w:i/>
          <w:iCs/>
          <w:sz w:val="22"/>
          <w:szCs w:val="22"/>
        </w:rPr>
        <w:t>Care homes: Visiting restrictions during the covid-19 pandemic</w:t>
      </w:r>
      <w:r>
        <w:rPr>
          <w:rFonts w:ascii="Arial" w:hAnsi="Arial" w:cs="Arial"/>
          <w:sz w:val="22"/>
          <w:szCs w:val="22"/>
        </w:rPr>
        <w:t>. Available at: https://committees.parliament.uk/publications/5747/documents/65438/default/ (Accessed: 18 March 2025).</w:t>
      </w:r>
    </w:p>
    <w:p w14:paraId="0F1D7CF5"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House of Commons and House of Lords (2021) </w:t>
      </w:r>
      <w:r>
        <w:rPr>
          <w:rFonts w:ascii="Arial" w:hAnsi="Arial" w:cs="Arial"/>
          <w:i/>
          <w:iCs/>
          <w:sz w:val="22"/>
          <w:szCs w:val="22"/>
        </w:rPr>
        <w:t>Care homes: Visiting restrictions during the covid-19 pandemic</w:t>
      </w:r>
      <w:r>
        <w:rPr>
          <w:rFonts w:ascii="Arial" w:hAnsi="Arial" w:cs="Arial"/>
          <w:sz w:val="22"/>
          <w:szCs w:val="22"/>
        </w:rPr>
        <w:t>. Available at: https://committees.parliament.uk/publications/5747/documents/65438/default/ (Accessed: 30 June 2025).</w:t>
      </w:r>
    </w:p>
    <w:p w14:paraId="794F6B89"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Hsu, A. </w:t>
      </w:r>
      <w:r>
        <w:rPr>
          <w:rFonts w:ascii="Arial" w:hAnsi="Arial" w:cs="Arial"/>
          <w:i/>
          <w:iCs/>
          <w:sz w:val="22"/>
          <w:szCs w:val="22"/>
        </w:rPr>
        <w:t>et al.</w:t>
      </w:r>
      <w:r>
        <w:rPr>
          <w:rFonts w:ascii="Arial" w:hAnsi="Arial" w:cs="Arial"/>
          <w:sz w:val="22"/>
          <w:szCs w:val="22"/>
        </w:rPr>
        <w:t xml:space="preserve"> (2020) </w:t>
      </w:r>
      <w:r>
        <w:rPr>
          <w:rFonts w:ascii="Arial" w:hAnsi="Arial" w:cs="Arial"/>
          <w:i/>
          <w:iCs/>
          <w:sz w:val="22"/>
          <w:szCs w:val="22"/>
        </w:rPr>
        <w:t>Impact of COVID-19 on residents of Canada’s long-term care homes -ongoing challenges and policy responses</w:t>
      </w:r>
      <w:r>
        <w:rPr>
          <w:rFonts w:ascii="Arial" w:hAnsi="Arial" w:cs="Arial"/>
          <w:sz w:val="22"/>
          <w:szCs w:val="22"/>
        </w:rPr>
        <w:t>. Available at: https://ltccovid.org/wp-content/uploads/2020/05/LTCcovid-country-reports_Canada_Hsu-et-al_May-10-2020-2.pdf (Accessed: 24 March 2025).</w:t>
      </w:r>
    </w:p>
    <w:p w14:paraId="76DD713C"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Hsu, Y.-P. and Walters, M. (2024) ‘Understanding the Impact of COVID-19 Lockdowns on Older Adults’ Routines and Well-being: 3 Case Reports’, </w:t>
      </w:r>
      <w:r>
        <w:rPr>
          <w:rFonts w:ascii="Arial" w:hAnsi="Arial" w:cs="Arial"/>
          <w:i/>
          <w:iCs/>
          <w:sz w:val="22"/>
          <w:szCs w:val="22"/>
        </w:rPr>
        <w:t>Gerontology and Geriatric Medicine</w:t>
      </w:r>
      <w:r>
        <w:rPr>
          <w:rFonts w:ascii="Arial" w:hAnsi="Arial" w:cs="Arial"/>
          <w:sz w:val="22"/>
          <w:szCs w:val="22"/>
        </w:rPr>
        <w:t>, 10. Available at: https://doi.org/10.1177/23337214241298326.</w:t>
      </w:r>
    </w:p>
    <w:p w14:paraId="284DFE6A"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Hwang, T.-J. </w:t>
      </w:r>
      <w:r>
        <w:rPr>
          <w:rFonts w:ascii="Arial" w:hAnsi="Arial" w:cs="Arial"/>
          <w:i/>
          <w:iCs/>
          <w:sz w:val="22"/>
          <w:szCs w:val="22"/>
        </w:rPr>
        <w:t>et al.</w:t>
      </w:r>
      <w:r>
        <w:rPr>
          <w:rFonts w:ascii="Arial" w:hAnsi="Arial" w:cs="Arial"/>
          <w:sz w:val="22"/>
          <w:szCs w:val="22"/>
        </w:rPr>
        <w:t xml:space="preserve"> (2020) ‘Loneliness and Social Isolation during the COVID-19 Pandemic’, </w:t>
      </w:r>
      <w:r>
        <w:rPr>
          <w:rFonts w:ascii="Arial" w:hAnsi="Arial" w:cs="Arial"/>
          <w:i/>
          <w:iCs/>
          <w:sz w:val="22"/>
          <w:szCs w:val="22"/>
        </w:rPr>
        <w:t>International Psychogeriatrics</w:t>
      </w:r>
      <w:r>
        <w:rPr>
          <w:rFonts w:ascii="Arial" w:hAnsi="Arial" w:cs="Arial"/>
          <w:sz w:val="22"/>
          <w:szCs w:val="22"/>
        </w:rPr>
        <w:t>, 32(10), pp. 1–15. Available at: https://doi.org/10.1017/s1041610220000988.</w:t>
      </w:r>
    </w:p>
    <w:p w14:paraId="5325E679"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Jones, E.T. (2024) </w:t>
      </w:r>
      <w:r>
        <w:rPr>
          <w:rFonts w:ascii="Arial" w:hAnsi="Arial" w:cs="Arial"/>
          <w:i/>
          <w:iCs/>
          <w:sz w:val="22"/>
          <w:szCs w:val="22"/>
        </w:rPr>
        <w:t>The Importance of Meaningful Activities in Care Homes | Lottie</w:t>
      </w:r>
      <w:r>
        <w:rPr>
          <w:rFonts w:ascii="Arial" w:hAnsi="Arial" w:cs="Arial"/>
          <w:sz w:val="22"/>
          <w:szCs w:val="22"/>
        </w:rPr>
        <w:t>. Available at: https://lottie.org/care-guides/meaningful-activities-in-care-homes/ (Accessed: 21 July 2025).</w:t>
      </w:r>
    </w:p>
    <w:p w14:paraId="7007921C"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Jones, E.T. (2025) </w:t>
      </w:r>
      <w:r>
        <w:rPr>
          <w:rFonts w:ascii="Arial" w:hAnsi="Arial" w:cs="Arial"/>
          <w:i/>
          <w:iCs/>
          <w:sz w:val="22"/>
          <w:szCs w:val="22"/>
        </w:rPr>
        <w:t>What an Activity Coordinator Does in a Care Home | Lottie</w:t>
      </w:r>
      <w:r>
        <w:rPr>
          <w:rFonts w:ascii="Arial" w:hAnsi="Arial" w:cs="Arial"/>
          <w:sz w:val="22"/>
          <w:szCs w:val="22"/>
        </w:rPr>
        <w:t>. Available at: https://lottie.org/care-guides/what-an-activity-coordinator-does-in-a-care-home/ (Accessed: 21 July 2025).</w:t>
      </w:r>
    </w:p>
    <w:p w14:paraId="6D7D3A6C"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Jopling, K. (2015) </w:t>
      </w:r>
      <w:r>
        <w:rPr>
          <w:rFonts w:ascii="Arial" w:hAnsi="Arial" w:cs="Arial"/>
          <w:i/>
          <w:iCs/>
          <w:sz w:val="22"/>
          <w:szCs w:val="22"/>
        </w:rPr>
        <w:t>Promising approaches to reducing loneliness and isolation in later life</w:t>
      </w:r>
      <w:r>
        <w:rPr>
          <w:rFonts w:ascii="Arial" w:hAnsi="Arial" w:cs="Arial"/>
          <w:sz w:val="22"/>
          <w:szCs w:val="22"/>
        </w:rPr>
        <w:t>. Available at: https://www.campaigntoendloneliness.org/wp-content/uploads/Promising-approaches-to-reducing-loneliness-and-isolation-in-later-life.pdf (Accessed: 15 March 2025).</w:t>
      </w:r>
    </w:p>
    <w:p w14:paraId="783743FB"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Joseph, L.M. (2022) ‘Impact of COVID-19 on mental health and emotional well-being of older adults’, </w:t>
      </w:r>
      <w:r>
        <w:rPr>
          <w:rFonts w:ascii="Arial" w:hAnsi="Arial" w:cs="Arial"/>
          <w:i/>
          <w:iCs/>
          <w:sz w:val="22"/>
          <w:szCs w:val="22"/>
        </w:rPr>
        <w:t>World Journal of Virology</w:t>
      </w:r>
      <w:r>
        <w:rPr>
          <w:rFonts w:ascii="Arial" w:hAnsi="Arial" w:cs="Arial"/>
          <w:sz w:val="22"/>
          <w:szCs w:val="22"/>
        </w:rPr>
        <w:t>, 11(3), pp. 129–136. Available at: https://doi.org/10.5501/wjv.v11.i3.129.</w:t>
      </w:r>
    </w:p>
    <w:p w14:paraId="7B37F309"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Kassam, K. and McMillan, J.M. (2023) ‘The impact of loneliness and social isolation during COVID-19 on cognition in older adults: a scoping review’, </w:t>
      </w:r>
      <w:r>
        <w:rPr>
          <w:rFonts w:ascii="Arial" w:hAnsi="Arial" w:cs="Arial"/>
          <w:i/>
          <w:iCs/>
          <w:sz w:val="22"/>
          <w:szCs w:val="22"/>
        </w:rPr>
        <w:t>Frontiers in Psychiatry</w:t>
      </w:r>
      <w:r>
        <w:rPr>
          <w:rFonts w:ascii="Arial" w:hAnsi="Arial" w:cs="Arial"/>
          <w:sz w:val="22"/>
          <w:szCs w:val="22"/>
        </w:rPr>
        <w:t>, 14. Available at: https://doi.org/10.3389/fpsyt.2023.1287391.</w:t>
      </w:r>
    </w:p>
    <w:p w14:paraId="2C738E0A" w14:textId="77777777" w:rsidR="002C2D5C" w:rsidRDefault="002C2D5C" w:rsidP="002C2D5C">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Kavaliunas</w:t>
      </w:r>
      <w:proofErr w:type="spellEnd"/>
      <w:r>
        <w:rPr>
          <w:rFonts w:ascii="Arial" w:hAnsi="Arial" w:cs="Arial"/>
          <w:sz w:val="22"/>
          <w:szCs w:val="22"/>
        </w:rPr>
        <w:t xml:space="preserve">, A. </w:t>
      </w:r>
      <w:r>
        <w:rPr>
          <w:rFonts w:ascii="Arial" w:hAnsi="Arial" w:cs="Arial"/>
          <w:i/>
          <w:iCs/>
          <w:sz w:val="22"/>
          <w:szCs w:val="22"/>
        </w:rPr>
        <w:t>et al.</w:t>
      </w:r>
      <w:r>
        <w:rPr>
          <w:rFonts w:ascii="Arial" w:hAnsi="Arial" w:cs="Arial"/>
          <w:sz w:val="22"/>
          <w:szCs w:val="22"/>
        </w:rPr>
        <w:t xml:space="preserve"> (2020) ‘Swedish policy analysis for Covid-19’, </w:t>
      </w:r>
      <w:r>
        <w:rPr>
          <w:rFonts w:ascii="Arial" w:hAnsi="Arial" w:cs="Arial"/>
          <w:i/>
          <w:iCs/>
          <w:sz w:val="22"/>
          <w:szCs w:val="22"/>
        </w:rPr>
        <w:t>Health Policy and Technology</w:t>
      </w:r>
      <w:r>
        <w:rPr>
          <w:rFonts w:ascii="Arial" w:hAnsi="Arial" w:cs="Arial"/>
          <w:sz w:val="22"/>
          <w:szCs w:val="22"/>
        </w:rPr>
        <w:t>, 9(4). Available at: https://doi.org/10.1016/j.hlpt.2020.08.009.</w:t>
      </w:r>
    </w:p>
    <w:p w14:paraId="681CF384"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Kenny, K., Odell-Miller, H. and Hsu, M.-H. (2025) ‘Exploring the meaning of and barriers to quality of care for people living with dementia through the perspective of care home staff: A qualitative study’, </w:t>
      </w:r>
      <w:r>
        <w:rPr>
          <w:rFonts w:ascii="Arial" w:hAnsi="Arial" w:cs="Arial"/>
          <w:i/>
          <w:iCs/>
          <w:sz w:val="22"/>
          <w:szCs w:val="22"/>
        </w:rPr>
        <w:t>Geriatric Nursing</w:t>
      </w:r>
      <w:r>
        <w:rPr>
          <w:rFonts w:ascii="Arial" w:hAnsi="Arial" w:cs="Arial"/>
          <w:sz w:val="22"/>
          <w:szCs w:val="22"/>
        </w:rPr>
        <w:t>, 64, p. 103345. Available at: https://doi.org/10.1016/j.gerinurse.2025.04.018.</w:t>
      </w:r>
    </w:p>
    <w:p w14:paraId="39B6FFA5"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Kenrick, D.T. </w:t>
      </w:r>
      <w:r>
        <w:rPr>
          <w:rFonts w:ascii="Arial" w:hAnsi="Arial" w:cs="Arial"/>
          <w:i/>
          <w:iCs/>
          <w:sz w:val="22"/>
          <w:szCs w:val="22"/>
        </w:rPr>
        <w:t>et al.</w:t>
      </w:r>
      <w:r>
        <w:rPr>
          <w:rFonts w:ascii="Arial" w:hAnsi="Arial" w:cs="Arial"/>
          <w:sz w:val="22"/>
          <w:szCs w:val="22"/>
        </w:rPr>
        <w:t xml:space="preserve"> (2010) ‘Renovating the Pyramid of Needs’, </w:t>
      </w:r>
      <w:r>
        <w:rPr>
          <w:rFonts w:ascii="Arial" w:hAnsi="Arial" w:cs="Arial"/>
          <w:i/>
          <w:iCs/>
          <w:sz w:val="22"/>
          <w:szCs w:val="22"/>
        </w:rPr>
        <w:t>Perspectives on Psychological Science</w:t>
      </w:r>
      <w:r>
        <w:rPr>
          <w:rFonts w:ascii="Arial" w:hAnsi="Arial" w:cs="Arial"/>
          <w:sz w:val="22"/>
          <w:szCs w:val="22"/>
        </w:rPr>
        <w:t>, 5(3), pp. 292–314. Available at: https://doi.org/10.1177/1745691610369469.</w:t>
      </w:r>
    </w:p>
    <w:p w14:paraId="3C7A3DF9"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Kenyon, K., </w:t>
      </w:r>
      <w:proofErr w:type="spellStart"/>
      <w:r>
        <w:rPr>
          <w:rFonts w:ascii="Arial" w:hAnsi="Arial" w:cs="Arial"/>
          <w:sz w:val="22"/>
          <w:szCs w:val="22"/>
        </w:rPr>
        <w:t>Kinakh</w:t>
      </w:r>
      <w:proofErr w:type="spellEnd"/>
      <w:r>
        <w:rPr>
          <w:rFonts w:ascii="Arial" w:hAnsi="Arial" w:cs="Arial"/>
          <w:sz w:val="22"/>
          <w:szCs w:val="22"/>
        </w:rPr>
        <w:t xml:space="preserve">, V. and Harrison, J. (2023) ‘Social virtual reality helps to reduce feelings of loneliness and social anxiety during the Covid-19 pandemic’, </w:t>
      </w:r>
      <w:r>
        <w:rPr>
          <w:rFonts w:ascii="Arial" w:hAnsi="Arial" w:cs="Arial"/>
          <w:i/>
          <w:iCs/>
          <w:sz w:val="22"/>
          <w:szCs w:val="22"/>
        </w:rPr>
        <w:t>Scientific Reports</w:t>
      </w:r>
      <w:r>
        <w:rPr>
          <w:rFonts w:ascii="Arial" w:hAnsi="Arial" w:cs="Arial"/>
          <w:sz w:val="22"/>
          <w:szCs w:val="22"/>
        </w:rPr>
        <w:t>, 13(1), p. 19282. Available at: https://doi.org/10.1038/s41598-023-46494-1.</w:t>
      </w:r>
    </w:p>
    <w:p w14:paraId="38A85BEA"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Kerrison, S.H. and Pollock, A.M. (2001) ‘Regulating nursing homes: Caring for older people in the private sector in England’, </w:t>
      </w:r>
      <w:r>
        <w:rPr>
          <w:rFonts w:ascii="Arial" w:hAnsi="Arial" w:cs="Arial"/>
          <w:i/>
          <w:iCs/>
          <w:sz w:val="22"/>
          <w:szCs w:val="22"/>
        </w:rPr>
        <w:t>BMJ</w:t>
      </w:r>
      <w:r>
        <w:rPr>
          <w:rFonts w:ascii="Arial" w:hAnsi="Arial" w:cs="Arial"/>
          <w:sz w:val="22"/>
          <w:szCs w:val="22"/>
        </w:rPr>
        <w:t>, 323(7312), pp. 566–569. Available at: https://doi.org/10.1136/bmj.323.7312.566.</w:t>
      </w:r>
    </w:p>
    <w:p w14:paraId="2DDAED69"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Khan, H.T.A., Addo, K.M. and Findlay, H. (2024) ‘Public Health Challenges and Responses to the Growing Ageing Populations’, </w:t>
      </w:r>
      <w:r>
        <w:rPr>
          <w:rFonts w:ascii="Arial" w:hAnsi="Arial" w:cs="Arial"/>
          <w:i/>
          <w:iCs/>
          <w:sz w:val="22"/>
          <w:szCs w:val="22"/>
        </w:rPr>
        <w:t>Public health challenges</w:t>
      </w:r>
      <w:r>
        <w:rPr>
          <w:rFonts w:ascii="Arial" w:hAnsi="Arial" w:cs="Arial"/>
          <w:sz w:val="22"/>
          <w:szCs w:val="22"/>
        </w:rPr>
        <w:t>, 3(3). Available at: https://doi.org/10.1002/puh2.213.</w:t>
      </w:r>
    </w:p>
    <w:p w14:paraId="42D2A0F9"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Lee, S.L. </w:t>
      </w:r>
      <w:r>
        <w:rPr>
          <w:rFonts w:ascii="Arial" w:hAnsi="Arial" w:cs="Arial"/>
          <w:i/>
          <w:iCs/>
          <w:sz w:val="22"/>
          <w:szCs w:val="22"/>
        </w:rPr>
        <w:t>et al.</w:t>
      </w:r>
      <w:r>
        <w:rPr>
          <w:rFonts w:ascii="Arial" w:hAnsi="Arial" w:cs="Arial"/>
          <w:sz w:val="22"/>
          <w:szCs w:val="22"/>
        </w:rPr>
        <w:t xml:space="preserve"> (2021) ‘The Association between Loneliness and Depressive Symptoms among Adults Aged 50 Years and older: a 12-year population-based Cohort Study’, </w:t>
      </w:r>
      <w:r>
        <w:rPr>
          <w:rFonts w:ascii="Arial" w:hAnsi="Arial" w:cs="Arial"/>
          <w:i/>
          <w:iCs/>
          <w:sz w:val="22"/>
          <w:szCs w:val="22"/>
        </w:rPr>
        <w:t>The Lancet Psychiatry</w:t>
      </w:r>
      <w:r>
        <w:rPr>
          <w:rFonts w:ascii="Arial" w:hAnsi="Arial" w:cs="Arial"/>
          <w:sz w:val="22"/>
          <w:szCs w:val="22"/>
        </w:rPr>
        <w:t>, 8(1), pp. 48–57. Available at: https://doi.org/10.1016/s2215-0366(20)30383-7.</w:t>
      </w:r>
    </w:p>
    <w:p w14:paraId="25764368"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LGA (2015) </w:t>
      </w:r>
      <w:r>
        <w:rPr>
          <w:rFonts w:ascii="Arial" w:hAnsi="Arial" w:cs="Arial"/>
          <w:i/>
          <w:iCs/>
          <w:sz w:val="22"/>
          <w:szCs w:val="22"/>
        </w:rPr>
        <w:t>Dementia friendly communities</w:t>
      </w:r>
      <w:r>
        <w:rPr>
          <w:rFonts w:ascii="Arial" w:hAnsi="Arial" w:cs="Arial"/>
          <w:sz w:val="22"/>
          <w:szCs w:val="22"/>
        </w:rPr>
        <w:t>. Available at: https://www.local.gov.uk/sites/default/files/documents/dementia-friendly-communi-8f1.pdf (Accessed: 14 March 2025).</w:t>
      </w:r>
    </w:p>
    <w:p w14:paraId="4504A32E"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LGA (2020) </w:t>
      </w:r>
      <w:r>
        <w:rPr>
          <w:rFonts w:ascii="Arial" w:hAnsi="Arial" w:cs="Arial"/>
          <w:i/>
          <w:iCs/>
          <w:sz w:val="22"/>
          <w:szCs w:val="22"/>
        </w:rPr>
        <w:t>Loneliness, social isolation and COVID-19 | Local Government Association</w:t>
      </w:r>
      <w:r>
        <w:rPr>
          <w:rFonts w:ascii="Arial" w:hAnsi="Arial" w:cs="Arial"/>
          <w:sz w:val="22"/>
          <w:szCs w:val="22"/>
        </w:rPr>
        <w:t>. Available at: https://www.local.gov.uk/publications/loneliness-social-isolation-and-covid-19 (Accessed: 21 July 2025).</w:t>
      </w:r>
    </w:p>
    <w:p w14:paraId="5DF4F09A"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LGA (2021) </w:t>
      </w:r>
      <w:r>
        <w:rPr>
          <w:rFonts w:ascii="Arial" w:hAnsi="Arial" w:cs="Arial"/>
          <w:i/>
          <w:iCs/>
          <w:sz w:val="22"/>
          <w:szCs w:val="22"/>
        </w:rPr>
        <w:t>Must Know: Loneliness - Is your council actively tackling loneliness? | Local Government Association</w:t>
      </w:r>
      <w:r>
        <w:rPr>
          <w:rFonts w:ascii="Arial" w:hAnsi="Arial" w:cs="Arial"/>
          <w:sz w:val="22"/>
          <w:szCs w:val="22"/>
        </w:rPr>
        <w:t>. Available at: https://www.local.gov.uk/publications/must-know-loneliness-your-council-actively-tackling-loneliness (Accessed: 14 March 2025).</w:t>
      </w:r>
    </w:p>
    <w:p w14:paraId="18BF3C6F" w14:textId="5E5C690D"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Lu, Z. </w:t>
      </w:r>
      <w:r>
        <w:rPr>
          <w:rFonts w:ascii="Arial" w:hAnsi="Arial" w:cs="Arial"/>
          <w:i/>
          <w:iCs/>
          <w:sz w:val="22"/>
          <w:szCs w:val="22"/>
        </w:rPr>
        <w:t>et al.</w:t>
      </w:r>
      <w:r>
        <w:rPr>
          <w:rFonts w:ascii="Arial" w:hAnsi="Arial" w:cs="Arial"/>
          <w:sz w:val="22"/>
          <w:szCs w:val="22"/>
        </w:rPr>
        <w:t xml:space="preserve"> (2023) ‘The Application of Fully Immersive Virtual Reality on Reminiscence Interventions for Older Adults: Scoping Review’, </w:t>
      </w:r>
      <w:r>
        <w:rPr>
          <w:rFonts w:ascii="Arial" w:hAnsi="Arial" w:cs="Arial"/>
          <w:i/>
          <w:iCs/>
          <w:sz w:val="22"/>
          <w:szCs w:val="22"/>
        </w:rPr>
        <w:t>JMIR serious games</w:t>
      </w:r>
      <w:r>
        <w:rPr>
          <w:rFonts w:ascii="Arial" w:hAnsi="Arial" w:cs="Arial"/>
          <w:sz w:val="22"/>
          <w:szCs w:val="22"/>
        </w:rPr>
        <w:t>, 11, pp. e45539. Available at: https://doi.org/10.2196/45539.</w:t>
      </w:r>
    </w:p>
    <w:p w14:paraId="7B7E24CB"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Lupu, D. and </w:t>
      </w:r>
      <w:proofErr w:type="spellStart"/>
      <w:r>
        <w:rPr>
          <w:rFonts w:ascii="Arial" w:hAnsi="Arial" w:cs="Arial"/>
          <w:sz w:val="22"/>
          <w:szCs w:val="22"/>
        </w:rPr>
        <w:t>Tiganasu</w:t>
      </w:r>
      <w:proofErr w:type="spellEnd"/>
      <w:r>
        <w:rPr>
          <w:rFonts w:ascii="Arial" w:hAnsi="Arial" w:cs="Arial"/>
          <w:sz w:val="22"/>
          <w:szCs w:val="22"/>
        </w:rPr>
        <w:t xml:space="preserve">, R. (2022) ‘COVID-19 and the efficiency of health systems in Europe’, </w:t>
      </w:r>
      <w:r>
        <w:rPr>
          <w:rFonts w:ascii="Arial" w:hAnsi="Arial" w:cs="Arial"/>
          <w:i/>
          <w:iCs/>
          <w:sz w:val="22"/>
          <w:szCs w:val="22"/>
        </w:rPr>
        <w:t>Health Economics Review</w:t>
      </w:r>
      <w:r>
        <w:rPr>
          <w:rFonts w:ascii="Arial" w:hAnsi="Arial" w:cs="Arial"/>
          <w:sz w:val="22"/>
          <w:szCs w:val="22"/>
        </w:rPr>
        <w:t>, 12(1). Available at: https://doi.org/10.1186/s13561-022-00358-y.</w:t>
      </w:r>
    </w:p>
    <w:p w14:paraId="315681F9"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Maguire, M. and Delahunt, B. (2017) ‘Doing a Thematic analysis: a practical, step-by-step Guide for Learning and Teaching scholars.’, </w:t>
      </w:r>
      <w:r>
        <w:rPr>
          <w:rFonts w:ascii="Arial" w:hAnsi="Arial" w:cs="Arial"/>
          <w:i/>
          <w:iCs/>
          <w:sz w:val="22"/>
          <w:szCs w:val="22"/>
        </w:rPr>
        <w:t>All Ireland Journal of Higher Education</w:t>
      </w:r>
      <w:r>
        <w:rPr>
          <w:rFonts w:ascii="Arial" w:hAnsi="Arial" w:cs="Arial"/>
          <w:sz w:val="22"/>
          <w:szCs w:val="22"/>
        </w:rPr>
        <w:t>, 9(3), pp. 3351–33514.</w:t>
      </w:r>
    </w:p>
    <w:p w14:paraId="5EC4FB9B"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Manchester, H. and Loyd, L. (2014) </w:t>
      </w:r>
      <w:r>
        <w:rPr>
          <w:rFonts w:ascii="Arial" w:hAnsi="Arial" w:cs="Arial"/>
          <w:i/>
          <w:iCs/>
          <w:sz w:val="22"/>
          <w:szCs w:val="22"/>
        </w:rPr>
        <w:t>Care homes need urgent review</w:t>
      </w:r>
      <w:r>
        <w:rPr>
          <w:rFonts w:ascii="Arial" w:hAnsi="Arial" w:cs="Arial"/>
          <w:sz w:val="22"/>
          <w:szCs w:val="22"/>
        </w:rPr>
        <w:t>. Available at: https://www.bristol.ac.uk/policybristol/policy-briefings/care-homes/ (Accessed: 30 June 2025).</w:t>
      </w:r>
    </w:p>
    <w:p w14:paraId="45F55475"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Marshall, F. </w:t>
      </w:r>
      <w:r>
        <w:rPr>
          <w:rFonts w:ascii="Arial" w:hAnsi="Arial" w:cs="Arial"/>
          <w:i/>
          <w:iCs/>
          <w:sz w:val="22"/>
          <w:szCs w:val="22"/>
        </w:rPr>
        <w:t>et al.</w:t>
      </w:r>
      <w:r>
        <w:rPr>
          <w:rFonts w:ascii="Arial" w:hAnsi="Arial" w:cs="Arial"/>
          <w:sz w:val="22"/>
          <w:szCs w:val="22"/>
        </w:rPr>
        <w:t xml:space="preserve"> (2021) ‘Care homes, their communities, and resilience in the face of the COVID-19 pandemic: interim findings from a qualitative study’, </w:t>
      </w:r>
      <w:r>
        <w:rPr>
          <w:rFonts w:ascii="Arial" w:hAnsi="Arial" w:cs="Arial"/>
          <w:i/>
          <w:iCs/>
          <w:sz w:val="22"/>
          <w:szCs w:val="22"/>
        </w:rPr>
        <w:t>BMC Geriatrics</w:t>
      </w:r>
      <w:r>
        <w:rPr>
          <w:rFonts w:ascii="Arial" w:hAnsi="Arial" w:cs="Arial"/>
          <w:sz w:val="22"/>
          <w:szCs w:val="22"/>
        </w:rPr>
        <w:t>, 21(1). Available at: https://doi.org/10.1186/s12877-021-02053-9.</w:t>
      </w:r>
    </w:p>
    <w:p w14:paraId="6FB5DC9A"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Marshall, F. </w:t>
      </w:r>
      <w:r>
        <w:rPr>
          <w:rFonts w:ascii="Arial" w:hAnsi="Arial" w:cs="Arial"/>
          <w:i/>
          <w:iCs/>
          <w:sz w:val="22"/>
          <w:szCs w:val="22"/>
        </w:rPr>
        <w:t>et al.</w:t>
      </w:r>
      <w:r>
        <w:rPr>
          <w:rFonts w:ascii="Arial" w:hAnsi="Arial" w:cs="Arial"/>
          <w:sz w:val="22"/>
          <w:szCs w:val="22"/>
        </w:rPr>
        <w:t xml:space="preserve"> (2023) ‘“Crack on”: a qualitative study of care home managers experiences and responses to system-led setbacks during the crisis of the COVID-19 Pandemic in England’, </w:t>
      </w:r>
      <w:r>
        <w:rPr>
          <w:rFonts w:ascii="Arial" w:hAnsi="Arial" w:cs="Arial"/>
          <w:i/>
          <w:iCs/>
          <w:sz w:val="22"/>
          <w:szCs w:val="22"/>
        </w:rPr>
        <w:t>European Geriatric Medicine</w:t>
      </w:r>
      <w:r>
        <w:rPr>
          <w:rFonts w:ascii="Arial" w:hAnsi="Arial" w:cs="Arial"/>
          <w:sz w:val="22"/>
          <w:szCs w:val="22"/>
        </w:rPr>
        <w:t>, 14(4), pp. 811–821. Available at: https://doi.org/10.1007/s41999-023-00804-y.</w:t>
      </w:r>
    </w:p>
    <w:p w14:paraId="2EDCE074"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Marshall, J., Carter, L.-J. and James, I.A. (2020) </w:t>
      </w:r>
      <w:r>
        <w:rPr>
          <w:rFonts w:ascii="Arial" w:hAnsi="Arial" w:cs="Arial"/>
          <w:i/>
          <w:iCs/>
          <w:sz w:val="22"/>
          <w:szCs w:val="22"/>
        </w:rPr>
        <w:t>Meeting the Needs of People living in Care Homes during the Covid-19 Pandemic UK Perspective</w:t>
      </w:r>
      <w:r>
        <w:rPr>
          <w:rFonts w:ascii="Arial" w:hAnsi="Arial" w:cs="Arial"/>
          <w:sz w:val="22"/>
          <w:szCs w:val="22"/>
        </w:rPr>
        <w:t>. Available at: https://www.sirona-cic.org.uk/wp-content/uploads/2021/05/D06-Meeting-the-needs-of-People-living-in-Care-Homes-during-the-COVID-Ian-James.pdf (Accessed: 21 March 2025).</w:t>
      </w:r>
    </w:p>
    <w:p w14:paraId="6A9B9A2E"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Martín-Erice, I.S. </w:t>
      </w:r>
      <w:r>
        <w:rPr>
          <w:rFonts w:ascii="Arial" w:hAnsi="Arial" w:cs="Arial"/>
          <w:i/>
          <w:iCs/>
          <w:sz w:val="22"/>
          <w:szCs w:val="22"/>
        </w:rPr>
        <w:t>et al.</w:t>
      </w:r>
      <w:r>
        <w:rPr>
          <w:rFonts w:ascii="Arial" w:hAnsi="Arial" w:cs="Arial"/>
          <w:sz w:val="22"/>
          <w:szCs w:val="22"/>
        </w:rPr>
        <w:t xml:space="preserve"> (2024) ‘How did COVID-19 lockdown impact the health of older adults in nursing homes? A scoping review’, </w:t>
      </w:r>
      <w:r>
        <w:rPr>
          <w:rFonts w:ascii="Arial" w:hAnsi="Arial" w:cs="Arial"/>
          <w:i/>
          <w:iCs/>
          <w:sz w:val="22"/>
          <w:szCs w:val="22"/>
        </w:rPr>
        <w:t>BMC Geriatrics</w:t>
      </w:r>
      <w:r>
        <w:rPr>
          <w:rFonts w:ascii="Arial" w:hAnsi="Arial" w:cs="Arial"/>
          <w:sz w:val="22"/>
          <w:szCs w:val="22"/>
        </w:rPr>
        <w:t>, 24(1). Available at: https://doi.org/10.1186/s12877-024-05356-9.</w:t>
      </w:r>
    </w:p>
    <w:p w14:paraId="6E76C0F5"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Maslow, A.H. (1943) ‘A Theory of Human Motivation’, </w:t>
      </w:r>
      <w:r>
        <w:rPr>
          <w:rFonts w:ascii="Arial" w:hAnsi="Arial" w:cs="Arial"/>
          <w:i/>
          <w:iCs/>
          <w:sz w:val="22"/>
          <w:szCs w:val="22"/>
        </w:rPr>
        <w:t>Psychological Review</w:t>
      </w:r>
      <w:r>
        <w:rPr>
          <w:rFonts w:ascii="Arial" w:hAnsi="Arial" w:cs="Arial"/>
          <w:sz w:val="22"/>
          <w:szCs w:val="22"/>
        </w:rPr>
        <w:t>, 50(4), pp. 370–396. Available at: https://doi.org/10.1037/h0054346.</w:t>
      </w:r>
    </w:p>
    <w:p w14:paraId="5CD56692"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McKinlay, A.R., Fancourt, D. and Burton, A. (2021) ‘A Qualitative Study about the Mental Health and Wellbeing of Older Adults in the UK during the COVID-19 Pandemic’, </w:t>
      </w:r>
      <w:r>
        <w:rPr>
          <w:rFonts w:ascii="Arial" w:hAnsi="Arial" w:cs="Arial"/>
          <w:i/>
          <w:iCs/>
          <w:sz w:val="22"/>
          <w:szCs w:val="22"/>
        </w:rPr>
        <w:t>BMC Geriatrics</w:t>
      </w:r>
      <w:r>
        <w:rPr>
          <w:rFonts w:ascii="Arial" w:hAnsi="Arial" w:cs="Arial"/>
          <w:sz w:val="22"/>
          <w:szCs w:val="22"/>
        </w:rPr>
        <w:t>, 21(1). Available at: https://doi.org/10.1186/s12877-021-02367-8.</w:t>
      </w:r>
    </w:p>
    <w:p w14:paraId="01CCDAB7"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McNabb, S. </w:t>
      </w:r>
      <w:r>
        <w:rPr>
          <w:rFonts w:ascii="Arial" w:hAnsi="Arial" w:cs="Arial"/>
          <w:i/>
          <w:iCs/>
          <w:sz w:val="22"/>
          <w:szCs w:val="22"/>
        </w:rPr>
        <w:t>et al.</w:t>
      </w:r>
      <w:r>
        <w:rPr>
          <w:rFonts w:ascii="Arial" w:hAnsi="Arial" w:cs="Arial"/>
          <w:sz w:val="22"/>
          <w:szCs w:val="22"/>
        </w:rPr>
        <w:t xml:space="preserve"> (2016) </w:t>
      </w:r>
      <w:r>
        <w:rPr>
          <w:rFonts w:ascii="Arial" w:hAnsi="Arial" w:cs="Arial"/>
          <w:i/>
          <w:iCs/>
          <w:sz w:val="22"/>
          <w:szCs w:val="22"/>
        </w:rPr>
        <w:t>Transforming Public Health Surveillance</w:t>
      </w:r>
      <w:r>
        <w:rPr>
          <w:rFonts w:ascii="Arial" w:hAnsi="Arial" w:cs="Arial"/>
          <w:sz w:val="22"/>
          <w:szCs w:val="22"/>
        </w:rPr>
        <w:t>. Elsevier Health Sciences, pp. 299–305.</w:t>
      </w:r>
    </w:p>
    <w:p w14:paraId="2AEF52A2"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i/>
          <w:iCs/>
          <w:sz w:val="22"/>
          <w:szCs w:val="22"/>
        </w:rPr>
        <w:t>Mental Capacity Act 2005, c. 9.</w:t>
      </w:r>
      <w:r>
        <w:rPr>
          <w:rFonts w:ascii="Arial" w:hAnsi="Arial" w:cs="Arial"/>
          <w:sz w:val="22"/>
          <w:szCs w:val="22"/>
        </w:rPr>
        <w:t xml:space="preserve"> (no date). Available at: https://www.legislation.gov.uk/ukpga/2005/9/introduction (Accessed: 6 March 2025).</w:t>
      </w:r>
    </w:p>
    <w:p w14:paraId="3A41D484"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Mental Health Foundation (2020) </w:t>
      </w:r>
      <w:r>
        <w:rPr>
          <w:rFonts w:ascii="Arial" w:hAnsi="Arial" w:cs="Arial"/>
          <w:i/>
          <w:iCs/>
          <w:sz w:val="22"/>
          <w:szCs w:val="22"/>
        </w:rPr>
        <w:t>Coronavirus: The divergence of mental health experiences during the pandemic</w:t>
      </w:r>
      <w:r>
        <w:rPr>
          <w:rFonts w:ascii="Arial" w:hAnsi="Arial" w:cs="Arial"/>
          <w:sz w:val="22"/>
          <w:szCs w:val="22"/>
        </w:rPr>
        <w:t>. Available at: https://www.mentalhealth.org.uk/our-work/research/coronavirus-divergence-mental-health-experiences-during-pandemic (Accessed: 30 June 2025).</w:t>
      </w:r>
    </w:p>
    <w:p w14:paraId="0A829742"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Mind (2023) </w:t>
      </w:r>
      <w:r>
        <w:rPr>
          <w:rFonts w:ascii="Arial" w:hAnsi="Arial" w:cs="Arial"/>
          <w:i/>
          <w:iCs/>
          <w:sz w:val="22"/>
          <w:szCs w:val="22"/>
        </w:rPr>
        <w:t>How Has Maslow’s ‘Hierarchy of Needs’ Been Tested During Covid-19? - Dorset Mind</w:t>
      </w:r>
      <w:r>
        <w:rPr>
          <w:rFonts w:ascii="Arial" w:hAnsi="Arial" w:cs="Arial"/>
          <w:sz w:val="22"/>
          <w:szCs w:val="22"/>
        </w:rPr>
        <w:t>. Available at: https://dorsetmind.uk/how-has-maslows-hierarchy-of-needs-been-tested-during-covid-19/ (Accessed: 28 March 2025).</w:t>
      </w:r>
    </w:p>
    <w:p w14:paraId="4EF18782"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Mishra, S. and Dey, A.K. (2022) ‘Understanding and Identifying “themes” in Qualitative Case Study Research’, </w:t>
      </w:r>
      <w:r>
        <w:rPr>
          <w:rFonts w:ascii="Arial" w:hAnsi="Arial" w:cs="Arial"/>
          <w:i/>
          <w:iCs/>
          <w:sz w:val="22"/>
          <w:szCs w:val="22"/>
        </w:rPr>
        <w:t>South Asian Journal of Business and Management Cases</w:t>
      </w:r>
      <w:r>
        <w:rPr>
          <w:rFonts w:ascii="Arial" w:hAnsi="Arial" w:cs="Arial"/>
          <w:sz w:val="22"/>
          <w:szCs w:val="22"/>
        </w:rPr>
        <w:t>, 11(3), pp. 187–192. Available at: https://journals.sagepub.com/doi/full/10.1177/22779779221134659.</w:t>
      </w:r>
    </w:p>
    <w:p w14:paraId="22E85979"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Mohan, G. and Lyons, S. (2022) ‘High-speed broadband availability, Internet activity among older people, quality of life and loneliness’, </w:t>
      </w:r>
      <w:r>
        <w:rPr>
          <w:rFonts w:ascii="Arial" w:hAnsi="Arial" w:cs="Arial"/>
          <w:i/>
          <w:iCs/>
          <w:sz w:val="22"/>
          <w:szCs w:val="22"/>
        </w:rPr>
        <w:t>New Media &amp; Society</w:t>
      </w:r>
      <w:r>
        <w:rPr>
          <w:rFonts w:ascii="Arial" w:hAnsi="Arial" w:cs="Arial"/>
          <w:sz w:val="22"/>
          <w:szCs w:val="22"/>
        </w:rPr>
        <w:t>, 26(5), p. 146144482210952. Available at: https://doi.org/10.1177/14614448221095218.</w:t>
      </w:r>
    </w:p>
    <w:p w14:paraId="46BD493A"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Moon, S. and Park, K. (2020) ‘The effect of digital reminiscence therapy on people with dementia: a pilot randomized controlled trial’, </w:t>
      </w:r>
      <w:r>
        <w:rPr>
          <w:rFonts w:ascii="Arial" w:hAnsi="Arial" w:cs="Arial"/>
          <w:i/>
          <w:iCs/>
          <w:sz w:val="22"/>
          <w:szCs w:val="22"/>
        </w:rPr>
        <w:t>BMC Geriatrics</w:t>
      </w:r>
      <w:r>
        <w:rPr>
          <w:rFonts w:ascii="Arial" w:hAnsi="Arial" w:cs="Arial"/>
          <w:sz w:val="22"/>
          <w:szCs w:val="22"/>
        </w:rPr>
        <w:t>, 20(1). Available at: https://doi.org/10.1186/s12877-020-01563-2.</w:t>
      </w:r>
    </w:p>
    <w:p w14:paraId="66AF20D7"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Mortell, M. (2022) </w:t>
      </w:r>
      <w:r>
        <w:rPr>
          <w:rFonts w:ascii="Arial" w:hAnsi="Arial" w:cs="Arial"/>
          <w:i/>
          <w:iCs/>
          <w:sz w:val="22"/>
          <w:szCs w:val="22"/>
        </w:rPr>
        <w:t>COVID19 non-Compliance; Maslow’s Theory of Needs and the Human spirit: Are they linked?</w:t>
      </w:r>
      <w:r>
        <w:rPr>
          <w:rFonts w:ascii="Arial" w:hAnsi="Arial" w:cs="Arial"/>
          <w:sz w:val="22"/>
          <w:szCs w:val="22"/>
        </w:rPr>
        <w:t xml:space="preserve"> Available at: https://doi.org/10.13140/RG.2.2.33170.17608.</w:t>
      </w:r>
    </w:p>
    <w:p w14:paraId="678BD216"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Munson, S. (2024a) </w:t>
      </w:r>
      <w:r>
        <w:rPr>
          <w:rFonts w:ascii="Arial" w:hAnsi="Arial" w:cs="Arial"/>
          <w:i/>
          <w:iCs/>
          <w:sz w:val="22"/>
          <w:szCs w:val="22"/>
        </w:rPr>
        <w:t>A history of care homes</w:t>
      </w:r>
      <w:r>
        <w:rPr>
          <w:rFonts w:ascii="Arial" w:hAnsi="Arial" w:cs="Arial"/>
          <w:sz w:val="22"/>
          <w:szCs w:val="22"/>
        </w:rPr>
        <w:t>. Available at: https://www.carehome.co.uk/advice/a-history-of-care-homes (Accessed: 11 March 2025).</w:t>
      </w:r>
    </w:p>
    <w:p w14:paraId="7A078B1A"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Munson, S. (2024b) </w:t>
      </w:r>
      <w:r>
        <w:rPr>
          <w:rFonts w:ascii="Arial" w:hAnsi="Arial" w:cs="Arial"/>
          <w:i/>
          <w:iCs/>
          <w:sz w:val="22"/>
          <w:szCs w:val="22"/>
        </w:rPr>
        <w:t>History of home care in the UK</w:t>
      </w:r>
      <w:r>
        <w:rPr>
          <w:rFonts w:ascii="Arial" w:hAnsi="Arial" w:cs="Arial"/>
          <w:sz w:val="22"/>
          <w:szCs w:val="22"/>
        </w:rPr>
        <w:t xml:space="preserve">, </w:t>
      </w:r>
      <w:r>
        <w:rPr>
          <w:rFonts w:ascii="Arial" w:hAnsi="Arial" w:cs="Arial"/>
          <w:i/>
          <w:iCs/>
          <w:sz w:val="22"/>
          <w:szCs w:val="22"/>
        </w:rPr>
        <w:t>Homecare.co.uk</w:t>
      </w:r>
      <w:r>
        <w:rPr>
          <w:rFonts w:ascii="Arial" w:hAnsi="Arial" w:cs="Arial"/>
          <w:sz w:val="22"/>
          <w:szCs w:val="22"/>
        </w:rPr>
        <w:t>. Available at: https://www.homecare.co.uk/advice/a-history-of-home-care (Accessed: 11 March 2025).</w:t>
      </w:r>
    </w:p>
    <w:p w14:paraId="0E7060FB"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National Institute on Aging (2019) </w:t>
      </w:r>
      <w:r>
        <w:rPr>
          <w:rFonts w:ascii="Arial" w:hAnsi="Arial" w:cs="Arial"/>
          <w:i/>
          <w:iCs/>
          <w:sz w:val="22"/>
          <w:szCs w:val="22"/>
        </w:rPr>
        <w:t>Social isolation, loneliness in older people pose health risks</w:t>
      </w:r>
      <w:r>
        <w:rPr>
          <w:rFonts w:ascii="Arial" w:hAnsi="Arial" w:cs="Arial"/>
          <w:sz w:val="22"/>
          <w:szCs w:val="22"/>
        </w:rPr>
        <w:t>. Available at: https://www.nia.nih.gov/news/social-isolation-loneliness-older-people-pose-health-risks (Accessed: 13 July 2025).</w:t>
      </w:r>
    </w:p>
    <w:p w14:paraId="08452C78"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National Institute on Aging (2024) </w:t>
      </w:r>
      <w:r>
        <w:rPr>
          <w:rFonts w:ascii="Arial" w:hAnsi="Arial" w:cs="Arial"/>
          <w:i/>
          <w:iCs/>
          <w:sz w:val="22"/>
          <w:szCs w:val="22"/>
        </w:rPr>
        <w:t>Loneliness and Social Isolation</w:t>
      </w:r>
      <w:r>
        <w:rPr>
          <w:rFonts w:ascii="Arial" w:hAnsi="Arial" w:cs="Arial"/>
          <w:sz w:val="22"/>
          <w:szCs w:val="22"/>
        </w:rPr>
        <w:t>. Available at: https://www.nia.nih.gov/health/loneliness-and-social-isolation/loneliness-and-social-isolation-tips-staying-connected (Accessed: 14 July 2025).</w:t>
      </w:r>
    </w:p>
    <w:p w14:paraId="60C79C4F"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(2023) </w:t>
      </w:r>
      <w:r>
        <w:rPr>
          <w:rFonts w:ascii="Arial" w:hAnsi="Arial" w:cs="Arial"/>
          <w:i/>
          <w:iCs/>
          <w:sz w:val="22"/>
          <w:szCs w:val="22"/>
        </w:rPr>
        <w:t>Symptoms - Depression in adults</w:t>
      </w:r>
      <w:r>
        <w:rPr>
          <w:rFonts w:ascii="Arial" w:hAnsi="Arial" w:cs="Arial"/>
          <w:sz w:val="22"/>
          <w:szCs w:val="22"/>
        </w:rPr>
        <w:t>. Available at: https://www.nhs.uk/mental-health/conditions/depression-in-adults/symptoms/ (Accessed: 22 February 2025).</w:t>
      </w:r>
    </w:p>
    <w:p w14:paraId="64C45CB0"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England (2022) </w:t>
      </w:r>
      <w:r>
        <w:rPr>
          <w:rFonts w:ascii="Arial" w:hAnsi="Arial" w:cs="Arial"/>
          <w:i/>
          <w:iCs/>
          <w:sz w:val="22"/>
          <w:szCs w:val="22"/>
        </w:rPr>
        <w:t>COVID-19: Summary of infection prevention and control guidance and information for healthcare settings</w:t>
      </w:r>
      <w:r>
        <w:rPr>
          <w:rFonts w:ascii="Arial" w:hAnsi="Arial" w:cs="Arial"/>
          <w:sz w:val="22"/>
          <w:szCs w:val="22"/>
        </w:rPr>
        <w:t>. Available at: https://www.england.nhs.uk/coronavirus/documents/covid-19-summary-of-infection-prevention-and-control-guidance-and-information-for-healthcare-settings/#table-5 (Accessed: 19 July 2025).</w:t>
      </w:r>
    </w:p>
    <w:p w14:paraId="5C24AB8B"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England (2023) </w:t>
      </w:r>
      <w:r>
        <w:rPr>
          <w:rFonts w:ascii="Arial" w:hAnsi="Arial" w:cs="Arial"/>
          <w:i/>
          <w:iCs/>
          <w:sz w:val="22"/>
          <w:szCs w:val="22"/>
        </w:rPr>
        <w:t>Providing proactive care for people living in care homes – Enhanced health in care homes framework</w:t>
      </w:r>
      <w:r>
        <w:rPr>
          <w:rFonts w:ascii="Arial" w:hAnsi="Arial" w:cs="Arial"/>
          <w:sz w:val="22"/>
          <w:szCs w:val="22"/>
        </w:rPr>
        <w:t>. Available at: https://www.england.nhs.uk/long-read/providing-proactive-care-for-people-living-in-care-homes-enhanced-health-in-care-homes-framework/ (Accessed: 22 February 2025).</w:t>
      </w:r>
    </w:p>
    <w:p w14:paraId="05D5EB03"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England (2024a) </w:t>
      </w:r>
      <w:r>
        <w:rPr>
          <w:rFonts w:ascii="Arial" w:hAnsi="Arial" w:cs="Arial"/>
          <w:i/>
          <w:iCs/>
          <w:sz w:val="22"/>
          <w:szCs w:val="22"/>
        </w:rPr>
        <w:t>Commissioning framework for mental health inpatient services</w:t>
      </w:r>
      <w:r>
        <w:rPr>
          <w:rFonts w:ascii="Arial" w:hAnsi="Arial" w:cs="Arial"/>
          <w:sz w:val="22"/>
          <w:szCs w:val="22"/>
        </w:rPr>
        <w:t>. Available at: https://www.england.nhs.uk/long-read/commissioning-framework-for-mental-health-inpatient-services/ (Accessed: 21 July 2025).</w:t>
      </w:r>
    </w:p>
    <w:p w14:paraId="7AA57AB3"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England (2024b) </w:t>
      </w:r>
      <w:r>
        <w:rPr>
          <w:rFonts w:ascii="Arial" w:hAnsi="Arial" w:cs="Arial"/>
          <w:i/>
          <w:iCs/>
          <w:sz w:val="22"/>
          <w:szCs w:val="22"/>
        </w:rPr>
        <w:t>Inclusive digital healthcare: a framework for NHS action on digital inclusion</w:t>
      </w:r>
      <w:r>
        <w:rPr>
          <w:rFonts w:ascii="Arial" w:hAnsi="Arial" w:cs="Arial"/>
          <w:sz w:val="22"/>
          <w:szCs w:val="22"/>
        </w:rPr>
        <w:t>. Available at: https://www.england.nhs.uk/long-read/inclusive-digital-healthcare-a-framework-for-nhs-action-on-digital-inclusion/ (Accessed: 4 March 2025).</w:t>
      </w:r>
    </w:p>
    <w:p w14:paraId="3961101A"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England (no date) </w:t>
      </w:r>
      <w:r>
        <w:rPr>
          <w:rFonts w:ascii="Arial" w:hAnsi="Arial" w:cs="Arial"/>
          <w:i/>
          <w:iCs/>
          <w:sz w:val="22"/>
          <w:szCs w:val="22"/>
        </w:rPr>
        <w:t>Using digital services in your care home</w:t>
      </w:r>
      <w:r>
        <w:rPr>
          <w:rFonts w:ascii="Arial" w:hAnsi="Arial" w:cs="Arial"/>
          <w:sz w:val="22"/>
          <w:szCs w:val="22"/>
        </w:rPr>
        <w:t xml:space="preserve">, </w:t>
      </w:r>
      <w:r>
        <w:rPr>
          <w:rFonts w:ascii="Arial" w:hAnsi="Arial" w:cs="Arial"/>
          <w:i/>
          <w:iCs/>
          <w:sz w:val="22"/>
          <w:szCs w:val="22"/>
        </w:rPr>
        <w:t>NHS Transformation Directorate</w:t>
      </w:r>
      <w:r>
        <w:rPr>
          <w:rFonts w:ascii="Arial" w:hAnsi="Arial" w:cs="Arial"/>
          <w:sz w:val="22"/>
          <w:szCs w:val="22"/>
        </w:rPr>
        <w:t>. Available at: https://transform.england.nhs.uk/covid-19-response/social-care/using-digital-services-your-care-home/ (Accessed: 21 July 2025).</w:t>
      </w:r>
    </w:p>
    <w:p w14:paraId="5BB37EA6"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Foundation Trust (2023) </w:t>
      </w:r>
      <w:r>
        <w:rPr>
          <w:rFonts w:ascii="Arial" w:hAnsi="Arial" w:cs="Arial"/>
          <w:i/>
          <w:iCs/>
          <w:sz w:val="22"/>
          <w:szCs w:val="22"/>
        </w:rPr>
        <w:t>Cognitive stimulation therapy (CST)</w:t>
      </w:r>
      <w:r>
        <w:rPr>
          <w:rFonts w:ascii="Arial" w:hAnsi="Arial" w:cs="Arial"/>
          <w:sz w:val="22"/>
          <w:szCs w:val="22"/>
        </w:rPr>
        <w:t>. Available at: https://www.tewv.nhs.uk/about-your-care/treatments-therapies/groups/cognitive-stimulation-therapy/ (Accessed: 21 July 2025).</w:t>
      </w:r>
    </w:p>
    <w:p w14:paraId="100E91E8"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Improvement (2021) </w:t>
      </w:r>
      <w:r>
        <w:rPr>
          <w:rFonts w:ascii="Arial" w:hAnsi="Arial" w:cs="Arial"/>
          <w:i/>
          <w:iCs/>
          <w:sz w:val="22"/>
          <w:szCs w:val="22"/>
        </w:rPr>
        <w:t>A model for measuring quality care</w:t>
      </w:r>
      <w:r>
        <w:rPr>
          <w:rFonts w:ascii="Arial" w:hAnsi="Arial" w:cs="Arial"/>
          <w:sz w:val="22"/>
          <w:szCs w:val="22"/>
        </w:rPr>
        <w:t>. Available at: https://www.med.unc.edu/ihqi/wp-content/uploads/sites/463/2021/01/A-Model-for-Measuring-Quality-Care-NHS-Improvement-brief.pdf (Accessed: 19 July 2025).</w:t>
      </w:r>
    </w:p>
    <w:p w14:paraId="1A001E77"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Nichols, M. (2020) ‘U.N. chief pans countries who ignored COVID-19 facts, WHO guidance’, </w:t>
      </w:r>
      <w:r>
        <w:rPr>
          <w:rFonts w:ascii="Arial" w:hAnsi="Arial" w:cs="Arial"/>
          <w:i/>
          <w:iCs/>
          <w:sz w:val="22"/>
          <w:szCs w:val="22"/>
        </w:rPr>
        <w:t>Reuters</w:t>
      </w:r>
      <w:r>
        <w:rPr>
          <w:rFonts w:ascii="Arial" w:hAnsi="Arial" w:cs="Arial"/>
          <w:sz w:val="22"/>
          <w:szCs w:val="22"/>
        </w:rPr>
        <w:t>, 4 December. Available at: https://www.reuters.com/article/world/un-chief-pans-</w:t>
      </w:r>
      <w:r>
        <w:rPr>
          <w:rFonts w:ascii="Arial" w:hAnsi="Arial" w:cs="Arial"/>
          <w:sz w:val="22"/>
          <w:szCs w:val="22"/>
        </w:rPr>
        <w:lastRenderedPageBreak/>
        <w:t>countries-who-ignored-covid-19-facts-who-guidance-idUSKBN28E080/ (Accessed: 25 March 2025).</w:t>
      </w:r>
    </w:p>
    <w:p w14:paraId="119D8304"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NIHR (2014) </w:t>
      </w:r>
      <w:r>
        <w:rPr>
          <w:rFonts w:ascii="Arial" w:hAnsi="Arial" w:cs="Arial"/>
          <w:i/>
          <w:iCs/>
          <w:sz w:val="22"/>
          <w:szCs w:val="22"/>
        </w:rPr>
        <w:t>Loneliness and social isolation</w:t>
      </w:r>
      <w:r>
        <w:rPr>
          <w:rFonts w:ascii="Arial" w:hAnsi="Arial" w:cs="Arial"/>
          <w:sz w:val="22"/>
          <w:szCs w:val="22"/>
        </w:rPr>
        <w:t>. Available at: https://www.york.ac.uk/media/crd/Loneliness%20and%20social%20isolation.pdf (Accessed: 21 July 2025).</w:t>
      </w:r>
    </w:p>
    <w:p w14:paraId="62B7E460"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NIHR (2021) </w:t>
      </w:r>
      <w:r>
        <w:rPr>
          <w:rFonts w:ascii="Arial" w:hAnsi="Arial" w:cs="Arial"/>
          <w:i/>
          <w:iCs/>
          <w:sz w:val="22"/>
          <w:szCs w:val="22"/>
        </w:rPr>
        <w:t>Loneliness linked to depression in older adults</w:t>
      </w:r>
      <w:r>
        <w:rPr>
          <w:rFonts w:ascii="Arial" w:hAnsi="Arial" w:cs="Arial"/>
          <w:sz w:val="22"/>
          <w:szCs w:val="22"/>
        </w:rPr>
        <w:t>. Available at: https://evidence.nihr.ac.uk/alert/loneliness-strongly-linked-depression-older-adults/ (Accessed: 22 February 2025).</w:t>
      </w:r>
    </w:p>
    <w:p w14:paraId="43C1325B"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NIHR (2022) </w:t>
      </w:r>
      <w:r>
        <w:rPr>
          <w:rFonts w:ascii="Arial" w:hAnsi="Arial" w:cs="Arial"/>
          <w:i/>
          <w:iCs/>
          <w:sz w:val="22"/>
          <w:szCs w:val="22"/>
        </w:rPr>
        <w:t>Social isolation, loneliness and the mental health of care home residents – lessons from the Covid-19 pandemic</w:t>
      </w:r>
      <w:r>
        <w:rPr>
          <w:rFonts w:ascii="Arial" w:hAnsi="Arial" w:cs="Arial"/>
          <w:sz w:val="22"/>
          <w:szCs w:val="22"/>
        </w:rPr>
        <w:t>. Available at: https://arc-sl.nihr.ac.uk/news-insights/blog-and-commentary/social-isolation-loneliness-and-mental-health-care-home-residents (Accessed: 26 February 2025).</w:t>
      </w:r>
    </w:p>
    <w:p w14:paraId="65B5B415"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ONS (2020) </w:t>
      </w:r>
      <w:r>
        <w:rPr>
          <w:rFonts w:ascii="Arial" w:hAnsi="Arial" w:cs="Arial"/>
          <w:i/>
          <w:iCs/>
          <w:sz w:val="22"/>
          <w:szCs w:val="22"/>
        </w:rPr>
        <w:t>Impact of coronavirus in care homes in England - Office for National Statistics</w:t>
      </w:r>
      <w:r>
        <w:rPr>
          <w:rFonts w:ascii="Arial" w:hAnsi="Arial" w:cs="Arial"/>
          <w:sz w:val="22"/>
          <w:szCs w:val="22"/>
        </w:rPr>
        <w:t>. Available at: https://www.ons.gov.uk/peoplepopulationandcommunity/healthandsocialcare/conditionsanddiseases/articles/impactofcoronavirusincarehomesinenglandvivaldi/latest (Accessed: 8 March 2025).</w:t>
      </w:r>
    </w:p>
    <w:p w14:paraId="06CA8078"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ONS (2021) </w:t>
      </w:r>
      <w:r>
        <w:rPr>
          <w:rFonts w:ascii="Arial" w:hAnsi="Arial" w:cs="Arial"/>
          <w:i/>
          <w:iCs/>
          <w:sz w:val="22"/>
          <w:szCs w:val="22"/>
        </w:rPr>
        <w:t>Coronavirus and depression in adults, Great Britain: July to August 2021</w:t>
      </w:r>
      <w:r>
        <w:rPr>
          <w:rFonts w:ascii="Arial" w:hAnsi="Arial" w:cs="Arial"/>
          <w:sz w:val="22"/>
          <w:szCs w:val="22"/>
        </w:rPr>
        <w:t>. Available at: https://backup.ons.gov.uk/wp-content/uploads/sites/3/2021/10/Coronavirus-and-depression-in-adults-Great-Britain-July-to-August-2021.pdf (Accessed: 12 March 2025).</w:t>
      </w:r>
    </w:p>
    <w:p w14:paraId="21AF3238"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Park, S. </w:t>
      </w:r>
      <w:r>
        <w:rPr>
          <w:rFonts w:ascii="Arial" w:hAnsi="Arial" w:cs="Arial"/>
          <w:i/>
          <w:iCs/>
          <w:sz w:val="22"/>
          <w:szCs w:val="22"/>
        </w:rPr>
        <w:t>et al.</w:t>
      </w:r>
      <w:r>
        <w:rPr>
          <w:rFonts w:ascii="Arial" w:hAnsi="Arial" w:cs="Arial"/>
          <w:sz w:val="22"/>
          <w:szCs w:val="22"/>
        </w:rPr>
        <w:t xml:space="preserve"> (2023) ‘Information communication technology accessibility and mental health for older adults during the coronavirus disease in South Korea’, </w:t>
      </w:r>
      <w:r>
        <w:rPr>
          <w:rFonts w:ascii="Arial" w:hAnsi="Arial" w:cs="Arial"/>
          <w:i/>
          <w:iCs/>
          <w:sz w:val="22"/>
          <w:szCs w:val="22"/>
        </w:rPr>
        <w:t>Frontiers in Public Health</w:t>
      </w:r>
      <w:r>
        <w:rPr>
          <w:rFonts w:ascii="Arial" w:hAnsi="Arial" w:cs="Arial"/>
          <w:sz w:val="22"/>
          <w:szCs w:val="22"/>
        </w:rPr>
        <w:t>, 11. Available at: https://doi.org/10.3389/fpubh.2023.1126900.</w:t>
      </w:r>
    </w:p>
    <w:p w14:paraId="592651C7"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Patwary, M. (2024) </w:t>
      </w:r>
      <w:r>
        <w:rPr>
          <w:rFonts w:ascii="Arial" w:hAnsi="Arial" w:cs="Arial"/>
          <w:i/>
          <w:iCs/>
          <w:sz w:val="22"/>
          <w:szCs w:val="22"/>
        </w:rPr>
        <w:t>Using Virtual Reality experiences to enhance the quality of life for residents of West Midlands’ care homes</w:t>
      </w:r>
      <w:r>
        <w:rPr>
          <w:rFonts w:ascii="Arial" w:hAnsi="Arial" w:cs="Arial"/>
          <w:sz w:val="22"/>
          <w:szCs w:val="22"/>
        </w:rPr>
        <w:t>. Available at: https://www.thenewmidlands.org.uk/vr-care-homes/ (Accessed: 21 July 2025).</w:t>
      </w:r>
    </w:p>
    <w:p w14:paraId="2E1C2B6A" w14:textId="77777777" w:rsidR="002C2D5C" w:rsidRDefault="002C2D5C" w:rsidP="002C2D5C">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Pearlin</w:t>
      </w:r>
      <w:proofErr w:type="spellEnd"/>
      <w:r>
        <w:rPr>
          <w:rFonts w:ascii="Arial" w:hAnsi="Arial" w:cs="Arial"/>
          <w:sz w:val="22"/>
          <w:szCs w:val="22"/>
        </w:rPr>
        <w:t xml:space="preserve">, L.I. </w:t>
      </w:r>
      <w:r>
        <w:rPr>
          <w:rFonts w:ascii="Arial" w:hAnsi="Arial" w:cs="Arial"/>
          <w:i/>
          <w:iCs/>
          <w:sz w:val="22"/>
          <w:szCs w:val="22"/>
        </w:rPr>
        <w:t>et al.</w:t>
      </w:r>
      <w:r>
        <w:rPr>
          <w:rFonts w:ascii="Arial" w:hAnsi="Arial" w:cs="Arial"/>
          <w:sz w:val="22"/>
          <w:szCs w:val="22"/>
        </w:rPr>
        <w:t xml:space="preserve"> (1981) ‘The Stress Process’, </w:t>
      </w:r>
      <w:r>
        <w:rPr>
          <w:rFonts w:ascii="Arial" w:hAnsi="Arial" w:cs="Arial"/>
          <w:i/>
          <w:iCs/>
          <w:sz w:val="22"/>
          <w:szCs w:val="22"/>
        </w:rPr>
        <w:t>Journal of Health and Social Behavior</w:t>
      </w:r>
      <w:r>
        <w:rPr>
          <w:rFonts w:ascii="Arial" w:hAnsi="Arial" w:cs="Arial"/>
          <w:sz w:val="22"/>
          <w:szCs w:val="22"/>
        </w:rPr>
        <w:t>, 22(4), pp. 337–356. Available at: https://doi.org/10.2307/2136676.</w:t>
      </w:r>
    </w:p>
    <w:p w14:paraId="09BA5F79"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Pelling, M. (2022) ‘Mythological Endings: John Snow (1813–1858) and the History of American Epidemiology’, </w:t>
      </w:r>
      <w:r>
        <w:rPr>
          <w:rFonts w:ascii="Arial" w:hAnsi="Arial" w:cs="Arial"/>
          <w:i/>
          <w:iCs/>
          <w:sz w:val="22"/>
          <w:szCs w:val="22"/>
        </w:rPr>
        <w:t>Centaurus</w:t>
      </w:r>
      <w:r>
        <w:rPr>
          <w:rFonts w:ascii="Arial" w:hAnsi="Arial" w:cs="Arial"/>
          <w:sz w:val="22"/>
          <w:szCs w:val="22"/>
        </w:rPr>
        <w:t>, 64(1), pp. 231–248. Available at: https://doi.org/10.1484/j.cnt.5.130194.</w:t>
      </w:r>
    </w:p>
    <w:p w14:paraId="4DED4FE4"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Pérez-Rodríguez, P. </w:t>
      </w:r>
      <w:r>
        <w:rPr>
          <w:rFonts w:ascii="Arial" w:hAnsi="Arial" w:cs="Arial"/>
          <w:i/>
          <w:iCs/>
          <w:sz w:val="22"/>
          <w:szCs w:val="22"/>
        </w:rPr>
        <w:t>et al.</w:t>
      </w:r>
      <w:r>
        <w:rPr>
          <w:rFonts w:ascii="Arial" w:hAnsi="Arial" w:cs="Arial"/>
          <w:sz w:val="22"/>
          <w:szCs w:val="22"/>
        </w:rPr>
        <w:t xml:space="preserve"> (2021) ‘Functional, cognitive, and nutritional decline in 435 elderly nursing home residents after the first wave of the COVID-19 Pandemic’, </w:t>
      </w:r>
      <w:r>
        <w:rPr>
          <w:rFonts w:ascii="Arial" w:hAnsi="Arial" w:cs="Arial"/>
          <w:i/>
          <w:iCs/>
          <w:sz w:val="22"/>
          <w:szCs w:val="22"/>
        </w:rPr>
        <w:t>European Geriatric Medicine</w:t>
      </w:r>
      <w:r>
        <w:rPr>
          <w:rFonts w:ascii="Arial" w:hAnsi="Arial" w:cs="Arial"/>
          <w:sz w:val="22"/>
          <w:szCs w:val="22"/>
        </w:rPr>
        <w:t>, 12(6). Available at: https://doi.org/10.1007/s41999-021-00524-1.</w:t>
      </w:r>
    </w:p>
    <w:p w14:paraId="241EBABE" w14:textId="77777777" w:rsidR="002C2D5C" w:rsidRDefault="002C2D5C" w:rsidP="002C2D5C">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Phillora</w:t>
      </w:r>
      <w:proofErr w:type="spellEnd"/>
      <w:r>
        <w:rPr>
          <w:rFonts w:ascii="Arial" w:hAnsi="Arial" w:cs="Arial"/>
          <w:sz w:val="22"/>
          <w:szCs w:val="22"/>
        </w:rPr>
        <w:t xml:space="preserve">, S. (2025) </w:t>
      </w:r>
      <w:r>
        <w:rPr>
          <w:rFonts w:ascii="Arial" w:hAnsi="Arial" w:cs="Arial"/>
          <w:i/>
          <w:iCs/>
          <w:sz w:val="22"/>
          <w:szCs w:val="22"/>
        </w:rPr>
        <w:t>Secondary research explained: How to conduct efficient research with existing data</w:t>
      </w:r>
      <w:r>
        <w:rPr>
          <w:rFonts w:ascii="Arial" w:hAnsi="Arial" w:cs="Arial"/>
          <w:sz w:val="22"/>
          <w:szCs w:val="22"/>
        </w:rPr>
        <w:t>. Available at: https://maze.co/collections/user-research/secondary-research/ (Accessed: 11 June 2025).</w:t>
      </w:r>
    </w:p>
    <w:p w14:paraId="49EEC77E"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Radkowski, P. </w:t>
      </w:r>
      <w:r>
        <w:rPr>
          <w:rFonts w:ascii="Arial" w:hAnsi="Arial" w:cs="Arial"/>
          <w:i/>
          <w:iCs/>
          <w:sz w:val="22"/>
          <w:szCs w:val="22"/>
        </w:rPr>
        <w:t>et al.</w:t>
      </w:r>
      <w:r>
        <w:rPr>
          <w:rFonts w:ascii="Arial" w:hAnsi="Arial" w:cs="Arial"/>
          <w:sz w:val="22"/>
          <w:szCs w:val="22"/>
        </w:rPr>
        <w:t xml:space="preserve"> (2024) ‘Pioneer of epidemiology and </w:t>
      </w:r>
      <w:proofErr w:type="spellStart"/>
      <w:r>
        <w:rPr>
          <w:rFonts w:ascii="Arial" w:hAnsi="Arial" w:cs="Arial"/>
          <w:sz w:val="22"/>
          <w:szCs w:val="22"/>
        </w:rPr>
        <w:t>anesthesiology</w:t>
      </w:r>
      <w:proofErr w:type="spellEnd"/>
      <w:r>
        <w:rPr>
          <w:rFonts w:ascii="Arial" w:hAnsi="Arial" w:cs="Arial"/>
          <w:sz w:val="22"/>
          <w:szCs w:val="22"/>
        </w:rPr>
        <w:t xml:space="preserve"> – John Snow (1813–1858)’, </w:t>
      </w:r>
      <w:r>
        <w:rPr>
          <w:rFonts w:ascii="Arial" w:hAnsi="Arial" w:cs="Arial"/>
          <w:i/>
          <w:iCs/>
          <w:sz w:val="22"/>
          <w:szCs w:val="22"/>
        </w:rPr>
        <w:t>Polish Annals of Medicine</w:t>
      </w:r>
      <w:r>
        <w:rPr>
          <w:rFonts w:ascii="Arial" w:hAnsi="Arial" w:cs="Arial"/>
          <w:sz w:val="22"/>
          <w:szCs w:val="22"/>
        </w:rPr>
        <w:t>, pp. 1–4. Available at: https://doi.org/10.29089/paom/193593.</w:t>
      </w:r>
    </w:p>
    <w:p w14:paraId="6867F6A7" w14:textId="60273C70"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Ray, S. and Davidson, S. (2014) </w:t>
      </w:r>
      <w:r>
        <w:rPr>
          <w:rFonts w:ascii="Arial" w:hAnsi="Arial" w:cs="Arial"/>
          <w:i/>
          <w:iCs/>
          <w:sz w:val="22"/>
          <w:szCs w:val="22"/>
        </w:rPr>
        <w:t>Dementia and Cognitive Decline</w:t>
      </w:r>
      <w:r w:rsidR="009B1641">
        <w:rPr>
          <w:rFonts w:ascii="Arial" w:hAnsi="Arial" w:cs="Arial"/>
          <w:i/>
          <w:iCs/>
          <w:sz w:val="22"/>
          <w:szCs w:val="22"/>
        </w:rPr>
        <w:t>:</w:t>
      </w:r>
      <w:r>
        <w:rPr>
          <w:rFonts w:ascii="Arial" w:hAnsi="Arial" w:cs="Arial"/>
          <w:i/>
          <w:iCs/>
          <w:sz w:val="22"/>
          <w:szCs w:val="22"/>
        </w:rPr>
        <w:t xml:space="preserve"> </w:t>
      </w:r>
      <w:r w:rsidR="009B1641">
        <w:rPr>
          <w:rFonts w:ascii="Arial" w:hAnsi="Arial" w:cs="Arial"/>
          <w:i/>
          <w:iCs/>
          <w:sz w:val="22"/>
          <w:szCs w:val="22"/>
        </w:rPr>
        <w:t>A</w:t>
      </w:r>
      <w:r>
        <w:rPr>
          <w:rFonts w:ascii="Arial" w:hAnsi="Arial" w:cs="Arial"/>
          <w:i/>
          <w:iCs/>
          <w:sz w:val="22"/>
          <w:szCs w:val="22"/>
        </w:rPr>
        <w:t xml:space="preserve"> Review of the Evidence</w:t>
      </w:r>
      <w:r>
        <w:rPr>
          <w:rFonts w:ascii="Arial" w:hAnsi="Arial" w:cs="Arial"/>
          <w:sz w:val="22"/>
          <w:szCs w:val="22"/>
        </w:rPr>
        <w:t>. Available at: https://www.ageuk.org.uk/siteassets/documents/reports-and-publications/reports-and-briefings/health--wellbeing/rb_oct14_cognitive_decline_and_dementia_evidence_review_age_uk.pdf (Accessed: 13 July 2025).</w:t>
      </w:r>
    </w:p>
    <w:p w14:paraId="776E4240"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RCOT (2023) </w:t>
      </w:r>
      <w:r>
        <w:rPr>
          <w:rFonts w:ascii="Arial" w:hAnsi="Arial" w:cs="Arial"/>
          <w:i/>
          <w:iCs/>
          <w:sz w:val="22"/>
          <w:szCs w:val="22"/>
        </w:rPr>
        <w:t>Living well in care homes</w:t>
      </w:r>
      <w:r>
        <w:rPr>
          <w:rFonts w:ascii="Arial" w:hAnsi="Arial" w:cs="Arial"/>
          <w:sz w:val="22"/>
          <w:szCs w:val="22"/>
        </w:rPr>
        <w:t>. Available at: https://www.rcot.co.uk/learn-about-occupational-therapy/ot-advice/living-well-care-homes (Accessed: 21 July 2025).</w:t>
      </w:r>
    </w:p>
    <w:p w14:paraId="5BF08C6E"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Resnik, D. (2020) </w:t>
      </w:r>
      <w:r>
        <w:rPr>
          <w:rFonts w:ascii="Arial" w:hAnsi="Arial" w:cs="Arial"/>
          <w:i/>
          <w:iCs/>
          <w:sz w:val="22"/>
          <w:szCs w:val="22"/>
        </w:rPr>
        <w:t>What is ethics in research &amp; why is it important?</w:t>
      </w:r>
      <w:r>
        <w:rPr>
          <w:rFonts w:ascii="Arial" w:hAnsi="Arial" w:cs="Arial"/>
          <w:sz w:val="22"/>
          <w:szCs w:val="22"/>
        </w:rPr>
        <w:t xml:space="preserve"> Available at: https://www.niehs.nih.gov/research/resources/bioethics/whatis (Accessed: 11 June 2025).</w:t>
      </w:r>
    </w:p>
    <w:p w14:paraId="3648497A"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Richardson, G., Cleary, R. and Usher, R. (2022) ‘The impact of the COVID-19 restrictions on nursing home residents: An occupational perspective’, </w:t>
      </w:r>
      <w:r>
        <w:rPr>
          <w:rFonts w:ascii="Arial" w:hAnsi="Arial" w:cs="Arial"/>
          <w:i/>
          <w:iCs/>
          <w:sz w:val="22"/>
          <w:szCs w:val="22"/>
        </w:rPr>
        <w:t>Journal of Occupational Science</w:t>
      </w:r>
      <w:r>
        <w:rPr>
          <w:rFonts w:ascii="Arial" w:hAnsi="Arial" w:cs="Arial"/>
          <w:sz w:val="22"/>
          <w:szCs w:val="22"/>
        </w:rPr>
        <w:t>, 29(3), pp. 1–16. Available at: https://doi.org/10.1080/14427591.2022.2066158.</w:t>
      </w:r>
    </w:p>
    <w:p w14:paraId="0E37AE48" w14:textId="5C4686E0"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Ritch, A. (2015) </w:t>
      </w:r>
      <w:r>
        <w:rPr>
          <w:rFonts w:ascii="Arial" w:hAnsi="Arial" w:cs="Arial"/>
          <w:i/>
          <w:iCs/>
          <w:sz w:val="22"/>
          <w:szCs w:val="22"/>
        </w:rPr>
        <w:t>The Elderly and the Workhouse</w:t>
      </w:r>
      <w:r>
        <w:rPr>
          <w:rFonts w:ascii="Arial" w:hAnsi="Arial" w:cs="Arial"/>
          <w:sz w:val="22"/>
          <w:szCs w:val="22"/>
        </w:rPr>
        <w:t>. Available at: https://www.bgs.org.uk/resources/the-elderly-and-the-workhouse (Accessed: 3 March 2025).</w:t>
      </w:r>
    </w:p>
    <w:p w14:paraId="0925B549" w14:textId="77777777" w:rsidR="002C2D5C" w:rsidRDefault="002C2D5C" w:rsidP="002C2D5C">
      <w:pPr>
        <w:pStyle w:val="NormalWeb"/>
        <w:spacing w:before="0" w:beforeAutospacing="0" w:after="240" w:afterAutospacing="0" w:line="360" w:lineRule="auto"/>
        <w:rPr>
          <w:rFonts w:ascii="Arial" w:hAnsi="Arial" w:cs="Arial"/>
          <w:sz w:val="22"/>
          <w:szCs w:val="22"/>
        </w:rPr>
      </w:pPr>
      <w:r w:rsidRPr="009530D9">
        <w:rPr>
          <w:rFonts w:ascii="Arial" w:hAnsi="Arial" w:cs="Arial"/>
          <w:sz w:val="22"/>
          <w:szCs w:val="22"/>
          <w:lang w:val="nl-NL"/>
        </w:rPr>
        <w:t xml:space="preserve">Rodrigues, N.G. </w:t>
      </w:r>
      <w:r w:rsidRPr="009530D9">
        <w:rPr>
          <w:rFonts w:ascii="Arial" w:hAnsi="Arial" w:cs="Arial"/>
          <w:i/>
          <w:iCs/>
          <w:sz w:val="22"/>
          <w:szCs w:val="22"/>
          <w:lang w:val="nl-NL"/>
        </w:rPr>
        <w:t>et al.</w:t>
      </w:r>
      <w:r w:rsidRPr="009530D9">
        <w:rPr>
          <w:rFonts w:ascii="Arial" w:hAnsi="Arial" w:cs="Arial"/>
          <w:sz w:val="22"/>
          <w:szCs w:val="22"/>
          <w:lang w:val="nl-NL"/>
        </w:rPr>
        <w:t xml:space="preserve"> </w:t>
      </w:r>
      <w:r>
        <w:rPr>
          <w:rFonts w:ascii="Arial" w:hAnsi="Arial" w:cs="Arial"/>
          <w:sz w:val="22"/>
          <w:szCs w:val="22"/>
        </w:rPr>
        <w:t xml:space="preserve">(2021) ‘Psychological impacts and online interventions of social isolation amongst older adults during COVID-19 pandemic: A scoping review’, </w:t>
      </w:r>
      <w:r>
        <w:rPr>
          <w:rFonts w:ascii="Arial" w:hAnsi="Arial" w:cs="Arial"/>
          <w:i/>
          <w:iCs/>
          <w:sz w:val="22"/>
          <w:szCs w:val="22"/>
        </w:rPr>
        <w:t>ProQuest</w:t>
      </w:r>
      <w:r>
        <w:rPr>
          <w:rFonts w:ascii="Arial" w:hAnsi="Arial" w:cs="Arial"/>
          <w:sz w:val="22"/>
          <w:szCs w:val="22"/>
        </w:rPr>
        <w:t>, 78(3). Available at: https://doi.org/10.1111/jan.15063.</w:t>
      </w:r>
    </w:p>
    <w:p w14:paraId="06A85CAF" w14:textId="77777777" w:rsidR="002C2D5C" w:rsidRDefault="002C2D5C" w:rsidP="002C2D5C">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Röhr</w:t>
      </w:r>
      <w:proofErr w:type="spellEnd"/>
      <w:r>
        <w:rPr>
          <w:rFonts w:ascii="Arial" w:hAnsi="Arial" w:cs="Arial"/>
          <w:sz w:val="22"/>
          <w:szCs w:val="22"/>
        </w:rPr>
        <w:t xml:space="preserve">, S., </w:t>
      </w:r>
      <w:proofErr w:type="spellStart"/>
      <w:r>
        <w:rPr>
          <w:rFonts w:ascii="Arial" w:hAnsi="Arial" w:cs="Arial"/>
          <w:sz w:val="22"/>
          <w:szCs w:val="22"/>
        </w:rPr>
        <w:t>Reininghaus</w:t>
      </w:r>
      <w:proofErr w:type="spellEnd"/>
      <w:r>
        <w:rPr>
          <w:rFonts w:ascii="Arial" w:hAnsi="Arial" w:cs="Arial"/>
          <w:sz w:val="22"/>
          <w:szCs w:val="22"/>
        </w:rPr>
        <w:t xml:space="preserve">, U. and Riedel-Heller, S.G. (2020) ‘Mental wellbeing in the German old age population largely unaltered during COVID-19 lockdown: results of a representative survey’, </w:t>
      </w:r>
      <w:r>
        <w:rPr>
          <w:rFonts w:ascii="Arial" w:hAnsi="Arial" w:cs="Arial"/>
          <w:i/>
          <w:iCs/>
          <w:sz w:val="22"/>
          <w:szCs w:val="22"/>
        </w:rPr>
        <w:t>BMC Geriatrics</w:t>
      </w:r>
      <w:r>
        <w:rPr>
          <w:rFonts w:ascii="Arial" w:hAnsi="Arial" w:cs="Arial"/>
          <w:sz w:val="22"/>
          <w:szCs w:val="22"/>
        </w:rPr>
        <w:t>, 20(1). Available at: https://doi.org/10.1186/s12877-020-01889-x.</w:t>
      </w:r>
    </w:p>
    <w:p w14:paraId="03F84AAB"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Royal Commission (2021) </w:t>
      </w:r>
      <w:r>
        <w:rPr>
          <w:rFonts w:ascii="Arial" w:hAnsi="Arial" w:cs="Arial"/>
          <w:i/>
          <w:iCs/>
          <w:sz w:val="22"/>
          <w:szCs w:val="22"/>
        </w:rPr>
        <w:t>Final Report</w:t>
      </w:r>
      <w:r>
        <w:rPr>
          <w:rFonts w:ascii="Arial" w:hAnsi="Arial" w:cs="Arial"/>
          <w:sz w:val="22"/>
          <w:szCs w:val="22"/>
        </w:rPr>
        <w:t>. Available at: https://www.royalcommission.gov.au/aged-care/final-report (Accessed: 24 March 2025).</w:t>
      </w:r>
    </w:p>
    <w:p w14:paraId="67553239"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Ruths, M.B. (2009) ‘The Lesson of John Snow and the Broad Street Pump’, </w:t>
      </w:r>
      <w:r>
        <w:rPr>
          <w:rFonts w:ascii="Arial" w:hAnsi="Arial" w:cs="Arial"/>
          <w:i/>
          <w:iCs/>
          <w:sz w:val="22"/>
          <w:szCs w:val="22"/>
        </w:rPr>
        <w:t>AMA Journal of Ethics</w:t>
      </w:r>
      <w:r>
        <w:rPr>
          <w:rFonts w:ascii="Arial" w:hAnsi="Arial" w:cs="Arial"/>
          <w:sz w:val="22"/>
          <w:szCs w:val="22"/>
        </w:rPr>
        <w:t>, 11(6), pp. 470–472. Available at: https://doi.org/10.1001/virtualmentor.2009.11.6.mhst1-0906..</w:t>
      </w:r>
    </w:p>
    <w:p w14:paraId="4A74A613"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Saif, D. (2024) ‘Towards A Dynamic Model of Human Needs: A Critical Analysis of Maslow’s Hierarchy’, </w:t>
      </w:r>
      <w:r>
        <w:rPr>
          <w:rFonts w:ascii="Arial" w:hAnsi="Arial" w:cs="Arial"/>
          <w:i/>
          <w:iCs/>
          <w:sz w:val="22"/>
          <w:szCs w:val="22"/>
        </w:rPr>
        <w:t>International Journal of Multidisciplinary Approach Research and Science</w:t>
      </w:r>
      <w:r>
        <w:rPr>
          <w:rFonts w:ascii="Arial" w:hAnsi="Arial" w:cs="Arial"/>
          <w:sz w:val="22"/>
          <w:szCs w:val="22"/>
        </w:rPr>
        <w:t>, 2(03), pp. 1028–1046. Available at: https://doi.org/10.59653/ijmars.v2i03.674.</w:t>
      </w:r>
    </w:p>
    <w:p w14:paraId="7813F9EB"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Schlepper, L. and Dodsworth, E. (2023) </w:t>
      </w:r>
      <w:r>
        <w:rPr>
          <w:rFonts w:ascii="Arial" w:hAnsi="Arial" w:cs="Arial"/>
          <w:i/>
          <w:iCs/>
          <w:sz w:val="22"/>
          <w:szCs w:val="22"/>
        </w:rPr>
        <w:t>The Decline of Publicly Funded Social Care for Older Adults</w:t>
      </w:r>
      <w:r>
        <w:rPr>
          <w:rFonts w:ascii="Arial" w:hAnsi="Arial" w:cs="Arial"/>
          <w:sz w:val="22"/>
          <w:szCs w:val="22"/>
        </w:rPr>
        <w:t>. Available at: https://www.nuffieldtrust.org.uk/resource/the-decline-of-publicly-funded-social-care-for-older-adults (Accessed: 19 July 2025).</w:t>
      </w:r>
    </w:p>
    <w:p w14:paraId="3167B677" w14:textId="25876B7F"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Schneider, J. </w:t>
      </w:r>
      <w:r>
        <w:rPr>
          <w:rFonts w:ascii="Arial" w:hAnsi="Arial" w:cs="Arial"/>
          <w:i/>
          <w:iCs/>
          <w:sz w:val="22"/>
          <w:szCs w:val="22"/>
        </w:rPr>
        <w:t>et al.</w:t>
      </w:r>
      <w:r>
        <w:rPr>
          <w:rFonts w:ascii="Arial" w:hAnsi="Arial" w:cs="Arial"/>
          <w:sz w:val="22"/>
          <w:szCs w:val="22"/>
        </w:rPr>
        <w:t xml:space="preserve"> (2024) ‘Music in Care Home Settings: Guidelines for Implementation and Evaluation Based on the Music Interventions for Depression and Dementia in </w:t>
      </w:r>
      <w:proofErr w:type="spellStart"/>
      <w:r>
        <w:rPr>
          <w:rFonts w:ascii="Arial" w:hAnsi="Arial" w:cs="Arial"/>
          <w:sz w:val="22"/>
          <w:szCs w:val="22"/>
        </w:rPr>
        <w:t>ELderly</w:t>
      </w:r>
      <w:proofErr w:type="spellEnd"/>
      <w:r>
        <w:rPr>
          <w:rFonts w:ascii="Arial" w:hAnsi="Arial" w:cs="Arial"/>
          <w:sz w:val="22"/>
          <w:szCs w:val="22"/>
        </w:rPr>
        <w:t xml:space="preserve"> Care (MIDDEL) Study in the UK’, </w:t>
      </w:r>
      <w:r>
        <w:rPr>
          <w:rFonts w:ascii="Arial" w:hAnsi="Arial" w:cs="Arial"/>
          <w:i/>
          <w:iCs/>
          <w:sz w:val="22"/>
          <w:szCs w:val="22"/>
        </w:rPr>
        <w:t>Journal of Long-Term Care</w:t>
      </w:r>
      <w:r>
        <w:rPr>
          <w:rFonts w:ascii="Arial" w:hAnsi="Arial" w:cs="Arial"/>
          <w:sz w:val="22"/>
          <w:szCs w:val="22"/>
        </w:rPr>
        <w:t>. Available at: https://doi.org/10.31389/jltc.294.</w:t>
      </w:r>
    </w:p>
    <w:p w14:paraId="72CFC413"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SCIE (2022a) </w:t>
      </w:r>
      <w:r>
        <w:rPr>
          <w:rFonts w:ascii="Arial" w:hAnsi="Arial" w:cs="Arial"/>
          <w:i/>
          <w:iCs/>
          <w:sz w:val="22"/>
          <w:szCs w:val="22"/>
        </w:rPr>
        <w:t>Commissioning and COVID-19: Legal and policy context</w:t>
      </w:r>
      <w:r>
        <w:rPr>
          <w:rFonts w:ascii="Arial" w:hAnsi="Arial" w:cs="Arial"/>
          <w:sz w:val="22"/>
          <w:szCs w:val="22"/>
        </w:rPr>
        <w:t>. Available at: https://www.scie.org.uk/providing-care/commissioning/legal-policy-context/ (Accessed: 14 July 2025).</w:t>
      </w:r>
    </w:p>
    <w:p w14:paraId="27A20CBB"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SCIE (2022b) </w:t>
      </w:r>
      <w:r>
        <w:rPr>
          <w:rFonts w:ascii="Arial" w:hAnsi="Arial" w:cs="Arial"/>
          <w:i/>
          <w:iCs/>
          <w:sz w:val="22"/>
          <w:szCs w:val="22"/>
        </w:rPr>
        <w:t>Understanding the impact of COVID-19 responses on citizens</w:t>
      </w:r>
      <w:r>
        <w:rPr>
          <w:rFonts w:ascii="Arial" w:hAnsi="Arial" w:cs="Arial"/>
          <w:sz w:val="22"/>
          <w:szCs w:val="22"/>
        </w:rPr>
        <w:t>. Available at: https://www.scie.org.uk/providing-care/commissioning/impact-on-citizens/ (Accessed: 18 July 2025).</w:t>
      </w:r>
    </w:p>
    <w:p w14:paraId="0ECF3748"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Science Museum (2019) </w:t>
      </w:r>
      <w:r>
        <w:rPr>
          <w:rFonts w:ascii="Arial" w:hAnsi="Arial" w:cs="Arial"/>
          <w:i/>
          <w:iCs/>
          <w:sz w:val="22"/>
          <w:szCs w:val="22"/>
        </w:rPr>
        <w:t>Cholera in Victorian London</w:t>
      </w:r>
      <w:r>
        <w:rPr>
          <w:rFonts w:ascii="Arial" w:hAnsi="Arial" w:cs="Arial"/>
          <w:sz w:val="22"/>
          <w:szCs w:val="22"/>
        </w:rPr>
        <w:t>. Available at: https://www.sciencemuseum.org.uk/objects-and-stories/medicine/cholera-victorian-london (Accessed: 12 March 2025).</w:t>
      </w:r>
    </w:p>
    <w:p w14:paraId="3E88745D"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Seifert, A., Cotten, S.R. and Xie, B. (2021) ‘A Double Burden of Exclusion? Digital and Social Exclusion of Older Adults in Times of COVID-19’, </w:t>
      </w:r>
      <w:r>
        <w:rPr>
          <w:rFonts w:ascii="Arial" w:hAnsi="Arial" w:cs="Arial"/>
          <w:i/>
          <w:iCs/>
          <w:sz w:val="22"/>
          <w:szCs w:val="22"/>
        </w:rPr>
        <w:t>The Journals of Gerontology: Series B</w:t>
      </w:r>
      <w:r>
        <w:rPr>
          <w:rFonts w:ascii="Arial" w:hAnsi="Arial" w:cs="Arial"/>
          <w:sz w:val="22"/>
          <w:szCs w:val="22"/>
        </w:rPr>
        <w:t>. Edited by D. Carr, 76(3). Available at: https://doi.org/10.1093/geronb/gbaa098.</w:t>
      </w:r>
    </w:p>
    <w:p w14:paraId="13E4D7E6"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Shah, A.U.M. (2020) ‘COVID-19 Outbreak in Malaysia: Actions Taken by the Malaysian Government’, </w:t>
      </w:r>
      <w:r>
        <w:rPr>
          <w:rFonts w:ascii="Arial" w:hAnsi="Arial" w:cs="Arial"/>
          <w:i/>
          <w:iCs/>
          <w:sz w:val="22"/>
          <w:szCs w:val="22"/>
        </w:rPr>
        <w:t>International Journal of Infectious Diseases</w:t>
      </w:r>
      <w:r>
        <w:rPr>
          <w:rFonts w:ascii="Arial" w:hAnsi="Arial" w:cs="Arial"/>
          <w:sz w:val="22"/>
          <w:szCs w:val="22"/>
        </w:rPr>
        <w:t>, 97, pp. 108–116. Available at: https://doi.org/10.1016/j.ijid.2020.05.093.</w:t>
      </w:r>
    </w:p>
    <w:p w14:paraId="4D3B4A4D" w14:textId="18B138B0"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Shah, S. (2016) </w:t>
      </w:r>
      <w:r>
        <w:rPr>
          <w:rFonts w:ascii="Arial" w:hAnsi="Arial" w:cs="Arial"/>
          <w:i/>
          <w:iCs/>
          <w:sz w:val="22"/>
          <w:szCs w:val="22"/>
        </w:rPr>
        <w:t xml:space="preserve">Pandemic: tracking contagions, from cholera to </w:t>
      </w:r>
      <w:proofErr w:type="spellStart"/>
      <w:r>
        <w:rPr>
          <w:rFonts w:ascii="Arial" w:hAnsi="Arial" w:cs="Arial"/>
          <w:i/>
          <w:iCs/>
          <w:sz w:val="22"/>
          <w:szCs w:val="22"/>
        </w:rPr>
        <w:t>ebola</w:t>
      </w:r>
      <w:proofErr w:type="spellEnd"/>
      <w:r>
        <w:rPr>
          <w:rFonts w:ascii="Arial" w:hAnsi="Arial" w:cs="Arial"/>
          <w:i/>
          <w:iCs/>
          <w:sz w:val="22"/>
          <w:szCs w:val="22"/>
        </w:rPr>
        <w:t xml:space="preserve"> and beyond</w:t>
      </w:r>
      <w:r>
        <w:rPr>
          <w:rFonts w:ascii="Arial" w:hAnsi="Arial" w:cs="Arial"/>
          <w:sz w:val="22"/>
          <w:szCs w:val="22"/>
        </w:rPr>
        <w:t>. New York: Sarah Crichton Books, Farrar, Straus And Giroux.</w:t>
      </w:r>
    </w:p>
    <w:p w14:paraId="769E4B34"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Sharma, A. and Sharma, S. (2024) ‘Impact of COVID-19 pandemic on the elderly in the United Kingdom: A review study’, </w:t>
      </w:r>
      <w:r>
        <w:rPr>
          <w:rFonts w:ascii="Arial" w:hAnsi="Arial" w:cs="Arial"/>
          <w:i/>
          <w:iCs/>
          <w:sz w:val="22"/>
          <w:szCs w:val="22"/>
        </w:rPr>
        <w:t>Journal of Family Medicine and Primary Care</w:t>
      </w:r>
      <w:r>
        <w:rPr>
          <w:rFonts w:ascii="Arial" w:hAnsi="Arial" w:cs="Arial"/>
          <w:sz w:val="22"/>
          <w:szCs w:val="22"/>
        </w:rPr>
        <w:t>, 13(8), pp. 2826–2833. Available at: https://doi.org/10.4103/jfmpc.jfmpc_1197_23.</w:t>
      </w:r>
    </w:p>
    <w:p w14:paraId="31B804ED"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Shaw, S. and Csikai, E.L. (2023) ‘No Visitors Allowed! The Impact of COVID-19 Restrictions on the Psychosocial Well-Being of Nursing Home Residents’, </w:t>
      </w:r>
      <w:r>
        <w:rPr>
          <w:rFonts w:ascii="Arial" w:hAnsi="Arial" w:cs="Arial"/>
          <w:i/>
          <w:iCs/>
          <w:sz w:val="22"/>
          <w:szCs w:val="22"/>
        </w:rPr>
        <w:t>Journal of long-term care</w:t>
      </w:r>
      <w:r>
        <w:rPr>
          <w:rFonts w:ascii="Arial" w:hAnsi="Arial" w:cs="Arial"/>
          <w:sz w:val="22"/>
          <w:szCs w:val="22"/>
        </w:rPr>
        <w:t>, pp. 54–66. Available at: https://doi.org/10.31389/jltc.135.</w:t>
      </w:r>
    </w:p>
    <w:p w14:paraId="7BA1B576"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Shoib, S. </w:t>
      </w:r>
      <w:r>
        <w:rPr>
          <w:rFonts w:ascii="Arial" w:hAnsi="Arial" w:cs="Arial"/>
          <w:i/>
          <w:iCs/>
          <w:sz w:val="22"/>
          <w:szCs w:val="22"/>
        </w:rPr>
        <w:t>et al.</w:t>
      </w:r>
      <w:r>
        <w:rPr>
          <w:rFonts w:ascii="Arial" w:hAnsi="Arial" w:cs="Arial"/>
          <w:sz w:val="22"/>
          <w:szCs w:val="22"/>
        </w:rPr>
        <w:t xml:space="preserve"> (2022) ‘Is Maslow’s Hierarchy of Needs Applicable During the COVID-19 Pandemic?’, </w:t>
      </w:r>
      <w:r>
        <w:rPr>
          <w:rFonts w:ascii="Arial" w:hAnsi="Arial" w:cs="Arial"/>
          <w:i/>
          <w:iCs/>
          <w:sz w:val="22"/>
          <w:szCs w:val="22"/>
        </w:rPr>
        <w:t>Indian Journal of Psychological Medicine</w:t>
      </w:r>
      <w:r>
        <w:rPr>
          <w:rFonts w:ascii="Arial" w:hAnsi="Arial" w:cs="Arial"/>
          <w:sz w:val="22"/>
          <w:szCs w:val="22"/>
        </w:rPr>
        <w:t>, 44(1), pp. 98–100.</w:t>
      </w:r>
    </w:p>
    <w:p w14:paraId="05BB6702"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Sims, S. </w:t>
      </w:r>
      <w:r>
        <w:rPr>
          <w:rFonts w:ascii="Arial" w:hAnsi="Arial" w:cs="Arial"/>
          <w:i/>
          <w:iCs/>
          <w:sz w:val="22"/>
          <w:szCs w:val="22"/>
        </w:rPr>
        <w:t>et al.</w:t>
      </w:r>
      <w:r>
        <w:rPr>
          <w:rFonts w:ascii="Arial" w:hAnsi="Arial" w:cs="Arial"/>
          <w:sz w:val="22"/>
          <w:szCs w:val="22"/>
        </w:rPr>
        <w:t xml:space="preserve"> (2024) ‘Living restricted lives </w:t>
      </w:r>
      <w:r>
        <w:rPr>
          <w:rFonts w:ascii="Cambria Math" w:hAnsi="Cambria Math" w:cs="Cambria Math"/>
          <w:sz w:val="22"/>
          <w:szCs w:val="22"/>
        </w:rPr>
        <w:t>‐</w:t>
      </w:r>
      <w:r>
        <w:rPr>
          <w:rFonts w:ascii="Arial" w:hAnsi="Arial" w:cs="Arial"/>
          <w:sz w:val="22"/>
          <w:szCs w:val="22"/>
        </w:rPr>
        <w:t xml:space="preserve"> Understanding the impact of isolation, social distancing and other restriction measures on older care home residents and their relatives in England during the COVID-19 pandemic: A qualitative study’, </w:t>
      </w:r>
      <w:r>
        <w:rPr>
          <w:rFonts w:ascii="Arial" w:hAnsi="Arial" w:cs="Arial"/>
          <w:i/>
          <w:iCs/>
          <w:sz w:val="22"/>
          <w:szCs w:val="22"/>
        </w:rPr>
        <w:t>PLoS ONE</w:t>
      </w:r>
      <w:r>
        <w:rPr>
          <w:rFonts w:ascii="Arial" w:hAnsi="Arial" w:cs="Arial"/>
          <w:sz w:val="22"/>
          <w:szCs w:val="22"/>
        </w:rPr>
        <w:t>, 19(12), pp. e0312509–e0312509. Available at: https://doi.org/10.1371/journal.pone.0312509.</w:t>
      </w:r>
    </w:p>
    <w:p w14:paraId="016B6403"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Skinner, P. (2025) </w:t>
      </w:r>
      <w:r>
        <w:rPr>
          <w:rFonts w:ascii="Arial" w:hAnsi="Arial" w:cs="Arial"/>
          <w:i/>
          <w:iCs/>
          <w:sz w:val="22"/>
          <w:szCs w:val="22"/>
        </w:rPr>
        <w:t>Three Years of Digital Transformation: reflecting on our progress to date</w:t>
      </w:r>
      <w:r>
        <w:rPr>
          <w:rFonts w:ascii="Arial" w:hAnsi="Arial" w:cs="Arial"/>
          <w:sz w:val="22"/>
          <w:szCs w:val="22"/>
        </w:rPr>
        <w:t>. Available at: https://beta.digitisingsocialcare.co.uk/news/three-years-digital-transformation-reflecting-our-progress-date (Accessed: 22 July 2025).</w:t>
      </w:r>
    </w:p>
    <w:p w14:paraId="0FE887FB"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Smith, R. (2024) </w:t>
      </w:r>
      <w:r>
        <w:rPr>
          <w:rFonts w:ascii="Arial" w:hAnsi="Arial" w:cs="Arial"/>
          <w:i/>
          <w:iCs/>
          <w:sz w:val="22"/>
          <w:szCs w:val="22"/>
        </w:rPr>
        <w:t>The Cambridge Group for the History of Population and Social Structure, Cambridge</w:t>
      </w:r>
      <w:r>
        <w:rPr>
          <w:rFonts w:ascii="Arial" w:hAnsi="Arial" w:cs="Arial"/>
          <w:sz w:val="22"/>
          <w:szCs w:val="22"/>
        </w:rPr>
        <w:t>. Available at: https://www.campop.geog.cam.ac.uk/blog/2025/02/20/with-whom-did-older-persons-reside/ (Accessed: 12 March 2025).</w:t>
      </w:r>
    </w:p>
    <w:p w14:paraId="66B56733"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Social Care Institute for Excellence (no date) </w:t>
      </w:r>
      <w:r>
        <w:rPr>
          <w:rFonts w:ascii="Arial" w:hAnsi="Arial" w:cs="Arial"/>
          <w:i/>
          <w:iCs/>
          <w:sz w:val="22"/>
          <w:szCs w:val="22"/>
        </w:rPr>
        <w:t>Care homes as a model for housing with care and support</w:t>
      </w:r>
      <w:r>
        <w:rPr>
          <w:rFonts w:ascii="Arial" w:hAnsi="Arial" w:cs="Arial"/>
          <w:sz w:val="22"/>
          <w:szCs w:val="22"/>
        </w:rPr>
        <w:t>. Available at: https://www.scie.org.uk/housing/role-of-housing/promising-practice/models/care-home/ (Accessed: 25 February 2025).</w:t>
      </w:r>
    </w:p>
    <w:p w14:paraId="5844EBA7" w14:textId="77777777" w:rsidR="002C2D5C" w:rsidRDefault="002C2D5C" w:rsidP="002C2D5C">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Stanborough</w:t>
      </w:r>
      <w:proofErr w:type="spellEnd"/>
      <w:r>
        <w:rPr>
          <w:rFonts w:ascii="Arial" w:hAnsi="Arial" w:cs="Arial"/>
          <w:sz w:val="22"/>
          <w:szCs w:val="22"/>
        </w:rPr>
        <w:t xml:space="preserve">, R. (2022) </w:t>
      </w:r>
      <w:r>
        <w:rPr>
          <w:rFonts w:ascii="Arial" w:hAnsi="Arial" w:cs="Arial"/>
          <w:i/>
          <w:iCs/>
          <w:sz w:val="22"/>
          <w:szCs w:val="22"/>
        </w:rPr>
        <w:t>Understanding Cognitive Decline: How Your Brain Changes as You Age</w:t>
      </w:r>
      <w:r>
        <w:rPr>
          <w:rFonts w:ascii="Arial" w:hAnsi="Arial" w:cs="Arial"/>
          <w:sz w:val="22"/>
          <w:szCs w:val="22"/>
        </w:rPr>
        <w:t>. Available at: https://www.healthline.com/health/cognitive-decline (Accessed: 13 July 2025).</w:t>
      </w:r>
    </w:p>
    <w:p w14:paraId="671138D6" w14:textId="77777777" w:rsidR="002C2D5C" w:rsidRDefault="002C2D5C" w:rsidP="002C2D5C">
      <w:pPr>
        <w:pStyle w:val="NormalWeb"/>
        <w:spacing w:before="0" w:beforeAutospacing="0" w:after="240" w:afterAutospacing="0" w:line="360" w:lineRule="auto"/>
        <w:rPr>
          <w:rFonts w:ascii="Arial" w:hAnsi="Arial" w:cs="Arial"/>
          <w:sz w:val="22"/>
          <w:szCs w:val="22"/>
        </w:rPr>
      </w:pPr>
      <w:r w:rsidRPr="009530D9">
        <w:rPr>
          <w:rFonts w:ascii="Arial" w:hAnsi="Arial" w:cs="Arial"/>
          <w:sz w:val="22"/>
          <w:szCs w:val="22"/>
          <w:lang w:val="nl-NL"/>
        </w:rPr>
        <w:t xml:space="preserve">Suárez-González, A. </w:t>
      </w:r>
      <w:r w:rsidRPr="009530D9">
        <w:rPr>
          <w:rFonts w:ascii="Arial" w:hAnsi="Arial" w:cs="Arial"/>
          <w:i/>
          <w:iCs/>
          <w:sz w:val="22"/>
          <w:szCs w:val="22"/>
          <w:lang w:val="nl-NL"/>
        </w:rPr>
        <w:t>et al.</w:t>
      </w:r>
      <w:r w:rsidRPr="009530D9">
        <w:rPr>
          <w:rFonts w:ascii="Arial" w:hAnsi="Arial" w:cs="Arial"/>
          <w:sz w:val="22"/>
          <w:szCs w:val="22"/>
          <w:lang w:val="nl-NL"/>
        </w:rPr>
        <w:t xml:space="preserve"> </w:t>
      </w:r>
      <w:r>
        <w:rPr>
          <w:rFonts w:ascii="Arial" w:hAnsi="Arial" w:cs="Arial"/>
          <w:sz w:val="22"/>
          <w:szCs w:val="22"/>
        </w:rPr>
        <w:t xml:space="preserve">(2021) ‘The Effect of COVID-19 Isolation Measures on the Cognition and Mental Health of People Living with dementia: a Rapid Systematic Review of One Year of Quantitative Evidence’, </w:t>
      </w:r>
      <w:proofErr w:type="spellStart"/>
      <w:r>
        <w:rPr>
          <w:rFonts w:ascii="Arial" w:hAnsi="Arial" w:cs="Arial"/>
          <w:i/>
          <w:iCs/>
          <w:sz w:val="22"/>
          <w:szCs w:val="22"/>
        </w:rPr>
        <w:t>EClinicalMedicine</w:t>
      </w:r>
      <w:proofErr w:type="spellEnd"/>
      <w:r>
        <w:rPr>
          <w:rFonts w:ascii="Arial" w:hAnsi="Arial" w:cs="Arial"/>
          <w:sz w:val="22"/>
          <w:szCs w:val="22"/>
        </w:rPr>
        <w:t>, 39(39), p. 101047. Available at: https://doi.org/10.1016/j.eclinm.2021.101047.</w:t>
      </w:r>
    </w:p>
    <w:p w14:paraId="1ABE5B69"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Svendsen, L.F.H. and Pierce, K.A. (2017) </w:t>
      </w:r>
      <w:r>
        <w:rPr>
          <w:rFonts w:ascii="Arial" w:hAnsi="Arial" w:cs="Arial"/>
          <w:i/>
          <w:iCs/>
          <w:sz w:val="22"/>
          <w:szCs w:val="22"/>
        </w:rPr>
        <w:t>A philosophy of loneliness</w:t>
      </w:r>
      <w:r>
        <w:rPr>
          <w:rFonts w:ascii="Arial" w:hAnsi="Arial" w:cs="Arial"/>
          <w:sz w:val="22"/>
          <w:szCs w:val="22"/>
        </w:rPr>
        <w:t xml:space="preserve">. London: </w:t>
      </w:r>
      <w:proofErr w:type="spellStart"/>
      <w:r>
        <w:rPr>
          <w:rFonts w:ascii="Arial" w:hAnsi="Arial" w:cs="Arial"/>
          <w:sz w:val="22"/>
          <w:szCs w:val="22"/>
        </w:rPr>
        <w:t>Reaktion</w:t>
      </w:r>
      <w:proofErr w:type="spellEnd"/>
      <w:r>
        <w:rPr>
          <w:rFonts w:ascii="Arial" w:hAnsi="Arial" w:cs="Arial"/>
          <w:sz w:val="22"/>
          <w:szCs w:val="22"/>
        </w:rPr>
        <w:t xml:space="preserve"> Books.</w:t>
      </w:r>
    </w:p>
    <w:p w14:paraId="13C593AE"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Tabet, E. (2016) ‘Activity Participation and Older Adults’ Well-Being’, </w:t>
      </w:r>
      <w:r>
        <w:rPr>
          <w:rFonts w:ascii="Arial" w:hAnsi="Arial" w:cs="Arial"/>
          <w:i/>
          <w:iCs/>
          <w:sz w:val="22"/>
          <w:szCs w:val="22"/>
        </w:rPr>
        <w:t>SPACE: Student Perspectives About Civic Engagement</w:t>
      </w:r>
      <w:r>
        <w:rPr>
          <w:rFonts w:ascii="Arial" w:hAnsi="Arial" w:cs="Arial"/>
          <w:sz w:val="22"/>
          <w:szCs w:val="22"/>
        </w:rPr>
        <w:t>, 2(1). Available at: https://digitalcommons.nl.edu/space/vol2/iss1/5/ (Accessed: 21 March 2025).</w:t>
      </w:r>
    </w:p>
    <w:p w14:paraId="1DBF2718"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Tai, F. (2025) ‘Mental Health Deteriorating? Signs You Shouldn’t Ignore’, </w:t>
      </w:r>
      <w:r>
        <w:rPr>
          <w:rFonts w:ascii="Arial" w:hAnsi="Arial" w:cs="Arial"/>
          <w:i/>
          <w:iCs/>
          <w:sz w:val="22"/>
          <w:szCs w:val="22"/>
        </w:rPr>
        <w:t>Treat Mental Health</w:t>
      </w:r>
      <w:r>
        <w:rPr>
          <w:rFonts w:ascii="Arial" w:hAnsi="Arial" w:cs="Arial"/>
          <w:sz w:val="22"/>
          <w:szCs w:val="22"/>
        </w:rPr>
        <w:t>. Available at: https://treatmh.com/blog/mental-health-deteriorating-signs-you-shouldnt-ignore/#:~:text=Mental%20health%20deterioration%20is%20the,imbalances%20that%20accumulate%20over%20time. (Accessed: 30 June 2025).</w:t>
      </w:r>
    </w:p>
    <w:p w14:paraId="494B95FD"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Tambling, R.R. </w:t>
      </w:r>
      <w:r>
        <w:rPr>
          <w:rFonts w:ascii="Arial" w:hAnsi="Arial" w:cs="Arial"/>
          <w:i/>
          <w:iCs/>
          <w:sz w:val="22"/>
          <w:szCs w:val="22"/>
        </w:rPr>
        <w:t>et al.</w:t>
      </w:r>
      <w:r>
        <w:rPr>
          <w:rFonts w:ascii="Arial" w:hAnsi="Arial" w:cs="Arial"/>
          <w:sz w:val="22"/>
          <w:szCs w:val="22"/>
        </w:rPr>
        <w:t xml:space="preserve"> (2022) ‘Predictors of Mental Health Help-Seeking During COVID-19: Social Support, Emotion Regulation, and Mental Health Symptoms’, </w:t>
      </w:r>
      <w:r>
        <w:rPr>
          <w:rFonts w:ascii="Arial" w:hAnsi="Arial" w:cs="Arial"/>
          <w:i/>
          <w:iCs/>
          <w:sz w:val="22"/>
          <w:szCs w:val="22"/>
        </w:rPr>
        <w:t>The Journal of Behavioral Health Services &amp; Research</w:t>
      </w:r>
      <w:r>
        <w:rPr>
          <w:rFonts w:ascii="Arial" w:hAnsi="Arial" w:cs="Arial"/>
          <w:sz w:val="22"/>
          <w:szCs w:val="22"/>
        </w:rPr>
        <w:t>, 50(1), pp. 68–79. Available at: https://doi.org/10.1007/s11414-022-09796-2.</w:t>
      </w:r>
    </w:p>
    <w:p w14:paraId="73C5F5AE"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Tang, J.W. </w:t>
      </w:r>
      <w:r>
        <w:rPr>
          <w:rFonts w:ascii="Arial" w:hAnsi="Arial" w:cs="Arial"/>
          <w:i/>
          <w:iCs/>
          <w:sz w:val="22"/>
          <w:szCs w:val="22"/>
        </w:rPr>
        <w:t>et al.</w:t>
      </w:r>
      <w:r>
        <w:rPr>
          <w:rFonts w:ascii="Arial" w:hAnsi="Arial" w:cs="Arial"/>
          <w:sz w:val="22"/>
          <w:szCs w:val="22"/>
        </w:rPr>
        <w:t xml:space="preserve"> (2022) ‘An exploration of the political, social, economic and cultural factors affecting how different global regions initially reacted to the COVID-19 pandemic’, </w:t>
      </w:r>
      <w:r>
        <w:rPr>
          <w:rFonts w:ascii="Arial" w:hAnsi="Arial" w:cs="Arial"/>
          <w:i/>
          <w:iCs/>
          <w:sz w:val="22"/>
          <w:szCs w:val="22"/>
        </w:rPr>
        <w:t>Interface Focus</w:t>
      </w:r>
      <w:r>
        <w:rPr>
          <w:rFonts w:ascii="Arial" w:hAnsi="Arial" w:cs="Arial"/>
          <w:sz w:val="22"/>
          <w:szCs w:val="22"/>
        </w:rPr>
        <w:t>, 12(2). Available at: https://doi.org/10.1098/rsfs.2021.0079.</w:t>
      </w:r>
    </w:p>
    <w:p w14:paraId="0C6F0E33" w14:textId="61D86E55"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The Almshouse Association (2025) </w:t>
      </w:r>
      <w:r>
        <w:rPr>
          <w:rFonts w:ascii="Arial" w:hAnsi="Arial" w:cs="Arial"/>
          <w:i/>
          <w:iCs/>
          <w:sz w:val="22"/>
          <w:szCs w:val="22"/>
        </w:rPr>
        <w:t>History of almshouses</w:t>
      </w:r>
      <w:r>
        <w:rPr>
          <w:rFonts w:ascii="Arial" w:hAnsi="Arial" w:cs="Arial"/>
          <w:sz w:val="22"/>
          <w:szCs w:val="22"/>
        </w:rPr>
        <w:t>. Available at: https://www.almshouses.org/history-of-almshouses/ (Accessed: 12 March 2025).</w:t>
      </w:r>
    </w:p>
    <w:p w14:paraId="1B8062EB"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The Eden Alternative UK (2024) </w:t>
      </w:r>
      <w:r>
        <w:rPr>
          <w:rFonts w:ascii="Arial" w:hAnsi="Arial" w:cs="Arial"/>
          <w:i/>
          <w:iCs/>
          <w:sz w:val="22"/>
          <w:szCs w:val="22"/>
        </w:rPr>
        <w:t>Eden Alternative</w:t>
      </w:r>
      <w:r>
        <w:rPr>
          <w:rFonts w:ascii="Arial" w:hAnsi="Arial" w:cs="Arial"/>
          <w:sz w:val="22"/>
          <w:szCs w:val="22"/>
        </w:rPr>
        <w:t>. Available at: https://eden-alternative.co.uk/ (Accessed: 21 July 2025).</w:t>
      </w:r>
    </w:p>
    <w:p w14:paraId="275F812D"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The National Archives (2025) </w:t>
      </w:r>
      <w:r>
        <w:rPr>
          <w:rFonts w:ascii="Arial" w:hAnsi="Arial" w:cs="Arial"/>
          <w:i/>
          <w:iCs/>
          <w:sz w:val="22"/>
          <w:szCs w:val="22"/>
        </w:rPr>
        <w:t>1834 Poor Law</w:t>
      </w:r>
      <w:r>
        <w:rPr>
          <w:rFonts w:ascii="Arial" w:hAnsi="Arial" w:cs="Arial"/>
          <w:sz w:val="22"/>
          <w:szCs w:val="22"/>
        </w:rPr>
        <w:t>. Available at: https://discovery.nationalarchives.gov.uk/details/r/C530143 (Accessed: 12 March 2025).</w:t>
      </w:r>
    </w:p>
    <w:p w14:paraId="15EB70D8"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Thomas, S. </w:t>
      </w:r>
      <w:r>
        <w:rPr>
          <w:rFonts w:ascii="Arial" w:hAnsi="Arial" w:cs="Arial"/>
          <w:i/>
          <w:iCs/>
          <w:sz w:val="22"/>
          <w:szCs w:val="22"/>
        </w:rPr>
        <w:t>et al.</w:t>
      </w:r>
      <w:r>
        <w:rPr>
          <w:rFonts w:ascii="Arial" w:hAnsi="Arial" w:cs="Arial"/>
          <w:sz w:val="22"/>
          <w:szCs w:val="22"/>
        </w:rPr>
        <w:t xml:space="preserve"> (2022) ‘The Impact of Public Health Restrictions in Residential Aged Care on Residents, Families, and Staff During COVID-19: Getting the Balance Right’, </w:t>
      </w:r>
      <w:r>
        <w:rPr>
          <w:rFonts w:ascii="Arial" w:hAnsi="Arial" w:cs="Arial"/>
          <w:i/>
          <w:iCs/>
          <w:sz w:val="22"/>
          <w:szCs w:val="22"/>
        </w:rPr>
        <w:t>Journal of Aging &amp; Social Policy</w:t>
      </w:r>
      <w:r>
        <w:rPr>
          <w:rFonts w:ascii="Arial" w:hAnsi="Arial" w:cs="Arial"/>
          <w:sz w:val="22"/>
          <w:szCs w:val="22"/>
        </w:rPr>
        <w:t>, 36(6), pp. 1–20. Available at: https://doi.org/10.1080/08959420.2022.2110802.</w:t>
      </w:r>
    </w:p>
    <w:p w14:paraId="0454CB9D" w14:textId="470DAE23"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Thompson, C., Morris, D. and Bird, S. (2022) </w:t>
      </w:r>
      <w:r>
        <w:rPr>
          <w:rFonts w:ascii="Arial" w:hAnsi="Arial" w:cs="Arial"/>
          <w:i/>
          <w:iCs/>
          <w:sz w:val="22"/>
          <w:szCs w:val="22"/>
        </w:rPr>
        <w:t>Evaluation of the Improving Social Connectedness of Older Australians project pilot: Informing future policy considerations</w:t>
      </w:r>
      <w:r>
        <w:rPr>
          <w:rFonts w:ascii="Arial" w:hAnsi="Arial" w:cs="Arial"/>
          <w:sz w:val="22"/>
          <w:szCs w:val="22"/>
        </w:rPr>
        <w:t>. Available at: https://www.health.gov.au/sites/default/files/documents/2022/03/iscoa-project-pilot-evaluation-informing-future-policy-evaluation-of-the-improving-social-connectedness-of-</w:t>
      </w:r>
      <w:r>
        <w:rPr>
          <w:rFonts w:ascii="Arial" w:hAnsi="Arial" w:cs="Arial"/>
          <w:sz w:val="22"/>
          <w:szCs w:val="22"/>
        </w:rPr>
        <w:lastRenderedPageBreak/>
        <w:t>older-australians-project-pilot-informing-future-policy-considerations.pdf (Accessed: 24 March 2025).</w:t>
      </w:r>
    </w:p>
    <w:p w14:paraId="441401E7"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Tulchinsky, T.H. (2018) ‘John Snow, Cholera, the Broad Street Pump; Waterborne Diseases Then and Now’, </w:t>
      </w:r>
      <w:r>
        <w:rPr>
          <w:rFonts w:ascii="Arial" w:hAnsi="Arial" w:cs="Arial"/>
          <w:i/>
          <w:iCs/>
          <w:sz w:val="22"/>
          <w:szCs w:val="22"/>
        </w:rPr>
        <w:t>Case Studies in Public Health</w:t>
      </w:r>
      <w:r>
        <w:rPr>
          <w:rFonts w:ascii="Arial" w:hAnsi="Arial" w:cs="Arial"/>
          <w:sz w:val="22"/>
          <w:szCs w:val="22"/>
        </w:rPr>
        <w:t>, 77-99(PMC7150208), pp. 77–99. Available at: https://doi.org/10.1016/B978-0-12-804571-8.00017-2.</w:t>
      </w:r>
    </w:p>
    <w:p w14:paraId="4E99D9C7" w14:textId="77777777" w:rsidR="002C2D5C" w:rsidRDefault="002C2D5C" w:rsidP="002C2D5C">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Tulliani</w:t>
      </w:r>
      <w:proofErr w:type="spellEnd"/>
      <w:r>
        <w:rPr>
          <w:rFonts w:ascii="Arial" w:hAnsi="Arial" w:cs="Arial"/>
          <w:sz w:val="22"/>
          <w:szCs w:val="22"/>
        </w:rPr>
        <w:t xml:space="preserve">, N. </w:t>
      </w:r>
      <w:r>
        <w:rPr>
          <w:rFonts w:ascii="Arial" w:hAnsi="Arial" w:cs="Arial"/>
          <w:i/>
          <w:iCs/>
          <w:sz w:val="22"/>
          <w:szCs w:val="22"/>
        </w:rPr>
        <w:t>et al.</w:t>
      </w:r>
      <w:r>
        <w:rPr>
          <w:rFonts w:ascii="Arial" w:hAnsi="Arial" w:cs="Arial"/>
          <w:sz w:val="22"/>
          <w:szCs w:val="22"/>
        </w:rPr>
        <w:t xml:space="preserve"> (2023) ‘PROTOCOL: The effectiveness of sensory interventions targeted at improving occupational outcomes, quality of life, well</w:t>
      </w:r>
      <w:r>
        <w:rPr>
          <w:rFonts w:ascii="Cambria Math" w:hAnsi="Cambria Math" w:cs="Cambria Math"/>
          <w:sz w:val="22"/>
          <w:szCs w:val="22"/>
        </w:rPr>
        <w:t>‐</w:t>
      </w:r>
      <w:r>
        <w:rPr>
          <w:rFonts w:ascii="Arial" w:hAnsi="Arial" w:cs="Arial"/>
          <w:sz w:val="22"/>
          <w:szCs w:val="22"/>
        </w:rPr>
        <w:t>being and behavioural and psychological symptoms for older adults living with dementia: A systematic review and meta</w:t>
      </w:r>
      <w:r>
        <w:rPr>
          <w:rFonts w:ascii="Cambria Math" w:hAnsi="Cambria Math" w:cs="Cambria Math"/>
          <w:sz w:val="22"/>
          <w:szCs w:val="22"/>
        </w:rPr>
        <w:t>‐</w:t>
      </w:r>
      <w:r>
        <w:rPr>
          <w:rFonts w:ascii="Arial" w:hAnsi="Arial" w:cs="Arial"/>
          <w:sz w:val="22"/>
          <w:szCs w:val="22"/>
        </w:rPr>
        <w:t xml:space="preserve">analysis’, </w:t>
      </w:r>
      <w:r>
        <w:rPr>
          <w:rFonts w:ascii="Arial" w:hAnsi="Arial" w:cs="Arial"/>
          <w:i/>
          <w:iCs/>
          <w:sz w:val="22"/>
          <w:szCs w:val="22"/>
        </w:rPr>
        <w:t>Campbell Systematic Reviews</w:t>
      </w:r>
      <w:r>
        <w:rPr>
          <w:rFonts w:ascii="Arial" w:hAnsi="Arial" w:cs="Arial"/>
          <w:sz w:val="22"/>
          <w:szCs w:val="22"/>
        </w:rPr>
        <w:t>, 19(2). Available at: https://doi.org/10.1002/cl2.1322.</w:t>
      </w:r>
    </w:p>
    <w:p w14:paraId="7F447F7B"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Turner, N. (2025) </w:t>
      </w:r>
      <w:r>
        <w:rPr>
          <w:rFonts w:ascii="Arial" w:hAnsi="Arial" w:cs="Arial"/>
          <w:i/>
          <w:iCs/>
          <w:sz w:val="22"/>
          <w:szCs w:val="22"/>
        </w:rPr>
        <w:t>Meaningful Activities in Care Homes with Example</w:t>
      </w:r>
      <w:r>
        <w:rPr>
          <w:rFonts w:ascii="Arial" w:hAnsi="Arial" w:cs="Arial"/>
          <w:sz w:val="22"/>
          <w:szCs w:val="22"/>
        </w:rPr>
        <w:t xml:space="preserve">, </w:t>
      </w:r>
      <w:r>
        <w:rPr>
          <w:rFonts w:ascii="Arial" w:hAnsi="Arial" w:cs="Arial"/>
          <w:i/>
          <w:iCs/>
          <w:sz w:val="22"/>
          <w:szCs w:val="22"/>
        </w:rPr>
        <w:t>Academy for Health &amp; Fitness</w:t>
      </w:r>
      <w:r>
        <w:rPr>
          <w:rFonts w:ascii="Arial" w:hAnsi="Arial" w:cs="Arial"/>
          <w:sz w:val="22"/>
          <w:szCs w:val="22"/>
        </w:rPr>
        <w:t>. Available at: https://uk.hfonline.org/meaningful-activities-in-care-homes-with-example/ (Accessed: 21 July 2025).</w:t>
      </w:r>
    </w:p>
    <w:p w14:paraId="01DB89DF"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UCL (2025) </w:t>
      </w:r>
      <w:r>
        <w:rPr>
          <w:rFonts w:ascii="Arial" w:hAnsi="Arial" w:cs="Arial"/>
          <w:i/>
          <w:iCs/>
          <w:sz w:val="22"/>
          <w:szCs w:val="22"/>
        </w:rPr>
        <w:t>Older people in England report greater life satisfaction than before the Covid pandemic</w:t>
      </w:r>
      <w:r>
        <w:rPr>
          <w:rFonts w:ascii="Arial" w:hAnsi="Arial" w:cs="Arial"/>
          <w:sz w:val="22"/>
          <w:szCs w:val="22"/>
        </w:rPr>
        <w:t xml:space="preserve">, </w:t>
      </w:r>
      <w:r>
        <w:rPr>
          <w:rFonts w:ascii="Arial" w:hAnsi="Arial" w:cs="Arial"/>
          <w:i/>
          <w:iCs/>
          <w:sz w:val="22"/>
          <w:szCs w:val="22"/>
        </w:rPr>
        <w:t>UCL News</w:t>
      </w:r>
      <w:r>
        <w:rPr>
          <w:rFonts w:ascii="Arial" w:hAnsi="Arial" w:cs="Arial"/>
          <w:sz w:val="22"/>
          <w:szCs w:val="22"/>
        </w:rPr>
        <w:t>. Available at: https://www.ucl.ac.uk/news/2025/feb/older-people-england-report-greater-life-satisfaction-covid-pandemic (Accessed: 27 February 2025).</w:t>
      </w:r>
    </w:p>
    <w:p w14:paraId="5E44F0F9" w14:textId="72DE46D5"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UK Covid-19 Inquiry (2025) </w:t>
      </w:r>
      <w:r>
        <w:rPr>
          <w:rFonts w:ascii="Arial" w:hAnsi="Arial" w:cs="Arial"/>
          <w:i/>
          <w:iCs/>
          <w:sz w:val="22"/>
          <w:szCs w:val="22"/>
        </w:rPr>
        <w:t>Every Story Matters: Adult Social Care Sector</w:t>
      </w:r>
      <w:r>
        <w:rPr>
          <w:rFonts w:ascii="Arial" w:hAnsi="Arial" w:cs="Arial"/>
          <w:sz w:val="22"/>
          <w:szCs w:val="22"/>
        </w:rPr>
        <w:t>. Available at: https://covid19.public-inquiry.uk/every-story-matters/records/every-story-matters-adult-social-care-sector/ (Accessed: 14 July 2025).</w:t>
      </w:r>
    </w:p>
    <w:p w14:paraId="15DD6CCF"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University of Leeds (2022) </w:t>
      </w:r>
      <w:r>
        <w:rPr>
          <w:rFonts w:ascii="Arial" w:hAnsi="Arial" w:cs="Arial"/>
          <w:i/>
          <w:iCs/>
          <w:sz w:val="22"/>
          <w:szCs w:val="22"/>
        </w:rPr>
        <w:t>Literature searching explained</w:t>
      </w:r>
      <w:r>
        <w:rPr>
          <w:rFonts w:ascii="Arial" w:hAnsi="Arial" w:cs="Arial"/>
          <w:sz w:val="22"/>
          <w:szCs w:val="22"/>
        </w:rPr>
        <w:t xml:space="preserve">, </w:t>
      </w:r>
      <w:r>
        <w:rPr>
          <w:rFonts w:ascii="Arial" w:hAnsi="Arial" w:cs="Arial"/>
          <w:i/>
          <w:iCs/>
          <w:sz w:val="22"/>
          <w:szCs w:val="22"/>
        </w:rPr>
        <w:t>Leeds.ac.uk</w:t>
      </w:r>
      <w:r>
        <w:rPr>
          <w:rFonts w:ascii="Arial" w:hAnsi="Arial" w:cs="Arial"/>
          <w:sz w:val="22"/>
          <w:szCs w:val="22"/>
        </w:rPr>
        <w:t>. Available at: https://library.leeds.ac.uk/info/1404/literature_searching/14/literature_searching_explained/4 (Accessed: 12 May 2025).</w:t>
      </w:r>
    </w:p>
    <w:p w14:paraId="6AA3FE57"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UWTSD (2022) </w:t>
      </w:r>
      <w:r>
        <w:rPr>
          <w:rFonts w:ascii="Arial" w:hAnsi="Arial" w:cs="Arial"/>
          <w:i/>
          <w:iCs/>
          <w:sz w:val="22"/>
          <w:szCs w:val="22"/>
        </w:rPr>
        <w:t>Research Integrity and Ethics</w:t>
      </w:r>
      <w:r>
        <w:rPr>
          <w:rFonts w:ascii="Arial" w:hAnsi="Arial" w:cs="Arial"/>
          <w:sz w:val="22"/>
          <w:szCs w:val="22"/>
        </w:rPr>
        <w:t xml:space="preserve">, </w:t>
      </w:r>
      <w:r>
        <w:rPr>
          <w:rFonts w:ascii="Arial" w:hAnsi="Arial" w:cs="Arial"/>
          <w:i/>
          <w:iCs/>
          <w:sz w:val="22"/>
          <w:szCs w:val="22"/>
        </w:rPr>
        <w:t>The University of Wales Trinity Saint David</w:t>
      </w:r>
      <w:r>
        <w:rPr>
          <w:rFonts w:ascii="Arial" w:hAnsi="Arial" w:cs="Arial"/>
          <w:sz w:val="22"/>
          <w:szCs w:val="22"/>
        </w:rPr>
        <w:t>. Available at: https://www.uwtsd.ac.uk/research/research-integrity-and-ethics (Accessed: 23 June 2025).</w:t>
      </w:r>
    </w:p>
    <w:p w14:paraId="306131D6" w14:textId="77777777" w:rsidR="002C2D5C" w:rsidRDefault="002C2D5C" w:rsidP="002C2D5C">
      <w:pPr>
        <w:pStyle w:val="NormalWeb"/>
        <w:spacing w:before="0" w:beforeAutospacing="0" w:after="240" w:afterAutospacing="0" w:line="360" w:lineRule="auto"/>
        <w:rPr>
          <w:rFonts w:ascii="Arial" w:hAnsi="Arial" w:cs="Arial"/>
          <w:sz w:val="22"/>
          <w:szCs w:val="22"/>
        </w:rPr>
      </w:pPr>
      <w:r w:rsidRPr="009530D9">
        <w:rPr>
          <w:rFonts w:ascii="Arial" w:hAnsi="Arial" w:cs="Arial"/>
          <w:sz w:val="22"/>
          <w:szCs w:val="22"/>
          <w:lang w:val="nl-NL"/>
        </w:rPr>
        <w:t xml:space="preserve">Van den Boom, W. </w:t>
      </w:r>
      <w:r w:rsidRPr="009530D9">
        <w:rPr>
          <w:rFonts w:ascii="Arial" w:hAnsi="Arial" w:cs="Arial"/>
          <w:i/>
          <w:iCs/>
          <w:sz w:val="22"/>
          <w:szCs w:val="22"/>
          <w:lang w:val="nl-NL"/>
        </w:rPr>
        <w:t>et al.</w:t>
      </w:r>
      <w:r w:rsidRPr="009530D9">
        <w:rPr>
          <w:rFonts w:ascii="Arial" w:hAnsi="Arial" w:cs="Arial"/>
          <w:sz w:val="22"/>
          <w:szCs w:val="22"/>
          <w:lang w:val="nl-NL"/>
        </w:rPr>
        <w:t xml:space="preserve"> </w:t>
      </w:r>
      <w:r>
        <w:rPr>
          <w:rFonts w:ascii="Arial" w:hAnsi="Arial" w:cs="Arial"/>
          <w:sz w:val="22"/>
          <w:szCs w:val="22"/>
        </w:rPr>
        <w:t xml:space="preserve">(2023) ‘General Mental Health, Loneliness, and Life Satisfaction in the Context of COVID-19 Policies: A 2-Year Cohort Study in the Netherlands, April 2020–January 2022’, </w:t>
      </w:r>
      <w:r>
        <w:rPr>
          <w:rFonts w:ascii="Arial" w:hAnsi="Arial" w:cs="Arial"/>
          <w:i/>
          <w:iCs/>
          <w:sz w:val="22"/>
          <w:szCs w:val="22"/>
        </w:rPr>
        <w:t>Public Health Reports</w:t>
      </w:r>
      <w:r>
        <w:rPr>
          <w:rFonts w:ascii="Arial" w:hAnsi="Arial" w:cs="Arial"/>
          <w:sz w:val="22"/>
          <w:szCs w:val="22"/>
        </w:rPr>
        <w:t>, 138(5), pp. 812–821. Available at: https://doi.org/10.1177/00333549231176000.</w:t>
      </w:r>
    </w:p>
    <w:p w14:paraId="1BC1BD9B"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Verbeek, H. </w:t>
      </w:r>
      <w:r>
        <w:rPr>
          <w:rFonts w:ascii="Arial" w:hAnsi="Arial" w:cs="Arial"/>
          <w:i/>
          <w:iCs/>
          <w:sz w:val="22"/>
          <w:szCs w:val="22"/>
        </w:rPr>
        <w:t>et al.</w:t>
      </w:r>
      <w:r>
        <w:rPr>
          <w:rFonts w:ascii="Arial" w:hAnsi="Arial" w:cs="Arial"/>
          <w:sz w:val="22"/>
          <w:szCs w:val="22"/>
        </w:rPr>
        <w:t xml:space="preserve"> (2020) ‘Allowing Visitors Back in the Nursing Home During the COVID-19 Crisis: A Dutch National Study Into First Experiences and Impact on Well-Being’, </w:t>
      </w:r>
      <w:r>
        <w:rPr>
          <w:rFonts w:ascii="Arial" w:hAnsi="Arial" w:cs="Arial"/>
          <w:i/>
          <w:iCs/>
          <w:sz w:val="22"/>
          <w:szCs w:val="22"/>
        </w:rPr>
        <w:t xml:space="preserve">Journal of </w:t>
      </w:r>
      <w:r>
        <w:rPr>
          <w:rFonts w:ascii="Arial" w:hAnsi="Arial" w:cs="Arial"/>
          <w:i/>
          <w:iCs/>
          <w:sz w:val="22"/>
          <w:szCs w:val="22"/>
        </w:rPr>
        <w:lastRenderedPageBreak/>
        <w:t>the American Medical Directors Association</w:t>
      </w:r>
      <w:r>
        <w:rPr>
          <w:rFonts w:ascii="Arial" w:hAnsi="Arial" w:cs="Arial"/>
          <w:sz w:val="22"/>
          <w:szCs w:val="22"/>
        </w:rPr>
        <w:t>, 21(7), pp. 900–904. Available at: https://doi.org/10.1016/j.jamda.2020.06.020.</w:t>
      </w:r>
    </w:p>
    <w:p w14:paraId="72939522"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Vickery, A. </w:t>
      </w:r>
      <w:r>
        <w:rPr>
          <w:rFonts w:ascii="Arial" w:hAnsi="Arial" w:cs="Arial"/>
          <w:i/>
          <w:iCs/>
          <w:sz w:val="22"/>
          <w:szCs w:val="22"/>
        </w:rPr>
        <w:t>et al.</w:t>
      </w:r>
      <w:r>
        <w:rPr>
          <w:rFonts w:ascii="Arial" w:hAnsi="Arial" w:cs="Arial"/>
          <w:sz w:val="22"/>
          <w:szCs w:val="22"/>
        </w:rPr>
        <w:t xml:space="preserve"> (2023) ‘The impact of COVID-19 lockdown measures on older residents’ social connections and everyday wellbeing within housing schemes that provide care and support in England and Wales’, </w:t>
      </w:r>
      <w:r>
        <w:rPr>
          <w:rFonts w:ascii="Arial" w:hAnsi="Arial" w:cs="Arial"/>
          <w:i/>
          <w:iCs/>
          <w:sz w:val="22"/>
          <w:szCs w:val="22"/>
        </w:rPr>
        <w:t>Journal of Aging Studies</w:t>
      </w:r>
      <w:r>
        <w:rPr>
          <w:rFonts w:ascii="Arial" w:hAnsi="Arial" w:cs="Arial"/>
          <w:sz w:val="22"/>
          <w:szCs w:val="22"/>
        </w:rPr>
        <w:t>, 65, p. 101126. Available at: https://doi.org/10.1016/j.jaging.2023.101126.</w:t>
      </w:r>
    </w:p>
    <w:p w14:paraId="22CD318A"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Welch, V. </w:t>
      </w:r>
      <w:r>
        <w:rPr>
          <w:rFonts w:ascii="Arial" w:hAnsi="Arial" w:cs="Arial"/>
          <w:i/>
          <w:iCs/>
          <w:sz w:val="22"/>
          <w:szCs w:val="22"/>
        </w:rPr>
        <w:t>et al.</w:t>
      </w:r>
      <w:r>
        <w:rPr>
          <w:rFonts w:ascii="Arial" w:hAnsi="Arial" w:cs="Arial"/>
          <w:sz w:val="22"/>
          <w:szCs w:val="22"/>
        </w:rPr>
        <w:t xml:space="preserve"> (2023) ‘Digital interventions to reduce social isolation and loneliness in older adults: An evidence and gap map’, </w:t>
      </w:r>
      <w:r>
        <w:rPr>
          <w:rFonts w:ascii="Arial" w:hAnsi="Arial" w:cs="Arial"/>
          <w:i/>
          <w:iCs/>
          <w:sz w:val="22"/>
          <w:szCs w:val="22"/>
        </w:rPr>
        <w:t>Campbell Systematic Reviews</w:t>
      </w:r>
      <w:r>
        <w:rPr>
          <w:rFonts w:ascii="Arial" w:hAnsi="Arial" w:cs="Arial"/>
          <w:sz w:val="22"/>
          <w:szCs w:val="22"/>
        </w:rPr>
        <w:t>, 19(4). Available at: https://doi.org/10.1002/cl2.1369.</w:t>
      </w:r>
    </w:p>
    <w:p w14:paraId="34F23C19"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WHO (2020) </w:t>
      </w:r>
      <w:r>
        <w:rPr>
          <w:rFonts w:ascii="Arial" w:hAnsi="Arial" w:cs="Arial"/>
          <w:i/>
          <w:iCs/>
          <w:sz w:val="22"/>
          <w:szCs w:val="22"/>
        </w:rPr>
        <w:t>Mental Health and Psychosocial Considerations During COVID-19 Outbreak</w:t>
      </w:r>
      <w:r>
        <w:rPr>
          <w:rFonts w:ascii="Arial" w:hAnsi="Arial" w:cs="Arial"/>
          <w:sz w:val="22"/>
          <w:szCs w:val="22"/>
        </w:rPr>
        <w:t xml:space="preserve">, </w:t>
      </w:r>
      <w:r>
        <w:rPr>
          <w:rFonts w:ascii="Arial" w:hAnsi="Arial" w:cs="Arial"/>
          <w:i/>
          <w:iCs/>
          <w:sz w:val="22"/>
          <w:szCs w:val="22"/>
        </w:rPr>
        <w:t>World Health Organization</w:t>
      </w:r>
      <w:r>
        <w:rPr>
          <w:rFonts w:ascii="Arial" w:hAnsi="Arial" w:cs="Arial"/>
          <w:sz w:val="22"/>
          <w:szCs w:val="22"/>
        </w:rPr>
        <w:t>. Available at: https://www.who.int/docs/default-source/coronaviruse/mental-health-considerations.pdf (Accessed: 25 March 2025).</w:t>
      </w:r>
    </w:p>
    <w:p w14:paraId="4BF85111"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WHO (2023) </w:t>
      </w:r>
      <w:r>
        <w:rPr>
          <w:rFonts w:ascii="Arial" w:hAnsi="Arial" w:cs="Arial"/>
          <w:i/>
          <w:iCs/>
          <w:sz w:val="22"/>
          <w:szCs w:val="22"/>
        </w:rPr>
        <w:t>Mental health of older adults</w:t>
      </w:r>
      <w:r>
        <w:rPr>
          <w:rFonts w:ascii="Arial" w:hAnsi="Arial" w:cs="Arial"/>
          <w:sz w:val="22"/>
          <w:szCs w:val="22"/>
        </w:rPr>
        <w:t xml:space="preserve">, </w:t>
      </w:r>
      <w:r>
        <w:rPr>
          <w:rFonts w:ascii="Arial" w:hAnsi="Arial" w:cs="Arial"/>
          <w:i/>
          <w:iCs/>
          <w:sz w:val="22"/>
          <w:szCs w:val="22"/>
        </w:rPr>
        <w:t>World Health Organization</w:t>
      </w:r>
      <w:r>
        <w:rPr>
          <w:rFonts w:ascii="Arial" w:hAnsi="Arial" w:cs="Arial"/>
          <w:sz w:val="22"/>
          <w:szCs w:val="22"/>
        </w:rPr>
        <w:t>. Available at: https://www.who.int/news-room/fact-sheets/detail/mental-health-of-older-adults (Accessed: 1 February 2025).</w:t>
      </w:r>
    </w:p>
    <w:p w14:paraId="104AC5AE" w14:textId="009AAA64"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WHO (2024a) </w:t>
      </w:r>
      <w:r>
        <w:rPr>
          <w:rFonts w:ascii="Arial" w:hAnsi="Arial" w:cs="Arial"/>
          <w:i/>
          <w:iCs/>
          <w:sz w:val="22"/>
          <w:szCs w:val="22"/>
        </w:rPr>
        <w:t>Cholera</w:t>
      </w:r>
      <w:r w:rsidR="006C2DA1">
        <w:rPr>
          <w:rFonts w:ascii="Arial" w:hAnsi="Arial" w:cs="Arial"/>
          <w:sz w:val="22"/>
          <w:szCs w:val="22"/>
        </w:rPr>
        <w:t xml:space="preserve">. </w:t>
      </w:r>
      <w:r>
        <w:rPr>
          <w:rFonts w:ascii="Arial" w:hAnsi="Arial" w:cs="Arial"/>
          <w:sz w:val="22"/>
          <w:szCs w:val="22"/>
        </w:rPr>
        <w:t>Available at: https://www.who.int/news-room/fact-sheets/detail/cholera (Accessed: 18 March 2025).</w:t>
      </w:r>
    </w:p>
    <w:p w14:paraId="1F8E6926"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WHO (2024b) </w:t>
      </w:r>
      <w:r>
        <w:rPr>
          <w:rFonts w:ascii="Arial" w:hAnsi="Arial" w:cs="Arial"/>
          <w:i/>
          <w:iCs/>
          <w:sz w:val="22"/>
          <w:szCs w:val="22"/>
        </w:rPr>
        <w:t>Depression</w:t>
      </w:r>
      <w:r>
        <w:rPr>
          <w:rFonts w:ascii="Arial" w:hAnsi="Arial" w:cs="Arial"/>
          <w:sz w:val="22"/>
          <w:szCs w:val="22"/>
        </w:rPr>
        <w:t>. Available at: https://www.who.int/health-topics/depression#tab=tab_1 (Accessed: 22 February 2025).</w:t>
      </w:r>
    </w:p>
    <w:p w14:paraId="35648E7A"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WHO (2025) </w:t>
      </w:r>
      <w:r>
        <w:rPr>
          <w:rFonts w:ascii="Arial" w:hAnsi="Arial" w:cs="Arial"/>
          <w:i/>
          <w:iCs/>
          <w:sz w:val="22"/>
          <w:szCs w:val="22"/>
        </w:rPr>
        <w:t>Social Isolation and Loneliness</w:t>
      </w:r>
      <w:r>
        <w:rPr>
          <w:rFonts w:ascii="Arial" w:hAnsi="Arial" w:cs="Arial"/>
          <w:sz w:val="22"/>
          <w:szCs w:val="22"/>
        </w:rPr>
        <w:t>. Available at: https://www.who.int/teams/social-determinants-of-health/demographic-change-and-healthy-ageing/social-isolation-and-loneliness (Accessed: 18 July 2025).</w:t>
      </w:r>
    </w:p>
    <w:p w14:paraId="6DBAB695"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Williams, S. (2022) ‘Poverty, gender and old age in the Victorian and Edwardian workhouse’, </w:t>
      </w:r>
      <w:r>
        <w:rPr>
          <w:rFonts w:ascii="Arial" w:hAnsi="Arial" w:cs="Arial"/>
          <w:i/>
          <w:iCs/>
          <w:sz w:val="22"/>
          <w:szCs w:val="22"/>
        </w:rPr>
        <w:t>Continuity and Change</w:t>
      </w:r>
      <w:r>
        <w:rPr>
          <w:rFonts w:ascii="Arial" w:hAnsi="Arial" w:cs="Arial"/>
          <w:sz w:val="22"/>
          <w:szCs w:val="22"/>
        </w:rPr>
        <w:t>, 37(3), pp. 389–421. Available at: https://doi.org/10.1017/s0268416023000036.</w:t>
      </w:r>
    </w:p>
    <w:p w14:paraId="2EFB7149"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Winstead, V. </w:t>
      </w:r>
      <w:r>
        <w:rPr>
          <w:rFonts w:ascii="Arial" w:hAnsi="Arial" w:cs="Arial"/>
          <w:i/>
          <w:iCs/>
          <w:sz w:val="22"/>
          <w:szCs w:val="22"/>
        </w:rPr>
        <w:t>et al.</w:t>
      </w:r>
      <w:r>
        <w:rPr>
          <w:rFonts w:ascii="Arial" w:hAnsi="Arial" w:cs="Arial"/>
          <w:sz w:val="22"/>
          <w:szCs w:val="22"/>
        </w:rPr>
        <w:t xml:space="preserve"> (2014) ‘The Impact of Activity Interventions on the Well-Being of Older Adults in Continuing Care Communities’, </w:t>
      </w:r>
      <w:r>
        <w:rPr>
          <w:rFonts w:ascii="Arial" w:hAnsi="Arial" w:cs="Arial"/>
          <w:i/>
          <w:iCs/>
          <w:sz w:val="22"/>
          <w:szCs w:val="22"/>
        </w:rPr>
        <w:t>Journal of Applied Gerontology</w:t>
      </w:r>
      <w:r>
        <w:rPr>
          <w:rFonts w:ascii="Arial" w:hAnsi="Arial" w:cs="Arial"/>
          <w:sz w:val="22"/>
          <w:szCs w:val="22"/>
        </w:rPr>
        <w:t>, 33(7), pp. 888–911. Available at: https://doi.org/10.1177/0733464814537701.</w:t>
      </w:r>
    </w:p>
    <w:p w14:paraId="7F35BA6F"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Yang, S.H. (2023) ‘The Implications of Using Digital Technologies in the Management of COVID-19: Comparative Study of Japan and South Korea’, </w:t>
      </w:r>
      <w:r>
        <w:rPr>
          <w:rFonts w:ascii="Arial" w:hAnsi="Arial" w:cs="Arial"/>
          <w:i/>
          <w:iCs/>
          <w:sz w:val="22"/>
          <w:szCs w:val="22"/>
        </w:rPr>
        <w:t>Journal of Medical Internet Research</w:t>
      </w:r>
      <w:r>
        <w:rPr>
          <w:rFonts w:ascii="Arial" w:hAnsi="Arial" w:cs="Arial"/>
          <w:sz w:val="22"/>
          <w:szCs w:val="22"/>
        </w:rPr>
        <w:t>, 25, p. e45705. Available at: https://doi.org/10.2196/45705.</w:t>
      </w:r>
    </w:p>
    <w:p w14:paraId="4B3E2803" w14:textId="77777777" w:rsidR="002C2D5C" w:rsidRDefault="002C2D5C" w:rsidP="002C2D5C">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Zaninotto, P. </w:t>
      </w:r>
      <w:r>
        <w:rPr>
          <w:rFonts w:ascii="Arial" w:hAnsi="Arial" w:cs="Arial"/>
          <w:i/>
          <w:iCs/>
          <w:sz w:val="22"/>
          <w:szCs w:val="22"/>
        </w:rPr>
        <w:t>et al.</w:t>
      </w:r>
      <w:r>
        <w:rPr>
          <w:rFonts w:ascii="Arial" w:hAnsi="Arial" w:cs="Arial"/>
          <w:sz w:val="22"/>
          <w:szCs w:val="22"/>
        </w:rPr>
        <w:t xml:space="preserve"> (2021) ‘Immediate and Longer-Term Changes in the Mental Health and Well-being of Older Adults in England During the COVID-19 Pandemic’, </w:t>
      </w:r>
      <w:r>
        <w:rPr>
          <w:rFonts w:ascii="Arial" w:hAnsi="Arial" w:cs="Arial"/>
          <w:i/>
          <w:iCs/>
          <w:sz w:val="22"/>
          <w:szCs w:val="22"/>
        </w:rPr>
        <w:t>JAMA Psychiatry</w:t>
      </w:r>
      <w:r>
        <w:rPr>
          <w:rFonts w:ascii="Arial" w:hAnsi="Arial" w:cs="Arial"/>
          <w:sz w:val="22"/>
          <w:szCs w:val="22"/>
        </w:rPr>
        <w:t>, 79(2). Available at: https://doi.org/10.1001/jamapsychiatry.2021.3749.</w:t>
      </w:r>
    </w:p>
    <w:p w14:paraId="7B9E7F55" w14:textId="77777777" w:rsidR="00811B2D" w:rsidRDefault="00811B2D" w:rsidP="00D90FD5">
      <w:pPr>
        <w:pStyle w:val="Heading1"/>
        <w:ind w:left="0"/>
        <w:rPr>
          <w:rFonts w:cs="Arial"/>
          <w:sz w:val="28"/>
          <w:szCs w:val="28"/>
        </w:rPr>
        <w:sectPr w:rsidR="00811B2D">
          <w:footerReference w:type="default" r:id="rId12"/>
          <w:pgSz w:w="11906" w:h="16838"/>
          <w:pgMar w:top="1440" w:right="1440" w:bottom="1440" w:left="1440" w:header="708" w:footer="708" w:gutter="0"/>
          <w:cols w:space="708"/>
          <w:docGrid w:linePitch="360"/>
        </w:sectPr>
      </w:pPr>
    </w:p>
    <w:p w14:paraId="5D23761E" w14:textId="77777777" w:rsidR="00D90FD5" w:rsidRPr="003D0CEA" w:rsidRDefault="00D90FD5" w:rsidP="00D90FD5">
      <w:pPr>
        <w:pStyle w:val="Heading1"/>
        <w:ind w:left="0"/>
        <w:rPr>
          <w:rFonts w:cs="Arial"/>
          <w:sz w:val="28"/>
          <w:szCs w:val="28"/>
        </w:rPr>
      </w:pPr>
      <w:bookmarkStart w:id="33" w:name="_Toc204127901"/>
      <w:r w:rsidRPr="003D0CEA">
        <w:rPr>
          <w:rFonts w:cs="Arial"/>
          <w:sz w:val="28"/>
          <w:szCs w:val="28"/>
        </w:rPr>
        <w:lastRenderedPageBreak/>
        <w:t>6.2 – Appendices</w:t>
      </w:r>
      <w:bookmarkEnd w:id="32"/>
      <w:bookmarkEnd w:id="33"/>
      <w:r w:rsidRPr="003D0CEA">
        <w:rPr>
          <w:rFonts w:cs="Arial"/>
          <w:sz w:val="28"/>
          <w:szCs w:val="28"/>
        </w:rPr>
        <w:t xml:space="preserve"> </w:t>
      </w:r>
    </w:p>
    <w:p w14:paraId="34774FB1" w14:textId="37ACA9D5" w:rsidR="00D90FD5" w:rsidRPr="00B02BDF" w:rsidRDefault="00D90FD5" w:rsidP="00D90FD5">
      <w:pPr>
        <w:rPr>
          <w:rFonts w:ascii="Arial" w:hAnsi="Arial" w:cs="Arial"/>
        </w:rPr>
      </w:pPr>
    </w:p>
    <w:p w14:paraId="0472CDDD" w14:textId="0F1FB178" w:rsidR="00D90FD5" w:rsidRPr="00052641" w:rsidRDefault="00B02BDF" w:rsidP="00B02BDF">
      <w:pPr>
        <w:pStyle w:val="Heading2"/>
        <w:rPr>
          <w:rFonts w:ascii="Arial" w:hAnsi="Arial" w:cs="Arial"/>
          <w:szCs w:val="24"/>
        </w:rPr>
      </w:pPr>
      <w:bookmarkStart w:id="34" w:name="_Toc204127902"/>
      <w:r w:rsidRPr="00052641">
        <w:rPr>
          <w:rFonts w:ascii="Arial" w:hAnsi="Arial" w:cs="Arial"/>
          <w:szCs w:val="24"/>
        </w:rPr>
        <w:t>Appendix A</w:t>
      </w:r>
      <w:r w:rsidR="005654B9" w:rsidRPr="00052641">
        <w:rPr>
          <w:rFonts w:ascii="Arial" w:hAnsi="Arial" w:cs="Arial"/>
          <w:szCs w:val="24"/>
        </w:rPr>
        <w:t>- Methodology Table</w:t>
      </w:r>
      <w:bookmarkEnd w:id="34"/>
    </w:p>
    <w:p w14:paraId="435048D0" w14:textId="4DE7F480" w:rsidR="00D90FD5" w:rsidRPr="003D0CEA" w:rsidRDefault="00052641" w:rsidP="00D90FD5">
      <w:pPr>
        <w:rPr>
          <w:rFonts w:ascii="Arial" w:hAnsi="Arial" w:cs="Arial"/>
        </w:rPr>
      </w:pPr>
      <w:r w:rsidRPr="00CC0A0A">
        <w:rPr>
          <w:rFonts w:ascii="Arial" w:hAnsi="Arial" w:cs="Arial"/>
          <w:noProof/>
        </w:rPr>
        <w:drawing>
          <wp:anchor distT="0" distB="0" distL="114300" distR="114300" simplePos="0" relativeHeight="251659264" behindDoc="0" locked="0" layoutInCell="1" allowOverlap="1" wp14:anchorId="06BCA571" wp14:editId="12D42802">
            <wp:simplePos x="0" y="0"/>
            <wp:positionH relativeFrom="column">
              <wp:posOffset>-862330</wp:posOffset>
            </wp:positionH>
            <wp:positionV relativeFrom="paragraph">
              <wp:posOffset>262639</wp:posOffset>
            </wp:positionV>
            <wp:extent cx="7416191" cy="5241290"/>
            <wp:effectExtent l="0" t="0" r="0" b="0"/>
            <wp:wrapNone/>
            <wp:docPr id="1920504064" name="Picture 1" descr="A screenshot of a medical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504064" name="Picture 1" descr="A screenshot of a medical information&#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7416191" cy="5241290"/>
                    </a:xfrm>
                    <a:prstGeom prst="rect">
                      <a:avLst/>
                    </a:prstGeom>
                  </pic:spPr>
                </pic:pic>
              </a:graphicData>
            </a:graphic>
            <wp14:sizeRelH relativeFrom="margin">
              <wp14:pctWidth>0</wp14:pctWidth>
            </wp14:sizeRelH>
            <wp14:sizeRelV relativeFrom="margin">
              <wp14:pctHeight>0</wp14:pctHeight>
            </wp14:sizeRelV>
          </wp:anchor>
        </w:drawing>
      </w:r>
    </w:p>
    <w:p w14:paraId="7A062FDF" w14:textId="77777777" w:rsidR="00D90FD5" w:rsidRPr="003D0CEA" w:rsidRDefault="00D90FD5" w:rsidP="00D90FD5">
      <w:pPr>
        <w:rPr>
          <w:rFonts w:ascii="Arial" w:hAnsi="Arial" w:cs="Arial"/>
        </w:rPr>
      </w:pPr>
    </w:p>
    <w:p w14:paraId="5A6775D2" w14:textId="77777777" w:rsidR="00D90FD5" w:rsidRPr="003D0CEA" w:rsidRDefault="00D90FD5" w:rsidP="00D90FD5">
      <w:pPr>
        <w:rPr>
          <w:rFonts w:ascii="Arial" w:hAnsi="Arial" w:cs="Arial"/>
        </w:rPr>
      </w:pPr>
    </w:p>
    <w:p w14:paraId="4E1FE436" w14:textId="77777777" w:rsidR="00D90FD5" w:rsidRPr="003D0CEA" w:rsidRDefault="00D90FD5" w:rsidP="00D90FD5">
      <w:pPr>
        <w:rPr>
          <w:rFonts w:ascii="Arial" w:hAnsi="Arial" w:cs="Arial"/>
        </w:rPr>
      </w:pPr>
    </w:p>
    <w:p w14:paraId="3882CD2D" w14:textId="77777777" w:rsidR="00D90FD5" w:rsidRPr="003D0CEA" w:rsidRDefault="00D90FD5" w:rsidP="00D90FD5">
      <w:pPr>
        <w:rPr>
          <w:rFonts w:ascii="Arial" w:hAnsi="Arial" w:cs="Arial"/>
        </w:rPr>
      </w:pPr>
    </w:p>
    <w:p w14:paraId="0D05FDDC" w14:textId="77777777" w:rsidR="00D90FD5" w:rsidRPr="003D0CEA" w:rsidRDefault="00D90FD5" w:rsidP="00D90FD5">
      <w:pPr>
        <w:rPr>
          <w:rFonts w:ascii="Arial" w:hAnsi="Arial" w:cs="Arial"/>
        </w:rPr>
      </w:pPr>
    </w:p>
    <w:p w14:paraId="39E8917A" w14:textId="77777777" w:rsidR="00D90FD5" w:rsidRPr="003D0CEA" w:rsidRDefault="00D90FD5" w:rsidP="00D90FD5">
      <w:pPr>
        <w:rPr>
          <w:rFonts w:ascii="Arial" w:hAnsi="Arial" w:cs="Arial"/>
        </w:rPr>
      </w:pPr>
    </w:p>
    <w:p w14:paraId="2A21C3C6" w14:textId="77777777" w:rsidR="00D90FD5" w:rsidRPr="003D0CEA" w:rsidRDefault="00D90FD5" w:rsidP="00D90FD5">
      <w:pPr>
        <w:rPr>
          <w:rFonts w:ascii="Arial" w:hAnsi="Arial" w:cs="Arial"/>
        </w:rPr>
      </w:pPr>
    </w:p>
    <w:p w14:paraId="6C603D39" w14:textId="77777777" w:rsidR="00D90FD5" w:rsidRPr="003D0CEA" w:rsidRDefault="00D90FD5" w:rsidP="00D90FD5">
      <w:pPr>
        <w:rPr>
          <w:rFonts w:ascii="Arial" w:hAnsi="Arial" w:cs="Arial"/>
        </w:rPr>
      </w:pPr>
    </w:p>
    <w:p w14:paraId="431999AF" w14:textId="77777777" w:rsidR="00D90FD5" w:rsidRDefault="00D90FD5" w:rsidP="00D90FD5">
      <w:pPr>
        <w:spacing w:line="259" w:lineRule="auto"/>
        <w:jc w:val="left"/>
        <w:rPr>
          <w:rFonts w:ascii="Arial" w:hAnsi="Arial" w:cs="Arial"/>
        </w:rPr>
      </w:pPr>
      <w:r>
        <w:rPr>
          <w:rFonts w:ascii="Arial" w:hAnsi="Arial" w:cs="Arial"/>
        </w:rPr>
        <w:br w:type="page"/>
      </w:r>
    </w:p>
    <w:p w14:paraId="3C7AA80C" w14:textId="7EEC29BA" w:rsidR="00621776" w:rsidRDefault="00286659" w:rsidP="00621776">
      <w:r w:rsidRPr="00286659">
        <w:rPr>
          <w:noProof/>
        </w:rPr>
        <w:lastRenderedPageBreak/>
        <w:drawing>
          <wp:anchor distT="0" distB="0" distL="114300" distR="114300" simplePos="0" relativeHeight="251660288" behindDoc="0" locked="0" layoutInCell="1" allowOverlap="1" wp14:anchorId="1D5BF9E6" wp14:editId="33B0A781">
            <wp:simplePos x="0" y="0"/>
            <wp:positionH relativeFrom="column">
              <wp:posOffset>-905774</wp:posOffset>
            </wp:positionH>
            <wp:positionV relativeFrom="paragraph">
              <wp:posOffset>-778123</wp:posOffset>
            </wp:positionV>
            <wp:extent cx="7522234" cy="5246228"/>
            <wp:effectExtent l="0" t="0" r="2540" b="0"/>
            <wp:wrapNone/>
            <wp:docPr id="1658857006" name="Picture 1" descr="A screenshot of a research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857006" name="Picture 1" descr="A screenshot of a research report&#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7529840" cy="5251532"/>
                    </a:xfrm>
                    <a:prstGeom prst="rect">
                      <a:avLst/>
                    </a:prstGeom>
                  </pic:spPr>
                </pic:pic>
              </a:graphicData>
            </a:graphic>
            <wp14:sizeRelH relativeFrom="margin">
              <wp14:pctWidth>0</wp14:pctWidth>
            </wp14:sizeRelH>
            <wp14:sizeRelV relativeFrom="margin">
              <wp14:pctHeight>0</wp14:pctHeight>
            </wp14:sizeRelV>
          </wp:anchor>
        </w:drawing>
      </w:r>
    </w:p>
    <w:p w14:paraId="78D375C0" w14:textId="77777777" w:rsidR="008C38C3" w:rsidRDefault="008C38C3" w:rsidP="00621776"/>
    <w:p w14:paraId="0D5F3838" w14:textId="77777777" w:rsidR="008C38C3" w:rsidRDefault="008C38C3" w:rsidP="00621776"/>
    <w:p w14:paraId="438D3C08" w14:textId="1AE0D7DD" w:rsidR="008C38C3" w:rsidRDefault="008C38C3" w:rsidP="00621776"/>
    <w:p w14:paraId="18FF6044" w14:textId="706F7519" w:rsidR="008C38C3" w:rsidRDefault="008C38C3" w:rsidP="00621776"/>
    <w:p w14:paraId="268CFD1F" w14:textId="77777777" w:rsidR="008C38C3" w:rsidRDefault="008C38C3" w:rsidP="00621776"/>
    <w:p w14:paraId="2440A778" w14:textId="77777777" w:rsidR="008C38C3" w:rsidRDefault="008C38C3" w:rsidP="00621776"/>
    <w:p w14:paraId="5122D4D8" w14:textId="77777777" w:rsidR="008C38C3" w:rsidRDefault="008C38C3" w:rsidP="00621776"/>
    <w:p w14:paraId="4944E244" w14:textId="77777777" w:rsidR="008C38C3" w:rsidRDefault="008C38C3" w:rsidP="00621776"/>
    <w:p w14:paraId="5DA0FD87" w14:textId="77777777" w:rsidR="008C38C3" w:rsidRDefault="008C38C3" w:rsidP="00621776"/>
    <w:p w14:paraId="6ED1B63A" w14:textId="77777777" w:rsidR="000264A2" w:rsidRDefault="000264A2" w:rsidP="00621776"/>
    <w:p w14:paraId="01E01220" w14:textId="318F55CA" w:rsidR="00286659" w:rsidRDefault="00286659">
      <w:pPr>
        <w:spacing w:line="259" w:lineRule="auto"/>
        <w:jc w:val="left"/>
      </w:pPr>
      <w:r>
        <w:br w:type="page"/>
      </w:r>
    </w:p>
    <w:p w14:paraId="1CB36EC5" w14:textId="363FB09C" w:rsidR="0051169E" w:rsidRPr="00052641" w:rsidRDefault="0051169E" w:rsidP="0051169E">
      <w:pPr>
        <w:pStyle w:val="Heading2"/>
        <w:rPr>
          <w:rFonts w:ascii="Arial" w:hAnsi="Arial" w:cs="Arial"/>
        </w:rPr>
      </w:pPr>
      <w:bookmarkStart w:id="35" w:name="_Toc204127903"/>
      <w:r w:rsidRPr="00052641">
        <w:rPr>
          <w:rFonts w:ascii="Arial" w:hAnsi="Arial" w:cs="Arial"/>
        </w:rPr>
        <w:lastRenderedPageBreak/>
        <w:t>Appendix B</w:t>
      </w:r>
      <w:r w:rsidR="00130933" w:rsidRPr="00052641">
        <w:rPr>
          <w:rFonts w:ascii="Arial" w:hAnsi="Arial" w:cs="Arial"/>
        </w:rPr>
        <w:t xml:space="preserve">- </w:t>
      </w:r>
      <w:r w:rsidR="00A44186" w:rsidRPr="00052641">
        <w:rPr>
          <w:rFonts w:ascii="Arial" w:hAnsi="Arial" w:cs="Arial"/>
        </w:rPr>
        <w:t>Source Tracking Table</w:t>
      </w:r>
      <w:bookmarkEnd w:id="35"/>
    </w:p>
    <w:p w14:paraId="62DAE7CB" w14:textId="5920B32C" w:rsidR="009C1F19" w:rsidRDefault="009C1F19" w:rsidP="0051169E">
      <w:pPr>
        <w:pStyle w:val="Heading2"/>
      </w:pPr>
      <w:bookmarkStart w:id="36" w:name="_Toc204127904"/>
      <w:r w:rsidRPr="009C1F19">
        <w:rPr>
          <w:noProof/>
        </w:rPr>
        <w:drawing>
          <wp:anchor distT="0" distB="0" distL="114300" distR="114300" simplePos="0" relativeHeight="251661312" behindDoc="0" locked="0" layoutInCell="1" allowOverlap="1" wp14:anchorId="2F8C2402" wp14:editId="5EE25D0A">
            <wp:simplePos x="0" y="0"/>
            <wp:positionH relativeFrom="column">
              <wp:posOffset>-17254</wp:posOffset>
            </wp:positionH>
            <wp:positionV relativeFrom="paragraph">
              <wp:posOffset>57665</wp:posOffset>
            </wp:positionV>
            <wp:extent cx="5719313" cy="5149707"/>
            <wp:effectExtent l="0" t="0" r="0" b="0"/>
            <wp:wrapNone/>
            <wp:docPr id="940892833"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892833" name="Picture 1" descr="A table with text on it&#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729123" cy="5158540"/>
                    </a:xfrm>
                    <a:prstGeom prst="rect">
                      <a:avLst/>
                    </a:prstGeom>
                  </pic:spPr>
                </pic:pic>
              </a:graphicData>
            </a:graphic>
            <wp14:sizeRelH relativeFrom="margin">
              <wp14:pctWidth>0</wp14:pctWidth>
            </wp14:sizeRelH>
            <wp14:sizeRelV relativeFrom="margin">
              <wp14:pctHeight>0</wp14:pctHeight>
            </wp14:sizeRelV>
          </wp:anchor>
        </w:drawing>
      </w:r>
      <w:bookmarkEnd w:id="36"/>
    </w:p>
    <w:p w14:paraId="56868FC0" w14:textId="77777777" w:rsidR="009C1F19" w:rsidRDefault="009C1F19">
      <w:pPr>
        <w:spacing w:line="259" w:lineRule="auto"/>
        <w:jc w:val="left"/>
        <w:rPr>
          <w:rFonts w:eastAsiaTheme="majorEastAsia" w:cstheme="majorBidi"/>
          <w:color w:val="2F5496" w:themeColor="accent1" w:themeShade="BF"/>
          <w:sz w:val="24"/>
          <w:szCs w:val="26"/>
        </w:rPr>
      </w:pPr>
      <w:r>
        <w:br w:type="page"/>
      </w:r>
    </w:p>
    <w:p w14:paraId="1F4FF2C2" w14:textId="0ADF9B02" w:rsidR="0051169E" w:rsidRPr="009C22F8" w:rsidRDefault="007377ED" w:rsidP="0051169E">
      <w:pPr>
        <w:pStyle w:val="Heading2"/>
        <w:rPr>
          <w:rFonts w:ascii="Arial" w:hAnsi="Arial" w:cs="Arial"/>
        </w:rPr>
      </w:pPr>
      <w:bookmarkStart w:id="37" w:name="_Toc204127905"/>
      <w:r w:rsidRPr="009C22F8">
        <w:rPr>
          <w:rFonts w:ascii="Arial" w:hAnsi="Arial" w:cs="Arial"/>
          <w:noProof/>
        </w:rPr>
        <w:lastRenderedPageBreak/>
        <w:drawing>
          <wp:anchor distT="0" distB="0" distL="114300" distR="114300" simplePos="0" relativeHeight="251664384" behindDoc="0" locked="0" layoutInCell="1" allowOverlap="1" wp14:anchorId="568DEED2" wp14:editId="6B8F6CC4">
            <wp:simplePos x="0" y="0"/>
            <wp:positionH relativeFrom="column">
              <wp:posOffset>-878774</wp:posOffset>
            </wp:positionH>
            <wp:positionV relativeFrom="paragraph">
              <wp:posOffset>368135</wp:posOffset>
            </wp:positionV>
            <wp:extent cx="7493330" cy="4201611"/>
            <wp:effectExtent l="0" t="0" r="0" b="8890"/>
            <wp:wrapNone/>
            <wp:docPr id="2005047923" name="Picture 1" descr="A white and green rectangul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047923" name="Picture 1" descr="A white and green rectangular char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7541510" cy="4228626"/>
                    </a:xfrm>
                    <a:prstGeom prst="rect">
                      <a:avLst/>
                    </a:prstGeom>
                  </pic:spPr>
                </pic:pic>
              </a:graphicData>
            </a:graphic>
            <wp14:sizeRelH relativeFrom="margin">
              <wp14:pctWidth>0</wp14:pctWidth>
            </wp14:sizeRelH>
            <wp14:sizeRelV relativeFrom="margin">
              <wp14:pctHeight>0</wp14:pctHeight>
            </wp14:sizeRelV>
          </wp:anchor>
        </w:drawing>
      </w:r>
      <w:r w:rsidR="009C1F19" w:rsidRPr="009C22F8">
        <w:rPr>
          <w:rFonts w:ascii="Arial" w:hAnsi="Arial" w:cs="Arial"/>
        </w:rPr>
        <w:t>Appendix C</w:t>
      </w:r>
      <w:r w:rsidR="00D53C2B" w:rsidRPr="009C22F8">
        <w:rPr>
          <w:rFonts w:ascii="Arial" w:hAnsi="Arial" w:cs="Arial"/>
        </w:rPr>
        <w:t>- Results Summary Table</w:t>
      </w:r>
      <w:bookmarkEnd w:id="37"/>
    </w:p>
    <w:p w14:paraId="420355B9" w14:textId="77777777" w:rsidR="009C22F8" w:rsidRPr="009C22F8" w:rsidRDefault="009C22F8" w:rsidP="009C22F8"/>
    <w:p w14:paraId="64113924" w14:textId="6BD846DD" w:rsidR="009C1F19" w:rsidRDefault="00D83FE7">
      <w:pPr>
        <w:spacing w:line="259" w:lineRule="auto"/>
        <w:jc w:val="left"/>
      </w:pPr>
      <w:r w:rsidRPr="00D83FE7">
        <w:rPr>
          <w:noProof/>
        </w:rPr>
        <w:drawing>
          <wp:anchor distT="0" distB="0" distL="114300" distR="114300" simplePos="0" relativeHeight="251665408" behindDoc="0" locked="0" layoutInCell="1" allowOverlap="1" wp14:anchorId="545D5E4F" wp14:editId="733CAD8D">
            <wp:simplePos x="0" y="0"/>
            <wp:positionH relativeFrom="column">
              <wp:posOffset>-866585</wp:posOffset>
            </wp:positionH>
            <wp:positionV relativeFrom="paragraph">
              <wp:posOffset>4304665</wp:posOffset>
            </wp:positionV>
            <wp:extent cx="7479846" cy="3633850"/>
            <wp:effectExtent l="0" t="0" r="6985" b="5080"/>
            <wp:wrapNone/>
            <wp:docPr id="1972834968" name="Picture 1" descr="A white rectangular gri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834968" name="Picture 1" descr="A white rectangular grid with black text&#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7479846" cy="3633850"/>
                    </a:xfrm>
                    <a:prstGeom prst="rect">
                      <a:avLst/>
                    </a:prstGeom>
                  </pic:spPr>
                </pic:pic>
              </a:graphicData>
            </a:graphic>
            <wp14:sizeRelH relativeFrom="margin">
              <wp14:pctWidth>0</wp14:pctWidth>
            </wp14:sizeRelH>
            <wp14:sizeRelV relativeFrom="margin">
              <wp14:pctHeight>0</wp14:pctHeight>
            </wp14:sizeRelV>
          </wp:anchor>
        </w:drawing>
      </w:r>
      <w:r w:rsidR="009C1F19">
        <w:br w:type="page"/>
      </w:r>
    </w:p>
    <w:tbl>
      <w:tblPr>
        <w:tblStyle w:val="TableGrid"/>
        <w:tblW w:w="10060" w:type="dxa"/>
        <w:tblInd w:w="-532" w:type="dxa"/>
        <w:tblLook w:val="04A0" w:firstRow="1" w:lastRow="0" w:firstColumn="1" w:lastColumn="0" w:noHBand="0" w:noVBand="1"/>
      </w:tblPr>
      <w:tblGrid>
        <w:gridCol w:w="1129"/>
        <w:gridCol w:w="4081"/>
        <w:gridCol w:w="4850"/>
      </w:tblGrid>
      <w:tr w:rsidR="00F21163" w14:paraId="15F8BB51" w14:textId="77777777" w:rsidTr="00895814">
        <w:trPr>
          <w:trHeight w:val="557"/>
        </w:trPr>
        <w:tc>
          <w:tcPr>
            <w:tcW w:w="10060" w:type="dxa"/>
            <w:gridSpan w:val="3"/>
          </w:tcPr>
          <w:p w14:paraId="519D2DF4" w14:textId="0546CEC1" w:rsidR="00F21163" w:rsidRPr="006B1B6A" w:rsidRDefault="006B1B6A" w:rsidP="006B1B6A">
            <w:pPr>
              <w:spacing w:line="259" w:lineRule="auto"/>
              <w:jc w:val="center"/>
              <w:rPr>
                <w:rFonts w:ascii="Arial" w:hAnsi="Arial" w:cs="Arial"/>
                <w:b/>
                <w:bCs/>
                <w:sz w:val="28"/>
                <w:szCs w:val="28"/>
              </w:rPr>
            </w:pPr>
            <w:r w:rsidRPr="006B1B6A">
              <w:rPr>
                <w:rFonts w:ascii="Arial" w:hAnsi="Arial" w:cs="Arial"/>
                <w:b/>
                <w:bCs/>
                <w:sz w:val="28"/>
                <w:szCs w:val="28"/>
              </w:rPr>
              <w:lastRenderedPageBreak/>
              <w:t>Colour Coding Key for Thematic Analysis</w:t>
            </w:r>
          </w:p>
        </w:tc>
      </w:tr>
      <w:tr w:rsidR="00F21163" w14:paraId="1126A805" w14:textId="6FEAAF81" w:rsidTr="00895814">
        <w:trPr>
          <w:trHeight w:val="424"/>
        </w:trPr>
        <w:tc>
          <w:tcPr>
            <w:tcW w:w="1129" w:type="dxa"/>
          </w:tcPr>
          <w:p w14:paraId="3F172064" w14:textId="42D2F7BD" w:rsidR="00F21163" w:rsidRPr="00B45165" w:rsidRDefault="006B1B6A" w:rsidP="00B61B03">
            <w:pPr>
              <w:spacing w:line="259" w:lineRule="auto"/>
              <w:jc w:val="center"/>
              <w:rPr>
                <w:b/>
                <w:bCs/>
                <w:u w:val="single"/>
              </w:rPr>
            </w:pPr>
            <w:r w:rsidRPr="00B45165">
              <w:rPr>
                <w:b/>
                <w:bCs/>
                <w:u w:val="single"/>
              </w:rPr>
              <w:t>Colour</w:t>
            </w:r>
          </w:p>
        </w:tc>
        <w:tc>
          <w:tcPr>
            <w:tcW w:w="4081" w:type="dxa"/>
          </w:tcPr>
          <w:p w14:paraId="75427245" w14:textId="660A4F54" w:rsidR="00F21163" w:rsidRPr="00B45165" w:rsidRDefault="006B1B6A" w:rsidP="00B45165">
            <w:pPr>
              <w:spacing w:line="259" w:lineRule="auto"/>
              <w:jc w:val="center"/>
              <w:rPr>
                <w:b/>
                <w:bCs/>
                <w:u w:val="single"/>
              </w:rPr>
            </w:pPr>
            <w:r w:rsidRPr="00B45165">
              <w:rPr>
                <w:b/>
                <w:bCs/>
                <w:u w:val="single"/>
              </w:rPr>
              <w:t>Theme</w:t>
            </w:r>
          </w:p>
        </w:tc>
        <w:tc>
          <w:tcPr>
            <w:tcW w:w="4850" w:type="dxa"/>
          </w:tcPr>
          <w:p w14:paraId="195BE466" w14:textId="1DC443BF" w:rsidR="00F21163" w:rsidRPr="002D3AD4" w:rsidRDefault="00B45165" w:rsidP="002D3AD4">
            <w:pPr>
              <w:spacing w:line="259" w:lineRule="auto"/>
              <w:jc w:val="center"/>
              <w:rPr>
                <w:rFonts w:ascii="Arial" w:hAnsi="Arial" w:cs="Arial"/>
                <w:b/>
                <w:bCs/>
                <w:u w:val="single"/>
              </w:rPr>
            </w:pPr>
            <w:r w:rsidRPr="002D3AD4">
              <w:rPr>
                <w:rFonts w:ascii="Arial" w:hAnsi="Arial" w:cs="Arial"/>
                <w:b/>
                <w:bCs/>
                <w:u w:val="single"/>
              </w:rPr>
              <w:t>Examples of Codes and Concepts</w:t>
            </w:r>
          </w:p>
        </w:tc>
      </w:tr>
      <w:tr w:rsidR="00F21163" w14:paraId="326A1C40" w14:textId="6F3A85ED" w:rsidTr="00895814">
        <w:trPr>
          <w:trHeight w:val="870"/>
        </w:trPr>
        <w:tc>
          <w:tcPr>
            <w:tcW w:w="1129" w:type="dxa"/>
          </w:tcPr>
          <w:p w14:paraId="110048F9" w14:textId="338AB679" w:rsidR="00F21163" w:rsidRPr="002307C0" w:rsidRDefault="00F21163" w:rsidP="002307C0">
            <w:pPr>
              <w:spacing w:line="259" w:lineRule="auto"/>
              <w:jc w:val="center"/>
              <w:rPr>
                <w:highlight w:val="green"/>
              </w:rPr>
            </w:pPr>
            <w:r w:rsidRPr="002307C0">
              <w:rPr>
                <w:b/>
                <w:bCs/>
                <w:highlight w:val="cyan"/>
              </w:rPr>
              <w:t>Blue</w:t>
            </w:r>
          </w:p>
        </w:tc>
        <w:tc>
          <w:tcPr>
            <w:tcW w:w="408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D3AD4" w:rsidRPr="002D3AD4" w14:paraId="7418B813" w14:textId="77777777" w:rsidTr="002D3AD4">
              <w:trPr>
                <w:tblCellSpacing w:w="15" w:type="dxa"/>
              </w:trPr>
              <w:tc>
                <w:tcPr>
                  <w:tcW w:w="0" w:type="auto"/>
                  <w:vAlign w:val="center"/>
                  <w:hideMark/>
                </w:tcPr>
                <w:p w14:paraId="45E4C2FA" w14:textId="77777777" w:rsidR="002D3AD4" w:rsidRPr="002D3AD4" w:rsidRDefault="002D3AD4" w:rsidP="0039264C">
                  <w:pPr>
                    <w:spacing w:after="0"/>
                    <w:jc w:val="left"/>
                    <w:rPr>
                      <w:rFonts w:ascii="Arial" w:eastAsia="Times New Roman" w:hAnsi="Arial" w:cs="Arial"/>
                      <w:kern w:val="0"/>
                      <w:sz w:val="24"/>
                      <w:szCs w:val="24"/>
                      <w:lang w:eastAsia="en-GB"/>
                      <w14:ligatures w14:val="none"/>
                    </w:rPr>
                  </w:pPr>
                </w:p>
              </w:tc>
            </w:tr>
          </w:tbl>
          <w:p w14:paraId="735AA723" w14:textId="22F5C90D" w:rsidR="002D3AD4" w:rsidRPr="002D3AD4" w:rsidRDefault="00055DEC" w:rsidP="0039264C">
            <w:pPr>
              <w:jc w:val="left"/>
              <w:rPr>
                <w:rFonts w:ascii="Arial" w:eastAsia="Times New Roman" w:hAnsi="Arial" w:cs="Arial"/>
                <w:vanish/>
                <w:sz w:val="24"/>
                <w:szCs w:val="24"/>
                <w:lang w:eastAsia="en-GB"/>
              </w:rPr>
            </w:pPr>
            <w:r w:rsidRPr="00055DEC">
              <w:rPr>
                <w:rFonts w:ascii="Arial" w:hAnsi="Arial" w:cs="Arial"/>
              </w:rPr>
              <w:t>Emotional and Psychological Deterioration</w:t>
            </w:r>
          </w:p>
          <w:p w14:paraId="52FC4183" w14:textId="77777777" w:rsidR="00F21163" w:rsidRPr="00055DEC" w:rsidRDefault="00F21163" w:rsidP="0039264C">
            <w:pPr>
              <w:jc w:val="left"/>
              <w:rPr>
                <w:rFonts w:ascii="Arial" w:hAnsi="Arial" w:cs="Arial"/>
              </w:rPr>
            </w:pPr>
          </w:p>
        </w:tc>
        <w:tc>
          <w:tcPr>
            <w:tcW w:w="4850" w:type="dxa"/>
          </w:tcPr>
          <w:p w14:paraId="3330C2B8" w14:textId="629C1142" w:rsidR="00F21163" w:rsidRPr="0039264C" w:rsidRDefault="0039264C" w:rsidP="0039264C">
            <w:pPr>
              <w:jc w:val="left"/>
              <w:rPr>
                <w:rFonts w:ascii="Arial" w:hAnsi="Arial" w:cs="Arial"/>
              </w:rPr>
            </w:pPr>
            <w:r w:rsidRPr="0039264C">
              <w:rPr>
                <w:rFonts w:ascii="Arial" w:hAnsi="Arial" w:cs="Arial"/>
              </w:rPr>
              <w:t>Depression, loneliness, anxiety, emotional distress, emotional withdrawal, bereavement, pain (if causing emotional harm), social connections (emotional loss)</w:t>
            </w:r>
          </w:p>
        </w:tc>
      </w:tr>
      <w:tr w:rsidR="00F21163" w14:paraId="7FE32965" w14:textId="239545DC" w:rsidTr="00895814">
        <w:trPr>
          <w:trHeight w:val="870"/>
        </w:trPr>
        <w:tc>
          <w:tcPr>
            <w:tcW w:w="1129" w:type="dxa"/>
          </w:tcPr>
          <w:p w14:paraId="13089179" w14:textId="0E44003F" w:rsidR="00F21163" w:rsidRDefault="00F21163" w:rsidP="002307C0">
            <w:pPr>
              <w:spacing w:line="259" w:lineRule="auto"/>
              <w:jc w:val="center"/>
            </w:pPr>
            <w:r w:rsidRPr="002307C0">
              <w:rPr>
                <w:highlight w:val="green"/>
              </w:rPr>
              <w:t>Green</w:t>
            </w:r>
          </w:p>
        </w:tc>
        <w:tc>
          <w:tcPr>
            <w:tcW w:w="4081" w:type="dxa"/>
          </w:tcPr>
          <w:p w14:paraId="4AC197A3" w14:textId="67AB12A8" w:rsidR="00F21163" w:rsidRPr="00055DEC" w:rsidRDefault="00257BD8" w:rsidP="0039264C">
            <w:pPr>
              <w:jc w:val="left"/>
              <w:rPr>
                <w:rFonts w:ascii="Arial" w:hAnsi="Arial" w:cs="Arial"/>
              </w:rPr>
            </w:pPr>
            <w:r w:rsidRPr="00055DEC">
              <w:rPr>
                <w:rFonts w:ascii="Arial" w:hAnsi="Arial" w:cs="Arial"/>
              </w:rPr>
              <w:t>Cognitive and Functional Impairment</w:t>
            </w:r>
          </w:p>
        </w:tc>
        <w:tc>
          <w:tcPr>
            <w:tcW w:w="4850" w:type="dxa"/>
          </w:tcPr>
          <w:p w14:paraId="30A5D9FF" w14:textId="26337F15" w:rsidR="00F21163" w:rsidRPr="00BD5D6A" w:rsidRDefault="00BD5D6A" w:rsidP="00BD5D6A">
            <w:pPr>
              <w:jc w:val="left"/>
              <w:rPr>
                <w:rFonts w:ascii="Arial" w:hAnsi="Arial" w:cs="Arial"/>
              </w:rPr>
            </w:pPr>
            <w:r w:rsidRPr="00BD5D6A">
              <w:rPr>
                <w:rFonts w:ascii="Arial" w:hAnsi="Arial" w:cs="Arial"/>
              </w:rPr>
              <w:t>Cognitive decline, memory loss, deconditioning, reduced social engagement (impacting stimulation), isolation</w:t>
            </w:r>
            <w:r>
              <w:rPr>
                <w:rFonts w:ascii="Arial" w:hAnsi="Arial" w:cs="Arial"/>
              </w:rPr>
              <w:t>,</w:t>
            </w:r>
            <w:r w:rsidRPr="00BD5D6A">
              <w:rPr>
                <w:rFonts w:ascii="Arial" w:hAnsi="Arial" w:cs="Arial"/>
              </w:rPr>
              <w:t xml:space="preserve"> leading to cognitive deterioration</w:t>
            </w:r>
          </w:p>
        </w:tc>
      </w:tr>
      <w:tr w:rsidR="00F21163" w14:paraId="44F889BF" w14:textId="6B6B59AF" w:rsidTr="00895814">
        <w:trPr>
          <w:trHeight w:val="870"/>
        </w:trPr>
        <w:tc>
          <w:tcPr>
            <w:tcW w:w="1129" w:type="dxa"/>
          </w:tcPr>
          <w:p w14:paraId="48B7F815" w14:textId="04E0D13D" w:rsidR="00F21163" w:rsidRDefault="00F21163" w:rsidP="002307C0">
            <w:pPr>
              <w:spacing w:line="259" w:lineRule="auto"/>
              <w:jc w:val="center"/>
            </w:pPr>
            <w:r w:rsidRPr="002307C0">
              <w:rPr>
                <w:highlight w:val="yellow"/>
              </w:rPr>
              <w:t>Yellow</w:t>
            </w:r>
          </w:p>
        </w:tc>
        <w:tc>
          <w:tcPr>
            <w:tcW w:w="4081" w:type="dxa"/>
          </w:tcPr>
          <w:p w14:paraId="54B52926" w14:textId="74BFF8A9" w:rsidR="00F21163" w:rsidRPr="004021A2" w:rsidRDefault="004021A2" w:rsidP="0039264C">
            <w:pPr>
              <w:jc w:val="left"/>
              <w:rPr>
                <w:rFonts w:ascii="Arial" w:hAnsi="Arial" w:cs="Arial"/>
              </w:rPr>
            </w:pPr>
            <w:r w:rsidRPr="004021A2">
              <w:rPr>
                <w:rFonts w:ascii="Arial" w:hAnsi="Arial" w:cs="Arial"/>
              </w:rPr>
              <w:t xml:space="preserve">Barriers to Quality </w:t>
            </w:r>
            <w:r w:rsidR="006978C8">
              <w:rPr>
                <w:rFonts w:ascii="Arial" w:hAnsi="Arial" w:cs="Arial"/>
              </w:rPr>
              <w:t xml:space="preserve">of </w:t>
            </w:r>
            <w:r w:rsidRPr="004021A2">
              <w:rPr>
                <w:rFonts w:ascii="Arial" w:hAnsi="Arial" w:cs="Arial"/>
              </w:rPr>
              <w:t>Care</w:t>
            </w:r>
          </w:p>
        </w:tc>
        <w:tc>
          <w:tcPr>
            <w:tcW w:w="4850" w:type="dxa"/>
          </w:tcPr>
          <w:p w14:paraId="105C76BA" w14:textId="2674F546" w:rsidR="00F21163" w:rsidRDefault="00BD5D6A" w:rsidP="00BD5D6A">
            <w:pPr>
              <w:pStyle w:val="NormalWeb"/>
              <w:spacing w:line="360" w:lineRule="auto"/>
            </w:pPr>
            <w:r w:rsidRPr="00BD5D6A">
              <w:rPr>
                <w:rFonts w:ascii="Arial" w:hAnsi="Arial" w:cs="Arial"/>
                <w:sz w:val="22"/>
                <w:szCs w:val="22"/>
              </w:rPr>
              <w:t>Staff shortages, technology barriers, disrupted family involvement, lack of person-centred care, social connections (blocked by policies), safety measures creating isolation, systemic issues limiting care quality</w:t>
            </w:r>
          </w:p>
        </w:tc>
      </w:tr>
    </w:tbl>
    <w:p w14:paraId="70C7CA0C" w14:textId="282A710E" w:rsidR="008C38C3" w:rsidRPr="00304520" w:rsidRDefault="008C38C3" w:rsidP="00304520">
      <w:pPr>
        <w:spacing w:line="259" w:lineRule="auto"/>
        <w:jc w:val="left"/>
        <w:rPr>
          <w:rFonts w:eastAsiaTheme="majorEastAsia" w:cstheme="majorBidi"/>
          <w:color w:val="2F5496" w:themeColor="accent1" w:themeShade="BF"/>
          <w:sz w:val="24"/>
          <w:szCs w:val="26"/>
        </w:rPr>
      </w:pPr>
    </w:p>
    <w:sectPr w:rsidR="008C38C3" w:rsidRPr="00304520" w:rsidSect="004E5CCE">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DBCE4" w14:textId="77777777" w:rsidR="00F6728F" w:rsidRDefault="00F6728F" w:rsidP="00211184">
      <w:pPr>
        <w:spacing w:after="0" w:line="240" w:lineRule="auto"/>
      </w:pPr>
      <w:r>
        <w:separator/>
      </w:r>
    </w:p>
  </w:endnote>
  <w:endnote w:type="continuationSeparator" w:id="0">
    <w:p w14:paraId="4DF83429" w14:textId="77777777" w:rsidR="00F6728F" w:rsidRDefault="00F6728F"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AE01A" w14:textId="77777777" w:rsidR="00F6728F" w:rsidRDefault="00F6728F" w:rsidP="00211184">
      <w:pPr>
        <w:spacing w:after="0" w:line="240" w:lineRule="auto"/>
      </w:pPr>
      <w:r>
        <w:separator/>
      </w:r>
    </w:p>
  </w:footnote>
  <w:footnote w:type="continuationSeparator" w:id="0">
    <w:p w14:paraId="1D929B70" w14:textId="77777777" w:rsidR="00F6728F" w:rsidRDefault="00F6728F"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0DFF1166"/>
    <w:multiLevelType w:val="hybridMultilevel"/>
    <w:tmpl w:val="2D64A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336D2B02"/>
    <w:multiLevelType w:val="hybridMultilevel"/>
    <w:tmpl w:val="C3DEAD64"/>
    <w:lvl w:ilvl="0" w:tplc="0C3CDB96">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1"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7"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9"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1"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0"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1"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4"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5"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9"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9"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1"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2"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4"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5"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6"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99"/>
  </w:num>
  <w:num w:numId="2" w16cid:durableId="1500121260">
    <w:abstractNumId w:val="57"/>
  </w:num>
  <w:num w:numId="3" w16cid:durableId="438111508">
    <w:abstractNumId w:val="92"/>
  </w:num>
  <w:num w:numId="4" w16cid:durableId="106121269">
    <w:abstractNumId w:val="18"/>
  </w:num>
  <w:num w:numId="5" w16cid:durableId="1859468656">
    <w:abstractNumId w:val="105"/>
  </w:num>
  <w:num w:numId="6" w16cid:durableId="407923627">
    <w:abstractNumId w:val="103"/>
  </w:num>
  <w:num w:numId="7" w16cid:durableId="1173763238">
    <w:abstractNumId w:val="69"/>
  </w:num>
  <w:num w:numId="8" w16cid:durableId="515197422">
    <w:abstractNumId w:val="49"/>
  </w:num>
  <w:num w:numId="9" w16cid:durableId="650984044">
    <w:abstractNumId w:val="14"/>
  </w:num>
  <w:num w:numId="10" w16cid:durableId="676225712">
    <w:abstractNumId w:val="95"/>
  </w:num>
  <w:num w:numId="11" w16cid:durableId="654647421">
    <w:abstractNumId w:val="68"/>
  </w:num>
  <w:num w:numId="12" w16cid:durableId="972827862">
    <w:abstractNumId w:val="71"/>
  </w:num>
  <w:num w:numId="13" w16cid:durableId="73359902">
    <w:abstractNumId w:val="47"/>
  </w:num>
  <w:num w:numId="14" w16cid:durableId="1233615214">
    <w:abstractNumId w:val="11"/>
  </w:num>
  <w:num w:numId="15" w16cid:durableId="1037585576">
    <w:abstractNumId w:val="101"/>
  </w:num>
  <w:num w:numId="16" w16cid:durableId="1454127918">
    <w:abstractNumId w:val="85"/>
  </w:num>
  <w:num w:numId="17" w16cid:durableId="1655717882">
    <w:abstractNumId w:val="32"/>
  </w:num>
  <w:num w:numId="18" w16cid:durableId="679818721">
    <w:abstractNumId w:val="7"/>
  </w:num>
  <w:num w:numId="19" w16cid:durableId="820851363">
    <w:abstractNumId w:val="2"/>
  </w:num>
  <w:num w:numId="20" w16cid:durableId="1752123437">
    <w:abstractNumId w:val="61"/>
  </w:num>
  <w:num w:numId="21" w16cid:durableId="776406381">
    <w:abstractNumId w:val="9"/>
  </w:num>
  <w:num w:numId="22" w16cid:durableId="2003772795">
    <w:abstractNumId w:val="106"/>
  </w:num>
  <w:num w:numId="23" w16cid:durableId="471214588">
    <w:abstractNumId w:val="8"/>
  </w:num>
  <w:num w:numId="24" w16cid:durableId="747188340">
    <w:abstractNumId w:val="91"/>
  </w:num>
  <w:num w:numId="25" w16cid:durableId="1617635105">
    <w:abstractNumId w:val="21"/>
  </w:num>
  <w:num w:numId="26" w16cid:durableId="1919750537">
    <w:abstractNumId w:val="97"/>
  </w:num>
  <w:num w:numId="27" w16cid:durableId="1917666381">
    <w:abstractNumId w:val="4"/>
  </w:num>
  <w:num w:numId="28" w16cid:durableId="836925604">
    <w:abstractNumId w:val="84"/>
  </w:num>
  <w:num w:numId="29" w16cid:durableId="881479433">
    <w:abstractNumId w:val="72"/>
  </w:num>
  <w:num w:numId="30" w16cid:durableId="164788852">
    <w:abstractNumId w:val="76"/>
  </w:num>
  <w:num w:numId="31" w16cid:durableId="735323509">
    <w:abstractNumId w:val="16"/>
  </w:num>
  <w:num w:numId="32" w16cid:durableId="1000431254">
    <w:abstractNumId w:val="46"/>
  </w:num>
  <w:num w:numId="33" w16cid:durableId="434404662">
    <w:abstractNumId w:val="24"/>
  </w:num>
  <w:num w:numId="34" w16cid:durableId="792409853">
    <w:abstractNumId w:val="55"/>
  </w:num>
  <w:num w:numId="35" w16cid:durableId="70469880">
    <w:abstractNumId w:val="59"/>
  </w:num>
  <w:num w:numId="36" w16cid:durableId="1255548974">
    <w:abstractNumId w:val="52"/>
  </w:num>
  <w:num w:numId="37" w16cid:durableId="509951972">
    <w:abstractNumId w:val="38"/>
  </w:num>
  <w:num w:numId="38" w16cid:durableId="1491873496">
    <w:abstractNumId w:val="64"/>
  </w:num>
  <w:num w:numId="39" w16cid:durableId="1277179892">
    <w:abstractNumId w:val="75"/>
  </w:num>
  <w:num w:numId="40" w16cid:durableId="1137721610">
    <w:abstractNumId w:val="60"/>
  </w:num>
  <w:num w:numId="41" w16cid:durableId="1569337486">
    <w:abstractNumId w:val="107"/>
  </w:num>
  <w:num w:numId="42" w16cid:durableId="1771851078">
    <w:abstractNumId w:val="5"/>
  </w:num>
  <w:num w:numId="43" w16cid:durableId="1096747610">
    <w:abstractNumId w:val="23"/>
  </w:num>
  <w:num w:numId="44" w16cid:durableId="1853105471">
    <w:abstractNumId w:val="86"/>
  </w:num>
  <w:num w:numId="45" w16cid:durableId="2016615092">
    <w:abstractNumId w:val="56"/>
  </w:num>
  <w:num w:numId="46" w16cid:durableId="439030946">
    <w:abstractNumId w:val="73"/>
  </w:num>
  <w:num w:numId="47" w16cid:durableId="315690756">
    <w:abstractNumId w:val="39"/>
  </w:num>
  <w:num w:numId="48" w16cid:durableId="1252278660">
    <w:abstractNumId w:val="13"/>
  </w:num>
  <w:num w:numId="49" w16cid:durableId="1719351677">
    <w:abstractNumId w:val="79"/>
  </w:num>
  <w:num w:numId="50" w16cid:durableId="1107427397">
    <w:abstractNumId w:val="26"/>
  </w:num>
  <w:num w:numId="51" w16cid:durableId="371266753">
    <w:abstractNumId w:val="74"/>
  </w:num>
  <w:num w:numId="52" w16cid:durableId="491869272">
    <w:abstractNumId w:val="31"/>
  </w:num>
  <w:num w:numId="53" w16cid:durableId="1351251430">
    <w:abstractNumId w:val="77"/>
  </w:num>
  <w:num w:numId="54" w16cid:durableId="1368607436">
    <w:abstractNumId w:val="98"/>
  </w:num>
  <w:num w:numId="55" w16cid:durableId="1588029100">
    <w:abstractNumId w:val="104"/>
  </w:num>
  <w:num w:numId="56" w16cid:durableId="415832180">
    <w:abstractNumId w:val="93"/>
  </w:num>
  <w:num w:numId="57" w16cid:durableId="1178735139">
    <w:abstractNumId w:val="48"/>
  </w:num>
  <w:num w:numId="58" w16cid:durableId="721834200">
    <w:abstractNumId w:val="58"/>
  </w:num>
  <w:num w:numId="59" w16cid:durableId="686251813">
    <w:abstractNumId w:val="1"/>
  </w:num>
  <w:num w:numId="60" w16cid:durableId="1960641414">
    <w:abstractNumId w:val="15"/>
  </w:num>
  <w:num w:numId="61" w16cid:durableId="39089564">
    <w:abstractNumId w:val="51"/>
  </w:num>
  <w:num w:numId="62" w16cid:durableId="1192718157">
    <w:abstractNumId w:val="22"/>
  </w:num>
  <w:num w:numId="63" w16cid:durableId="1777825955">
    <w:abstractNumId w:val="80"/>
  </w:num>
  <w:num w:numId="64" w16cid:durableId="286199487">
    <w:abstractNumId w:val="28"/>
  </w:num>
  <w:num w:numId="65" w16cid:durableId="1119490663">
    <w:abstractNumId w:val="63"/>
  </w:num>
  <w:num w:numId="66" w16cid:durableId="1353922786">
    <w:abstractNumId w:val="35"/>
  </w:num>
  <w:num w:numId="67" w16cid:durableId="492723980">
    <w:abstractNumId w:val="67"/>
  </w:num>
  <w:num w:numId="68" w16cid:durableId="526941613">
    <w:abstractNumId w:val="36"/>
  </w:num>
  <w:num w:numId="69" w16cid:durableId="320043301">
    <w:abstractNumId w:val="65"/>
  </w:num>
  <w:num w:numId="70" w16cid:durableId="2037610982">
    <w:abstractNumId w:val="6"/>
  </w:num>
  <w:num w:numId="71" w16cid:durableId="1079794559">
    <w:abstractNumId w:val="43"/>
  </w:num>
  <w:num w:numId="72" w16cid:durableId="503403534">
    <w:abstractNumId w:val="37"/>
  </w:num>
  <w:num w:numId="73" w16cid:durableId="194734275">
    <w:abstractNumId w:val="12"/>
  </w:num>
  <w:num w:numId="74" w16cid:durableId="424033359">
    <w:abstractNumId w:val="50"/>
  </w:num>
  <w:num w:numId="75" w16cid:durableId="1335066293">
    <w:abstractNumId w:val="88"/>
  </w:num>
  <w:num w:numId="76" w16cid:durableId="662587085">
    <w:abstractNumId w:val="40"/>
  </w:num>
  <w:num w:numId="77" w16cid:durableId="2071072074">
    <w:abstractNumId w:val="83"/>
  </w:num>
  <w:num w:numId="78" w16cid:durableId="1573662111">
    <w:abstractNumId w:val="100"/>
  </w:num>
  <w:num w:numId="79" w16cid:durableId="131678057">
    <w:abstractNumId w:val="94"/>
  </w:num>
  <w:num w:numId="80" w16cid:durableId="99565733">
    <w:abstractNumId w:val="30"/>
  </w:num>
  <w:num w:numId="81" w16cid:durableId="1810784339">
    <w:abstractNumId w:val="70"/>
  </w:num>
  <w:num w:numId="82" w16cid:durableId="1491748033">
    <w:abstractNumId w:val="82"/>
  </w:num>
  <w:num w:numId="83" w16cid:durableId="670565925">
    <w:abstractNumId w:val="20"/>
  </w:num>
  <w:num w:numId="84" w16cid:durableId="211696971">
    <w:abstractNumId w:val="29"/>
  </w:num>
  <w:num w:numId="85" w16cid:durableId="1773429901">
    <w:abstractNumId w:val="45"/>
  </w:num>
  <w:num w:numId="86" w16cid:durableId="804733676">
    <w:abstractNumId w:val="33"/>
  </w:num>
  <w:num w:numId="87" w16cid:durableId="488864096">
    <w:abstractNumId w:val="89"/>
  </w:num>
  <w:num w:numId="88" w16cid:durableId="1599749197">
    <w:abstractNumId w:val="44"/>
  </w:num>
  <w:num w:numId="89" w16cid:durableId="1726679607">
    <w:abstractNumId w:val="25"/>
  </w:num>
  <w:num w:numId="90" w16cid:durableId="1630209448">
    <w:abstractNumId w:val="53"/>
  </w:num>
  <w:num w:numId="91" w16cid:durableId="928663234">
    <w:abstractNumId w:val="66"/>
  </w:num>
  <w:num w:numId="92" w16cid:durableId="2017072952">
    <w:abstractNumId w:val="78"/>
  </w:num>
  <w:num w:numId="93" w16cid:durableId="58405484">
    <w:abstractNumId w:val="34"/>
  </w:num>
  <w:num w:numId="94" w16cid:durableId="1817530714">
    <w:abstractNumId w:val="17"/>
  </w:num>
  <w:num w:numId="95" w16cid:durableId="2141336387">
    <w:abstractNumId w:val="62"/>
  </w:num>
  <w:num w:numId="96" w16cid:durableId="1325282792">
    <w:abstractNumId w:val="3"/>
  </w:num>
  <w:num w:numId="97" w16cid:durableId="1319654748">
    <w:abstractNumId w:val="81"/>
  </w:num>
  <w:num w:numId="98" w16cid:durableId="556555801">
    <w:abstractNumId w:val="0"/>
  </w:num>
  <w:num w:numId="99" w16cid:durableId="1903828627">
    <w:abstractNumId w:val="19"/>
  </w:num>
  <w:num w:numId="100" w16cid:durableId="281425930">
    <w:abstractNumId w:val="54"/>
  </w:num>
  <w:num w:numId="101" w16cid:durableId="1491553762">
    <w:abstractNumId w:val="42"/>
  </w:num>
  <w:num w:numId="102" w16cid:durableId="965625632">
    <w:abstractNumId w:val="87"/>
  </w:num>
  <w:num w:numId="103" w16cid:durableId="1481145624">
    <w:abstractNumId w:val="108"/>
  </w:num>
  <w:num w:numId="104" w16cid:durableId="29957555">
    <w:abstractNumId w:val="102"/>
  </w:num>
  <w:num w:numId="105" w16cid:durableId="1042821728">
    <w:abstractNumId w:val="90"/>
  </w:num>
  <w:num w:numId="106" w16cid:durableId="633143735">
    <w:abstractNumId w:val="96"/>
  </w:num>
  <w:num w:numId="107" w16cid:durableId="1100951892">
    <w:abstractNumId w:val="27"/>
  </w:num>
  <w:num w:numId="108" w16cid:durableId="788743669">
    <w:abstractNumId w:val="10"/>
  </w:num>
  <w:num w:numId="109" w16cid:durableId="1716617144">
    <w:abstractNumId w:val="41"/>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U2NDUyNjUwMjAwNTFV0lEKTi0uzszPAykwrwUAosXQVCwAAAA="/>
  </w:docVars>
  <w:rsids>
    <w:rsidRoot w:val="00BB65AC"/>
    <w:rsid w:val="00001068"/>
    <w:rsid w:val="00007EBA"/>
    <w:rsid w:val="00010702"/>
    <w:rsid w:val="000116BE"/>
    <w:rsid w:val="00015BCB"/>
    <w:rsid w:val="000217AF"/>
    <w:rsid w:val="00023624"/>
    <w:rsid w:val="000264A2"/>
    <w:rsid w:val="0002677F"/>
    <w:rsid w:val="00037CF1"/>
    <w:rsid w:val="000400E4"/>
    <w:rsid w:val="00040F4B"/>
    <w:rsid w:val="0005000F"/>
    <w:rsid w:val="00052641"/>
    <w:rsid w:val="000530BB"/>
    <w:rsid w:val="00055DEC"/>
    <w:rsid w:val="00060886"/>
    <w:rsid w:val="00060F0A"/>
    <w:rsid w:val="00063B4C"/>
    <w:rsid w:val="00065BF8"/>
    <w:rsid w:val="00066D1C"/>
    <w:rsid w:val="00077445"/>
    <w:rsid w:val="00082F52"/>
    <w:rsid w:val="000852B7"/>
    <w:rsid w:val="0009661D"/>
    <w:rsid w:val="000A25B9"/>
    <w:rsid w:val="000A47DB"/>
    <w:rsid w:val="000A65CA"/>
    <w:rsid w:val="000A6D83"/>
    <w:rsid w:val="000B31FB"/>
    <w:rsid w:val="000B769E"/>
    <w:rsid w:val="000C2FA4"/>
    <w:rsid w:val="000C2FD8"/>
    <w:rsid w:val="000D05D8"/>
    <w:rsid w:val="000D0641"/>
    <w:rsid w:val="000D2B00"/>
    <w:rsid w:val="000D3DF6"/>
    <w:rsid w:val="000D74AC"/>
    <w:rsid w:val="000E7974"/>
    <w:rsid w:val="000F3199"/>
    <w:rsid w:val="000F6334"/>
    <w:rsid w:val="00100673"/>
    <w:rsid w:val="001078C5"/>
    <w:rsid w:val="00122220"/>
    <w:rsid w:val="00130933"/>
    <w:rsid w:val="00133656"/>
    <w:rsid w:val="00152A4B"/>
    <w:rsid w:val="001601E6"/>
    <w:rsid w:val="001610D3"/>
    <w:rsid w:val="0016140D"/>
    <w:rsid w:val="00164C79"/>
    <w:rsid w:val="00167462"/>
    <w:rsid w:val="00167AA5"/>
    <w:rsid w:val="0017196C"/>
    <w:rsid w:val="00173E4D"/>
    <w:rsid w:val="00185A37"/>
    <w:rsid w:val="0018760C"/>
    <w:rsid w:val="001A1E05"/>
    <w:rsid w:val="001A2F63"/>
    <w:rsid w:val="001A5BDE"/>
    <w:rsid w:val="001A640F"/>
    <w:rsid w:val="001A7715"/>
    <w:rsid w:val="001B24C1"/>
    <w:rsid w:val="001B440B"/>
    <w:rsid w:val="001B53D2"/>
    <w:rsid w:val="001C3AF6"/>
    <w:rsid w:val="001C44F9"/>
    <w:rsid w:val="001C4915"/>
    <w:rsid w:val="001C702C"/>
    <w:rsid w:val="001D1485"/>
    <w:rsid w:val="001D2096"/>
    <w:rsid w:val="001D5E34"/>
    <w:rsid w:val="001F0408"/>
    <w:rsid w:val="001F0988"/>
    <w:rsid w:val="001F19A6"/>
    <w:rsid w:val="001F23FE"/>
    <w:rsid w:val="001F47CB"/>
    <w:rsid w:val="00200086"/>
    <w:rsid w:val="00201AC4"/>
    <w:rsid w:val="00206CB2"/>
    <w:rsid w:val="00207DCA"/>
    <w:rsid w:val="00211184"/>
    <w:rsid w:val="00212BBB"/>
    <w:rsid w:val="0021364B"/>
    <w:rsid w:val="002173E8"/>
    <w:rsid w:val="002215A8"/>
    <w:rsid w:val="002267E2"/>
    <w:rsid w:val="002307C0"/>
    <w:rsid w:val="00232CDB"/>
    <w:rsid w:val="00246BA1"/>
    <w:rsid w:val="0025020C"/>
    <w:rsid w:val="00250A9E"/>
    <w:rsid w:val="00255CC0"/>
    <w:rsid w:val="00256951"/>
    <w:rsid w:val="00257BD8"/>
    <w:rsid w:val="00265E31"/>
    <w:rsid w:val="002865F5"/>
    <w:rsid w:val="00286659"/>
    <w:rsid w:val="00292601"/>
    <w:rsid w:val="00292A36"/>
    <w:rsid w:val="002A2E97"/>
    <w:rsid w:val="002A68D9"/>
    <w:rsid w:val="002B1D9D"/>
    <w:rsid w:val="002B5A15"/>
    <w:rsid w:val="002C2D5C"/>
    <w:rsid w:val="002C4C8A"/>
    <w:rsid w:val="002D22A8"/>
    <w:rsid w:val="002D3AD4"/>
    <w:rsid w:val="002D47B1"/>
    <w:rsid w:val="002D575F"/>
    <w:rsid w:val="002D60B7"/>
    <w:rsid w:val="002D64A3"/>
    <w:rsid w:val="002E164D"/>
    <w:rsid w:val="002E66A6"/>
    <w:rsid w:val="002F1E1F"/>
    <w:rsid w:val="002F5E53"/>
    <w:rsid w:val="003003D7"/>
    <w:rsid w:val="00304520"/>
    <w:rsid w:val="00312A5A"/>
    <w:rsid w:val="003135AD"/>
    <w:rsid w:val="0033066F"/>
    <w:rsid w:val="00336D07"/>
    <w:rsid w:val="003377EF"/>
    <w:rsid w:val="0035053A"/>
    <w:rsid w:val="00352FAB"/>
    <w:rsid w:val="003536F9"/>
    <w:rsid w:val="003627A6"/>
    <w:rsid w:val="00366626"/>
    <w:rsid w:val="00374E78"/>
    <w:rsid w:val="00384DAE"/>
    <w:rsid w:val="003866AD"/>
    <w:rsid w:val="003902C1"/>
    <w:rsid w:val="0039264C"/>
    <w:rsid w:val="00393F39"/>
    <w:rsid w:val="003955A4"/>
    <w:rsid w:val="00397A61"/>
    <w:rsid w:val="003A30D0"/>
    <w:rsid w:val="003A66FD"/>
    <w:rsid w:val="003B1E32"/>
    <w:rsid w:val="003B2750"/>
    <w:rsid w:val="003C2B76"/>
    <w:rsid w:val="003C4AE2"/>
    <w:rsid w:val="003C4E8A"/>
    <w:rsid w:val="003D0793"/>
    <w:rsid w:val="003F4002"/>
    <w:rsid w:val="0040007A"/>
    <w:rsid w:val="004021A2"/>
    <w:rsid w:val="0040563E"/>
    <w:rsid w:val="004167A4"/>
    <w:rsid w:val="0042025B"/>
    <w:rsid w:val="00425538"/>
    <w:rsid w:val="00425C9F"/>
    <w:rsid w:val="00430945"/>
    <w:rsid w:val="0043124F"/>
    <w:rsid w:val="00433594"/>
    <w:rsid w:val="0043479C"/>
    <w:rsid w:val="00436900"/>
    <w:rsid w:val="00436D92"/>
    <w:rsid w:val="00437A71"/>
    <w:rsid w:val="004421A3"/>
    <w:rsid w:val="00443012"/>
    <w:rsid w:val="00455DA2"/>
    <w:rsid w:val="00457A1F"/>
    <w:rsid w:val="004668AF"/>
    <w:rsid w:val="00480EAA"/>
    <w:rsid w:val="00486103"/>
    <w:rsid w:val="0049082C"/>
    <w:rsid w:val="0049430F"/>
    <w:rsid w:val="00497FC7"/>
    <w:rsid w:val="004A2D77"/>
    <w:rsid w:val="004B1381"/>
    <w:rsid w:val="004B4BFA"/>
    <w:rsid w:val="004B54DE"/>
    <w:rsid w:val="004B7EA3"/>
    <w:rsid w:val="004D4021"/>
    <w:rsid w:val="004E217B"/>
    <w:rsid w:val="004E4863"/>
    <w:rsid w:val="004E54D4"/>
    <w:rsid w:val="004E5CCE"/>
    <w:rsid w:val="004E708D"/>
    <w:rsid w:val="004F40FB"/>
    <w:rsid w:val="00500907"/>
    <w:rsid w:val="00501C90"/>
    <w:rsid w:val="00503DBC"/>
    <w:rsid w:val="00503FA9"/>
    <w:rsid w:val="005070C7"/>
    <w:rsid w:val="0051169E"/>
    <w:rsid w:val="005119DE"/>
    <w:rsid w:val="005140C4"/>
    <w:rsid w:val="00521329"/>
    <w:rsid w:val="005309E0"/>
    <w:rsid w:val="005336D0"/>
    <w:rsid w:val="0053545B"/>
    <w:rsid w:val="00540529"/>
    <w:rsid w:val="005446BF"/>
    <w:rsid w:val="0055147E"/>
    <w:rsid w:val="005654B9"/>
    <w:rsid w:val="00566E70"/>
    <w:rsid w:val="00574392"/>
    <w:rsid w:val="00575508"/>
    <w:rsid w:val="005761A1"/>
    <w:rsid w:val="0058211E"/>
    <w:rsid w:val="00586DEB"/>
    <w:rsid w:val="00590757"/>
    <w:rsid w:val="005A0DC9"/>
    <w:rsid w:val="005A44BF"/>
    <w:rsid w:val="005A77BD"/>
    <w:rsid w:val="005A7E8F"/>
    <w:rsid w:val="005B2854"/>
    <w:rsid w:val="005B3EDE"/>
    <w:rsid w:val="005B5EB4"/>
    <w:rsid w:val="005B6E67"/>
    <w:rsid w:val="005C5E80"/>
    <w:rsid w:val="005C67E9"/>
    <w:rsid w:val="005D2185"/>
    <w:rsid w:val="005D3195"/>
    <w:rsid w:val="005D433A"/>
    <w:rsid w:val="005D44C8"/>
    <w:rsid w:val="005D6429"/>
    <w:rsid w:val="005D6A43"/>
    <w:rsid w:val="005D7A1E"/>
    <w:rsid w:val="005E1650"/>
    <w:rsid w:val="005E66BC"/>
    <w:rsid w:val="005F2D39"/>
    <w:rsid w:val="005F30F9"/>
    <w:rsid w:val="005F4742"/>
    <w:rsid w:val="006014F2"/>
    <w:rsid w:val="00601D34"/>
    <w:rsid w:val="006026F6"/>
    <w:rsid w:val="00604A87"/>
    <w:rsid w:val="00613BA5"/>
    <w:rsid w:val="00621776"/>
    <w:rsid w:val="00621872"/>
    <w:rsid w:val="00624702"/>
    <w:rsid w:val="006263FF"/>
    <w:rsid w:val="00636D9A"/>
    <w:rsid w:val="0064021A"/>
    <w:rsid w:val="00640F3A"/>
    <w:rsid w:val="00657A65"/>
    <w:rsid w:val="006675EE"/>
    <w:rsid w:val="00673A1F"/>
    <w:rsid w:val="0069163F"/>
    <w:rsid w:val="006978C8"/>
    <w:rsid w:val="00697A58"/>
    <w:rsid w:val="006A0807"/>
    <w:rsid w:val="006A0815"/>
    <w:rsid w:val="006A3F0D"/>
    <w:rsid w:val="006A4515"/>
    <w:rsid w:val="006B0654"/>
    <w:rsid w:val="006B1B6A"/>
    <w:rsid w:val="006B39B4"/>
    <w:rsid w:val="006B45D6"/>
    <w:rsid w:val="006C2DA1"/>
    <w:rsid w:val="006C78AA"/>
    <w:rsid w:val="006D1B7C"/>
    <w:rsid w:val="006F0065"/>
    <w:rsid w:val="006F04D4"/>
    <w:rsid w:val="006F4AB2"/>
    <w:rsid w:val="00700860"/>
    <w:rsid w:val="00702E95"/>
    <w:rsid w:val="00702F84"/>
    <w:rsid w:val="007063BA"/>
    <w:rsid w:val="007067A1"/>
    <w:rsid w:val="00710A74"/>
    <w:rsid w:val="0071659D"/>
    <w:rsid w:val="00723F0B"/>
    <w:rsid w:val="00726F94"/>
    <w:rsid w:val="00730C3C"/>
    <w:rsid w:val="0073280B"/>
    <w:rsid w:val="007377ED"/>
    <w:rsid w:val="007453D7"/>
    <w:rsid w:val="00750B5B"/>
    <w:rsid w:val="00751A7B"/>
    <w:rsid w:val="007551F1"/>
    <w:rsid w:val="00757E4C"/>
    <w:rsid w:val="00767442"/>
    <w:rsid w:val="00767D93"/>
    <w:rsid w:val="0077163A"/>
    <w:rsid w:val="00772CE4"/>
    <w:rsid w:val="00785752"/>
    <w:rsid w:val="007A0780"/>
    <w:rsid w:val="007A4CCB"/>
    <w:rsid w:val="007A5313"/>
    <w:rsid w:val="007A59C8"/>
    <w:rsid w:val="007A712E"/>
    <w:rsid w:val="007B7C48"/>
    <w:rsid w:val="007C236B"/>
    <w:rsid w:val="007C246B"/>
    <w:rsid w:val="007C685B"/>
    <w:rsid w:val="007C7889"/>
    <w:rsid w:val="007D11DA"/>
    <w:rsid w:val="007E14B5"/>
    <w:rsid w:val="007E7292"/>
    <w:rsid w:val="007F170E"/>
    <w:rsid w:val="007F3FD3"/>
    <w:rsid w:val="007F7847"/>
    <w:rsid w:val="007F7D48"/>
    <w:rsid w:val="008014C5"/>
    <w:rsid w:val="00802B25"/>
    <w:rsid w:val="00803866"/>
    <w:rsid w:val="00804B94"/>
    <w:rsid w:val="00805347"/>
    <w:rsid w:val="00807B11"/>
    <w:rsid w:val="00811B2D"/>
    <w:rsid w:val="00813DFA"/>
    <w:rsid w:val="00814A9D"/>
    <w:rsid w:val="00817173"/>
    <w:rsid w:val="00820464"/>
    <w:rsid w:val="0082760D"/>
    <w:rsid w:val="00831CF3"/>
    <w:rsid w:val="00833071"/>
    <w:rsid w:val="00835F89"/>
    <w:rsid w:val="00847A93"/>
    <w:rsid w:val="00860539"/>
    <w:rsid w:val="00860A28"/>
    <w:rsid w:val="008616ED"/>
    <w:rsid w:val="008659F6"/>
    <w:rsid w:val="00866DA6"/>
    <w:rsid w:val="00867073"/>
    <w:rsid w:val="00870B77"/>
    <w:rsid w:val="008725BC"/>
    <w:rsid w:val="00873315"/>
    <w:rsid w:val="00880B2D"/>
    <w:rsid w:val="00881960"/>
    <w:rsid w:val="00883AB0"/>
    <w:rsid w:val="00894108"/>
    <w:rsid w:val="00895814"/>
    <w:rsid w:val="008A2F74"/>
    <w:rsid w:val="008B1DFA"/>
    <w:rsid w:val="008B2980"/>
    <w:rsid w:val="008B7940"/>
    <w:rsid w:val="008C039B"/>
    <w:rsid w:val="008C38C3"/>
    <w:rsid w:val="008C61A0"/>
    <w:rsid w:val="008D08E6"/>
    <w:rsid w:val="008D4A38"/>
    <w:rsid w:val="008D678C"/>
    <w:rsid w:val="008D6F0F"/>
    <w:rsid w:val="008E528A"/>
    <w:rsid w:val="008E7B2E"/>
    <w:rsid w:val="008F0AC4"/>
    <w:rsid w:val="00900400"/>
    <w:rsid w:val="00916814"/>
    <w:rsid w:val="009225E6"/>
    <w:rsid w:val="009267D9"/>
    <w:rsid w:val="00936C6E"/>
    <w:rsid w:val="00943856"/>
    <w:rsid w:val="00947B80"/>
    <w:rsid w:val="009530D9"/>
    <w:rsid w:val="00956BA6"/>
    <w:rsid w:val="00963871"/>
    <w:rsid w:val="009655C4"/>
    <w:rsid w:val="00992F20"/>
    <w:rsid w:val="00995444"/>
    <w:rsid w:val="009972F6"/>
    <w:rsid w:val="009A33A8"/>
    <w:rsid w:val="009B1641"/>
    <w:rsid w:val="009B7DAC"/>
    <w:rsid w:val="009C1F19"/>
    <w:rsid w:val="009C22F8"/>
    <w:rsid w:val="009C2E7E"/>
    <w:rsid w:val="009C372F"/>
    <w:rsid w:val="009C7116"/>
    <w:rsid w:val="009D06C5"/>
    <w:rsid w:val="009D534C"/>
    <w:rsid w:val="009D58A4"/>
    <w:rsid w:val="009D728C"/>
    <w:rsid w:val="009E2749"/>
    <w:rsid w:val="009E3DDB"/>
    <w:rsid w:val="009E5B14"/>
    <w:rsid w:val="009F3513"/>
    <w:rsid w:val="009F470F"/>
    <w:rsid w:val="009F649E"/>
    <w:rsid w:val="009F6917"/>
    <w:rsid w:val="00A0050C"/>
    <w:rsid w:val="00A12380"/>
    <w:rsid w:val="00A12CC7"/>
    <w:rsid w:val="00A30E36"/>
    <w:rsid w:val="00A32053"/>
    <w:rsid w:val="00A35C32"/>
    <w:rsid w:val="00A438FA"/>
    <w:rsid w:val="00A44186"/>
    <w:rsid w:val="00A44D11"/>
    <w:rsid w:val="00A55E07"/>
    <w:rsid w:val="00A67514"/>
    <w:rsid w:val="00A712E4"/>
    <w:rsid w:val="00A76CF3"/>
    <w:rsid w:val="00A8386F"/>
    <w:rsid w:val="00A844F5"/>
    <w:rsid w:val="00A90A7A"/>
    <w:rsid w:val="00A928CC"/>
    <w:rsid w:val="00AA0469"/>
    <w:rsid w:val="00AA0810"/>
    <w:rsid w:val="00AA3194"/>
    <w:rsid w:val="00AA437C"/>
    <w:rsid w:val="00AA58E7"/>
    <w:rsid w:val="00AA7FA5"/>
    <w:rsid w:val="00AB78F0"/>
    <w:rsid w:val="00AC484E"/>
    <w:rsid w:val="00AC5136"/>
    <w:rsid w:val="00AD1935"/>
    <w:rsid w:val="00AD4A63"/>
    <w:rsid w:val="00AD6FE9"/>
    <w:rsid w:val="00AD7D84"/>
    <w:rsid w:val="00AE4143"/>
    <w:rsid w:val="00AF5FFA"/>
    <w:rsid w:val="00B01259"/>
    <w:rsid w:val="00B01396"/>
    <w:rsid w:val="00B02BDF"/>
    <w:rsid w:val="00B17942"/>
    <w:rsid w:val="00B2418B"/>
    <w:rsid w:val="00B252D8"/>
    <w:rsid w:val="00B2637D"/>
    <w:rsid w:val="00B26973"/>
    <w:rsid w:val="00B311CD"/>
    <w:rsid w:val="00B45165"/>
    <w:rsid w:val="00B473DC"/>
    <w:rsid w:val="00B575E2"/>
    <w:rsid w:val="00B6109D"/>
    <w:rsid w:val="00B61B03"/>
    <w:rsid w:val="00B7073C"/>
    <w:rsid w:val="00B73653"/>
    <w:rsid w:val="00B74414"/>
    <w:rsid w:val="00B7720D"/>
    <w:rsid w:val="00B80DC9"/>
    <w:rsid w:val="00B829C5"/>
    <w:rsid w:val="00B82B8B"/>
    <w:rsid w:val="00B83659"/>
    <w:rsid w:val="00B858A1"/>
    <w:rsid w:val="00B8604F"/>
    <w:rsid w:val="00B947CB"/>
    <w:rsid w:val="00B95B87"/>
    <w:rsid w:val="00B9665D"/>
    <w:rsid w:val="00BB30CC"/>
    <w:rsid w:val="00BB65AC"/>
    <w:rsid w:val="00BB6D01"/>
    <w:rsid w:val="00BC0E86"/>
    <w:rsid w:val="00BC0F5C"/>
    <w:rsid w:val="00BC27BE"/>
    <w:rsid w:val="00BC504E"/>
    <w:rsid w:val="00BC5C91"/>
    <w:rsid w:val="00BC7966"/>
    <w:rsid w:val="00BD16F7"/>
    <w:rsid w:val="00BD2909"/>
    <w:rsid w:val="00BD3900"/>
    <w:rsid w:val="00BD3D01"/>
    <w:rsid w:val="00BD5D6A"/>
    <w:rsid w:val="00BD71BC"/>
    <w:rsid w:val="00BE7448"/>
    <w:rsid w:val="00BE7FF7"/>
    <w:rsid w:val="00BF47AE"/>
    <w:rsid w:val="00BF610D"/>
    <w:rsid w:val="00C0219D"/>
    <w:rsid w:val="00C03A8C"/>
    <w:rsid w:val="00C056D6"/>
    <w:rsid w:val="00C11973"/>
    <w:rsid w:val="00C17A49"/>
    <w:rsid w:val="00C20623"/>
    <w:rsid w:val="00C2195C"/>
    <w:rsid w:val="00C35F10"/>
    <w:rsid w:val="00C3675E"/>
    <w:rsid w:val="00C45423"/>
    <w:rsid w:val="00C45E46"/>
    <w:rsid w:val="00C54370"/>
    <w:rsid w:val="00C54371"/>
    <w:rsid w:val="00C56DBE"/>
    <w:rsid w:val="00C60EDD"/>
    <w:rsid w:val="00C72E0E"/>
    <w:rsid w:val="00C82E5C"/>
    <w:rsid w:val="00C83EC7"/>
    <w:rsid w:val="00C91479"/>
    <w:rsid w:val="00C954C8"/>
    <w:rsid w:val="00C95A95"/>
    <w:rsid w:val="00C96DEE"/>
    <w:rsid w:val="00CA0E6B"/>
    <w:rsid w:val="00CA1134"/>
    <w:rsid w:val="00CA4B20"/>
    <w:rsid w:val="00CB3AF6"/>
    <w:rsid w:val="00CB3C13"/>
    <w:rsid w:val="00CC0A0A"/>
    <w:rsid w:val="00CC3CA1"/>
    <w:rsid w:val="00CD3906"/>
    <w:rsid w:val="00CD5561"/>
    <w:rsid w:val="00CE3FD1"/>
    <w:rsid w:val="00CE620E"/>
    <w:rsid w:val="00CF12B5"/>
    <w:rsid w:val="00CF13D7"/>
    <w:rsid w:val="00CF1ED5"/>
    <w:rsid w:val="00CF28EE"/>
    <w:rsid w:val="00CF4998"/>
    <w:rsid w:val="00D04C83"/>
    <w:rsid w:val="00D05BFA"/>
    <w:rsid w:val="00D061AC"/>
    <w:rsid w:val="00D07B7B"/>
    <w:rsid w:val="00D120DB"/>
    <w:rsid w:val="00D13A82"/>
    <w:rsid w:val="00D13DB7"/>
    <w:rsid w:val="00D23C78"/>
    <w:rsid w:val="00D263EC"/>
    <w:rsid w:val="00D307FB"/>
    <w:rsid w:val="00D31E0E"/>
    <w:rsid w:val="00D34F16"/>
    <w:rsid w:val="00D40307"/>
    <w:rsid w:val="00D43326"/>
    <w:rsid w:val="00D46B15"/>
    <w:rsid w:val="00D53C2B"/>
    <w:rsid w:val="00D626F9"/>
    <w:rsid w:val="00D650BD"/>
    <w:rsid w:val="00D679A3"/>
    <w:rsid w:val="00D67F39"/>
    <w:rsid w:val="00D700B8"/>
    <w:rsid w:val="00D72231"/>
    <w:rsid w:val="00D81C9B"/>
    <w:rsid w:val="00D83FE7"/>
    <w:rsid w:val="00D84922"/>
    <w:rsid w:val="00D907D4"/>
    <w:rsid w:val="00D90FD5"/>
    <w:rsid w:val="00D92D21"/>
    <w:rsid w:val="00D93927"/>
    <w:rsid w:val="00D950A1"/>
    <w:rsid w:val="00DA09A7"/>
    <w:rsid w:val="00DA0EE9"/>
    <w:rsid w:val="00DA2105"/>
    <w:rsid w:val="00DA75FF"/>
    <w:rsid w:val="00DB15EC"/>
    <w:rsid w:val="00DB71AC"/>
    <w:rsid w:val="00DC00D1"/>
    <w:rsid w:val="00DC1FB0"/>
    <w:rsid w:val="00DD02A4"/>
    <w:rsid w:val="00DD0B88"/>
    <w:rsid w:val="00DD355D"/>
    <w:rsid w:val="00DD393E"/>
    <w:rsid w:val="00DE161D"/>
    <w:rsid w:val="00DE1A02"/>
    <w:rsid w:val="00DE43F3"/>
    <w:rsid w:val="00DE6107"/>
    <w:rsid w:val="00DF0EA0"/>
    <w:rsid w:val="00DF2C3A"/>
    <w:rsid w:val="00E05C6C"/>
    <w:rsid w:val="00E157E1"/>
    <w:rsid w:val="00E16502"/>
    <w:rsid w:val="00E210E9"/>
    <w:rsid w:val="00E2182C"/>
    <w:rsid w:val="00E26820"/>
    <w:rsid w:val="00E2718E"/>
    <w:rsid w:val="00E325CF"/>
    <w:rsid w:val="00E34294"/>
    <w:rsid w:val="00E40B0D"/>
    <w:rsid w:val="00E45EFF"/>
    <w:rsid w:val="00E47D59"/>
    <w:rsid w:val="00E500E6"/>
    <w:rsid w:val="00E51F02"/>
    <w:rsid w:val="00E639B0"/>
    <w:rsid w:val="00E70866"/>
    <w:rsid w:val="00E71420"/>
    <w:rsid w:val="00E7227C"/>
    <w:rsid w:val="00E75412"/>
    <w:rsid w:val="00E83366"/>
    <w:rsid w:val="00E9169F"/>
    <w:rsid w:val="00E92CF6"/>
    <w:rsid w:val="00E94DA0"/>
    <w:rsid w:val="00EA2925"/>
    <w:rsid w:val="00EA5CC3"/>
    <w:rsid w:val="00EA7702"/>
    <w:rsid w:val="00EB2098"/>
    <w:rsid w:val="00EB3DAA"/>
    <w:rsid w:val="00EC0584"/>
    <w:rsid w:val="00EC5316"/>
    <w:rsid w:val="00EC7751"/>
    <w:rsid w:val="00ED6E1E"/>
    <w:rsid w:val="00ED76C8"/>
    <w:rsid w:val="00EE04F3"/>
    <w:rsid w:val="00EE10FB"/>
    <w:rsid w:val="00EE1F05"/>
    <w:rsid w:val="00EE2BAB"/>
    <w:rsid w:val="00EE303F"/>
    <w:rsid w:val="00EE35F8"/>
    <w:rsid w:val="00EE4E70"/>
    <w:rsid w:val="00EF03E5"/>
    <w:rsid w:val="00EF2988"/>
    <w:rsid w:val="00EF317C"/>
    <w:rsid w:val="00EF6341"/>
    <w:rsid w:val="00F01181"/>
    <w:rsid w:val="00F02DB5"/>
    <w:rsid w:val="00F036CD"/>
    <w:rsid w:val="00F0560A"/>
    <w:rsid w:val="00F07D92"/>
    <w:rsid w:val="00F10FF8"/>
    <w:rsid w:val="00F11B09"/>
    <w:rsid w:val="00F158D7"/>
    <w:rsid w:val="00F165C9"/>
    <w:rsid w:val="00F20295"/>
    <w:rsid w:val="00F20EE5"/>
    <w:rsid w:val="00F21163"/>
    <w:rsid w:val="00F24F05"/>
    <w:rsid w:val="00F26C81"/>
    <w:rsid w:val="00F2741A"/>
    <w:rsid w:val="00F27987"/>
    <w:rsid w:val="00F43859"/>
    <w:rsid w:val="00F44833"/>
    <w:rsid w:val="00F46687"/>
    <w:rsid w:val="00F4743B"/>
    <w:rsid w:val="00F507C3"/>
    <w:rsid w:val="00F5283F"/>
    <w:rsid w:val="00F52EC2"/>
    <w:rsid w:val="00F544B0"/>
    <w:rsid w:val="00F601E9"/>
    <w:rsid w:val="00F62AE9"/>
    <w:rsid w:val="00F6728F"/>
    <w:rsid w:val="00F672B9"/>
    <w:rsid w:val="00F67C87"/>
    <w:rsid w:val="00F806A3"/>
    <w:rsid w:val="00F812E4"/>
    <w:rsid w:val="00F84C23"/>
    <w:rsid w:val="00F86FDA"/>
    <w:rsid w:val="00F931CB"/>
    <w:rsid w:val="00FA2326"/>
    <w:rsid w:val="00FA348A"/>
    <w:rsid w:val="00FA3B7F"/>
    <w:rsid w:val="00FB130F"/>
    <w:rsid w:val="00FB7560"/>
    <w:rsid w:val="00FC0C61"/>
    <w:rsid w:val="00FC25AD"/>
    <w:rsid w:val="00FC5B88"/>
    <w:rsid w:val="00FD3DE0"/>
    <w:rsid w:val="00FD61CE"/>
    <w:rsid w:val="00FD6827"/>
    <w:rsid w:val="00FD7729"/>
    <w:rsid w:val="00FD7C22"/>
    <w:rsid w:val="00FE240D"/>
    <w:rsid w:val="00FE30B1"/>
    <w:rsid w:val="00FE3789"/>
    <w:rsid w:val="00FE5C58"/>
    <w:rsid w:val="00FF74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rsid w:val="00FE5C58"/>
    <w:rPr>
      <w:rFonts w:asciiTheme="majorHAnsi" w:eastAsiaTheme="majorEastAsia" w:hAnsiTheme="majorHAnsi" w:cstheme="majorBidi"/>
      <w:color w:val="1F3763" w:themeColor="accent1" w:themeShade="7F"/>
      <w:sz w:val="24"/>
      <w:szCs w:val="24"/>
    </w:rPr>
  </w:style>
  <w:style w:type="paragraph" w:customStyle="1" w:styleId="pb-2">
    <w:name w:val="pb-2"/>
    <w:basedOn w:val="Normal"/>
    <w:rsid w:val="00C72E0E"/>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character" w:customStyle="1" w:styleId="issue-underline">
    <w:name w:val="issue-underline"/>
    <w:basedOn w:val="DefaultParagraphFont"/>
    <w:rsid w:val="00C72E0E"/>
  </w:style>
  <w:style w:type="character" w:styleId="Emphasis">
    <w:name w:val="Emphasis"/>
    <w:basedOn w:val="DefaultParagraphFont"/>
    <w:uiPriority w:val="20"/>
    <w:qFormat/>
    <w:rsid w:val="00C72E0E"/>
    <w:rPr>
      <w:i/>
      <w:iCs/>
    </w:rPr>
  </w:style>
  <w:style w:type="paragraph" w:styleId="TOCHeading">
    <w:name w:val="TOC Heading"/>
    <w:basedOn w:val="Heading1"/>
    <w:next w:val="Normal"/>
    <w:uiPriority w:val="39"/>
    <w:unhideWhenUsed/>
    <w:qFormat/>
    <w:rsid w:val="000F3199"/>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val="en-US" w:eastAsia="en-US" w:bidi="ar-SA"/>
    </w:rPr>
  </w:style>
  <w:style w:type="paragraph" w:styleId="TOC1">
    <w:name w:val="toc 1"/>
    <w:basedOn w:val="Normal"/>
    <w:next w:val="Normal"/>
    <w:autoRedefine/>
    <w:uiPriority w:val="39"/>
    <w:unhideWhenUsed/>
    <w:rsid w:val="000F3199"/>
    <w:pPr>
      <w:spacing w:after="100"/>
    </w:pPr>
  </w:style>
  <w:style w:type="paragraph" w:styleId="TOC2">
    <w:name w:val="toc 2"/>
    <w:basedOn w:val="Normal"/>
    <w:next w:val="Normal"/>
    <w:autoRedefine/>
    <w:uiPriority w:val="39"/>
    <w:unhideWhenUsed/>
    <w:rsid w:val="000F319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31824">
      <w:bodyDiv w:val="1"/>
      <w:marLeft w:val="0"/>
      <w:marRight w:val="0"/>
      <w:marTop w:val="0"/>
      <w:marBottom w:val="0"/>
      <w:divBdr>
        <w:top w:val="none" w:sz="0" w:space="0" w:color="auto"/>
        <w:left w:val="none" w:sz="0" w:space="0" w:color="auto"/>
        <w:bottom w:val="none" w:sz="0" w:space="0" w:color="auto"/>
        <w:right w:val="none" w:sz="0" w:space="0" w:color="auto"/>
      </w:divBdr>
    </w:div>
    <w:div w:id="48694747">
      <w:bodyDiv w:val="1"/>
      <w:marLeft w:val="0"/>
      <w:marRight w:val="0"/>
      <w:marTop w:val="0"/>
      <w:marBottom w:val="0"/>
      <w:divBdr>
        <w:top w:val="none" w:sz="0" w:space="0" w:color="auto"/>
        <w:left w:val="none" w:sz="0" w:space="0" w:color="auto"/>
        <w:bottom w:val="none" w:sz="0" w:space="0" w:color="auto"/>
        <w:right w:val="none" w:sz="0" w:space="0" w:color="auto"/>
      </w:divBdr>
    </w:div>
    <w:div w:id="49698972">
      <w:bodyDiv w:val="1"/>
      <w:marLeft w:val="0"/>
      <w:marRight w:val="0"/>
      <w:marTop w:val="0"/>
      <w:marBottom w:val="0"/>
      <w:divBdr>
        <w:top w:val="none" w:sz="0" w:space="0" w:color="auto"/>
        <w:left w:val="none" w:sz="0" w:space="0" w:color="auto"/>
        <w:bottom w:val="none" w:sz="0" w:space="0" w:color="auto"/>
        <w:right w:val="none" w:sz="0" w:space="0" w:color="auto"/>
      </w:divBdr>
    </w:div>
    <w:div w:id="52508295">
      <w:bodyDiv w:val="1"/>
      <w:marLeft w:val="0"/>
      <w:marRight w:val="0"/>
      <w:marTop w:val="0"/>
      <w:marBottom w:val="0"/>
      <w:divBdr>
        <w:top w:val="none" w:sz="0" w:space="0" w:color="auto"/>
        <w:left w:val="none" w:sz="0" w:space="0" w:color="auto"/>
        <w:bottom w:val="none" w:sz="0" w:space="0" w:color="auto"/>
        <w:right w:val="none" w:sz="0" w:space="0" w:color="auto"/>
      </w:divBdr>
    </w:div>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3111249">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68505725">
      <w:bodyDiv w:val="1"/>
      <w:marLeft w:val="0"/>
      <w:marRight w:val="0"/>
      <w:marTop w:val="0"/>
      <w:marBottom w:val="0"/>
      <w:divBdr>
        <w:top w:val="none" w:sz="0" w:space="0" w:color="auto"/>
        <w:left w:val="none" w:sz="0" w:space="0" w:color="auto"/>
        <w:bottom w:val="none" w:sz="0" w:space="0" w:color="auto"/>
        <w:right w:val="none" w:sz="0" w:space="0" w:color="auto"/>
      </w:divBdr>
    </w:div>
    <w:div w:id="72237701">
      <w:bodyDiv w:val="1"/>
      <w:marLeft w:val="0"/>
      <w:marRight w:val="0"/>
      <w:marTop w:val="0"/>
      <w:marBottom w:val="0"/>
      <w:divBdr>
        <w:top w:val="none" w:sz="0" w:space="0" w:color="auto"/>
        <w:left w:val="none" w:sz="0" w:space="0" w:color="auto"/>
        <w:bottom w:val="none" w:sz="0" w:space="0" w:color="auto"/>
        <w:right w:val="none" w:sz="0" w:space="0" w:color="auto"/>
      </w:divBdr>
    </w:div>
    <w:div w:id="91317121">
      <w:bodyDiv w:val="1"/>
      <w:marLeft w:val="0"/>
      <w:marRight w:val="0"/>
      <w:marTop w:val="0"/>
      <w:marBottom w:val="0"/>
      <w:divBdr>
        <w:top w:val="none" w:sz="0" w:space="0" w:color="auto"/>
        <w:left w:val="none" w:sz="0" w:space="0" w:color="auto"/>
        <w:bottom w:val="none" w:sz="0" w:space="0" w:color="auto"/>
        <w:right w:val="none" w:sz="0" w:space="0" w:color="auto"/>
      </w:divBdr>
    </w:div>
    <w:div w:id="119500672">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319764">
      <w:bodyDiv w:val="1"/>
      <w:marLeft w:val="0"/>
      <w:marRight w:val="0"/>
      <w:marTop w:val="0"/>
      <w:marBottom w:val="0"/>
      <w:divBdr>
        <w:top w:val="none" w:sz="0" w:space="0" w:color="auto"/>
        <w:left w:val="none" w:sz="0" w:space="0" w:color="auto"/>
        <w:bottom w:val="none" w:sz="0" w:space="0" w:color="auto"/>
        <w:right w:val="none" w:sz="0" w:space="0" w:color="auto"/>
      </w:divBdr>
    </w:div>
    <w:div w:id="165100910">
      <w:bodyDiv w:val="1"/>
      <w:marLeft w:val="0"/>
      <w:marRight w:val="0"/>
      <w:marTop w:val="0"/>
      <w:marBottom w:val="0"/>
      <w:divBdr>
        <w:top w:val="none" w:sz="0" w:space="0" w:color="auto"/>
        <w:left w:val="none" w:sz="0" w:space="0" w:color="auto"/>
        <w:bottom w:val="none" w:sz="0" w:space="0" w:color="auto"/>
        <w:right w:val="none" w:sz="0" w:space="0" w:color="auto"/>
      </w:divBdr>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48247">
      <w:bodyDiv w:val="1"/>
      <w:marLeft w:val="0"/>
      <w:marRight w:val="0"/>
      <w:marTop w:val="0"/>
      <w:marBottom w:val="0"/>
      <w:divBdr>
        <w:top w:val="none" w:sz="0" w:space="0" w:color="auto"/>
        <w:left w:val="none" w:sz="0" w:space="0" w:color="auto"/>
        <w:bottom w:val="none" w:sz="0" w:space="0" w:color="auto"/>
        <w:right w:val="none" w:sz="0" w:space="0" w:color="auto"/>
      </w:divBdr>
    </w:div>
    <w:div w:id="182549865">
      <w:bodyDiv w:val="1"/>
      <w:marLeft w:val="0"/>
      <w:marRight w:val="0"/>
      <w:marTop w:val="0"/>
      <w:marBottom w:val="0"/>
      <w:divBdr>
        <w:top w:val="none" w:sz="0" w:space="0" w:color="auto"/>
        <w:left w:val="none" w:sz="0" w:space="0" w:color="auto"/>
        <w:bottom w:val="none" w:sz="0" w:space="0" w:color="auto"/>
        <w:right w:val="none" w:sz="0" w:space="0" w:color="auto"/>
      </w:divBdr>
    </w:div>
    <w:div w:id="193349320">
      <w:bodyDiv w:val="1"/>
      <w:marLeft w:val="0"/>
      <w:marRight w:val="0"/>
      <w:marTop w:val="0"/>
      <w:marBottom w:val="0"/>
      <w:divBdr>
        <w:top w:val="none" w:sz="0" w:space="0" w:color="auto"/>
        <w:left w:val="none" w:sz="0" w:space="0" w:color="auto"/>
        <w:bottom w:val="none" w:sz="0" w:space="0" w:color="auto"/>
        <w:right w:val="none" w:sz="0" w:space="0" w:color="auto"/>
      </w:divBdr>
    </w:div>
    <w:div w:id="209466793">
      <w:bodyDiv w:val="1"/>
      <w:marLeft w:val="0"/>
      <w:marRight w:val="0"/>
      <w:marTop w:val="0"/>
      <w:marBottom w:val="0"/>
      <w:divBdr>
        <w:top w:val="none" w:sz="0" w:space="0" w:color="auto"/>
        <w:left w:val="none" w:sz="0" w:space="0" w:color="auto"/>
        <w:bottom w:val="none" w:sz="0" w:space="0" w:color="auto"/>
        <w:right w:val="none" w:sz="0" w:space="0" w:color="auto"/>
      </w:divBdr>
    </w:div>
    <w:div w:id="220479060">
      <w:bodyDiv w:val="1"/>
      <w:marLeft w:val="0"/>
      <w:marRight w:val="0"/>
      <w:marTop w:val="0"/>
      <w:marBottom w:val="0"/>
      <w:divBdr>
        <w:top w:val="none" w:sz="0" w:space="0" w:color="auto"/>
        <w:left w:val="none" w:sz="0" w:space="0" w:color="auto"/>
        <w:bottom w:val="none" w:sz="0" w:space="0" w:color="auto"/>
        <w:right w:val="none" w:sz="0" w:space="0" w:color="auto"/>
      </w:divBdr>
    </w:div>
    <w:div w:id="225187838">
      <w:bodyDiv w:val="1"/>
      <w:marLeft w:val="0"/>
      <w:marRight w:val="0"/>
      <w:marTop w:val="0"/>
      <w:marBottom w:val="0"/>
      <w:divBdr>
        <w:top w:val="none" w:sz="0" w:space="0" w:color="auto"/>
        <w:left w:val="none" w:sz="0" w:space="0" w:color="auto"/>
        <w:bottom w:val="none" w:sz="0" w:space="0" w:color="auto"/>
        <w:right w:val="none" w:sz="0" w:space="0" w:color="auto"/>
      </w:divBdr>
    </w:div>
    <w:div w:id="235095023">
      <w:bodyDiv w:val="1"/>
      <w:marLeft w:val="0"/>
      <w:marRight w:val="0"/>
      <w:marTop w:val="0"/>
      <w:marBottom w:val="0"/>
      <w:divBdr>
        <w:top w:val="none" w:sz="0" w:space="0" w:color="auto"/>
        <w:left w:val="none" w:sz="0" w:space="0" w:color="auto"/>
        <w:bottom w:val="none" w:sz="0" w:space="0" w:color="auto"/>
        <w:right w:val="none" w:sz="0" w:space="0" w:color="auto"/>
      </w:divBdr>
    </w:div>
    <w:div w:id="276568218">
      <w:bodyDiv w:val="1"/>
      <w:marLeft w:val="0"/>
      <w:marRight w:val="0"/>
      <w:marTop w:val="0"/>
      <w:marBottom w:val="0"/>
      <w:divBdr>
        <w:top w:val="none" w:sz="0" w:space="0" w:color="auto"/>
        <w:left w:val="none" w:sz="0" w:space="0" w:color="auto"/>
        <w:bottom w:val="none" w:sz="0" w:space="0" w:color="auto"/>
        <w:right w:val="none" w:sz="0" w:space="0" w:color="auto"/>
      </w:divBdr>
    </w:div>
    <w:div w:id="276956529">
      <w:bodyDiv w:val="1"/>
      <w:marLeft w:val="0"/>
      <w:marRight w:val="0"/>
      <w:marTop w:val="0"/>
      <w:marBottom w:val="0"/>
      <w:divBdr>
        <w:top w:val="none" w:sz="0" w:space="0" w:color="auto"/>
        <w:left w:val="none" w:sz="0" w:space="0" w:color="auto"/>
        <w:bottom w:val="none" w:sz="0" w:space="0" w:color="auto"/>
        <w:right w:val="none" w:sz="0" w:space="0" w:color="auto"/>
      </w:divBdr>
    </w:div>
    <w:div w:id="299921888">
      <w:bodyDiv w:val="1"/>
      <w:marLeft w:val="0"/>
      <w:marRight w:val="0"/>
      <w:marTop w:val="0"/>
      <w:marBottom w:val="0"/>
      <w:divBdr>
        <w:top w:val="none" w:sz="0" w:space="0" w:color="auto"/>
        <w:left w:val="none" w:sz="0" w:space="0" w:color="auto"/>
        <w:bottom w:val="none" w:sz="0" w:space="0" w:color="auto"/>
        <w:right w:val="none" w:sz="0" w:space="0" w:color="auto"/>
      </w:divBdr>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44134480">
      <w:bodyDiv w:val="1"/>
      <w:marLeft w:val="0"/>
      <w:marRight w:val="0"/>
      <w:marTop w:val="0"/>
      <w:marBottom w:val="0"/>
      <w:divBdr>
        <w:top w:val="none" w:sz="0" w:space="0" w:color="auto"/>
        <w:left w:val="none" w:sz="0" w:space="0" w:color="auto"/>
        <w:bottom w:val="none" w:sz="0" w:space="0" w:color="auto"/>
        <w:right w:val="none" w:sz="0" w:space="0" w:color="auto"/>
      </w:divBdr>
    </w:div>
    <w:div w:id="359818139">
      <w:bodyDiv w:val="1"/>
      <w:marLeft w:val="0"/>
      <w:marRight w:val="0"/>
      <w:marTop w:val="0"/>
      <w:marBottom w:val="0"/>
      <w:divBdr>
        <w:top w:val="none" w:sz="0" w:space="0" w:color="auto"/>
        <w:left w:val="none" w:sz="0" w:space="0" w:color="auto"/>
        <w:bottom w:val="none" w:sz="0" w:space="0" w:color="auto"/>
        <w:right w:val="none" w:sz="0" w:space="0" w:color="auto"/>
      </w:divBdr>
    </w:div>
    <w:div w:id="363101204">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73891358">
      <w:bodyDiv w:val="1"/>
      <w:marLeft w:val="0"/>
      <w:marRight w:val="0"/>
      <w:marTop w:val="0"/>
      <w:marBottom w:val="0"/>
      <w:divBdr>
        <w:top w:val="none" w:sz="0" w:space="0" w:color="auto"/>
        <w:left w:val="none" w:sz="0" w:space="0" w:color="auto"/>
        <w:bottom w:val="none" w:sz="0" w:space="0" w:color="auto"/>
        <w:right w:val="none" w:sz="0" w:space="0" w:color="auto"/>
      </w:divBdr>
    </w:div>
    <w:div w:id="388038673">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390929004">
      <w:bodyDiv w:val="1"/>
      <w:marLeft w:val="0"/>
      <w:marRight w:val="0"/>
      <w:marTop w:val="0"/>
      <w:marBottom w:val="0"/>
      <w:divBdr>
        <w:top w:val="none" w:sz="0" w:space="0" w:color="auto"/>
        <w:left w:val="none" w:sz="0" w:space="0" w:color="auto"/>
        <w:bottom w:val="none" w:sz="0" w:space="0" w:color="auto"/>
        <w:right w:val="none" w:sz="0" w:space="0" w:color="auto"/>
      </w:divBdr>
    </w:div>
    <w:div w:id="392587729">
      <w:bodyDiv w:val="1"/>
      <w:marLeft w:val="0"/>
      <w:marRight w:val="0"/>
      <w:marTop w:val="0"/>
      <w:marBottom w:val="0"/>
      <w:divBdr>
        <w:top w:val="none" w:sz="0" w:space="0" w:color="auto"/>
        <w:left w:val="none" w:sz="0" w:space="0" w:color="auto"/>
        <w:bottom w:val="none" w:sz="0" w:space="0" w:color="auto"/>
        <w:right w:val="none" w:sz="0" w:space="0" w:color="auto"/>
      </w:divBdr>
    </w:div>
    <w:div w:id="398677538">
      <w:bodyDiv w:val="1"/>
      <w:marLeft w:val="0"/>
      <w:marRight w:val="0"/>
      <w:marTop w:val="0"/>
      <w:marBottom w:val="0"/>
      <w:divBdr>
        <w:top w:val="none" w:sz="0" w:space="0" w:color="auto"/>
        <w:left w:val="none" w:sz="0" w:space="0" w:color="auto"/>
        <w:bottom w:val="none" w:sz="0" w:space="0" w:color="auto"/>
        <w:right w:val="none" w:sz="0" w:space="0" w:color="auto"/>
      </w:divBdr>
    </w:div>
    <w:div w:id="405079735">
      <w:bodyDiv w:val="1"/>
      <w:marLeft w:val="0"/>
      <w:marRight w:val="0"/>
      <w:marTop w:val="0"/>
      <w:marBottom w:val="0"/>
      <w:divBdr>
        <w:top w:val="none" w:sz="0" w:space="0" w:color="auto"/>
        <w:left w:val="none" w:sz="0" w:space="0" w:color="auto"/>
        <w:bottom w:val="none" w:sz="0" w:space="0" w:color="auto"/>
        <w:right w:val="none" w:sz="0" w:space="0" w:color="auto"/>
      </w:divBdr>
    </w:div>
    <w:div w:id="415708629">
      <w:bodyDiv w:val="1"/>
      <w:marLeft w:val="0"/>
      <w:marRight w:val="0"/>
      <w:marTop w:val="0"/>
      <w:marBottom w:val="0"/>
      <w:divBdr>
        <w:top w:val="none" w:sz="0" w:space="0" w:color="auto"/>
        <w:left w:val="none" w:sz="0" w:space="0" w:color="auto"/>
        <w:bottom w:val="none" w:sz="0" w:space="0" w:color="auto"/>
        <w:right w:val="none" w:sz="0" w:space="0" w:color="auto"/>
      </w:divBdr>
    </w:div>
    <w:div w:id="424228829">
      <w:bodyDiv w:val="1"/>
      <w:marLeft w:val="0"/>
      <w:marRight w:val="0"/>
      <w:marTop w:val="0"/>
      <w:marBottom w:val="0"/>
      <w:divBdr>
        <w:top w:val="none" w:sz="0" w:space="0" w:color="auto"/>
        <w:left w:val="none" w:sz="0" w:space="0" w:color="auto"/>
        <w:bottom w:val="none" w:sz="0" w:space="0" w:color="auto"/>
        <w:right w:val="none" w:sz="0" w:space="0" w:color="auto"/>
      </w:divBdr>
    </w:div>
    <w:div w:id="428507030">
      <w:bodyDiv w:val="1"/>
      <w:marLeft w:val="0"/>
      <w:marRight w:val="0"/>
      <w:marTop w:val="0"/>
      <w:marBottom w:val="0"/>
      <w:divBdr>
        <w:top w:val="none" w:sz="0" w:space="0" w:color="auto"/>
        <w:left w:val="none" w:sz="0" w:space="0" w:color="auto"/>
        <w:bottom w:val="none" w:sz="0" w:space="0" w:color="auto"/>
        <w:right w:val="none" w:sz="0" w:space="0" w:color="auto"/>
      </w:divBdr>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45657988">
      <w:bodyDiv w:val="1"/>
      <w:marLeft w:val="0"/>
      <w:marRight w:val="0"/>
      <w:marTop w:val="0"/>
      <w:marBottom w:val="0"/>
      <w:divBdr>
        <w:top w:val="none" w:sz="0" w:space="0" w:color="auto"/>
        <w:left w:val="none" w:sz="0" w:space="0" w:color="auto"/>
        <w:bottom w:val="none" w:sz="0" w:space="0" w:color="auto"/>
        <w:right w:val="none" w:sz="0" w:space="0" w:color="auto"/>
      </w:divBdr>
    </w:div>
    <w:div w:id="45606969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487595774">
      <w:bodyDiv w:val="1"/>
      <w:marLeft w:val="0"/>
      <w:marRight w:val="0"/>
      <w:marTop w:val="0"/>
      <w:marBottom w:val="0"/>
      <w:divBdr>
        <w:top w:val="none" w:sz="0" w:space="0" w:color="auto"/>
        <w:left w:val="none" w:sz="0" w:space="0" w:color="auto"/>
        <w:bottom w:val="none" w:sz="0" w:space="0" w:color="auto"/>
        <w:right w:val="none" w:sz="0" w:space="0" w:color="auto"/>
      </w:divBdr>
    </w:div>
    <w:div w:id="49992965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521481812">
      <w:bodyDiv w:val="1"/>
      <w:marLeft w:val="0"/>
      <w:marRight w:val="0"/>
      <w:marTop w:val="0"/>
      <w:marBottom w:val="0"/>
      <w:divBdr>
        <w:top w:val="none" w:sz="0" w:space="0" w:color="auto"/>
        <w:left w:val="none" w:sz="0" w:space="0" w:color="auto"/>
        <w:bottom w:val="none" w:sz="0" w:space="0" w:color="auto"/>
        <w:right w:val="none" w:sz="0" w:space="0" w:color="auto"/>
      </w:divBdr>
    </w:div>
    <w:div w:id="548491847">
      <w:bodyDiv w:val="1"/>
      <w:marLeft w:val="0"/>
      <w:marRight w:val="0"/>
      <w:marTop w:val="0"/>
      <w:marBottom w:val="0"/>
      <w:divBdr>
        <w:top w:val="none" w:sz="0" w:space="0" w:color="auto"/>
        <w:left w:val="none" w:sz="0" w:space="0" w:color="auto"/>
        <w:bottom w:val="none" w:sz="0" w:space="0" w:color="auto"/>
        <w:right w:val="none" w:sz="0" w:space="0" w:color="auto"/>
      </w:divBdr>
    </w:div>
    <w:div w:id="551843244">
      <w:bodyDiv w:val="1"/>
      <w:marLeft w:val="0"/>
      <w:marRight w:val="0"/>
      <w:marTop w:val="0"/>
      <w:marBottom w:val="0"/>
      <w:divBdr>
        <w:top w:val="none" w:sz="0" w:space="0" w:color="auto"/>
        <w:left w:val="none" w:sz="0" w:space="0" w:color="auto"/>
        <w:bottom w:val="none" w:sz="0" w:space="0" w:color="auto"/>
        <w:right w:val="none" w:sz="0" w:space="0" w:color="auto"/>
      </w:divBdr>
    </w:div>
    <w:div w:id="560406227">
      <w:bodyDiv w:val="1"/>
      <w:marLeft w:val="0"/>
      <w:marRight w:val="0"/>
      <w:marTop w:val="0"/>
      <w:marBottom w:val="0"/>
      <w:divBdr>
        <w:top w:val="none" w:sz="0" w:space="0" w:color="auto"/>
        <w:left w:val="none" w:sz="0" w:space="0" w:color="auto"/>
        <w:bottom w:val="none" w:sz="0" w:space="0" w:color="auto"/>
        <w:right w:val="none" w:sz="0" w:space="0" w:color="auto"/>
      </w:divBdr>
    </w:div>
    <w:div w:id="585069814">
      <w:bodyDiv w:val="1"/>
      <w:marLeft w:val="0"/>
      <w:marRight w:val="0"/>
      <w:marTop w:val="0"/>
      <w:marBottom w:val="0"/>
      <w:divBdr>
        <w:top w:val="none" w:sz="0" w:space="0" w:color="auto"/>
        <w:left w:val="none" w:sz="0" w:space="0" w:color="auto"/>
        <w:bottom w:val="none" w:sz="0" w:space="0" w:color="auto"/>
        <w:right w:val="none" w:sz="0" w:space="0" w:color="auto"/>
      </w:divBdr>
    </w:div>
    <w:div w:id="601496871">
      <w:bodyDiv w:val="1"/>
      <w:marLeft w:val="0"/>
      <w:marRight w:val="0"/>
      <w:marTop w:val="0"/>
      <w:marBottom w:val="0"/>
      <w:divBdr>
        <w:top w:val="none" w:sz="0" w:space="0" w:color="auto"/>
        <w:left w:val="none" w:sz="0" w:space="0" w:color="auto"/>
        <w:bottom w:val="none" w:sz="0" w:space="0" w:color="auto"/>
        <w:right w:val="none" w:sz="0" w:space="0" w:color="auto"/>
      </w:divBdr>
    </w:div>
    <w:div w:id="607615999">
      <w:bodyDiv w:val="1"/>
      <w:marLeft w:val="0"/>
      <w:marRight w:val="0"/>
      <w:marTop w:val="0"/>
      <w:marBottom w:val="0"/>
      <w:divBdr>
        <w:top w:val="none" w:sz="0" w:space="0" w:color="auto"/>
        <w:left w:val="none" w:sz="0" w:space="0" w:color="auto"/>
        <w:bottom w:val="none" w:sz="0" w:space="0" w:color="auto"/>
        <w:right w:val="none" w:sz="0" w:space="0" w:color="auto"/>
      </w:divBdr>
    </w:div>
    <w:div w:id="627779911">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42201592">
      <w:bodyDiv w:val="1"/>
      <w:marLeft w:val="0"/>
      <w:marRight w:val="0"/>
      <w:marTop w:val="0"/>
      <w:marBottom w:val="0"/>
      <w:divBdr>
        <w:top w:val="none" w:sz="0" w:space="0" w:color="auto"/>
        <w:left w:val="none" w:sz="0" w:space="0" w:color="auto"/>
        <w:bottom w:val="none" w:sz="0" w:space="0" w:color="auto"/>
        <w:right w:val="none" w:sz="0" w:space="0" w:color="auto"/>
      </w:divBdr>
    </w:div>
    <w:div w:id="644160226">
      <w:bodyDiv w:val="1"/>
      <w:marLeft w:val="0"/>
      <w:marRight w:val="0"/>
      <w:marTop w:val="0"/>
      <w:marBottom w:val="0"/>
      <w:divBdr>
        <w:top w:val="none" w:sz="0" w:space="0" w:color="auto"/>
        <w:left w:val="none" w:sz="0" w:space="0" w:color="auto"/>
        <w:bottom w:val="none" w:sz="0" w:space="0" w:color="auto"/>
        <w:right w:val="none" w:sz="0" w:space="0" w:color="auto"/>
      </w:divBdr>
    </w:div>
    <w:div w:id="649796192">
      <w:bodyDiv w:val="1"/>
      <w:marLeft w:val="0"/>
      <w:marRight w:val="0"/>
      <w:marTop w:val="0"/>
      <w:marBottom w:val="0"/>
      <w:divBdr>
        <w:top w:val="none" w:sz="0" w:space="0" w:color="auto"/>
        <w:left w:val="none" w:sz="0" w:space="0" w:color="auto"/>
        <w:bottom w:val="none" w:sz="0" w:space="0" w:color="auto"/>
        <w:right w:val="none" w:sz="0" w:space="0" w:color="auto"/>
      </w:divBdr>
    </w:div>
    <w:div w:id="656887367">
      <w:bodyDiv w:val="1"/>
      <w:marLeft w:val="0"/>
      <w:marRight w:val="0"/>
      <w:marTop w:val="0"/>
      <w:marBottom w:val="0"/>
      <w:divBdr>
        <w:top w:val="none" w:sz="0" w:space="0" w:color="auto"/>
        <w:left w:val="none" w:sz="0" w:space="0" w:color="auto"/>
        <w:bottom w:val="none" w:sz="0" w:space="0" w:color="auto"/>
        <w:right w:val="none" w:sz="0" w:space="0" w:color="auto"/>
      </w:divBdr>
    </w:div>
    <w:div w:id="657878764">
      <w:bodyDiv w:val="1"/>
      <w:marLeft w:val="0"/>
      <w:marRight w:val="0"/>
      <w:marTop w:val="0"/>
      <w:marBottom w:val="0"/>
      <w:divBdr>
        <w:top w:val="none" w:sz="0" w:space="0" w:color="auto"/>
        <w:left w:val="none" w:sz="0" w:space="0" w:color="auto"/>
        <w:bottom w:val="none" w:sz="0" w:space="0" w:color="auto"/>
        <w:right w:val="none" w:sz="0" w:space="0" w:color="auto"/>
      </w:divBdr>
    </w:div>
    <w:div w:id="660161889">
      <w:bodyDiv w:val="1"/>
      <w:marLeft w:val="0"/>
      <w:marRight w:val="0"/>
      <w:marTop w:val="0"/>
      <w:marBottom w:val="0"/>
      <w:divBdr>
        <w:top w:val="none" w:sz="0" w:space="0" w:color="auto"/>
        <w:left w:val="none" w:sz="0" w:space="0" w:color="auto"/>
        <w:bottom w:val="none" w:sz="0" w:space="0" w:color="auto"/>
        <w:right w:val="none" w:sz="0" w:space="0" w:color="auto"/>
      </w:divBdr>
    </w:div>
    <w:div w:id="667442947">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06226253">
      <w:bodyDiv w:val="1"/>
      <w:marLeft w:val="0"/>
      <w:marRight w:val="0"/>
      <w:marTop w:val="0"/>
      <w:marBottom w:val="0"/>
      <w:divBdr>
        <w:top w:val="none" w:sz="0" w:space="0" w:color="auto"/>
        <w:left w:val="none" w:sz="0" w:space="0" w:color="auto"/>
        <w:bottom w:val="none" w:sz="0" w:space="0" w:color="auto"/>
        <w:right w:val="none" w:sz="0" w:space="0" w:color="auto"/>
      </w:divBdr>
    </w:div>
    <w:div w:id="724647327">
      <w:bodyDiv w:val="1"/>
      <w:marLeft w:val="0"/>
      <w:marRight w:val="0"/>
      <w:marTop w:val="0"/>
      <w:marBottom w:val="0"/>
      <w:divBdr>
        <w:top w:val="none" w:sz="0" w:space="0" w:color="auto"/>
        <w:left w:val="none" w:sz="0" w:space="0" w:color="auto"/>
        <w:bottom w:val="none" w:sz="0" w:space="0" w:color="auto"/>
        <w:right w:val="none" w:sz="0" w:space="0" w:color="auto"/>
      </w:divBdr>
    </w:div>
    <w:div w:id="750155823">
      <w:bodyDiv w:val="1"/>
      <w:marLeft w:val="0"/>
      <w:marRight w:val="0"/>
      <w:marTop w:val="0"/>
      <w:marBottom w:val="0"/>
      <w:divBdr>
        <w:top w:val="none" w:sz="0" w:space="0" w:color="auto"/>
        <w:left w:val="none" w:sz="0" w:space="0" w:color="auto"/>
        <w:bottom w:val="none" w:sz="0" w:space="0" w:color="auto"/>
        <w:right w:val="none" w:sz="0" w:space="0" w:color="auto"/>
      </w:divBdr>
    </w:div>
    <w:div w:id="75975952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795484294">
      <w:bodyDiv w:val="1"/>
      <w:marLeft w:val="0"/>
      <w:marRight w:val="0"/>
      <w:marTop w:val="0"/>
      <w:marBottom w:val="0"/>
      <w:divBdr>
        <w:top w:val="none" w:sz="0" w:space="0" w:color="auto"/>
        <w:left w:val="none" w:sz="0" w:space="0" w:color="auto"/>
        <w:bottom w:val="none" w:sz="0" w:space="0" w:color="auto"/>
        <w:right w:val="none" w:sz="0" w:space="0" w:color="auto"/>
      </w:divBdr>
    </w:div>
    <w:div w:id="821316004">
      <w:bodyDiv w:val="1"/>
      <w:marLeft w:val="0"/>
      <w:marRight w:val="0"/>
      <w:marTop w:val="0"/>
      <w:marBottom w:val="0"/>
      <w:divBdr>
        <w:top w:val="none" w:sz="0" w:space="0" w:color="auto"/>
        <w:left w:val="none" w:sz="0" w:space="0" w:color="auto"/>
        <w:bottom w:val="none" w:sz="0" w:space="0" w:color="auto"/>
        <w:right w:val="none" w:sz="0" w:space="0" w:color="auto"/>
      </w:divBdr>
    </w:div>
    <w:div w:id="848838794">
      <w:bodyDiv w:val="1"/>
      <w:marLeft w:val="0"/>
      <w:marRight w:val="0"/>
      <w:marTop w:val="0"/>
      <w:marBottom w:val="0"/>
      <w:divBdr>
        <w:top w:val="none" w:sz="0" w:space="0" w:color="auto"/>
        <w:left w:val="none" w:sz="0" w:space="0" w:color="auto"/>
        <w:bottom w:val="none" w:sz="0" w:space="0" w:color="auto"/>
        <w:right w:val="none" w:sz="0" w:space="0" w:color="auto"/>
      </w:divBdr>
    </w:div>
    <w:div w:id="859120714">
      <w:bodyDiv w:val="1"/>
      <w:marLeft w:val="0"/>
      <w:marRight w:val="0"/>
      <w:marTop w:val="0"/>
      <w:marBottom w:val="0"/>
      <w:divBdr>
        <w:top w:val="none" w:sz="0" w:space="0" w:color="auto"/>
        <w:left w:val="none" w:sz="0" w:space="0" w:color="auto"/>
        <w:bottom w:val="none" w:sz="0" w:space="0" w:color="auto"/>
        <w:right w:val="none" w:sz="0" w:space="0" w:color="auto"/>
      </w:divBdr>
    </w:div>
    <w:div w:id="868489902">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19212523">
      <w:bodyDiv w:val="1"/>
      <w:marLeft w:val="0"/>
      <w:marRight w:val="0"/>
      <w:marTop w:val="0"/>
      <w:marBottom w:val="0"/>
      <w:divBdr>
        <w:top w:val="none" w:sz="0" w:space="0" w:color="auto"/>
        <w:left w:val="none" w:sz="0" w:space="0" w:color="auto"/>
        <w:bottom w:val="none" w:sz="0" w:space="0" w:color="auto"/>
        <w:right w:val="none" w:sz="0" w:space="0" w:color="auto"/>
      </w:divBdr>
    </w:div>
    <w:div w:id="972712836">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976035257">
      <w:bodyDiv w:val="1"/>
      <w:marLeft w:val="0"/>
      <w:marRight w:val="0"/>
      <w:marTop w:val="0"/>
      <w:marBottom w:val="0"/>
      <w:divBdr>
        <w:top w:val="none" w:sz="0" w:space="0" w:color="auto"/>
        <w:left w:val="none" w:sz="0" w:space="0" w:color="auto"/>
        <w:bottom w:val="none" w:sz="0" w:space="0" w:color="auto"/>
        <w:right w:val="none" w:sz="0" w:space="0" w:color="auto"/>
      </w:divBdr>
    </w:div>
    <w:div w:id="998965359">
      <w:bodyDiv w:val="1"/>
      <w:marLeft w:val="0"/>
      <w:marRight w:val="0"/>
      <w:marTop w:val="0"/>
      <w:marBottom w:val="0"/>
      <w:divBdr>
        <w:top w:val="none" w:sz="0" w:space="0" w:color="auto"/>
        <w:left w:val="none" w:sz="0" w:space="0" w:color="auto"/>
        <w:bottom w:val="none" w:sz="0" w:space="0" w:color="auto"/>
        <w:right w:val="none" w:sz="0" w:space="0" w:color="auto"/>
      </w:divBdr>
    </w:div>
    <w:div w:id="999968380">
      <w:bodyDiv w:val="1"/>
      <w:marLeft w:val="0"/>
      <w:marRight w:val="0"/>
      <w:marTop w:val="0"/>
      <w:marBottom w:val="0"/>
      <w:divBdr>
        <w:top w:val="none" w:sz="0" w:space="0" w:color="auto"/>
        <w:left w:val="none" w:sz="0" w:space="0" w:color="auto"/>
        <w:bottom w:val="none" w:sz="0" w:space="0" w:color="auto"/>
        <w:right w:val="none" w:sz="0" w:space="0" w:color="auto"/>
      </w:divBdr>
    </w:div>
    <w:div w:id="1009598745">
      <w:bodyDiv w:val="1"/>
      <w:marLeft w:val="0"/>
      <w:marRight w:val="0"/>
      <w:marTop w:val="0"/>
      <w:marBottom w:val="0"/>
      <w:divBdr>
        <w:top w:val="none" w:sz="0" w:space="0" w:color="auto"/>
        <w:left w:val="none" w:sz="0" w:space="0" w:color="auto"/>
        <w:bottom w:val="none" w:sz="0" w:space="0" w:color="auto"/>
        <w:right w:val="none" w:sz="0" w:space="0" w:color="auto"/>
      </w:divBdr>
    </w:div>
    <w:div w:id="1015570016">
      <w:bodyDiv w:val="1"/>
      <w:marLeft w:val="0"/>
      <w:marRight w:val="0"/>
      <w:marTop w:val="0"/>
      <w:marBottom w:val="0"/>
      <w:divBdr>
        <w:top w:val="none" w:sz="0" w:space="0" w:color="auto"/>
        <w:left w:val="none" w:sz="0" w:space="0" w:color="auto"/>
        <w:bottom w:val="none" w:sz="0" w:space="0" w:color="auto"/>
        <w:right w:val="none" w:sz="0" w:space="0" w:color="auto"/>
      </w:divBdr>
    </w:div>
    <w:div w:id="1020400010">
      <w:bodyDiv w:val="1"/>
      <w:marLeft w:val="0"/>
      <w:marRight w:val="0"/>
      <w:marTop w:val="0"/>
      <w:marBottom w:val="0"/>
      <w:divBdr>
        <w:top w:val="none" w:sz="0" w:space="0" w:color="auto"/>
        <w:left w:val="none" w:sz="0" w:space="0" w:color="auto"/>
        <w:bottom w:val="none" w:sz="0" w:space="0" w:color="auto"/>
        <w:right w:val="none" w:sz="0" w:space="0" w:color="auto"/>
      </w:divBdr>
    </w:div>
    <w:div w:id="1021273359">
      <w:bodyDiv w:val="1"/>
      <w:marLeft w:val="0"/>
      <w:marRight w:val="0"/>
      <w:marTop w:val="0"/>
      <w:marBottom w:val="0"/>
      <w:divBdr>
        <w:top w:val="none" w:sz="0" w:space="0" w:color="auto"/>
        <w:left w:val="none" w:sz="0" w:space="0" w:color="auto"/>
        <w:bottom w:val="none" w:sz="0" w:space="0" w:color="auto"/>
        <w:right w:val="none" w:sz="0" w:space="0" w:color="auto"/>
      </w:divBdr>
    </w:div>
    <w:div w:id="1027635053">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034961721">
      <w:bodyDiv w:val="1"/>
      <w:marLeft w:val="0"/>
      <w:marRight w:val="0"/>
      <w:marTop w:val="0"/>
      <w:marBottom w:val="0"/>
      <w:divBdr>
        <w:top w:val="none" w:sz="0" w:space="0" w:color="auto"/>
        <w:left w:val="none" w:sz="0" w:space="0" w:color="auto"/>
        <w:bottom w:val="none" w:sz="0" w:space="0" w:color="auto"/>
        <w:right w:val="none" w:sz="0" w:space="0" w:color="auto"/>
      </w:divBdr>
    </w:div>
    <w:div w:id="1063601205">
      <w:bodyDiv w:val="1"/>
      <w:marLeft w:val="0"/>
      <w:marRight w:val="0"/>
      <w:marTop w:val="0"/>
      <w:marBottom w:val="0"/>
      <w:divBdr>
        <w:top w:val="none" w:sz="0" w:space="0" w:color="auto"/>
        <w:left w:val="none" w:sz="0" w:space="0" w:color="auto"/>
        <w:bottom w:val="none" w:sz="0" w:space="0" w:color="auto"/>
        <w:right w:val="none" w:sz="0" w:space="0" w:color="auto"/>
      </w:divBdr>
    </w:div>
    <w:div w:id="1064138017">
      <w:bodyDiv w:val="1"/>
      <w:marLeft w:val="0"/>
      <w:marRight w:val="0"/>
      <w:marTop w:val="0"/>
      <w:marBottom w:val="0"/>
      <w:divBdr>
        <w:top w:val="none" w:sz="0" w:space="0" w:color="auto"/>
        <w:left w:val="none" w:sz="0" w:space="0" w:color="auto"/>
        <w:bottom w:val="none" w:sz="0" w:space="0" w:color="auto"/>
        <w:right w:val="none" w:sz="0" w:space="0" w:color="auto"/>
      </w:divBdr>
    </w:div>
    <w:div w:id="1070731105">
      <w:bodyDiv w:val="1"/>
      <w:marLeft w:val="0"/>
      <w:marRight w:val="0"/>
      <w:marTop w:val="0"/>
      <w:marBottom w:val="0"/>
      <w:divBdr>
        <w:top w:val="none" w:sz="0" w:space="0" w:color="auto"/>
        <w:left w:val="none" w:sz="0" w:space="0" w:color="auto"/>
        <w:bottom w:val="none" w:sz="0" w:space="0" w:color="auto"/>
        <w:right w:val="none" w:sz="0" w:space="0" w:color="auto"/>
      </w:divBdr>
    </w:div>
    <w:div w:id="1088847432">
      <w:bodyDiv w:val="1"/>
      <w:marLeft w:val="0"/>
      <w:marRight w:val="0"/>
      <w:marTop w:val="0"/>
      <w:marBottom w:val="0"/>
      <w:divBdr>
        <w:top w:val="none" w:sz="0" w:space="0" w:color="auto"/>
        <w:left w:val="none" w:sz="0" w:space="0" w:color="auto"/>
        <w:bottom w:val="none" w:sz="0" w:space="0" w:color="auto"/>
        <w:right w:val="none" w:sz="0" w:space="0" w:color="auto"/>
      </w:divBdr>
    </w:div>
    <w:div w:id="1092169088">
      <w:bodyDiv w:val="1"/>
      <w:marLeft w:val="0"/>
      <w:marRight w:val="0"/>
      <w:marTop w:val="0"/>
      <w:marBottom w:val="0"/>
      <w:divBdr>
        <w:top w:val="none" w:sz="0" w:space="0" w:color="auto"/>
        <w:left w:val="none" w:sz="0" w:space="0" w:color="auto"/>
        <w:bottom w:val="none" w:sz="0" w:space="0" w:color="auto"/>
        <w:right w:val="none" w:sz="0" w:space="0" w:color="auto"/>
      </w:divBdr>
      <w:divsChild>
        <w:div w:id="444738968">
          <w:marLeft w:val="0"/>
          <w:marRight w:val="0"/>
          <w:marTop w:val="0"/>
          <w:marBottom w:val="0"/>
          <w:divBdr>
            <w:top w:val="none" w:sz="0" w:space="0" w:color="auto"/>
            <w:left w:val="none" w:sz="0" w:space="0" w:color="auto"/>
            <w:bottom w:val="none" w:sz="0" w:space="0" w:color="auto"/>
            <w:right w:val="none" w:sz="0" w:space="0" w:color="auto"/>
          </w:divBdr>
        </w:div>
      </w:divsChild>
    </w:div>
    <w:div w:id="1092970206">
      <w:bodyDiv w:val="1"/>
      <w:marLeft w:val="0"/>
      <w:marRight w:val="0"/>
      <w:marTop w:val="0"/>
      <w:marBottom w:val="0"/>
      <w:divBdr>
        <w:top w:val="none" w:sz="0" w:space="0" w:color="auto"/>
        <w:left w:val="none" w:sz="0" w:space="0" w:color="auto"/>
        <w:bottom w:val="none" w:sz="0" w:space="0" w:color="auto"/>
        <w:right w:val="none" w:sz="0" w:space="0" w:color="auto"/>
      </w:divBdr>
    </w:div>
    <w:div w:id="1132291233">
      <w:bodyDiv w:val="1"/>
      <w:marLeft w:val="0"/>
      <w:marRight w:val="0"/>
      <w:marTop w:val="0"/>
      <w:marBottom w:val="0"/>
      <w:divBdr>
        <w:top w:val="none" w:sz="0" w:space="0" w:color="auto"/>
        <w:left w:val="none" w:sz="0" w:space="0" w:color="auto"/>
        <w:bottom w:val="none" w:sz="0" w:space="0" w:color="auto"/>
        <w:right w:val="none" w:sz="0" w:space="0" w:color="auto"/>
      </w:divBdr>
    </w:div>
    <w:div w:id="1133404118">
      <w:bodyDiv w:val="1"/>
      <w:marLeft w:val="0"/>
      <w:marRight w:val="0"/>
      <w:marTop w:val="0"/>
      <w:marBottom w:val="0"/>
      <w:divBdr>
        <w:top w:val="none" w:sz="0" w:space="0" w:color="auto"/>
        <w:left w:val="none" w:sz="0" w:space="0" w:color="auto"/>
        <w:bottom w:val="none" w:sz="0" w:space="0" w:color="auto"/>
        <w:right w:val="none" w:sz="0" w:space="0" w:color="auto"/>
      </w:divBdr>
    </w:div>
    <w:div w:id="1142507449">
      <w:bodyDiv w:val="1"/>
      <w:marLeft w:val="0"/>
      <w:marRight w:val="0"/>
      <w:marTop w:val="0"/>
      <w:marBottom w:val="0"/>
      <w:divBdr>
        <w:top w:val="none" w:sz="0" w:space="0" w:color="auto"/>
        <w:left w:val="none" w:sz="0" w:space="0" w:color="auto"/>
        <w:bottom w:val="none" w:sz="0" w:space="0" w:color="auto"/>
        <w:right w:val="none" w:sz="0" w:space="0" w:color="auto"/>
      </w:divBdr>
    </w:div>
    <w:div w:id="1168864834">
      <w:bodyDiv w:val="1"/>
      <w:marLeft w:val="0"/>
      <w:marRight w:val="0"/>
      <w:marTop w:val="0"/>
      <w:marBottom w:val="0"/>
      <w:divBdr>
        <w:top w:val="none" w:sz="0" w:space="0" w:color="auto"/>
        <w:left w:val="none" w:sz="0" w:space="0" w:color="auto"/>
        <w:bottom w:val="none" w:sz="0" w:space="0" w:color="auto"/>
        <w:right w:val="none" w:sz="0" w:space="0" w:color="auto"/>
      </w:divBdr>
    </w:div>
    <w:div w:id="1171287895">
      <w:bodyDiv w:val="1"/>
      <w:marLeft w:val="0"/>
      <w:marRight w:val="0"/>
      <w:marTop w:val="0"/>
      <w:marBottom w:val="0"/>
      <w:divBdr>
        <w:top w:val="none" w:sz="0" w:space="0" w:color="auto"/>
        <w:left w:val="none" w:sz="0" w:space="0" w:color="auto"/>
        <w:bottom w:val="none" w:sz="0" w:space="0" w:color="auto"/>
        <w:right w:val="none" w:sz="0" w:space="0" w:color="auto"/>
      </w:divBdr>
    </w:div>
    <w:div w:id="1196389352">
      <w:bodyDiv w:val="1"/>
      <w:marLeft w:val="0"/>
      <w:marRight w:val="0"/>
      <w:marTop w:val="0"/>
      <w:marBottom w:val="0"/>
      <w:divBdr>
        <w:top w:val="none" w:sz="0" w:space="0" w:color="auto"/>
        <w:left w:val="none" w:sz="0" w:space="0" w:color="auto"/>
        <w:bottom w:val="none" w:sz="0" w:space="0" w:color="auto"/>
        <w:right w:val="none" w:sz="0" w:space="0" w:color="auto"/>
      </w:divBdr>
    </w:div>
    <w:div w:id="1214734634">
      <w:bodyDiv w:val="1"/>
      <w:marLeft w:val="0"/>
      <w:marRight w:val="0"/>
      <w:marTop w:val="0"/>
      <w:marBottom w:val="0"/>
      <w:divBdr>
        <w:top w:val="none" w:sz="0" w:space="0" w:color="auto"/>
        <w:left w:val="none" w:sz="0" w:space="0" w:color="auto"/>
        <w:bottom w:val="none" w:sz="0" w:space="0" w:color="auto"/>
        <w:right w:val="none" w:sz="0" w:space="0" w:color="auto"/>
      </w:divBdr>
    </w:div>
    <w:div w:id="1222406785">
      <w:bodyDiv w:val="1"/>
      <w:marLeft w:val="0"/>
      <w:marRight w:val="0"/>
      <w:marTop w:val="0"/>
      <w:marBottom w:val="0"/>
      <w:divBdr>
        <w:top w:val="none" w:sz="0" w:space="0" w:color="auto"/>
        <w:left w:val="none" w:sz="0" w:space="0" w:color="auto"/>
        <w:bottom w:val="none" w:sz="0" w:space="0" w:color="auto"/>
        <w:right w:val="none" w:sz="0" w:space="0" w:color="auto"/>
      </w:divBdr>
    </w:div>
    <w:div w:id="1228299379">
      <w:bodyDiv w:val="1"/>
      <w:marLeft w:val="0"/>
      <w:marRight w:val="0"/>
      <w:marTop w:val="0"/>
      <w:marBottom w:val="0"/>
      <w:divBdr>
        <w:top w:val="none" w:sz="0" w:space="0" w:color="auto"/>
        <w:left w:val="none" w:sz="0" w:space="0" w:color="auto"/>
        <w:bottom w:val="none" w:sz="0" w:space="0" w:color="auto"/>
        <w:right w:val="none" w:sz="0" w:space="0" w:color="auto"/>
      </w:divBdr>
      <w:divsChild>
        <w:div w:id="260993778">
          <w:marLeft w:val="0"/>
          <w:marRight w:val="0"/>
          <w:marTop w:val="0"/>
          <w:marBottom w:val="0"/>
          <w:divBdr>
            <w:top w:val="none" w:sz="0" w:space="0" w:color="auto"/>
            <w:left w:val="none" w:sz="0" w:space="0" w:color="auto"/>
            <w:bottom w:val="none" w:sz="0" w:space="0" w:color="auto"/>
            <w:right w:val="none" w:sz="0" w:space="0" w:color="auto"/>
          </w:divBdr>
        </w:div>
      </w:divsChild>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36622931">
      <w:bodyDiv w:val="1"/>
      <w:marLeft w:val="0"/>
      <w:marRight w:val="0"/>
      <w:marTop w:val="0"/>
      <w:marBottom w:val="0"/>
      <w:divBdr>
        <w:top w:val="none" w:sz="0" w:space="0" w:color="auto"/>
        <w:left w:val="none" w:sz="0" w:space="0" w:color="auto"/>
        <w:bottom w:val="none" w:sz="0" w:space="0" w:color="auto"/>
        <w:right w:val="none" w:sz="0" w:space="0" w:color="auto"/>
      </w:divBdr>
    </w:div>
    <w:div w:id="1237012884">
      <w:bodyDiv w:val="1"/>
      <w:marLeft w:val="0"/>
      <w:marRight w:val="0"/>
      <w:marTop w:val="0"/>
      <w:marBottom w:val="0"/>
      <w:divBdr>
        <w:top w:val="none" w:sz="0" w:space="0" w:color="auto"/>
        <w:left w:val="none" w:sz="0" w:space="0" w:color="auto"/>
        <w:bottom w:val="none" w:sz="0" w:space="0" w:color="auto"/>
        <w:right w:val="none" w:sz="0" w:space="0" w:color="auto"/>
      </w:divBdr>
    </w:div>
    <w:div w:id="1239750236">
      <w:bodyDiv w:val="1"/>
      <w:marLeft w:val="0"/>
      <w:marRight w:val="0"/>
      <w:marTop w:val="0"/>
      <w:marBottom w:val="0"/>
      <w:divBdr>
        <w:top w:val="none" w:sz="0" w:space="0" w:color="auto"/>
        <w:left w:val="none" w:sz="0" w:space="0" w:color="auto"/>
        <w:bottom w:val="none" w:sz="0" w:space="0" w:color="auto"/>
        <w:right w:val="none" w:sz="0" w:space="0" w:color="auto"/>
      </w:divBdr>
    </w:div>
    <w:div w:id="1255939832">
      <w:bodyDiv w:val="1"/>
      <w:marLeft w:val="0"/>
      <w:marRight w:val="0"/>
      <w:marTop w:val="0"/>
      <w:marBottom w:val="0"/>
      <w:divBdr>
        <w:top w:val="none" w:sz="0" w:space="0" w:color="auto"/>
        <w:left w:val="none" w:sz="0" w:space="0" w:color="auto"/>
        <w:bottom w:val="none" w:sz="0" w:space="0" w:color="auto"/>
        <w:right w:val="none" w:sz="0" w:space="0" w:color="auto"/>
      </w:divBdr>
    </w:div>
    <w:div w:id="1259366269">
      <w:bodyDiv w:val="1"/>
      <w:marLeft w:val="0"/>
      <w:marRight w:val="0"/>
      <w:marTop w:val="0"/>
      <w:marBottom w:val="0"/>
      <w:divBdr>
        <w:top w:val="none" w:sz="0" w:space="0" w:color="auto"/>
        <w:left w:val="none" w:sz="0" w:space="0" w:color="auto"/>
        <w:bottom w:val="none" w:sz="0" w:space="0" w:color="auto"/>
        <w:right w:val="none" w:sz="0" w:space="0" w:color="auto"/>
      </w:divBdr>
    </w:div>
    <w:div w:id="1260985631">
      <w:bodyDiv w:val="1"/>
      <w:marLeft w:val="0"/>
      <w:marRight w:val="0"/>
      <w:marTop w:val="0"/>
      <w:marBottom w:val="0"/>
      <w:divBdr>
        <w:top w:val="none" w:sz="0" w:space="0" w:color="auto"/>
        <w:left w:val="none" w:sz="0" w:space="0" w:color="auto"/>
        <w:bottom w:val="none" w:sz="0" w:space="0" w:color="auto"/>
        <w:right w:val="none" w:sz="0" w:space="0" w:color="auto"/>
      </w:divBdr>
    </w:div>
    <w:div w:id="1271276801">
      <w:bodyDiv w:val="1"/>
      <w:marLeft w:val="0"/>
      <w:marRight w:val="0"/>
      <w:marTop w:val="0"/>
      <w:marBottom w:val="0"/>
      <w:divBdr>
        <w:top w:val="none" w:sz="0" w:space="0" w:color="auto"/>
        <w:left w:val="none" w:sz="0" w:space="0" w:color="auto"/>
        <w:bottom w:val="none" w:sz="0" w:space="0" w:color="auto"/>
        <w:right w:val="none" w:sz="0" w:space="0" w:color="auto"/>
      </w:divBdr>
    </w:div>
    <w:div w:id="1273514158">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05043263">
      <w:bodyDiv w:val="1"/>
      <w:marLeft w:val="0"/>
      <w:marRight w:val="0"/>
      <w:marTop w:val="0"/>
      <w:marBottom w:val="0"/>
      <w:divBdr>
        <w:top w:val="none" w:sz="0" w:space="0" w:color="auto"/>
        <w:left w:val="none" w:sz="0" w:space="0" w:color="auto"/>
        <w:bottom w:val="none" w:sz="0" w:space="0" w:color="auto"/>
        <w:right w:val="none" w:sz="0" w:space="0" w:color="auto"/>
      </w:divBdr>
    </w:div>
    <w:div w:id="1330788569">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5275983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374846975">
      <w:bodyDiv w:val="1"/>
      <w:marLeft w:val="0"/>
      <w:marRight w:val="0"/>
      <w:marTop w:val="0"/>
      <w:marBottom w:val="0"/>
      <w:divBdr>
        <w:top w:val="none" w:sz="0" w:space="0" w:color="auto"/>
        <w:left w:val="none" w:sz="0" w:space="0" w:color="auto"/>
        <w:bottom w:val="none" w:sz="0" w:space="0" w:color="auto"/>
        <w:right w:val="none" w:sz="0" w:space="0" w:color="auto"/>
      </w:divBdr>
    </w:div>
    <w:div w:id="1378355227">
      <w:bodyDiv w:val="1"/>
      <w:marLeft w:val="0"/>
      <w:marRight w:val="0"/>
      <w:marTop w:val="0"/>
      <w:marBottom w:val="0"/>
      <w:divBdr>
        <w:top w:val="none" w:sz="0" w:space="0" w:color="auto"/>
        <w:left w:val="none" w:sz="0" w:space="0" w:color="auto"/>
        <w:bottom w:val="none" w:sz="0" w:space="0" w:color="auto"/>
        <w:right w:val="none" w:sz="0" w:space="0" w:color="auto"/>
      </w:divBdr>
    </w:div>
    <w:div w:id="1390574471">
      <w:bodyDiv w:val="1"/>
      <w:marLeft w:val="0"/>
      <w:marRight w:val="0"/>
      <w:marTop w:val="0"/>
      <w:marBottom w:val="0"/>
      <w:divBdr>
        <w:top w:val="none" w:sz="0" w:space="0" w:color="auto"/>
        <w:left w:val="none" w:sz="0" w:space="0" w:color="auto"/>
        <w:bottom w:val="none" w:sz="0" w:space="0" w:color="auto"/>
        <w:right w:val="none" w:sz="0" w:space="0" w:color="auto"/>
      </w:divBdr>
    </w:div>
    <w:div w:id="1430350546">
      <w:bodyDiv w:val="1"/>
      <w:marLeft w:val="0"/>
      <w:marRight w:val="0"/>
      <w:marTop w:val="0"/>
      <w:marBottom w:val="0"/>
      <w:divBdr>
        <w:top w:val="none" w:sz="0" w:space="0" w:color="auto"/>
        <w:left w:val="none" w:sz="0" w:space="0" w:color="auto"/>
        <w:bottom w:val="none" w:sz="0" w:space="0" w:color="auto"/>
        <w:right w:val="none" w:sz="0" w:space="0" w:color="auto"/>
      </w:divBdr>
    </w:div>
    <w:div w:id="1437019478">
      <w:bodyDiv w:val="1"/>
      <w:marLeft w:val="0"/>
      <w:marRight w:val="0"/>
      <w:marTop w:val="0"/>
      <w:marBottom w:val="0"/>
      <w:divBdr>
        <w:top w:val="none" w:sz="0" w:space="0" w:color="auto"/>
        <w:left w:val="none" w:sz="0" w:space="0" w:color="auto"/>
        <w:bottom w:val="none" w:sz="0" w:space="0" w:color="auto"/>
        <w:right w:val="none" w:sz="0" w:space="0" w:color="auto"/>
      </w:divBdr>
    </w:div>
    <w:div w:id="1437286195">
      <w:bodyDiv w:val="1"/>
      <w:marLeft w:val="0"/>
      <w:marRight w:val="0"/>
      <w:marTop w:val="0"/>
      <w:marBottom w:val="0"/>
      <w:divBdr>
        <w:top w:val="none" w:sz="0" w:space="0" w:color="auto"/>
        <w:left w:val="none" w:sz="0" w:space="0" w:color="auto"/>
        <w:bottom w:val="none" w:sz="0" w:space="0" w:color="auto"/>
        <w:right w:val="none" w:sz="0" w:space="0" w:color="auto"/>
      </w:divBdr>
    </w:div>
    <w:div w:id="1446734161">
      <w:bodyDiv w:val="1"/>
      <w:marLeft w:val="0"/>
      <w:marRight w:val="0"/>
      <w:marTop w:val="0"/>
      <w:marBottom w:val="0"/>
      <w:divBdr>
        <w:top w:val="none" w:sz="0" w:space="0" w:color="auto"/>
        <w:left w:val="none" w:sz="0" w:space="0" w:color="auto"/>
        <w:bottom w:val="none" w:sz="0" w:space="0" w:color="auto"/>
        <w:right w:val="none" w:sz="0" w:space="0" w:color="auto"/>
      </w:divBdr>
    </w:div>
    <w:div w:id="1453861107">
      <w:bodyDiv w:val="1"/>
      <w:marLeft w:val="0"/>
      <w:marRight w:val="0"/>
      <w:marTop w:val="0"/>
      <w:marBottom w:val="0"/>
      <w:divBdr>
        <w:top w:val="none" w:sz="0" w:space="0" w:color="auto"/>
        <w:left w:val="none" w:sz="0" w:space="0" w:color="auto"/>
        <w:bottom w:val="none" w:sz="0" w:space="0" w:color="auto"/>
        <w:right w:val="none" w:sz="0" w:space="0" w:color="auto"/>
      </w:divBdr>
    </w:div>
    <w:div w:id="1460296747">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490827853">
      <w:bodyDiv w:val="1"/>
      <w:marLeft w:val="0"/>
      <w:marRight w:val="0"/>
      <w:marTop w:val="0"/>
      <w:marBottom w:val="0"/>
      <w:divBdr>
        <w:top w:val="none" w:sz="0" w:space="0" w:color="auto"/>
        <w:left w:val="none" w:sz="0" w:space="0" w:color="auto"/>
        <w:bottom w:val="none" w:sz="0" w:space="0" w:color="auto"/>
        <w:right w:val="none" w:sz="0" w:space="0" w:color="auto"/>
      </w:divBdr>
    </w:div>
    <w:div w:id="1522084122">
      <w:bodyDiv w:val="1"/>
      <w:marLeft w:val="0"/>
      <w:marRight w:val="0"/>
      <w:marTop w:val="0"/>
      <w:marBottom w:val="0"/>
      <w:divBdr>
        <w:top w:val="none" w:sz="0" w:space="0" w:color="auto"/>
        <w:left w:val="none" w:sz="0" w:space="0" w:color="auto"/>
        <w:bottom w:val="none" w:sz="0" w:space="0" w:color="auto"/>
        <w:right w:val="none" w:sz="0" w:space="0" w:color="auto"/>
      </w:divBdr>
    </w:div>
    <w:div w:id="1527865676">
      <w:bodyDiv w:val="1"/>
      <w:marLeft w:val="0"/>
      <w:marRight w:val="0"/>
      <w:marTop w:val="0"/>
      <w:marBottom w:val="0"/>
      <w:divBdr>
        <w:top w:val="none" w:sz="0" w:space="0" w:color="auto"/>
        <w:left w:val="none" w:sz="0" w:space="0" w:color="auto"/>
        <w:bottom w:val="none" w:sz="0" w:space="0" w:color="auto"/>
        <w:right w:val="none" w:sz="0" w:space="0" w:color="auto"/>
      </w:divBdr>
    </w:div>
    <w:div w:id="1533956130">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76820976">
      <w:bodyDiv w:val="1"/>
      <w:marLeft w:val="0"/>
      <w:marRight w:val="0"/>
      <w:marTop w:val="0"/>
      <w:marBottom w:val="0"/>
      <w:divBdr>
        <w:top w:val="none" w:sz="0" w:space="0" w:color="auto"/>
        <w:left w:val="none" w:sz="0" w:space="0" w:color="auto"/>
        <w:bottom w:val="none" w:sz="0" w:space="0" w:color="auto"/>
        <w:right w:val="none" w:sz="0" w:space="0" w:color="auto"/>
      </w:divBdr>
    </w:div>
    <w:div w:id="1582254348">
      <w:bodyDiv w:val="1"/>
      <w:marLeft w:val="0"/>
      <w:marRight w:val="0"/>
      <w:marTop w:val="0"/>
      <w:marBottom w:val="0"/>
      <w:divBdr>
        <w:top w:val="none" w:sz="0" w:space="0" w:color="auto"/>
        <w:left w:val="none" w:sz="0" w:space="0" w:color="auto"/>
        <w:bottom w:val="none" w:sz="0" w:space="0" w:color="auto"/>
        <w:right w:val="none" w:sz="0" w:space="0" w:color="auto"/>
      </w:divBdr>
    </w:div>
    <w:div w:id="1589658296">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25037268">
      <w:bodyDiv w:val="1"/>
      <w:marLeft w:val="0"/>
      <w:marRight w:val="0"/>
      <w:marTop w:val="0"/>
      <w:marBottom w:val="0"/>
      <w:divBdr>
        <w:top w:val="none" w:sz="0" w:space="0" w:color="auto"/>
        <w:left w:val="none" w:sz="0" w:space="0" w:color="auto"/>
        <w:bottom w:val="none" w:sz="0" w:space="0" w:color="auto"/>
        <w:right w:val="none" w:sz="0" w:space="0" w:color="auto"/>
      </w:divBdr>
    </w:div>
    <w:div w:id="1658071874">
      <w:bodyDiv w:val="1"/>
      <w:marLeft w:val="0"/>
      <w:marRight w:val="0"/>
      <w:marTop w:val="0"/>
      <w:marBottom w:val="0"/>
      <w:divBdr>
        <w:top w:val="none" w:sz="0" w:space="0" w:color="auto"/>
        <w:left w:val="none" w:sz="0" w:space="0" w:color="auto"/>
        <w:bottom w:val="none" w:sz="0" w:space="0" w:color="auto"/>
        <w:right w:val="none" w:sz="0" w:space="0" w:color="auto"/>
      </w:divBdr>
    </w:div>
    <w:div w:id="1658877486">
      <w:bodyDiv w:val="1"/>
      <w:marLeft w:val="0"/>
      <w:marRight w:val="0"/>
      <w:marTop w:val="0"/>
      <w:marBottom w:val="0"/>
      <w:divBdr>
        <w:top w:val="none" w:sz="0" w:space="0" w:color="auto"/>
        <w:left w:val="none" w:sz="0" w:space="0" w:color="auto"/>
        <w:bottom w:val="none" w:sz="0" w:space="0" w:color="auto"/>
        <w:right w:val="none" w:sz="0" w:space="0" w:color="auto"/>
      </w:divBdr>
    </w:div>
    <w:div w:id="1659963578">
      <w:bodyDiv w:val="1"/>
      <w:marLeft w:val="0"/>
      <w:marRight w:val="0"/>
      <w:marTop w:val="0"/>
      <w:marBottom w:val="0"/>
      <w:divBdr>
        <w:top w:val="none" w:sz="0" w:space="0" w:color="auto"/>
        <w:left w:val="none" w:sz="0" w:space="0" w:color="auto"/>
        <w:bottom w:val="none" w:sz="0" w:space="0" w:color="auto"/>
        <w:right w:val="none" w:sz="0" w:space="0" w:color="auto"/>
      </w:divBdr>
    </w:div>
    <w:div w:id="1686397724">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692489300">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729380875">
      <w:bodyDiv w:val="1"/>
      <w:marLeft w:val="0"/>
      <w:marRight w:val="0"/>
      <w:marTop w:val="0"/>
      <w:marBottom w:val="0"/>
      <w:divBdr>
        <w:top w:val="none" w:sz="0" w:space="0" w:color="auto"/>
        <w:left w:val="none" w:sz="0" w:space="0" w:color="auto"/>
        <w:bottom w:val="none" w:sz="0" w:space="0" w:color="auto"/>
        <w:right w:val="none" w:sz="0" w:space="0" w:color="auto"/>
      </w:divBdr>
    </w:div>
    <w:div w:id="1739134749">
      <w:bodyDiv w:val="1"/>
      <w:marLeft w:val="0"/>
      <w:marRight w:val="0"/>
      <w:marTop w:val="0"/>
      <w:marBottom w:val="0"/>
      <w:divBdr>
        <w:top w:val="none" w:sz="0" w:space="0" w:color="auto"/>
        <w:left w:val="none" w:sz="0" w:space="0" w:color="auto"/>
        <w:bottom w:val="none" w:sz="0" w:space="0" w:color="auto"/>
        <w:right w:val="none" w:sz="0" w:space="0" w:color="auto"/>
      </w:divBdr>
    </w:div>
    <w:div w:id="1745370893">
      <w:bodyDiv w:val="1"/>
      <w:marLeft w:val="0"/>
      <w:marRight w:val="0"/>
      <w:marTop w:val="0"/>
      <w:marBottom w:val="0"/>
      <w:divBdr>
        <w:top w:val="none" w:sz="0" w:space="0" w:color="auto"/>
        <w:left w:val="none" w:sz="0" w:space="0" w:color="auto"/>
        <w:bottom w:val="none" w:sz="0" w:space="0" w:color="auto"/>
        <w:right w:val="none" w:sz="0" w:space="0" w:color="auto"/>
      </w:divBdr>
    </w:div>
    <w:div w:id="1746604624">
      <w:bodyDiv w:val="1"/>
      <w:marLeft w:val="0"/>
      <w:marRight w:val="0"/>
      <w:marTop w:val="0"/>
      <w:marBottom w:val="0"/>
      <w:divBdr>
        <w:top w:val="none" w:sz="0" w:space="0" w:color="auto"/>
        <w:left w:val="none" w:sz="0" w:space="0" w:color="auto"/>
        <w:bottom w:val="none" w:sz="0" w:space="0" w:color="auto"/>
        <w:right w:val="none" w:sz="0" w:space="0" w:color="auto"/>
      </w:divBdr>
    </w:div>
    <w:div w:id="1748502506">
      <w:bodyDiv w:val="1"/>
      <w:marLeft w:val="0"/>
      <w:marRight w:val="0"/>
      <w:marTop w:val="0"/>
      <w:marBottom w:val="0"/>
      <w:divBdr>
        <w:top w:val="none" w:sz="0" w:space="0" w:color="auto"/>
        <w:left w:val="none" w:sz="0" w:space="0" w:color="auto"/>
        <w:bottom w:val="none" w:sz="0" w:space="0" w:color="auto"/>
        <w:right w:val="none" w:sz="0" w:space="0" w:color="auto"/>
      </w:divBdr>
    </w:div>
    <w:div w:id="1749842647">
      <w:bodyDiv w:val="1"/>
      <w:marLeft w:val="0"/>
      <w:marRight w:val="0"/>
      <w:marTop w:val="0"/>
      <w:marBottom w:val="0"/>
      <w:divBdr>
        <w:top w:val="none" w:sz="0" w:space="0" w:color="auto"/>
        <w:left w:val="none" w:sz="0" w:space="0" w:color="auto"/>
        <w:bottom w:val="none" w:sz="0" w:space="0" w:color="auto"/>
        <w:right w:val="none" w:sz="0" w:space="0" w:color="auto"/>
      </w:divBdr>
    </w:div>
    <w:div w:id="1764833848">
      <w:bodyDiv w:val="1"/>
      <w:marLeft w:val="0"/>
      <w:marRight w:val="0"/>
      <w:marTop w:val="0"/>
      <w:marBottom w:val="0"/>
      <w:divBdr>
        <w:top w:val="none" w:sz="0" w:space="0" w:color="auto"/>
        <w:left w:val="none" w:sz="0" w:space="0" w:color="auto"/>
        <w:bottom w:val="none" w:sz="0" w:space="0" w:color="auto"/>
        <w:right w:val="none" w:sz="0" w:space="0" w:color="auto"/>
      </w:divBdr>
    </w:div>
    <w:div w:id="1778452699">
      <w:bodyDiv w:val="1"/>
      <w:marLeft w:val="0"/>
      <w:marRight w:val="0"/>
      <w:marTop w:val="0"/>
      <w:marBottom w:val="0"/>
      <w:divBdr>
        <w:top w:val="none" w:sz="0" w:space="0" w:color="auto"/>
        <w:left w:val="none" w:sz="0" w:space="0" w:color="auto"/>
        <w:bottom w:val="none" w:sz="0" w:space="0" w:color="auto"/>
        <w:right w:val="none" w:sz="0" w:space="0" w:color="auto"/>
      </w:divBdr>
    </w:div>
    <w:div w:id="1780762138">
      <w:bodyDiv w:val="1"/>
      <w:marLeft w:val="0"/>
      <w:marRight w:val="0"/>
      <w:marTop w:val="0"/>
      <w:marBottom w:val="0"/>
      <w:divBdr>
        <w:top w:val="none" w:sz="0" w:space="0" w:color="auto"/>
        <w:left w:val="none" w:sz="0" w:space="0" w:color="auto"/>
        <w:bottom w:val="none" w:sz="0" w:space="0" w:color="auto"/>
        <w:right w:val="none" w:sz="0" w:space="0" w:color="auto"/>
      </w:divBdr>
    </w:div>
    <w:div w:id="1794907974">
      <w:bodyDiv w:val="1"/>
      <w:marLeft w:val="0"/>
      <w:marRight w:val="0"/>
      <w:marTop w:val="0"/>
      <w:marBottom w:val="0"/>
      <w:divBdr>
        <w:top w:val="none" w:sz="0" w:space="0" w:color="auto"/>
        <w:left w:val="none" w:sz="0" w:space="0" w:color="auto"/>
        <w:bottom w:val="none" w:sz="0" w:space="0" w:color="auto"/>
        <w:right w:val="none" w:sz="0" w:space="0" w:color="auto"/>
      </w:divBdr>
    </w:div>
    <w:div w:id="1820226101">
      <w:bodyDiv w:val="1"/>
      <w:marLeft w:val="0"/>
      <w:marRight w:val="0"/>
      <w:marTop w:val="0"/>
      <w:marBottom w:val="0"/>
      <w:divBdr>
        <w:top w:val="none" w:sz="0" w:space="0" w:color="auto"/>
        <w:left w:val="none" w:sz="0" w:space="0" w:color="auto"/>
        <w:bottom w:val="none" w:sz="0" w:space="0" w:color="auto"/>
        <w:right w:val="none" w:sz="0" w:space="0" w:color="auto"/>
      </w:divBdr>
    </w:div>
    <w:div w:id="1846168059">
      <w:bodyDiv w:val="1"/>
      <w:marLeft w:val="0"/>
      <w:marRight w:val="0"/>
      <w:marTop w:val="0"/>
      <w:marBottom w:val="0"/>
      <w:divBdr>
        <w:top w:val="none" w:sz="0" w:space="0" w:color="auto"/>
        <w:left w:val="none" w:sz="0" w:space="0" w:color="auto"/>
        <w:bottom w:val="none" w:sz="0" w:space="0" w:color="auto"/>
        <w:right w:val="none" w:sz="0" w:space="0" w:color="auto"/>
      </w:divBdr>
    </w:div>
    <w:div w:id="1848321130">
      <w:bodyDiv w:val="1"/>
      <w:marLeft w:val="0"/>
      <w:marRight w:val="0"/>
      <w:marTop w:val="0"/>
      <w:marBottom w:val="0"/>
      <w:divBdr>
        <w:top w:val="none" w:sz="0" w:space="0" w:color="auto"/>
        <w:left w:val="none" w:sz="0" w:space="0" w:color="auto"/>
        <w:bottom w:val="none" w:sz="0" w:space="0" w:color="auto"/>
        <w:right w:val="none" w:sz="0" w:space="0" w:color="auto"/>
      </w:divBdr>
    </w:div>
    <w:div w:id="1848325018">
      <w:bodyDiv w:val="1"/>
      <w:marLeft w:val="0"/>
      <w:marRight w:val="0"/>
      <w:marTop w:val="0"/>
      <w:marBottom w:val="0"/>
      <w:divBdr>
        <w:top w:val="none" w:sz="0" w:space="0" w:color="auto"/>
        <w:left w:val="none" w:sz="0" w:space="0" w:color="auto"/>
        <w:bottom w:val="none" w:sz="0" w:space="0" w:color="auto"/>
        <w:right w:val="none" w:sz="0" w:space="0" w:color="auto"/>
      </w:divBdr>
    </w:div>
    <w:div w:id="1849441160">
      <w:bodyDiv w:val="1"/>
      <w:marLeft w:val="0"/>
      <w:marRight w:val="0"/>
      <w:marTop w:val="0"/>
      <w:marBottom w:val="0"/>
      <w:divBdr>
        <w:top w:val="none" w:sz="0" w:space="0" w:color="auto"/>
        <w:left w:val="none" w:sz="0" w:space="0" w:color="auto"/>
        <w:bottom w:val="none" w:sz="0" w:space="0" w:color="auto"/>
        <w:right w:val="none" w:sz="0" w:space="0" w:color="auto"/>
      </w:divBdr>
    </w:div>
    <w:div w:id="1859536233">
      <w:bodyDiv w:val="1"/>
      <w:marLeft w:val="0"/>
      <w:marRight w:val="0"/>
      <w:marTop w:val="0"/>
      <w:marBottom w:val="0"/>
      <w:divBdr>
        <w:top w:val="none" w:sz="0" w:space="0" w:color="auto"/>
        <w:left w:val="none" w:sz="0" w:space="0" w:color="auto"/>
        <w:bottom w:val="none" w:sz="0" w:space="0" w:color="auto"/>
        <w:right w:val="none" w:sz="0" w:space="0" w:color="auto"/>
      </w:divBdr>
    </w:div>
    <w:div w:id="1871989421">
      <w:bodyDiv w:val="1"/>
      <w:marLeft w:val="0"/>
      <w:marRight w:val="0"/>
      <w:marTop w:val="0"/>
      <w:marBottom w:val="0"/>
      <w:divBdr>
        <w:top w:val="none" w:sz="0" w:space="0" w:color="auto"/>
        <w:left w:val="none" w:sz="0" w:space="0" w:color="auto"/>
        <w:bottom w:val="none" w:sz="0" w:space="0" w:color="auto"/>
        <w:right w:val="none" w:sz="0" w:space="0" w:color="auto"/>
      </w:divBdr>
    </w:div>
    <w:div w:id="1891188774">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332807">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1934321228">
      <w:bodyDiv w:val="1"/>
      <w:marLeft w:val="0"/>
      <w:marRight w:val="0"/>
      <w:marTop w:val="0"/>
      <w:marBottom w:val="0"/>
      <w:divBdr>
        <w:top w:val="none" w:sz="0" w:space="0" w:color="auto"/>
        <w:left w:val="none" w:sz="0" w:space="0" w:color="auto"/>
        <w:bottom w:val="none" w:sz="0" w:space="0" w:color="auto"/>
        <w:right w:val="none" w:sz="0" w:space="0" w:color="auto"/>
      </w:divBdr>
    </w:div>
    <w:div w:id="1939605174">
      <w:bodyDiv w:val="1"/>
      <w:marLeft w:val="0"/>
      <w:marRight w:val="0"/>
      <w:marTop w:val="0"/>
      <w:marBottom w:val="0"/>
      <w:divBdr>
        <w:top w:val="none" w:sz="0" w:space="0" w:color="auto"/>
        <w:left w:val="none" w:sz="0" w:space="0" w:color="auto"/>
        <w:bottom w:val="none" w:sz="0" w:space="0" w:color="auto"/>
        <w:right w:val="none" w:sz="0" w:space="0" w:color="auto"/>
      </w:divBdr>
    </w:div>
    <w:div w:id="1960258180">
      <w:bodyDiv w:val="1"/>
      <w:marLeft w:val="0"/>
      <w:marRight w:val="0"/>
      <w:marTop w:val="0"/>
      <w:marBottom w:val="0"/>
      <w:divBdr>
        <w:top w:val="none" w:sz="0" w:space="0" w:color="auto"/>
        <w:left w:val="none" w:sz="0" w:space="0" w:color="auto"/>
        <w:bottom w:val="none" w:sz="0" w:space="0" w:color="auto"/>
        <w:right w:val="none" w:sz="0" w:space="0" w:color="auto"/>
      </w:divBdr>
    </w:div>
    <w:div w:id="1968507896">
      <w:bodyDiv w:val="1"/>
      <w:marLeft w:val="0"/>
      <w:marRight w:val="0"/>
      <w:marTop w:val="0"/>
      <w:marBottom w:val="0"/>
      <w:divBdr>
        <w:top w:val="none" w:sz="0" w:space="0" w:color="auto"/>
        <w:left w:val="none" w:sz="0" w:space="0" w:color="auto"/>
        <w:bottom w:val="none" w:sz="0" w:space="0" w:color="auto"/>
        <w:right w:val="none" w:sz="0" w:space="0" w:color="auto"/>
      </w:divBdr>
    </w:div>
    <w:div w:id="1975787878">
      <w:bodyDiv w:val="1"/>
      <w:marLeft w:val="0"/>
      <w:marRight w:val="0"/>
      <w:marTop w:val="0"/>
      <w:marBottom w:val="0"/>
      <w:divBdr>
        <w:top w:val="none" w:sz="0" w:space="0" w:color="auto"/>
        <w:left w:val="none" w:sz="0" w:space="0" w:color="auto"/>
        <w:bottom w:val="none" w:sz="0" w:space="0" w:color="auto"/>
        <w:right w:val="none" w:sz="0" w:space="0" w:color="auto"/>
      </w:divBdr>
    </w:div>
    <w:div w:id="1979844266">
      <w:bodyDiv w:val="1"/>
      <w:marLeft w:val="0"/>
      <w:marRight w:val="0"/>
      <w:marTop w:val="0"/>
      <w:marBottom w:val="0"/>
      <w:divBdr>
        <w:top w:val="none" w:sz="0" w:space="0" w:color="auto"/>
        <w:left w:val="none" w:sz="0" w:space="0" w:color="auto"/>
        <w:bottom w:val="none" w:sz="0" w:space="0" w:color="auto"/>
        <w:right w:val="none" w:sz="0" w:space="0" w:color="auto"/>
      </w:divBdr>
    </w:div>
    <w:div w:id="1981571296">
      <w:bodyDiv w:val="1"/>
      <w:marLeft w:val="0"/>
      <w:marRight w:val="0"/>
      <w:marTop w:val="0"/>
      <w:marBottom w:val="0"/>
      <w:divBdr>
        <w:top w:val="none" w:sz="0" w:space="0" w:color="auto"/>
        <w:left w:val="none" w:sz="0" w:space="0" w:color="auto"/>
        <w:bottom w:val="none" w:sz="0" w:space="0" w:color="auto"/>
        <w:right w:val="none" w:sz="0" w:space="0" w:color="auto"/>
      </w:divBdr>
    </w:div>
    <w:div w:id="1999261461">
      <w:bodyDiv w:val="1"/>
      <w:marLeft w:val="0"/>
      <w:marRight w:val="0"/>
      <w:marTop w:val="0"/>
      <w:marBottom w:val="0"/>
      <w:divBdr>
        <w:top w:val="none" w:sz="0" w:space="0" w:color="auto"/>
        <w:left w:val="none" w:sz="0" w:space="0" w:color="auto"/>
        <w:bottom w:val="none" w:sz="0" w:space="0" w:color="auto"/>
        <w:right w:val="none" w:sz="0" w:space="0" w:color="auto"/>
      </w:divBdr>
    </w:div>
    <w:div w:id="2015111857">
      <w:bodyDiv w:val="1"/>
      <w:marLeft w:val="0"/>
      <w:marRight w:val="0"/>
      <w:marTop w:val="0"/>
      <w:marBottom w:val="0"/>
      <w:divBdr>
        <w:top w:val="none" w:sz="0" w:space="0" w:color="auto"/>
        <w:left w:val="none" w:sz="0" w:space="0" w:color="auto"/>
        <w:bottom w:val="none" w:sz="0" w:space="0" w:color="auto"/>
        <w:right w:val="none" w:sz="0" w:space="0" w:color="auto"/>
      </w:divBdr>
    </w:div>
    <w:div w:id="2016153796">
      <w:bodyDiv w:val="1"/>
      <w:marLeft w:val="0"/>
      <w:marRight w:val="0"/>
      <w:marTop w:val="0"/>
      <w:marBottom w:val="0"/>
      <w:divBdr>
        <w:top w:val="none" w:sz="0" w:space="0" w:color="auto"/>
        <w:left w:val="none" w:sz="0" w:space="0" w:color="auto"/>
        <w:bottom w:val="none" w:sz="0" w:space="0" w:color="auto"/>
        <w:right w:val="none" w:sz="0" w:space="0" w:color="auto"/>
      </w:divBdr>
    </w:div>
    <w:div w:id="2020889414">
      <w:bodyDiv w:val="1"/>
      <w:marLeft w:val="0"/>
      <w:marRight w:val="0"/>
      <w:marTop w:val="0"/>
      <w:marBottom w:val="0"/>
      <w:divBdr>
        <w:top w:val="none" w:sz="0" w:space="0" w:color="auto"/>
        <w:left w:val="none" w:sz="0" w:space="0" w:color="auto"/>
        <w:bottom w:val="none" w:sz="0" w:space="0" w:color="auto"/>
        <w:right w:val="none" w:sz="0" w:space="0" w:color="auto"/>
      </w:divBdr>
    </w:div>
    <w:div w:id="2027822441">
      <w:bodyDiv w:val="1"/>
      <w:marLeft w:val="0"/>
      <w:marRight w:val="0"/>
      <w:marTop w:val="0"/>
      <w:marBottom w:val="0"/>
      <w:divBdr>
        <w:top w:val="none" w:sz="0" w:space="0" w:color="auto"/>
        <w:left w:val="none" w:sz="0" w:space="0" w:color="auto"/>
        <w:bottom w:val="none" w:sz="0" w:space="0" w:color="auto"/>
        <w:right w:val="none" w:sz="0" w:space="0" w:color="auto"/>
      </w:divBdr>
    </w:div>
    <w:div w:id="2039427320">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43940528">
      <w:bodyDiv w:val="1"/>
      <w:marLeft w:val="0"/>
      <w:marRight w:val="0"/>
      <w:marTop w:val="0"/>
      <w:marBottom w:val="0"/>
      <w:divBdr>
        <w:top w:val="none" w:sz="0" w:space="0" w:color="auto"/>
        <w:left w:val="none" w:sz="0" w:space="0" w:color="auto"/>
        <w:bottom w:val="none" w:sz="0" w:space="0" w:color="auto"/>
        <w:right w:val="none" w:sz="0" w:space="0" w:color="auto"/>
      </w:divBdr>
    </w:div>
    <w:div w:id="2054382388">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 w:id="2081252263">
      <w:bodyDiv w:val="1"/>
      <w:marLeft w:val="0"/>
      <w:marRight w:val="0"/>
      <w:marTop w:val="0"/>
      <w:marBottom w:val="0"/>
      <w:divBdr>
        <w:top w:val="none" w:sz="0" w:space="0" w:color="auto"/>
        <w:left w:val="none" w:sz="0" w:space="0" w:color="auto"/>
        <w:bottom w:val="none" w:sz="0" w:space="0" w:color="auto"/>
        <w:right w:val="none" w:sz="0" w:space="0" w:color="auto"/>
      </w:divBdr>
    </w:div>
    <w:div w:id="2087535672">
      <w:bodyDiv w:val="1"/>
      <w:marLeft w:val="0"/>
      <w:marRight w:val="0"/>
      <w:marTop w:val="0"/>
      <w:marBottom w:val="0"/>
      <w:divBdr>
        <w:top w:val="none" w:sz="0" w:space="0" w:color="auto"/>
        <w:left w:val="none" w:sz="0" w:space="0" w:color="auto"/>
        <w:bottom w:val="none" w:sz="0" w:space="0" w:color="auto"/>
        <w:right w:val="none" w:sz="0" w:space="0" w:color="auto"/>
      </w:divBdr>
    </w:div>
    <w:div w:id="2088574087">
      <w:bodyDiv w:val="1"/>
      <w:marLeft w:val="0"/>
      <w:marRight w:val="0"/>
      <w:marTop w:val="0"/>
      <w:marBottom w:val="0"/>
      <w:divBdr>
        <w:top w:val="none" w:sz="0" w:space="0" w:color="auto"/>
        <w:left w:val="none" w:sz="0" w:space="0" w:color="auto"/>
        <w:bottom w:val="none" w:sz="0" w:space="0" w:color="auto"/>
        <w:right w:val="none" w:sz="0" w:space="0" w:color="auto"/>
      </w:divBdr>
    </w:div>
    <w:div w:id="2105346253">
      <w:bodyDiv w:val="1"/>
      <w:marLeft w:val="0"/>
      <w:marRight w:val="0"/>
      <w:marTop w:val="0"/>
      <w:marBottom w:val="0"/>
      <w:divBdr>
        <w:top w:val="none" w:sz="0" w:space="0" w:color="auto"/>
        <w:left w:val="none" w:sz="0" w:space="0" w:color="auto"/>
        <w:bottom w:val="none" w:sz="0" w:space="0" w:color="auto"/>
        <w:right w:val="none" w:sz="0" w:space="0" w:color="auto"/>
      </w:divBdr>
    </w:div>
    <w:div w:id="2113166136">
      <w:bodyDiv w:val="1"/>
      <w:marLeft w:val="0"/>
      <w:marRight w:val="0"/>
      <w:marTop w:val="0"/>
      <w:marBottom w:val="0"/>
      <w:divBdr>
        <w:top w:val="none" w:sz="0" w:space="0" w:color="auto"/>
        <w:left w:val="none" w:sz="0" w:space="0" w:color="auto"/>
        <w:bottom w:val="none" w:sz="0" w:space="0" w:color="auto"/>
        <w:right w:val="none" w:sz="0" w:space="0" w:color="auto"/>
      </w:divBdr>
    </w:div>
    <w:div w:id="2123839010">
      <w:bodyDiv w:val="1"/>
      <w:marLeft w:val="0"/>
      <w:marRight w:val="0"/>
      <w:marTop w:val="0"/>
      <w:marBottom w:val="0"/>
      <w:divBdr>
        <w:top w:val="none" w:sz="0" w:space="0" w:color="auto"/>
        <w:left w:val="none" w:sz="0" w:space="0" w:color="auto"/>
        <w:bottom w:val="none" w:sz="0" w:space="0" w:color="auto"/>
        <w:right w:val="none" w:sz="0" w:space="0" w:color="auto"/>
      </w:divBdr>
    </w:div>
    <w:div w:id="2129011848">
      <w:bodyDiv w:val="1"/>
      <w:marLeft w:val="0"/>
      <w:marRight w:val="0"/>
      <w:marTop w:val="0"/>
      <w:marBottom w:val="0"/>
      <w:divBdr>
        <w:top w:val="none" w:sz="0" w:space="0" w:color="auto"/>
        <w:left w:val="none" w:sz="0" w:space="0" w:color="auto"/>
        <w:bottom w:val="none" w:sz="0" w:space="0" w:color="auto"/>
        <w:right w:val="none" w:sz="0" w:space="0" w:color="auto"/>
      </w:divBdr>
    </w:div>
    <w:div w:id="2131242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14905</TotalTime>
  <Pages>72</Pages>
  <Words>17857</Words>
  <Characters>123216</Characters>
  <Application>Microsoft Office Word</Application>
  <DocSecurity>0</DocSecurity>
  <Lines>2053</Lines>
  <Paragraphs>616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Kiren Mubarik</cp:lastModifiedBy>
  <cp:revision>514</cp:revision>
  <dcterms:created xsi:type="dcterms:W3CDTF">2025-06-25T08:54:00Z</dcterms:created>
  <dcterms:modified xsi:type="dcterms:W3CDTF">2025-07-23T01:14:00Z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7644b72f-0a8e-4705-8728-2ada07323137</vt:lpwstr>
  </property>
</Properties>
</file>