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79F2AE" w14:textId="77777777" w:rsidR="00170E45" w:rsidRDefault="00170E45">
      <w:pPr>
        <w:rPr>
          <w:b/>
          <w:u w:val="single"/>
        </w:rPr>
      </w:pPr>
      <w:r>
        <w:rPr>
          <w:b/>
          <w:u w:val="single"/>
        </w:rPr>
        <w:t>Student number: 1910656</w:t>
      </w:r>
    </w:p>
    <w:p w14:paraId="785FA55F" w14:textId="77777777" w:rsidR="00170E45" w:rsidRDefault="00170E45">
      <w:pPr>
        <w:rPr>
          <w:b/>
          <w:u w:val="single"/>
        </w:rPr>
      </w:pPr>
      <w:r>
        <w:rPr>
          <w:b/>
          <w:u w:val="single"/>
        </w:rPr>
        <w:t xml:space="preserve">Course: PCDA 02/19        </w:t>
      </w:r>
    </w:p>
    <w:p w14:paraId="08581524" w14:textId="77777777" w:rsidR="00D027AE" w:rsidRPr="005006A1" w:rsidRDefault="005006A1">
      <w:pPr>
        <w:rPr>
          <w:b/>
          <w:u w:val="single"/>
        </w:rPr>
      </w:pPr>
      <w:r w:rsidRPr="005006A1">
        <w:rPr>
          <w:b/>
          <w:u w:val="single"/>
        </w:rPr>
        <w:t>TASK 1.</w:t>
      </w:r>
    </w:p>
    <w:p w14:paraId="362FC1A6" w14:textId="77777777" w:rsidR="005006A1" w:rsidRPr="005006A1" w:rsidRDefault="005006A1" w:rsidP="005006A1">
      <w:pPr>
        <w:spacing w:line="360" w:lineRule="auto"/>
        <w:rPr>
          <w:b/>
          <w:sz w:val="24"/>
          <w:szCs w:val="24"/>
          <w:u w:val="single"/>
        </w:rPr>
      </w:pPr>
      <w:r w:rsidRPr="005006A1">
        <w:rPr>
          <w:b/>
          <w:sz w:val="24"/>
          <w:szCs w:val="24"/>
          <w:u w:val="single"/>
        </w:rPr>
        <w:t>Introduction</w:t>
      </w:r>
    </w:p>
    <w:p w14:paraId="6124C04A" w14:textId="77777777" w:rsidR="005006A1" w:rsidRPr="000D13C6" w:rsidRDefault="005006A1" w:rsidP="005006A1">
      <w:pPr>
        <w:spacing w:line="360" w:lineRule="auto"/>
        <w:ind w:firstLine="720"/>
        <w:rPr>
          <w:sz w:val="24"/>
          <w:szCs w:val="24"/>
        </w:rPr>
      </w:pPr>
      <w:r w:rsidRPr="000D13C6">
        <w:rPr>
          <w:sz w:val="24"/>
          <w:szCs w:val="24"/>
        </w:rPr>
        <w:t xml:space="preserve">According to Sunshine and Tyler (2003), cited by Murphy and Cherney (2012), procedural justice concerns the perceived fairness involved in decision making and the perceived treatment that a person received from the decision-maker. This is particularly important in motivating people to co-operate with authorities. Procedural Justice Increases the perceived legitimacy of authority, and that legitimacy reflects the level of confidence and trust that people have in those authorities, which promotes engagement.  This essay is going to analyse why key events, including the Brixton riots in 1981, and the murder of Stephen Lawrence in 1993, have had a damaging effect on the willingness of communities to engage with the police. It will also evaluate the role of community policing in fostering and maintaining community cohesion whilst also discussing the key principles of effective community engagement. </w:t>
      </w:r>
    </w:p>
    <w:p w14:paraId="59F1BF8E" w14:textId="77777777" w:rsidR="005006A1" w:rsidRPr="005006A1" w:rsidRDefault="005006A1" w:rsidP="005006A1">
      <w:pPr>
        <w:spacing w:line="360" w:lineRule="auto"/>
        <w:rPr>
          <w:b/>
          <w:sz w:val="24"/>
          <w:szCs w:val="24"/>
          <w:u w:val="single"/>
        </w:rPr>
      </w:pPr>
      <w:r w:rsidRPr="005006A1">
        <w:rPr>
          <w:b/>
          <w:sz w:val="24"/>
          <w:szCs w:val="24"/>
          <w:u w:val="single"/>
        </w:rPr>
        <w:t xml:space="preserve">Why key incidents and/or events have a damaging effect on the willingness of communities to engage with </w:t>
      </w:r>
      <w:proofErr w:type="gramStart"/>
      <w:r w:rsidRPr="005006A1">
        <w:rPr>
          <w:b/>
          <w:sz w:val="24"/>
          <w:szCs w:val="24"/>
          <w:u w:val="single"/>
        </w:rPr>
        <w:t>police</w:t>
      </w:r>
      <w:proofErr w:type="gramEnd"/>
      <w:r w:rsidRPr="005006A1">
        <w:rPr>
          <w:b/>
          <w:sz w:val="24"/>
          <w:szCs w:val="24"/>
          <w:u w:val="single"/>
        </w:rPr>
        <w:t xml:space="preserve"> </w:t>
      </w:r>
    </w:p>
    <w:p w14:paraId="2A4EA146" w14:textId="77777777" w:rsidR="005006A1" w:rsidRPr="000D13C6" w:rsidRDefault="005006A1" w:rsidP="005006A1">
      <w:pPr>
        <w:spacing w:line="360" w:lineRule="auto"/>
        <w:ind w:firstLine="720"/>
        <w:rPr>
          <w:sz w:val="24"/>
          <w:szCs w:val="24"/>
        </w:rPr>
      </w:pPr>
      <w:proofErr w:type="spellStart"/>
      <w:r w:rsidRPr="000D13C6">
        <w:rPr>
          <w:sz w:val="24"/>
          <w:szCs w:val="24"/>
        </w:rPr>
        <w:t>Myhill</w:t>
      </w:r>
      <w:proofErr w:type="spellEnd"/>
      <w:r w:rsidRPr="000D13C6">
        <w:rPr>
          <w:sz w:val="24"/>
          <w:szCs w:val="24"/>
        </w:rPr>
        <w:t xml:space="preserve"> (2012), explains that in 1967, forces reduced foot patrols in favour of motorised patrols. The intention was to allow officers to respond to more calls, but the opposite occurred. Police visibility continues to be important to the public. BMG research (2019) conducted research and found that 78% of respondents agree that police presence on foot in their area, is important. A link was found between regular interaction with police or having their presence locally, with satisfaction. 82% of respondents who had direct interaction at least every three months are more likely to be satisfied, compared to 62% satisfaction of those who had not had regular interaction. </w:t>
      </w:r>
    </w:p>
    <w:p w14:paraId="258DC97B" w14:textId="77777777" w:rsidR="005006A1" w:rsidRPr="000D13C6" w:rsidRDefault="005006A1" w:rsidP="005006A1">
      <w:pPr>
        <w:spacing w:line="360" w:lineRule="auto"/>
        <w:ind w:firstLine="720"/>
        <w:rPr>
          <w:sz w:val="24"/>
          <w:szCs w:val="24"/>
        </w:rPr>
      </w:pPr>
      <w:r w:rsidRPr="000D13C6">
        <w:rPr>
          <w:sz w:val="24"/>
          <w:szCs w:val="24"/>
        </w:rPr>
        <w:t xml:space="preserve">The Inquiry into the failed investigation of the murder of Stephen Lawrence resulted in the Macpherson report being published in 1999. According to Foster et al (2005), the report pointed to professional incompetence, institutional racism, and failure of leadership, which led to a lack of trust in policing from black and minority ethnic (BAME) communities. Sharp and Atherton (2007) conducted a study involving young people from BAME groups. </w:t>
      </w:r>
      <w:r w:rsidRPr="000D13C6">
        <w:rPr>
          <w:sz w:val="24"/>
          <w:szCs w:val="24"/>
        </w:rPr>
        <w:lastRenderedPageBreak/>
        <w:t xml:space="preserve">The procedural inconsistencies reported by the young people in this study, counteract the recommendations of the Macpherson report. As a result, these young people avoid contact with the police or even decline any contact at all. They will choose not to report crime and will not voluntarily provide information to police investigating serious crime. </w:t>
      </w:r>
    </w:p>
    <w:p w14:paraId="4B773F5C" w14:textId="77777777" w:rsidR="005006A1" w:rsidRPr="000D13C6" w:rsidRDefault="005006A1" w:rsidP="005006A1">
      <w:pPr>
        <w:spacing w:line="360" w:lineRule="auto"/>
        <w:ind w:firstLine="720"/>
        <w:rPr>
          <w:sz w:val="24"/>
          <w:szCs w:val="24"/>
        </w:rPr>
      </w:pPr>
      <w:r w:rsidRPr="000D13C6">
        <w:rPr>
          <w:sz w:val="24"/>
          <w:szCs w:val="24"/>
        </w:rPr>
        <w:t xml:space="preserve">According to Sharp and Atherton (2007), police were criticised for the way they exercised their stop and search powers in the eighties, particularly against the young BAME communities. This was a contributing factor to the cause of the Brixton riots in 1981.  </w:t>
      </w:r>
      <w:proofErr w:type="spellStart"/>
      <w:r w:rsidRPr="000D13C6">
        <w:rPr>
          <w:sz w:val="24"/>
          <w:szCs w:val="24"/>
        </w:rPr>
        <w:t>Myhill</w:t>
      </w:r>
      <w:proofErr w:type="spellEnd"/>
      <w:r w:rsidRPr="000D13C6">
        <w:rPr>
          <w:sz w:val="24"/>
          <w:szCs w:val="24"/>
        </w:rPr>
        <w:t xml:space="preserve"> (2012), discusses the Scarman report that was published after the Brixton riots. It highlighted the problems of community alienation in England and Wales from the process of policing. Since this report, many forces have attempted to engage communities through different forms of community policing. </w:t>
      </w:r>
    </w:p>
    <w:p w14:paraId="38C697CB" w14:textId="77777777" w:rsidR="005006A1" w:rsidRPr="005006A1" w:rsidRDefault="005006A1" w:rsidP="005006A1">
      <w:pPr>
        <w:spacing w:line="360" w:lineRule="auto"/>
        <w:rPr>
          <w:b/>
          <w:sz w:val="24"/>
          <w:szCs w:val="24"/>
          <w:u w:val="single"/>
        </w:rPr>
      </w:pPr>
      <w:r w:rsidRPr="005006A1">
        <w:rPr>
          <w:b/>
          <w:sz w:val="24"/>
          <w:szCs w:val="24"/>
          <w:u w:val="single"/>
        </w:rPr>
        <w:t xml:space="preserve">The role of community policing in fostering and maintaining community </w:t>
      </w:r>
      <w:proofErr w:type="gramStart"/>
      <w:r w:rsidRPr="005006A1">
        <w:rPr>
          <w:b/>
          <w:sz w:val="24"/>
          <w:szCs w:val="24"/>
          <w:u w:val="single"/>
        </w:rPr>
        <w:t>cohesion</w:t>
      </w:r>
      <w:proofErr w:type="gramEnd"/>
    </w:p>
    <w:p w14:paraId="35BA2BC0" w14:textId="77777777" w:rsidR="005006A1" w:rsidRPr="000D13C6" w:rsidRDefault="005006A1" w:rsidP="005006A1">
      <w:pPr>
        <w:spacing w:line="360" w:lineRule="auto"/>
        <w:ind w:firstLine="720"/>
        <w:rPr>
          <w:sz w:val="24"/>
          <w:szCs w:val="24"/>
        </w:rPr>
      </w:pPr>
      <w:r w:rsidRPr="000D13C6">
        <w:rPr>
          <w:sz w:val="24"/>
          <w:szCs w:val="24"/>
        </w:rPr>
        <w:t xml:space="preserve">According to Howden et al (2003), cited by Sharp and Atherton (2007), community policing was introduced to legitimise the police as the lead to combat law and order issues at a more local level, by engaging with communities to understand their priorities. The NPIA (2009) suggests that the most important role of community policing is to improve the trust and confidence of all sections of the community, as cohesion occurs when communities feel safe and secure, and feel that they are being treated fairly, without prejudice. The NPIA (2009) state that community cohesion enables a sense of belonging that helps people get along together in the local area. According to Cooper and Innes (2009), community cohesion emerged in 2001 after disturbances in Bradford, Burnley, and Oldham. Its focus is often ethnic and racial tensions within communities but can include other social divisions.  </w:t>
      </w:r>
    </w:p>
    <w:p w14:paraId="422D38E5" w14:textId="77777777" w:rsidR="005006A1" w:rsidRPr="000D13C6" w:rsidRDefault="005006A1" w:rsidP="005006A1">
      <w:pPr>
        <w:spacing w:line="360" w:lineRule="auto"/>
        <w:ind w:firstLine="720"/>
        <w:rPr>
          <w:sz w:val="24"/>
          <w:szCs w:val="24"/>
        </w:rPr>
      </w:pPr>
      <w:r w:rsidRPr="000D13C6">
        <w:rPr>
          <w:sz w:val="24"/>
          <w:szCs w:val="24"/>
        </w:rPr>
        <w:t>According to the institute of community cohesion (</w:t>
      </w:r>
      <w:proofErr w:type="spellStart"/>
      <w:r w:rsidRPr="000D13C6">
        <w:rPr>
          <w:sz w:val="24"/>
          <w:szCs w:val="24"/>
        </w:rPr>
        <w:t>icoco</w:t>
      </w:r>
      <w:proofErr w:type="spellEnd"/>
      <w:r w:rsidRPr="000D13C6">
        <w:rPr>
          <w:sz w:val="24"/>
          <w:szCs w:val="24"/>
        </w:rPr>
        <w:t xml:space="preserve">) (2010), tension monitoring is a police-led </w:t>
      </w:r>
      <w:proofErr w:type="gramStart"/>
      <w:r w:rsidRPr="000D13C6">
        <w:rPr>
          <w:sz w:val="24"/>
          <w:szCs w:val="24"/>
        </w:rPr>
        <w:t>activity</w:t>
      </w:r>
      <w:proofErr w:type="gramEnd"/>
      <w:r w:rsidRPr="000D13C6">
        <w:rPr>
          <w:sz w:val="24"/>
          <w:szCs w:val="24"/>
        </w:rPr>
        <w:t xml:space="preserve"> and its purpose is to inform local action. It includes the gathering of information and intelligence, getting people engaged, understanding practical signs and signals, which indicate tensions, and interventions, which include community-led approaches. The NPIA (2009) lists actions that community policing teams can take to combat these tensions and improve cohesion. These include community days, promoting inter-faith work, use of translation guidance and working with the media. </w:t>
      </w:r>
      <w:proofErr w:type="spellStart"/>
      <w:r w:rsidRPr="000D13C6">
        <w:rPr>
          <w:sz w:val="24"/>
          <w:szCs w:val="24"/>
        </w:rPr>
        <w:t>Icoco</w:t>
      </w:r>
      <w:proofErr w:type="spellEnd"/>
      <w:r w:rsidRPr="000D13C6">
        <w:rPr>
          <w:sz w:val="24"/>
          <w:szCs w:val="24"/>
        </w:rPr>
        <w:t xml:space="preserve"> (2010), state that community engagement is a means of preventing tensions from escalating. By engaging </w:t>
      </w:r>
      <w:r w:rsidRPr="000D13C6">
        <w:rPr>
          <w:sz w:val="24"/>
          <w:szCs w:val="24"/>
        </w:rPr>
        <w:lastRenderedPageBreak/>
        <w:t xml:space="preserve">and forming relationships with communities is where informal information can be collected. CREW (2015) explain some key principles to community engagement which include being realistic and avoiding raising expectations of the community. Facilitating engagement, which can include publicising an event or providing transport, and developing partnership working. </w:t>
      </w:r>
    </w:p>
    <w:p w14:paraId="5BEC825B" w14:textId="77777777" w:rsidR="005006A1" w:rsidRPr="000D13C6" w:rsidRDefault="005006A1" w:rsidP="005006A1">
      <w:pPr>
        <w:spacing w:line="360" w:lineRule="auto"/>
        <w:ind w:firstLine="720"/>
        <w:rPr>
          <w:sz w:val="24"/>
          <w:szCs w:val="24"/>
        </w:rPr>
      </w:pPr>
      <w:r w:rsidRPr="000D13C6">
        <w:rPr>
          <w:sz w:val="24"/>
          <w:szCs w:val="24"/>
        </w:rPr>
        <w:t xml:space="preserve">Bryant and Bryant (2020) state that communication and problem-solving activities between the police and their communities are key to effective community policing. They explain that concerns were raised by Her Majesty Inspectorate </w:t>
      </w:r>
      <w:proofErr w:type="gramStart"/>
      <w:r w:rsidRPr="000D13C6">
        <w:rPr>
          <w:sz w:val="24"/>
          <w:szCs w:val="24"/>
        </w:rPr>
        <w:t>Of</w:t>
      </w:r>
      <w:proofErr w:type="gramEnd"/>
      <w:r w:rsidRPr="000D13C6">
        <w:rPr>
          <w:sz w:val="24"/>
          <w:szCs w:val="24"/>
        </w:rPr>
        <w:t xml:space="preserve"> Constabulary (HMIC) that the nature of community policing was dissolving. As a result, new guidelines were developed by the College of Policing, and informed by evidence, with a revised neighbourhood policing strategy in 2018. There is evidence that these revised strategies have had a positive impact. BMG </w:t>
      </w:r>
      <w:proofErr w:type="spellStart"/>
      <w:r w:rsidRPr="000D13C6">
        <w:rPr>
          <w:sz w:val="24"/>
          <w:szCs w:val="24"/>
        </w:rPr>
        <w:t>Reasearch</w:t>
      </w:r>
      <w:proofErr w:type="spellEnd"/>
      <w:r w:rsidRPr="000D13C6">
        <w:rPr>
          <w:sz w:val="24"/>
          <w:szCs w:val="24"/>
        </w:rPr>
        <w:t xml:space="preserve"> (2019) found a significant increase in respondents who think that local police have a good reputation. This was 52% compared to 42% in 2017. There was also an increase in respondents who have been informed of what police are doing to tackle Anti-social Behaviour in the local area. This figure doubled to 22%, compared to 11% in 2017. </w:t>
      </w:r>
    </w:p>
    <w:p w14:paraId="1B51BCBF" w14:textId="77777777" w:rsidR="005006A1" w:rsidRPr="005006A1" w:rsidRDefault="005006A1" w:rsidP="005006A1">
      <w:pPr>
        <w:spacing w:line="360" w:lineRule="auto"/>
        <w:rPr>
          <w:b/>
          <w:sz w:val="24"/>
          <w:szCs w:val="24"/>
          <w:u w:val="single"/>
        </w:rPr>
      </w:pPr>
      <w:r w:rsidRPr="005006A1">
        <w:rPr>
          <w:b/>
          <w:sz w:val="24"/>
          <w:szCs w:val="24"/>
          <w:u w:val="single"/>
        </w:rPr>
        <w:t>Conclusion</w:t>
      </w:r>
    </w:p>
    <w:p w14:paraId="29C29D24" w14:textId="77777777" w:rsidR="005006A1" w:rsidRPr="000D13C6" w:rsidRDefault="005006A1" w:rsidP="005006A1">
      <w:pPr>
        <w:spacing w:line="360" w:lineRule="auto"/>
        <w:ind w:firstLine="720"/>
        <w:rPr>
          <w:sz w:val="24"/>
          <w:szCs w:val="24"/>
        </w:rPr>
      </w:pPr>
      <w:r w:rsidRPr="000D13C6">
        <w:rPr>
          <w:sz w:val="24"/>
          <w:szCs w:val="24"/>
        </w:rPr>
        <w:t xml:space="preserve">Trust and confidence in policing affect the willingness of communities to engage with police. There is a link between visible police presence and public satisfaction with the police. BMG Research (2019) found that 78% of respondents feel that foot patrols are important. The findings of the Macpherson report led to a lack of trust in policing, particularly from BAME communities. A more recent study in 2007, found that young people from BAME groups, who avoid contact with police or even decline any contact at all, perceive procedural inconsistencies. They choose not to report the </w:t>
      </w:r>
      <w:proofErr w:type="gramStart"/>
      <w:r w:rsidRPr="000D13C6">
        <w:rPr>
          <w:sz w:val="24"/>
          <w:szCs w:val="24"/>
        </w:rPr>
        <w:t>crime, and</w:t>
      </w:r>
      <w:proofErr w:type="gramEnd"/>
      <w:r w:rsidRPr="000D13C6">
        <w:rPr>
          <w:sz w:val="24"/>
          <w:szCs w:val="24"/>
        </w:rPr>
        <w:t xml:space="preserve"> will not voluntarily provide information to police investigating serious crime. The Scarman report highlighted problems of community alienation. </w:t>
      </w:r>
    </w:p>
    <w:p w14:paraId="2A1338EF" w14:textId="77777777" w:rsidR="005006A1" w:rsidRDefault="005006A1" w:rsidP="005006A1">
      <w:pPr>
        <w:spacing w:line="360" w:lineRule="auto"/>
        <w:rPr>
          <w:b/>
          <w:sz w:val="24"/>
          <w:szCs w:val="24"/>
        </w:rPr>
      </w:pPr>
      <w:r w:rsidRPr="000D13C6">
        <w:rPr>
          <w:sz w:val="24"/>
          <w:szCs w:val="24"/>
        </w:rPr>
        <w:t>Community policing was developed to legitimise policing locally through community engagement. Through engagement, informal information and intelligence are gathered, and tensions can be monitored within the local community. Community policing teams can work with the media and plan community days to foster cohesion. Communication, problem-</w:t>
      </w:r>
      <w:r w:rsidRPr="000D13C6">
        <w:rPr>
          <w:sz w:val="24"/>
          <w:szCs w:val="24"/>
        </w:rPr>
        <w:lastRenderedPageBreak/>
        <w:t xml:space="preserve">solving, facilitating engagement, and developing partnership working are all effective principles of community engagement. </w:t>
      </w:r>
      <w:r w:rsidRPr="005006A1">
        <w:rPr>
          <w:b/>
          <w:sz w:val="24"/>
          <w:szCs w:val="24"/>
        </w:rPr>
        <w:t>Word count-1051</w:t>
      </w:r>
    </w:p>
    <w:p w14:paraId="3E7BEDE9" w14:textId="77777777" w:rsidR="005006A1" w:rsidRDefault="005006A1" w:rsidP="005006A1">
      <w:pPr>
        <w:spacing w:line="360" w:lineRule="auto"/>
        <w:rPr>
          <w:b/>
          <w:sz w:val="24"/>
          <w:szCs w:val="24"/>
        </w:rPr>
      </w:pPr>
    </w:p>
    <w:p w14:paraId="3362C941" w14:textId="77777777" w:rsidR="005006A1" w:rsidRDefault="005006A1" w:rsidP="005006A1">
      <w:pPr>
        <w:spacing w:line="360" w:lineRule="auto"/>
        <w:rPr>
          <w:b/>
          <w:sz w:val="24"/>
          <w:szCs w:val="24"/>
          <w:u w:val="single"/>
        </w:rPr>
      </w:pPr>
      <w:r w:rsidRPr="005006A1">
        <w:rPr>
          <w:b/>
          <w:sz w:val="24"/>
          <w:szCs w:val="24"/>
          <w:u w:val="single"/>
        </w:rPr>
        <w:t>Task 2.</w:t>
      </w:r>
    </w:p>
    <w:p w14:paraId="6FCF92A2" w14:textId="77777777" w:rsidR="005006A1" w:rsidRDefault="005006A1" w:rsidP="005006A1">
      <w:pPr>
        <w:spacing w:line="360" w:lineRule="auto"/>
        <w:rPr>
          <w:sz w:val="24"/>
          <w:szCs w:val="24"/>
        </w:rPr>
      </w:pPr>
      <w:r>
        <w:rPr>
          <w:b/>
          <w:bCs/>
          <w:sz w:val="24"/>
          <w:szCs w:val="24"/>
          <w:u w:val="single"/>
        </w:rPr>
        <w:t xml:space="preserve">Introduction. </w:t>
      </w:r>
    </w:p>
    <w:p w14:paraId="093950C2" w14:textId="77777777" w:rsidR="005006A1" w:rsidRDefault="005006A1" w:rsidP="005006A1">
      <w:pPr>
        <w:spacing w:line="360" w:lineRule="auto"/>
        <w:ind w:firstLine="720"/>
        <w:rPr>
          <w:sz w:val="24"/>
          <w:szCs w:val="24"/>
        </w:rPr>
      </w:pPr>
      <w:r>
        <w:rPr>
          <w:sz w:val="24"/>
          <w:szCs w:val="24"/>
        </w:rPr>
        <w:t xml:space="preserve">According to the National Policing Improvements Agency (NPIA) (2008), several theories underpin the discipline of analysis. An understanding of these theories can help to anticipate where and when future offences might happen, and how and why crime and disorder can occur. Certain policing models can support this analysis. This essay will assess the strengths and weaknesses of different policing models concerning crime/victimisation and the public, including the Scanning, Analysis, Response and Assessment (SARA) and the Problem Analysis Triangle (PAT) models.  It will explore crime prevention theories initiatives and </w:t>
      </w:r>
      <w:proofErr w:type="gramStart"/>
      <w:r>
        <w:rPr>
          <w:sz w:val="24"/>
          <w:szCs w:val="24"/>
        </w:rPr>
        <w:t>strategies, and</w:t>
      </w:r>
      <w:proofErr w:type="gramEnd"/>
      <w:r>
        <w:rPr>
          <w:sz w:val="24"/>
          <w:szCs w:val="24"/>
        </w:rPr>
        <w:t xml:space="preserve"> explain and employ analytical products provided by intelligence specialists during an investigation. </w:t>
      </w:r>
    </w:p>
    <w:p w14:paraId="76DBD859" w14:textId="77777777" w:rsidR="005006A1" w:rsidRDefault="005006A1" w:rsidP="005006A1">
      <w:pPr>
        <w:spacing w:line="360" w:lineRule="auto"/>
        <w:rPr>
          <w:sz w:val="24"/>
          <w:szCs w:val="24"/>
        </w:rPr>
      </w:pPr>
      <w:r>
        <w:rPr>
          <w:b/>
          <w:bCs/>
          <w:sz w:val="24"/>
          <w:szCs w:val="24"/>
          <w:u w:val="single"/>
        </w:rPr>
        <w:t xml:space="preserve">Strengths and weaknesses of different policing models and crime prevention theories, initiates, and strategies. </w:t>
      </w:r>
    </w:p>
    <w:p w14:paraId="6B07BF2C" w14:textId="77777777" w:rsidR="005006A1" w:rsidRDefault="005006A1" w:rsidP="005006A1">
      <w:pPr>
        <w:spacing w:line="360" w:lineRule="auto"/>
        <w:ind w:firstLine="720"/>
        <w:rPr>
          <w:sz w:val="24"/>
          <w:szCs w:val="24"/>
        </w:rPr>
      </w:pPr>
      <w:r>
        <w:rPr>
          <w:sz w:val="24"/>
          <w:szCs w:val="24"/>
        </w:rPr>
        <w:t xml:space="preserve">NPIA (2008), states academic study of crime and behaviour is largely environmental. The routine activity theory (RAT), developed by Cohen and Felson in 1979, defines criminal opportunities with three required components. A person may choose to offend if they are motivated to attack a target, they have the right target to attack, and if that target lacks a guardian. This theory relates mainly to acquisitive crime. According to Farrell and Pease (2017), repeat victimisation literature, including the Flag, Boost, and Interaction (FBI) model, is based on Cohen and Felson’s ideas. Lee and </w:t>
      </w:r>
      <w:proofErr w:type="spellStart"/>
      <w:r>
        <w:rPr>
          <w:sz w:val="24"/>
          <w:szCs w:val="24"/>
        </w:rPr>
        <w:t>Soohyun</w:t>
      </w:r>
      <w:proofErr w:type="spellEnd"/>
      <w:r>
        <w:rPr>
          <w:sz w:val="24"/>
          <w:szCs w:val="24"/>
        </w:rPr>
        <w:t xml:space="preserve"> (2019), acknowledged hot spot policing </w:t>
      </w:r>
      <w:proofErr w:type="gramStart"/>
      <w:r>
        <w:rPr>
          <w:sz w:val="24"/>
          <w:szCs w:val="24"/>
        </w:rPr>
        <w:t>has</w:t>
      </w:r>
      <w:proofErr w:type="gramEnd"/>
      <w:r>
        <w:rPr>
          <w:sz w:val="24"/>
          <w:szCs w:val="24"/>
        </w:rPr>
        <w:t xml:space="preserve"> emerged as one of the most effective strategies in reducing crime at place. However, this model may lack approaches and methods that deal with hotspot forecasting. </w:t>
      </w:r>
    </w:p>
    <w:p w14:paraId="233DEA1B" w14:textId="77777777" w:rsidR="005006A1" w:rsidRDefault="005006A1" w:rsidP="005006A1">
      <w:pPr>
        <w:spacing w:line="360" w:lineRule="auto"/>
        <w:rPr>
          <w:sz w:val="24"/>
          <w:szCs w:val="24"/>
        </w:rPr>
      </w:pPr>
      <w:r>
        <w:rPr>
          <w:sz w:val="24"/>
          <w:szCs w:val="24"/>
        </w:rPr>
        <w:t xml:space="preserve">       NPIA (2008) states PAT and SARA can support analysis. PAT contains three elements, victim, offender, and location. Clarke and Eck (2003) explain the latest formulation of the triangle, which adds the outer, ‘controller’ level. The handler is the offender, the manager is the target or place, and the guardian is the victim. This outer level helps the user think </w:t>
      </w:r>
      <w:r>
        <w:rPr>
          <w:sz w:val="24"/>
          <w:szCs w:val="24"/>
        </w:rPr>
        <w:lastRenderedPageBreak/>
        <w:t>about the response. The College of Policing (CoP) (2019) states PAT helps the analytical process. The model helps to identify partners for the police, for example, a guardian for the victim could be social services, but using the model without understanding the basics of RAT, offers less flexibility.</w:t>
      </w:r>
    </w:p>
    <w:p w14:paraId="194ACFAC" w14:textId="77777777" w:rsidR="005006A1" w:rsidRDefault="005006A1" w:rsidP="005006A1">
      <w:pPr>
        <w:spacing w:line="360" w:lineRule="auto"/>
        <w:ind w:firstLine="720"/>
        <w:rPr>
          <w:sz w:val="24"/>
          <w:szCs w:val="24"/>
        </w:rPr>
      </w:pPr>
      <w:r>
        <w:rPr>
          <w:sz w:val="24"/>
          <w:szCs w:val="24"/>
        </w:rPr>
        <w:t xml:space="preserve">Bryant and Bryant (2020) explain Herman Goldstein developed the concept of Problem-orientated policing (POP), which intends to tackle community problems.  Goldstein suggested police should analyse calls and examine the underlying factors, in a more proactive, rather than reactive approach. Hinkle et al (2020) conducted a systematic review and found POP was associated with a 34% reduction in crime and disorder. The review found POP is cost-effective.  Sidebottom and Tilley (2011) explained the SARA model was developed to undertake POP. According to Bryant and Bryant (2020), the SARA model takes the PAT model a step further with assessment and review, which continually re-evaluates decisions to improve practices. The NPIA (2008) states SARA is a model used in problem-solving and can be used for all types of crime. Sidebottom and Tilley (2011) found SARA is a simplistic model, which expresses common sense, and makes POP seem uncomplicated. However, they discussed four main disadvantages to SARA, the first being that it over-simplifies the complex process that is required for POP to succeed. SARA minimises the importance of partnerships in problem-solving. SARA implies a mechanical, linear process, which does not allow for scanning and analysis to move back and forth, throughout the process. Lastly, it is thought to be too loose and flexible. Alternative models have been developed to carry out POP due to these perceived weaknesses with SARA. </w:t>
      </w:r>
    </w:p>
    <w:p w14:paraId="660DC65C" w14:textId="77777777" w:rsidR="005006A1" w:rsidRDefault="005006A1" w:rsidP="005006A1">
      <w:pPr>
        <w:spacing w:line="360" w:lineRule="auto"/>
        <w:ind w:firstLine="720"/>
        <w:rPr>
          <w:sz w:val="24"/>
          <w:szCs w:val="24"/>
        </w:rPr>
      </w:pPr>
      <w:r>
        <w:rPr>
          <w:sz w:val="24"/>
          <w:szCs w:val="24"/>
        </w:rPr>
        <w:t xml:space="preserve">Another crime prevention model is Crime Prevention Through Environmental Design (CPTED). According to Lee et al (2020), the CPTED was developed by Cozens (2015), by adding seven principles. These are defensible space, access control, territoriality, target hardening, surveillance, activity support and image. </w:t>
      </w:r>
      <w:proofErr w:type="spellStart"/>
      <w:r>
        <w:rPr>
          <w:sz w:val="24"/>
          <w:szCs w:val="24"/>
        </w:rPr>
        <w:t>Fleissner</w:t>
      </w:r>
      <w:proofErr w:type="spellEnd"/>
      <w:r>
        <w:rPr>
          <w:sz w:val="24"/>
          <w:szCs w:val="24"/>
        </w:rPr>
        <w:t xml:space="preserve"> and </w:t>
      </w:r>
      <w:proofErr w:type="spellStart"/>
      <w:r>
        <w:rPr>
          <w:sz w:val="24"/>
          <w:szCs w:val="24"/>
        </w:rPr>
        <w:t>Heinzelmann</w:t>
      </w:r>
      <w:proofErr w:type="spellEnd"/>
      <w:r>
        <w:rPr>
          <w:sz w:val="24"/>
          <w:szCs w:val="24"/>
        </w:rPr>
        <w:t xml:space="preserve"> (1996) explain due to the emphasis on a systematic analysis of crime in a particular location, CPTED directly supports community policing. When the two are combined, it can provide a comprehensive crime prevention strategy, increase public safety, and reduce fear of crime.  According to the Home Office (2016), target hardening can include making physical objects harder to break into, or making items more difficult for criminals to use, once stolen. </w:t>
      </w:r>
      <w:proofErr w:type="spellStart"/>
      <w:r>
        <w:rPr>
          <w:sz w:val="24"/>
          <w:szCs w:val="24"/>
        </w:rPr>
        <w:lastRenderedPageBreak/>
        <w:t>Fleissner</w:t>
      </w:r>
      <w:proofErr w:type="spellEnd"/>
      <w:r>
        <w:rPr>
          <w:sz w:val="24"/>
          <w:szCs w:val="24"/>
        </w:rPr>
        <w:t xml:space="preserve"> and </w:t>
      </w:r>
      <w:proofErr w:type="spellStart"/>
      <w:r>
        <w:rPr>
          <w:sz w:val="24"/>
          <w:szCs w:val="24"/>
        </w:rPr>
        <w:t>Heinzelmann</w:t>
      </w:r>
      <w:proofErr w:type="spellEnd"/>
      <w:r>
        <w:rPr>
          <w:sz w:val="24"/>
          <w:szCs w:val="24"/>
        </w:rPr>
        <w:t xml:space="preserve"> (1996) were not critical of CPTED, but they did question how best it would be to institutionalise CPTED for private developments also. </w:t>
      </w:r>
    </w:p>
    <w:p w14:paraId="397F9F33" w14:textId="77777777" w:rsidR="005006A1" w:rsidRDefault="005006A1" w:rsidP="005006A1">
      <w:pPr>
        <w:spacing w:line="360" w:lineRule="auto"/>
        <w:rPr>
          <w:sz w:val="24"/>
          <w:szCs w:val="24"/>
        </w:rPr>
      </w:pPr>
      <w:r>
        <w:rPr>
          <w:b/>
          <w:bCs/>
          <w:sz w:val="24"/>
          <w:szCs w:val="24"/>
          <w:u w:val="single"/>
        </w:rPr>
        <w:t xml:space="preserve">Analytical products provided by intelligence specialists during an investigation. </w:t>
      </w:r>
    </w:p>
    <w:p w14:paraId="700B30F4" w14:textId="77777777" w:rsidR="005006A1" w:rsidRDefault="005006A1" w:rsidP="005006A1">
      <w:pPr>
        <w:spacing w:line="360" w:lineRule="auto"/>
        <w:ind w:firstLine="720"/>
        <w:rPr>
          <w:sz w:val="24"/>
          <w:szCs w:val="24"/>
        </w:rPr>
      </w:pPr>
      <w:r>
        <w:rPr>
          <w:sz w:val="24"/>
          <w:szCs w:val="24"/>
        </w:rPr>
        <w:t xml:space="preserve">According to the United Nations Office on Drugs and Crime (UNODC) (2011), the key intelligence products are ‘deliverables’ by which intelligence-led policing is implemented. Intelligence products are the result of intelligence officers and analysts working together to turn raw information into recommendations, after analysing and interpreting the collected information.  The Home Office (2016), state of all the data in the world, 90% of it was created within the last two years, and some of this can be used to solve a crime. An example of this would be cellular phones that transmit location information, leaving a digital footprint, that could place a criminal at the scene of a crime. Data analytics is the science of identifying patterns and making sense of this data. UNODC (2011) discusses four categories of intelligence products. These are strategic assessment, tactical assessment, target profile and problem profile. The purpose of the target profile product during an investigation would be to assist in selecting targets(suspects) and guiding investigations. Examples of analytical products include network/associations reports, communications or transport reports, surveillance appraisal or a financial profile. </w:t>
      </w:r>
    </w:p>
    <w:p w14:paraId="78620124" w14:textId="77777777" w:rsidR="005006A1" w:rsidRDefault="005006A1" w:rsidP="005006A1">
      <w:pPr>
        <w:spacing w:line="360" w:lineRule="auto"/>
        <w:rPr>
          <w:sz w:val="24"/>
          <w:szCs w:val="24"/>
        </w:rPr>
      </w:pPr>
      <w:r>
        <w:rPr>
          <w:b/>
          <w:bCs/>
          <w:sz w:val="24"/>
          <w:szCs w:val="24"/>
          <w:u w:val="single"/>
        </w:rPr>
        <w:t>Conclusion.</w:t>
      </w:r>
    </w:p>
    <w:p w14:paraId="62D2AFB2" w14:textId="77777777" w:rsidR="005006A1" w:rsidRDefault="005006A1" w:rsidP="005006A1">
      <w:pPr>
        <w:spacing w:line="360" w:lineRule="auto"/>
        <w:ind w:firstLine="720"/>
        <w:rPr>
          <w:b/>
          <w:sz w:val="24"/>
          <w:szCs w:val="24"/>
        </w:rPr>
      </w:pPr>
      <w:r>
        <w:rPr>
          <w:sz w:val="24"/>
          <w:szCs w:val="24"/>
        </w:rPr>
        <w:t xml:space="preserve">RAT is a theory based on criminal opportunities and POP looks at problems in communities and underlying causes. Both are theories or concepts, which address the causes of crime and aim to reduce crime. Many models have been developed to promote these theories. The FBI model is effective at reducing crime at place but lacks approaches to deal with forecasting. PAT helps to identify problems, and partners for police, but an understanding of the basics of RAT is required to use the model to its full potential. CPTED is a model that compliments community policing to increase security and reduce the fear of crime. The disadvantage of CPTED is it is focused on public developments but not private. The SARA model appeared to attract the most criticism out of these models assessed. So much so, that other models have been developed to address the perceived weaknesses of SARA. Analytical products are the result of intelligence officers and analysts working together to turn raw information into recommendations, after analysing and interpreting </w:t>
      </w:r>
      <w:r>
        <w:rPr>
          <w:sz w:val="24"/>
          <w:szCs w:val="24"/>
        </w:rPr>
        <w:lastRenderedPageBreak/>
        <w:t xml:space="preserve">the collected information. The Home Office (2016) states 90% of all data was collected in the last two years. This data can be analysed to produce recommendations and products. Digital footprints, associations’ reports, transport reports and financial profiles are some of the products that can be produced. </w:t>
      </w:r>
      <w:r w:rsidRPr="005006A1">
        <w:rPr>
          <w:b/>
          <w:sz w:val="24"/>
          <w:szCs w:val="24"/>
        </w:rPr>
        <w:t>Word Count- 1096</w:t>
      </w:r>
    </w:p>
    <w:p w14:paraId="47AB35FA" w14:textId="77777777" w:rsidR="005006A1" w:rsidRDefault="005006A1" w:rsidP="005006A1">
      <w:pPr>
        <w:spacing w:line="360" w:lineRule="auto"/>
        <w:ind w:firstLine="720"/>
        <w:rPr>
          <w:sz w:val="24"/>
          <w:szCs w:val="24"/>
        </w:rPr>
      </w:pPr>
    </w:p>
    <w:p w14:paraId="0E428A65" w14:textId="77777777" w:rsidR="005006A1" w:rsidRDefault="005006A1" w:rsidP="005006A1">
      <w:pPr>
        <w:spacing w:line="252" w:lineRule="auto"/>
        <w:rPr>
          <w:b/>
          <w:bCs/>
          <w:sz w:val="24"/>
          <w:szCs w:val="24"/>
          <w:u w:val="single"/>
        </w:rPr>
      </w:pPr>
      <w:r w:rsidRPr="005006A1">
        <w:rPr>
          <w:b/>
          <w:bCs/>
          <w:sz w:val="24"/>
          <w:szCs w:val="24"/>
          <w:u w:val="single"/>
        </w:rPr>
        <w:t>Task 3.</w:t>
      </w:r>
    </w:p>
    <w:p w14:paraId="29C3FE9D" w14:textId="77777777" w:rsidR="005006A1" w:rsidRPr="00100CBB" w:rsidRDefault="005006A1" w:rsidP="005006A1">
      <w:pPr>
        <w:rPr>
          <w:b/>
        </w:rPr>
      </w:pPr>
      <w:r w:rsidRPr="00100CBB">
        <w:rPr>
          <w:b/>
          <w:u w:val="single"/>
        </w:rPr>
        <w:t>Introduction</w:t>
      </w:r>
    </w:p>
    <w:p w14:paraId="5F0B902B" w14:textId="77777777" w:rsidR="005006A1" w:rsidRDefault="005006A1" w:rsidP="005006A1">
      <w:pPr>
        <w:spacing w:line="360" w:lineRule="auto"/>
        <w:ind w:firstLine="720"/>
      </w:pPr>
      <w:r>
        <w:t xml:space="preserve">Operational policing includes all tools and powers the police use to tackle and prevent crime in the communities they serve. There are key issues police office face in operational policing, and this presents many challenges and complexities. This essay will focus on public perceptions, communication, public engagement, </w:t>
      </w:r>
      <w:proofErr w:type="gramStart"/>
      <w:r>
        <w:t>crowds</w:t>
      </w:r>
      <w:proofErr w:type="gramEnd"/>
      <w:r>
        <w:t xml:space="preserve"> and diversity. Diversity, according to </w:t>
      </w:r>
      <w:proofErr w:type="spellStart"/>
      <w:r>
        <w:t>Stergioulis</w:t>
      </w:r>
      <w:proofErr w:type="spellEnd"/>
      <w:r>
        <w:t xml:space="preserve"> (2018), is a fundamental principle and a driving force to integration. A major challenge in police history is integrating diversity as a key factor to police work. Dixon (2002) states police intelligence is reliant on positive communications within communities. Therefore, it is important lessons that lead to poor communication are learnt, so effective policies can be developed. This essay will review examples of operational complexities apparent in critical and major incidents. It will review how overcoming challenges can establish ‘best practice’ within a joint emergency services operation.</w:t>
      </w:r>
    </w:p>
    <w:p w14:paraId="59A6B83B" w14:textId="77777777" w:rsidR="005006A1" w:rsidRPr="00100CBB" w:rsidRDefault="005006A1" w:rsidP="005006A1">
      <w:pPr>
        <w:rPr>
          <w:b/>
          <w:u w:val="single"/>
        </w:rPr>
      </w:pPr>
      <w:r w:rsidRPr="00100CBB">
        <w:rPr>
          <w:b/>
          <w:u w:val="single"/>
        </w:rPr>
        <w:t xml:space="preserve">Key issues relating to the complexity and challenges of operational policing. </w:t>
      </w:r>
    </w:p>
    <w:p w14:paraId="6BF69DE0" w14:textId="77777777" w:rsidR="005006A1" w:rsidRDefault="005006A1" w:rsidP="005006A1">
      <w:pPr>
        <w:spacing w:line="360" w:lineRule="auto"/>
        <w:ind w:firstLine="720"/>
      </w:pPr>
      <w:r>
        <w:t xml:space="preserve">Maintaining and improving public trust and confidence in policing remains a key issue for policing. The National Policing Improvements Agency (NPIA) (2011a), states ‘policing by consent’ has relevance in policing and shows how officers can achieve their core tasks. Public perceptions are key to the confidence, trust, and legitimacy of policing. A key issue effecting public perceptions are how effective the police are at dealing with minor issues. Many people over-estimate the extent of crime by establishing their judgements on local crimes or anti-social behaviour (ASB). These are known as signal crimes and include public drinking, speeding, litter, and graffiti (Bryant &amp; Bryant, 2020). Her Majesty’s Inspectorate of Constabulary (HMIC) (2011), cited by the independent police complaint commission (IPCC) (2012), found that 78% of public respondents, thought patrolling local areas was a priority, compared to 8% who felt that investigating corruption was a priority. Corruption may not be a public </w:t>
      </w:r>
      <w:proofErr w:type="gramStart"/>
      <w:r>
        <w:t>priority,</w:t>
      </w:r>
      <w:proofErr w:type="gramEnd"/>
      <w:r>
        <w:t xml:space="preserve"> however evidence shows corruption does corrode public confidence and trust (IPCC, 2012). </w:t>
      </w:r>
    </w:p>
    <w:p w14:paraId="6F139089" w14:textId="77777777" w:rsidR="005006A1" w:rsidRDefault="005006A1" w:rsidP="005006A1">
      <w:pPr>
        <w:spacing w:line="360" w:lineRule="auto"/>
        <w:ind w:firstLine="720"/>
      </w:pPr>
      <w:r>
        <w:t xml:space="preserve">For police forces to be effective, </w:t>
      </w:r>
      <w:proofErr w:type="spellStart"/>
      <w:r>
        <w:t>its</w:t>
      </w:r>
      <w:proofErr w:type="spellEnd"/>
      <w:r>
        <w:t xml:space="preserve"> important to develop social diversity strategies. Strategies should develop co-operation within diverse communities, with the emphasis on </w:t>
      </w:r>
      <w:r>
        <w:lastRenderedPageBreak/>
        <w:t>vulnerable social groups. Strategies should improve communication and engagement and allow participation and expression of their views (</w:t>
      </w:r>
      <w:proofErr w:type="spellStart"/>
      <w:r>
        <w:t>Stergioulis</w:t>
      </w:r>
      <w:proofErr w:type="spellEnd"/>
      <w:r>
        <w:t xml:space="preserve">, 2018). </w:t>
      </w:r>
      <w:proofErr w:type="gramStart"/>
      <w:r>
        <w:t>Dixon (2002),</w:t>
      </w:r>
      <w:proofErr w:type="gramEnd"/>
      <w:r>
        <w:t xml:space="preserve"> reported that 33% of Asian, and 28% of black respondents were more concerned about racial attacks, compared to 5% white respondents. Perceived discrimination and safety issues can lead to demonstrations and riots which can prove very challenging to police. According to </w:t>
      </w:r>
      <w:proofErr w:type="spellStart"/>
      <w:r>
        <w:t>Bendersky</w:t>
      </w:r>
      <w:proofErr w:type="spellEnd"/>
      <w:r>
        <w:t xml:space="preserve"> (2017), opinions and beliefs of crowds originate from isolated and immediate factors. The laws of heredity have ensured race is an important remote determinant in a crowd’s beliefs. Le Bon (1968), cited by </w:t>
      </w:r>
      <w:proofErr w:type="spellStart"/>
      <w:r>
        <w:t>Bendersky</w:t>
      </w:r>
      <w:proofErr w:type="spellEnd"/>
      <w:r>
        <w:t xml:space="preserve"> (2017), explains that a crowd provides anonymity to an individual. This can cause the person to lose fear of consequences and moral responsibility, unable to restrain certain instincts and feel temporarily invincible. The NSPCC (2020) explain Internal reforms to police recruitment system and organisational culture have been made to reflect diversity. Police forces now need to develop a proactive approach in understanding community needs. </w:t>
      </w:r>
      <w:proofErr w:type="spellStart"/>
      <w:r>
        <w:t>Guss</w:t>
      </w:r>
      <w:proofErr w:type="spellEnd"/>
      <w:r>
        <w:t xml:space="preserve"> </w:t>
      </w:r>
      <w:r w:rsidRPr="00C81423">
        <w:rPr>
          <w:i/>
        </w:rPr>
        <w:t>et al</w:t>
      </w:r>
      <w:r>
        <w:t xml:space="preserve"> (2017), discusses Maslow’s Hierarchy of needs theory and suggests a person has five basic needs. These act as motivating forces in their life </w:t>
      </w:r>
      <w:proofErr w:type="gramStart"/>
      <w:r>
        <w:t>i.e.</w:t>
      </w:r>
      <w:proofErr w:type="gramEnd"/>
      <w:r>
        <w:t xml:space="preserve"> safety, belonging, and self-esteem, to allow full potential. Maslow (1970), cited by </w:t>
      </w:r>
      <w:proofErr w:type="spellStart"/>
      <w:r>
        <w:t>Mcleod</w:t>
      </w:r>
      <w:proofErr w:type="spellEnd"/>
      <w:r>
        <w:t xml:space="preserve"> (2020), found people reaching their full potential are more likely to have strong ethical standards, democratic attitudes and tolerate uncertainty. This could be helpful in allowing certain communities to feel safer, more valued and improve engagement. </w:t>
      </w:r>
    </w:p>
    <w:p w14:paraId="5C9CC2D7" w14:textId="77777777" w:rsidR="005006A1" w:rsidRPr="00457C3A" w:rsidRDefault="005006A1" w:rsidP="005006A1">
      <w:pPr>
        <w:rPr>
          <w:b/>
          <w:u w:val="single"/>
        </w:rPr>
      </w:pPr>
      <w:r w:rsidRPr="00457C3A">
        <w:rPr>
          <w:b/>
          <w:u w:val="single"/>
        </w:rPr>
        <w:t xml:space="preserve">Examples of critical and major incidents </w:t>
      </w:r>
    </w:p>
    <w:p w14:paraId="04EBA1AD" w14:textId="77777777" w:rsidR="005006A1" w:rsidRPr="00FB52EA" w:rsidRDefault="005006A1" w:rsidP="005006A1">
      <w:pPr>
        <w:spacing w:line="360" w:lineRule="auto"/>
        <w:ind w:firstLine="720"/>
        <w:rPr>
          <w:u w:val="single"/>
        </w:rPr>
      </w:pPr>
      <w:r>
        <w:t xml:space="preserve">There are critical and major incidences where these challenges of operational policing have been apparent. The IPCC (2011) reported on the case of Fiona Pilkington, who killed herself and her disabled daughter. The police were found to ineffectively deal with a history of ASB issues, which affected the confidence of the victim, her family, and the community. There was also lack of effective inter-agency communication and involvement to safeguard Fiona and her family i.e., council and health services (IPCC, 2011). According to the NPIA (2011b), a critical incident can affect the confidence of a victim and/or community, according to the effectiveness of the police response.  They explain an early pro-active response to potential critical incidents, has shown to help prevent a loss of confidence by the public. </w:t>
      </w:r>
    </w:p>
    <w:p w14:paraId="5EA62F14" w14:textId="77777777" w:rsidR="005006A1" w:rsidRDefault="005006A1" w:rsidP="005006A1">
      <w:pPr>
        <w:spacing w:line="360" w:lineRule="auto"/>
        <w:ind w:firstLine="720"/>
      </w:pPr>
      <w:r>
        <w:t xml:space="preserve">According to Bryant and Bryant (2020), a major incident is an emergency that involves one or more emergency services. Section 1 of the Civil contingencies Act, 2004, defines an emergency as ‘an event or situation which threatens serious damage to human welfare’. An example is the London bombings on the 7th of </w:t>
      </w:r>
      <w:proofErr w:type="gramStart"/>
      <w:r>
        <w:t>July,</w:t>
      </w:r>
      <w:proofErr w:type="gramEnd"/>
      <w:r>
        <w:t xml:space="preserve"> 2005. Evidence relating to this incident, revealed failings in communications and basic misunderstandings between the emergency services, as to their roles. There was a lack of information sharing between emergency services and their control rooms (Pollock, 2013).</w:t>
      </w:r>
    </w:p>
    <w:p w14:paraId="28690C2D" w14:textId="77777777" w:rsidR="005006A1" w:rsidRPr="00457C3A" w:rsidRDefault="005006A1" w:rsidP="005006A1">
      <w:pPr>
        <w:rPr>
          <w:b/>
        </w:rPr>
      </w:pPr>
      <w:r w:rsidRPr="00457C3A">
        <w:rPr>
          <w:b/>
          <w:u w:val="single"/>
        </w:rPr>
        <w:lastRenderedPageBreak/>
        <w:t>Role of the police in a joint emergency services operation</w:t>
      </w:r>
      <w:r w:rsidRPr="00457C3A">
        <w:rPr>
          <w:b/>
        </w:rPr>
        <w:t xml:space="preserve">. </w:t>
      </w:r>
    </w:p>
    <w:p w14:paraId="6104E221" w14:textId="77777777" w:rsidR="005006A1" w:rsidRDefault="005006A1" w:rsidP="005006A1">
      <w:pPr>
        <w:spacing w:line="360" w:lineRule="auto"/>
        <w:ind w:firstLine="720"/>
      </w:pPr>
      <w:r>
        <w:t xml:space="preserve">Therefore, understanding the role of joint emergency services is important in incidences of operational policing and public perceptions and engagement. Phillips (2017) explained the Joint Emergency Services Interoperability Programme (JESIP) was established in 2012 and set out 5 principles. These are to co-locate, communicate in simple language, agree the lead service, identifying and sharing risks and sharing situation awareness by using established models. JESIP (2020) states that METHANE is the model now used for passing information between control rooms to improve situational awareness. The London Emergency Services </w:t>
      </w:r>
      <w:proofErr w:type="spellStart"/>
      <w:r>
        <w:t>Liason</w:t>
      </w:r>
      <w:proofErr w:type="spellEnd"/>
      <w:r>
        <w:t xml:space="preserve"> Panel (LESLP) (2019) lists the responsibilities of the police in a major incident. These are to save lives, the co-ordination of emergency services and other agencies, secure and protect the scene, carry out any investigations, collecting and sharing casualty information, identifying the deceased, and restoring normality once all required actions have been taken. </w:t>
      </w:r>
    </w:p>
    <w:p w14:paraId="1363E648" w14:textId="77777777" w:rsidR="005006A1" w:rsidRPr="00457C3A" w:rsidRDefault="005006A1" w:rsidP="005006A1">
      <w:pPr>
        <w:rPr>
          <w:b/>
          <w:u w:val="single"/>
        </w:rPr>
      </w:pPr>
      <w:r w:rsidRPr="00457C3A">
        <w:rPr>
          <w:b/>
          <w:u w:val="single"/>
        </w:rPr>
        <w:t>Conclusion.</w:t>
      </w:r>
    </w:p>
    <w:p w14:paraId="7A8606E9" w14:textId="77777777" w:rsidR="005006A1" w:rsidRDefault="005006A1" w:rsidP="005006A1">
      <w:pPr>
        <w:spacing w:line="360" w:lineRule="auto"/>
        <w:ind w:firstLine="720"/>
        <w:rPr>
          <w:b/>
        </w:rPr>
      </w:pPr>
      <w:r>
        <w:t xml:space="preserve">Public perceptions are key to improve the confidence and trust in operational policing and achieving policing by consent. Today, our society is diverse, and these communities can be more fearful of crime. Integrating diversity and improving community engagement into police work is vital to providing an effective and efficient public service. Critical incidents can harm this by damaging the confidence of communities. Seeing how police respond, and deal with signal crimes can affect people’s perceptions of safety. A pro-active response, improving community engagement and communication, with joint emergency services operations has shown to be best practise and help prevent a loss in confidence. Maslow’s Hierarchy of needs theory identifies the needs of a person to achieve their full potential and become more likely to be cooperative if they feel safe. Shortly after Fiona </w:t>
      </w:r>
      <w:proofErr w:type="spellStart"/>
      <w:r>
        <w:t>Pilkingtons</w:t>
      </w:r>
      <w:proofErr w:type="spellEnd"/>
      <w:r>
        <w:t xml:space="preserve"> death, The Equality Act (2010) stated that discrimination against protected characteristics i.e., disability, race, religion became a law. This has become fundamental in operational policing and further research to understanding if this has improved local community policing and public confidence would be useful. </w:t>
      </w:r>
      <w:r w:rsidRPr="005006A1">
        <w:rPr>
          <w:b/>
        </w:rPr>
        <w:t>Word count-1100.</w:t>
      </w:r>
    </w:p>
    <w:p w14:paraId="02C3FFAD" w14:textId="77777777" w:rsidR="005006A1" w:rsidRDefault="005006A1" w:rsidP="005006A1">
      <w:pPr>
        <w:spacing w:line="360" w:lineRule="auto"/>
        <w:rPr>
          <w:b/>
          <w:u w:val="single"/>
        </w:rPr>
      </w:pPr>
      <w:r w:rsidRPr="005006A1">
        <w:rPr>
          <w:b/>
          <w:u w:val="single"/>
        </w:rPr>
        <w:t>Task 4.</w:t>
      </w:r>
    </w:p>
    <w:p w14:paraId="34343A09" w14:textId="77777777" w:rsidR="00225BFE" w:rsidRPr="00002749" w:rsidRDefault="00225BFE" w:rsidP="00225BFE">
      <w:pPr>
        <w:spacing w:line="360" w:lineRule="auto"/>
        <w:rPr>
          <w:rFonts w:cstheme="minorHAnsi"/>
          <w:b/>
          <w:bCs/>
          <w:sz w:val="24"/>
          <w:szCs w:val="24"/>
          <w:u w:val="single"/>
        </w:rPr>
      </w:pPr>
      <w:r w:rsidRPr="00002749">
        <w:rPr>
          <w:rFonts w:ascii="Calibri" w:hAnsi="Calibri" w:cs="Calibri"/>
          <w:b/>
          <w:bCs/>
          <w:sz w:val="24"/>
          <w:szCs w:val="24"/>
          <w:u w:val="single"/>
        </w:rPr>
        <w:t>Int</w:t>
      </w:r>
      <w:r w:rsidRPr="00002749">
        <w:rPr>
          <w:rFonts w:cstheme="minorHAnsi"/>
          <w:b/>
          <w:bCs/>
          <w:sz w:val="24"/>
          <w:szCs w:val="24"/>
          <w:u w:val="single"/>
        </w:rPr>
        <w:t>roduction</w:t>
      </w:r>
    </w:p>
    <w:p w14:paraId="52A328DD" w14:textId="77777777" w:rsidR="00225BFE" w:rsidRPr="00002749" w:rsidRDefault="00225BFE" w:rsidP="00225BFE">
      <w:pPr>
        <w:spacing w:line="360" w:lineRule="auto"/>
        <w:rPr>
          <w:rFonts w:cstheme="minorHAnsi"/>
          <w:sz w:val="24"/>
          <w:szCs w:val="24"/>
        </w:rPr>
      </w:pPr>
    </w:p>
    <w:p w14:paraId="58637C9A" w14:textId="77777777" w:rsidR="00225BFE" w:rsidRPr="00002749" w:rsidRDefault="00225BFE" w:rsidP="00225BFE">
      <w:pPr>
        <w:spacing w:line="360" w:lineRule="auto"/>
        <w:rPr>
          <w:rFonts w:cstheme="minorHAnsi"/>
          <w:sz w:val="24"/>
          <w:szCs w:val="24"/>
        </w:rPr>
      </w:pPr>
      <w:r w:rsidRPr="00002749">
        <w:rPr>
          <w:rFonts w:cstheme="minorHAnsi"/>
          <w:sz w:val="24"/>
          <w:szCs w:val="24"/>
        </w:rPr>
        <w:t xml:space="preserve">        According to the United Nations Office on Drugs and Crime (UNDOC) (2018), terrorism involves crimes to intimidate a population or compel a government or international organisation to achieve a political or social objective. The Centre for the Protection of </w:t>
      </w:r>
      <w:r w:rsidRPr="00002749">
        <w:rPr>
          <w:rFonts w:cstheme="minorHAnsi"/>
          <w:sz w:val="24"/>
          <w:szCs w:val="24"/>
        </w:rPr>
        <w:lastRenderedPageBreak/>
        <w:t xml:space="preserve">National Infrastructure (CPNI) (2021) states that UK-based Islamist extremists support terrorism by fundraising for terror networks, often through criminal activity, radicalising individuals, and helping them to travel abroad to join terrorist groups. Shelley (2014) explains that corruption is a major factor that aids the success of these organisations. This essay is going to analyse the potential links between terrorism and other forms of criminality, such as corruption, bribery, money laundering, fraud, and identity theft. It will also discuss how policing the roads assist in counter-terrorism investigations. </w:t>
      </w:r>
    </w:p>
    <w:p w14:paraId="7BB0035F" w14:textId="77777777" w:rsidR="00225BFE" w:rsidRPr="00002749" w:rsidRDefault="00225BFE" w:rsidP="00225BFE">
      <w:pPr>
        <w:spacing w:line="360" w:lineRule="auto"/>
        <w:rPr>
          <w:rFonts w:cstheme="minorHAnsi"/>
          <w:sz w:val="24"/>
          <w:szCs w:val="24"/>
        </w:rPr>
      </w:pPr>
    </w:p>
    <w:p w14:paraId="2A7E5524" w14:textId="77777777" w:rsidR="00225BFE" w:rsidRPr="00002749" w:rsidRDefault="00225BFE" w:rsidP="00225BFE">
      <w:pPr>
        <w:spacing w:line="360" w:lineRule="auto"/>
        <w:rPr>
          <w:rFonts w:cstheme="minorHAnsi"/>
          <w:b/>
          <w:bCs/>
          <w:sz w:val="24"/>
          <w:szCs w:val="24"/>
          <w:u w:val="single"/>
        </w:rPr>
      </w:pPr>
      <w:r w:rsidRPr="00002749">
        <w:rPr>
          <w:rFonts w:cstheme="minorHAnsi"/>
          <w:b/>
          <w:bCs/>
          <w:sz w:val="24"/>
          <w:szCs w:val="24"/>
          <w:u w:val="single"/>
        </w:rPr>
        <w:t>Potential links between terrorism and other forms of criminality</w:t>
      </w:r>
    </w:p>
    <w:p w14:paraId="4B9502D8" w14:textId="77777777" w:rsidR="00225BFE" w:rsidRPr="00002749" w:rsidRDefault="00225BFE" w:rsidP="00225BFE">
      <w:pPr>
        <w:spacing w:line="360" w:lineRule="auto"/>
        <w:rPr>
          <w:rFonts w:cstheme="minorHAnsi"/>
          <w:sz w:val="24"/>
          <w:szCs w:val="24"/>
        </w:rPr>
      </w:pPr>
    </w:p>
    <w:p w14:paraId="2E9AFE39" w14:textId="77777777" w:rsidR="00225BFE" w:rsidRPr="00002749" w:rsidRDefault="00225BFE" w:rsidP="00225BFE">
      <w:pPr>
        <w:spacing w:line="360" w:lineRule="auto"/>
        <w:ind w:firstLine="720"/>
        <w:rPr>
          <w:rFonts w:cstheme="minorHAnsi"/>
          <w:sz w:val="24"/>
          <w:szCs w:val="24"/>
        </w:rPr>
      </w:pPr>
      <w:r w:rsidRPr="00002749">
        <w:rPr>
          <w:rFonts w:cstheme="minorHAnsi"/>
          <w:sz w:val="24"/>
          <w:szCs w:val="24"/>
        </w:rPr>
        <w:t xml:space="preserve">According to the Organisation for Economic Co-operation and Development (OECD) (2017), corruption is the ‘enabling technology’ that makes many terrorist crimes possible. A development within terrorism has been the insider threat. An insider threat is defined as </w:t>
      </w:r>
      <w:r>
        <w:rPr>
          <w:rFonts w:cstheme="minorHAnsi"/>
          <w:sz w:val="24"/>
          <w:szCs w:val="24"/>
        </w:rPr>
        <w:t xml:space="preserve">a </w:t>
      </w:r>
      <w:r w:rsidRPr="00002749">
        <w:rPr>
          <w:rFonts w:cstheme="minorHAnsi"/>
          <w:sz w:val="24"/>
          <w:szCs w:val="24"/>
        </w:rPr>
        <w:t>pe</w:t>
      </w:r>
      <w:r>
        <w:rPr>
          <w:rFonts w:cstheme="minorHAnsi"/>
          <w:sz w:val="24"/>
          <w:szCs w:val="24"/>
        </w:rPr>
        <w:t>rson who has authorised access</w:t>
      </w:r>
      <w:r w:rsidRPr="00002749">
        <w:rPr>
          <w:rFonts w:cstheme="minorHAnsi"/>
          <w:sz w:val="24"/>
          <w:szCs w:val="24"/>
        </w:rPr>
        <w:t xml:space="preserve"> to a </w:t>
      </w:r>
      <w:proofErr w:type="gramStart"/>
      <w:r w:rsidRPr="00002749">
        <w:rPr>
          <w:rFonts w:cstheme="minorHAnsi"/>
          <w:sz w:val="24"/>
          <w:szCs w:val="24"/>
        </w:rPr>
        <w:t>system</w:t>
      </w:r>
      <w:r>
        <w:rPr>
          <w:rFonts w:cstheme="minorHAnsi"/>
          <w:sz w:val="24"/>
          <w:szCs w:val="24"/>
        </w:rPr>
        <w:t>,</w:t>
      </w:r>
      <w:r w:rsidRPr="00002749">
        <w:rPr>
          <w:rFonts w:cstheme="minorHAnsi"/>
          <w:sz w:val="24"/>
          <w:szCs w:val="24"/>
        </w:rPr>
        <w:t xml:space="preserve"> but</w:t>
      </w:r>
      <w:proofErr w:type="gramEnd"/>
      <w:r w:rsidRPr="00002749">
        <w:rPr>
          <w:rFonts w:cstheme="minorHAnsi"/>
          <w:sz w:val="24"/>
          <w:szCs w:val="24"/>
        </w:rPr>
        <w:t xml:space="preserve"> manipulates that access and exploits the system (Einwechter (2002), cited by Schultz (2002)). Her Majesty’s Inspectorate of Constabulary and Fire and Rescue Service (HMICFRS) (2020a), explain that section 26 of the Counterterrorism and Security Act 2015</w:t>
      </w:r>
      <w:r>
        <w:rPr>
          <w:rFonts w:cstheme="minorHAnsi"/>
          <w:sz w:val="24"/>
          <w:szCs w:val="24"/>
        </w:rPr>
        <w:t>,</w:t>
      </w:r>
      <w:r w:rsidRPr="00002749">
        <w:rPr>
          <w:rFonts w:cstheme="minorHAnsi"/>
          <w:sz w:val="24"/>
          <w:szCs w:val="24"/>
        </w:rPr>
        <w:t xml:space="preserve"> is known as Prevent duty. This sets out police processes for managing the risk of individuals who are vulnerable to radicalisation, supported by The National Counter-Terrorism Security Office (</w:t>
      </w:r>
      <w:proofErr w:type="spellStart"/>
      <w:r w:rsidRPr="00002749">
        <w:rPr>
          <w:rFonts w:cstheme="minorHAnsi"/>
          <w:sz w:val="24"/>
          <w:szCs w:val="24"/>
        </w:rPr>
        <w:t>NaCTSO</w:t>
      </w:r>
      <w:proofErr w:type="spellEnd"/>
      <w:r w:rsidRPr="00002749">
        <w:rPr>
          <w:rFonts w:cstheme="minorHAnsi"/>
          <w:sz w:val="24"/>
          <w:szCs w:val="24"/>
        </w:rPr>
        <w:t xml:space="preserve">). The HMICFRS (2020a) found that few forces considered the possibility of their colleagues becoming radicalised. Further corruption can also include ‘pay offs’ to turn a blind eye. According to the OECD (2017), terrorists may bribe airport staff to get bombs and weapons through security, as appeared to happen in the 2004 Domodedovo airport bombings. </w:t>
      </w:r>
    </w:p>
    <w:p w14:paraId="0B179DD0" w14:textId="77777777" w:rsidR="00225BFE" w:rsidRPr="00002749" w:rsidRDefault="00225BFE" w:rsidP="00225BFE">
      <w:pPr>
        <w:spacing w:line="360" w:lineRule="auto"/>
        <w:rPr>
          <w:rFonts w:cstheme="minorHAnsi"/>
          <w:sz w:val="24"/>
          <w:szCs w:val="24"/>
        </w:rPr>
      </w:pPr>
    </w:p>
    <w:p w14:paraId="240DE485" w14:textId="77777777" w:rsidR="00225BFE" w:rsidRPr="00002749" w:rsidRDefault="00225BFE" w:rsidP="00225BFE">
      <w:pPr>
        <w:spacing w:line="360" w:lineRule="auto"/>
        <w:ind w:firstLine="720"/>
        <w:rPr>
          <w:rFonts w:cstheme="minorHAnsi"/>
          <w:sz w:val="24"/>
          <w:szCs w:val="24"/>
        </w:rPr>
      </w:pPr>
      <w:r w:rsidRPr="00002749">
        <w:rPr>
          <w:rFonts w:cstheme="minorHAnsi"/>
          <w:sz w:val="24"/>
          <w:szCs w:val="24"/>
        </w:rPr>
        <w:t xml:space="preserve">The OECD (2017) explain terrorist groups need ways to raise, hide, transfer, and spend money. A means of doing this is by illegally using companies or trusts, that are formally registered as a business, but no longer trade. The purpose of these companies is to hide the identity of the owner of the money. These companies pose a threat to national security as they make it almost impossible to track who is financing terrorism. </w:t>
      </w:r>
      <w:proofErr w:type="gramStart"/>
      <w:r w:rsidRPr="00002749">
        <w:rPr>
          <w:rFonts w:cstheme="minorHAnsi"/>
          <w:sz w:val="24"/>
          <w:szCs w:val="24"/>
        </w:rPr>
        <w:t>Shelly (2014),</w:t>
      </w:r>
      <w:proofErr w:type="gramEnd"/>
      <w:r w:rsidRPr="00002749">
        <w:rPr>
          <w:rFonts w:cstheme="minorHAnsi"/>
          <w:sz w:val="24"/>
          <w:szCs w:val="24"/>
        </w:rPr>
        <w:t xml:space="preserve"> </w:t>
      </w:r>
      <w:r w:rsidRPr="00002749">
        <w:rPr>
          <w:rFonts w:cstheme="minorHAnsi"/>
          <w:sz w:val="24"/>
          <w:szCs w:val="24"/>
        </w:rPr>
        <w:lastRenderedPageBreak/>
        <w:t xml:space="preserve">compared terrorists ability to diversify their opportunities, to legitimate businesses broadening their reach. It stated common crimes continues to be robberies, kidnappings, and extortion, but terrorists are increasingly using technologies to carry out different types of financial fraud, such as credit card fraud, money laundering and identity theft. Wall (2013), stated that false identities are created to evade capture of a crime, conduct industrial espionage, gain access to restricted areas and commit fraud. The OECD (2017), states terrorists carry out other forms of criminality, both as a source of financing and in the context of terror attacks. For example, two of the hijackers of the 9/11 attacks allegedly obtained fraudulent drivers licenses which were used as identity cards to board </w:t>
      </w:r>
      <w:r>
        <w:rPr>
          <w:rFonts w:cstheme="minorHAnsi"/>
          <w:sz w:val="24"/>
          <w:szCs w:val="24"/>
        </w:rPr>
        <w:t xml:space="preserve">the </w:t>
      </w:r>
      <w:r w:rsidRPr="00002749">
        <w:rPr>
          <w:rFonts w:cstheme="minorHAnsi"/>
          <w:sz w:val="24"/>
          <w:szCs w:val="24"/>
        </w:rPr>
        <w:t>aircraft. According to Post (2004), the third lesson of the Al-Qaeda training manual states that all documents of the undercover brother, such as identity cards and passports, should be falsified, and the photograph of the brother should be without a beard. The brother should have more than one identity card and passport. These are all key indicators that a person is involved in terrorism.</w:t>
      </w:r>
    </w:p>
    <w:p w14:paraId="44047F62" w14:textId="77777777" w:rsidR="00225BFE" w:rsidRPr="00002749" w:rsidRDefault="00225BFE" w:rsidP="00225BFE">
      <w:pPr>
        <w:spacing w:line="360" w:lineRule="auto"/>
        <w:ind w:firstLine="720"/>
        <w:rPr>
          <w:rFonts w:cstheme="minorHAnsi"/>
          <w:sz w:val="24"/>
          <w:szCs w:val="24"/>
        </w:rPr>
      </w:pPr>
      <w:r w:rsidRPr="00002749">
        <w:rPr>
          <w:rFonts w:cstheme="minorHAnsi"/>
          <w:sz w:val="24"/>
          <w:szCs w:val="24"/>
        </w:rPr>
        <w:t xml:space="preserve"> </w:t>
      </w:r>
    </w:p>
    <w:p w14:paraId="7B97ADDC" w14:textId="77777777" w:rsidR="00225BFE" w:rsidRPr="00002749" w:rsidRDefault="00225BFE" w:rsidP="00225BFE">
      <w:pPr>
        <w:spacing w:line="360" w:lineRule="auto"/>
        <w:rPr>
          <w:rFonts w:cstheme="minorHAnsi"/>
          <w:b/>
          <w:bCs/>
          <w:sz w:val="24"/>
          <w:szCs w:val="24"/>
          <w:u w:val="single"/>
        </w:rPr>
      </w:pPr>
      <w:r w:rsidRPr="00002749">
        <w:rPr>
          <w:rFonts w:cstheme="minorHAnsi"/>
          <w:b/>
          <w:bCs/>
          <w:sz w:val="24"/>
          <w:szCs w:val="24"/>
          <w:u w:val="single"/>
        </w:rPr>
        <w:t>How policing the roads assist in Counter-Terrorism investigations</w:t>
      </w:r>
    </w:p>
    <w:p w14:paraId="04F5DA45" w14:textId="77777777" w:rsidR="00225BFE" w:rsidRPr="00002749" w:rsidRDefault="00225BFE" w:rsidP="00225BFE">
      <w:pPr>
        <w:spacing w:line="360" w:lineRule="auto"/>
        <w:rPr>
          <w:rFonts w:cstheme="minorHAnsi"/>
          <w:sz w:val="24"/>
          <w:szCs w:val="24"/>
        </w:rPr>
      </w:pPr>
      <w:r w:rsidRPr="00002749">
        <w:rPr>
          <w:rFonts w:cstheme="minorHAnsi"/>
          <w:b/>
          <w:bCs/>
          <w:sz w:val="24"/>
          <w:szCs w:val="24"/>
          <w:u w:val="single"/>
        </w:rPr>
        <w:t xml:space="preserve"> </w:t>
      </w:r>
    </w:p>
    <w:p w14:paraId="66C33A98" w14:textId="77777777" w:rsidR="00225BFE" w:rsidRPr="00002749" w:rsidRDefault="00225BFE" w:rsidP="00225BFE">
      <w:pPr>
        <w:spacing w:line="360" w:lineRule="auto"/>
        <w:ind w:firstLine="720"/>
        <w:rPr>
          <w:rFonts w:cstheme="minorHAnsi"/>
          <w:sz w:val="24"/>
          <w:szCs w:val="24"/>
        </w:rPr>
      </w:pPr>
      <w:r w:rsidRPr="00002749">
        <w:rPr>
          <w:rFonts w:cstheme="minorHAnsi"/>
          <w:sz w:val="24"/>
          <w:szCs w:val="24"/>
        </w:rPr>
        <w:t xml:space="preserve">According to Bryant and Bryant (2020), section 164 of the Road Traffic Act, 1988, police officers can request the production of a driver’s licence. Section 165 allows for other documents, such as insurance certificates to be produced. This, and other legislation, enables officers to be in a key position to spot indicators of terrorism involvement, which could assist in investigations. The National Policing Improvements Agency (NPIA) (2007), discuss other technologies such as roadside fingerprinting, vehicle tracking, smart-water, and automatic number plate recognition (ANPR). These are all technologies used on the roads by police that can assist Counter-Terrorism investigations. The College of policing (CoP) (2021), explain that following a judicial review and subsequent appeal on live facial recognition technology, a sufficient legislative framework for its use by police was found. This technology will have further influence on assisting Counter-Terrorism investigations. According to the NPIA (2007), the National ANPR Data System (NADC) can provide analytical tools used for post-incident investigations. This is a vital tool in assisting Counter-Terrorism </w:t>
      </w:r>
      <w:r w:rsidRPr="00002749">
        <w:rPr>
          <w:rFonts w:cstheme="minorHAnsi"/>
          <w:sz w:val="24"/>
          <w:szCs w:val="24"/>
        </w:rPr>
        <w:lastRenderedPageBreak/>
        <w:t>investigations as hostile reconnaissance are usually carried out before terror attacks to identify suitable targets. These can include observations, drawings, and videos around areas near to roads themselves.</w:t>
      </w:r>
    </w:p>
    <w:p w14:paraId="6AABB587" w14:textId="77777777" w:rsidR="00225BFE" w:rsidRPr="00002749" w:rsidRDefault="00225BFE" w:rsidP="00225BFE">
      <w:pPr>
        <w:spacing w:line="360" w:lineRule="auto"/>
        <w:ind w:firstLine="720"/>
        <w:rPr>
          <w:rFonts w:cstheme="minorHAnsi"/>
          <w:sz w:val="24"/>
          <w:szCs w:val="24"/>
        </w:rPr>
      </w:pPr>
      <w:proofErr w:type="gramStart"/>
      <w:r w:rsidRPr="00002749">
        <w:rPr>
          <w:rFonts w:cstheme="minorHAnsi"/>
          <w:sz w:val="24"/>
          <w:szCs w:val="24"/>
        </w:rPr>
        <w:t>The National Police Chiefs Council (NPCC) (2018),</w:t>
      </w:r>
      <w:proofErr w:type="gramEnd"/>
      <w:r w:rsidRPr="00002749">
        <w:rPr>
          <w:rFonts w:cstheme="minorHAnsi"/>
          <w:sz w:val="24"/>
          <w:szCs w:val="24"/>
        </w:rPr>
        <w:t xml:space="preserve"> devised a safe system approach to policing the roads, with a three-year strategy. Its second objective is to secure roads from the threat of serious crime and terrorism. Communication, enforcement, technology, and Intelligence are part of the strategy’s action plan. According to HMICFRS (2020b), proactive intelligence-led activity is vital to secure the roads from serious crime and terrorism. They found a lack of effective use of analytical products to target enforcement activity, although some forces found innovative ways of using ANPR systems. NPIA (2007), state the strategic road network has been subject to terrorist attacks and are used to enable such attacks. Services are used to meet, coordinate activity and transfer assets. Vehicles can also be held in services to hold improvised explosive devices. ANPR can transform how the police tackle criminality on the roads. </w:t>
      </w:r>
    </w:p>
    <w:p w14:paraId="585FF3DA" w14:textId="77777777" w:rsidR="00225BFE" w:rsidRPr="00002749" w:rsidRDefault="00225BFE" w:rsidP="00225BFE">
      <w:pPr>
        <w:spacing w:line="360" w:lineRule="auto"/>
        <w:ind w:firstLine="720"/>
        <w:rPr>
          <w:rFonts w:cstheme="minorHAnsi"/>
          <w:sz w:val="24"/>
          <w:szCs w:val="24"/>
        </w:rPr>
      </w:pPr>
      <w:r w:rsidRPr="00002749">
        <w:rPr>
          <w:rFonts w:cstheme="minorHAnsi"/>
          <w:sz w:val="24"/>
          <w:szCs w:val="24"/>
        </w:rPr>
        <w:t xml:space="preserve">   </w:t>
      </w:r>
    </w:p>
    <w:p w14:paraId="741ADD0A" w14:textId="77777777" w:rsidR="00225BFE" w:rsidRPr="00002749" w:rsidRDefault="00225BFE" w:rsidP="00225BFE">
      <w:pPr>
        <w:spacing w:line="360" w:lineRule="auto"/>
        <w:rPr>
          <w:rFonts w:cstheme="minorHAnsi"/>
          <w:b/>
          <w:bCs/>
          <w:sz w:val="24"/>
          <w:szCs w:val="24"/>
          <w:u w:val="single"/>
        </w:rPr>
      </w:pPr>
      <w:r w:rsidRPr="00002749">
        <w:rPr>
          <w:rFonts w:cstheme="minorHAnsi"/>
          <w:b/>
          <w:bCs/>
          <w:sz w:val="24"/>
          <w:szCs w:val="24"/>
          <w:u w:val="single"/>
        </w:rPr>
        <w:t>Conclusion</w:t>
      </w:r>
    </w:p>
    <w:p w14:paraId="459EC996" w14:textId="77777777" w:rsidR="00225BFE" w:rsidRPr="00002749" w:rsidRDefault="00225BFE" w:rsidP="00225BFE">
      <w:pPr>
        <w:spacing w:line="360" w:lineRule="auto"/>
        <w:rPr>
          <w:rFonts w:cstheme="minorHAnsi"/>
          <w:sz w:val="24"/>
          <w:szCs w:val="24"/>
        </w:rPr>
      </w:pPr>
      <w:r w:rsidRPr="00002749">
        <w:rPr>
          <w:rFonts w:cstheme="minorHAnsi"/>
          <w:b/>
          <w:bCs/>
          <w:sz w:val="24"/>
          <w:szCs w:val="24"/>
          <w:u w:val="single"/>
        </w:rPr>
        <w:t xml:space="preserve"> </w:t>
      </w:r>
    </w:p>
    <w:p w14:paraId="77A84A31" w14:textId="77777777" w:rsidR="00225BFE" w:rsidRDefault="00225BFE" w:rsidP="00225BFE">
      <w:pPr>
        <w:spacing w:line="360" w:lineRule="auto"/>
        <w:ind w:firstLine="720"/>
        <w:rPr>
          <w:rFonts w:cstheme="minorHAnsi"/>
          <w:b/>
          <w:sz w:val="24"/>
          <w:szCs w:val="24"/>
        </w:rPr>
      </w:pPr>
      <w:r w:rsidRPr="00002749">
        <w:rPr>
          <w:rFonts w:cstheme="minorHAnsi"/>
          <w:sz w:val="24"/>
          <w:szCs w:val="24"/>
        </w:rPr>
        <w:t xml:space="preserve">UK-based Islamist extremists support terrorism by fundraising for terror networks, often through criminal activity. The radicalisation of vulnerable individuals is linked to corruption and insider threat. </w:t>
      </w:r>
      <w:proofErr w:type="spellStart"/>
      <w:r w:rsidRPr="00002749">
        <w:rPr>
          <w:rFonts w:cstheme="minorHAnsi"/>
          <w:sz w:val="24"/>
          <w:szCs w:val="24"/>
        </w:rPr>
        <w:t>NaCTSO</w:t>
      </w:r>
      <w:proofErr w:type="spellEnd"/>
      <w:r w:rsidRPr="00002749">
        <w:rPr>
          <w:rFonts w:cstheme="minorHAnsi"/>
          <w:sz w:val="24"/>
          <w:szCs w:val="24"/>
        </w:rPr>
        <w:t xml:space="preserve"> supports processes for managing the risk of individuals who are vulnerable to radicalisation, and it was found that few forces considered the possibility of their colleagues becoming radicalised. Terrorists are increasingly using technologies to carry out different types of financial fraud, such as credit card fraud, money laundering and identity theft. False identities are created to evade capture of a crime, conduct industrial espionage, gain access to restricted areas and commit fraud. These crimes are linked to Counterterrorism for funding purposes and to help them to travel abroad to join terrorist groups.  Legislation and technology enable police officers to be in a key position to police the roads with the tools to assist in Counter-Terror investigations, particularly with the identification of individuals linked to terrorism.  Hostile reconnaissance is a strategy used by terrorists and NADC and its analytical tools can also be vital for post-</w:t>
      </w:r>
      <w:r w:rsidRPr="00002749">
        <w:rPr>
          <w:rFonts w:cstheme="minorHAnsi"/>
          <w:sz w:val="24"/>
          <w:szCs w:val="24"/>
        </w:rPr>
        <w:lastRenderedPageBreak/>
        <w:t xml:space="preserve">incident investigations however, the use of analytical products to target enforcement activity requires improvements. </w:t>
      </w:r>
      <w:r w:rsidRPr="00225BFE">
        <w:rPr>
          <w:rFonts w:cstheme="minorHAnsi"/>
          <w:b/>
          <w:sz w:val="24"/>
          <w:szCs w:val="24"/>
        </w:rPr>
        <w:t>Word Count-1078</w:t>
      </w:r>
    </w:p>
    <w:p w14:paraId="0E333DAE" w14:textId="77777777" w:rsidR="00D027AE" w:rsidRDefault="00225BFE" w:rsidP="00225BFE">
      <w:pPr>
        <w:spacing w:line="360" w:lineRule="auto"/>
        <w:rPr>
          <w:rFonts w:cstheme="minorHAnsi"/>
          <w:b/>
          <w:sz w:val="24"/>
          <w:szCs w:val="24"/>
          <w:u w:val="single"/>
        </w:rPr>
      </w:pPr>
      <w:r w:rsidRPr="00225BFE">
        <w:rPr>
          <w:rFonts w:cstheme="minorHAnsi"/>
          <w:b/>
          <w:sz w:val="24"/>
          <w:szCs w:val="24"/>
          <w:u w:val="single"/>
        </w:rPr>
        <w:t>References.</w:t>
      </w:r>
    </w:p>
    <w:p w14:paraId="22F7BDC5" w14:textId="77777777" w:rsidR="00E759BA" w:rsidRPr="00E759BA" w:rsidRDefault="00E759BA" w:rsidP="00E759BA">
      <w:pPr>
        <w:spacing w:line="360" w:lineRule="auto"/>
        <w:rPr>
          <w:rFonts w:cs="Calibri"/>
          <w:sz w:val="24"/>
          <w:szCs w:val="24"/>
        </w:rPr>
      </w:pPr>
      <w:proofErr w:type="spellStart"/>
      <w:r w:rsidRPr="00E759BA">
        <w:rPr>
          <w:rFonts w:cs="Calibri"/>
          <w:color w:val="000000"/>
          <w:sz w:val="24"/>
          <w:szCs w:val="24"/>
        </w:rPr>
        <w:t>Bendersky</w:t>
      </w:r>
      <w:proofErr w:type="spellEnd"/>
      <w:r w:rsidRPr="00E759BA">
        <w:rPr>
          <w:rFonts w:cs="Calibri"/>
          <w:color w:val="000000"/>
          <w:sz w:val="24"/>
          <w:szCs w:val="24"/>
        </w:rPr>
        <w:t>, J. 2007.</w:t>
      </w:r>
      <w:r w:rsidRPr="00E759BA">
        <w:rPr>
          <w:rFonts w:cs="Calibri"/>
          <w:sz w:val="24"/>
          <w:szCs w:val="24"/>
        </w:rPr>
        <w:t xml:space="preserve"> </w:t>
      </w:r>
      <w:r w:rsidRPr="00E759BA">
        <w:rPr>
          <w:rFonts w:cs="Calibri"/>
          <w:color w:val="000000"/>
          <w:sz w:val="24"/>
          <w:szCs w:val="24"/>
        </w:rPr>
        <w:t xml:space="preserve">"Panic": the impact of Le Bon's crowd psychology on U.S. military thought. </w:t>
      </w:r>
      <w:r w:rsidRPr="00E759BA">
        <w:rPr>
          <w:rFonts w:cs="Calibri"/>
          <w:i/>
          <w:iCs/>
          <w:color w:val="000000"/>
          <w:sz w:val="24"/>
          <w:szCs w:val="24"/>
        </w:rPr>
        <w:t xml:space="preserve">J Hist </w:t>
      </w:r>
      <w:proofErr w:type="spellStart"/>
      <w:r w:rsidRPr="00E759BA">
        <w:rPr>
          <w:rFonts w:cs="Calibri"/>
          <w:i/>
          <w:iCs/>
          <w:color w:val="000000"/>
          <w:sz w:val="24"/>
          <w:szCs w:val="24"/>
        </w:rPr>
        <w:t>Behavioral</w:t>
      </w:r>
      <w:proofErr w:type="spellEnd"/>
      <w:r w:rsidRPr="00E759BA">
        <w:rPr>
          <w:rFonts w:cs="Calibri"/>
          <w:i/>
          <w:iCs/>
          <w:color w:val="000000"/>
          <w:sz w:val="24"/>
          <w:szCs w:val="24"/>
        </w:rPr>
        <w:t xml:space="preserve"> Science. </w:t>
      </w:r>
      <w:r w:rsidRPr="00E759BA">
        <w:rPr>
          <w:rFonts w:cs="Calibri"/>
          <w:color w:val="000000"/>
          <w:sz w:val="24"/>
          <w:szCs w:val="24"/>
        </w:rPr>
        <w:t>43(3) pp 257-83.</w:t>
      </w:r>
    </w:p>
    <w:p w14:paraId="5ED1E3B2" w14:textId="79B13B69" w:rsidR="00225BFE" w:rsidRPr="00E759BA" w:rsidRDefault="00225BFE" w:rsidP="00E759BA">
      <w:pPr>
        <w:spacing w:line="360" w:lineRule="auto"/>
        <w:rPr>
          <w:sz w:val="24"/>
          <w:szCs w:val="24"/>
        </w:rPr>
      </w:pPr>
      <w:r w:rsidRPr="00E759BA">
        <w:rPr>
          <w:sz w:val="24"/>
          <w:szCs w:val="24"/>
        </w:rPr>
        <w:t xml:space="preserve">BMG Research. 2019. </w:t>
      </w:r>
      <w:r w:rsidRPr="00E759BA">
        <w:rPr>
          <w:i/>
          <w:iCs/>
          <w:sz w:val="24"/>
          <w:szCs w:val="24"/>
        </w:rPr>
        <w:t xml:space="preserve">Public Perceptions of Policing in England and Wales. </w:t>
      </w:r>
      <w:r w:rsidRPr="00E759BA">
        <w:rPr>
          <w:sz w:val="24"/>
          <w:szCs w:val="24"/>
        </w:rPr>
        <w:t xml:space="preserve">[PDF]. Available at: </w:t>
      </w:r>
      <w:hyperlink r:id="rId6" w:history="1">
        <w:r w:rsidRPr="00E759BA">
          <w:rPr>
            <w:rStyle w:val="Hyperlink"/>
            <w:sz w:val="24"/>
            <w:szCs w:val="24"/>
          </w:rPr>
          <w:t>HMICFRS-Public-Perceptions-of-Policing-2018.pdf (uwtsd.ac.uk)</w:t>
        </w:r>
      </w:hyperlink>
      <w:r w:rsidRPr="00E759BA">
        <w:rPr>
          <w:sz w:val="24"/>
          <w:szCs w:val="24"/>
        </w:rPr>
        <w:t>. [Accessed on 10</w:t>
      </w:r>
      <w:r w:rsidRPr="00E759BA">
        <w:rPr>
          <w:sz w:val="24"/>
          <w:szCs w:val="24"/>
          <w:vertAlign w:val="superscript"/>
        </w:rPr>
        <w:t>th</w:t>
      </w:r>
      <w:r w:rsidRPr="00E759BA">
        <w:rPr>
          <w:sz w:val="24"/>
          <w:szCs w:val="24"/>
        </w:rPr>
        <w:t xml:space="preserve"> June 2021].</w:t>
      </w:r>
    </w:p>
    <w:p w14:paraId="3519194D" w14:textId="4DDD556B" w:rsidR="00225BFE" w:rsidRPr="00E759BA" w:rsidRDefault="00225BFE" w:rsidP="00E759BA">
      <w:pPr>
        <w:spacing w:line="360" w:lineRule="auto"/>
        <w:rPr>
          <w:rFonts w:cstheme="minorHAnsi"/>
          <w:sz w:val="24"/>
          <w:szCs w:val="24"/>
        </w:rPr>
      </w:pPr>
      <w:r w:rsidRPr="00E759BA">
        <w:rPr>
          <w:rFonts w:cstheme="minorHAnsi"/>
          <w:sz w:val="24"/>
          <w:szCs w:val="24"/>
        </w:rPr>
        <w:t xml:space="preserve">Bryant, R., Bryant, S. 2020. Blackstone’s Handbook for Policing Students. Ed 14. New </w:t>
      </w:r>
      <w:proofErr w:type="spellStart"/>
      <w:proofErr w:type="gramStart"/>
      <w:r w:rsidRPr="00E759BA">
        <w:rPr>
          <w:rFonts w:cstheme="minorHAnsi"/>
          <w:sz w:val="24"/>
          <w:szCs w:val="24"/>
        </w:rPr>
        <w:t>York:Oxford</w:t>
      </w:r>
      <w:proofErr w:type="spellEnd"/>
      <w:proofErr w:type="gramEnd"/>
      <w:r w:rsidRPr="00E759BA">
        <w:rPr>
          <w:rFonts w:cstheme="minorHAnsi"/>
          <w:sz w:val="24"/>
          <w:szCs w:val="24"/>
        </w:rPr>
        <w:t xml:space="preserve"> University Press.</w:t>
      </w:r>
    </w:p>
    <w:p w14:paraId="354A7CD0" w14:textId="5C32CA57" w:rsidR="00E759BA" w:rsidRPr="00E759BA" w:rsidRDefault="00E759BA" w:rsidP="00E759BA">
      <w:pPr>
        <w:spacing w:line="360" w:lineRule="auto"/>
        <w:rPr>
          <w:rFonts w:cstheme="minorHAnsi"/>
          <w:sz w:val="24"/>
          <w:szCs w:val="24"/>
        </w:rPr>
      </w:pPr>
      <w:r w:rsidRPr="00E759BA">
        <w:rPr>
          <w:rFonts w:cstheme="minorHAnsi"/>
          <w:sz w:val="24"/>
          <w:szCs w:val="24"/>
        </w:rPr>
        <w:t xml:space="preserve">Centre for the Crime Protection of National Infrastructure (CPNI). 2021. </w:t>
      </w:r>
      <w:r w:rsidRPr="00E759BA">
        <w:rPr>
          <w:rFonts w:cstheme="minorHAnsi"/>
          <w:i/>
          <w:iCs/>
          <w:sz w:val="24"/>
          <w:szCs w:val="24"/>
        </w:rPr>
        <w:t xml:space="preserve">Terrorism. </w:t>
      </w:r>
      <w:r w:rsidRPr="00E759BA">
        <w:rPr>
          <w:rFonts w:cstheme="minorHAnsi"/>
          <w:sz w:val="24"/>
          <w:szCs w:val="24"/>
        </w:rPr>
        <w:t xml:space="preserve">[Online] Available at: </w:t>
      </w:r>
      <w:hyperlink r:id="rId7" w:history="1">
        <w:r w:rsidRPr="00E759BA">
          <w:rPr>
            <w:rStyle w:val="Hyperlink"/>
            <w:rFonts w:cstheme="minorHAnsi"/>
            <w:sz w:val="24"/>
            <w:szCs w:val="24"/>
          </w:rPr>
          <w:t>https://www.cpni.gov.uk/terrorism</w:t>
        </w:r>
      </w:hyperlink>
      <w:r w:rsidRPr="00E759BA">
        <w:rPr>
          <w:rFonts w:cstheme="minorHAnsi"/>
          <w:sz w:val="24"/>
          <w:szCs w:val="24"/>
        </w:rPr>
        <w:t xml:space="preserve"> [Accessed on 6</w:t>
      </w:r>
      <w:r w:rsidRPr="00E759BA">
        <w:rPr>
          <w:rFonts w:cstheme="minorHAnsi"/>
          <w:sz w:val="24"/>
          <w:szCs w:val="24"/>
          <w:vertAlign w:val="superscript"/>
        </w:rPr>
        <w:t>th</w:t>
      </w:r>
      <w:r w:rsidRPr="00E759BA">
        <w:rPr>
          <w:rFonts w:cstheme="minorHAnsi"/>
          <w:sz w:val="24"/>
          <w:szCs w:val="24"/>
        </w:rPr>
        <w:t xml:space="preserve"> July 2021].</w:t>
      </w:r>
    </w:p>
    <w:p w14:paraId="637F207E" w14:textId="77777777" w:rsidR="00E759BA" w:rsidRPr="00E759BA" w:rsidRDefault="00E759BA" w:rsidP="00E759BA">
      <w:pPr>
        <w:spacing w:line="360" w:lineRule="auto"/>
        <w:rPr>
          <w:rFonts w:cstheme="minorHAnsi"/>
          <w:sz w:val="24"/>
          <w:szCs w:val="24"/>
        </w:rPr>
      </w:pPr>
      <w:r w:rsidRPr="00E759BA">
        <w:rPr>
          <w:rFonts w:cstheme="minorHAnsi"/>
          <w:sz w:val="24"/>
          <w:szCs w:val="24"/>
        </w:rPr>
        <w:t xml:space="preserve">College of </w:t>
      </w:r>
      <w:proofErr w:type="spellStart"/>
      <w:r w:rsidRPr="00E759BA">
        <w:rPr>
          <w:rFonts w:cstheme="minorHAnsi"/>
          <w:sz w:val="24"/>
          <w:szCs w:val="24"/>
        </w:rPr>
        <w:t>Polcing</w:t>
      </w:r>
      <w:proofErr w:type="spellEnd"/>
      <w:r w:rsidRPr="00E759BA">
        <w:rPr>
          <w:rFonts w:cstheme="minorHAnsi"/>
          <w:sz w:val="24"/>
          <w:szCs w:val="24"/>
        </w:rPr>
        <w:t xml:space="preserve"> (CoP). 2021. </w:t>
      </w:r>
      <w:r w:rsidRPr="00E759BA">
        <w:rPr>
          <w:rFonts w:cstheme="minorHAnsi"/>
          <w:i/>
          <w:iCs/>
          <w:sz w:val="24"/>
          <w:szCs w:val="24"/>
        </w:rPr>
        <w:t xml:space="preserve">Police use of live facial recognition technology – have your say. </w:t>
      </w:r>
      <w:r w:rsidRPr="00E759BA">
        <w:rPr>
          <w:rFonts w:cstheme="minorHAnsi"/>
          <w:sz w:val="24"/>
          <w:szCs w:val="24"/>
        </w:rPr>
        <w:t xml:space="preserve">[PDF]. Available at: </w:t>
      </w:r>
      <w:hyperlink r:id="rId8" w:history="1">
        <w:r w:rsidRPr="00E759BA">
          <w:rPr>
            <w:rStyle w:val="Hyperlink"/>
            <w:rFonts w:cstheme="minorHAnsi"/>
            <w:sz w:val="24"/>
            <w:szCs w:val="24"/>
          </w:rPr>
          <w:t>https://www.college.police.uk/print/pdf/node/1651</w:t>
        </w:r>
      </w:hyperlink>
      <w:r w:rsidRPr="00E759BA">
        <w:rPr>
          <w:rFonts w:cstheme="minorHAnsi"/>
          <w:sz w:val="24"/>
          <w:szCs w:val="24"/>
        </w:rPr>
        <w:t>. [Accessed on 16</w:t>
      </w:r>
      <w:r w:rsidRPr="00E759BA">
        <w:rPr>
          <w:rFonts w:cstheme="minorHAnsi"/>
          <w:sz w:val="24"/>
          <w:szCs w:val="24"/>
          <w:vertAlign w:val="superscript"/>
        </w:rPr>
        <w:t>th</w:t>
      </w:r>
      <w:r w:rsidRPr="00E759BA">
        <w:rPr>
          <w:rFonts w:cstheme="minorHAnsi"/>
          <w:sz w:val="24"/>
          <w:szCs w:val="24"/>
        </w:rPr>
        <w:t xml:space="preserve"> July 2021].</w:t>
      </w:r>
    </w:p>
    <w:p w14:paraId="4E0AFC7E" w14:textId="22B65607" w:rsidR="00E759BA" w:rsidRDefault="00E759BA" w:rsidP="00E759BA">
      <w:pPr>
        <w:spacing w:line="360" w:lineRule="auto"/>
        <w:rPr>
          <w:sz w:val="24"/>
          <w:szCs w:val="24"/>
        </w:rPr>
      </w:pPr>
      <w:r w:rsidRPr="00E759BA">
        <w:rPr>
          <w:sz w:val="24"/>
          <w:szCs w:val="24"/>
        </w:rPr>
        <w:t xml:space="preserve">College of Policing (CoP). 2019. </w:t>
      </w:r>
      <w:r w:rsidRPr="00E759BA">
        <w:rPr>
          <w:i/>
          <w:iCs/>
          <w:sz w:val="24"/>
          <w:szCs w:val="24"/>
        </w:rPr>
        <w:t>Problem solving: learning and development interim practice advice</w:t>
      </w:r>
      <w:r w:rsidRPr="00E759BA">
        <w:rPr>
          <w:sz w:val="24"/>
          <w:szCs w:val="24"/>
        </w:rPr>
        <w:t xml:space="preserve">. [PDF]. Available at: </w:t>
      </w:r>
      <w:hyperlink r:id="rId9" w:history="1">
        <w:r w:rsidRPr="00E759BA">
          <w:rPr>
            <w:rStyle w:val="Hyperlink"/>
            <w:rFonts w:cs="Calibri"/>
            <w:sz w:val="24"/>
            <w:szCs w:val="24"/>
          </w:rPr>
          <w:t>Problem-Solving-Practice-Advice-v1.0.pdf (d17wy4t6ps30xx.cloudfront.net)</w:t>
        </w:r>
      </w:hyperlink>
      <w:r w:rsidRPr="00E759BA">
        <w:rPr>
          <w:sz w:val="24"/>
          <w:szCs w:val="24"/>
        </w:rPr>
        <w:t>. [Accessed on 24</w:t>
      </w:r>
      <w:r w:rsidRPr="00E759BA">
        <w:rPr>
          <w:sz w:val="24"/>
          <w:szCs w:val="24"/>
          <w:vertAlign w:val="superscript"/>
        </w:rPr>
        <w:t>th</w:t>
      </w:r>
      <w:r w:rsidRPr="00E759BA">
        <w:rPr>
          <w:sz w:val="24"/>
          <w:szCs w:val="24"/>
        </w:rPr>
        <w:t xml:space="preserve"> June 2021]. </w:t>
      </w:r>
    </w:p>
    <w:p w14:paraId="03D7849C" w14:textId="77777777" w:rsidR="00E759BA" w:rsidRPr="00E759BA" w:rsidRDefault="00E759BA" w:rsidP="00E759BA">
      <w:pPr>
        <w:spacing w:line="360" w:lineRule="auto"/>
        <w:rPr>
          <w:sz w:val="24"/>
          <w:szCs w:val="24"/>
        </w:rPr>
      </w:pPr>
      <w:r w:rsidRPr="00E759BA">
        <w:rPr>
          <w:sz w:val="24"/>
          <w:szCs w:val="24"/>
        </w:rPr>
        <w:t xml:space="preserve">Cooper, H., Innes, M. 2009. </w:t>
      </w:r>
      <w:r w:rsidRPr="00E759BA">
        <w:rPr>
          <w:i/>
          <w:iCs/>
          <w:sz w:val="24"/>
          <w:szCs w:val="24"/>
        </w:rPr>
        <w:t xml:space="preserve">The Causes and Consequences of Community Cohesion in Wales: A Secondary Analysis. </w:t>
      </w:r>
      <w:r w:rsidRPr="00E759BA">
        <w:rPr>
          <w:sz w:val="24"/>
          <w:szCs w:val="24"/>
        </w:rPr>
        <w:t xml:space="preserve">[PDF]. Available at: </w:t>
      </w:r>
      <w:hyperlink r:id="rId10" w:history="1">
        <w:r w:rsidRPr="00E759BA">
          <w:rPr>
            <w:rStyle w:val="Hyperlink"/>
            <w:sz w:val="24"/>
            <w:szCs w:val="24"/>
          </w:rPr>
          <w:t>Microsoft Word - UPSICohesionF.doc (squarespace.com)</w:t>
        </w:r>
      </w:hyperlink>
      <w:r w:rsidRPr="00E759BA">
        <w:rPr>
          <w:sz w:val="24"/>
          <w:szCs w:val="24"/>
        </w:rPr>
        <w:t>. [Accessed on 10</w:t>
      </w:r>
      <w:r w:rsidRPr="00E759BA">
        <w:rPr>
          <w:sz w:val="24"/>
          <w:szCs w:val="24"/>
          <w:vertAlign w:val="superscript"/>
        </w:rPr>
        <w:t>th</w:t>
      </w:r>
      <w:r w:rsidRPr="00E759BA">
        <w:rPr>
          <w:sz w:val="24"/>
          <w:szCs w:val="24"/>
        </w:rPr>
        <w:t xml:space="preserve"> June 2021].</w:t>
      </w:r>
    </w:p>
    <w:p w14:paraId="7A02C7CB" w14:textId="77777777" w:rsidR="00E759BA" w:rsidRPr="00E759BA" w:rsidRDefault="00E759BA" w:rsidP="00E759BA">
      <w:pPr>
        <w:spacing w:line="360" w:lineRule="auto"/>
        <w:rPr>
          <w:sz w:val="24"/>
          <w:szCs w:val="24"/>
        </w:rPr>
      </w:pPr>
      <w:r w:rsidRPr="00E759BA">
        <w:rPr>
          <w:sz w:val="24"/>
          <w:szCs w:val="24"/>
        </w:rPr>
        <w:t xml:space="preserve">Clarke, R., Eck, J. 2003. </w:t>
      </w:r>
      <w:r w:rsidRPr="00E759BA">
        <w:rPr>
          <w:i/>
          <w:iCs/>
          <w:sz w:val="24"/>
          <w:szCs w:val="24"/>
        </w:rPr>
        <w:t xml:space="preserve">Become a Problem-Solving Crime Analyst In 55 small steps. </w:t>
      </w:r>
      <w:r w:rsidRPr="00E759BA">
        <w:rPr>
          <w:sz w:val="24"/>
          <w:szCs w:val="24"/>
        </w:rPr>
        <w:t xml:space="preserve">London: Jill Dando Institute of Crime Science. [Online Book]. Available at: </w:t>
      </w:r>
      <w:hyperlink r:id="rId11" w:history="1">
        <w:r w:rsidRPr="00E759BA">
          <w:rPr>
            <w:rStyle w:val="Hyperlink"/>
            <w:rFonts w:cs="Calibri"/>
            <w:sz w:val="24"/>
            <w:szCs w:val="24"/>
          </w:rPr>
          <w:t>55stepsUK.pdf (asu.edu)</w:t>
        </w:r>
      </w:hyperlink>
      <w:r w:rsidRPr="00E759BA">
        <w:rPr>
          <w:sz w:val="24"/>
          <w:szCs w:val="24"/>
        </w:rPr>
        <w:t xml:space="preserve"> [Accessed on 24</w:t>
      </w:r>
      <w:r w:rsidRPr="00E759BA">
        <w:rPr>
          <w:sz w:val="24"/>
          <w:szCs w:val="24"/>
          <w:vertAlign w:val="superscript"/>
        </w:rPr>
        <w:t>th</w:t>
      </w:r>
      <w:r w:rsidRPr="00E759BA">
        <w:rPr>
          <w:sz w:val="24"/>
          <w:szCs w:val="24"/>
        </w:rPr>
        <w:t xml:space="preserve"> June 2021].</w:t>
      </w:r>
    </w:p>
    <w:p w14:paraId="71E64998" w14:textId="2D226421" w:rsidR="00225BFE" w:rsidRPr="00E759BA" w:rsidRDefault="00225BFE" w:rsidP="00E759BA">
      <w:pPr>
        <w:spacing w:line="360" w:lineRule="auto"/>
        <w:rPr>
          <w:sz w:val="24"/>
          <w:szCs w:val="24"/>
        </w:rPr>
      </w:pPr>
      <w:r w:rsidRPr="00E759BA">
        <w:rPr>
          <w:sz w:val="24"/>
          <w:szCs w:val="24"/>
        </w:rPr>
        <w:t xml:space="preserve">CREW. 2015. </w:t>
      </w:r>
      <w:r w:rsidRPr="00E759BA">
        <w:rPr>
          <w:i/>
          <w:iCs/>
          <w:sz w:val="24"/>
          <w:szCs w:val="24"/>
        </w:rPr>
        <w:t>A Guide to Effective Community Engagement</w:t>
      </w:r>
      <w:r w:rsidRPr="00E759BA">
        <w:rPr>
          <w:sz w:val="24"/>
          <w:szCs w:val="24"/>
        </w:rPr>
        <w:t xml:space="preserve">. [PDF]. Accessed on: </w:t>
      </w:r>
      <w:hyperlink r:id="rId12" w:history="1">
        <w:r w:rsidRPr="00E759BA">
          <w:rPr>
            <w:rStyle w:val="Hyperlink"/>
            <w:sz w:val="24"/>
            <w:szCs w:val="24"/>
          </w:rPr>
          <w:t>A Guide to Effective Community Engagement.pdf (uwtsd.ac.uk)</w:t>
        </w:r>
      </w:hyperlink>
      <w:r w:rsidRPr="00E759BA">
        <w:rPr>
          <w:sz w:val="24"/>
          <w:szCs w:val="24"/>
        </w:rPr>
        <w:t>. [Accessed on 10</w:t>
      </w:r>
      <w:r w:rsidRPr="00E759BA">
        <w:rPr>
          <w:sz w:val="24"/>
          <w:szCs w:val="24"/>
          <w:vertAlign w:val="superscript"/>
        </w:rPr>
        <w:t>th</w:t>
      </w:r>
      <w:r w:rsidRPr="00E759BA">
        <w:rPr>
          <w:sz w:val="24"/>
          <w:szCs w:val="24"/>
        </w:rPr>
        <w:t xml:space="preserve"> June 2021].</w:t>
      </w:r>
    </w:p>
    <w:p w14:paraId="1B681B09" w14:textId="03E1E1F8" w:rsidR="00E759BA" w:rsidRPr="00E759BA" w:rsidRDefault="00E759BA" w:rsidP="00E759BA">
      <w:pPr>
        <w:spacing w:line="360" w:lineRule="auto"/>
        <w:rPr>
          <w:sz w:val="24"/>
          <w:szCs w:val="24"/>
        </w:rPr>
      </w:pPr>
      <w:r w:rsidRPr="00E759BA">
        <w:rPr>
          <w:rFonts w:cs="Calibri"/>
          <w:color w:val="000000"/>
          <w:sz w:val="24"/>
          <w:szCs w:val="24"/>
        </w:rPr>
        <w:t xml:space="preserve">Dixon, L. 2002. Research and Reports Crime, Policing and Ethnic Minorities. [Report] Available at: </w:t>
      </w:r>
      <w:hyperlink r:id="rId13" w:tgtFrame="_blank" w:history="1">
        <w:r w:rsidRPr="00E759BA">
          <w:rPr>
            <w:rStyle w:val="Hyperlink"/>
            <w:rFonts w:cs="Calibri"/>
            <w:sz w:val="24"/>
            <w:szCs w:val="24"/>
          </w:rPr>
          <w:t>https://journals-sagepub-</w:t>
        </w:r>
        <w:r w:rsidRPr="00E759BA">
          <w:rPr>
            <w:rStyle w:val="Hyperlink"/>
            <w:rFonts w:cs="Calibri"/>
            <w:sz w:val="24"/>
            <w:szCs w:val="24"/>
          </w:rPr>
          <w:lastRenderedPageBreak/>
          <w:t>com.ezproxy.uwtsd.ac.uk/doi/pdf/10.1177/026455050204900108</w:t>
        </w:r>
      </w:hyperlink>
      <w:r w:rsidRPr="00E759BA">
        <w:rPr>
          <w:rFonts w:cs="Calibri"/>
          <w:sz w:val="24"/>
          <w:szCs w:val="24"/>
        </w:rPr>
        <w:t>. [Accessed on 30</w:t>
      </w:r>
      <w:r w:rsidRPr="00E759BA">
        <w:rPr>
          <w:rFonts w:cs="Calibri"/>
          <w:sz w:val="24"/>
          <w:szCs w:val="24"/>
          <w:vertAlign w:val="superscript"/>
        </w:rPr>
        <w:t>th</w:t>
      </w:r>
      <w:r w:rsidRPr="00E759BA">
        <w:rPr>
          <w:rFonts w:cs="Calibri"/>
          <w:sz w:val="24"/>
          <w:szCs w:val="24"/>
        </w:rPr>
        <w:t xml:space="preserve"> June 2021].</w:t>
      </w:r>
    </w:p>
    <w:p w14:paraId="5A94D00B" w14:textId="76292874" w:rsidR="00E759BA" w:rsidRPr="00E759BA" w:rsidRDefault="00E759BA" w:rsidP="00E759BA">
      <w:pPr>
        <w:spacing w:line="360" w:lineRule="auto"/>
        <w:rPr>
          <w:sz w:val="24"/>
          <w:szCs w:val="24"/>
        </w:rPr>
      </w:pPr>
      <w:proofErr w:type="spellStart"/>
      <w:proofErr w:type="gramStart"/>
      <w:r w:rsidRPr="00E759BA">
        <w:rPr>
          <w:sz w:val="24"/>
          <w:szCs w:val="24"/>
        </w:rPr>
        <w:t>Farrell,G</w:t>
      </w:r>
      <w:proofErr w:type="spellEnd"/>
      <w:r w:rsidRPr="00E759BA">
        <w:rPr>
          <w:sz w:val="24"/>
          <w:szCs w:val="24"/>
        </w:rPr>
        <w:t>.</w:t>
      </w:r>
      <w:proofErr w:type="gramEnd"/>
      <w:r w:rsidRPr="00E759BA">
        <w:rPr>
          <w:sz w:val="24"/>
          <w:szCs w:val="24"/>
        </w:rPr>
        <w:t xml:space="preserve">, Pease, K. Forthcoming in Tilley, N., Sidebottom, A. 2017. </w:t>
      </w:r>
      <w:r w:rsidRPr="00E759BA">
        <w:rPr>
          <w:i/>
          <w:iCs/>
          <w:sz w:val="24"/>
          <w:szCs w:val="24"/>
        </w:rPr>
        <w:t>Handbook of Crime Prevention and Community Safety</w:t>
      </w:r>
      <w:r w:rsidRPr="00E759BA">
        <w:rPr>
          <w:sz w:val="24"/>
          <w:szCs w:val="24"/>
        </w:rPr>
        <w:t xml:space="preserve">. Ed 2. </w:t>
      </w:r>
      <w:proofErr w:type="spellStart"/>
      <w:proofErr w:type="gramStart"/>
      <w:r w:rsidRPr="00E759BA">
        <w:rPr>
          <w:sz w:val="24"/>
          <w:szCs w:val="24"/>
        </w:rPr>
        <w:t>London:Routledge</w:t>
      </w:r>
      <w:proofErr w:type="spellEnd"/>
      <w:proofErr w:type="gramEnd"/>
      <w:r w:rsidRPr="00E759BA">
        <w:rPr>
          <w:sz w:val="24"/>
          <w:szCs w:val="24"/>
        </w:rPr>
        <w:t xml:space="preserve">. </w:t>
      </w:r>
    </w:p>
    <w:p w14:paraId="19FE0B58" w14:textId="0BA69554" w:rsidR="00E759BA" w:rsidRPr="00E759BA" w:rsidRDefault="00E759BA" w:rsidP="00E759BA">
      <w:pPr>
        <w:spacing w:line="360" w:lineRule="auto"/>
        <w:rPr>
          <w:sz w:val="24"/>
          <w:szCs w:val="24"/>
        </w:rPr>
      </w:pPr>
      <w:proofErr w:type="spellStart"/>
      <w:r w:rsidRPr="00E759BA">
        <w:rPr>
          <w:sz w:val="24"/>
          <w:szCs w:val="24"/>
        </w:rPr>
        <w:t>Fleissner</w:t>
      </w:r>
      <w:proofErr w:type="spellEnd"/>
      <w:r w:rsidRPr="00E759BA">
        <w:rPr>
          <w:sz w:val="24"/>
          <w:szCs w:val="24"/>
        </w:rPr>
        <w:t xml:space="preserve">, D., </w:t>
      </w:r>
      <w:proofErr w:type="spellStart"/>
      <w:r w:rsidRPr="00E759BA">
        <w:rPr>
          <w:sz w:val="24"/>
          <w:szCs w:val="24"/>
        </w:rPr>
        <w:t>Heinzelmann</w:t>
      </w:r>
      <w:proofErr w:type="spellEnd"/>
      <w:r w:rsidRPr="00E759BA">
        <w:rPr>
          <w:sz w:val="24"/>
          <w:szCs w:val="24"/>
        </w:rPr>
        <w:t xml:space="preserve">, F. 1996. </w:t>
      </w:r>
      <w:r w:rsidRPr="00E759BA">
        <w:rPr>
          <w:i/>
          <w:iCs/>
          <w:sz w:val="24"/>
          <w:szCs w:val="24"/>
        </w:rPr>
        <w:t xml:space="preserve">Crime Prevention Through Environmental Design and Community Policing. </w:t>
      </w:r>
      <w:r w:rsidRPr="00E759BA">
        <w:rPr>
          <w:sz w:val="24"/>
          <w:szCs w:val="24"/>
        </w:rPr>
        <w:t xml:space="preserve">[PDF] Available at: </w:t>
      </w:r>
      <w:hyperlink r:id="rId14" w:history="1">
        <w:r w:rsidRPr="00E759BA">
          <w:rPr>
            <w:rStyle w:val="Hyperlink"/>
            <w:rFonts w:cs="Calibri"/>
            <w:sz w:val="24"/>
            <w:szCs w:val="24"/>
          </w:rPr>
          <w:t>crimepre.pdf (ojp.gov)</w:t>
        </w:r>
      </w:hyperlink>
      <w:r w:rsidRPr="00E759BA">
        <w:rPr>
          <w:sz w:val="24"/>
          <w:szCs w:val="24"/>
        </w:rPr>
        <w:t xml:space="preserve">. [Accessed on </w:t>
      </w:r>
      <w:bookmarkStart w:id="0" w:name="_Hlk76986029"/>
      <w:r w:rsidRPr="00E759BA">
        <w:rPr>
          <w:sz w:val="24"/>
          <w:szCs w:val="24"/>
        </w:rPr>
        <w:t>24</w:t>
      </w:r>
      <w:r w:rsidRPr="00E759BA">
        <w:rPr>
          <w:sz w:val="24"/>
          <w:szCs w:val="24"/>
          <w:vertAlign w:val="superscript"/>
        </w:rPr>
        <w:t>th</w:t>
      </w:r>
      <w:r w:rsidRPr="00E759BA">
        <w:rPr>
          <w:sz w:val="24"/>
          <w:szCs w:val="24"/>
        </w:rPr>
        <w:t xml:space="preserve"> June 2021</w:t>
      </w:r>
      <w:bookmarkEnd w:id="0"/>
      <w:r w:rsidRPr="00E759BA">
        <w:rPr>
          <w:sz w:val="24"/>
          <w:szCs w:val="24"/>
        </w:rPr>
        <w:t>].</w:t>
      </w:r>
    </w:p>
    <w:p w14:paraId="462B1092" w14:textId="7090D74D" w:rsidR="00E759BA" w:rsidRDefault="00E759BA" w:rsidP="00E759BA">
      <w:pPr>
        <w:spacing w:line="360" w:lineRule="auto"/>
        <w:rPr>
          <w:rFonts w:cs="Calibri"/>
          <w:color w:val="000000"/>
          <w:sz w:val="24"/>
          <w:szCs w:val="24"/>
        </w:rPr>
      </w:pPr>
      <w:proofErr w:type="spellStart"/>
      <w:r w:rsidRPr="00E759BA">
        <w:rPr>
          <w:rFonts w:cs="Calibri"/>
          <w:color w:val="000000"/>
          <w:sz w:val="24"/>
          <w:szCs w:val="24"/>
        </w:rPr>
        <w:t>Guss</w:t>
      </w:r>
      <w:proofErr w:type="spellEnd"/>
      <w:r w:rsidRPr="00E759BA">
        <w:rPr>
          <w:rFonts w:cs="Calibri"/>
          <w:color w:val="000000"/>
          <w:sz w:val="24"/>
          <w:szCs w:val="24"/>
        </w:rPr>
        <w:t xml:space="preserve">, D., Burger, M., Dorner, D. 2017. The Role of Motivation n Complex Problem Solving. </w:t>
      </w:r>
      <w:r w:rsidRPr="00E759BA">
        <w:rPr>
          <w:rFonts w:cs="Calibri"/>
          <w:i/>
          <w:iCs/>
          <w:color w:val="000000"/>
          <w:sz w:val="24"/>
          <w:szCs w:val="24"/>
        </w:rPr>
        <w:t xml:space="preserve">Frontiers in Psychology. </w:t>
      </w:r>
      <w:r w:rsidRPr="00E759BA">
        <w:rPr>
          <w:rFonts w:cs="Calibri"/>
          <w:color w:val="000000"/>
          <w:sz w:val="24"/>
          <w:szCs w:val="24"/>
        </w:rPr>
        <w:t>8(851) pp 1-5.</w:t>
      </w:r>
    </w:p>
    <w:p w14:paraId="4C86B3CA" w14:textId="77777777" w:rsidR="00E759BA" w:rsidRPr="00E759BA" w:rsidRDefault="00E759BA" w:rsidP="00E759BA">
      <w:pPr>
        <w:spacing w:line="360" w:lineRule="auto"/>
        <w:rPr>
          <w:sz w:val="24"/>
          <w:szCs w:val="24"/>
        </w:rPr>
      </w:pPr>
      <w:r w:rsidRPr="00E759BA">
        <w:rPr>
          <w:sz w:val="24"/>
          <w:szCs w:val="24"/>
        </w:rPr>
        <w:t xml:space="preserve">Foster, J., Newburn, T., </w:t>
      </w:r>
      <w:proofErr w:type="spellStart"/>
      <w:r w:rsidRPr="00E759BA">
        <w:rPr>
          <w:sz w:val="24"/>
          <w:szCs w:val="24"/>
        </w:rPr>
        <w:t>Souhami</w:t>
      </w:r>
      <w:proofErr w:type="spellEnd"/>
      <w:r w:rsidRPr="00E759BA">
        <w:rPr>
          <w:sz w:val="24"/>
          <w:szCs w:val="24"/>
        </w:rPr>
        <w:t xml:space="preserve">, A. 2005. </w:t>
      </w:r>
      <w:r w:rsidRPr="00E759BA">
        <w:rPr>
          <w:i/>
          <w:iCs/>
          <w:sz w:val="24"/>
          <w:szCs w:val="24"/>
        </w:rPr>
        <w:t xml:space="preserve">Home Office Research Study 294 Assessing the impact of the Stephen Lawrence Inquiry. </w:t>
      </w:r>
      <w:r w:rsidRPr="00E759BA">
        <w:rPr>
          <w:sz w:val="24"/>
          <w:szCs w:val="24"/>
        </w:rPr>
        <w:t xml:space="preserve">[PDF]. Available at: </w:t>
      </w:r>
      <w:hyperlink r:id="rId15" w:history="1">
        <w:r w:rsidRPr="00E759BA">
          <w:rPr>
            <w:rStyle w:val="Hyperlink"/>
            <w:sz w:val="24"/>
            <w:szCs w:val="24"/>
          </w:rPr>
          <w:t>Assessing the impact of the Stephen Lawrence Inquiry (politieacademie.nl)</w:t>
        </w:r>
      </w:hyperlink>
      <w:r w:rsidRPr="00E759BA">
        <w:rPr>
          <w:sz w:val="24"/>
          <w:szCs w:val="24"/>
        </w:rPr>
        <w:t>. [Accessed on 10</w:t>
      </w:r>
      <w:r w:rsidRPr="00E759BA">
        <w:rPr>
          <w:sz w:val="24"/>
          <w:szCs w:val="24"/>
          <w:vertAlign w:val="superscript"/>
        </w:rPr>
        <w:t>th</w:t>
      </w:r>
      <w:r w:rsidRPr="00E759BA">
        <w:rPr>
          <w:sz w:val="24"/>
          <w:szCs w:val="24"/>
        </w:rPr>
        <w:t xml:space="preserve"> June 2021].</w:t>
      </w:r>
    </w:p>
    <w:p w14:paraId="02826333" w14:textId="7D279A3C" w:rsidR="00E759BA" w:rsidRPr="00E759BA" w:rsidRDefault="00E759BA" w:rsidP="00E759BA">
      <w:pPr>
        <w:spacing w:line="360" w:lineRule="auto"/>
        <w:rPr>
          <w:rFonts w:cstheme="minorHAnsi"/>
          <w:sz w:val="24"/>
          <w:szCs w:val="24"/>
        </w:rPr>
      </w:pPr>
      <w:r w:rsidRPr="00E759BA">
        <w:rPr>
          <w:rFonts w:cstheme="minorHAnsi"/>
          <w:sz w:val="24"/>
          <w:szCs w:val="24"/>
        </w:rPr>
        <w:t xml:space="preserve">Her Majesty’s Inspectorate of Constabulary and Fire &amp; Rescue Services (HMICFRS). 2020a. </w:t>
      </w:r>
      <w:r w:rsidRPr="00E759BA">
        <w:rPr>
          <w:rFonts w:cstheme="minorHAnsi"/>
          <w:i/>
          <w:iCs/>
          <w:sz w:val="24"/>
          <w:szCs w:val="24"/>
        </w:rPr>
        <w:t xml:space="preserve">Counterterrorism policing </w:t>
      </w:r>
      <w:proofErr w:type="gramStart"/>
      <w:r w:rsidRPr="00E759BA">
        <w:rPr>
          <w:rFonts w:cstheme="minorHAnsi"/>
          <w:i/>
          <w:iCs/>
          <w:sz w:val="24"/>
          <w:szCs w:val="24"/>
        </w:rPr>
        <w:t>An</w:t>
      </w:r>
      <w:proofErr w:type="gramEnd"/>
      <w:r w:rsidRPr="00E759BA">
        <w:rPr>
          <w:rFonts w:cstheme="minorHAnsi"/>
          <w:i/>
          <w:iCs/>
          <w:sz w:val="24"/>
          <w:szCs w:val="24"/>
        </w:rPr>
        <w:t xml:space="preserve"> inspection of the police’s contribution to the government’s Prevent programme. </w:t>
      </w:r>
      <w:r w:rsidRPr="00E759BA">
        <w:rPr>
          <w:rFonts w:cstheme="minorHAnsi"/>
          <w:sz w:val="24"/>
          <w:szCs w:val="24"/>
        </w:rPr>
        <w:t xml:space="preserve">[PDF]. Available at: </w:t>
      </w:r>
      <w:hyperlink r:id="rId16" w:history="1">
        <w:r w:rsidRPr="00E759BA">
          <w:rPr>
            <w:rStyle w:val="Hyperlink"/>
            <w:rFonts w:cstheme="minorHAnsi"/>
            <w:sz w:val="24"/>
            <w:szCs w:val="24"/>
          </w:rPr>
          <w:t>https://www.justiceinspectorates.gov.uk/hmicfrs/wp-content/uploads/redacted-counter-terrorism-policing-inspection-police-contribution-government-prevent-programme.pdf</w:t>
        </w:r>
      </w:hyperlink>
      <w:r w:rsidRPr="00E759BA">
        <w:rPr>
          <w:rFonts w:cstheme="minorHAnsi"/>
          <w:sz w:val="24"/>
          <w:szCs w:val="24"/>
        </w:rPr>
        <w:t>. [Accessed on 16</w:t>
      </w:r>
      <w:r w:rsidRPr="00E759BA">
        <w:rPr>
          <w:rFonts w:cstheme="minorHAnsi"/>
          <w:sz w:val="24"/>
          <w:szCs w:val="24"/>
          <w:vertAlign w:val="superscript"/>
        </w:rPr>
        <w:t>th</w:t>
      </w:r>
      <w:r w:rsidRPr="00E759BA">
        <w:rPr>
          <w:rFonts w:cstheme="minorHAnsi"/>
          <w:sz w:val="24"/>
          <w:szCs w:val="24"/>
        </w:rPr>
        <w:t xml:space="preserve"> July 2021]. </w:t>
      </w:r>
    </w:p>
    <w:p w14:paraId="5F244D34" w14:textId="77777777" w:rsidR="00E759BA" w:rsidRPr="00E759BA" w:rsidRDefault="00E759BA" w:rsidP="00E759BA">
      <w:pPr>
        <w:spacing w:line="360" w:lineRule="auto"/>
        <w:rPr>
          <w:rFonts w:cstheme="minorHAnsi"/>
          <w:sz w:val="24"/>
          <w:szCs w:val="24"/>
        </w:rPr>
      </w:pPr>
      <w:r w:rsidRPr="00E759BA">
        <w:rPr>
          <w:rFonts w:cstheme="minorHAnsi"/>
          <w:sz w:val="24"/>
          <w:szCs w:val="24"/>
        </w:rPr>
        <w:t xml:space="preserve">Her Majesty’s Inspectorate of Constabulary and Fire &amp; Rescue Services (HMICFRS). 2020b. </w:t>
      </w:r>
      <w:r w:rsidRPr="00E759BA">
        <w:rPr>
          <w:rFonts w:cstheme="minorHAnsi"/>
          <w:i/>
          <w:iCs/>
          <w:sz w:val="24"/>
          <w:szCs w:val="24"/>
        </w:rPr>
        <w:t xml:space="preserve">Roads Policing: Not optional </w:t>
      </w:r>
      <w:proofErr w:type="gramStart"/>
      <w:r w:rsidRPr="00E759BA">
        <w:rPr>
          <w:rFonts w:cstheme="minorHAnsi"/>
          <w:i/>
          <w:iCs/>
          <w:sz w:val="24"/>
          <w:szCs w:val="24"/>
        </w:rPr>
        <w:t>An</w:t>
      </w:r>
      <w:proofErr w:type="gramEnd"/>
      <w:r w:rsidRPr="00E759BA">
        <w:rPr>
          <w:rFonts w:cstheme="minorHAnsi"/>
          <w:i/>
          <w:iCs/>
          <w:sz w:val="24"/>
          <w:szCs w:val="24"/>
        </w:rPr>
        <w:t xml:space="preserve"> inspection of roads policing in England and Wales. </w:t>
      </w:r>
      <w:r w:rsidRPr="00E759BA">
        <w:rPr>
          <w:rFonts w:cstheme="minorHAnsi"/>
          <w:sz w:val="24"/>
          <w:szCs w:val="24"/>
        </w:rPr>
        <w:t xml:space="preserve">[PDF]. Available at: </w:t>
      </w:r>
      <w:hyperlink r:id="rId17" w:history="1">
        <w:r w:rsidRPr="00E759BA">
          <w:rPr>
            <w:rStyle w:val="Hyperlink"/>
            <w:rFonts w:cstheme="minorHAnsi"/>
            <w:sz w:val="24"/>
            <w:szCs w:val="24"/>
          </w:rPr>
          <w:t>https://www.justiceinspectorates.gov.uk/hmicfrs/wp-content/uploads/roads-policing-not-optional-an-inspection-of-roads-policing-in-england-and-wales.pdf</w:t>
        </w:r>
      </w:hyperlink>
      <w:r w:rsidRPr="00E759BA">
        <w:rPr>
          <w:rFonts w:cstheme="minorHAnsi"/>
          <w:sz w:val="24"/>
          <w:szCs w:val="24"/>
        </w:rPr>
        <w:t>. [Accessed on 16</w:t>
      </w:r>
      <w:r w:rsidRPr="00E759BA">
        <w:rPr>
          <w:rFonts w:cstheme="minorHAnsi"/>
          <w:sz w:val="24"/>
          <w:szCs w:val="24"/>
          <w:vertAlign w:val="superscript"/>
        </w:rPr>
        <w:t>th</w:t>
      </w:r>
      <w:r w:rsidRPr="00E759BA">
        <w:rPr>
          <w:rFonts w:cstheme="minorHAnsi"/>
          <w:sz w:val="24"/>
          <w:szCs w:val="24"/>
        </w:rPr>
        <w:t xml:space="preserve"> July 2021].</w:t>
      </w:r>
    </w:p>
    <w:p w14:paraId="4205DE2C" w14:textId="3D537FF3" w:rsidR="00E759BA" w:rsidRPr="00E759BA" w:rsidRDefault="00E759BA" w:rsidP="00E759BA">
      <w:pPr>
        <w:pStyle w:val="Heading1"/>
        <w:shd w:val="clear" w:color="auto" w:fill="FFFFFF"/>
        <w:spacing w:before="120" w:beforeAutospacing="0" w:after="120" w:afterAutospacing="0" w:line="360" w:lineRule="auto"/>
        <w:rPr>
          <w:rFonts w:ascii="Calibri" w:hAnsi="Calibri" w:cs="Calibri"/>
          <w:b w:val="0"/>
          <w:bCs w:val="0"/>
          <w:color w:val="1C1D1E"/>
          <w:sz w:val="24"/>
          <w:szCs w:val="24"/>
        </w:rPr>
      </w:pPr>
      <w:r w:rsidRPr="00E759BA">
        <w:rPr>
          <w:rFonts w:ascii="Calibri" w:hAnsi="Calibri" w:cs="Calibri"/>
          <w:b w:val="0"/>
          <w:bCs w:val="0"/>
          <w:sz w:val="24"/>
          <w:szCs w:val="24"/>
        </w:rPr>
        <w:t xml:space="preserve">Hinkle, J., Weisburd, D. </w:t>
      </w:r>
      <w:proofErr w:type="spellStart"/>
      <w:r w:rsidRPr="00E759BA">
        <w:rPr>
          <w:rFonts w:ascii="Calibri" w:hAnsi="Calibri" w:cs="Calibri"/>
          <w:b w:val="0"/>
          <w:bCs w:val="0"/>
          <w:sz w:val="24"/>
          <w:szCs w:val="24"/>
        </w:rPr>
        <w:t>Telep</w:t>
      </w:r>
      <w:proofErr w:type="spellEnd"/>
      <w:r w:rsidRPr="00E759BA">
        <w:rPr>
          <w:rFonts w:ascii="Calibri" w:hAnsi="Calibri" w:cs="Calibri"/>
          <w:b w:val="0"/>
          <w:bCs w:val="0"/>
          <w:sz w:val="24"/>
          <w:szCs w:val="24"/>
        </w:rPr>
        <w:t xml:space="preserve">, C., P. 2020. </w:t>
      </w:r>
      <w:r w:rsidRPr="00E759BA">
        <w:rPr>
          <w:rFonts w:ascii="Calibri" w:hAnsi="Calibri" w:cs="Calibri"/>
          <w:b w:val="0"/>
          <w:bCs w:val="0"/>
          <w:color w:val="1C1D1E"/>
          <w:sz w:val="24"/>
          <w:szCs w:val="24"/>
        </w:rPr>
        <w:t xml:space="preserve">Problem-oriented policing for reducing crime and disorder: An updated systematic review and meta-analysis. </w:t>
      </w:r>
      <w:r w:rsidRPr="00E759BA">
        <w:rPr>
          <w:rFonts w:ascii="Calibri" w:hAnsi="Calibri" w:cs="Calibri"/>
          <w:b w:val="0"/>
          <w:bCs w:val="0"/>
          <w:i/>
          <w:iCs/>
          <w:color w:val="1C1D1E"/>
          <w:sz w:val="24"/>
          <w:szCs w:val="24"/>
        </w:rPr>
        <w:t xml:space="preserve">Campbell </w:t>
      </w:r>
      <w:proofErr w:type="spellStart"/>
      <w:r w:rsidRPr="00E759BA">
        <w:rPr>
          <w:rFonts w:ascii="Calibri" w:hAnsi="Calibri" w:cs="Calibri"/>
          <w:b w:val="0"/>
          <w:bCs w:val="0"/>
          <w:i/>
          <w:iCs/>
          <w:color w:val="1C1D1E"/>
          <w:sz w:val="24"/>
          <w:szCs w:val="24"/>
        </w:rPr>
        <w:t>Syst</w:t>
      </w:r>
      <w:proofErr w:type="spellEnd"/>
      <w:r w:rsidRPr="00E759BA">
        <w:rPr>
          <w:rFonts w:ascii="Calibri" w:hAnsi="Calibri" w:cs="Calibri"/>
          <w:b w:val="0"/>
          <w:bCs w:val="0"/>
          <w:i/>
          <w:iCs/>
          <w:color w:val="1C1D1E"/>
          <w:sz w:val="24"/>
          <w:szCs w:val="24"/>
        </w:rPr>
        <w:t xml:space="preserve"> Rev. </w:t>
      </w:r>
      <w:r w:rsidRPr="00E759BA">
        <w:rPr>
          <w:rFonts w:ascii="Calibri" w:hAnsi="Calibri" w:cs="Calibri"/>
          <w:b w:val="0"/>
          <w:bCs w:val="0"/>
          <w:color w:val="1C1D1E"/>
          <w:sz w:val="24"/>
          <w:szCs w:val="24"/>
        </w:rPr>
        <w:t>16(2) pp 1089.</w:t>
      </w:r>
    </w:p>
    <w:p w14:paraId="397470B4" w14:textId="77777777" w:rsidR="00E759BA" w:rsidRPr="00E759BA" w:rsidRDefault="00E759BA" w:rsidP="00E759BA">
      <w:pPr>
        <w:pStyle w:val="Heading1"/>
        <w:shd w:val="clear" w:color="auto" w:fill="FFFFFF"/>
        <w:spacing w:before="120" w:after="120" w:line="360" w:lineRule="auto"/>
        <w:rPr>
          <w:rFonts w:ascii="Calibri" w:hAnsi="Calibri" w:cs="Calibri"/>
          <w:b w:val="0"/>
          <w:bCs w:val="0"/>
          <w:color w:val="1C1D1E"/>
          <w:sz w:val="24"/>
          <w:szCs w:val="24"/>
        </w:rPr>
      </w:pPr>
      <w:r w:rsidRPr="00E759BA">
        <w:rPr>
          <w:rFonts w:ascii="Calibri" w:hAnsi="Calibri" w:cs="Calibri"/>
          <w:b w:val="0"/>
          <w:bCs w:val="0"/>
          <w:color w:val="1C1D1E"/>
          <w:sz w:val="24"/>
          <w:szCs w:val="24"/>
        </w:rPr>
        <w:t xml:space="preserve">Home Office. 2018. National Law Enforcement Data Programme Law Enforcement Data Service (LEDS) – Privacy Impact Assessment Report. [PDF] available at: </w:t>
      </w:r>
      <w:r w:rsidRPr="00E759BA">
        <w:rPr>
          <w:rFonts w:ascii="Calibri" w:hAnsi="Calibri" w:cs="Calibri"/>
          <w:b w:val="0"/>
          <w:bCs w:val="0"/>
          <w:color w:val="1C1D1E"/>
          <w:sz w:val="24"/>
          <w:szCs w:val="24"/>
        </w:rPr>
        <w:lastRenderedPageBreak/>
        <w:t>https://assets.publishing.service.gov.uk/government/uploads/system/uploads/attachment_data/file/721542/NLEDP_Privacy_Impact_Assessment_Report.pdf. [Accessed on 24th June 2021].</w:t>
      </w:r>
    </w:p>
    <w:p w14:paraId="491AE233" w14:textId="5A768A5D" w:rsidR="00E759BA" w:rsidRPr="00E759BA" w:rsidRDefault="00E759BA" w:rsidP="00E759BA">
      <w:pPr>
        <w:pStyle w:val="Heading1"/>
        <w:shd w:val="clear" w:color="auto" w:fill="FFFFFF"/>
        <w:spacing w:before="120" w:beforeAutospacing="0" w:after="120" w:afterAutospacing="0" w:line="360" w:lineRule="auto"/>
        <w:rPr>
          <w:rFonts w:ascii="Calibri" w:hAnsi="Calibri" w:cs="Calibri"/>
          <w:b w:val="0"/>
          <w:bCs w:val="0"/>
          <w:color w:val="1C1D1E"/>
          <w:sz w:val="24"/>
          <w:szCs w:val="24"/>
        </w:rPr>
      </w:pPr>
      <w:r w:rsidRPr="00E759BA">
        <w:rPr>
          <w:rFonts w:ascii="Calibri" w:hAnsi="Calibri" w:cs="Calibri"/>
          <w:b w:val="0"/>
          <w:bCs w:val="0"/>
          <w:color w:val="1C1D1E"/>
          <w:sz w:val="24"/>
          <w:szCs w:val="24"/>
        </w:rPr>
        <w:t>Home Office. 2016. Modern Crime Prevention Strategy. [PDF]. Available at: https://assets.publishing.service.gov.uk/government/uploads/system/uploads/attachment_data/file/509831/6.1770_Modern_Crime_Prevention_Strategy_final_WEB_version.pdf#page17. [Accessed on 24th June 2021].</w:t>
      </w:r>
    </w:p>
    <w:p w14:paraId="6F4E036C" w14:textId="77777777" w:rsidR="00E759BA" w:rsidRPr="00E759BA" w:rsidRDefault="00E759BA" w:rsidP="00E759BA">
      <w:pPr>
        <w:spacing w:line="360" w:lineRule="auto"/>
        <w:rPr>
          <w:rFonts w:cs="Calibri"/>
          <w:sz w:val="24"/>
          <w:szCs w:val="24"/>
        </w:rPr>
      </w:pPr>
      <w:r w:rsidRPr="00E759BA">
        <w:rPr>
          <w:rFonts w:cs="Calibri"/>
          <w:color w:val="000000"/>
          <w:sz w:val="24"/>
          <w:szCs w:val="24"/>
        </w:rPr>
        <w:t>Independent Police Complaints Commission (IPCC). 2012.</w:t>
      </w:r>
      <w:r w:rsidRPr="00E759BA">
        <w:rPr>
          <w:rFonts w:cs="Calibri"/>
          <w:sz w:val="24"/>
          <w:szCs w:val="24"/>
        </w:rPr>
        <w:t xml:space="preserve"> </w:t>
      </w:r>
      <w:r w:rsidRPr="00E759BA">
        <w:rPr>
          <w:rFonts w:cs="Calibri"/>
          <w:i/>
          <w:iCs/>
          <w:color w:val="000000"/>
          <w:sz w:val="24"/>
          <w:szCs w:val="24"/>
        </w:rPr>
        <w:t xml:space="preserve">Corruption in the police service in England and Wales: Second report – a report based on the IPCC’s experience from 2008 to 2011. </w:t>
      </w:r>
      <w:r w:rsidRPr="00E759BA">
        <w:rPr>
          <w:rFonts w:cs="Calibri"/>
          <w:color w:val="000000"/>
          <w:sz w:val="24"/>
          <w:szCs w:val="24"/>
        </w:rPr>
        <w:t xml:space="preserve">[PDF] Available at: </w:t>
      </w:r>
      <w:hyperlink r:id="rId18" w:history="1">
        <w:r w:rsidRPr="00E759BA">
          <w:rPr>
            <w:rStyle w:val="Hyperlink"/>
            <w:rFonts w:cs="Calibri"/>
            <w:sz w:val="24"/>
            <w:szCs w:val="24"/>
          </w:rPr>
          <w:t>https://assets.publishing.service.gov.uk/government/uploads/system/uploads/attachment_data/file/243479/9780108511622.pdf</w:t>
        </w:r>
      </w:hyperlink>
      <w:r w:rsidRPr="00E759BA">
        <w:rPr>
          <w:rFonts w:cs="Calibri"/>
          <w:sz w:val="24"/>
          <w:szCs w:val="24"/>
        </w:rPr>
        <w:t>. [Accessed on 30</w:t>
      </w:r>
      <w:r w:rsidRPr="00E759BA">
        <w:rPr>
          <w:rFonts w:cs="Calibri"/>
          <w:sz w:val="24"/>
          <w:szCs w:val="24"/>
          <w:vertAlign w:val="superscript"/>
        </w:rPr>
        <w:t>th</w:t>
      </w:r>
      <w:r w:rsidRPr="00E759BA">
        <w:rPr>
          <w:rFonts w:cs="Calibri"/>
          <w:sz w:val="24"/>
          <w:szCs w:val="24"/>
        </w:rPr>
        <w:t xml:space="preserve"> June 2021]. </w:t>
      </w:r>
    </w:p>
    <w:p w14:paraId="1EE64145" w14:textId="77777777" w:rsidR="00E759BA" w:rsidRPr="00E759BA" w:rsidRDefault="00E759BA" w:rsidP="00E759BA">
      <w:pPr>
        <w:spacing w:line="360" w:lineRule="auto"/>
        <w:rPr>
          <w:rFonts w:cs="Calibri"/>
          <w:sz w:val="24"/>
          <w:szCs w:val="24"/>
        </w:rPr>
      </w:pPr>
      <w:r w:rsidRPr="00E759BA">
        <w:rPr>
          <w:rFonts w:cs="Calibri"/>
          <w:color w:val="000000"/>
          <w:sz w:val="24"/>
          <w:szCs w:val="24"/>
        </w:rPr>
        <w:t>Independent Police Complaints Commission (IPCC). 2011.</w:t>
      </w:r>
      <w:r w:rsidRPr="00E759BA">
        <w:rPr>
          <w:rFonts w:cs="Calibri"/>
          <w:sz w:val="24"/>
          <w:szCs w:val="24"/>
        </w:rPr>
        <w:t xml:space="preserve"> </w:t>
      </w:r>
      <w:r w:rsidRPr="00E759BA">
        <w:rPr>
          <w:rFonts w:cs="Calibri"/>
          <w:i/>
          <w:iCs/>
          <w:color w:val="000000"/>
          <w:sz w:val="24"/>
          <w:szCs w:val="24"/>
        </w:rPr>
        <w:t>IPCC report into the contact between Fiona Pilkington and Leicestershire Constabulary 2004-2007.</w:t>
      </w:r>
      <w:r w:rsidRPr="00E759BA">
        <w:rPr>
          <w:rFonts w:cs="Calibri"/>
          <w:color w:val="000000"/>
          <w:sz w:val="24"/>
          <w:szCs w:val="24"/>
        </w:rPr>
        <w:t xml:space="preserve"> [PDF] Available at: </w:t>
      </w:r>
      <w:hyperlink r:id="rId19" w:tgtFrame="_blank" w:history="1">
        <w:r w:rsidRPr="00E759BA">
          <w:rPr>
            <w:rStyle w:val="Hyperlink"/>
            <w:rFonts w:cs="Calibri"/>
            <w:sz w:val="24"/>
            <w:szCs w:val="24"/>
          </w:rPr>
          <w:t>https://www.report-it.org.uk/files/ipcc_report-fiona-pilkington-leicestershire.pdf</w:t>
        </w:r>
      </w:hyperlink>
      <w:r w:rsidRPr="00E759BA">
        <w:rPr>
          <w:rFonts w:cs="Calibri"/>
          <w:sz w:val="24"/>
          <w:szCs w:val="24"/>
        </w:rPr>
        <w:t>. [Accessed on 30</w:t>
      </w:r>
      <w:r w:rsidRPr="00E759BA">
        <w:rPr>
          <w:rFonts w:cs="Calibri"/>
          <w:sz w:val="24"/>
          <w:szCs w:val="24"/>
          <w:vertAlign w:val="superscript"/>
        </w:rPr>
        <w:t>th</w:t>
      </w:r>
      <w:r w:rsidRPr="00E759BA">
        <w:rPr>
          <w:rFonts w:cs="Calibri"/>
          <w:sz w:val="24"/>
          <w:szCs w:val="24"/>
        </w:rPr>
        <w:t xml:space="preserve"> June 2021].</w:t>
      </w:r>
    </w:p>
    <w:p w14:paraId="2B7249FD" w14:textId="5372D2D1" w:rsidR="00225BFE" w:rsidRPr="00E759BA" w:rsidRDefault="00225BFE" w:rsidP="00E759BA">
      <w:pPr>
        <w:spacing w:line="360" w:lineRule="auto"/>
        <w:rPr>
          <w:sz w:val="24"/>
          <w:szCs w:val="24"/>
        </w:rPr>
      </w:pPr>
      <w:r w:rsidRPr="00E759BA">
        <w:rPr>
          <w:sz w:val="24"/>
          <w:szCs w:val="24"/>
        </w:rPr>
        <w:t xml:space="preserve">Institute of community cohesion (IOCC). 2010. </w:t>
      </w:r>
      <w:r w:rsidRPr="00E759BA">
        <w:rPr>
          <w:i/>
          <w:iCs/>
          <w:sz w:val="24"/>
          <w:szCs w:val="24"/>
        </w:rPr>
        <w:t xml:space="preserve">Understanding and monitoring tension and conflict in local communities A practical guide for local authorities, police service and partner agencies. </w:t>
      </w:r>
      <w:r w:rsidRPr="00E759BA">
        <w:rPr>
          <w:sz w:val="24"/>
          <w:szCs w:val="24"/>
        </w:rPr>
        <w:t xml:space="preserve">[PDF]. Available at: </w:t>
      </w:r>
      <w:hyperlink r:id="rId20" w:history="1">
        <w:r w:rsidRPr="00E759BA">
          <w:rPr>
            <w:rStyle w:val="Hyperlink"/>
            <w:sz w:val="24"/>
            <w:szCs w:val="24"/>
          </w:rPr>
          <w:t xml:space="preserve">Tension monitoring guidance </w:t>
        </w:r>
        <w:proofErr w:type="spellStart"/>
        <w:r w:rsidRPr="00E759BA">
          <w:rPr>
            <w:rStyle w:val="Hyperlink"/>
            <w:sz w:val="24"/>
            <w:szCs w:val="24"/>
          </w:rPr>
          <w:t>iCoCo</w:t>
        </w:r>
        <w:proofErr w:type="spellEnd"/>
        <w:r w:rsidRPr="00E759BA">
          <w:rPr>
            <w:rStyle w:val="Hyperlink"/>
            <w:sz w:val="24"/>
            <w:szCs w:val="24"/>
          </w:rPr>
          <w:t xml:space="preserve"> 2010.pdf (uwtsd.ac.uk)</w:t>
        </w:r>
      </w:hyperlink>
      <w:r w:rsidRPr="00E759BA">
        <w:rPr>
          <w:sz w:val="24"/>
          <w:szCs w:val="24"/>
        </w:rPr>
        <w:t>. [Accessed on 10</w:t>
      </w:r>
      <w:r w:rsidRPr="00E759BA">
        <w:rPr>
          <w:sz w:val="24"/>
          <w:szCs w:val="24"/>
          <w:vertAlign w:val="superscript"/>
        </w:rPr>
        <w:t>th</w:t>
      </w:r>
      <w:r w:rsidRPr="00E759BA">
        <w:rPr>
          <w:sz w:val="24"/>
          <w:szCs w:val="24"/>
        </w:rPr>
        <w:t xml:space="preserve"> June 2021].</w:t>
      </w:r>
    </w:p>
    <w:p w14:paraId="04802712" w14:textId="77777777" w:rsidR="00E759BA" w:rsidRPr="00E759BA" w:rsidRDefault="00E759BA" w:rsidP="00E759BA">
      <w:pPr>
        <w:spacing w:line="360" w:lineRule="auto"/>
        <w:rPr>
          <w:rFonts w:cs="Calibri"/>
          <w:sz w:val="24"/>
          <w:szCs w:val="24"/>
        </w:rPr>
      </w:pPr>
      <w:r w:rsidRPr="00E759BA">
        <w:rPr>
          <w:rFonts w:cs="Calibri"/>
          <w:color w:val="000000"/>
          <w:sz w:val="24"/>
          <w:szCs w:val="24"/>
        </w:rPr>
        <w:t xml:space="preserve">JESIP. 2020. </w:t>
      </w:r>
      <w:r w:rsidRPr="00E759BA">
        <w:rPr>
          <w:rFonts w:cs="Calibri"/>
          <w:i/>
          <w:iCs/>
          <w:color w:val="000000"/>
          <w:sz w:val="24"/>
          <w:szCs w:val="24"/>
        </w:rPr>
        <w:t>M/ETHANE.</w:t>
      </w:r>
      <w:r w:rsidRPr="00E759BA">
        <w:rPr>
          <w:rFonts w:cs="Calibri"/>
          <w:color w:val="000000"/>
          <w:sz w:val="24"/>
          <w:szCs w:val="24"/>
        </w:rPr>
        <w:t xml:space="preserve"> [Online] Available </w:t>
      </w:r>
      <w:proofErr w:type="spellStart"/>
      <w:r w:rsidRPr="00E759BA">
        <w:rPr>
          <w:rFonts w:cs="Calibri"/>
          <w:color w:val="000000"/>
          <w:sz w:val="24"/>
          <w:szCs w:val="24"/>
        </w:rPr>
        <w:t>at:</w:t>
      </w:r>
      <w:hyperlink r:id="rId21" w:tgtFrame="_blank" w:history="1">
        <w:r w:rsidRPr="00E759BA">
          <w:rPr>
            <w:rStyle w:val="Hyperlink"/>
            <w:rFonts w:cs="Calibri"/>
            <w:sz w:val="24"/>
            <w:szCs w:val="24"/>
          </w:rPr>
          <w:t>https</w:t>
        </w:r>
        <w:proofErr w:type="spellEnd"/>
        <w:r w:rsidRPr="00E759BA">
          <w:rPr>
            <w:rStyle w:val="Hyperlink"/>
            <w:rFonts w:cs="Calibri"/>
            <w:sz w:val="24"/>
            <w:szCs w:val="24"/>
          </w:rPr>
          <w:t>://www.jesip.org.uk/methane</w:t>
        </w:r>
      </w:hyperlink>
      <w:r w:rsidRPr="00E759BA">
        <w:rPr>
          <w:rFonts w:cs="Calibri"/>
          <w:sz w:val="24"/>
          <w:szCs w:val="24"/>
        </w:rPr>
        <w:t>. [Accessed on 30</w:t>
      </w:r>
      <w:r w:rsidRPr="00E759BA">
        <w:rPr>
          <w:rFonts w:cs="Calibri"/>
          <w:sz w:val="24"/>
          <w:szCs w:val="24"/>
          <w:vertAlign w:val="superscript"/>
        </w:rPr>
        <w:t>th</w:t>
      </w:r>
      <w:r w:rsidRPr="00E759BA">
        <w:rPr>
          <w:rFonts w:cs="Calibri"/>
          <w:sz w:val="24"/>
          <w:szCs w:val="24"/>
        </w:rPr>
        <w:t xml:space="preserve"> June 2021]</w:t>
      </w:r>
    </w:p>
    <w:p w14:paraId="2297A5B8" w14:textId="77777777" w:rsidR="00E759BA" w:rsidRPr="00E759BA" w:rsidRDefault="00E759BA" w:rsidP="00E759BA">
      <w:pPr>
        <w:spacing w:line="360" w:lineRule="auto"/>
        <w:rPr>
          <w:sz w:val="24"/>
          <w:szCs w:val="24"/>
        </w:rPr>
      </w:pPr>
      <w:r w:rsidRPr="00E759BA">
        <w:rPr>
          <w:sz w:val="24"/>
          <w:szCs w:val="24"/>
        </w:rPr>
        <w:t xml:space="preserve">Lee, J., Go, M., Kim, Y., </w:t>
      </w:r>
      <w:proofErr w:type="spellStart"/>
      <w:r w:rsidRPr="00E759BA">
        <w:rPr>
          <w:sz w:val="24"/>
          <w:szCs w:val="24"/>
        </w:rPr>
        <w:t>Joo</w:t>
      </w:r>
      <w:proofErr w:type="spellEnd"/>
      <w:r w:rsidRPr="00E759BA">
        <w:rPr>
          <w:sz w:val="24"/>
          <w:szCs w:val="24"/>
        </w:rPr>
        <w:t xml:space="preserve">, M., </w:t>
      </w:r>
      <w:proofErr w:type="spellStart"/>
      <w:r w:rsidRPr="00E759BA">
        <w:rPr>
          <w:sz w:val="24"/>
          <w:szCs w:val="24"/>
        </w:rPr>
        <w:t>Seo</w:t>
      </w:r>
      <w:proofErr w:type="spellEnd"/>
      <w:r w:rsidRPr="00E759BA">
        <w:rPr>
          <w:sz w:val="24"/>
          <w:szCs w:val="24"/>
        </w:rPr>
        <w:t xml:space="preserve">, J., Oh, H., </w:t>
      </w:r>
      <w:proofErr w:type="spellStart"/>
      <w:r w:rsidRPr="00E759BA">
        <w:rPr>
          <w:sz w:val="24"/>
          <w:szCs w:val="24"/>
        </w:rPr>
        <w:t>Kauh</w:t>
      </w:r>
      <w:proofErr w:type="spellEnd"/>
      <w:r w:rsidRPr="00E759BA">
        <w:rPr>
          <w:sz w:val="24"/>
          <w:szCs w:val="24"/>
        </w:rPr>
        <w:t xml:space="preserve">, J. Lee, K. 2020. A Multi-Component Analysis of CPTED in the Cyberspace Domain. [Online]. Available at: https://res.mdpi.com/d_attachment/sensors/sensors-20-03968/article_deploy/sensors-20-03968.pdf. [Accessed on 24th June </w:t>
      </w:r>
      <w:proofErr w:type="gramStart"/>
      <w:r w:rsidRPr="00E759BA">
        <w:rPr>
          <w:sz w:val="24"/>
          <w:szCs w:val="24"/>
        </w:rPr>
        <w:t>2021 ]</w:t>
      </w:r>
      <w:proofErr w:type="gramEnd"/>
      <w:r w:rsidRPr="00E759BA">
        <w:rPr>
          <w:sz w:val="24"/>
          <w:szCs w:val="24"/>
        </w:rPr>
        <w:t>.</w:t>
      </w:r>
    </w:p>
    <w:p w14:paraId="5DA5430E" w14:textId="19C9AF77" w:rsidR="00E759BA" w:rsidRPr="00E759BA" w:rsidRDefault="00E759BA" w:rsidP="00E759BA">
      <w:pPr>
        <w:spacing w:line="360" w:lineRule="auto"/>
        <w:rPr>
          <w:sz w:val="24"/>
          <w:szCs w:val="24"/>
        </w:rPr>
      </w:pPr>
      <w:r w:rsidRPr="00E759BA">
        <w:rPr>
          <w:sz w:val="24"/>
          <w:szCs w:val="24"/>
        </w:rPr>
        <w:t xml:space="preserve">Lee, Y., </w:t>
      </w:r>
      <w:proofErr w:type="spellStart"/>
      <w:r w:rsidRPr="00E759BA">
        <w:rPr>
          <w:sz w:val="24"/>
          <w:szCs w:val="24"/>
        </w:rPr>
        <w:t>SooHyun</w:t>
      </w:r>
      <w:proofErr w:type="spellEnd"/>
      <w:r w:rsidRPr="00E759BA">
        <w:rPr>
          <w:sz w:val="24"/>
          <w:szCs w:val="24"/>
        </w:rPr>
        <w:t>, O. 2019. Flag and boost theories for hot spot forecasting: An application of NIJ’s Real-Time Crime forecasting algorithm using Colorado Springs crime data. International Journal of Police Science &amp; Management. 22(1) pp 4-15.</w:t>
      </w:r>
    </w:p>
    <w:p w14:paraId="38694D79" w14:textId="77777777" w:rsidR="00E759BA" w:rsidRPr="00E759BA" w:rsidRDefault="00E759BA" w:rsidP="00E759BA">
      <w:pPr>
        <w:spacing w:line="360" w:lineRule="auto"/>
        <w:rPr>
          <w:rFonts w:cs="Calibri"/>
          <w:sz w:val="24"/>
          <w:szCs w:val="24"/>
        </w:rPr>
      </w:pPr>
      <w:r w:rsidRPr="00E759BA">
        <w:rPr>
          <w:rFonts w:cs="Calibri"/>
          <w:color w:val="000000"/>
          <w:sz w:val="24"/>
          <w:szCs w:val="24"/>
        </w:rPr>
        <w:lastRenderedPageBreak/>
        <w:t xml:space="preserve">London Emergency Services Liaison Panel (LELSP). 2019. </w:t>
      </w:r>
      <w:r w:rsidRPr="00E759BA">
        <w:rPr>
          <w:rFonts w:cs="Calibri"/>
          <w:i/>
          <w:iCs/>
          <w:sz w:val="24"/>
          <w:szCs w:val="24"/>
        </w:rPr>
        <w:t xml:space="preserve">Major Incident Procedure Manual. </w:t>
      </w:r>
      <w:r w:rsidRPr="00E759BA">
        <w:rPr>
          <w:rFonts w:cs="Calibri"/>
          <w:sz w:val="24"/>
          <w:szCs w:val="24"/>
        </w:rPr>
        <w:t xml:space="preserve">[PDF] Available at: </w:t>
      </w:r>
      <w:hyperlink r:id="rId22" w:tgtFrame="_blank" w:history="1">
        <w:r w:rsidRPr="00E759BA">
          <w:rPr>
            <w:rStyle w:val="Hyperlink"/>
            <w:rFonts w:cs="Calibri"/>
            <w:sz w:val="24"/>
            <w:szCs w:val="24"/>
          </w:rPr>
          <w:t>https://www.london.gov.uk/sites/default/files/leslp_mi_procedure_manual_2019_version_10.1.pdf</w:t>
        </w:r>
      </w:hyperlink>
      <w:r w:rsidRPr="00E759BA">
        <w:rPr>
          <w:rFonts w:cs="Calibri"/>
          <w:sz w:val="24"/>
          <w:szCs w:val="24"/>
        </w:rPr>
        <w:t>. [Accessed on 30</w:t>
      </w:r>
      <w:r w:rsidRPr="00E759BA">
        <w:rPr>
          <w:rFonts w:cs="Calibri"/>
          <w:sz w:val="24"/>
          <w:szCs w:val="24"/>
          <w:vertAlign w:val="superscript"/>
        </w:rPr>
        <w:t>th</w:t>
      </w:r>
      <w:r w:rsidRPr="00E759BA">
        <w:rPr>
          <w:rFonts w:cs="Calibri"/>
          <w:sz w:val="24"/>
          <w:szCs w:val="24"/>
        </w:rPr>
        <w:t xml:space="preserve"> June 2021].</w:t>
      </w:r>
      <w:r w:rsidRPr="00E759BA">
        <w:rPr>
          <w:rFonts w:cs="Calibri"/>
          <w:color w:val="000000"/>
          <w:sz w:val="24"/>
          <w:szCs w:val="24"/>
        </w:rPr>
        <w:t> </w:t>
      </w:r>
    </w:p>
    <w:p w14:paraId="3AAC9EBE" w14:textId="21D53188" w:rsidR="00E759BA" w:rsidRPr="00E759BA" w:rsidRDefault="00E759BA" w:rsidP="00E759BA">
      <w:pPr>
        <w:spacing w:line="360" w:lineRule="auto"/>
        <w:rPr>
          <w:sz w:val="24"/>
          <w:szCs w:val="24"/>
        </w:rPr>
      </w:pPr>
      <w:r w:rsidRPr="00E759BA">
        <w:rPr>
          <w:sz w:val="24"/>
          <w:szCs w:val="24"/>
        </w:rPr>
        <w:t>Manual for Analysts. [PDF] Available at: https://www.unodc.org/documents/organized-crime/Law-Enforcement/Criminal_Intelligence_for_Analysts.pdf. [Accessed on 24th June 202</w:t>
      </w:r>
      <w:r w:rsidRPr="00E759BA">
        <w:rPr>
          <w:sz w:val="24"/>
          <w:szCs w:val="24"/>
        </w:rPr>
        <w:t>1</w:t>
      </w:r>
      <w:r w:rsidRPr="00E759BA">
        <w:rPr>
          <w:sz w:val="24"/>
          <w:szCs w:val="24"/>
        </w:rPr>
        <w:t>].</w:t>
      </w:r>
    </w:p>
    <w:p w14:paraId="645F4566" w14:textId="77777777" w:rsidR="00E759BA" w:rsidRPr="00E759BA" w:rsidRDefault="00E759BA" w:rsidP="00E759BA">
      <w:pPr>
        <w:spacing w:line="360" w:lineRule="auto"/>
        <w:rPr>
          <w:rFonts w:cs="Calibri"/>
          <w:sz w:val="24"/>
          <w:szCs w:val="24"/>
        </w:rPr>
      </w:pPr>
      <w:r w:rsidRPr="00E759BA">
        <w:rPr>
          <w:rFonts w:cs="Calibri"/>
          <w:color w:val="000000"/>
          <w:sz w:val="24"/>
          <w:szCs w:val="24"/>
        </w:rPr>
        <w:t xml:space="preserve">McLeod, Saul. 2020. Maslow's Hierarchy of Needs. [Online] Available </w:t>
      </w:r>
      <w:proofErr w:type="spellStart"/>
      <w:r w:rsidRPr="00E759BA">
        <w:rPr>
          <w:rFonts w:cs="Calibri"/>
          <w:color w:val="000000"/>
          <w:sz w:val="24"/>
          <w:szCs w:val="24"/>
        </w:rPr>
        <w:t>at:</w:t>
      </w:r>
      <w:hyperlink r:id="rId23" w:tgtFrame="_blank" w:history="1">
        <w:r w:rsidRPr="00E759BA">
          <w:rPr>
            <w:rStyle w:val="Hyperlink"/>
            <w:rFonts w:cs="Calibri"/>
            <w:sz w:val="24"/>
            <w:szCs w:val="24"/>
          </w:rPr>
          <w:t>https</w:t>
        </w:r>
        <w:proofErr w:type="spellEnd"/>
        <w:r w:rsidRPr="00E759BA">
          <w:rPr>
            <w:rStyle w:val="Hyperlink"/>
            <w:rFonts w:cs="Calibri"/>
            <w:sz w:val="24"/>
            <w:szCs w:val="24"/>
          </w:rPr>
          <w:t>://www.simplypsychology.org/maslow.html</w:t>
        </w:r>
      </w:hyperlink>
      <w:r w:rsidRPr="00E759BA">
        <w:rPr>
          <w:rFonts w:cs="Calibri"/>
          <w:sz w:val="24"/>
          <w:szCs w:val="24"/>
        </w:rPr>
        <w:t>. [Accessed on 30</w:t>
      </w:r>
      <w:r w:rsidRPr="00E759BA">
        <w:rPr>
          <w:rFonts w:cs="Calibri"/>
          <w:sz w:val="24"/>
          <w:szCs w:val="24"/>
          <w:vertAlign w:val="superscript"/>
        </w:rPr>
        <w:t>th</w:t>
      </w:r>
      <w:r w:rsidRPr="00E759BA">
        <w:rPr>
          <w:rFonts w:cs="Calibri"/>
          <w:sz w:val="24"/>
          <w:szCs w:val="24"/>
        </w:rPr>
        <w:t xml:space="preserve"> June 2021].</w:t>
      </w:r>
    </w:p>
    <w:p w14:paraId="5A8D3797" w14:textId="77777777" w:rsidR="00225BFE" w:rsidRPr="00E759BA" w:rsidRDefault="00225BFE" w:rsidP="00E759BA">
      <w:pPr>
        <w:spacing w:line="360" w:lineRule="auto"/>
        <w:rPr>
          <w:sz w:val="24"/>
          <w:szCs w:val="24"/>
        </w:rPr>
      </w:pPr>
      <w:r w:rsidRPr="00E759BA">
        <w:rPr>
          <w:sz w:val="24"/>
          <w:szCs w:val="24"/>
        </w:rPr>
        <w:t xml:space="preserve">Murphy, K., Cherney, A. 2012. Understanding Cooperation </w:t>
      </w:r>
      <w:proofErr w:type="gramStart"/>
      <w:r w:rsidRPr="00E759BA">
        <w:rPr>
          <w:sz w:val="24"/>
          <w:szCs w:val="24"/>
        </w:rPr>
        <w:t>With</w:t>
      </w:r>
      <w:proofErr w:type="gramEnd"/>
      <w:r w:rsidRPr="00E759BA">
        <w:rPr>
          <w:sz w:val="24"/>
          <w:szCs w:val="24"/>
        </w:rPr>
        <w:t xml:space="preserve"> Police in a Diverse Society. </w:t>
      </w:r>
      <w:r w:rsidRPr="00E759BA">
        <w:rPr>
          <w:i/>
          <w:iCs/>
          <w:sz w:val="24"/>
          <w:szCs w:val="24"/>
        </w:rPr>
        <w:t xml:space="preserve">The British Journal of Criminology. </w:t>
      </w:r>
      <w:r w:rsidRPr="00E759BA">
        <w:rPr>
          <w:sz w:val="24"/>
          <w:szCs w:val="24"/>
        </w:rPr>
        <w:t>52(1) pp 181-201.</w:t>
      </w:r>
    </w:p>
    <w:p w14:paraId="6CECC2D1" w14:textId="2D019A6D" w:rsidR="00E759BA" w:rsidRPr="00E759BA" w:rsidRDefault="00225BFE" w:rsidP="00E759BA">
      <w:pPr>
        <w:spacing w:line="360" w:lineRule="auto"/>
        <w:rPr>
          <w:sz w:val="24"/>
          <w:szCs w:val="24"/>
        </w:rPr>
      </w:pPr>
      <w:proofErr w:type="spellStart"/>
      <w:r w:rsidRPr="00E759BA">
        <w:rPr>
          <w:sz w:val="24"/>
          <w:szCs w:val="24"/>
        </w:rPr>
        <w:t>Myhill</w:t>
      </w:r>
      <w:proofErr w:type="spellEnd"/>
      <w:r w:rsidRPr="00E759BA">
        <w:rPr>
          <w:sz w:val="24"/>
          <w:szCs w:val="24"/>
        </w:rPr>
        <w:t xml:space="preserve">, A. 2012. </w:t>
      </w:r>
      <w:r w:rsidRPr="00E759BA">
        <w:rPr>
          <w:i/>
          <w:iCs/>
          <w:sz w:val="24"/>
          <w:szCs w:val="24"/>
        </w:rPr>
        <w:t xml:space="preserve">Community engagement in policing Lessons from the literature. </w:t>
      </w:r>
      <w:r w:rsidRPr="00E759BA">
        <w:rPr>
          <w:sz w:val="24"/>
          <w:szCs w:val="24"/>
        </w:rPr>
        <w:t xml:space="preserve">[PDF]. Available at: </w:t>
      </w:r>
      <w:hyperlink r:id="rId24" w:history="1">
        <w:r w:rsidRPr="00E759BA">
          <w:rPr>
            <w:rStyle w:val="Hyperlink"/>
            <w:sz w:val="24"/>
            <w:szCs w:val="24"/>
          </w:rPr>
          <w:t>https://whatworks.college.police.uk/Research/Documents/Community_engagement_lessons.pdf</w:t>
        </w:r>
      </w:hyperlink>
      <w:r w:rsidRPr="00E759BA">
        <w:rPr>
          <w:sz w:val="24"/>
          <w:szCs w:val="24"/>
        </w:rPr>
        <w:t>. [Accessed on 10</w:t>
      </w:r>
      <w:r w:rsidRPr="00E759BA">
        <w:rPr>
          <w:sz w:val="24"/>
          <w:szCs w:val="24"/>
          <w:vertAlign w:val="superscript"/>
        </w:rPr>
        <w:t>th</w:t>
      </w:r>
      <w:r w:rsidRPr="00E759BA">
        <w:rPr>
          <w:sz w:val="24"/>
          <w:szCs w:val="24"/>
        </w:rPr>
        <w:t xml:space="preserve"> June 2021].</w:t>
      </w:r>
    </w:p>
    <w:p w14:paraId="33D6A0AC" w14:textId="76E117C1" w:rsidR="00E759BA" w:rsidRDefault="00E759BA" w:rsidP="00E759BA">
      <w:pPr>
        <w:spacing w:line="360" w:lineRule="auto"/>
        <w:rPr>
          <w:rFonts w:cs="Calibri"/>
          <w:color w:val="000000"/>
          <w:sz w:val="24"/>
          <w:szCs w:val="24"/>
        </w:rPr>
      </w:pPr>
      <w:proofErr w:type="spellStart"/>
      <w:r w:rsidRPr="00E759BA">
        <w:rPr>
          <w:rFonts w:cs="Calibri"/>
          <w:color w:val="000000"/>
          <w:sz w:val="24"/>
          <w:szCs w:val="24"/>
        </w:rPr>
        <w:t>Myhill</w:t>
      </w:r>
      <w:proofErr w:type="spellEnd"/>
      <w:r w:rsidRPr="00E759BA">
        <w:rPr>
          <w:rFonts w:cs="Calibri"/>
          <w:color w:val="000000"/>
          <w:sz w:val="24"/>
          <w:szCs w:val="24"/>
        </w:rPr>
        <w:t xml:space="preserve">, A., </w:t>
      </w:r>
      <w:proofErr w:type="spellStart"/>
      <w:r w:rsidRPr="00E759BA">
        <w:rPr>
          <w:rFonts w:cs="Calibri"/>
          <w:color w:val="000000"/>
          <w:sz w:val="24"/>
          <w:szCs w:val="24"/>
        </w:rPr>
        <w:t>Quiton</w:t>
      </w:r>
      <w:proofErr w:type="spellEnd"/>
      <w:r w:rsidRPr="00E759BA">
        <w:rPr>
          <w:rFonts w:cs="Calibri"/>
          <w:color w:val="000000"/>
          <w:sz w:val="24"/>
          <w:szCs w:val="24"/>
        </w:rPr>
        <w:t xml:space="preserve">, P. 2011. </w:t>
      </w:r>
      <w:proofErr w:type="gramStart"/>
      <w:r w:rsidRPr="00E759BA">
        <w:rPr>
          <w:rFonts w:cs="Calibri"/>
          <w:i/>
          <w:iCs/>
          <w:color w:val="000000"/>
          <w:sz w:val="24"/>
          <w:szCs w:val="24"/>
        </w:rPr>
        <w:t>It’s</w:t>
      </w:r>
      <w:proofErr w:type="gramEnd"/>
      <w:r w:rsidRPr="00E759BA">
        <w:rPr>
          <w:rFonts w:cs="Calibri"/>
          <w:i/>
          <w:iCs/>
          <w:color w:val="000000"/>
          <w:sz w:val="24"/>
          <w:szCs w:val="24"/>
        </w:rPr>
        <w:t xml:space="preserve"> a fair cop? Police legitimacy, public cooperation, and crime reduction </w:t>
      </w:r>
      <w:proofErr w:type="gramStart"/>
      <w:r w:rsidRPr="00E759BA">
        <w:rPr>
          <w:rFonts w:cs="Calibri"/>
          <w:i/>
          <w:iCs/>
          <w:color w:val="000000"/>
          <w:sz w:val="24"/>
          <w:szCs w:val="24"/>
        </w:rPr>
        <w:t>An</w:t>
      </w:r>
      <w:proofErr w:type="gramEnd"/>
      <w:r w:rsidRPr="00E759BA">
        <w:rPr>
          <w:rFonts w:cs="Calibri"/>
          <w:i/>
          <w:iCs/>
          <w:color w:val="000000"/>
          <w:sz w:val="24"/>
          <w:szCs w:val="24"/>
        </w:rPr>
        <w:t xml:space="preserve"> interpretative evidence commentary. </w:t>
      </w:r>
      <w:r w:rsidRPr="00E759BA">
        <w:rPr>
          <w:rFonts w:cs="Calibri"/>
          <w:color w:val="000000"/>
          <w:sz w:val="24"/>
          <w:szCs w:val="24"/>
        </w:rPr>
        <w:t xml:space="preserve">[PDF] Available at </w:t>
      </w:r>
      <w:hyperlink r:id="rId25" w:tgtFrame="_blank" w:history="1">
        <w:r w:rsidRPr="00E759BA">
          <w:rPr>
            <w:rStyle w:val="Hyperlink"/>
            <w:rFonts w:cs="Calibri"/>
            <w:sz w:val="24"/>
            <w:szCs w:val="24"/>
          </w:rPr>
          <w:t>https://whatworks.college.police.uk/Research/Documents/Fair_cop_Full_Report.pdf</w:t>
        </w:r>
      </w:hyperlink>
      <w:r w:rsidRPr="00E759BA">
        <w:rPr>
          <w:rFonts w:cs="Calibri"/>
          <w:sz w:val="24"/>
          <w:szCs w:val="24"/>
        </w:rPr>
        <w:t>. [Accessed on 30</w:t>
      </w:r>
      <w:r w:rsidRPr="00E759BA">
        <w:rPr>
          <w:rFonts w:cs="Calibri"/>
          <w:sz w:val="24"/>
          <w:szCs w:val="24"/>
          <w:vertAlign w:val="superscript"/>
        </w:rPr>
        <w:t>th</w:t>
      </w:r>
      <w:r w:rsidRPr="00E759BA">
        <w:rPr>
          <w:rFonts w:cs="Calibri"/>
          <w:sz w:val="24"/>
          <w:szCs w:val="24"/>
        </w:rPr>
        <w:t xml:space="preserve"> June 2021].</w:t>
      </w:r>
      <w:r w:rsidRPr="00E759BA">
        <w:rPr>
          <w:rFonts w:cs="Calibri"/>
          <w:color w:val="000000"/>
          <w:sz w:val="24"/>
          <w:szCs w:val="24"/>
        </w:rPr>
        <w:t> </w:t>
      </w:r>
    </w:p>
    <w:p w14:paraId="5D4E9FFC" w14:textId="77777777" w:rsidR="00E759BA" w:rsidRPr="00E759BA" w:rsidRDefault="00E759BA" w:rsidP="00E759BA">
      <w:pPr>
        <w:spacing w:line="360" w:lineRule="auto"/>
        <w:rPr>
          <w:rFonts w:cstheme="minorHAnsi"/>
          <w:sz w:val="24"/>
          <w:szCs w:val="24"/>
        </w:rPr>
      </w:pPr>
      <w:r w:rsidRPr="00E759BA">
        <w:rPr>
          <w:rFonts w:cstheme="minorHAnsi"/>
          <w:sz w:val="24"/>
          <w:szCs w:val="24"/>
        </w:rPr>
        <w:t xml:space="preserve">National Police Chiefs’ Council (NPCC). 2018. </w:t>
      </w:r>
      <w:r w:rsidRPr="00E759BA">
        <w:rPr>
          <w:rFonts w:cstheme="minorHAnsi"/>
          <w:i/>
          <w:iCs/>
          <w:sz w:val="24"/>
          <w:szCs w:val="24"/>
        </w:rPr>
        <w:t xml:space="preserve">Policing Our Roads Together A 3-Year Strategy 2018-2021. </w:t>
      </w:r>
      <w:r w:rsidRPr="00E759BA">
        <w:rPr>
          <w:rFonts w:cstheme="minorHAnsi"/>
          <w:sz w:val="24"/>
          <w:szCs w:val="24"/>
        </w:rPr>
        <w:t xml:space="preserve">[PDF]. Available at: </w:t>
      </w:r>
      <w:hyperlink r:id="rId26" w:history="1">
        <w:r w:rsidRPr="00E759BA">
          <w:rPr>
            <w:rStyle w:val="Hyperlink"/>
            <w:rFonts w:cstheme="minorHAnsi"/>
            <w:sz w:val="24"/>
            <w:szCs w:val="24"/>
          </w:rPr>
          <w:t>https://library.college.police.uk/docs/appref/Policing-our-Roads-Together-partners-copy.pdf</w:t>
        </w:r>
      </w:hyperlink>
      <w:r w:rsidRPr="00E759BA">
        <w:rPr>
          <w:rFonts w:cstheme="minorHAnsi"/>
          <w:sz w:val="24"/>
          <w:szCs w:val="24"/>
        </w:rPr>
        <w:t>. [Accessed on 16</w:t>
      </w:r>
      <w:r w:rsidRPr="00E759BA">
        <w:rPr>
          <w:rFonts w:cstheme="minorHAnsi"/>
          <w:sz w:val="24"/>
          <w:szCs w:val="24"/>
          <w:vertAlign w:val="superscript"/>
        </w:rPr>
        <w:t>th</w:t>
      </w:r>
      <w:r w:rsidRPr="00E759BA">
        <w:rPr>
          <w:rFonts w:cstheme="minorHAnsi"/>
          <w:sz w:val="24"/>
          <w:szCs w:val="24"/>
        </w:rPr>
        <w:t xml:space="preserve"> July 2021].</w:t>
      </w:r>
    </w:p>
    <w:p w14:paraId="4BDEB5AF" w14:textId="72574031" w:rsidR="00E759BA" w:rsidRDefault="00E759BA" w:rsidP="00E759BA">
      <w:pPr>
        <w:spacing w:line="360" w:lineRule="auto"/>
        <w:rPr>
          <w:rFonts w:cs="Calibri"/>
          <w:sz w:val="24"/>
          <w:szCs w:val="24"/>
        </w:rPr>
      </w:pPr>
      <w:r w:rsidRPr="00E759BA">
        <w:rPr>
          <w:rFonts w:cs="Calibri"/>
          <w:color w:val="000000"/>
          <w:sz w:val="24"/>
          <w:szCs w:val="24"/>
        </w:rPr>
        <w:t xml:space="preserve">National Policing Improvement Agency (NPIA). 2011. </w:t>
      </w:r>
      <w:r w:rsidRPr="00E759BA">
        <w:rPr>
          <w:rFonts w:cs="Calibri"/>
          <w:i/>
          <w:iCs/>
          <w:color w:val="000000"/>
          <w:sz w:val="24"/>
          <w:szCs w:val="24"/>
        </w:rPr>
        <w:t xml:space="preserve">Critical Incident Management. </w:t>
      </w:r>
      <w:r w:rsidRPr="00E759BA">
        <w:rPr>
          <w:rFonts w:cs="Calibri"/>
          <w:color w:val="000000"/>
          <w:sz w:val="24"/>
          <w:szCs w:val="24"/>
        </w:rPr>
        <w:t xml:space="preserve">[PDF] Available at: </w:t>
      </w:r>
      <w:hyperlink r:id="rId27" w:tgtFrame="_blank" w:history="1">
        <w:r w:rsidRPr="00E759BA">
          <w:rPr>
            <w:rStyle w:val="Hyperlink"/>
            <w:rFonts w:cs="Calibri"/>
            <w:sz w:val="24"/>
            <w:szCs w:val="24"/>
          </w:rPr>
          <w:t>https://library.college.police.uk/docs/NPIA/Practice-Advice-on-CIM-Jul2011.pdf</w:t>
        </w:r>
      </w:hyperlink>
      <w:r w:rsidRPr="00E759BA">
        <w:rPr>
          <w:rFonts w:cs="Calibri"/>
          <w:sz w:val="24"/>
          <w:szCs w:val="24"/>
        </w:rPr>
        <w:t>. [Accessed on 30</w:t>
      </w:r>
      <w:r w:rsidRPr="00E759BA">
        <w:rPr>
          <w:rFonts w:cs="Calibri"/>
          <w:sz w:val="24"/>
          <w:szCs w:val="24"/>
          <w:vertAlign w:val="superscript"/>
        </w:rPr>
        <w:t>th</w:t>
      </w:r>
      <w:r w:rsidRPr="00E759BA">
        <w:rPr>
          <w:rFonts w:cs="Calibri"/>
          <w:sz w:val="24"/>
          <w:szCs w:val="24"/>
        </w:rPr>
        <w:t xml:space="preserve"> June 2021].</w:t>
      </w:r>
    </w:p>
    <w:p w14:paraId="62CD0387" w14:textId="77777777" w:rsidR="00E759BA" w:rsidRPr="00E759BA" w:rsidRDefault="00E759BA" w:rsidP="00E759BA">
      <w:pPr>
        <w:spacing w:line="360" w:lineRule="auto"/>
        <w:rPr>
          <w:rFonts w:cstheme="minorHAnsi"/>
          <w:sz w:val="24"/>
          <w:szCs w:val="24"/>
        </w:rPr>
      </w:pPr>
      <w:r w:rsidRPr="00E759BA">
        <w:rPr>
          <w:rFonts w:cstheme="minorHAnsi"/>
          <w:sz w:val="24"/>
          <w:szCs w:val="24"/>
        </w:rPr>
        <w:t>National Policing Improvement Agency (</w:t>
      </w:r>
      <w:r w:rsidRPr="00E759BA">
        <w:rPr>
          <w:sz w:val="24"/>
          <w:szCs w:val="24"/>
        </w:rPr>
        <w:t xml:space="preserve">NPIA). 2009. </w:t>
      </w:r>
      <w:r w:rsidRPr="00E759BA">
        <w:rPr>
          <w:i/>
          <w:iCs/>
          <w:sz w:val="24"/>
          <w:szCs w:val="24"/>
        </w:rPr>
        <w:t>Cohesion Guide.</w:t>
      </w:r>
      <w:r w:rsidRPr="00E759BA">
        <w:rPr>
          <w:sz w:val="24"/>
          <w:szCs w:val="24"/>
        </w:rPr>
        <w:t xml:space="preserve"> [PDF]. Available at: </w:t>
      </w:r>
      <w:hyperlink r:id="rId28" w:history="1">
        <w:r w:rsidRPr="00E759BA">
          <w:rPr>
            <w:rStyle w:val="Hyperlink"/>
            <w:sz w:val="24"/>
            <w:szCs w:val="24"/>
          </w:rPr>
          <w:t>CohesionGuide.pdf (college.police.uk)</w:t>
        </w:r>
      </w:hyperlink>
      <w:r w:rsidRPr="00E759BA">
        <w:rPr>
          <w:sz w:val="24"/>
          <w:szCs w:val="24"/>
        </w:rPr>
        <w:t>. [Accessed on 10</w:t>
      </w:r>
      <w:r w:rsidRPr="00E759BA">
        <w:rPr>
          <w:sz w:val="24"/>
          <w:szCs w:val="24"/>
          <w:vertAlign w:val="superscript"/>
        </w:rPr>
        <w:t>th</w:t>
      </w:r>
      <w:r w:rsidRPr="00E759BA">
        <w:rPr>
          <w:sz w:val="24"/>
          <w:szCs w:val="24"/>
        </w:rPr>
        <w:t xml:space="preserve"> June 2021].</w:t>
      </w:r>
    </w:p>
    <w:p w14:paraId="18467A42" w14:textId="77777777" w:rsidR="00E759BA" w:rsidRPr="00E759BA" w:rsidRDefault="00E759BA" w:rsidP="00E759BA">
      <w:pPr>
        <w:spacing w:line="360" w:lineRule="auto"/>
        <w:rPr>
          <w:rFonts w:cs="Calibri"/>
          <w:sz w:val="24"/>
          <w:szCs w:val="24"/>
        </w:rPr>
      </w:pPr>
    </w:p>
    <w:p w14:paraId="02BDC4A9" w14:textId="4E63079D" w:rsidR="00E759BA" w:rsidRPr="00E759BA" w:rsidRDefault="00E759BA" w:rsidP="00E759BA">
      <w:pPr>
        <w:spacing w:line="360" w:lineRule="auto"/>
        <w:rPr>
          <w:sz w:val="24"/>
          <w:szCs w:val="24"/>
        </w:rPr>
      </w:pPr>
      <w:r w:rsidRPr="00E759BA">
        <w:rPr>
          <w:sz w:val="24"/>
          <w:szCs w:val="24"/>
        </w:rPr>
        <w:lastRenderedPageBreak/>
        <w:t>National Policing Improvement Agency (NPIA). 2008. Practice Advice on Analysis. [PDF] Available at: Analysis (uwtsd.ac.uk). [Accessed on 24th June 2021].</w:t>
      </w:r>
    </w:p>
    <w:p w14:paraId="4827F517" w14:textId="73F993AF" w:rsidR="00E759BA" w:rsidRPr="00E759BA" w:rsidRDefault="00E759BA" w:rsidP="00E759BA">
      <w:pPr>
        <w:spacing w:line="360" w:lineRule="auto"/>
        <w:rPr>
          <w:sz w:val="24"/>
          <w:szCs w:val="24"/>
        </w:rPr>
      </w:pPr>
      <w:r w:rsidRPr="00E759BA">
        <w:rPr>
          <w:rFonts w:cstheme="minorHAnsi"/>
          <w:sz w:val="24"/>
          <w:szCs w:val="24"/>
        </w:rPr>
        <w:t xml:space="preserve">National Policing Improvement Agency (NPIA). 2007. </w:t>
      </w:r>
      <w:r w:rsidRPr="00E759BA">
        <w:rPr>
          <w:rFonts w:cstheme="minorHAnsi"/>
          <w:i/>
          <w:iCs/>
          <w:sz w:val="24"/>
          <w:szCs w:val="24"/>
        </w:rPr>
        <w:t xml:space="preserve">Practice Advice </w:t>
      </w:r>
      <w:proofErr w:type="gramStart"/>
      <w:r w:rsidRPr="00E759BA">
        <w:rPr>
          <w:rFonts w:cstheme="minorHAnsi"/>
          <w:i/>
          <w:iCs/>
          <w:sz w:val="24"/>
          <w:szCs w:val="24"/>
        </w:rPr>
        <w:t>On</w:t>
      </w:r>
      <w:proofErr w:type="gramEnd"/>
      <w:r w:rsidRPr="00E759BA">
        <w:rPr>
          <w:rFonts w:cstheme="minorHAnsi"/>
          <w:i/>
          <w:iCs/>
          <w:sz w:val="24"/>
          <w:szCs w:val="24"/>
        </w:rPr>
        <w:t xml:space="preserve"> The Policing Of Roads. </w:t>
      </w:r>
      <w:r w:rsidRPr="00E759BA">
        <w:rPr>
          <w:rFonts w:cstheme="minorHAnsi"/>
          <w:sz w:val="24"/>
          <w:szCs w:val="24"/>
        </w:rPr>
        <w:t xml:space="preserve">[PDF] Available at: </w:t>
      </w:r>
      <w:hyperlink r:id="rId29" w:history="1">
        <w:r w:rsidRPr="00E759BA">
          <w:rPr>
            <w:rStyle w:val="Hyperlink"/>
            <w:rFonts w:cstheme="minorHAnsi"/>
            <w:sz w:val="24"/>
            <w:szCs w:val="24"/>
          </w:rPr>
          <w:t>https://www.npcc.police.uk/documents/FoI%20publication/Disclosure%20Logs/Uniformed%20Operations%20FOI/2012/041%2012%20Att%2002%20of%202%20Publications%20of%20Fatal%20Accidents.pdf</w:t>
        </w:r>
      </w:hyperlink>
      <w:r w:rsidRPr="00E759BA">
        <w:rPr>
          <w:rFonts w:cstheme="minorHAnsi"/>
          <w:sz w:val="24"/>
          <w:szCs w:val="24"/>
        </w:rPr>
        <w:t>. [Accessed on 16</w:t>
      </w:r>
      <w:r w:rsidRPr="00E759BA">
        <w:rPr>
          <w:rFonts w:cstheme="minorHAnsi"/>
          <w:sz w:val="24"/>
          <w:szCs w:val="24"/>
          <w:vertAlign w:val="superscript"/>
        </w:rPr>
        <w:t>th</w:t>
      </w:r>
      <w:r w:rsidRPr="00E759BA">
        <w:rPr>
          <w:rFonts w:cstheme="minorHAnsi"/>
          <w:sz w:val="24"/>
          <w:szCs w:val="24"/>
        </w:rPr>
        <w:t xml:space="preserve"> July 2021].</w:t>
      </w:r>
    </w:p>
    <w:p w14:paraId="7B868356" w14:textId="77777777" w:rsidR="00E759BA" w:rsidRPr="00E759BA" w:rsidRDefault="00E759BA" w:rsidP="00E759BA">
      <w:pPr>
        <w:spacing w:line="360" w:lineRule="auto"/>
        <w:rPr>
          <w:rFonts w:cstheme="minorHAnsi"/>
          <w:sz w:val="24"/>
          <w:szCs w:val="24"/>
        </w:rPr>
      </w:pPr>
      <w:r w:rsidRPr="00E759BA">
        <w:rPr>
          <w:rFonts w:cstheme="minorHAnsi"/>
          <w:sz w:val="24"/>
          <w:szCs w:val="24"/>
        </w:rPr>
        <w:t xml:space="preserve">OECD. 2017. </w:t>
      </w:r>
      <w:r w:rsidRPr="00E759BA">
        <w:rPr>
          <w:rFonts w:cstheme="minorHAnsi"/>
          <w:i/>
          <w:iCs/>
          <w:sz w:val="24"/>
          <w:szCs w:val="24"/>
        </w:rPr>
        <w:t>Terrorism, Corruption and The Criminal Exploitation of Natural Resources</w:t>
      </w:r>
      <w:r w:rsidRPr="00E759BA">
        <w:rPr>
          <w:rFonts w:cstheme="minorHAnsi"/>
          <w:sz w:val="24"/>
          <w:szCs w:val="24"/>
        </w:rPr>
        <w:t>. [PDF] Available at: https://www.oecd.org/investment/Terrorism-corruption-criminal-exploitation-natural-resources-2017.pdf [Accessed on 6</w:t>
      </w:r>
      <w:r w:rsidRPr="00E759BA">
        <w:rPr>
          <w:rFonts w:cstheme="minorHAnsi"/>
          <w:sz w:val="24"/>
          <w:szCs w:val="24"/>
          <w:vertAlign w:val="superscript"/>
        </w:rPr>
        <w:t>th</w:t>
      </w:r>
      <w:r w:rsidRPr="00E759BA">
        <w:rPr>
          <w:rFonts w:cstheme="minorHAnsi"/>
          <w:sz w:val="24"/>
          <w:szCs w:val="24"/>
        </w:rPr>
        <w:t xml:space="preserve"> July 2021].</w:t>
      </w:r>
    </w:p>
    <w:p w14:paraId="5389A43D" w14:textId="77777777" w:rsidR="00E759BA" w:rsidRPr="00E759BA" w:rsidRDefault="00E759BA" w:rsidP="00E759BA">
      <w:pPr>
        <w:spacing w:line="360" w:lineRule="auto"/>
        <w:rPr>
          <w:rFonts w:cs="Calibri"/>
          <w:sz w:val="24"/>
          <w:szCs w:val="24"/>
        </w:rPr>
      </w:pPr>
      <w:r w:rsidRPr="00E759BA">
        <w:rPr>
          <w:rFonts w:cs="Calibri"/>
          <w:color w:val="000000"/>
          <w:sz w:val="24"/>
          <w:szCs w:val="24"/>
        </w:rPr>
        <w:t xml:space="preserve">Phillips, M. 2017. Frontline First. </w:t>
      </w:r>
      <w:r w:rsidRPr="00E759BA">
        <w:rPr>
          <w:rFonts w:cs="Calibri"/>
          <w:i/>
          <w:iCs/>
          <w:color w:val="000000"/>
          <w:sz w:val="24"/>
          <w:szCs w:val="24"/>
        </w:rPr>
        <w:t xml:space="preserve">Commercial Motor. </w:t>
      </w:r>
      <w:r w:rsidRPr="00E759BA">
        <w:rPr>
          <w:rFonts w:cs="Calibri"/>
          <w:color w:val="000000"/>
          <w:sz w:val="24"/>
          <w:szCs w:val="24"/>
        </w:rPr>
        <w:t>227(5744) pp 36-73. </w:t>
      </w:r>
    </w:p>
    <w:p w14:paraId="3483496F" w14:textId="0262B170" w:rsidR="00E759BA" w:rsidRPr="00E759BA" w:rsidRDefault="00E759BA" w:rsidP="00E759BA">
      <w:pPr>
        <w:spacing w:line="360" w:lineRule="auto"/>
        <w:rPr>
          <w:rFonts w:cstheme="minorHAnsi"/>
          <w:sz w:val="24"/>
          <w:szCs w:val="24"/>
        </w:rPr>
      </w:pPr>
      <w:r w:rsidRPr="00E759BA">
        <w:rPr>
          <w:rFonts w:cs="Calibri"/>
          <w:color w:val="000000"/>
          <w:sz w:val="24"/>
          <w:szCs w:val="24"/>
        </w:rPr>
        <w:t>﻿</w:t>
      </w:r>
      <w:r w:rsidRPr="00E759BA">
        <w:rPr>
          <w:rFonts w:cstheme="minorHAnsi"/>
          <w:sz w:val="24"/>
          <w:szCs w:val="24"/>
        </w:rPr>
        <w:t xml:space="preserve">Post, J. 2004. </w:t>
      </w:r>
      <w:r w:rsidRPr="00E759BA">
        <w:rPr>
          <w:rFonts w:cstheme="minorHAnsi"/>
          <w:i/>
          <w:iCs/>
          <w:sz w:val="24"/>
          <w:szCs w:val="24"/>
        </w:rPr>
        <w:t>Military Studies in the Jihad Against the Tyrants: The Al-Qaeda Training Manual.</w:t>
      </w:r>
      <w:r w:rsidRPr="00E759BA">
        <w:rPr>
          <w:rFonts w:cstheme="minorHAnsi"/>
          <w:sz w:val="24"/>
          <w:szCs w:val="24"/>
        </w:rPr>
        <w:t xml:space="preserve"> [PDF] Available at: </w:t>
      </w:r>
      <w:hyperlink r:id="rId30" w:history="1">
        <w:r w:rsidRPr="00E759BA">
          <w:rPr>
            <w:rStyle w:val="Hyperlink"/>
            <w:rFonts w:cstheme="minorHAnsi"/>
            <w:sz w:val="24"/>
            <w:szCs w:val="24"/>
          </w:rPr>
          <w:t>https://www.airuniversity.af.edu/Portals/10/CSDS/Books/alqaedatrainingmanual2.pdf</w:t>
        </w:r>
      </w:hyperlink>
      <w:r w:rsidRPr="00E759BA">
        <w:rPr>
          <w:rFonts w:cstheme="minorHAnsi"/>
          <w:sz w:val="24"/>
          <w:szCs w:val="24"/>
        </w:rPr>
        <w:t>. [Accessed on 16</w:t>
      </w:r>
      <w:r w:rsidRPr="00E759BA">
        <w:rPr>
          <w:rFonts w:cstheme="minorHAnsi"/>
          <w:sz w:val="24"/>
          <w:szCs w:val="24"/>
          <w:vertAlign w:val="superscript"/>
        </w:rPr>
        <w:t>th</w:t>
      </w:r>
      <w:r w:rsidRPr="00E759BA">
        <w:rPr>
          <w:rFonts w:cstheme="minorHAnsi"/>
          <w:sz w:val="24"/>
          <w:szCs w:val="24"/>
        </w:rPr>
        <w:t xml:space="preserve"> July 2021].</w:t>
      </w:r>
    </w:p>
    <w:p w14:paraId="7AD4DF5B" w14:textId="6BDC586D" w:rsidR="00E759BA" w:rsidRPr="00E759BA" w:rsidRDefault="00E759BA" w:rsidP="00E759BA">
      <w:pPr>
        <w:spacing w:line="360" w:lineRule="auto"/>
        <w:rPr>
          <w:sz w:val="24"/>
          <w:szCs w:val="24"/>
        </w:rPr>
      </w:pPr>
      <w:r w:rsidRPr="00E759BA">
        <w:rPr>
          <w:rFonts w:cs="Calibri"/>
          <w:color w:val="000000"/>
          <w:sz w:val="24"/>
          <w:szCs w:val="24"/>
        </w:rPr>
        <w:t xml:space="preserve">Pollock, K. 2013. Review of Persistent Lessons Identified Relating to Interoperability from Emergencies and Major Incidents since 1986. [PDF] Available at: </w:t>
      </w:r>
      <w:hyperlink r:id="rId31" w:tgtFrame="_blank" w:history="1">
        <w:r w:rsidRPr="00E759BA">
          <w:rPr>
            <w:rStyle w:val="Hyperlink"/>
            <w:rFonts w:cs="Calibri"/>
            <w:sz w:val="24"/>
            <w:szCs w:val="24"/>
          </w:rPr>
          <w:t>https://www.jesip.org.uk/uploads/media/pdf/Pollock_Review_Oct_2013.pdf</w:t>
        </w:r>
      </w:hyperlink>
      <w:r w:rsidRPr="00E759BA">
        <w:rPr>
          <w:rFonts w:cs="Calibri"/>
          <w:sz w:val="24"/>
          <w:szCs w:val="24"/>
        </w:rPr>
        <w:t>. [Accessed on 30</w:t>
      </w:r>
      <w:r w:rsidRPr="00E759BA">
        <w:rPr>
          <w:rFonts w:cs="Calibri"/>
          <w:sz w:val="24"/>
          <w:szCs w:val="24"/>
          <w:vertAlign w:val="superscript"/>
        </w:rPr>
        <w:t>th</w:t>
      </w:r>
      <w:r w:rsidRPr="00E759BA">
        <w:rPr>
          <w:rFonts w:cs="Calibri"/>
          <w:sz w:val="24"/>
          <w:szCs w:val="24"/>
        </w:rPr>
        <w:t xml:space="preserve"> June 2021]</w:t>
      </w:r>
      <w:r w:rsidRPr="00E759BA">
        <w:rPr>
          <w:rFonts w:cs="Calibri"/>
          <w:color w:val="000000"/>
          <w:sz w:val="24"/>
          <w:szCs w:val="24"/>
        </w:rPr>
        <w:t>.</w:t>
      </w:r>
    </w:p>
    <w:p w14:paraId="6C328A8D" w14:textId="77777777" w:rsidR="00E759BA" w:rsidRPr="00E759BA" w:rsidRDefault="00E759BA" w:rsidP="00E759BA">
      <w:pPr>
        <w:spacing w:line="360" w:lineRule="auto"/>
        <w:rPr>
          <w:rFonts w:cstheme="minorHAnsi"/>
          <w:sz w:val="24"/>
          <w:szCs w:val="24"/>
        </w:rPr>
      </w:pPr>
      <w:r w:rsidRPr="00E759BA">
        <w:rPr>
          <w:rFonts w:cstheme="minorHAnsi"/>
          <w:sz w:val="24"/>
          <w:szCs w:val="24"/>
        </w:rPr>
        <w:t xml:space="preserve">Schultz, E. 2002. A framework for understanding and predicting insider attacks. </w:t>
      </w:r>
      <w:r w:rsidRPr="00E759BA">
        <w:rPr>
          <w:rFonts w:cstheme="minorHAnsi"/>
          <w:i/>
          <w:iCs/>
          <w:sz w:val="24"/>
          <w:szCs w:val="24"/>
        </w:rPr>
        <w:t xml:space="preserve">Computers and Security. </w:t>
      </w:r>
      <w:r w:rsidRPr="00E759BA">
        <w:rPr>
          <w:rFonts w:cstheme="minorHAnsi"/>
          <w:sz w:val="24"/>
          <w:szCs w:val="24"/>
        </w:rPr>
        <w:t>21(6) pp 526-531.</w:t>
      </w:r>
    </w:p>
    <w:p w14:paraId="67B2A5EE" w14:textId="3D814662" w:rsidR="00225BFE" w:rsidRPr="00E759BA" w:rsidRDefault="00225BFE" w:rsidP="00E759BA">
      <w:pPr>
        <w:spacing w:line="360" w:lineRule="auto"/>
        <w:rPr>
          <w:sz w:val="24"/>
          <w:szCs w:val="24"/>
        </w:rPr>
      </w:pPr>
      <w:r w:rsidRPr="00E759BA">
        <w:rPr>
          <w:sz w:val="24"/>
          <w:szCs w:val="24"/>
        </w:rPr>
        <w:t xml:space="preserve">Sharp, D. Atherton, S. 2007. To Serve and Protect? The Experiences of Policing in the Community of Young People from Black and Other Ethnic Minority Groups. </w:t>
      </w:r>
      <w:r w:rsidRPr="00E759BA">
        <w:rPr>
          <w:i/>
          <w:iCs/>
          <w:sz w:val="24"/>
          <w:szCs w:val="24"/>
        </w:rPr>
        <w:t xml:space="preserve">The British Journal of Criminology. </w:t>
      </w:r>
      <w:r w:rsidRPr="00E759BA">
        <w:rPr>
          <w:sz w:val="24"/>
          <w:szCs w:val="24"/>
        </w:rPr>
        <w:t>47(5) pp 746-763.﻿</w:t>
      </w:r>
    </w:p>
    <w:p w14:paraId="7D04B9DA" w14:textId="77777777" w:rsidR="00E759BA" w:rsidRPr="00E759BA" w:rsidRDefault="00E759BA" w:rsidP="00E759BA">
      <w:pPr>
        <w:spacing w:line="360" w:lineRule="auto"/>
        <w:rPr>
          <w:rFonts w:cstheme="minorHAnsi"/>
          <w:sz w:val="24"/>
          <w:szCs w:val="24"/>
        </w:rPr>
      </w:pPr>
      <w:r w:rsidRPr="00E759BA">
        <w:rPr>
          <w:rFonts w:cstheme="minorHAnsi"/>
          <w:sz w:val="24"/>
          <w:szCs w:val="24"/>
        </w:rPr>
        <w:t xml:space="preserve">Shelley, N. 2014. Dirty Entanglements: Corruption, Crime, and Terrorism. </w:t>
      </w:r>
      <w:r w:rsidRPr="00E759BA">
        <w:rPr>
          <w:rFonts w:cstheme="minorHAnsi"/>
          <w:i/>
          <w:iCs/>
          <w:sz w:val="24"/>
          <w:szCs w:val="24"/>
        </w:rPr>
        <w:t xml:space="preserve">Journal of Strategic Security. </w:t>
      </w:r>
      <w:r w:rsidRPr="00E759BA">
        <w:rPr>
          <w:rFonts w:cstheme="minorHAnsi"/>
          <w:sz w:val="24"/>
          <w:szCs w:val="24"/>
        </w:rPr>
        <w:t>7(4) pp 120-121.</w:t>
      </w:r>
    </w:p>
    <w:p w14:paraId="3BB2AE14" w14:textId="2F0378A4" w:rsidR="00E759BA" w:rsidRPr="00E759BA" w:rsidRDefault="00E759BA" w:rsidP="00E759BA">
      <w:pPr>
        <w:spacing w:line="360" w:lineRule="auto"/>
        <w:rPr>
          <w:sz w:val="24"/>
          <w:szCs w:val="24"/>
        </w:rPr>
      </w:pPr>
      <w:r w:rsidRPr="00E759BA">
        <w:rPr>
          <w:sz w:val="24"/>
          <w:szCs w:val="24"/>
        </w:rPr>
        <w:t xml:space="preserve">Sidebottom, A., </w:t>
      </w:r>
      <w:proofErr w:type="spellStart"/>
      <w:r w:rsidRPr="00E759BA">
        <w:rPr>
          <w:sz w:val="24"/>
          <w:szCs w:val="24"/>
        </w:rPr>
        <w:t>Tiley</w:t>
      </w:r>
      <w:proofErr w:type="spellEnd"/>
      <w:r w:rsidRPr="00E759BA">
        <w:rPr>
          <w:sz w:val="24"/>
          <w:szCs w:val="24"/>
        </w:rPr>
        <w:t xml:space="preserve">, N. 2011. Improving Problem-orientated Policing: The Need for a New Model? </w:t>
      </w:r>
      <w:r w:rsidRPr="00E759BA">
        <w:rPr>
          <w:i/>
          <w:iCs/>
          <w:sz w:val="24"/>
          <w:szCs w:val="24"/>
        </w:rPr>
        <w:t xml:space="preserve">Crime and Prevention and Community safety. </w:t>
      </w:r>
      <w:r w:rsidRPr="00E759BA">
        <w:rPr>
          <w:sz w:val="24"/>
          <w:szCs w:val="24"/>
        </w:rPr>
        <w:t>13(2) pp 79-101.</w:t>
      </w:r>
    </w:p>
    <w:p w14:paraId="0579FF77" w14:textId="77777777" w:rsidR="00E759BA" w:rsidRPr="00E759BA" w:rsidRDefault="00E759BA" w:rsidP="00E759BA">
      <w:pPr>
        <w:spacing w:line="360" w:lineRule="auto"/>
        <w:rPr>
          <w:rFonts w:cs="Calibri"/>
          <w:sz w:val="24"/>
          <w:szCs w:val="24"/>
        </w:rPr>
      </w:pPr>
      <w:proofErr w:type="spellStart"/>
      <w:r w:rsidRPr="00E759BA">
        <w:rPr>
          <w:rFonts w:cs="Calibri"/>
          <w:color w:val="000000"/>
          <w:sz w:val="24"/>
          <w:szCs w:val="24"/>
        </w:rPr>
        <w:lastRenderedPageBreak/>
        <w:t>Stergiouois</w:t>
      </w:r>
      <w:proofErr w:type="spellEnd"/>
      <w:r w:rsidRPr="00E759BA">
        <w:rPr>
          <w:rFonts w:cs="Calibri"/>
          <w:color w:val="000000"/>
          <w:sz w:val="24"/>
          <w:szCs w:val="24"/>
        </w:rPr>
        <w:t xml:space="preserve">, E. 2018. Police and Diversity. </w:t>
      </w:r>
      <w:r w:rsidRPr="00E759BA">
        <w:rPr>
          <w:rFonts w:cs="Calibri"/>
          <w:i/>
          <w:iCs/>
          <w:color w:val="000000"/>
          <w:sz w:val="24"/>
          <w:szCs w:val="24"/>
        </w:rPr>
        <w:t xml:space="preserve">Police Journal: Theory, Practice and Principles. </w:t>
      </w:r>
      <w:r w:rsidRPr="00E759BA">
        <w:rPr>
          <w:rFonts w:cs="Calibri"/>
          <w:color w:val="000000"/>
          <w:sz w:val="24"/>
          <w:szCs w:val="24"/>
        </w:rPr>
        <w:t>91(30) pp 264-274.  </w:t>
      </w:r>
    </w:p>
    <w:p w14:paraId="4E041F91" w14:textId="06B436B0" w:rsidR="00E759BA" w:rsidRPr="00E759BA" w:rsidRDefault="00E759BA" w:rsidP="00E759BA">
      <w:pPr>
        <w:spacing w:line="360" w:lineRule="auto"/>
        <w:rPr>
          <w:rFonts w:cstheme="minorHAnsi"/>
          <w:sz w:val="24"/>
          <w:szCs w:val="24"/>
        </w:rPr>
      </w:pPr>
      <w:r w:rsidRPr="00E759BA">
        <w:rPr>
          <w:sz w:val="24"/>
          <w:szCs w:val="24"/>
        </w:rPr>
        <w:t xml:space="preserve">United Nations Office on Drugs and Crime </w:t>
      </w:r>
      <w:r>
        <w:rPr>
          <w:sz w:val="24"/>
          <w:szCs w:val="24"/>
        </w:rPr>
        <w:t>(</w:t>
      </w:r>
      <w:r w:rsidRPr="00E759BA">
        <w:rPr>
          <w:rFonts w:cstheme="minorHAnsi"/>
          <w:sz w:val="24"/>
          <w:szCs w:val="24"/>
        </w:rPr>
        <w:t>UNODC</w:t>
      </w:r>
      <w:r>
        <w:rPr>
          <w:rFonts w:cstheme="minorHAnsi"/>
          <w:sz w:val="24"/>
          <w:szCs w:val="24"/>
        </w:rPr>
        <w:t>)</w:t>
      </w:r>
      <w:r w:rsidRPr="00E759BA">
        <w:rPr>
          <w:rFonts w:cstheme="minorHAnsi"/>
          <w:sz w:val="24"/>
          <w:szCs w:val="24"/>
        </w:rPr>
        <w:t xml:space="preserve">. 2018. </w:t>
      </w:r>
      <w:r w:rsidRPr="00E759BA">
        <w:rPr>
          <w:rFonts w:cstheme="minorHAnsi"/>
          <w:i/>
          <w:iCs/>
          <w:sz w:val="24"/>
          <w:szCs w:val="24"/>
        </w:rPr>
        <w:t xml:space="preserve">Similarities and differences between organized crime and other forms of crime. </w:t>
      </w:r>
      <w:r w:rsidRPr="00E759BA">
        <w:rPr>
          <w:rFonts w:cstheme="minorHAnsi"/>
          <w:sz w:val="24"/>
          <w:szCs w:val="24"/>
        </w:rPr>
        <w:t>[Online]. Available at:</w:t>
      </w:r>
      <w:hyperlink r:id="rId32" w:tgtFrame="_blank" w:history="1">
        <w:r w:rsidRPr="00E759BA">
          <w:rPr>
            <w:rStyle w:val="Hyperlink"/>
            <w:rFonts w:cstheme="minorHAnsi"/>
            <w:sz w:val="24"/>
            <w:szCs w:val="24"/>
          </w:rPr>
          <w:t>https://www.unodc.org/e4j/en/organized-crime/module-1/key-issues/similarities-and-differences.html</w:t>
        </w:r>
      </w:hyperlink>
      <w:r w:rsidRPr="00E759BA">
        <w:rPr>
          <w:rFonts w:cstheme="minorHAnsi"/>
          <w:sz w:val="24"/>
          <w:szCs w:val="24"/>
        </w:rPr>
        <w:t>. [Accessed on 16</w:t>
      </w:r>
      <w:r w:rsidRPr="00E759BA">
        <w:rPr>
          <w:rFonts w:cstheme="minorHAnsi"/>
          <w:sz w:val="24"/>
          <w:szCs w:val="24"/>
          <w:vertAlign w:val="superscript"/>
        </w:rPr>
        <w:t>th</w:t>
      </w:r>
      <w:r w:rsidRPr="00E759BA">
        <w:rPr>
          <w:rFonts w:cstheme="minorHAnsi"/>
          <w:sz w:val="24"/>
          <w:szCs w:val="24"/>
        </w:rPr>
        <w:t xml:space="preserve"> July 2021].</w:t>
      </w:r>
    </w:p>
    <w:p w14:paraId="36364C36" w14:textId="0875F3B1" w:rsidR="00225BFE" w:rsidRPr="00E759BA" w:rsidRDefault="00225BFE" w:rsidP="00E759BA">
      <w:pPr>
        <w:spacing w:line="360" w:lineRule="auto"/>
        <w:rPr>
          <w:rFonts w:cstheme="minorHAnsi"/>
          <w:sz w:val="24"/>
          <w:szCs w:val="24"/>
        </w:rPr>
      </w:pPr>
      <w:r w:rsidRPr="00E759BA">
        <w:rPr>
          <w:sz w:val="24"/>
          <w:szCs w:val="24"/>
        </w:rPr>
        <w:t>United Nations Office on Drugs and Crime (UNODC). 2011. Criminal Intelligence</w:t>
      </w:r>
      <w:r w:rsidR="00E759BA" w:rsidRPr="00E759BA">
        <w:rPr>
          <w:sz w:val="24"/>
          <w:szCs w:val="24"/>
        </w:rPr>
        <w:t xml:space="preserve"> Manual for Analysts. [PDF] Available at: </w:t>
      </w:r>
      <w:hyperlink r:id="rId33" w:history="1">
        <w:r w:rsidR="00E759BA" w:rsidRPr="00E759BA">
          <w:rPr>
            <w:rStyle w:val="Hyperlink"/>
            <w:sz w:val="24"/>
            <w:szCs w:val="24"/>
          </w:rPr>
          <w:t>Criminal Intelligence: Manual for Analysts (unodc.org)</w:t>
        </w:r>
      </w:hyperlink>
      <w:r w:rsidR="00E759BA" w:rsidRPr="00E759BA">
        <w:rPr>
          <w:sz w:val="24"/>
          <w:szCs w:val="24"/>
        </w:rPr>
        <w:t>. [Accessed on 16</w:t>
      </w:r>
      <w:r w:rsidR="00E759BA" w:rsidRPr="00E759BA">
        <w:rPr>
          <w:sz w:val="24"/>
          <w:szCs w:val="24"/>
          <w:vertAlign w:val="superscript"/>
        </w:rPr>
        <w:t>th</w:t>
      </w:r>
      <w:r w:rsidR="00E759BA" w:rsidRPr="00E759BA">
        <w:rPr>
          <w:sz w:val="24"/>
          <w:szCs w:val="24"/>
        </w:rPr>
        <w:t xml:space="preserve"> July 2021].</w:t>
      </w:r>
    </w:p>
    <w:p w14:paraId="6809D580" w14:textId="06C1C961" w:rsidR="00225BFE" w:rsidRPr="00E759BA" w:rsidRDefault="00225BFE" w:rsidP="00E759BA">
      <w:pPr>
        <w:spacing w:line="360" w:lineRule="auto"/>
        <w:rPr>
          <w:rFonts w:cstheme="minorHAnsi"/>
          <w:sz w:val="24"/>
          <w:szCs w:val="24"/>
        </w:rPr>
      </w:pPr>
      <w:r w:rsidRPr="00E759BA">
        <w:rPr>
          <w:rFonts w:cstheme="minorHAnsi"/>
          <w:sz w:val="24"/>
          <w:szCs w:val="24"/>
        </w:rPr>
        <w:t xml:space="preserve">Wall, D. 2013. </w:t>
      </w:r>
      <w:r w:rsidRPr="00E759BA">
        <w:rPr>
          <w:rFonts w:cstheme="minorHAnsi"/>
          <w:i/>
          <w:iCs/>
          <w:sz w:val="24"/>
          <w:szCs w:val="24"/>
        </w:rPr>
        <w:t xml:space="preserve">Future Identities: Changing identities in the UK – the next 10 years, </w:t>
      </w:r>
      <w:r w:rsidRPr="00E759BA">
        <w:rPr>
          <w:rFonts w:cstheme="minorHAnsi"/>
          <w:sz w:val="24"/>
          <w:szCs w:val="24"/>
        </w:rPr>
        <w:t>[PDF} Available at:</w:t>
      </w:r>
      <w:r w:rsidR="00E759BA" w:rsidRPr="00E759BA">
        <w:rPr>
          <w:rFonts w:cstheme="minorHAnsi"/>
          <w:sz w:val="24"/>
          <w:szCs w:val="24"/>
        </w:rPr>
        <w:t xml:space="preserve"> </w:t>
      </w:r>
      <w:hyperlink r:id="rId34" w:history="1">
        <w:r w:rsidRPr="00E759BA">
          <w:rPr>
            <w:rStyle w:val="Hyperlink"/>
            <w:rFonts w:cstheme="minorHAnsi"/>
            <w:sz w:val="24"/>
            <w:szCs w:val="24"/>
          </w:rPr>
          <w:t>https://assets.publishing.service.gov.uk/government/uploads/system/uploads/attachment_data/file/275784/13-521-identity-related-crime-uk.pdf</w:t>
        </w:r>
      </w:hyperlink>
      <w:r w:rsidRPr="00E759BA">
        <w:rPr>
          <w:rFonts w:cstheme="minorHAnsi"/>
          <w:sz w:val="24"/>
          <w:szCs w:val="24"/>
        </w:rPr>
        <w:t>. [Accessed on 16</w:t>
      </w:r>
      <w:r w:rsidRPr="00E759BA">
        <w:rPr>
          <w:rFonts w:cstheme="minorHAnsi"/>
          <w:sz w:val="24"/>
          <w:szCs w:val="24"/>
          <w:vertAlign w:val="superscript"/>
        </w:rPr>
        <w:t>th</w:t>
      </w:r>
      <w:r w:rsidRPr="00E759BA">
        <w:rPr>
          <w:rFonts w:cstheme="minorHAnsi"/>
          <w:sz w:val="24"/>
          <w:szCs w:val="24"/>
        </w:rPr>
        <w:t xml:space="preserve"> July 2021].</w:t>
      </w:r>
    </w:p>
    <w:p w14:paraId="4B78B993" w14:textId="77777777" w:rsidR="00170E45" w:rsidRPr="00A85BCA" w:rsidRDefault="00170E45" w:rsidP="00170E45">
      <w:pPr>
        <w:spacing w:line="360" w:lineRule="auto"/>
        <w:rPr>
          <w:rFonts w:cs="Calibri"/>
          <w:sz w:val="24"/>
          <w:szCs w:val="24"/>
        </w:rPr>
      </w:pPr>
      <w:r w:rsidRPr="00A85BCA">
        <w:rPr>
          <w:rFonts w:cs="Calibri"/>
          <w:color w:val="000000"/>
          <w:sz w:val="24"/>
          <w:szCs w:val="24"/>
        </w:rPr>
        <w:t>﻿</w:t>
      </w:r>
    </w:p>
    <w:p w14:paraId="71742201" w14:textId="77777777" w:rsidR="00170E45" w:rsidRPr="00A85BCA" w:rsidRDefault="00170E45" w:rsidP="00170E45">
      <w:pPr>
        <w:spacing w:line="360" w:lineRule="auto"/>
        <w:rPr>
          <w:rFonts w:cs="Calibri"/>
          <w:sz w:val="24"/>
          <w:szCs w:val="24"/>
        </w:rPr>
      </w:pPr>
      <w:r w:rsidRPr="00A85BCA">
        <w:rPr>
          <w:rFonts w:cs="Calibri"/>
          <w:color w:val="000000"/>
          <w:sz w:val="24"/>
          <w:szCs w:val="24"/>
        </w:rPr>
        <w:t>﻿</w:t>
      </w:r>
    </w:p>
    <w:p w14:paraId="3982A6B7" w14:textId="77777777" w:rsidR="00170E45" w:rsidRPr="00A85BCA" w:rsidRDefault="00170E45" w:rsidP="00170E45">
      <w:pPr>
        <w:spacing w:line="360" w:lineRule="auto"/>
        <w:rPr>
          <w:rFonts w:cs="Calibri"/>
          <w:sz w:val="24"/>
          <w:szCs w:val="24"/>
        </w:rPr>
      </w:pPr>
    </w:p>
    <w:p w14:paraId="27E44A13" w14:textId="77777777" w:rsidR="00170E45" w:rsidRPr="00002749" w:rsidRDefault="00170E45" w:rsidP="00225BFE">
      <w:pPr>
        <w:spacing w:line="360" w:lineRule="auto"/>
        <w:rPr>
          <w:rFonts w:cstheme="minorHAnsi"/>
          <w:sz w:val="24"/>
          <w:szCs w:val="24"/>
        </w:rPr>
      </w:pPr>
    </w:p>
    <w:p w14:paraId="7BFA823B" w14:textId="77777777" w:rsidR="00225BFE" w:rsidRDefault="00225BFE" w:rsidP="00225BFE">
      <w:pPr>
        <w:spacing w:line="360" w:lineRule="auto"/>
        <w:rPr>
          <w:sz w:val="24"/>
          <w:szCs w:val="24"/>
        </w:rPr>
      </w:pPr>
    </w:p>
    <w:p w14:paraId="54630EA3" w14:textId="77777777" w:rsidR="00225BFE" w:rsidRDefault="00225BFE" w:rsidP="00225BFE"/>
    <w:p w14:paraId="77357122" w14:textId="77777777" w:rsidR="00225BFE" w:rsidRDefault="00225BFE" w:rsidP="00225BFE">
      <w:pPr>
        <w:spacing w:line="360" w:lineRule="auto"/>
        <w:rPr>
          <w:sz w:val="24"/>
          <w:szCs w:val="24"/>
        </w:rPr>
      </w:pPr>
    </w:p>
    <w:p w14:paraId="58421119" w14:textId="77777777" w:rsidR="00225BFE" w:rsidRDefault="00225BFE" w:rsidP="00225BFE"/>
    <w:p w14:paraId="7996CDB6" w14:textId="77777777" w:rsidR="00225BFE" w:rsidRPr="00B800D4" w:rsidRDefault="00225BFE" w:rsidP="00225BFE">
      <w:pPr>
        <w:spacing w:line="360" w:lineRule="auto"/>
        <w:rPr>
          <w:rFonts w:cstheme="minorHAnsi"/>
          <w:sz w:val="24"/>
          <w:szCs w:val="24"/>
        </w:rPr>
      </w:pPr>
    </w:p>
    <w:p w14:paraId="295EB2F5" w14:textId="77777777" w:rsidR="00225BFE" w:rsidRPr="00225BFE" w:rsidRDefault="00225BFE" w:rsidP="00225BFE">
      <w:pPr>
        <w:spacing w:line="360" w:lineRule="auto"/>
        <w:rPr>
          <w:rFonts w:cstheme="minorHAnsi"/>
          <w:sz w:val="24"/>
          <w:szCs w:val="24"/>
          <w:u w:val="single"/>
        </w:rPr>
      </w:pPr>
    </w:p>
    <w:p w14:paraId="310433F3" w14:textId="77777777" w:rsidR="00225BFE" w:rsidRPr="00002749" w:rsidRDefault="00225BFE" w:rsidP="00225BFE">
      <w:pPr>
        <w:spacing w:line="360" w:lineRule="auto"/>
        <w:ind w:firstLine="720"/>
        <w:rPr>
          <w:rFonts w:cstheme="minorHAnsi"/>
          <w:sz w:val="24"/>
          <w:szCs w:val="24"/>
        </w:rPr>
      </w:pPr>
    </w:p>
    <w:p w14:paraId="0949CE0B" w14:textId="77777777" w:rsidR="00225BFE" w:rsidRPr="00002749" w:rsidRDefault="00225BFE" w:rsidP="00225BFE">
      <w:pPr>
        <w:spacing w:line="360" w:lineRule="auto"/>
        <w:rPr>
          <w:rFonts w:cstheme="minorHAnsi"/>
          <w:b/>
          <w:bCs/>
          <w:sz w:val="24"/>
          <w:szCs w:val="24"/>
        </w:rPr>
      </w:pPr>
    </w:p>
    <w:p w14:paraId="6F722A86" w14:textId="77777777" w:rsidR="005006A1" w:rsidRDefault="005006A1" w:rsidP="005006A1">
      <w:pPr>
        <w:spacing w:line="360" w:lineRule="auto"/>
        <w:rPr>
          <w:b/>
          <w:u w:val="single"/>
        </w:rPr>
      </w:pPr>
    </w:p>
    <w:p w14:paraId="09D64F2B" w14:textId="77777777" w:rsidR="005006A1" w:rsidRPr="005006A1" w:rsidRDefault="005006A1" w:rsidP="005006A1">
      <w:pPr>
        <w:spacing w:line="360" w:lineRule="auto"/>
        <w:rPr>
          <w:u w:val="single"/>
        </w:rPr>
      </w:pPr>
    </w:p>
    <w:p w14:paraId="7DA7DB17" w14:textId="77777777" w:rsidR="005006A1" w:rsidRPr="005006A1" w:rsidRDefault="005006A1" w:rsidP="005006A1">
      <w:pPr>
        <w:spacing w:line="252" w:lineRule="auto"/>
        <w:rPr>
          <w:sz w:val="24"/>
          <w:szCs w:val="24"/>
          <w:u w:val="single"/>
        </w:rPr>
      </w:pPr>
    </w:p>
    <w:p w14:paraId="2B8D0395" w14:textId="77777777" w:rsidR="005006A1" w:rsidRPr="005006A1" w:rsidRDefault="005006A1" w:rsidP="005006A1">
      <w:pPr>
        <w:spacing w:line="360" w:lineRule="auto"/>
        <w:rPr>
          <w:b/>
          <w:sz w:val="24"/>
          <w:szCs w:val="24"/>
          <w:u w:val="single"/>
        </w:rPr>
      </w:pPr>
    </w:p>
    <w:p w14:paraId="5BCF3947" w14:textId="77777777" w:rsidR="005006A1" w:rsidRDefault="005006A1" w:rsidP="005006A1">
      <w:pPr>
        <w:spacing w:line="360" w:lineRule="auto"/>
      </w:pPr>
    </w:p>
    <w:p w14:paraId="37D543F1" w14:textId="77777777" w:rsidR="005006A1" w:rsidRDefault="005006A1"/>
    <w:sectPr w:rsidR="005006A1" w:rsidSect="00225BFE">
      <w:headerReference w:type="even" r:id="rId35"/>
      <w:headerReference w:type="default" r:id="rId36"/>
      <w:footerReference w:type="even" r:id="rId37"/>
      <w:footerReference w:type="default" r:id="rId38"/>
      <w:headerReference w:type="first" r:id="rId39"/>
      <w:footerReference w:type="first" r:id="rId4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D6848B" w14:textId="77777777" w:rsidR="00A30204" w:rsidRDefault="00A30204" w:rsidP="00225BFE">
      <w:pPr>
        <w:spacing w:after="0" w:line="240" w:lineRule="auto"/>
      </w:pPr>
      <w:r>
        <w:separator/>
      </w:r>
    </w:p>
  </w:endnote>
  <w:endnote w:type="continuationSeparator" w:id="0">
    <w:p w14:paraId="72ADCC22" w14:textId="77777777" w:rsidR="00A30204" w:rsidRDefault="00A30204" w:rsidP="00225B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E9A311" w14:textId="77777777" w:rsidR="00C65C5C" w:rsidRDefault="00170E45" w:rsidP="00170E45">
    <w:pPr>
      <w:pStyle w:val="Footer"/>
      <w:rPr>
        <w:color w:val="000000"/>
        <w:sz w:val="17"/>
      </w:rPr>
    </w:pPr>
    <w:bookmarkStart w:id="3" w:name="TITUS1FooterEvenPages"/>
    <w:r>
      <w:rPr>
        <w:color w:val="000000"/>
        <w:sz w:val="17"/>
      </w:rPr>
      <w:t> </w:t>
    </w:r>
  </w:p>
  <w:bookmarkEnd w:id="3"/>
  <w:p w14:paraId="3F216E1C" w14:textId="77777777" w:rsidR="00C65C5C" w:rsidRDefault="00C65C5C" w:rsidP="00C65C5C">
    <w:pPr>
      <w:pStyle w:val="Footer"/>
    </w:pPr>
  </w:p>
  <w:p w14:paraId="008A0516" w14:textId="77777777" w:rsidR="00D027AE" w:rsidRDefault="00D027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304DBF" w14:textId="77777777" w:rsidR="00D027AE" w:rsidRDefault="00170E45" w:rsidP="00170E45">
    <w:pPr>
      <w:pStyle w:val="Footer"/>
      <w:rPr>
        <w:color w:val="000000"/>
        <w:sz w:val="17"/>
      </w:rPr>
    </w:pPr>
    <w:bookmarkStart w:id="4" w:name="TITUS1FooterPrimary"/>
    <w:r>
      <w:rPr>
        <w:color w:val="000000"/>
        <w:sz w:val="17"/>
      </w:rPr>
      <w:t> </w:t>
    </w:r>
  </w:p>
  <w:bookmarkEnd w:id="4"/>
  <w:p w14:paraId="7E23816F" w14:textId="77777777" w:rsidR="00D027AE" w:rsidRDefault="00D027A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DEAAFB" w14:textId="77777777" w:rsidR="00D027AE" w:rsidRDefault="00170E45" w:rsidP="00170E45">
    <w:pPr>
      <w:pStyle w:val="Footer"/>
      <w:rPr>
        <w:color w:val="000000"/>
        <w:sz w:val="17"/>
      </w:rPr>
    </w:pPr>
    <w:bookmarkStart w:id="6" w:name="TITUS1FooterFirstPage"/>
    <w:r>
      <w:rPr>
        <w:color w:val="000000"/>
        <w:sz w:val="17"/>
      </w:rPr>
      <w:t> </w:t>
    </w:r>
  </w:p>
  <w:bookmarkEnd w:id="6"/>
  <w:p w14:paraId="7A526680" w14:textId="77777777" w:rsidR="00D027AE" w:rsidRDefault="00D027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0B5D54" w14:textId="77777777" w:rsidR="00A30204" w:rsidRDefault="00A30204" w:rsidP="00225BFE">
      <w:pPr>
        <w:spacing w:after="0" w:line="240" w:lineRule="auto"/>
      </w:pPr>
      <w:r>
        <w:separator/>
      </w:r>
    </w:p>
  </w:footnote>
  <w:footnote w:type="continuationSeparator" w:id="0">
    <w:p w14:paraId="00C7EEB9" w14:textId="77777777" w:rsidR="00A30204" w:rsidRDefault="00A30204" w:rsidP="00225B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13BF9A" w14:textId="77777777" w:rsidR="00C65C5C" w:rsidRDefault="00170E45" w:rsidP="00170E45">
    <w:pPr>
      <w:pStyle w:val="Header"/>
      <w:rPr>
        <w:color w:val="000000"/>
        <w:sz w:val="17"/>
      </w:rPr>
    </w:pPr>
    <w:bookmarkStart w:id="1" w:name="TITUS1HeaderEvenPages"/>
    <w:r>
      <w:rPr>
        <w:color w:val="000000"/>
        <w:sz w:val="17"/>
      </w:rPr>
      <w:t> </w:t>
    </w:r>
  </w:p>
  <w:bookmarkEnd w:id="1"/>
  <w:p w14:paraId="5FAA25B3" w14:textId="77777777" w:rsidR="00C65C5C" w:rsidRDefault="00C65C5C" w:rsidP="00C65C5C">
    <w:pPr>
      <w:pStyle w:val="Header"/>
    </w:pPr>
  </w:p>
  <w:p w14:paraId="1D752B0E" w14:textId="77777777" w:rsidR="00D027AE" w:rsidRDefault="00D027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E0B2EF" w14:textId="77777777" w:rsidR="00D027AE" w:rsidRDefault="00170E45" w:rsidP="00170E45">
    <w:pPr>
      <w:pStyle w:val="Header"/>
      <w:rPr>
        <w:color w:val="000000"/>
        <w:sz w:val="17"/>
      </w:rPr>
    </w:pPr>
    <w:bookmarkStart w:id="2" w:name="TITUS1HeaderPrimary"/>
    <w:r>
      <w:rPr>
        <w:color w:val="000000"/>
        <w:sz w:val="17"/>
      </w:rPr>
      <w:t> </w:t>
    </w:r>
  </w:p>
  <w:bookmarkEnd w:id="2"/>
  <w:p w14:paraId="333D64A0" w14:textId="77777777" w:rsidR="00D027AE" w:rsidRDefault="00D027A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1A064B" w14:textId="77777777" w:rsidR="00D027AE" w:rsidRDefault="00170E45" w:rsidP="00170E45">
    <w:pPr>
      <w:pStyle w:val="Header"/>
      <w:rPr>
        <w:color w:val="000000"/>
        <w:sz w:val="17"/>
      </w:rPr>
    </w:pPr>
    <w:bookmarkStart w:id="5" w:name="TITUS1HeaderFirstPage"/>
    <w:r>
      <w:rPr>
        <w:color w:val="000000"/>
        <w:sz w:val="17"/>
      </w:rPr>
      <w:t> </w:t>
    </w:r>
  </w:p>
  <w:bookmarkEnd w:id="5"/>
  <w:p w14:paraId="79703FC3" w14:textId="77777777" w:rsidR="00D027AE" w:rsidRDefault="00D027A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C1NLYwNDI2MTI2MjRV0lEKTi0uzszPAykwrAUAIevrTywAAAA="/>
  </w:docVars>
  <w:rsids>
    <w:rsidRoot w:val="005006A1"/>
    <w:rsid w:val="00170E45"/>
    <w:rsid w:val="00225BFE"/>
    <w:rsid w:val="00420A3D"/>
    <w:rsid w:val="005006A1"/>
    <w:rsid w:val="00A30204"/>
    <w:rsid w:val="00B57311"/>
    <w:rsid w:val="00C65C5C"/>
    <w:rsid w:val="00D027AE"/>
    <w:rsid w:val="00E759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63F9DF"/>
  <w15:chartTrackingRefBased/>
  <w15:docId w15:val="{D2CBD121-6C25-4323-BB29-59427A7AB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25BF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25BFE"/>
    <w:rPr>
      <w:color w:val="0000FF"/>
      <w:u w:val="single"/>
    </w:rPr>
  </w:style>
  <w:style w:type="character" w:customStyle="1" w:styleId="Heading1Char">
    <w:name w:val="Heading 1 Char"/>
    <w:basedOn w:val="DefaultParagraphFont"/>
    <w:link w:val="Heading1"/>
    <w:uiPriority w:val="9"/>
    <w:rsid w:val="00225BFE"/>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225B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5BFE"/>
  </w:style>
  <w:style w:type="paragraph" w:styleId="Footer">
    <w:name w:val="footer"/>
    <w:basedOn w:val="Normal"/>
    <w:link w:val="FooterChar"/>
    <w:uiPriority w:val="99"/>
    <w:unhideWhenUsed/>
    <w:rsid w:val="00225B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5BFE"/>
  </w:style>
  <w:style w:type="character" w:styleId="UnresolvedMention">
    <w:name w:val="Unresolved Mention"/>
    <w:basedOn w:val="DefaultParagraphFont"/>
    <w:uiPriority w:val="99"/>
    <w:semiHidden/>
    <w:unhideWhenUsed/>
    <w:rsid w:val="00E759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br01.safelinks.protection.outlook.com/?url=https%3A%2F%2Fjournals-sagepub-com.ezproxy.uwtsd.ac.uk%2Fdoi%2Fpdf%2F10.1177%2F026455050204900108&amp;data=04%7C01%7Csteven.williams2%40south-wales.police.uk%7Cfb483fb6a78d45d85dc008d94437fa6e%7C270c2f4dfd0c4f0892a9e5bdd8a87e09%7C0%7C1%7C637615829476155520%7CUnknown%7CTWFpbGZsb3d8eyJWIjoiMC4wLjAwMDAiLCJQIjoiV2luMzIiLCJBTiI6Ik1haWwiLCJXVCI6Mn0%3D%7C1000&amp;sdata=y1eu5KTSJavjxuzh9lkTbGtQtDqMNv4suvgN6yPiiKA%3D&amp;reserved=0" TargetMode="External"/><Relationship Id="rId18" Type="http://schemas.openxmlformats.org/officeDocument/2006/relationships/hyperlink" Target="https://assets.publishing.service.gov.uk/government/uploads/system/uploads/attachment_data/file/243479/9780108511622.pdf" TargetMode="External"/><Relationship Id="rId26" Type="http://schemas.openxmlformats.org/officeDocument/2006/relationships/hyperlink" Target="https://gbr01.safelinks.protection.outlook.com/?url=https%3A%2F%2Flibrary.college.police.uk%2Fdocs%2Fappref%2FPolicing-our-Roads-Together-partners-copy.pdf&amp;data=04%7C01%7Csteven.williams2%40south-wales.police.uk%7Cd400c1eabd234817da1408d945105778%7C270c2f4dfd0c4f0892a9e5bdd8a87e09%7C0%7C1%7C637616758744943873%7CUnknown%7CTWFpbGZsb3d8eyJWIjoiMC4wLjAwMDAiLCJQIjoiV2luMzIiLCJBTiI6Ik1haWwiLCJXVCI6Mn0%3D%7C0&amp;sdata=BM6HLPNSjyF%2BkCDSF5wRQsEk1QCKUZ2%2F1IDpZIkfHRk%3D&amp;reserved=0" TargetMode="External"/><Relationship Id="rId39" Type="http://schemas.openxmlformats.org/officeDocument/2006/relationships/header" Target="header3.xml"/><Relationship Id="rId21" Type="http://schemas.openxmlformats.org/officeDocument/2006/relationships/hyperlink" Target="https://gbr01.safelinks.protection.outlook.com/?url=https%3A%2F%2Fwww.jesip.org.uk%2Fmethane&amp;data=04%7C01%7Csteven.williams2%40south-wales.police.uk%7Cfb483fb6a78d45d85dc008d94437fa6e%7C270c2f4dfd0c4f0892a9e5bdd8a87e09%7C0%7C1%7C637615829476125649%7CUnknown%7CTWFpbGZsb3d8eyJWIjoiMC4wLjAwMDAiLCJQIjoiV2luMzIiLCJBTiI6Ik1haWwiLCJXVCI6Mn0%3D%7C1000&amp;sdata=9GMG22WWqO%2Fc1k%2B7n1p8o1x3fIgbTO75kDQOibo%2FGpI%3D&amp;reserved=0" TargetMode="External"/><Relationship Id="rId34" Type="http://schemas.openxmlformats.org/officeDocument/2006/relationships/hyperlink" Target="https://gbr01.safelinks.protection.outlook.com/?url=https%3A%2F%2Fassets.publishing.service.gov.uk%2Fgovernment%2Fuploads%2Fsystem%2Fuploads%2Fattachment_data%2Ffile%2F275784%2F13-521-identity-related-crime-uk.pdf&amp;data=04%7C01%7Csteven.williams2%40south-wales.police.uk%7Cd400c1eabd234817da1408d945105778%7C270c2f4dfd0c4f0892a9e5bdd8a87e09%7C0%7C1%7C637616758744963775%7CUnknown%7CTWFpbGZsb3d8eyJWIjoiMC4wLjAwMDAiLCJQIjoiV2luMzIiLCJBTiI6Ik1haWwiLCJXVCI6Mn0%3D%7C0&amp;sdata=ocUP5iR9Iih189E82LUBe7l3Lgl7uAbjY4boPPdZ%2BZM%3D&amp;reserved=0" TargetMode="External"/><Relationship Id="rId42" Type="http://schemas.openxmlformats.org/officeDocument/2006/relationships/theme" Target="theme/theme1.xml"/><Relationship Id="rId7" Type="http://schemas.openxmlformats.org/officeDocument/2006/relationships/hyperlink" Target="https://www.cpni.gov.uk/terrorism" TargetMode="External"/><Relationship Id="rId2" Type="http://schemas.openxmlformats.org/officeDocument/2006/relationships/settings" Target="settings.xml"/><Relationship Id="rId16" Type="http://schemas.openxmlformats.org/officeDocument/2006/relationships/hyperlink" Target="https://gbr01.safelinks.protection.outlook.com/?url=https%3A%2F%2Fwww.justiceinspectorates.gov.uk%2Fhmicfrs%2Fwp-content%2Fuploads%2Fredacted-counter-terrorism-policing-inspection-police-contribution-government-prevent-programme.pdf&amp;data=04%7C01%7Csteven.williams2%40south-wales.police.uk%7Cd400c1eabd234817da1408d945105778%7C270c2f4dfd0c4f0892a9e5bdd8a87e09%7C0%7C1%7C637616758744953819%7CUnknown%7CTWFpbGZsb3d8eyJWIjoiMC4wLjAwMDAiLCJQIjoiV2luMzIiLCJBTiI6Ik1haWwiLCJXVCI6Mn0%3D%7C0&amp;sdata=2WmL55%2BtmSLGhWatpJHfcenF7GoPB3BORv0lAkhLYp4%3D&amp;reserved=0" TargetMode="External"/><Relationship Id="rId20" Type="http://schemas.openxmlformats.org/officeDocument/2006/relationships/hyperlink" Target="https://moodle.uwtsd.ac.uk/pluginfile.php/422603/mod_resource/content/1/Tension%20monitoring%20guidance%20iCoCo%202010.pdf" TargetMode="External"/><Relationship Id="rId29" Type="http://schemas.openxmlformats.org/officeDocument/2006/relationships/hyperlink" Target="https://www.npcc.police.uk/documents/FoI%20publication/Disclosure%20Logs/Uniformed%20Operations%20FOI/2012/041%2012%20Att%2002%20of%202%20Publications%20of%20Fatal%20Accidents.pdf"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moodle.uwtsd.ac.uk/pluginfile.php/422600/mod_resource/content/1/HMICFRS-Public-Perceptions-of-Policing-2018.pdf" TargetMode="External"/><Relationship Id="rId11" Type="http://schemas.openxmlformats.org/officeDocument/2006/relationships/hyperlink" Target="https://popcenter.asu.edu/sites/default/files/library/reading/PDFs/55stepsUK.pdf" TargetMode="External"/><Relationship Id="rId24" Type="http://schemas.openxmlformats.org/officeDocument/2006/relationships/hyperlink" Target="https://whatworks.college.police.uk/Research/Documents/Community_engagement_lessons.pdf" TargetMode="External"/><Relationship Id="rId32" Type="http://schemas.openxmlformats.org/officeDocument/2006/relationships/hyperlink" Target="https://gbr01.safelinks.protection.outlook.com/?url=https%3A%2F%2Fwww.unodc.org%2Fe4j%2Fen%2Forganized-crime%2Fmodule-1%2Fkey-issues%2Fsimilarities-and-differences.html&amp;data=04%7C01%7Csteven.williams2%40south-wales.police.uk%7C6fd754eca08b40a588dc08d94436f0de%7C270c2f4dfd0c4f0892a9e5bdd8a87e09%7C0%7C1%7C637615825018317291%7CUnknown%7CTWFpbGZsb3d8eyJWIjoiMC4wLjAwMDAiLCJQIjoiV2luMzIiLCJBTiI6Ik1haWwiLCJXVCI6Mn0%3D%7C1000&amp;sdata=hKhh04hBfDYpT2oUhM9K95ZNXv3LbPSgVlENbT%2BslNo%3D&amp;reserved=0"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s://www.politieacademie.nl/kennisenonderzoek/kennis/mediatheek/PDF/45875.pdf" TargetMode="External"/><Relationship Id="rId23" Type="http://schemas.openxmlformats.org/officeDocument/2006/relationships/hyperlink" Target="https://gbr01.safelinks.protection.outlook.com/?url=https%3A%2F%2Fwww.simplypsychology.org%2Fmaslow.html&amp;data=04%7C01%7Csteven.williams2%40south-wales.police.uk%7Cfb483fb6a78d45d85dc008d94437fa6e%7C270c2f4dfd0c4f0892a9e5bdd8a87e09%7C0%7C1%7C637615829476135610%7CUnknown%7CTWFpbGZsb3d8eyJWIjoiMC4wLjAwMDAiLCJQIjoiV2luMzIiLCJBTiI6Ik1haWwiLCJXVCI6Mn0%3D%7C1000&amp;sdata=4paGHGyy1lr2U%2Bs5mT8gBkHmDaZRSW05mLun%2FjsBqYQ%3D&amp;reserved=0" TargetMode="External"/><Relationship Id="rId28" Type="http://schemas.openxmlformats.org/officeDocument/2006/relationships/hyperlink" Target="https://library.college.police.uk/docs/npia/CohesionGuide.pdf" TargetMode="External"/><Relationship Id="rId36" Type="http://schemas.openxmlformats.org/officeDocument/2006/relationships/header" Target="header2.xml"/><Relationship Id="rId10" Type="http://schemas.openxmlformats.org/officeDocument/2006/relationships/hyperlink" Target="http://static1.squarespace.com/static/51b06364e4b02de2f57fd72e/t/525d516ce4b04f018409a8f0/1381847404470/Comm+Cohesion+in+Wales.pdf" TargetMode="External"/><Relationship Id="rId19" Type="http://schemas.openxmlformats.org/officeDocument/2006/relationships/hyperlink" Target="https://gbr01.safelinks.protection.outlook.com/?url=https%3A%2F%2Fwww.report-it.org.uk%2Ffiles%2Fipcc_report-fiona-pilkington-leicestershire.pdf&amp;data=04%7C01%7Csteven.williams2%40south-wales.police.uk%7Cfb483fb6a78d45d85dc008d94437fa6e%7C270c2f4dfd0c4f0892a9e5bdd8a87e09%7C0%7C1%7C637615829476195344%7CUnknown%7CTWFpbGZsb3d8eyJWIjoiMC4wLjAwMDAiLCJQIjoiV2luMzIiLCJBTiI6Ik1haWwiLCJXVCI6Mn0%3D%7C1000&amp;sdata=U43GjP%2B4FuxRG26rWLJin2wp%2FuPXgRxzx4AeyEIyS4k%3D&amp;reserved=0" TargetMode="External"/><Relationship Id="rId31" Type="http://schemas.openxmlformats.org/officeDocument/2006/relationships/hyperlink" Target="https://gbr01.safelinks.protection.outlook.com/?url=https%3A%2F%2Fwww.jesip.org.uk%2Fuploads%2Fmedia%2Fpdf%2FPollock_Review_Oct_2013.pdf&amp;data=04%7C01%7Csteven.williams2%40south-wales.police.uk%7Cfb483fb6a78d45d85dc008d94437fa6e%7C270c2f4dfd0c4f0892a9e5bdd8a87e09%7C0%7C1%7C637615829476175431%7CUnknown%7CTWFpbGZsb3d8eyJWIjoiMC4wLjAwMDAiLCJQIjoiV2luMzIiLCJBTiI6Ik1haWwiLCJXVCI6Mn0%3D%7C1000&amp;sdata=WAwI2qgAdq%2F6ldD9%2B7SzV5NW7mzLF72fwStxnrNVbiE%3D&amp;reserved=0" TargetMode="External"/><Relationship Id="rId4" Type="http://schemas.openxmlformats.org/officeDocument/2006/relationships/footnotes" Target="footnotes.xml"/><Relationship Id="rId9" Type="http://schemas.openxmlformats.org/officeDocument/2006/relationships/hyperlink" Target="https://d17wy4t6ps30xx.cloudfront.net/production/uploads/2019/07/Problem-Solving-Practice-Advice-v1.0.pdf" TargetMode="External"/><Relationship Id="rId14" Type="http://schemas.openxmlformats.org/officeDocument/2006/relationships/hyperlink" Target="https://www.ojp.gov/pdffiles/crimepre.pdf" TargetMode="External"/><Relationship Id="rId22" Type="http://schemas.openxmlformats.org/officeDocument/2006/relationships/hyperlink" Target="https://gbr01.safelinks.protection.outlook.com/?url=https%3A%2F%2Fwww.london.gov.uk%2Fsites%2Fdefault%2Ffiles%2Fleslp_mi_procedure_manual_2019_version_10.1.pdf&amp;data=04%7C01%7Csteven.williams2%40south-wales.police.uk%7Cfb483fb6a78d45d85dc008d94437fa6e%7C270c2f4dfd0c4f0892a9e5bdd8a87e09%7C0%7C1%7C637615829476165476%7CUnknown%7CTWFpbGZsb3d8eyJWIjoiMC4wLjAwMDAiLCJQIjoiV2luMzIiLCJBTiI6Ik1haWwiLCJXVCI6Mn0%3D%7C1000&amp;sdata=epEC51cXzRdyKBb%2FCP%2Bv6NmWWmW46E3zl0rr9%2FgWihY%3D&amp;reserved=0" TargetMode="External"/><Relationship Id="rId27" Type="http://schemas.openxmlformats.org/officeDocument/2006/relationships/hyperlink" Target="https://gbr01.safelinks.protection.outlook.com/?url=https%3A%2F%2Flibrary.college.police.uk%2Fdocs%2FNPIA%2FPractice-Advice-on-CIM-Jul2011.pdf&amp;data=04%7C01%7Csteven.williams2%40south-wales.police.uk%7Cfb483fb6a78d45d85dc008d94437fa6e%7C270c2f4dfd0c4f0892a9e5bdd8a87e09%7C0%7C1%7C637615829476185387%7CUnknown%7CTWFpbGZsb3d8eyJWIjoiMC4wLjAwMDAiLCJQIjoiV2luMzIiLCJBTiI6Ik1haWwiLCJXVCI6Mn0%3D%7C1000&amp;sdata=xJ87RdJcJfxYfnGltR5t2HA62pAQjulK2BFxUwP3Loo%3D&amp;reserved=0" TargetMode="External"/><Relationship Id="rId30" Type="http://schemas.openxmlformats.org/officeDocument/2006/relationships/hyperlink" Target="https://gbr01.safelinks.protection.outlook.com/?url=https%3A%2F%2Fwww.airuniversity.af.edu%2FPortals%2F10%2FCSDS%2FBooks%2Falqaedatrainingmanual2.pdf&amp;data=04%7C01%7Csteven.williams2%40south-wales.police.uk%7Cd400c1eabd234817da1408d945105778%7C270c2f4dfd0c4f0892a9e5bdd8a87e09%7C0%7C1%7C637616758744963775%7CUnknown%7CTWFpbGZsb3d8eyJWIjoiMC4wLjAwMDAiLCJQIjoiV2luMzIiLCJBTiI6Ik1haWwiLCJXVCI6Mn0%3D%7C0&amp;sdata=NovKWAFprnbZJFMFP%2BTzb9biRiBJn4HU4CPgJhnBRo8%3D&amp;reserved=0" TargetMode="External"/><Relationship Id="rId35" Type="http://schemas.openxmlformats.org/officeDocument/2006/relationships/header" Target="header1.xml"/><Relationship Id="rId8" Type="http://schemas.openxmlformats.org/officeDocument/2006/relationships/hyperlink" Target="https://gbr01.safelinks.protection.outlook.com/?url=https%3A%2F%2Fwww.college.police.uk%2Fprint%2Fpdf%2Fnode%2F1651&amp;data=04%7C01%7Csteven.williams2%40south-wales.police.uk%7Cd400c1eabd234817da1408d945105778%7C270c2f4dfd0c4f0892a9e5bdd8a87e09%7C0%7C1%7C637616758744943873%7CUnknown%7CTWFpbGZsb3d8eyJWIjoiMC4wLjAwMDAiLCJQIjoiV2luMzIiLCJBTiI6Ik1haWwiLCJXVCI6Mn0%3D%7C0&amp;sdata=DoerCWG%2BAyfEbC1f1ZwktMe6Jx0NQe4hEXFuJbgdKu8%3D&amp;reserved=0" TargetMode="External"/><Relationship Id="rId3" Type="http://schemas.openxmlformats.org/officeDocument/2006/relationships/webSettings" Target="webSettings.xml"/><Relationship Id="rId12" Type="http://schemas.openxmlformats.org/officeDocument/2006/relationships/hyperlink" Target="https://moodle.uwtsd.ac.uk/pluginfile.php/422595/mod_resource/content/1/A%20Guide%20to%20Effective%20Community%20Engagement.pdf" TargetMode="External"/><Relationship Id="rId17" Type="http://schemas.openxmlformats.org/officeDocument/2006/relationships/hyperlink" Target="https://gbr01.safelinks.protection.outlook.com/?url=https%3A%2F%2Fwww.justiceinspectorates.gov.uk%2Fhmicfrs%2Fwp-content%2Fuploads%2Froads-policing-not-optional-an-inspection-of-roads-policing-in-england-and-wales.pdf&amp;data=04%7C01%7Csteven.williams2%40south-wales.police.uk%7Cd400c1eabd234817da1408d945105778%7C270c2f4dfd0c4f0892a9e5bdd8a87e09%7C0%7C1%7C637616758744953819%7CUnknown%7CTWFpbGZsb3d8eyJWIjoiMC4wLjAwMDAiLCJQIjoiV2luMzIiLCJBTiI6Ik1haWwiLCJXVCI6Mn0%3D%7C0&amp;sdata=u1yEERjHMIRGV4Biod%2F1IbazrTBVu%2FDu63%2BVQvO4bmA%3D&amp;reserved=0" TargetMode="External"/><Relationship Id="rId25" Type="http://schemas.openxmlformats.org/officeDocument/2006/relationships/hyperlink" Target="https://gbr01.safelinks.protection.outlook.com/?url=https%3A%2F%2Fwhatworks.college.police.uk%2FResearch%2FDocuments%2FFair_cop_Full_Report.pdf&amp;data=04%7C01%7Csteven.williams2%40south-wales.police.uk%7Cfb483fb6a78d45d85dc008d94437fa6e%7C270c2f4dfd0c4f0892a9e5bdd8a87e09%7C0%7C1%7C637615829476175431%7CUnknown%7CTWFpbGZsb3d8eyJWIjoiMC4wLjAwMDAiLCJQIjoiV2luMzIiLCJBTiI6Ik1haWwiLCJXVCI6Mn0%3D%7C1000&amp;sdata=tCyx8jBjzhRxoHqXwI82RC3rxbyweBDF44Cuc%2FTzWLA%3D&amp;reserved=0" TargetMode="External"/><Relationship Id="rId33" Type="http://schemas.openxmlformats.org/officeDocument/2006/relationships/hyperlink" Target="https://www.unodc.org/documents/organized-crime/Law-Enforcement/Criminal_Intelligence_for_Analysts.pdf" TargetMode="External"/><Relationship Id="rId3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19</Pages>
  <Words>7365</Words>
  <Characters>41986</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49253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Williams,Steven swp6583</dc:creator>
  <cp:keywords/>
  <dc:description/>
  <cp:lastModifiedBy>Haworth L (FLSE)</cp:lastModifiedBy>
  <cp:revision>2</cp:revision>
  <dcterms:created xsi:type="dcterms:W3CDTF">2021-07-12T20:31:00Z</dcterms:created>
  <dcterms:modified xsi:type="dcterms:W3CDTF">2021-07-12T20:31:00Z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e15675e9-096a-456a-94f2-f3bf1ecd2e4e</vt:lpwstr>
  </property>
  <property fmtid="{D5CDD505-2E9C-101B-9397-08002B2CF9AE}" pid="3" name="Classification">
    <vt:lpwstr>OFFICIAL</vt:lpwstr>
  </property>
  <property fmtid="{D5CDD505-2E9C-101B-9397-08002B2CF9AE}" pid="4" name="Visibility">
    <vt:lpwstr>NOT VISIBLE</vt:lpwstr>
  </property>
</Properties>
</file>