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47D2F">
      <w:pPr>
        <w:jc w:val="center"/>
        <w:rPr>
          <w:rFonts w:hint="default" w:ascii="Arial" w:hAnsi="Arial" w:cs="Arial"/>
          <w:b/>
          <w:bCs/>
          <w:lang w:val="en-US"/>
        </w:rPr>
      </w:pPr>
      <w:r>
        <w:rPr>
          <w:rFonts w:hint="default" w:ascii="Arial" w:hAnsi="Arial" w:cs="Arial"/>
          <w:b/>
          <w:bCs/>
          <w:lang w:val="en-US"/>
        </w:rPr>
        <w:drawing>
          <wp:inline distT="0" distB="0" distL="114300" distR="114300">
            <wp:extent cx="3550920" cy="1353185"/>
            <wp:effectExtent l="0" t="0" r="5080" b="5715"/>
            <wp:docPr id="2" name="Picture 2"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i logo"/>
                    <pic:cNvPicPr>
                      <a:picLocks noChangeAspect="1"/>
                    </pic:cNvPicPr>
                  </pic:nvPicPr>
                  <pic:blipFill>
                    <a:blip r:embed="rId4"/>
                    <a:stretch>
                      <a:fillRect/>
                    </a:stretch>
                  </pic:blipFill>
                  <pic:spPr>
                    <a:xfrm>
                      <a:off x="0" y="0"/>
                      <a:ext cx="3550920" cy="1353185"/>
                    </a:xfrm>
                    <a:prstGeom prst="rect">
                      <a:avLst/>
                    </a:prstGeom>
                  </pic:spPr>
                </pic:pic>
              </a:graphicData>
            </a:graphic>
          </wp:inline>
        </w:drawing>
      </w:r>
    </w:p>
    <w:p w14:paraId="6912321E">
      <w:pPr>
        <w:jc w:val="center"/>
        <w:rPr>
          <w:rFonts w:ascii="Arial" w:hAnsi="Arial" w:cs="Arial"/>
          <w:b/>
          <w:bCs/>
        </w:rPr>
      </w:pPr>
    </w:p>
    <w:p w14:paraId="541C89FC">
      <w:pPr>
        <w:jc w:val="center"/>
        <w:rPr>
          <w:rFonts w:ascii="Arial" w:hAnsi="Arial" w:cs="Arial"/>
          <w:b/>
          <w:bCs/>
        </w:rPr>
      </w:pPr>
    </w:p>
    <w:p w14:paraId="1361E790">
      <w:pPr>
        <w:jc w:val="center"/>
        <w:rPr>
          <w:rFonts w:ascii="Arial" w:hAnsi="Arial" w:cs="Arial"/>
          <w:b/>
          <w:bCs/>
        </w:rPr>
      </w:pPr>
    </w:p>
    <w:p w14:paraId="2E879C0E">
      <w:pPr>
        <w:jc w:val="center"/>
        <w:rPr>
          <w:rFonts w:ascii="Arial" w:hAnsi="Arial" w:cs="Arial"/>
          <w:b/>
          <w:bCs/>
        </w:rPr>
      </w:pPr>
    </w:p>
    <w:p w14:paraId="02C8EC66">
      <w:pPr>
        <w:jc w:val="center"/>
        <w:rPr>
          <w:rFonts w:ascii="Arial" w:hAnsi="Arial" w:cs="Arial"/>
          <w:b/>
          <w:bCs/>
        </w:rPr>
      </w:pPr>
    </w:p>
    <w:p w14:paraId="037A9684">
      <w:pPr>
        <w:jc w:val="center"/>
        <w:rPr>
          <w:rFonts w:ascii="Arial" w:hAnsi="Arial" w:cs="Arial"/>
          <w:b/>
          <w:bCs/>
        </w:rPr>
      </w:pPr>
    </w:p>
    <w:p w14:paraId="1025FB5B">
      <w:pPr>
        <w:jc w:val="both"/>
        <w:rPr>
          <w:rFonts w:ascii="Arial" w:hAnsi="Arial" w:cs="Arial"/>
          <w:b/>
          <w:bCs/>
        </w:rPr>
      </w:pPr>
    </w:p>
    <w:p w14:paraId="2772ED31">
      <w:pPr>
        <w:jc w:val="center"/>
        <w:rPr>
          <w:rFonts w:ascii="Arial" w:hAnsi="Arial" w:cs="Arial"/>
          <w:b/>
          <w:bCs/>
        </w:rPr>
      </w:pPr>
    </w:p>
    <w:p w14:paraId="7F8EAF2A">
      <w:pPr>
        <w:jc w:val="center"/>
        <w:rPr>
          <w:rFonts w:ascii="Arial" w:hAnsi="Arial" w:cs="Arial"/>
          <w:b/>
          <w:bCs/>
        </w:rPr>
      </w:pPr>
    </w:p>
    <w:p w14:paraId="6F34EACD">
      <w:pPr>
        <w:jc w:val="center"/>
        <w:rPr>
          <w:rFonts w:ascii="Arial" w:hAnsi="Arial" w:cs="Arial"/>
          <w:b/>
          <w:bCs/>
        </w:rPr>
      </w:pPr>
    </w:p>
    <w:p w14:paraId="66B83E02">
      <w:pPr>
        <w:jc w:val="center"/>
        <w:rPr>
          <w:rFonts w:ascii="Arial" w:hAnsi="Arial" w:cs="Arial"/>
          <w:b/>
          <w:bCs/>
        </w:rPr>
      </w:pPr>
    </w:p>
    <w:p w14:paraId="329371A8">
      <w:pPr>
        <w:jc w:val="center"/>
        <w:rPr>
          <w:rFonts w:ascii="Arial" w:hAnsi="Arial" w:cs="Arial"/>
          <w:b/>
          <w:bCs/>
        </w:rPr>
      </w:pPr>
    </w:p>
    <w:p w14:paraId="020B9CFF">
      <w:pPr>
        <w:jc w:val="center"/>
        <w:rPr>
          <w:rFonts w:hint="default" w:ascii="Arial" w:hAnsi="Arial" w:cs="Arial"/>
          <w:b/>
          <w:bCs/>
          <w:sz w:val="24"/>
          <w:szCs w:val="24"/>
          <w:lang w:val="en-US"/>
        </w:rPr>
      </w:pPr>
      <w:r>
        <w:rPr>
          <w:rFonts w:ascii="Arial" w:hAnsi="Arial" w:cs="Arial"/>
          <w:b/>
          <w:bCs/>
          <w:sz w:val="24"/>
          <w:szCs w:val="24"/>
        </w:rPr>
        <w:t>Student Name:</w:t>
      </w:r>
      <w:r>
        <w:rPr>
          <w:rFonts w:hint="default" w:ascii="Arial" w:hAnsi="Arial" w:cs="Arial"/>
          <w:b/>
          <w:bCs/>
          <w:sz w:val="24"/>
          <w:szCs w:val="24"/>
          <w:lang w:val="en-US"/>
        </w:rPr>
        <w:t xml:space="preserve"> </w:t>
      </w:r>
      <w:r>
        <w:rPr>
          <w:rFonts w:hint="default" w:ascii="Arial" w:hAnsi="Arial"/>
          <w:b/>
          <w:bCs/>
          <w:sz w:val="24"/>
          <w:szCs w:val="24"/>
          <w:lang w:val="en-US"/>
        </w:rPr>
        <w:t>Haroon Ahmad</w:t>
      </w:r>
    </w:p>
    <w:p w14:paraId="2AAC98E7">
      <w:pPr>
        <w:jc w:val="center"/>
        <w:rPr>
          <w:rFonts w:ascii="Arial" w:hAnsi="Arial" w:cs="Arial"/>
          <w:b/>
          <w:bCs/>
          <w:sz w:val="24"/>
          <w:szCs w:val="24"/>
        </w:rPr>
      </w:pPr>
    </w:p>
    <w:p w14:paraId="586C6996">
      <w:pPr>
        <w:jc w:val="center"/>
        <w:rPr>
          <w:rFonts w:hint="default" w:ascii="Arial" w:hAnsi="Arial" w:cs="Arial"/>
          <w:b/>
          <w:bCs/>
          <w:sz w:val="24"/>
          <w:szCs w:val="24"/>
          <w:lang w:val="en-US"/>
        </w:rPr>
      </w:pPr>
      <w:r>
        <w:rPr>
          <w:rFonts w:ascii="Arial" w:hAnsi="Arial" w:cs="Arial"/>
          <w:b/>
          <w:bCs/>
          <w:sz w:val="24"/>
          <w:szCs w:val="24"/>
        </w:rPr>
        <w:t>Student ID:</w:t>
      </w:r>
      <w:r>
        <w:rPr>
          <w:rFonts w:hint="default" w:ascii="Arial" w:hAnsi="Arial" w:cs="Arial"/>
          <w:b w:val="0"/>
          <w:bCs w:val="0"/>
          <w:sz w:val="24"/>
          <w:szCs w:val="24"/>
          <w:lang w:val="en-US"/>
        </w:rPr>
        <w:t xml:space="preserve"> </w:t>
      </w:r>
      <w:r>
        <w:rPr>
          <w:rFonts w:hint="default" w:ascii="Arial" w:hAnsi="Arial"/>
          <w:b/>
          <w:bCs/>
          <w:sz w:val="24"/>
          <w:szCs w:val="24"/>
          <w:lang w:val="en-US"/>
        </w:rPr>
        <w:t>2437163</w:t>
      </w:r>
    </w:p>
    <w:p w14:paraId="63080C9E">
      <w:pPr>
        <w:jc w:val="center"/>
        <w:rPr>
          <w:rFonts w:ascii="Arial" w:hAnsi="Arial" w:cs="Arial"/>
          <w:sz w:val="24"/>
          <w:szCs w:val="24"/>
        </w:rPr>
      </w:pPr>
    </w:p>
    <w:p w14:paraId="3D7751B6">
      <w:pPr>
        <w:jc w:val="center"/>
        <w:rPr>
          <w:rFonts w:ascii="Arial" w:hAnsi="Arial" w:cs="Arial"/>
          <w:sz w:val="24"/>
          <w:szCs w:val="24"/>
        </w:rPr>
      </w:pPr>
    </w:p>
    <w:p w14:paraId="37F10C9F">
      <w:pPr>
        <w:jc w:val="center"/>
        <w:rPr>
          <w:rFonts w:ascii="Arial" w:hAnsi="Arial" w:cs="Arial"/>
          <w:b/>
          <w:bCs/>
          <w:sz w:val="24"/>
          <w:szCs w:val="24"/>
        </w:rPr>
      </w:pPr>
      <w:r>
        <w:rPr>
          <w:rFonts w:ascii="Arial" w:hAnsi="Arial" w:cs="Arial"/>
          <w:b/>
          <w:bCs/>
          <w:sz w:val="24"/>
          <w:szCs w:val="24"/>
        </w:rPr>
        <w:t xml:space="preserve">Module Name: </w:t>
      </w:r>
      <w:r>
        <w:rPr>
          <w:rFonts w:hint="default" w:ascii="Arial" w:hAnsi="Arial"/>
          <w:b/>
          <w:bCs/>
          <w:sz w:val="24"/>
          <w:szCs w:val="24"/>
          <w:lang w:val="en-US"/>
        </w:rPr>
        <w:t>Marketing</w:t>
      </w:r>
      <w:r>
        <w:rPr>
          <w:rFonts w:hint="default" w:ascii="Arial" w:hAnsi="Arial"/>
          <w:b/>
          <w:bCs/>
          <w:sz w:val="24"/>
          <w:szCs w:val="24"/>
        </w:rPr>
        <w:t xml:space="preserve"> </w:t>
      </w:r>
      <w:r>
        <w:rPr>
          <w:rFonts w:hint="default" w:ascii="Arial" w:hAnsi="Arial"/>
          <w:b/>
          <w:bCs/>
          <w:sz w:val="24"/>
          <w:szCs w:val="24"/>
          <w:lang w:val="en-US"/>
        </w:rPr>
        <w:t>M</w:t>
      </w:r>
      <w:r>
        <w:rPr>
          <w:rFonts w:hint="default" w:ascii="Arial" w:hAnsi="Arial"/>
          <w:b/>
          <w:bCs/>
          <w:sz w:val="24"/>
          <w:szCs w:val="24"/>
        </w:rPr>
        <w:t>anagement</w:t>
      </w:r>
    </w:p>
    <w:p w14:paraId="1F614A44">
      <w:pPr>
        <w:jc w:val="center"/>
        <w:rPr>
          <w:rFonts w:ascii="Arial" w:hAnsi="Arial" w:cs="Arial"/>
          <w:b/>
          <w:bCs/>
          <w:sz w:val="24"/>
          <w:szCs w:val="24"/>
        </w:rPr>
      </w:pPr>
    </w:p>
    <w:p w14:paraId="0794A99E">
      <w:pPr>
        <w:jc w:val="center"/>
        <w:rPr>
          <w:rFonts w:hint="default" w:ascii="Arial" w:hAnsi="Arial" w:cs="Arial"/>
          <w:b/>
          <w:bCs/>
          <w:sz w:val="24"/>
          <w:szCs w:val="24"/>
          <w:lang w:val="en-US"/>
        </w:rPr>
      </w:pPr>
      <w:r>
        <w:rPr>
          <w:rFonts w:ascii="Arial" w:hAnsi="Arial" w:cs="Arial"/>
          <w:b/>
          <w:bCs/>
          <w:sz w:val="24"/>
          <w:szCs w:val="24"/>
        </w:rPr>
        <w:t xml:space="preserve">Module Code: </w:t>
      </w:r>
      <w:r>
        <w:rPr>
          <w:rFonts w:hint="default" w:ascii="Arial" w:hAnsi="Arial"/>
          <w:b/>
          <w:bCs/>
          <w:sz w:val="24"/>
          <w:szCs w:val="24"/>
        </w:rPr>
        <w:t>LCMB702</w:t>
      </w:r>
      <w:r>
        <w:rPr>
          <w:rFonts w:hint="default" w:ascii="Arial" w:hAnsi="Arial"/>
          <w:b/>
          <w:bCs/>
          <w:sz w:val="24"/>
          <w:szCs w:val="24"/>
          <w:lang w:val="en-US"/>
        </w:rPr>
        <w:t>4</w:t>
      </w:r>
    </w:p>
    <w:p w14:paraId="242318AB">
      <w:pPr>
        <w:jc w:val="center"/>
        <w:rPr>
          <w:rFonts w:ascii="Arial" w:hAnsi="Arial" w:cs="Arial"/>
          <w:b/>
          <w:bCs/>
          <w:sz w:val="24"/>
          <w:szCs w:val="24"/>
        </w:rPr>
      </w:pPr>
    </w:p>
    <w:p w14:paraId="5A962802">
      <w:pPr>
        <w:jc w:val="center"/>
        <w:rPr>
          <w:rFonts w:ascii="Arial" w:hAnsi="Arial" w:cs="Arial"/>
          <w:b/>
          <w:bCs/>
          <w:sz w:val="24"/>
          <w:szCs w:val="24"/>
        </w:rPr>
      </w:pPr>
    </w:p>
    <w:p w14:paraId="38F1A035">
      <w:pPr>
        <w:jc w:val="center"/>
        <w:rPr>
          <w:rFonts w:ascii="Arial" w:hAnsi="Arial" w:cs="Arial"/>
          <w:b/>
          <w:bCs/>
          <w:sz w:val="24"/>
          <w:szCs w:val="24"/>
        </w:rPr>
      </w:pPr>
    </w:p>
    <w:p w14:paraId="7E74A1F6">
      <w:pPr>
        <w:jc w:val="center"/>
        <w:rPr>
          <w:rFonts w:ascii="Arial" w:hAnsi="Arial" w:cs="Arial"/>
          <w:b/>
          <w:bCs/>
          <w:sz w:val="24"/>
          <w:szCs w:val="24"/>
        </w:rPr>
      </w:pPr>
    </w:p>
    <w:p w14:paraId="1C05EEAE">
      <w:pPr>
        <w:jc w:val="center"/>
        <w:rPr>
          <w:rFonts w:hint="default" w:ascii="Arial" w:hAnsi="Arial" w:cs="Arial"/>
          <w:b/>
          <w:bCs/>
          <w:sz w:val="24"/>
          <w:szCs w:val="24"/>
          <w:lang w:val="en-US"/>
        </w:rPr>
      </w:pPr>
      <w:r>
        <w:rPr>
          <w:rFonts w:ascii="Arial" w:hAnsi="Arial" w:cs="Arial"/>
          <w:b/>
          <w:bCs/>
          <w:sz w:val="24"/>
          <w:szCs w:val="24"/>
        </w:rPr>
        <w:t>Lecturer’s Name:</w:t>
      </w:r>
      <w:r>
        <w:rPr>
          <w:rFonts w:hint="default" w:ascii="Arial" w:hAnsi="Arial" w:cs="Arial"/>
          <w:b/>
          <w:bCs/>
          <w:sz w:val="24"/>
          <w:szCs w:val="24"/>
          <w:lang w:val="en-US"/>
        </w:rPr>
        <w:t xml:space="preserve"> </w:t>
      </w:r>
      <w:r>
        <w:rPr>
          <w:rFonts w:hint="default" w:ascii="Arial" w:hAnsi="Arial"/>
          <w:b/>
          <w:bCs/>
          <w:sz w:val="24"/>
          <w:szCs w:val="24"/>
          <w:lang w:val="en-US"/>
        </w:rPr>
        <w:t>Dr Laila Maazouz (London)</w:t>
      </w:r>
    </w:p>
    <w:p w14:paraId="2534BC8F">
      <w:pPr>
        <w:jc w:val="center"/>
        <w:rPr>
          <w:rFonts w:ascii="Arial" w:hAnsi="Arial" w:cs="Arial"/>
          <w:b/>
          <w:bCs/>
          <w:sz w:val="24"/>
          <w:szCs w:val="24"/>
        </w:rPr>
      </w:pPr>
    </w:p>
    <w:p w14:paraId="70E1BD2A">
      <w:pPr>
        <w:jc w:val="center"/>
        <w:rPr>
          <w:rFonts w:ascii="Arial" w:hAnsi="Arial" w:cs="Arial"/>
          <w:b/>
          <w:bCs/>
          <w:sz w:val="24"/>
          <w:szCs w:val="24"/>
        </w:rPr>
      </w:pPr>
    </w:p>
    <w:p w14:paraId="55B10977">
      <w:pPr>
        <w:rPr>
          <w:rFonts w:ascii="Arial" w:hAnsi="Arial" w:cs="Arial"/>
          <w:b/>
          <w:bCs/>
          <w:sz w:val="24"/>
          <w:szCs w:val="24"/>
        </w:rPr>
      </w:pPr>
    </w:p>
    <w:p w14:paraId="39FE983B">
      <w:pPr>
        <w:jc w:val="center"/>
        <w:rPr>
          <w:rFonts w:hint="default" w:ascii="Arial" w:hAnsi="Arial" w:cs="Arial"/>
          <w:b/>
          <w:bCs/>
          <w:sz w:val="24"/>
          <w:szCs w:val="24"/>
          <w:lang w:val="en-US"/>
        </w:rPr>
      </w:pPr>
      <w:r>
        <w:rPr>
          <w:rFonts w:ascii="Arial" w:hAnsi="Arial" w:cs="Arial"/>
          <w:b/>
          <w:bCs/>
          <w:sz w:val="24"/>
          <w:szCs w:val="24"/>
        </w:rPr>
        <w:t>Work Count:</w:t>
      </w:r>
      <w:r>
        <w:rPr>
          <w:rFonts w:hint="default" w:ascii="Arial" w:hAnsi="Arial" w:cs="Arial"/>
          <w:b/>
          <w:bCs/>
          <w:sz w:val="24"/>
          <w:szCs w:val="24"/>
          <w:lang w:val="en-US"/>
        </w:rPr>
        <w:t xml:space="preserve"> 2692</w:t>
      </w:r>
    </w:p>
    <w:p w14:paraId="2CC2A054">
      <w:pPr>
        <w:jc w:val="center"/>
        <w:rPr>
          <w:rFonts w:ascii="Arial" w:hAnsi="Arial" w:cs="Arial"/>
          <w:b/>
          <w:bCs/>
          <w:sz w:val="24"/>
          <w:szCs w:val="24"/>
        </w:rPr>
      </w:pPr>
    </w:p>
    <w:p w14:paraId="6A8F56C7">
      <w:pPr>
        <w:jc w:val="center"/>
        <w:rPr>
          <w:rFonts w:ascii="Arial" w:hAnsi="Arial" w:cs="Arial"/>
          <w:b/>
          <w:bCs/>
          <w:sz w:val="24"/>
          <w:szCs w:val="24"/>
        </w:rPr>
      </w:pPr>
    </w:p>
    <w:p w14:paraId="74532E5F">
      <w:pPr>
        <w:jc w:val="center"/>
        <w:rPr>
          <w:rFonts w:ascii="Arial" w:hAnsi="Arial" w:cs="Arial"/>
          <w:b/>
          <w:bCs/>
          <w:sz w:val="24"/>
          <w:szCs w:val="24"/>
        </w:rPr>
      </w:pPr>
    </w:p>
    <w:p w14:paraId="102B9D5E">
      <w:pPr>
        <w:jc w:val="center"/>
        <w:rPr>
          <w:rFonts w:ascii="Arial" w:hAnsi="Arial" w:cs="Arial"/>
          <w:b/>
          <w:bCs/>
          <w:sz w:val="24"/>
          <w:szCs w:val="24"/>
        </w:rPr>
      </w:pPr>
    </w:p>
    <w:p w14:paraId="76B4AC18">
      <w:pPr>
        <w:jc w:val="center"/>
        <w:rPr>
          <w:rFonts w:ascii="Arial" w:hAnsi="Arial" w:cs="Arial"/>
          <w:b/>
          <w:bCs/>
          <w:sz w:val="24"/>
          <w:szCs w:val="24"/>
        </w:rPr>
      </w:pPr>
    </w:p>
    <w:p w14:paraId="3D7042D2">
      <w:pPr>
        <w:jc w:val="center"/>
        <w:rPr>
          <w:rFonts w:ascii="Arial" w:hAnsi="Arial" w:cs="Arial"/>
          <w:b/>
          <w:bCs/>
          <w:sz w:val="24"/>
          <w:szCs w:val="24"/>
        </w:rPr>
      </w:pPr>
      <w:r>
        <w:rPr>
          <w:rFonts w:ascii="Arial" w:hAnsi="Arial" w:cs="Arial"/>
          <w:b/>
          <w:bCs/>
          <w:sz w:val="24"/>
          <w:szCs w:val="24"/>
        </w:rPr>
        <w:t>Term 1</w:t>
      </w:r>
    </w:p>
    <w:p w14:paraId="5CDA698A">
      <w:pPr>
        <w:rPr>
          <w:rFonts w:ascii="Times New Roman" w:hAnsi="Times New Roman"/>
          <w:b/>
          <w:bCs/>
          <w:sz w:val="28"/>
          <w:szCs w:val="28"/>
        </w:rPr>
      </w:pPr>
      <w:r>
        <w:rPr>
          <w:rFonts w:ascii="Times New Roman" w:hAnsi="Times New Roman"/>
          <w:b/>
          <w:bCs/>
          <w:sz w:val="28"/>
          <w:szCs w:val="28"/>
        </w:rPr>
        <w:br w:type="page"/>
      </w:r>
    </w:p>
    <w:sdt>
      <w:sdtPr>
        <w:rPr>
          <w:rFonts w:ascii="SimSun" w:hAnsi="SimSun" w:eastAsia="SimSun" w:cstheme="minorBidi"/>
          <w:sz w:val="21"/>
          <w:lang w:val="en-US" w:eastAsia="zh-CN" w:bidi="ar-SA"/>
        </w:rPr>
        <w:id w:val="147465354"/>
        <w15:color w:val="DBDBDB"/>
        <w:docPartObj>
          <w:docPartGallery w:val="Table of Contents"/>
          <w:docPartUnique/>
        </w:docPartObj>
      </w:sdtPr>
      <w:sdtEndPr>
        <w:rPr>
          <w:rFonts w:hint="default" w:ascii="Times New Roman" w:hAnsi="Times New Roman" w:cs="Times New Roman"/>
          <w:sz w:val="24"/>
          <w:szCs w:val="24"/>
        </w:rPr>
      </w:sdtEndPr>
      <w:sdtContent>
        <w:p w14:paraId="25C13371">
          <w:pPr>
            <w:spacing w:before="0" w:beforeLines="0" w:after="0" w:afterLines="0" w:line="48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SimSun" w:cs="Times New Roman"/>
              <w:i/>
              <w:iCs/>
              <w:sz w:val="24"/>
              <w:szCs w:val="24"/>
              <w:u w:val="single"/>
            </w:rPr>
            <w:t>C</w:t>
          </w:r>
          <w:r>
            <w:rPr>
              <w:rFonts w:hint="default" w:ascii="Times New Roman" w:hAnsi="Times New Roman" w:eastAsia="SimSun" w:cs="Times New Roman"/>
              <w:i/>
              <w:iCs/>
              <w:sz w:val="24"/>
              <w:szCs w:val="24"/>
              <w:u w:val="single"/>
              <w:lang w:val="en-US"/>
            </w:rPr>
            <w:t>ontent</w:t>
          </w:r>
        </w:p>
        <w:p w14:paraId="1C6ADC17">
          <w:pPr>
            <w:pStyle w:val="142"/>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_Toc4061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Task 1: Critical Analysis of the Macro Marketing Environment and Its Impact on Pioneering and Follower Firms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_Toc4061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D54B8CA">
          <w:pPr>
            <w:pStyle w:val="143"/>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_Toc8831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Technological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_Toc8831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A4E6590">
          <w:pPr>
            <w:pStyle w:val="143"/>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_Toc25082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Social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_Toc25082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23D1885">
          <w:pPr>
            <w:pStyle w:val="142"/>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_Toc25809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Task 2: Strategic Responses of Pioneering and Follower Organisations to External Macro-Environmental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_Toc25809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1DEE5C8">
          <w:pPr>
            <w:pStyle w:val="143"/>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_Toc25127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Strategic Responses to Technological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_Toc25127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1968B5A">
          <w:pPr>
            <w:pStyle w:val="144"/>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_Toc15234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 Pioneering Organisations’ Strategic Responses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_Toc15234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5342F0F">
          <w:pPr>
            <w:pStyle w:val="144"/>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_Toc21133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 Follower Organisations’ Strategic Responses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_Toc21133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8BB983B">
          <w:pPr>
            <w:pStyle w:val="143"/>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_Toc7817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Strategic Responses to Social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_Toc7817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89C6E67">
          <w:pPr>
            <w:pStyle w:val="144"/>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_Toc22512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 Pioneering Organisations’ Strategic Responses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_Toc22512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64753A3">
          <w:pPr>
            <w:pStyle w:val="144"/>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_Toc8601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 Follower Organisations’ Strategic Responses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_Toc8601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BD779F9">
          <w:pPr>
            <w:pStyle w:val="143"/>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_Toc14638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 xml:space="preserve">3. </w:t>
          </w:r>
          <w:r>
            <w:rPr>
              <w:rFonts w:hint="default" w:ascii="Times New Roman" w:hAnsi="Times New Roman" w:cs="Times New Roman"/>
              <w:sz w:val="24"/>
              <w:szCs w:val="24"/>
            </w:rPr>
            <w:t>Critical Evaluation of Strategic Responses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_Toc14638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E075E4C">
          <w:pPr>
            <w:pStyle w:val="142"/>
            <w:tabs>
              <w:tab w:val="right" w:leader="dot" w:pos="974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_Toc21038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936524F">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sdtContent>
    </w:sdt>
    <w:p w14:paraId="404627D6"/>
    <w:p w14:paraId="7A14CFA3">
      <w:pPr>
        <w:rPr>
          <w:rFonts w:ascii="Times New Roman" w:hAnsi="Times New Roman"/>
          <w:b/>
          <w:bCs/>
          <w:sz w:val="28"/>
          <w:szCs w:val="28"/>
        </w:rPr>
      </w:pPr>
      <w:r>
        <w:rPr>
          <w:rFonts w:ascii="Times New Roman" w:hAnsi="Times New Roman"/>
          <w:b/>
          <w:bCs/>
          <w:sz w:val="28"/>
          <w:szCs w:val="28"/>
        </w:rPr>
        <w:br w:type="page"/>
      </w:r>
      <w:bookmarkStart w:id="12" w:name="_GoBack"/>
      <w:bookmarkEnd w:id="12"/>
    </w:p>
    <w:p w14:paraId="0092F026">
      <w:pPr>
        <w:pStyle w:val="2"/>
        <w:bidi w:val="0"/>
      </w:pPr>
      <w:bookmarkStart w:id="0" w:name="_Toc4061"/>
      <w:r>
        <w:t>Task 1: Critical Analysis of the Macro Marketing Environment and Its Impact on Pioneering and Follower Firms</w:t>
      </w:r>
      <w:bookmarkEnd w:id="0"/>
    </w:p>
    <w:p w14:paraId="5A01436F">
      <w:pPr>
        <w:spacing w:line="360" w:lineRule="auto"/>
        <w:jc w:val="both"/>
        <w:rPr>
          <w:rFonts w:ascii="Times New Roman" w:hAnsi="Times New Roman"/>
          <w:sz w:val="24"/>
          <w:szCs w:val="24"/>
        </w:rPr>
      </w:pPr>
      <w:r>
        <w:rPr>
          <w:rFonts w:ascii="Times New Roman" w:hAnsi="Times New Roman"/>
          <w:sz w:val="24"/>
          <w:szCs w:val="24"/>
        </w:rPr>
        <w:t>The macro marketing environment is a very important part of strategic marketing management because external forces influence performance, competitiveness, and sustainability of organisations in various industries. These forces are political, economic, social, technological, environmental as well as legal and are analysed using the PESTEL framework to create both opportunities and threats which are not within the direct control of firms. Pioneering organisations are the organisations that attempt to influence markets, innovation and early adoption is an attempt to shape the market whereas followers react within the established trends (Ali et al., 2023). The use of technology and social influence is highly influential, as it affects the development of products, consumer demands, and market demands. Using this analysis and the smartphone industry, it is important to note that innovators like Apple and Samsung are first, and importers like Xiaomi and Vivo are adapters.</w:t>
      </w:r>
    </w:p>
    <w:p w14:paraId="496A710B">
      <w:pPr>
        <w:spacing w:line="360" w:lineRule="auto"/>
        <w:jc w:val="both"/>
        <w:rPr>
          <w:rFonts w:ascii="Times New Roman" w:hAnsi="Times New Roman"/>
          <w:sz w:val="24"/>
          <w:szCs w:val="24"/>
        </w:rPr>
      </w:pPr>
    </w:p>
    <w:p w14:paraId="655BC1AD">
      <w:pPr>
        <w:pStyle w:val="3"/>
        <w:bidi w:val="0"/>
        <w:spacing w:line="240" w:lineRule="auto"/>
      </w:pPr>
      <w:bookmarkStart w:id="1" w:name="_Toc8831"/>
      <w:r>
        <w:t>1. Technological Factors</w:t>
      </w:r>
      <w:bookmarkEnd w:id="1"/>
    </w:p>
    <w:p w14:paraId="097E0F64">
      <w:pPr>
        <w:spacing w:line="360" w:lineRule="auto"/>
        <w:jc w:val="both"/>
        <w:rPr>
          <w:rFonts w:ascii="Times New Roman" w:hAnsi="Times New Roman"/>
          <w:sz w:val="24"/>
          <w:szCs w:val="24"/>
        </w:rPr>
      </w:pPr>
      <w:r>
        <w:rPr>
          <w:rFonts w:ascii="Times New Roman" w:hAnsi="Times New Roman"/>
          <w:sz w:val="24"/>
          <w:szCs w:val="24"/>
        </w:rPr>
        <w:t>Technological factors entail the pace of technological innovation, digital capabilities development, automation, research and development (R&amp;D), technologies in production and developing of new platforms or infrastructures. Technology influences product development, marketing approaches, distribution networks, customer relationships and operational productivity in virtually all industries, including healthcare industries, the automotive industry, retail and financial services, among others. Evolution and revolution of technologies can open up vast opportunities, including allowing companies to operate on a less expensive platform, allow them to develop high-quality products, provide individualised experiences or develop new business models (Nafizah, Roper and Mole, 2024). Nevertheless, technological change may also become a source of threats, such as accelerating product obsolescence, heightened competition, high capital demands, and pressure on firms to be ever-innovative.</w:t>
      </w:r>
    </w:p>
    <w:p w14:paraId="3D5584C0">
      <w:pPr>
        <w:spacing w:line="360" w:lineRule="auto"/>
        <w:jc w:val="both"/>
        <w:rPr>
          <w:rFonts w:ascii="Times New Roman" w:hAnsi="Times New Roman"/>
          <w:sz w:val="24"/>
          <w:szCs w:val="24"/>
        </w:rPr>
      </w:pPr>
    </w:p>
    <w:p w14:paraId="6F33F9B5">
      <w:pPr>
        <w:spacing w:line="360" w:lineRule="auto"/>
        <w:jc w:val="both"/>
        <w:rPr>
          <w:rFonts w:ascii="Times New Roman" w:hAnsi="Times New Roman"/>
          <w:sz w:val="24"/>
          <w:szCs w:val="24"/>
        </w:rPr>
      </w:pPr>
      <w:r>
        <w:rPr>
          <w:rFonts w:ascii="Times New Roman" w:hAnsi="Times New Roman"/>
          <w:sz w:val="24"/>
          <w:szCs w:val="24"/>
        </w:rPr>
        <w:t>To first mover firms, technological change gives them a chance to create first mover advantage, develop good brand image, shape customer perception and charge a high price. However, other risks that face pioneers include large R&amp;D expenditure, uncertainty in technology, and the markets might reject the product. In the meantime, the follower firms enjoy the successes and failures of innovators, thus they can use tested technologies at a lower cost and a reduced risk (Jjagwe, Kirabira and Mukasa, 2024). The negative thing is that the followers can hardly differentiate and they might be provided with intellectual property hurdle which will limit their capacity of copying innovative innovations.</w:t>
      </w:r>
    </w:p>
    <w:p w14:paraId="635A05F7">
      <w:pPr>
        <w:spacing w:line="360" w:lineRule="auto"/>
        <w:jc w:val="both"/>
        <w:rPr>
          <w:rFonts w:ascii="Times New Roman" w:hAnsi="Times New Roman"/>
          <w:sz w:val="24"/>
          <w:szCs w:val="24"/>
        </w:rPr>
      </w:pPr>
    </w:p>
    <w:p w14:paraId="52E129E6">
      <w:pPr>
        <w:spacing w:line="360" w:lineRule="auto"/>
        <w:jc w:val="both"/>
        <w:rPr>
          <w:rFonts w:ascii="Times New Roman" w:hAnsi="Times New Roman"/>
          <w:b/>
          <w:bCs/>
          <w:sz w:val="24"/>
          <w:szCs w:val="24"/>
        </w:rPr>
      </w:pPr>
      <w:r>
        <w:rPr>
          <w:rFonts w:ascii="Times New Roman" w:hAnsi="Times New Roman"/>
          <w:b/>
          <w:bCs/>
          <w:sz w:val="24"/>
          <w:szCs w:val="24"/>
        </w:rPr>
        <w:t>Application to the Smartphone Industry</w:t>
      </w:r>
    </w:p>
    <w:p w14:paraId="1DC63E85">
      <w:pPr>
        <w:spacing w:line="360" w:lineRule="auto"/>
        <w:jc w:val="both"/>
        <w:rPr>
          <w:rFonts w:ascii="Times New Roman" w:hAnsi="Times New Roman"/>
          <w:sz w:val="24"/>
          <w:szCs w:val="24"/>
        </w:rPr>
      </w:pPr>
      <w:r>
        <w:rPr>
          <w:rFonts w:ascii="Times New Roman" w:hAnsi="Times New Roman"/>
          <w:sz w:val="24"/>
          <w:szCs w:val="24"/>
        </w:rPr>
        <w:t>Technological changes are also important sources of competition in the smartphone market, as the desktop constantly evolves in the context of artificial intelligence, processors, camera systems, connexions 5G and display technologies. These inventions keep on transforming the standards of the industry, which determines both the strategic decisions of first mover companies and their followers.</w:t>
      </w:r>
    </w:p>
    <w:p w14:paraId="0E3487C5">
      <w:pPr>
        <w:spacing w:line="360" w:lineRule="auto"/>
        <w:jc w:val="both"/>
        <w:rPr>
          <w:rFonts w:ascii="Times New Roman" w:hAnsi="Times New Roman"/>
          <w:sz w:val="24"/>
          <w:szCs w:val="24"/>
        </w:rPr>
      </w:pPr>
    </w:p>
    <w:p w14:paraId="04FCB1DD">
      <w:pPr>
        <w:spacing w:line="360" w:lineRule="auto"/>
        <w:jc w:val="both"/>
        <w:rPr>
          <w:rFonts w:ascii="Times New Roman" w:hAnsi="Times New Roman"/>
          <w:sz w:val="24"/>
          <w:szCs w:val="24"/>
        </w:rPr>
      </w:pPr>
      <w:r>
        <w:rPr>
          <w:rFonts w:ascii="Times New Roman" w:hAnsi="Times New Roman"/>
          <w:sz w:val="24"/>
          <w:szCs w:val="24"/>
        </w:rPr>
        <w:t>The first to engage in such groundbreaking technologies acquire great chances to form new standards: Apple and Samsung pioneer. Face ID by Apple has claimed dominance over the biometric security and Samsung device, which ventured into a new and higher-end product with a foldable display. This kind of innovation improves the brand prestige, consumer expectations, and market strength (Kornelakis &amp; Petrakaki, 2024). Nevertheless, the innovators incur excessive R&amp;D expenses, obsolete products and risks that come with early adoption as it has been with the first generation of Samsung foldable devices where there are issues of durability.</w:t>
      </w:r>
    </w:p>
    <w:p w14:paraId="0DBC16AC">
      <w:pPr>
        <w:spacing w:line="360" w:lineRule="auto"/>
        <w:jc w:val="both"/>
        <w:rPr>
          <w:rFonts w:ascii="Times New Roman" w:hAnsi="Times New Roman"/>
          <w:sz w:val="24"/>
          <w:szCs w:val="24"/>
        </w:rPr>
      </w:pPr>
    </w:p>
    <w:p w14:paraId="086A305D">
      <w:pPr>
        <w:spacing w:line="360" w:lineRule="auto"/>
        <w:jc w:val="both"/>
        <w:rPr>
          <w:rFonts w:ascii="Times New Roman" w:hAnsi="Times New Roman"/>
          <w:sz w:val="24"/>
          <w:szCs w:val="24"/>
        </w:rPr>
      </w:pPr>
      <w:r>
        <w:rPr>
          <w:rFonts w:ascii="Times New Roman" w:hAnsi="Times New Roman"/>
          <w:sz w:val="24"/>
          <w:szCs w:val="24"/>
        </w:rPr>
        <w:t>Follower companies such as Xiaomi, Oppo, and Vivo have an advantage that they can implement existing technologies at a low cost. Xiaomi has incorporated flagship grade processors and cameras in commendable priced devices, whereas Oppo and Vivo will only implement these strategies when confirmed by customers, thus minimising risk, and allowing rapid market expansion. However, the same followers have weak differentiation, less brand prestige, and are at risk of patent related legal issues, which restrict their capacity to establish themselves in the high-end segments.</w:t>
      </w:r>
    </w:p>
    <w:p w14:paraId="7247BD64">
      <w:pPr>
        <w:spacing w:line="360" w:lineRule="auto"/>
        <w:jc w:val="both"/>
        <w:rPr>
          <w:rFonts w:ascii="Times New Roman" w:hAnsi="Times New Roman"/>
          <w:sz w:val="24"/>
          <w:szCs w:val="24"/>
        </w:rPr>
      </w:pPr>
    </w:p>
    <w:p w14:paraId="28DFFB74">
      <w:pPr>
        <w:pStyle w:val="3"/>
        <w:bidi w:val="0"/>
        <w:spacing w:line="240" w:lineRule="auto"/>
      </w:pPr>
      <w:bookmarkStart w:id="2" w:name="_Toc25082"/>
      <w:r>
        <w:t>2. Social Factors</w:t>
      </w:r>
      <w:bookmarkEnd w:id="2"/>
    </w:p>
    <w:p w14:paraId="3FA22873">
      <w:pPr>
        <w:spacing w:line="360" w:lineRule="auto"/>
        <w:jc w:val="both"/>
        <w:rPr>
          <w:rFonts w:ascii="Times New Roman" w:hAnsi="Times New Roman"/>
          <w:sz w:val="24"/>
          <w:szCs w:val="24"/>
        </w:rPr>
      </w:pPr>
      <w:r>
        <w:rPr>
          <w:rFonts w:ascii="Times New Roman" w:hAnsi="Times New Roman"/>
          <w:sz w:val="24"/>
          <w:szCs w:val="24"/>
        </w:rPr>
        <w:t>Social trends include demographic data, cultural value, lifestyle changes, attitudes on sustainability, online behaviour and expectations in society. These are the forces that determine consumer requirements, consumer buying patterns and consumer brand (industry-wise). To illustrate, ageing demographics impact the healthcare and insurance sectors; growing mindfulness to sustainability disrupts food, fashion and automobiles; and online lifestyles revolutionise entertainment, shopping and financial services (Hussain &amp; Huang, 2022).</w:t>
      </w:r>
    </w:p>
    <w:p w14:paraId="41D5FBAF">
      <w:pPr>
        <w:spacing w:line="360" w:lineRule="auto"/>
        <w:jc w:val="both"/>
        <w:rPr>
          <w:rFonts w:ascii="Times New Roman" w:hAnsi="Times New Roman"/>
          <w:sz w:val="24"/>
          <w:szCs w:val="24"/>
        </w:rPr>
      </w:pPr>
    </w:p>
    <w:p w14:paraId="2C4EA300">
      <w:pPr>
        <w:spacing w:line="360" w:lineRule="auto"/>
        <w:jc w:val="both"/>
        <w:rPr>
          <w:rFonts w:ascii="Times New Roman" w:hAnsi="Times New Roman"/>
          <w:sz w:val="24"/>
          <w:szCs w:val="24"/>
        </w:rPr>
      </w:pPr>
      <w:r>
        <w:rPr>
          <w:rFonts w:ascii="Times New Roman" w:hAnsi="Times New Roman"/>
          <w:sz w:val="24"/>
          <w:szCs w:val="24"/>
        </w:rPr>
        <w:t>In the case of innovative companies, social changes offer a chance to predict the changing consumer demands and create new products or experiences with a cultural appeal. Trends that are early identified, including health care, remote working, or its environmentally friendly consumption, allow trendsetters to take the lead in the market (Štofejová et al., 2023). Nonetheless, innovators are also threatened in case they fail to understand social behaviour or adhere to ethical, cultural or sustainability requirements.</w:t>
      </w:r>
    </w:p>
    <w:p w14:paraId="550ADE09">
      <w:pPr>
        <w:spacing w:line="360" w:lineRule="auto"/>
        <w:jc w:val="both"/>
        <w:rPr>
          <w:rFonts w:ascii="Times New Roman" w:hAnsi="Times New Roman"/>
          <w:sz w:val="24"/>
          <w:szCs w:val="24"/>
        </w:rPr>
      </w:pPr>
    </w:p>
    <w:p w14:paraId="63BF0803">
      <w:pPr>
        <w:spacing w:line="360" w:lineRule="auto"/>
        <w:jc w:val="both"/>
        <w:rPr>
          <w:rFonts w:ascii="Times New Roman" w:hAnsi="Times New Roman"/>
          <w:sz w:val="24"/>
          <w:szCs w:val="24"/>
        </w:rPr>
      </w:pPr>
      <w:r>
        <w:rPr>
          <w:rFonts w:ascii="Times New Roman" w:hAnsi="Times New Roman"/>
          <w:sz w:val="24"/>
          <w:szCs w:val="24"/>
        </w:rPr>
        <w:t>The way out of these traps would be to watch the successes and failures of leaders so that the follower firms will be able to model their products along clearly defined social trends. But in many cases they have difficulties establishing any detailed emotional or aspirational linkages with consumers especially in sectors where brand image and lifestyle patterns are significant variables.</w:t>
      </w:r>
    </w:p>
    <w:p w14:paraId="017F8BF6">
      <w:pPr>
        <w:spacing w:line="360" w:lineRule="auto"/>
        <w:jc w:val="both"/>
        <w:rPr>
          <w:rFonts w:ascii="Times New Roman" w:hAnsi="Times New Roman"/>
          <w:sz w:val="24"/>
          <w:szCs w:val="24"/>
        </w:rPr>
      </w:pPr>
    </w:p>
    <w:p w14:paraId="7E7759E3">
      <w:pPr>
        <w:spacing w:line="360" w:lineRule="auto"/>
        <w:jc w:val="both"/>
        <w:rPr>
          <w:rFonts w:ascii="Times New Roman" w:hAnsi="Times New Roman"/>
          <w:b/>
          <w:bCs/>
          <w:sz w:val="24"/>
          <w:szCs w:val="24"/>
        </w:rPr>
      </w:pPr>
      <w:r>
        <w:rPr>
          <w:rFonts w:ascii="Times New Roman" w:hAnsi="Times New Roman"/>
          <w:b/>
          <w:bCs/>
          <w:sz w:val="24"/>
          <w:szCs w:val="24"/>
        </w:rPr>
        <w:t>Application to the Smartphone Industry</w:t>
      </w:r>
    </w:p>
    <w:p w14:paraId="425DF9A4">
      <w:pPr>
        <w:spacing w:line="360" w:lineRule="auto"/>
        <w:jc w:val="both"/>
        <w:rPr>
          <w:rFonts w:ascii="Times New Roman" w:hAnsi="Times New Roman"/>
          <w:sz w:val="24"/>
          <w:szCs w:val="24"/>
        </w:rPr>
      </w:pPr>
      <w:r>
        <w:rPr>
          <w:rFonts w:ascii="Times New Roman" w:hAnsi="Times New Roman"/>
          <w:sz w:val="24"/>
          <w:szCs w:val="24"/>
        </w:rPr>
        <w:t>The elements of social influence are important in designing smartphones, marketing, and interaction with consumers because of the changing digital lifestyles, the culture of influencers, sustainability consciousness, and communication patterns.</w:t>
      </w:r>
    </w:p>
    <w:p w14:paraId="227C146A">
      <w:pPr>
        <w:spacing w:line="360" w:lineRule="auto"/>
        <w:jc w:val="both"/>
        <w:rPr>
          <w:rFonts w:ascii="Times New Roman" w:hAnsi="Times New Roman"/>
          <w:sz w:val="24"/>
          <w:szCs w:val="24"/>
        </w:rPr>
      </w:pPr>
    </w:p>
    <w:p w14:paraId="26D091A2">
      <w:pPr>
        <w:spacing w:line="360" w:lineRule="auto"/>
        <w:jc w:val="both"/>
        <w:rPr>
          <w:rFonts w:ascii="Times New Roman" w:hAnsi="Times New Roman"/>
          <w:sz w:val="24"/>
          <w:szCs w:val="24"/>
        </w:rPr>
      </w:pPr>
      <w:r>
        <w:rPr>
          <w:rFonts w:ascii="Times New Roman" w:hAnsi="Times New Roman"/>
          <w:sz w:val="24"/>
          <w:szCs w:val="24"/>
        </w:rPr>
        <w:t>As an innovator, a pioneer company like Apple and Samsung, enjoys advantages in social response and prediction. Apple also had the opportunity to capitalise on the emergence of the content-creation and culture of influencers by improving cameras and adding new features, such as Cinematic Mode, which made iPhones the inventories of creators preferred. In response to the demands of consumers to have bigger screens, have the ability to perform more tasks, Samsung created the so-called phablet category of their products so as to be in line with the trends of the entertainment and productivity aspect of people (Ilieva et al., 2024). Threats to pioneers include, however, misinterpreting consumer behaviour, in the case of the failure of Windows phone by Microsoft, and rising demands of sustainability, ethical manufacturing and online health, which more expensive and difficult to operate.</w:t>
      </w:r>
    </w:p>
    <w:p w14:paraId="4F522793">
      <w:pPr>
        <w:spacing w:line="360" w:lineRule="auto"/>
        <w:jc w:val="both"/>
        <w:rPr>
          <w:rFonts w:ascii="Times New Roman" w:hAnsi="Times New Roman"/>
          <w:sz w:val="24"/>
          <w:szCs w:val="24"/>
        </w:rPr>
      </w:pPr>
    </w:p>
    <w:p w14:paraId="64C921ED">
      <w:pPr>
        <w:spacing w:line="360" w:lineRule="auto"/>
        <w:jc w:val="both"/>
        <w:rPr>
          <w:rFonts w:ascii="Times New Roman" w:hAnsi="Times New Roman"/>
          <w:b/>
          <w:bCs/>
          <w:sz w:val="28"/>
          <w:szCs w:val="28"/>
        </w:rPr>
      </w:pPr>
      <w:r>
        <w:rPr>
          <w:rFonts w:ascii="Times New Roman" w:hAnsi="Times New Roman"/>
          <w:sz w:val="24"/>
          <w:szCs w:val="24"/>
        </w:rPr>
        <w:t>Xiaomi, Oppo and Vivo are the followers firms that trade on tested social trends to make products and marketing. Xiaomi is geared towards online communities and electronic interaction, Oppo and Vivo are oriented on the selfie culture by high-resolution front cameras and artificial intelligence of the beauty of the image. However, the followers face such threats as the decreased appeal of the lifestyle, the decline of brand loyalty, and the feeling of imitation and it is difficult to think of competing with the established emotional branding and consumer confidence by pioneers (Ao et al., 2023).</w:t>
      </w:r>
      <w:r>
        <w:rPr>
          <w:rFonts w:ascii="Times New Roman" w:hAnsi="Times New Roman"/>
          <w:b/>
          <w:bCs/>
          <w:sz w:val="28"/>
          <w:szCs w:val="28"/>
        </w:rPr>
        <w:br w:type="page"/>
      </w:r>
    </w:p>
    <w:p w14:paraId="0A846ADE">
      <w:pPr>
        <w:pStyle w:val="2"/>
        <w:bidi w:val="0"/>
      </w:pPr>
      <w:bookmarkStart w:id="3" w:name="_Toc25809"/>
      <w:r>
        <w:t>Task 2: Strategic Responses of Pioneering and Follower Organisations to External Macro-Environmental Factors</w:t>
      </w:r>
      <w:bookmarkEnd w:id="3"/>
    </w:p>
    <w:p w14:paraId="21F4F292">
      <w:pPr>
        <w:spacing w:line="360" w:lineRule="auto"/>
        <w:jc w:val="both"/>
        <w:rPr>
          <w:rFonts w:ascii="Times New Roman" w:hAnsi="Times New Roman"/>
          <w:sz w:val="24"/>
          <w:szCs w:val="24"/>
        </w:rPr>
      </w:pPr>
      <w:r>
        <w:rPr>
          <w:rFonts w:ascii="Times New Roman" w:hAnsi="Times New Roman"/>
          <w:sz w:val="24"/>
          <w:szCs w:val="24"/>
        </w:rPr>
        <w:t>Based on the discussion of technological and social forces in Task 1, this section is a critical evaluation of the way in which pioneer and follower organisations strategically respond to these external forces in order to be able to remain competitive. The pioneers and the followers work in the same macro-environment, but they are different in terms of resource positions, risk-taking, innovation potential, and long-term goals. Those differences define how companies read the external factors and convert them into strategy actions. As pioneer organisations usually influence technological and social fashions, follow-up organisations usually monitor, adjust and streamline their strategic reaction to confirmed market behaviours (Nafizah, Roper and Mole, 2024). This part describes these strategic responses in broad strokes and gives examples of them in the smart phone industry with examples.</w:t>
      </w:r>
    </w:p>
    <w:p w14:paraId="49E15E30">
      <w:pPr>
        <w:spacing w:line="360" w:lineRule="auto"/>
        <w:jc w:val="both"/>
        <w:rPr>
          <w:rFonts w:ascii="Times New Roman" w:hAnsi="Times New Roman"/>
          <w:sz w:val="24"/>
          <w:szCs w:val="24"/>
        </w:rPr>
      </w:pPr>
    </w:p>
    <w:p w14:paraId="3FCA8594">
      <w:pPr>
        <w:pStyle w:val="3"/>
        <w:bidi w:val="0"/>
        <w:spacing w:line="240" w:lineRule="auto"/>
      </w:pPr>
      <w:bookmarkStart w:id="4" w:name="_Toc25127"/>
      <w:r>
        <w:t>1. Strategic Responses to Technological Factors</w:t>
      </w:r>
      <w:bookmarkEnd w:id="4"/>
    </w:p>
    <w:p w14:paraId="56325914">
      <w:pPr>
        <w:spacing w:line="360" w:lineRule="auto"/>
        <w:jc w:val="both"/>
        <w:rPr>
          <w:rFonts w:ascii="Times New Roman" w:hAnsi="Times New Roman"/>
          <w:sz w:val="24"/>
          <w:szCs w:val="24"/>
        </w:rPr>
      </w:pPr>
      <w:r>
        <w:rPr>
          <w:rFonts w:ascii="Times New Roman" w:hAnsi="Times New Roman"/>
          <w:sz w:val="24"/>
          <w:szCs w:val="24"/>
        </w:rPr>
        <w:t>The technological aspects, including innovation of products, process, and digital ecosystems are important aspects of rivalry in any industry. The pace of technology may upset markets, change consumer expectations indeed making current products obsolete. In an attempt to be relevant, differentiate their products and cope with risks incurred in innovation, firms have to strategically respond to these forces (Suntsova, 2024). The strategies to respond to technological changes would broadly fall into three categories and they are innovation leadership, adoption of complementary technologies, and being able to deal with risks efficiently in R&amp;D. Both of these methods allow companies to take advantage of the opportunities at the same time as reducing threats posed by the rapid change of technologies.</w:t>
      </w:r>
    </w:p>
    <w:p w14:paraId="4C117EAD">
      <w:pPr>
        <w:spacing w:line="360" w:lineRule="auto"/>
        <w:jc w:val="both"/>
        <w:rPr>
          <w:rFonts w:ascii="Times New Roman" w:hAnsi="Times New Roman"/>
          <w:sz w:val="24"/>
          <w:szCs w:val="24"/>
        </w:rPr>
      </w:pPr>
    </w:p>
    <w:p w14:paraId="5EA67AEF">
      <w:pPr>
        <w:pStyle w:val="4"/>
        <w:bidi w:val="0"/>
        <w:spacing w:line="240" w:lineRule="auto"/>
      </w:pPr>
      <w:bookmarkStart w:id="5" w:name="_Toc15234"/>
      <w:r>
        <w:t>1.1 Pioneering Organisations’ Strategic Responses</w:t>
      </w:r>
      <w:bookmarkEnd w:id="5"/>
    </w:p>
    <w:p w14:paraId="234E0EB0">
      <w:pPr>
        <w:spacing w:line="360" w:lineRule="auto"/>
        <w:jc w:val="both"/>
        <w:rPr>
          <w:rFonts w:ascii="Times New Roman" w:hAnsi="Times New Roman"/>
          <w:b/>
          <w:bCs/>
          <w:sz w:val="24"/>
          <w:szCs w:val="24"/>
        </w:rPr>
      </w:pPr>
      <w:r>
        <w:rPr>
          <w:rFonts w:ascii="Times New Roman" w:hAnsi="Times New Roman"/>
          <w:b/>
          <w:bCs/>
          <w:sz w:val="24"/>
          <w:szCs w:val="24"/>
        </w:rPr>
        <w:t>a. Innovation Leadership and Differentiation</w:t>
      </w:r>
    </w:p>
    <w:p w14:paraId="4C474E95">
      <w:pPr>
        <w:spacing w:line="360" w:lineRule="auto"/>
        <w:jc w:val="both"/>
        <w:rPr>
          <w:rFonts w:ascii="Times New Roman" w:hAnsi="Times New Roman"/>
          <w:sz w:val="24"/>
          <w:szCs w:val="24"/>
        </w:rPr>
      </w:pPr>
      <w:r>
        <w:rPr>
          <w:rFonts w:ascii="Times New Roman" w:hAnsi="Times New Roman"/>
          <w:sz w:val="24"/>
          <w:szCs w:val="24"/>
        </w:rPr>
        <w:t>The innovators spend on innovative technologies that make their products unique in the market. They have the objective of reinventing the industry standards, shaping customer expectations, and developing unique value propositions (Farida &amp; Setiawan, 2022). In this way, they set a differentiation strategy where they focus on high performance, state of the art features, and high quality design. This type of differentiation would enable innovators to set high prices, create brand loyalty and secure their market leadership.</w:t>
      </w:r>
    </w:p>
    <w:p w14:paraId="3052C41D">
      <w:pPr>
        <w:spacing w:line="360" w:lineRule="auto"/>
        <w:jc w:val="both"/>
        <w:rPr>
          <w:rFonts w:ascii="Times New Roman" w:hAnsi="Times New Roman"/>
          <w:sz w:val="24"/>
          <w:szCs w:val="24"/>
        </w:rPr>
      </w:pPr>
    </w:p>
    <w:p w14:paraId="75A55430">
      <w:pPr>
        <w:spacing w:line="360" w:lineRule="auto"/>
        <w:jc w:val="both"/>
        <w:rPr>
          <w:rFonts w:ascii="Times New Roman" w:hAnsi="Times New Roman"/>
          <w:b/>
          <w:bCs/>
          <w:sz w:val="24"/>
          <w:szCs w:val="24"/>
        </w:rPr>
      </w:pPr>
      <w:r>
        <w:rPr>
          <w:rFonts w:ascii="Times New Roman" w:hAnsi="Times New Roman"/>
          <w:b/>
          <w:bCs/>
          <w:sz w:val="24"/>
          <w:szCs w:val="24"/>
        </w:rPr>
        <w:t>b. Integration of Complementary Technologies and Ecosystems</w:t>
      </w:r>
    </w:p>
    <w:p w14:paraId="26604890">
      <w:pPr>
        <w:spacing w:line="360" w:lineRule="auto"/>
        <w:jc w:val="both"/>
        <w:rPr>
          <w:rFonts w:ascii="Times New Roman" w:hAnsi="Times New Roman"/>
          <w:sz w:val="24"/>
          <w:szCs w:val="24"/>
        </w:rPr>
      </w:pPr>
      <w:r>
        <w:rPr>
          <w:rFonts w:ascii="Times New Roman" w:hAnsi="Times New Roman"/>
          <w:sz w:val="24"/>
          <w:szCs w:val="24"/>
        </w:rPr>
        <w:t>In addition to product innovation, pioneers tend to co-opth performatory technologies to build ecosystems or solutions connected to each other. The integration of ecosystems intensifies switching costs, plays an intensification of customer loyalty, and builds the perceived value. This kind of integration may comprise hardware-software synergies, cross-platform services or inter-product line connexions that can provide consumer with seamless and whole experience (Choi, Kang and Choi, 2021).</w:t>
      </w:r>
    </w:p>
    <w:p w14:paraId="16101DF3">
      <w:pPr>
        <w:spacing w:line="360" w:lineRule="auto"/>
        <w:jc w:val="both"/>
        <w:rPr>
          <w:rFonts w:ascii="Times New Roman" w:hAnsi="Times New Roman"/>
          <w:sz w:val="24"/>
          <w:szCs w:val="24"/>
        </w:rPr>
      </w:pPr>
    </w:p>
    <w:p w14:paraId="02E9BA49">
      <w:pPr>
        <w:spacing w:line="360" w:lineRule="auto"/>
        <w:jc w:val="both"/>
        <w:rPr>
          <w:rFonts w:ascii="Times New Roman" w:hAnsi="Times New Roman"/>
          <w:b/>
          <w:bCs/>
          <w:sz w:val="24"/>
          <w:szCs w:val="24"/>
        </w:rPr>
      </w:pPr>
      <w:r>
        <w:rPr>
          <w:rFonts w:ascii="Times New Roman" w:hAnsi="Times New Roman"/>
          <w:b/>
          <w:bCs/>
          <w:sz w:val="24"/>
          <w:szCs w:val="24"/>
        </w:rPr>
        <w:t>c. Continuous R&amp;D and Risk Management</w:t>
      </w:r>
    </w:p>
    <w:p w14:paraId="1E31F5F4">
      <w:pPr>
        <w:spacing w:line="360" w:lineRule="auto"/>
        <w:jc w:val="both"/>
        <w:rPr>
          <w:rFonts w:ascii="Times New Roman" w:hAnsi="Times New Roman"/>
          <w:sz w:val="24"/>
          <w:szCs w:val="24"/>
        </w:rPr>
      </w:pPr>
      <w:r>
        <w:rPr>
          <w:rFonts w:ascii="Times New Roman" w:hAnsi="Times New Roman"/>
          <w:sz w:val="24"/>
          <w:szCs w:val="24"/>
        </w:rPr>
        <w:t>Since first-mover innovation has unpredictable aspects, the ways to handle technological risks experienced by pioneers include constant investment into R&amp;D, product rollout, and pilots. The strategy enables companies to capitalise on first-mover benefits and to minimise chances of expensive failure of the product or refusal by the market (Taherdoost, 2024).</w:t>
      </w:r>
    </w:p>
    <w:p w14:paraId="7DF51C0C">
      <w:pPr>
        <w:spacing w:line="360" w:lineRule="auto"/>
        <w:jc w:val="both"/>
        <w:rPr>
          <w:rFonts w:ascii="Times New Roman" w:hAnsi="Times New Roman"/>
          <w:sz w:val="24"/>
          <w:szCs w:val="24"/>
        </w:rPr>
      </w:pPr>
    </w:p>
    <w:p w14:paraId="73E53436">
      <w:pPr>
        <w:spacing w:line="360" w:lineRule="auto"/>
        <w:jc w:val="both"/>
        <w:rPr>
          <w:rFonts w:ascii="Times New Roman" w:hAnsi="Times New Roman"/>
          <w:b/>
          <w:bCs/>
          <w:sz w:val="24"/>
          <w:szCs w:val="24"/>
        </w:rPr>
      </w:pPr>
      <w:r>
        <w:rPr>
          <w:rFonts w:ascii="Times New Roman" w:hAnsi="Times New Roman"/>
          <w:b/>
          <w:bCs/>
          <w:sz w:val="24"/>
          <w:szCs w:val="24"/>
        </w:rPr>
        <w:t>Smartphone Industry Example:</w:t>
      </w:r>
    </w:p>
    <w:p w14:paraId="3DE3F3FF">
      <w:pPr>
        <w:spacing w:line="360" w:lineRule="auto"/>
        <w:jc w:val="both"/>
        <w:rPr>
          <w:rFonts w:ascii="Times New Roman" w:hAnsi="Times New Roman"/>
          <w:sz w:val="24"/>
          <w:szCs w:val="24"/>
        </w:rPr>
      </w:pPr>
      <w:r>
        <w:rPr>
          <w:rFonts w:ascii="Times New Roman" w:hAnsi="Times New Roman"/>
          <w:sz w:val="24"/>
          <w:szCs w:val="24"/>
        </w:rPr>
        <w:t>The two examples of Apple chipsets used to exemplify the role of innovation leadership are its proprietary A-series and M-series that provide better performance and vertical integration. Its ecosystem i.e. iOS, Mac, air pods, iCloud and apple watch are evidence of strategic ecosystem integration which assists in customer retention. Early foldable smartphones at Samsung demonstrates the concept of first-mover exploitation, yet they needed to undergo continued testing to fix the issues of durability, and this represents the risk management of good risk management of introducing innovations.</w:t>
      </w:r>
    </w:p>
    <w:p w14:paraId="1D907836">
      <w:pPr>
        <w:spacing w:line="360" w:lineRule="auto"/>
        <w:jc w:val="both"/>
        <w:rPr>
          <w:rFonts w:ascii="Times New Roman" w:hAnsi="Times New Roman"/>
          <w:sz w:val="24"/>
          <w:szCs w:val="24"/>
        </w:rPr>
      </w:pPr>
    </w:p>
    <w:p w14:paraId="750B07F6">
      <w:pPr>
        <w:pStyle w:val="4"/>
        <w:bidi w:val="0"/>
        <w:spacing w:line="240" w:lineRule="auto"/>
      </w:pPr>
      <w:bookmarkStart w:id="6" w:name="_Toc21133"/>
      <w:r>
        <w:t>1.2 Follower Organisations’ Strategic Responses</w:t>
      </w:r>
      <w:bookmarkEnd w:id="6"/>
    </w:p>
    <w:p w14:paraId="703DF1CE">
      <w:pPr>
        <w:spacing w:line="360" w:lineRule="auto"/>
        <w:jc w:val="both"/>
        <w:rPr>
          <w:rFonts w:ascii="Times New Roman" w:hAnsi="Times New Roman"/>
          <w:b/>
          <w:bCs/>
          <w:sz w:val="24"/>
          <w:szCs w:val="24"/>
        </w:rPr>
      </w:pPr>
      <w:r>
        <w:rPr>
          <w:rFonts w:ascii="Times New Roman" w:hAnsi="Times New Roman"/>
          <w:b/>
          <w:bCs/>
          <w:sz w:val="24"/>
          <w:szCs w:val="24"/>
        </w:rPr>
        <w:t>a. Fast-Follower Innovation Strategy</w:t>
      </w:r>
    </w:p>
    <w:p w14:paraId="6798BC30">
      <w:pPr>
        <w:spacing w:line="360" w:lineRule="auto"/>
        <w:jc w:val="both"/>
        <w:rPr>
          <w:rFonts w:ascii="Times New Roman" w:hAnsi="Times New Roman"/>
          <w:sz w:val="24"/>
          <w:szCs w:val="24"/>
        </w:rPr>
      </w:pPr>
      <w:r>
        <w:rPr>
          <w:rFonts w:ascii="Times New Roman" w:hAnsi="Times New Roman"/>
          <w:sz w:val="24"/>
          <w:szCs w:val="24"/>
        </w:rPr>
        <w:t>Technologies are applied by the followers once they have been proven to be needed in the market by pioneers. This decreases the amount of uncertainty, costs in development, and enables companies to implement high-quality features without the risk of not being the first mover.</w:t>
      </w:r>
    </w:p>
    <w:p w14:paraId="326D1A70">
      <w:pPr>
        <w:spacing w:line="360" w:lineRule="auto"/>
        <w:jc w:val="both"/>
        <w:rPr>
          <w:rFonts w:ascii="Times New Roman" w:hAnsi="Times New Roman"/>
          <w:sz w:val="24"/>
          <w:szCs w:val="24"/>
        </w:rPr>
      </w:pPr>
    </w:p>
    <w:p w14:paraId="2C27E367">
      <w:pPr>
        <w:spacing w:line="360" w:lineRule="auto"/>
        <w:jc w:val="both"/>
        <w:rPr>
          <w:rFonts w:ascii="Times New Roman" w:hAnsi="Times New Roman"/>
          <w:b/>
          <w:bCs/>
          <w:sz w:val="24"/>
          <w:szCs w:val="24"/>
        </w:rPr>
      </w:pPr>
      <w:r>
        <w:rPr>
          <w:rFonts w:ascii="Times New Roman" w:hAnsi="Times New Roman"/>
          <w:b/>
          <w:bCs/>
          <w:sz w:val="24"/>
          <w:szCs w:val="24"/>
        </w:rPr>
        <w:t>b. Value-for-Money Positioning</w:t>
      </w:r>
    </w:p>
    <w:p w14:paraId="58E8A083">
      <w:pPr>
        <w:spacing w:line="360" w:lineRule="auto"/>
        <w:jc w:val="both"/>
        <w:rPr>
          <w:rFonts w:ascii="Times New Roman" w:hAnsi="Times New Roman"/>
          <w:sz w:val="24"/>
          <w:szCs w:val="24"/>
        </w:rPr>
      </w:pPr>
      <w:r>
        <w:rPr>
          <w:rFonts w:ascii="Times New Roman" w:hAnsi="Times New Roman"/>
          <w:sz w:val="24"/>
          <w:szCs w:val="24"/>
        </w:rPr>
        <w:t>Extremely, low-cost or MBG strategy is followed, whereby, products are sold at low prices possessing high technological features. They exploit established innovations to serve the discount sensitive customers and attain penetration and competitiveness in the market.</w:t>
      </w:r>
    </w:p>
    <w:p w14:paraId="4D715ABE">
      <w:pPr>
        <w:spacing w:line="360" w:lineRule="auto"/>
        <w:jc w:val="both"/>
        <w:rPr>
          <w:rFonts w:ascii="Times New Roman" w:hAnsi="Times New Roman"/>
          <w:sz w:val="24"/>
          <w:szCs w:val="24"/>
        </w:rPr>
      </w:pPr>
    </w:p>
    <w:p w14:paraId="5B5E458F">
      <w:pPr>
        <w:spacing w:line="360" w:lineRule="auto"/>
        <w:jc w:val="both"/>
        <w:rPr>
          <w:rFonts w:ascii="Times New Roman" w:hAnsi="Times New Roman"/>
          <w:b/>
          <w:bCs/>
          <w:sz w:val="24"/>
          <w:szCs w:val="24"/>
        </w:rPr>
      </w:pPr>
      <w:r>
        <w:rPr>
          <w:rFonts w:ascii="Times New Roman" w:hAnsi="Times New Roman"/>
          <w:b/>
          <w:bCs/>
          <w:sz w:val="24"/>
          <w:szCs w:val="24"/>
        </w:rPr>
        <w:t>c. Lean Operations and Modular Design</w:t>
      </w:r>
    </w:p>
    <w:p w14:paraId="288C6C09">
      <w:pPr>
        <w:spacing w:line="360" w:lineRule="auto"/>
        <w:jc w:val="both"/>
        <w:rPr>
          <w:rFonts w:ascii="Times New Roman" w:hAnsi="Times New Roman"/>
          <w:sz w:val="24"/>
          <w:szCs w:val="24"/>
        </w:rPr>
      </w:pPr>
      <w:r>
        <w:rPr>
          <w:rFonts w:ascii="Times New Roman" w:hAnsi="Times New Roman"/>
          <w:sz w:val="24"/>
          <w:szCs w:val="24"/>
        </w:rPr>
        <w:t>Flexible production systems and common R&amp;D plant, the modular design are the methods that optimise responsiveness and are adopted by the followers. This strategy enables a quick product differentiation according to various market and consumer groups, reduces operational expenses, and removes the threats of massive innovation failure.</w:t>
      </w:r>
    </w:p>
    <w:p w14:paraId="63A4CD67">
      <w:pPr>
        <w:spacing w:line="360" w:lineRule="auto"/>
        <w:jc w:val="both"/>
        <w:rPr>
          <w:rFonts w:ascii="Times New Roman" w:hAnsi="Times New Roman"/>
          <w:sz w:val="24"/>
          <w:szCs w:val="24"/>
        </w:rPr>
      </w:pPr>
    </w:p>
    <w:p w14:paraId="771DA920">
      <w:pPr>
        <w:spacing w:line="360" w:lineRule="auto"/>
        <w:jc w:val="both"/>
        <w:rPr>
          <w:rFonts w:ascii="Times New Roman" w:hAnsi="Times New Roman"/>
          <w:b/>
          <w:bCs/>
          <w:sz w:val="24"/>
          <w:szCs w:val="24"/>
        </w:rPr>
      </w:pPr>
      <w:r>
        <w:rPr>
          <w:rFonts w:ascii="Times New Roman" w:hAnsi="Times New Roman"/>
          <w:b/>
          <w:bCs/>
          <w:sz w:val="24"/>
          <w:szCs w:val="24"/>
        </w:rPr>
        <w:t>Smartphone Industry Example:</w:t>
      </w:r>
    </w:p>
    <w:p w14:paraId="24766DA0">
      <w:pPr>
        <w:spacing w:line="360" w:lineRule="auto"/>
        <w:jc w:val="both"/>
        <w:rPr>
          <w:rFonts w:ascii="Times New Roman" w:hAnsi="Times New Roman"/>
          <w:sz w:val="24"/>
          <w:szCs w:val="24"/>
        </w:rPr>
      </w:pPr>
      <w:r>
        <w:rPr>
          <w:rFonts w:ascii="Times New Roman" w:hAnsi="Times New Roman"/>
          <w:sz w:val="24"/>
          <w:szCs w:val="24"/>
        </w:rPr>
        <w:t>Xiaomi has been an example of the fast-follower and value-for-money strategy, with the near-flagship capabilities in mid-range Redmi and Poco devices. On the other hand, Oppo and Vivo are imitating the AI improvement of cameras introduced by Apple and Samsung. As a mother company of Oppo, Vivo, Realme and One Plus, the common supply chains and modular R&amp;D systems of the parent company, BBK Electronics help it to release a series of products fast and cost-effective and speed-to-market (Handoyo et al., 2023).</w:t>
      </w:r>
    </w:p>
    <w:p w14:paraId="4EFB2B25">
      <w:pPr>
        <w:spacing w:line="360" w:lineRule="auto"/>
        <w:jc w:val="both"/>
        <w:rPr>
          <w:rFonts w:ascii="Times New Roman" w:hAnsi="Times New Roman"/>
          <w:sz w:val="24"/>
          <w:szCs w:val="24"/>
        </w:rPr>
      </w:pPr>
    </w:p>
    <w:p w14:paraId="14A6CDB8">
      <w:pPr>
        <w:pStyle w:val="3"/>
        <w:bidi w:val="0"/>
        <w:spacing w:line="240" w:lineRule="auto"/>
      </w:pPr>
      <w:bookmarkStart w:id="7" w:name="_Toc7817"/>
      <w:r>
        <w:t>2. Strategic Responses to Social Factors</w:t>
      </w:r>
      <w:bookmarkEnd w:id="7"/>
    </w:p>
    <w:p w14:paraId="795CB134">
      <w:pPr>
        <w:spacing w:line="360" w:lineRule="auto"/>
        <w:jc w:val="both"/>
        <w:rPr>
          <w:rFonts w:ascii="Times New Roman" w:hAnsi="Times New Roman"/>
          <w:sz w:val="24"/>
          <w:szCs w:val="24"/>
        </w:rPr>
      </w:pPr>
      <w:r>
        <w:rPr>
          <w:rFonts w:ascii="Times New Roman" w:hAnsi="Times New Roman"/>
          <w:sz w:val="24"/>
          <w:szCs w:val="24"/>
        </w:rPr>
        <w:t>Social factors involve cultural fads, change in lifestyles, emerging consumer values and sustainability issues and these constitute a big part of organisational marketing strategies in any industry. The consumer expectations, purchasing behaviour and brand perception are guided by these forces. Companies react by designing socially weathering products, building marketing strategies that are crafted to appeal to cultural and lifestyle storeys, and building substantive interaction with the target markets (Gong et al., 2023). Some of the most prevalent strategic reactions are lifestyle branding, personalisation of customer experiences and incorporation of ethical and sustainable practises. With the strategy of matching the offerings to the social trends, organisations are better placed to increase brand equity, improve loyalty and stay competitive in the dynamic markets.</w:t>
      </w:r>
    </w:p>
    <w:p w14:paraId="64236EB3">
      <w:pPr>
        <w:spacing w:line="360" w:lineRule="auto"/>
        <w:jc w:val="both"/>
        <w:rPr>
          <w:rFonts w:ascii="Times New Roman" w:hAnsi="Times New Roman"/>
          <w:sz w:val="24"/>
          <w:szCs w:val="24"/>
        </w:rPr>
      </w:pPr>
    </w:p>
    <w:p w14:paraId="15F370E9">
      <w:pPr>
        <w:pStyle w:val="4"/>
        <w:bidi w:val="0"/>
        <w:spacing w:line="240" w:lineRule="auto"/>
      </w:pPr>
      <w:bookmarkStart w:id="8" w:name="_Toc22512"/>
      <w:r>
        <w:t>2.1 Pioneering Organisations’ Strategic Responses</w:t>
      </w:r>
      <w:bookmarkEnd w:id="8"/>
    </w:p>
    <w:p w14:paraId="07115AAF">
      <w:pPr>
        <w:spacing w:line="360" w:lineRule="auto"/>
        <w:jc w:val="both"/>
        <w:rPr>
          <w:rFonts w:ascii="Times New Roman" w:hAnsi="Times New Roman"/>
          <w:b/>
          <w:bCs/>
          <w:sz w:val="24"/>
          <w:szCs w:val="24"/>
        </w:rPr>
      </w:pPr>
      <w:r>
        <w:rPr>
          <w:rFonts w:ascii="Times New Roman" w:hAnsi="Times New Roman"/>
          <w:b/>
          <w:bCs/>
          <w:sz w:val="24"/>
          <w:szCs w:val="24"/>
        </w:rPr>
        <w:t>a. Lifestyle Branding and Symbolic Value Creation</w:t>
      </w:r>
    </w:p>
    <w:p w14:paraId="483B6212">
      <w:pPr>
        <w:spacing w:line="360" w:lineRule="auto"/>
        <w:jc w:val="both"/>
        <w:rPr>
          <w:rFonts w:ascii="Times New Roman" w:hAnsi="Times New Roman"/>
          <w:sz w:val="24"/>
          <w:szCs w:val="24"/>
        </w:rPr>
      </w:pPr>
      <w:r>
        <w:rPr>
          <w:rFonts w:ascii="Times New Roman" w:hAnsi="Times New Roman"/>
          <w:sz w:val="24"/>
          <w:szCs w:val="24"/>
        </w:rPr>
        <w:t>Those in the lead interrelate products with cultural storeys and consumer living style that gives good products an image of aspiration, creativity, or identity. Such firms enhance brand equity through attaching emotional value to products and creating consumer loyalty over the long term (Simmons &amp; Durkin, 2023). Lifestyle branding is one of the ways through which those who are pioneers distinguish themselves against their competitors as well as strengthening the premium positioning.</w:t>
      </w:r>
    </w:p>
    <w:p w14:paraId="621CE329">
      <w:pPr>
        <w:spacing w:line="360" w:lineRule="auto"/>
        <w:jc w:val="both"/>
        <w:rPr>
          <w:rFonts w:ascii="Times New Roman" w:hAnsi="Times New Roman"/>
          <w:sz w:val="24"/>
          <w:szCs w:val="24"/>
        </w:rPr>
      </w:pPr>
    </w:p>
    <w:p w14:paraId="7B57E40D">
      <w:pPr>
        <w:spacing w:line="360" w:lineRule="auto"/>
        <w:jc w:val="both"/>
        <w:rPr>
          <w:rFonts w:ascii="Times New Roman" w:hAnsi="Times New Roman"/>
          <w:b/>
          <w:bCs/>
          <w:sz w:val="24"/>
          <w:szCs w:val="24"/>
        </w:rPr>
      </w:pPr>
      <w:r>
        <w:rPr>
          <w:rFonts w:ascii="Times New Roman" w:hAnsi="Times New Roman"/>
          <w:b/>
          <w:bCs/>
          <w:sz w:val="24"/>
          <w:szCs w:val="24"/>
        </w:rPr>
        <w:t>b. Customer Experience Personalisation</w:t>
      </w:r>
    </w:p>
    <w:p w14:paraId="5C9D8C38">
      <w:pPr>
        <w:spacing w:line="360" w:lineRule="auto"/>
        <w:jc w:val="both"/>
        <w:rPr>
          <w:rFonts w:ascii="Times New Roman" w:hAnsi="Times New Roman"/>
          <w:sz w:val="24"/>
          <w:szCs w:val="24"/>
        </w:rPr>
      </w:pPr>
      <w:r>
        <w:rPr>
          <w:rFonts w:ascii="Times New Roman" w:hAnsi="Times New Roman"/>
          <w:sz w:val="24"/>
          <w:szCs w:val="24"/>
        </w:rPr>
        <w:t>Pioneers react to the social change by personalising goods and services by responding to the needs of consumers. This can be bespoke interfaces, personalised online work, or adaptive technology. Personalisation improves consumer happiness, interest, and retention over the long-term and indicates the activation of attentiveness to lifestyle lifestyles and personal values (Bakhshandeh, Sharifi and Rezaei, 2023).</w:t>
      </w:r>
    </w:p>
    <w:p w14:paraId="46CC9F9E">
      <w:pPr>
        <w:spacing w:line="360" w:lineRule="auto"/>
        <w:jc w:val="both"/>
        <w:rPr>
          <w:rFonts w:ascii="Times New Roman" w:hAnsi="Times New Roman"/>
          <w:sz w:val="24"/>
          <w:szCs w:val="24"/>
        </w:rPr>
      </w:pPr>
    </w:p>
    <w:p w14:paraId="01F20EFB">
      <w:pPr>
        <w:spacing w:line="360" w:lineRule="auto"/>
        <w:jc w:val="both"/>
        <w:rPr>
          <w:rFonts w:ascii="Times New Roman" w:hAnsi="Times New Roman"/>
          <w:b/>
          <w:bCs/>
          <w:sz w:val="24"/>
          <w:szCs w:val="24"/>
        </w:rPr>
      </w:pPr>
      <w:r>
        <w:rPr>
          <w:rFonts w:ascii="Times New Roman" w:hAnsi="Times New Roman"/>
          <w:b/>
          <w:bCs/>
          <w:sz w:val="24"/>
          <w:szCs w:val="24"/>
        </w:rPr>
        <w:t>c. Sustainability and Ethical Branding</w:t>
      </w:r>
    </w:p>
    <w:p w14:paraId="3EEA7D2A">
      <w:pPr>
        <w:spacing w:line="360" w:lineRule="auto"/>
        <w:jc w:val="both"/>
        <w:rPr>
          <w:rFonts w:ascii="Times New Roman" w:hAnsi="Times New Roman"/>
          <w:sz w:val="24"/>
          <w:szCs w:val="24"/>
        </w:rPr>
      </w:pPr>
      <w:r>
        <w:rPr>
          <w:rFonts w:ascii="Times New Roman" w:hAnsi="Times New Roman"/>
          <w:sz w:val="24"/>
          <w:szCs w:val="24"/>
        </w:rPr>
        <w:t>The growing consciousness in society on matters concerning environment and ethics pressures the leaders to incorporate sustainability in their processes. Some of the strategies are the application of eco-friendly material, minimising the use of carbon, incorporation of recycling programmes and introduction of corporate social responsibility programmes (Nascimento &amp; Loureiro, 2024). These moves promote brand credibility, help justify high pricing and attracts social conscious consumers.</w:t>
      </w:r>
    </w:p>
    <w:p w14:paraId="60F39DE9">
      <w:pPr>
        <w:spacing w:line="360" w:lineRule="auto"/>
        <w:jc w:val="both"/>
        <w:rPr>
          <w:rFonts w:ascii="Times New Roman" w:hAnsi="Times New Roman"/>
          <w:sz w:val="24"/>
          <w:szCs w:val="24"/>
        </w:rPr>
      </w:pPr>
    </w:p>
    <w:p w14:paraId="0951D02B">
      <w:pPr>
        <w:spacing w:line="360" w:lineRule="auto"/>
        <w:jc w:val="both"/>
        <w:rPr>
          <w:rFonts w:ascii="Times New Roman" w:hAnsi="Times New Roman"/>
          <w:b/>
          <w:bCs/>
          <w:sz w:val="24"/>
          <w:szCs w:val="24"/>
        </w:rPr>
      </w:pPr>
      <w:r>
        <w:rPr>
          <w:rFonts w:ascii="Times New Roman" w:hAnsi="Times New Roman"/>
          <w:b/>
          <w:bCs/>
          <w:sz w:val="24"/>
          <w:szCs w:val="24"/>
        </w:rPr>
        <w:t>Smartphone Industry Example:</w:t>
      </w:r>
    </w:p>
    <w:p w14:paraId="237F77C8">
      <w:pPr>
        <w:spacing w:line="360" w:lineRule="auto"/>
        <w:jc w:val="both"/>
        <w:rPr>
          <w:rFonts w:ascii="Times New Roman" w:hAnsi="Times New Roman"/>
          <w:sz w:val="24"/>
          <w:szCs w:val="24"/>
        </w:rPr>
      </w:pPr>
      <w:r>
        <w:rPr>
          <w:rFonts w:ascii="Times New Roman" w:hAnsi="Times New Roman"/>
          <w:sz w:val="24"/>
          <w:szCs w:val="24"/>
        </w:rPr>
        <w:t>The example of Apple is the best example of a lifestyle branding in which the iPhone brand is projected through its creative, sophisticated and digital lifestyle brands. Its privacy orientation and health orientation features augment personalised user experiences. The same applies to Samsung, which incorporates AI-enabled assistants and cross-functionality, providing functionality and personalised experiences. Both companies choose to be sustainable, including rare-earth materials recycling rates, packaging waste reduction, and carbon-free manufacturing commitments, which support the idea of ethical branding.</w:t>
      </w:r>
    </w:p>
    <w:p w14:paraId="17270FDF">
      <w:pPr>
        <w:spacing w:line="360" w:lineRule="auto"/>
        <w:jc w:val="both"/>
        <w:rPr>
          <w:rFonts w:ascii="Times New Roman" w:hAnsi="Times New Roman"/>
          <w:sz w:val="24"/>
          <w:szCs w:val="24"/>
        </w:rPr>
      </w:pPr>
    </w:p>
    <w:p w14:paraId="5B3CBE72">
      <w:pPr>
        <w:pStyle w:val="4"/>
        <w:bidi w:val="0"/>
        <w:spacing w:line="240" w:lineRule="auto"/>
      </w:pPr>
      <w:bookmarkStart w:id="9" w:name="_Toc8601"/>
      <w:r>
        <w:t>2.2 Follower Organisations’ Strategic Responses</w:t>
      </w:r>
      <w:bookmarkEnd w:id="9"/>
    </w:p>
    <w:p w14:paraId="790507F9">
      <w:pPr>
        <w:spacing w:line="360" w:lineRule="auto"/>
        <w:jc w:val="both"/>
        <w:rPr>
          <w:rFonts w:ascii="Times New Roman" w:hAnsi="Times New Roman"/>
          <w:b/>
          <w:bCs/>
          <w:sz w:val="24"/>
          <w:szCs w:val="24"/>
        </w:rPr>
      </w:pPr>
      <w:r>
        <w:rPr>
          <w:rFonts w:ascii="Times New Roman" w:hAnsi="Times New Roman"/>
          <w:b/>
          <w:bCs/>
          <w:sz w:val="24"/>
          <w:szCs w:val="24"/>
        </w:rPr>
        <w:t>a. Social Trend-Based Feature Customisation</w:t>
      </w:r>
    </w:p>
    <w:p w14:paraId="42D24B8A">
      <w:pPr>
        <w:spacing w:line="360" w:lineRule="auto"/>
        <w:jc w:val="both"/>
        <w:rPr>
          <w:rFonts w:ascii="Times New Roman" w:hAnsi="Times New Roman"/>
          <w:sz w:val="24"/>
          <w:szCs w:val="24"/>
        </w:rPr>
      </w:pPr>
      <w:r>
        <w:rPr>
          <w:rFonts w:ascii="Times New Roman" w:hAnsi="Times New Roman"/>
          <w:sz w:val="24"/>
          <w:szCs w:val="24"/>
        </w:rPr>
        <w:t xml:space="preserve">Follower firms are known to follow trends introduced by the industry leaders and move fast to implement changes to their products to reflect social behaviours that are proved to be valid. Through this, they can serve niche markets and cash in on the newly developed consumer tastes without the risk of trend setting (Lyu &amp; Wu, 2024). </w:t>
      </w:r>
    </w:p>
    <w:p w14:paraId="167CA009">
      <w:pPr>
        <w:spacing w:line="360" w:lineRule="auto"/>
        <w:jc w:val="both"/>
        <w:rPr>
          <w:rFonts w:ascii="Times New Roman" w:hAnsi="Times New Roman"/>
          <w:sz w:val="24"/>
          <w:szCs w:val="24"/>
        </w:rPr>
      </w:pPr>
    </w:p>
    <w:p w14:paraId="496400F8">
      <w:pPr>
        <w:spacing w:line="360" w:lineRule="auto"/>
        <w:jc w:val="both"/>
        <w:rPr>
          <w:rFonts w:ascii="Times New Roman" w:hAnsi="Times New Roman"/>
          <w:b/>
          <w:bCs/>
          <w:sz w:val="24"/>
          <w:szCs w:val="24"/>
        </w:rPr>
      </w:pPr>
      <w:r>
        <w:rPr>
          <w:rFonts w:ascii="Times New Roman" w:hAnsi="Times New Roman"/>
          <w:b/>
          <w:bCs/>
          <w:sz w:val="24"/>
          <w:szCs w:val="24"/>
        </w:rPr>
        <w:t>b. Digital-First Marketing and Influencer Integration</w:t>
      </w:r>
    </w:p>
    <w:p w14:paraId="33F71DBA">
      <w:pPr>
        <w:spacing w:line="360" w:lineRule="auto"/>
        <w:jc w:val="both"/>
        <w:rPr>
          <w:rFonts w:ascii="Times New Roman" w:hAnsi="Times New Roman"/>
          <w:sz w:val="24"/>
          <w:szCs w:val="24"/>
        </w:rPr>
      </w:pPr>
      <w:r>
        <w:rPr>
          <w:rFonts w:ascii="Times New Roman" w:hAnsi="Times New Roman"/>
          <w:sz w:val="24"/>
          <w:szCs w:val="24"/>
        </w:rPr>
        <w:t>The followers use digital platform, social media, and network with influencers to interact with consumers. It is the most effective tactic as it maximises the brand presence, creates a community level of interaction and targets digitally active or younger audiences at a relatively low cost.</w:t>
      </w:r>
    </w:p>
    <w:p w14:paraId="1FBB9C6A">
      <w:pPr>
        <w:spacing w:line="360" w:lineRule="auto"/>
        <w:jc w:val="both"/>
        <w:rPr>
          <w:rFonts w:ascii="Times New Roman" w:hAnsi="Times New Roman"/>
          <w:sz w:val="24"/>
          <w:szCs w:val="24"/>
        </w:rPr>
      </w:pPr>
    </w:p>
    <w:p w14:paraId="20A3C17D">
      <w:pPr>
        <w:spacing w:line="360" w:lineRule="auto"/>
        <w:jc w:val="both"/>
        <w:rPr>
          <w:rFonts w:ascii="Times New Roman" w:hAnsi="Times New Roman"/>
          <w:b/>
          <w:bCs/>
          <w:sz w:val="24"/>
          <w:szCs w:val="24"/>
        </w:rPr>
      </w:pPr>
      <w:r>
        <w:rPr>
          <w:rFonts w:ascii="Times New Roman" w:hAnsi="Times New Roman"/>
          <w:b/>
          <w:bCs/>
          <w:sz w:val="24"/>
          <w:szCs w:val="24"/>
        </w:rPr>
        <w:t>c. Localised Strategies for Cultural Fit</w:t>
      </w:r>
    </w:p>
    <w:p w14:paraId="651D461D">
      <w:pPr>
        <w:spacing w:line="360" w:lineRule="auto"/>
        <w:jc w:val="both"/>
        <w:rPr>
          <w:rFonts w:ascii="Times New Roman" w:hAnsi="Times New Roman"/>
          <w:sz w:val="24"/>
          <w:szCs w:val="24"/>
        </w:rPr>
      </w:pPr>
      <w:r>
        <w:rPr>
          <w:rFonts w:ascii="Times New Roman" w:hAnsi="Times New Roman"/>
          <w:sz w:val="24"/>
          <w:szCs w:val="24"/>
        </w:rPr>
        <w:t>To fit products, campaigns, and messages to the local cultures, tastes, and celebrations, the followers often stick to neighbourhood localisation measures. Localisation enhances consumer relevance, helps to create emotional bonds and ensures successful market penetration in culturally diversified markets.</w:t>
      </w:r>
    </w:p>
    <w:p w14:paraId="5AC84283">
      <w:pPr>
        <w:spacing w:line="360" w:lineRule="auto"/>
        <w:jc w:val="both"/>
        <w:rPr>
          <w:rFonts w:ascii="Times New Roman" w:hAnsi="Times New Roman"/>
          <w:sz w:val="24"/>
          <w:szCs w:val="24"/>
        </w:rPr>
      </w:pPr>
    </w:p>
    <w:p w14:paraId="768B535E">
      <w:pPr>
        <w:spacing w:line="360" w:lineRule="auto"/>
        <w:jc w:val="both"/>
        <w:rPr>
          <w:rFonts w:ascii="Times New Roman" w:hAnsi="Times New Roman"/>
          <w:b/>
          <w:bCs/>
          <w:sz w:val="24"/>
          <w:szCs w:val="24"/>
        </w:rPr>
      </w:pPr>
      <w:r>
        <w:rPr>
          <w:rFonts w:ascii="Times New Roman" w:hAnsi="Times New Roman"/>
          <w:b/>
          <w:bCs/>
          <w:sz w:val="24"/>
          <w:szCs w:val="24"/>
        </w:rPr>
        <w:t>Smartphone Industry Example:</w:t>
      </w:r>
    </w:p>
    <w:p w14:paraId="1B72F04A">
      <w:pPr>
        <w:spacing w:line="360" w:lineRule="auto"/>
        <w:jc w:val="both"/>
        <w:rPr>
          <w:rFonts w:ascii="Times New Roman" w:hAnsi="Times New Roman"/>
          <w:sz w:val="24"/>
          <w:szCs w:val="24"/>
        </w:rPr>
      </w:pPr>
      <w:r>
        <w:rPr>
          <w:rFonts w:ascii="Times New Roman" w:hAnsi="Times New Roman"/>
          <w:sz w:val="24"/>
          <w:szCs w:val="24"/>
        </w:rPr>
        <w:t>In exploiting selfie culture, Oppo and Vivo focus on high resolution front cameras and AI-stabilised beauty philtres, and target the younger demographics in Asia. Xiaomi appeals to gaming fans by making gamers understand that they have better graphics, high-refresh rate displays, and long battery life. These companies also conduct region-based digital promotions, partnerships with influencers, and festival-based promotions to enhance the engagement and cultural connectedness.</w:t>
      </w:r>
    </w:p>
    <w:p w14:paraId="1DD07603">
      <w:pPr>
        <w:spacing w:line="360" w:lineRule="auto"/>
        <w:jc w:val="both"/>
        <w:rPr>
          <w:rFonts w:ascii="Times New Roman" w:hAnsi="Times New Roman"/>
          <w:sz w:val="24"/>
          <w:szCs w:val="24"/>
        </w:rPr>
      </w:pPr>
    </w:p>
    <w:p w14:paraId="7D2F0C00">
      <w:pPr>
        <w:pStyle w:val="3"/>
        <w:bidi w:val="0"/>
        <w:spacing w:line="240" w:lineRule="auto"/>
      </w:pPr>
      <w:bookmarkStart w:id="10" w:name="_Toc14638"/>
      <w:r>
        <w:rPr>
          <w:rFonts w:hint="default"/>
          <w:lang w:val="en-US"/>
        </w:rPr>
        <w:t xml:space="preserve">3. </w:t>
      </w:r>
      <w:r>
        <w:t>Critical Evaluation of Strategic Responses</w:t>
      </w:r>
      <w:bookmarkEnd w:id="10"/>
    </w:p>
    <w:p w14:paraId="71ED71B9">
      <w:pPr>
        <w:spacing w:line="360" w:lineRule="auto"/>
        <w:jc w:val="both"/>
        <w:rPr>
          <w:rFonts w:ascii="Times New Roman" w:hAnsi="Times New Roman"/>
          <w:sz w:val="24"/>
          <w:szCs w:val="24"/>
        </w:rPr>
      </w:pPr>
      <w:r>
        <w:rPr>
          <w:rFonts w:ascii="Times New Roman" w:hAnsi="Times New Roman"/>
          <w:sz w:val="24"/>
          <w:szCs w:val="24"/>
        </w:rPr>
        <w:t>In all sectors of business, innovators and imitators have opposite and complementary attitudes toward the social aspects. Pioneers emphasise on lifestyle branding, personalisation and sustainability to create long-term competitive barriers albeit with high operational and financial risks. The followers focus more on quick adaptation, low costs, online interaction and cultural fit to local markets, enabling them to develop fast and enter various markets at the expense of high-end brand differentiation. Accordingly, competitiveness is no longer a result of the external social environment but also the way strategically firms perceive it and react to it. Innovation-based lifestyle positioning and a direct ecosystem integration continue to lead players in the smartphone field whereas democratisation, adjusting uses to confirmed tendencies and implementation of local recognition tactics are key factors that lead followers to success.</w:t>
      </w:r>
    </w:p>
    <w:p w14:paraId="4E570CC2"/>
    <w:p w14:paraId="04CA158F">
      <w:pPr>
        <w:rPr>
          <w:rFonts w:ascii="Times New Roman" w:hAnsi="Times New Roman" w:cs="Times New Roman"/>
          <w:b/>
          <w:sz w:val="24"/>
          <w:szCs w:val="24"/>
        </w:rPr>
      </w:pPr>
      <w:r>
        <w:rPr>
          <w:rFonts w:ascii="Times New Roman" w:hAnsi="Times New Roman" w:cs="Times New Roman"/>
          <w:b/>
          <w:sz w:val="24"/>
          <w:szCs w:val="24"/>
        </w:rPr>
        <w:br w:type="page"/>
      </w:r>
    </w:p>
    <w:p w14:paraId="2F29D93F">
      <w:pPr>
        <w:pStyle w:val="2"/>
        <w:bidi w:val="0"/>
        <w:rPr>
          <w:rFonts w:ascii="Times New Roman" w:hAnsi="Times New Roman" w:cs="Times New Roman"/>
          <w:sz w:val="24"/>
          <w:szCs w:val="24"/>
        </w:rPr>
      </w:pPr>
      <w:bookmarkStart w:id="11" w:name="_Toc21038"/>
      <w:r>
        <w:t>References</w:t>
      </w:r>
      <w:bookmarkEnd w:id="11"/>
    </w:p>
    <w:p w14:paraId="7CF686B8">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Ali, O., Osmanaj, V., Kwiatek, P., Chimhundu, R., Alryalat, M. and Dwivedi, Y.K., 2023. The impact of technological innovation on marketing: individuals, organizations and environment: a systematic review. Economic research-Ekonomska istraživanja, 36(3).</w:t>
      </w:r>
    </w:p>
    <w:p w14:paraId="427F4ABD">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Ao, L., Bansal, R., Pruthi, N. and Khaskheli, M.B., 2023. Impact of social media influencers on customer engagement and purchase intention: A meta-analysis. Sustainability, 15(3), p.2744.</w:t>
      </w:r>
    </w:p>
    <w:p w14:paraId="24B2A813">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Bakhshandeh, G., Sharifi, S. and Rezaei, S.M., 2023. Influence of personalisation and hedonic motivation on repurchase intention: the mediating role of customer experience and loyalty. International Journal of Services, Economics and Management, 14(1), pp.42-57.</w:t>
      </w:r>
    </w:p>
    <w:p w14:paraId="19622481">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Choi, W.S., Kang, S.W. and Choi, S.B., 2021. Innovative behavior in the workplace: An empirical study of moderated mediation model of self-efficacy, perceived organizational support, and leader–member exchange. Behavioral Sciences, 11(12), p.182.</w:t>
      </w:r>
    </w:p>
    <w:p w14:paraId="73B83F78">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Farida, I. and Setiawan, D., 2022. Business strategies and competitive advantage: the role of performance and innovation. Journal of open innovation: Technology, market, and complexity, 8(3), p.163.</w:t>
      </w:r>
    </w:p>
    <w:p w14:paraId="4C4609C5">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Gong, Y., Xiao, J., Tang, X. and Li, J., 2023. How sustainable marketing influences the customer engagement and sustainable purchase intention? The moderating role of corporate social responsibility. Frontiers in Psychology, 14, p.1128686.</w:t>
      </w:r>
    </w:p>
    <w:p w14:paraId="2BF4A69A">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Handoyo, S., Suharman, H., Ghani, E.K. and Soedarsono, S., 2023. A business strategy, operational efficiency, ownership structure, and manufacturing performance: The moderating role of market uncertainty and competition intensity and its implication on open innovation. Journal of Open Innovation: Technology, Market, and Complexity, 9(2), p.100039.</w:t>
      </w:r>
    </w:p>
    <w:p w14:paraId="571E1F4F">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Hussain, S. and Huang, J., 2022. The impact of cultural values on green purchase intentions through ecological awareness and perceived consumer effectiveness: An empirical investigation. Frontiers in Environmental Science, 10, p.985200.</w:t>
      </w:r>
    </w:p>
    <w:p w14:paraId="4E04FF32">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Ilieva, G., Yankova, T., Ruseva, M., Dzhabarova, Y., Klisarova-Belcheva, S. and Bratkov, M., 2024. Social Media Influencers: Customer Attitudes and Impact on Purchase Behaviour. Information (Switzerland), 15 (6) [online]</w:t>
      </w:r>
    </w:p>
    <w:p w14:paraId="1052A079">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Jjagwe, R., Kirabira, J.B. and Mukasa, N., 2024. Innovation and Commercialization Characteristics of Techno-Business Firms in Uganda: An Overview of Firm Processes, Strategies, and Challenges. East African Journal of Interdisciplinary Studies, 7(1), pp.278-296.</w:t>
      </w:r>
    </w:p>
    <w:p w14:paraId="22BE9497">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Kornelakis, A. and Petrakaki, D., 2024. Technological innovation, industry platforms or financialization? A comparative institutional perspective on Nokia, Apple, and Samsung. Business History, pp.1-26.</w:t>
      </w:r>
    </w:p>
    <w:p w14:paraId="7C332DF6">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Lyu, X. and Wu, Z., 2024. Fusion Algorithm of Fashion Trend Analysis and CAD Design Driven by Big Data.</w:t>
      </w:r>
    </w:p>
    <w:p w14:paraId="64D4BDAF">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Nafizah, U.Y., Roper, S. and Mole, K., 2024. Estimating the innovation benefits of first-mover and second-mover strategies when micro-businesses adopt artificial intelligence and machine learning. Small Business Economics, 62(1), pp.411-434.</w:t>
      </w:r>
    </w:p>
    <w:p w14:paraId="2E53BB51">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Nafizah, U.Y., Roper, S. and Mole, K., 2024. Estimating the innovation benefits of first-mover and second-mover strategies when micro-businesses adopt artificial intelligence and machine learning. Small Business Economics, 62(1), pp.411-434.</w:t>
      </w:r>
    </w:p>
    <w:p w14:paraId="566F34F4">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Nascimento, J. and Loureiro, S.M.C., 2024. Mapping the sustainability branding field: emerging trends and future directions. Journal of Product &amp; Brand Management, 33(2), pp.234-257.</w:t>
      </w:r>
    </w:p>
    <w:p w14:paraId="18F00105">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Simmons, G. and Durkin, M., 2023. Expanding understanding of brand value co-creation on social media from an SD logic perspective: Introducing structuration theory. Marketing Theory, 23(4), pp.607-629.</w:t>
      </w:r>
    </w:p>
    <w:p w14:paraId="5EB2E3A1">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Štofejová, L., Kráľ, Š., Fedorko, R., Bačík, R. and Tomášová, M., 2023. Sustainability and consumer behavior in electronic commerce. Sustainability, 15(22), p.15902.</w:t>
      </w:r>
    </w:p>
    <w:p w14:paraId="6A60FA5A">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Suntsova, O., 2024. THE IMPACT OF “FIRST-MOVER ADVANTAGE” ON GLOBAL MARKET STRUCTURE AND DYNAMICS. Available at SSRN 5125609.</w:t>
      </w:r>
    </w:p>
    <w:p w14:paraId="64F4CA75">
      <w:pPr>
        <w:spacing w:line="480" w:lineRule="auto"/>
        <w:ind w:left="1440" w:hanging="1440"/>
        <w:jc w:val="both"/>
        <w:rPr>
          <w:rFonts w:ascii="Times New Roman" w:hAnsi="Times New Roman" w:cs="Times New Roman"/>
          <w:sz w:val="24"/>
          <w:szCs w:val="24"/>
        </w:rPr>
      </w:pPr>
      <w:r>
        <w:rPr>
          <w:rFonts w:ascii="Times New Roman" w:hAnsi="Times New Roman" w:cs="Times New Roman"/>
          <w:sz w:val="24"/>
          <w:szCs w:val="24"/>
        </w:rPr>
        <w:t>Taherdoost, H., 2024. Risk Management in R&amp;D Projects. In Innovation Through Research and Development: Strategies for Success (pp. 247-269). Cham: Springer Nature Switzerland.</w:t>
      </w:r>
    </w:p>
    <w:sectPr>
      <w:pgSz w:w="11906" w:h="16838"/>
      <w:pgMar w:top="1440" w:right="1080" w:bottom="1440" w:left="1080" w:header="720" w:footer="72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SimHei">
    <w:altName w:val="SimSun"/>
    <w:panose1 w:val="02010600030101010101"/>
    <w:charset w:val="86"/>
    <w:family w:val="modern"/>
    <w:pitch w:val="default"/>
    <w:sig w:usb0="00000000" w:usb1="00000000" w:usb2="00000010" w:usb3="00000000" w:csb0="0004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 w:name="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Ti">
    <w:altName w:val="Segoe Print"/>
    <w:panose1 w:val="00000000000000000000"/>
    <w:charset w:val="00"/>
    <w:family w:val="auto"/>
    <w:pitch w:val="default"/>
    <w:sig w:usb0="00000000" w:usb1="00000000" w:usb2="00000000" w:usb3="00000000" w:csb0="00000000" w:csb1="00000000"/>
  </w:font>
  <w:font w:name="Tim">
    <w:altName w:val="Segoe Print"/>
    <w:panose1 w:val="00000000000000000000"/>
    <w:charset w:val="00"/>
    <w:family w:val="auto"/>
    <w:pitch w:val="default"/>
    <w:sig w:usb0="00000000" w:usb1="00000000" w:usb2="00000000" w:usb3="00000000" w:csb0="00000000" w:csb1="00000000"/>
  </w:font>
  <w:font w:name="Time">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530C2E"/>
    <w:rsid w:val="00050A31"/>
    <w:rsid w:val="00066206"/>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47AFF"/>
    <w:rsid w:val="0026631D"/>
    <w:rsid w:val="002C2F53"/>
    <w:rsid w:val="0033518C"/>
    <w:rsid w:val="003437C2"/>
    <w:rsid w:val="00377186"/>
    <w:rsid w:val="00387A9F"/>
    <w:rsid w:val="003A1C03"/>
    <w:rsid w:val="003C0A2C"/>
    <w:rsid w:val="00414627"/>
    <w:rsid w:val="00425D63"/>
    <w:rsid w:val="004643D8"/>
    <w:rsid w:val="004922E9"/>
    <w:rsid w:val="00497C24"/>
    <w:rsid w:val="004C7BA5"/>
    <w:rsid w:val="004E7628"/>
    <w:rsid w:val="004F48F2"/>
    <w:rsid w:val="005149B1"/>
    <w:rsid w:val="005647F2"/>
    <w:rsid w:val="005662D1"/>
    <w:rsid w:val="00573A09"/>
    <w:rsid w:val="005A4526"/>
    <w:rsid w:val="005C1B16"/>
    <w:rsid w:val="005E3AA5"/>
    <w:rsid w:val="005E53D0"/>
    <w:rsid w:val="006002EB"/>
    <w:rsid w:val="006128EF"/>
    <w:rsid w:val="006264B4"/>
    <w:rsid w:val="00643033"/>
    <w:rsid w:val="00644CC3"/>
    <w:rsid w:val="006468A0"/>
    <w:rsid w:val="00661468"/>
    <w:rsid w:val="006649F0"/>
    <w:rsid w:val="0067245D"/>
    <w:rsid w:val="0068470E"/>
    <w:rsid w:val="00695DCD"/>
    <w:rsid w:val="006A05CC"/>
    <w:rsid w:val="006A35A7"/>
    <w:rsid w:val="007152D7"/>
    <w:rsid w:val="00746C14"/>
    <w:rsid w:val="00763388"/>
    <w:rsid w:val="007C2C59"/>
    <w:rsid w:val="00801F23"/>
    <w:rsid w:val="00837632"/>
    <w:rsid w:val="0085640F"/>
    <w:rsid w:val="008567AA"/>
    <w:rsid w:val="00892712"/>
    <w:rsid w:val="008A680A"/>
    <w:rsid w:val="008B0BB0"/>
    <w:rsid w:val="008E6C4B"/>
    <w:rsid w:val="008F18C0"/>
    <w:rsid w:val="00907648"/>
    <w:rsid w:val="00930FDE"/>
    <w:rsid w:val="00931796"/>
    <w:rsid w:val="0096060F"/>
    <w:rsid w:val="00984C93"/>
    <w:rsid w:val="00987CE1"/>
    <w:rsid w:val="0099405C"/>
    <w:rsid w:val="009C164B"/>
    <w:rsid w:val="009C600F"/>
    <w:rsid w:val="009D3723"/>
    <w:rsid w:val="009E04F2"/>
    <w:rsid w:val="009E5007"/>
    <w:rsid w:val="00A03B7B"/>
    <w:rsid w:val="00A128FB"/>
    <w:rsid w:val="00A1781F"/>
    <w:rsid w:val="00A200C9"/>
    <w:rsid w:val="00A250D5"/>
    <w:rsid w:val="00A32F56"/>
    <w:rsid w:val="00A36028"/>
    <w:rsid w:val="00A91424"/>
    <w:rsid w:val="00A94CE8"/>
    <w:rsid w:val="00AA2C77"/>
    <w:rsid w:val="00AC3FB9"/>
    <w:rsid w:val="00AC702A"/>
    <w:rsid w:val="00AD226F"/>
    <w:rsid w:val="00B13A52"/>
    <w:rsid w:val="00B15DE9"/>
    <w:rsid w:val="00B24CF4"/>
    <w:rsid w:val="00B26993"/>
    <w:rsid w:val="00B4570C"/>
    <w:rsid w:val="00B5208C"/>
    <w:rsid w:val="00B74876"/>
    <w:rsid w:val="00BB7C2B"/>
    <w:rsid w:val="00BC1664"/>
    <w:rsid w:val="00BC2546"/>
    <w:rsid w:val="00C05085"/>
    <w:rsid w:val="00C1593D"/>
    <w:rsid w:val="00C23607"/>
    <w:rsid w:val="00C56C7E"/>
    <w:rsid w:val="00C6678F"/>
    <w:rsid w:val="00C776A4"/>
    <w:rsid w:val="00CA2C6C"/>
    <w:rsid w:val="00CC0600"/>
    <w:rsid w:val="00CC78AC"/>
    <w:rsid w:val="00CF7953"/>
    <w:rsid w:val="00D07232"/>
    <w:rsid w:val="00D10245"/>
    <w:rsid w:val="00D21BDD"/>
    <w:rsid w:val="00D65F07"/>
    <w:rsid w:val="00D92BB7"/>
    <w:rsid w:val="00DC76D2"/>
    <w:rsid w:val="00DD30ED"/>
    <w:rsid w:val="00E64C21"/>
    <w:rsid w:val="00E66E8C"/>
    <w:rsid w:val="00EC0E3D"/>
    <w:rsid w:val="00EC24C6"/>
    <w:rsid w:val="00EC3810"/>
    <w:rsid w:val="00EF2933"/>
    <w:rsid w:val="00F05146"/>
    <w:rsid w:val="00F1115D"/>
    <w:rsid w:val="00F3513C"/>
    <w:rsid w:val="00F465C5"/>
    <w:rsid w:val="00F5180D"/>
    <w:rsid w:val="00F51B21"/>
    <w:rsid w:val="00F51D87"/>
    <w:rsid w:val="00F8455C"/>
    <w:rsid w:val="00F96E42"/>
    <w:rsid w:val="00FA0908"/>
    <w:rsid w:val="00FF21A7"/>
    <w:rsid w:val="1CE1645F"/>
    <w:rsid w:val="272A36A0"/>
    <w:rsid w:val="2A530C2E"/>
    <w:rsid w:val="3C23784C"/>
    <w:rsid w:val="3DA86965"/>
    <w:rsid w:val="4DB308C5"/>
    <w:rsid w:val="5FBF3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qFormat="1" w:unhideWhenUsed="0" w:uiPriority="0" w:semiHidden="0" w:name="List Continue"/>
    <w:lsdException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unhideWhenUsed="0" w:uiPriority="0" w:semiHidden="0" w:name="Table Classic 4"/>
    <w:lsdException w:qFormat="1" w:unhideWhenUsed="0" w:uiPriority="0" w:semiHidden="0" w:name="Table Colorful 1"/>
    <w:lsdException w:unhideWhenUsed="0" w:uiPriority="0" w:semiHidden="0" w:name="Table Colorful 2"/>
    <w:lsdException w:qFormat="1" w:unhideWhenUsed="0" w:uiPriority="0" w:semiHidden="0" w:name="Table Colorful 3"/>
    <w:lsdException w:qFormat="1" w:unhideWhenUsed="0" w:uiPriority="0" w:semiHidden="0" w:name="Table Columns 1"/>
    <w:lsdException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unhideWhenUsed="0" w:uiPriority="0" w:semiHidden="0" w:name="Table Grid 2"/>
    <w:lsdException w:qFormat="1" w:unhideWhenUsed="0" w:uiPriority="0" w:semiHidden="0" w:name="Table Grid 3"/>
    <w:lsdException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unhideWhenUsed="0" w:uiPriority="0" w:semiHidden="0" w:name="Table List 7"/>
    <w:lsdException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unhideWhenUsed="0" w:uiPriority="0" w:semiHidden="0" w:name="Table Professional"/>
    <w:lsdException w:unhideWhenUsed="0" w:uiPriority="0" w:semiHidden="0" w:name="Table Subtle 1"/>
    <w:lsdException w:qFormat="1" w:unhideWhenUsed="0" w:uiPriority="0" w:semiHidden="0" w:name="Table Subtle 2"/>
    <w:lsdException w:unhideWhenUsed="0" w:uiPriority="0" w:semiHidden="0" w:name="Table Web 1"/>
    <w:lsdException w:qFormat="1" w:unhideWhenUsed="0" w:uiPriority="0" w:semiHidden="0" w:name="Table Web 2"/>
    <w:lsdException w:qFormat="1"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qFormat="1" w:unhideWhenUsed="0" w:uiPriority="65" w:semiHidden="0" w:name="Medium List 1 Accent 5"/>
    <w:lsdException w:unhideWhenUsed="0" w:uiPriority="66" w:semiHidden="0" w:name="Medium List 2 Accent 5"/>
    <w:lsdException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spacing w:line="360" w:lineRule="auto"/>
      <w:jc w:val="center"/>
      <w:outlineLvl w:val="0"/>
    </w:pPr>
    <w:rPr>
      <w:rFonts w:ascii="Times New Roman" w:hAnsi="Times New Roman"/>
      <w:b/>
      <w:bCs/>
      <w:sz w:val="28"/>
      <w:szCs w:val="28"/>
    </w:rPr>
  </w:style>
  <w:style w:type="paragraph" w:styleId="3">
    <w:name w:val="heading 2"/>
    <w:basedOn w:val="1"/>
    <w:next w:val="1"/>
    <w:unhideWhenUsed/>
    <w:qFormat/>
    <w:uiPriority w:val="0"/>
    <w:pPr>
      <w:keepNext/>
      <w:keepLines/>
      <w:spacing w:before="260" w:after="260" w:line="416" w:lineRule="auto"/>
      <w:outlineLvl w:val="1"/>
    </w:pPr>
    <w:rPr>
      <w:rFonts w:ascii="Times New Roman" w:hAnsi="Times New Roman"/>
      <w:b/>
      <w:bCs/>
      <w:sz w:val="28"/>
      <w:szCs w:val="32"/>
    </w:rPr>
  </w:style>
  <w:style w:type="paragraph" w:styleId="4">
    <w:name w:val="heading 3"/>
    <w:basedOn w:val="1"/>
    <w:next w:val="1"/>
    <w:unhideWhenUsed/>
    <w:qFormat/>
    <w:uiPriority w:val="0"/>
    <w:pPr>
      <w:keepNext/>
      <w:keepLines/>
      <w:spacing w:before="260" w:after="260" w:line="416" w:lineRule="auto"/>
      <w:outlineLvl w:val="2"/>
    </w:pPr>
    <w:rPr>
      <w:rFonts w:ascii="Times New Roman" w:hAnsi="Times New Roman"/>
      <w:b/>
      <w:bCs/>
      <w:sz w:val="26"/>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uiPriority w:val="0"/>
    <w:rPr>
      <w:sz w:val="16"/>
      <w:szCs w:val="16"/>
    </w:rPr>
  </w:style>
  <w:style w:type="paragraph" w:styleId="14">
    <w:name w:val="Block Text"/>
    <w:basedOn w:val="1"/>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uiPriority w:val="0"/>
    <w:pPr>
      <w:spacing w:after="120" w:line="480" w:lineRule="auto"/>
    </w:pPr>
  </w:style>
  <w:style w:type="paragraph" w:styleId="17">
    <w:name w:val="Body Text 3"/>
    <w:basedOn w:val="1"/>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SimHei" w:cs="Arial"/>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pPr>
  </w:style>
  <w:style w:type="paragraph" w:styleId="34">
    <w:name w:val="envelope address"/>
    <w:basedOn w:val="1"/>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uiPriority w:val="0"/>
    <w:rPr>
      <w:color w:val="800080"/>
      <w:u w:val="single"/>
    </w:rPr>
  </w:style>
  <w:style w:type="paragraph" w:styleId="37">
    <w:name w:val="footer"/>
    <w:basedOn w:val="1"/>
    <w:qFormat/>
    <w:uiPriority w:val="0"/>
    <w:pPr>
      <w:tabs>
        <w:tab w:val="center" w:pos="4153"/>
        <w:tab w:val="right" w:pos="8306"/>
      </w:tabs>
      <w:snapToGrid w:val="0"/>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pPr>
    <w:rPr>
      <w:sz w:val="18"/>
      <w:szCs w:val="18"/>
    </w:rPr>
  </w:style>
  <w:style w:type="paragraph" w:styleId="40">
    <w:name w:val="header"/>
    <w:basedOn w:val="1"/>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rPr>
  </w:style>
  <w:style w:type="character" w:styleId="48">
    <w:name w:val="HTML Sample"/>
    <w:basedOn w:val="11"/>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qFormat/>
    <w:uiPriority w:val="0"/>
    <w:rPr>
      <w:sz w:val="24"/>
      <w:szCs w:val="24"/>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blCellMar>
        <w:top w:w="0" w:type="dxa"/>
        <w:left w:w="108" w:type="dxa"/>
        <w:bottom w:w="0" w:type="dxa"/>
        <w:right w:w="108" w:type="dxa"/>
      </w:tblCellMa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CellMar>
        <w:top w:w="0" w:type="dxa"/>
        <w:left w:w="108" w:type="dxa"/>
        <w:bottom w:w="0" w:type="dxa"/>
        <w:right w:w="108" w:type="dxa"/>
      </w:tblCellMar>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uiPriority w:val="0"/>
    <w:pPr>
      <w:widowControl w:val="0"/>
      <w:jc w:val="both"/>
    </w:pPr>
    <w:tblPr>
      <w:tblBorders>
        <w:top w:val="single" w:color="000000" w:sz="12" w:space="0"/>
        <w:left w:val="single" w:color="000000" w:sz="6" w:space="0"/>
        <w:bottom w:val="single" w:color="000000" w:sz="12" w:space="0"/>
        <w:right w:val="single" w:color="000000" w:sz="6" w:space="0"/>
      </w:tblBorders>
      <w:tblCellMar>
        <w:top w:w="0" w:type="dxa"/>
        <w:left w:w="108" w:type="dxa"/>
        <w:bottom w:w="0" w:type="dxa"/>
        <w:right w:w="108" w:type="dxa"/>
      </w:tblCellMar>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CellMar>
        <w:top w:w="0" w:type="dxa"/>
        <w:left w:w="108" w:type="dxa"/>
        <w:bottom w:w="0" w:type="dxa"/>
        <w:right w:w="108" w:type="dxa"/>
      </w:tblCellMar>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uiPriority w:val="0"/>
    <w:pPr>
      <w:widowControl w:val="0"/>
      <w:jc w:val="both"/>
    </w:pPr>
    <w:rPr>
      <w:b/>
      <w:bCs/>
    </w:rPr>
    <w:tblPr>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CellMar>
        <w:top w:w="0" w:type="dxa"/>
        <w:left w:w="108" w:type="dxa"/>
        <w:bottom w:w="0" w:type="dxa"/>
        <w:right w:w="108" w:type="dxa"/>
      </w:tblCellMa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CellMar>
        <w:top w:w="0" w:type="dxa"/>
        <w:left w:w="108" w:type="dxa"/>
        <w:bottom w:w="0" w:type="dxa"/>
        <w:right w:w="108" w:type="dxa"/>
      </w:tblCellMar>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CellMar>
        <w:top w:w="0" w:type="dxa"/>
        <w:left w:w="108" w:type="dxa"/>
        <w:bottom w:w="0" w:type="dxa"/>
        <w:right w:w="108" w:type="dxa"/>
      </w:tblCellMar>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uiPriority w:val="0"/>
    <w:pPr>
      <w:widowControl w:val="0"/>
      <w:jc w:val="both"/>
    </w:pPr>
    <w:tblPr>
      <w:tblBorders>
        <w:left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uiPriority w:val="0"/>
    <w:pPr>
      <w:widowControl w:val="0"/>
      <w:jc w:val="both"/>
    </w:p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CellMar>
        <w:top w:w="0" w:type="dxa"/>
        <w:left w:w="108" w:type="dxa"/>
        <w:bottom w:w="0" w:type="dxa"/>
        <w:right w:w="108" w:type="dxa"/>
      </w:tblCellMar>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CellMar>
        <w:top w:w="0" w:type="dxa"/>
        <w:left w:w="108" w:type="dxa"/>
        <w:bottom w:w="0" w:type="dxa"/>
        <w:right w:w="108" w:type="dxa"/>
      </w:tblCellMar>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uiPriority w:val="0"/>
    <w:pPr>
      <w:ind w:left="420" w:leftChars="200"/>
    </w:pPr>
  </w:style>
  <w:style w:type="paragraph" w:styleId="129">
    <w:name w:val="table of figures"/>
    <w:basedOn w:val="1"/>
    <w:next w:val="1"/>
    <w:uiPriority w:val="0"/>
    <w:pPr>
      <w:ind w:left="200" w:leftChars="200" w:hanging="200" w:hangingChars="200"/>
    </w:pPr>
  </w:style>
  <w:style w:type="table" w:styleId="130">
    <w:name w:val="Table Professional"/>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uiPriority w:val="0"/>
    <w:pPr>
      <w:widowControl w:val="0"/>
      <w:jc w:val="both"/>
    </w:pPr>
    <w:tblPr>
      <w:tblCellMar>
        <w:top w:w="0" w:type="dxa"/>
        <w:left w:w="108" w:type="dxa"/>
        <w:bottom w:w="0" w:type="dxa"/>
        <w:right w:w="108" w:type="dxa"/>
      </w:tblCellMa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uiPriority w:val="0"/>
    <w:pPr>
      <w:widowControl w:val="0"/>
      <w:jc w:val="both"/>
    </w:p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uiPriority w:val="0"/>
    <w:pPr>
      <w:widowControl w:val="0"/>
      <w:jc w:val="both"/>
    </w:pPr>
    <w:tblPr>
      <w:tblCellMar>
        <w:top w:w="0" w:type="dxa"/>
        <w:left w:w="108" w:type="dxa"/>
        <w:bottom w:w="0" w:type="dxa"/>
        <w:right w:w="108" w:type="dxa"/>
      </w:tblCellMar>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CellMar>
        <w:top w:w="0" w:type="dxa"/>
        <w:left w:w="108" w:type="dxa"/>
        <w:bottom w:w="0" w:type="dxa"/>
        <w:right w:w="108" w:type="dxa"/>
      </w:tblCellMar>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37">
    <w:name w:val="Table Web 1"/>
    <w:basedOn w:val="12"/>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uiPriority w:val="0"/>
  </w:style>
  <w:style w:type="paragraph" w:styleId="143">
    <w:name w:val="toc 2"/>
    <w:basedOn w:val="1"/>
    <w:next w:val="1"/>
    <w:uiPriority w:val="0"/>
    <w:pPr>
      <w:ind w:left="420" w:leftChars="200"/>
    </w:pPr>
  </w:style>
  <w:style w:type="paragraph" w:styleId="144">
    <w:name w:val="toc 3"/>
    <w:basedOn w:val="1"/>
    <w:next w:val="1"/>
    <w:uiPriority w:val="0"/>
    <w:pPr>
      <w:ind w:left="840" w:leftChars="400"/>
    </w:pPr>
  </w:style>
  <w:style w:type="paragraph" w:styleId="145">
    <w:name w:val="toc 4"/>
    <w:basedOn w:val="1"/>
    <w:next w:val="1"/>
    <w:uiPriority w:val="0"/>
    <w:pPr>
      <w:ind w:left="1260" w:leftChars="600"/>
    </w:pPr>
  </w:style>
  <w:style w:type="paragraph" w:styleId="146">
    <w:name w:val="toc 5"/>
    <w:basedOn w:val="1"/>
    <w:next w:val="1"/>
    <w:uiPriority w:val="0"/>
    <w:pPr>
      <w:ind w:left="1680" w:leftChars="800"/>
    </w:pPr>
  </w:style>
  <w:style w:type="paragraph" w:styleId="147">
    <w:name w:val="toc 6"/>
    <w:basedOn w:val="1"/>
    <w:next w:val="1"/>
    <w:uiPriority w:val="0"/>
    <w:pPr>
      <w:ind w:left="2100" w:leftChars="1000"/>
    </w:pPr>
  </w:style>
  <w:style w:type="paragraph" w:styleId="148">
    <w:name w:val="toc 7"/>
    <w:basedOn w:val="1"/>
    <w:next w:val="1"/>
    <w:uiPriority w:val="0"/>
    <w:pPr>
      <w:ind w:left="2520" w:leftChars="1200"/>
    </w:pPr>
  </w:style>
  <w:style w:type="paragraph" w:styleId="149">
    <w:name w:val="toc 8"/>
    <w:basedOn w:val="1"/>
    <w:next w:val="1"/>
    <w:uiPriority w:val="0"/>
    <w:pPr>
      <w:ind w:left="2940" w:leftChars="1400"/>
    </w:pPr>
  </w:style>
  <w:style w:type="paragraph" w:styleId="150">
    <w:name w:val="toc 9"/>
    <w:basedOn w:val="1"/>
    <w:next w:val="1"/>
    <w:uiPriority w:val="0"/>
    <w:pPr>
      <w:ind w:left="3360" w:leftChars="1600"/>
    </w:pPr>
  </w:style>
  <w:style w:type="table" w:styleId="151">
    <w:name w:val="Light Shading"/>
    <w:basedOn w:val="12"/>
    <w:uiPriority w:val="60"/>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uiPriority w:val="60"/>
    <w:rPr>
      <w:color w:val="365F91"/>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uiPriority w:val="60"/>
    <w:rPr>
      <w:color w:val="943634"/>
    </w:rPr>
    <w:tblPr>
      <w:tblBorders>
        <w:top w:val="single" w:color="C0504D" w:sz="8" w:space="0"/>
        <w:bottom w:val="single" w:color="C0504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uiPriority w:val="60"/>
    <w:rPr>
      <w:color w:val="76923C"/>
    </w:rPr>
    <w:tblPr>
      <w:tblBorders>
        <w:top w:val="single" w:color="9BBB59" w:sz="8" w:space="0"/>
        <w:bottom w:val="single" w:color="9BBB59"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uiPriority w:val="60"/>
    <w:rPr>
      <w:color w:val="5F497A"/>
    </w:rPr>
    <w:tblPr>
      <w:tblBorders>
        <w:top w:val="single" w:color="8064A2" w:sz="8" w:space="0"/>
        <w:bottom w:val="single" w:color="8064A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uiPriority w:val="60"/>
    <w:rPr>
      <w:color w:val="31849B"/>
    </w:rPr>
    <w:tblPr>
      <w:tblBorders>
        <w:top w:val="single" w:color="4BACC6" w:sz="8" w:space="0"/>
        <w:bottom w:val="single" w:color="4BACC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uiPriority w:val="61"/>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uiPriority w:val="61"/>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uiPriority w:val="61"/>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uiPriority w:val="61"/>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uiPriority w:val="61"/>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uiPriority w:val="63"/>
    <w:tblPr>
      <w:tblBorders>
        <w:top w:val="single" w:color="404040" w:sz="8" w:space="0"/>
        <w:left w:val="single" w:color="404040" w:sz="8" w:space="0"/>
        <w:bottom w:val="single" w:color="404040" w:sz="8" w:space="0"/>
        <w:right w:val="single" w:color="404040" w:sz="8" w:space="0"/>
        <w:insideH w:val="single" w:color="404040"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uiPriority w:val="63"/>
    <w:tblPr>
      <w:tblBorders>
        <w:top w:val="single" w:color="B3CC82" w:sz="8" w:space="0"/>
        <w:left w:val="single" w:color="B3CC82" w:sz="8" w:space="0"/>
        <w:bottom w:val="single" w:color="B3CC82" w:sz="8" w:space="0"/>
        <w:right w:val="single" w:color="B3CC82" w:sz="8" w:space="0"/>
        <w:insideH w:val="single" w:color="B3CC8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uiPriority w:val="63"/>
    <w:tblPr>
      <w:tblBorders>
        <w:top w:val="single" w:color="9F8AB9" w:sz="8" w:space="0"/>
        <w:left w:val="single" w:color="9F8AB9" w:sz="8" w:space="0"/>
        <w:bottom w:val="single" w:color="9F8AB9" w:sz="8" w:space="0"/>
        <w:right w:val="single" w:color="9F8AB9" w:sz="8" w:space="0"/>
        <w:insideH w:val="single" w:color="9F8AB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uiPriority w:val="63"/>
    <w:tblPr>
      <w:tblBorders>
        <w:top w:val="single" w:color="F9B074" w:sz="8" w:space="0"/>
        <w:left w:val="single" w:color="F9B074" w:sz="8" w:space="0"/>
        <w:bottom w:val="single" w:color="F9B074" w:sz="8" w:space="0"/>
        <w:right w:val="single" w:color="F9B074" w:sz="8" w:space="0"/>
        <w:insideH w:val="single" w:color="F9B07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CellMar>
        <w:top w:w="0" w:type="dxa"/>
        <w:left w:w="108" w:type="dxa"/>
        <w:bottom w:w="0" w:type="dxa"/>
        <w:right w:w="108" w:type="dxa"/>
      </w:tblCellMar>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uiPriority w:val="65"/>
    <w:rPr>
      <w:color w:val="000000"/>
    </w:rPr>
    <w:tblPr>
      <w:tblBorders>
        <w:top w:val="single" w:color="C0504D" w:sz="8" w:space="0"/>
        <w:bottom w:val="single" w:color="C0504D" w:sz="8" w:space="0"/>
      </w:tblBorders>
      <w:tblCellMar>
        <w:top w:w="0" w:type="dxa"/>
        <w:left w:w="108" w:type="dxa"/>
        <w:bottom w:w="0" w:type="dxa"/>
        <w:right w:w="108" w:type="dxa"/>
      </w:tblCellMar>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CellMar>
        <w:top w:w="0" w:type="dxa"/>
        <w:left w:w="108" w:type="dxa"/>
        <w:bottom w:w="0" w:type="dxa"/>
        <w:right w:w="108" w:type="dxa"/>
      </w:tblCellMar>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CellMar>
        <w:top w:w="0" w:type="dxa"/>
        <w:left w:w="108" w:type="dxa"/>
        <w:bottom w:w="0" w:type="dxa"/>
        <w:right w:w="108" w:type="dxa"/>
      </w:tblCellMar>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CellMar>
        <w:top w:w="0" w:type="dxa"/>
        <w:left w:w="108" w:type="dxa"/>
        <w:bottom w:w="0" w:type="dxa"/>
        <w:right w:w="108" w:type="dxa"/>
      </w:tblCellMar>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CellMar>
        <w:top w:w="0" w:type="dxa"/>
        <w:left w:w="108" w:type="dxa"/>
        <w:bottom w:w="0" w:type="dxa"/>
        <w:right w:w="108" w:type="dxa"/>
      </w:tblCellMar>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CellMar>
        <w:top w:w="0" w:type="dxa"/>
        <w:left w:w="108" w:type="dxa"/>
        <w:bottom w:w="0" w:type="dxa"/>
        <w:right w:w="108" w:type="dxa"/>
      </w:tblCellMar>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CellMar>
        <w:top w:w="0" w:type="dxa"/>
        <w:left w:w="108" w:type="dxa"/>
        <w:bottom w:w="0" w:type="dxa"/>
        <w:right w:w="108" w:type="dxa"/>
      </w:tblCellMar>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CellMar>
        <w:top w:w="0" w:type="dxa"/>
        <w:left w:w="108" w:type="dxa"/>
        <w:bottom w:w="0" w:type="dxa"/>
        <w:right w:w="108" w:type="dxa"/>
      </w:tblCellMar>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CellMar>
        <w:top w:w="0" w:type="dxa"/>
        <w:left w:w="108" w:type="dxa"/>
        <w:bottom w:w="0" w:type="dxa"/>
        <w:right w:w="108" w:type="dxa"/>
      </w:tblCellMar>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uiPriority w:val="70"/>
    <w:rPr>
      <w:color w:val="FFFFFF"/>
    </w:rPr>
    <w:tblPr>
      <w:tblCellMar>
        <w:top w:w="0" w:type="dxa"/>
        <w:left w:w="108" w:type="dxa"/>
        <w:bottom w:w="0" w:type="dxa"/>
        <w:right w:w="108" w:type="dxa"/>
      </w:tblCellMar>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uiPriority w:val="70"/>
    <w:rPr>
      <w:color w:val="FFFFFF"/>
    </w:rPr>
    <w:tblPr>
      <w:tblCellMar>
        <w:top w:w="0" w:type="dxa"/>
        <w:left w:w="108" w:type="dxa"/>
        <w:bottom w:w="0" w:type="dxa"/>
        <w:right w:w="108" w:type="dxa"/>
      </w:tblCellMar>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CellMar>
        <w:top w:w="0" w:type="dxa"/>
        <w:left w:w="108" w:type="dxa"/>
        <w:bottom w:w="0" w:type="dxa"/>
        <w:right w:w="108" w:type="dxa"/>
      </w:tblCellMar>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CellMar>
        <w:top w:w="0" w:type="dxa"/>
        <w:left w:w="108" w:type="dxa"/>
        <w:bottom w:w="0" w:type="dxa"/>
        <w:right w:w="108" w:type="dxa"/>
      </w:tblCellMar>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CellMar>
        <w:top w:w="0" w:type="dxa"/>
        <w:left w:w="108" w:type="dxa"/>
        <w:bottom w:w="0" w:type="dxa"/>
        <w:right w:w="108" w:type="dxa"/>
      </w:tblCellMar>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CellMar>
        <w:top w:w="0" w:type="dxa"/>
        <w:left w:w="108" w:type="dxa"/>
        <w:bottom w:w="0" w:type="dxa"/>
        <w:right w:w="108" w:type="dxa"/>
      </w:tblCellMar>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CellMar>
        <w:top w:w="0" w:type="dxa"/>
        <w:left w:w="108" w:type="dxa"/>
        <w:bottom w:w="0" w:type="dxa"/>
        <w:right w:w="108" w:type="dxa"/>
      </w:tblCellMar>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top w:w="0" w:type="dxa"/>
        <w:left w:w="108" w:type="dxa"/>
        <w:bottom w:w="0" w:type="dxa"/>
        <w:right w:w="108" w:type="dxa"/>
      </w:tblCellMar>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CellMar>
        <w:top w:w="0" w:type="dxa"/>
        <w:left w:w="108" w:type="dxa"/>
        <w:bottom w:w="0" w:type="dxa"/>
        <w:right w:w="108" w:type="dxa"/>
      </w:tblCellMar>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CellMar>
        <w:top w:w="0" w:type="dxa"/>
        <w:left w:w="108" w:type="dxa"/>
        <w:bottom w:w="0" w:type="dxa"/>
        <w:right w:w="108" w:type="dxa"/>
      </w:tblCellMar>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CellMar>
        <w:top w:w="0" w:type="dxa"/>
        <w:left w:w="108" w:type="dxa"/>
        <w:bottom w:w="0" w:type="dxa"/>
        <w:right w:w="108" w:type="dxa"/>
      </w:tblCellMar>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CellMar>
        <w:top w:w="0" w:type="dxa"/>
        <w:left w:w="108" w:type="dxa"/>
        <w:bottom w:w="0" w:type="dxa"/>
        <w:right w:w="108" w:type="dxa"/>
      </w:tblCellMar>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uiPriority w:val="72"/>
    <w:rPr>
      <w:color w:val="000000"/>
    </w:rPr>
    <w:tblPr>
      <w:tblCellMar>
        <w:top w:w="0" w:type="dxa"/>
        <w:left w:w="108" w:type="dxa"/>
        <w:bottom w:w="0" w:type="dxa"/>
        <w:right w:w="108" w:type="dxa"/>
      </w:tblCellMar>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uiPriority w:val="72"/>
    <w:rPr>
      <w:color w:val="000000"/>
    </w:rPr>
    <w:tblPr>
      <w:tblCellMar>
        <w:top w:w="0" w:type="dxa"/>
        <w:left w:w="108" w:type="dxa"/>
        <w:bottom w:w="0" w:type="dxa"/>
        <w:right w:w="108" w:type="dxa"/>
      </w:tblCellMar>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CellMar>
        <w:top w:w="0" w:type="dxa"/>
        <w:left w:w="108" w:type="dxa"/>
        <w:bottom w:w="0" w:type="dxa"/>
        <w:right w:w="108" w:type="dxa"/>
      </w:tblCellMar>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CellMar>
        <w:top w:w="0" w:type="dxa"/>
        <w:left w:w="108" w:type="dxa"/>
        <w:bottom w:w="0" w:type="dxa"/>
        <w:right w:w="108" w:type="dxa"/>
      </w:tblCellMar>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uiPriority w:val="73"/>
    <w:rPr>
      <w:color w:val="000000"/>
    </w:rPr>
    <w:tblPr>
      <w:tblBorders>
        <w:insideH w:val="single" w:color="FFFFFF" w:sz="4" w:space="0"/>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uiPriority w:val="73"/>
    <w:rPr>
      <w:color w:val="000000"/>
    </w:rPr>
    <w:tblPr>
      <w:tblBorders>
        <w:insideH w:val="single" w:color="FFFFFF" w:sz="4" w:space="0"/>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uiPriority w:val="73"/>
    <w:rPr>
      <w:color w:val="000000"/>
    </w:rPr>
    <w:tblPr>
      <w:tblBorders>
        <w:insideH w:val="single" w:color="FFFFFF" w:sz="4" w:space="0"/>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uiPriority w:val="73"/>
    <w:rPr>
      <w:color w:val="000000"/>
    </w:rPr>
    <w:tblPr>
      <w:tblBorders>
        <w:insideH w:val="single" w:color="FFFFFF" w:sz="4" w:space="0"/>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249">
    <w:name w:val="WPSOffice手动目录 1"/>
    <w:uiPriority w:val="0"/>
    <w:pPr>
      <w:ind w:leftChars="0"/>
    </w:pPr>
    <w:rPr>
      <w:sz w:val="20"/>
      <w:szCs w:val="20"/>
    </w:rPr>
  </w:style>
  <w:style w:type="paragraph" w:customStyle="1" w:styleId="250">
    <w:name w:val="WPSOffice手动目录 2"/>
    <w:uiPriority w:val="0"/>
    <w:pPr>
      <w:ind w:leftChars="200"/>
    </w:pPr>
    <w:rPr>
      <w:sz w:val="20"/>
      <w:szCs w:val="20"/>
    </w:rPr>
  </w:style>
  <w:style w:type="paragraph" w:customStyle="1" w:styleId="251">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3469</Words>
  <Characters>19779</Characters>
  <Lines>164</Lines>
  <Paragraphs>46</Paragraphs>
  <TotalTime>6</TotalTime>
  <ScaleCrop>false</ScaleCrop>
  <LinksUpToDate>false</LinksUpToDate>
  <CharactersWithSpaces>23202</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2025-11-19T18:43:00Z</dcterms:created>
  <dc:creator>PMYLS</dc:creator>
  <cp:lastModifiedBy>PMYLS</cp:lastModifiedBy>
  <dcterms:modified xsi:type="dcterms:W3CDTF">2025-11-19T20:39:28Z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2057-12.2.0.23149</vt:lpwstr>
  </property>
  <property fmtid="{D5CDD505-2E9C-101B-9397-08002B2CF9AE}" pid="3" name="ICV">
    <vt:lpwstr>8762A9A391034A85B6075E8B42FB1D21_11</vt:lpwstr>
  </property>
</Properties>
</file>