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1C9E6F2" w14:textId="77777777" w:rsidR="00B93628" w:rsidRDefault="00B93628" w:rsidP="00CE62FB">
      <w:pPr>
        <w:pStyle w:val="Heading1"/>
        <w:spacing w:line="360" w:lineRule="auto"/>
        <w:rPr>
          <w:rFonts w:ascii="Arial" w:eastAsia="Times New Roman" w:hAnsi="Arial" w:cs="Arial"/>
          <w:color w:val="auto"/>
          <w:sz w:val="22"/>
          <w:szCs w:val="22"/>
        </w:rPr>
      </w:pPr>
    </w:p>
    <w:p w14:paraId="162D0217" w14:textId="0C23513C" w:rsidR="00B93628" w:rsidRPr="00974158" w:rsidRDefault="00B93628" w:rsidP="00CE62FB">
      <w:pPr>
        <w:pStyle w:val="Heading1"/>
        <w:spacing w:line="360" w:lineRule="auto"/>
        <w:rPr>
          <w:rFonts w:ascii="Arial" w:eastAsia="Times New Roman" w:hAnsi="Arial" w:cs="Arial"/>
          <w:b/>
          <w:bCs/>
          <w:color w:val="auto"/>
          <w:sz w:val="32"/>
          <w:szCs w:val="32"/>
        </w:rPr>
      </w:pPr>
      <w:r w:rsidRPr="00974158">
        <w:rPr>
          <w:rFonts w:ascii="Arial" w:eastAsia="Times New Roman" w:hAnsi="Arial" w:cs="Arial"/>
          <w:b/>
          <w:bCs/>
          <w:color w:val="auto"/>
          <w:sz w:val="32"/>
          <w:szCs w:val="32"/>
        </w:rPr>
        <w:t>Student Name: A</w:t>
      </w:r>
      <w:r w:rsidR="00460453" w:rsidRPr="00974158">
        <w:rPr>
          <w:rFonts w:ascii="Arial" w:eastAsia="Times New Roman" w:hAnsi="Arial" w:cs="Arial"/>
          <w:b/>
          <w:bCs/>
          <w:color w:val="auto"/>
          <w:sz w:val="32"/>
          <w:szCs w:val="32"/>
        </w:rPr>
        <w:t>dnaan Ali</w:t>
      </w:r>
    </w:p>
    <w:p w14:paraId="36DCB18A" w14:textId="7A7974A8" w:rsidR="00460453" w:rsidRPr="00974158" w:rsidRDefault="00460453" w:rsidP="00460453">
      <w:pPr>
        <w:rPr>
          <w:rFonts w:ascii="Arial" w:hAnsi="Arial" w:cs="Arial"/>
          <w:b/>
          <w:bCs/>
          <w:sz w:val="32"/>
          <w:szCs w:val="32"/>
        </w:rPr>
      </w:pPr>
      <w:r w:rsidRPr="00974158">
        <w:rPr>
          <w:rFonts w:ascii="Arial" w:hAnsi="Arial" w:cs="Arial"/>
          <w:b/>
          <w:bCs/>
          <w:sz w:val="32"/>
          <w:szCs w:val="32"/>
        </w:rPr>
        <w:t xml:space="preserve">Student ID: </w:t>
      </w:r>
      <w:r w:rsidR="00543149" w:rsidRPr="00974158">
        <w:rPr>
          <w:rFonts w:ascii="Arial" w:hAnsi="Arial" w:cs="Arial"/>
          <w:b/>
          <w:bCs/>
          <w:sz w:val="32"/>
          <w:szCs w:val="32"/>
        </w:rPr>
        <w:t>25</w:t>
      </w:r>
      <w:r w:rsidR="00B80490" w:rsidRPr="00974158">
        <w:rPr>
          <w:rFonts w:ascii="Arial" w:hAnsi="Arial" w:cs="Arial"/>
          <w:b/>
          <w:bCs/>
          <w:sz w:val="32"/>
          <w:szCs w:val="32"/>
        </w:rPr>
        <w:t>4</w:t>
      </w:r>
      <w:r w:rsidR="00D754A5" w:rsidRPr="00974158">
        <w:rPr>
          <w:rFonts w:ascii="Arial" w:hAnsi="Arial" w:cs="Arial"/>
          <w:b/>
          <w:bCs/>
          <w:sz w:val="32"/>
          <w:szCs w:val="32"/>
        </w:rPr>
        <w:t>1277</w:t>
      </w:r>
    </w:p>
    <w:p w14:paraId="0393B1AF" w14:textId="4871FCBF" w:rsidR="00D754A5" w:rsidRPr="00974158" w:rsidRDefault="00CB2308" w:rsidP="00460453">
      <w:pPr>
        <w:rPr>
          <w:rFonts w:ascii="Arial" w:hAnsi="Arial" w:cs="Arial"/>
          <w:b/>
          <w:bCs/>
          <w:sz w:val="32"/>
          <w:szCs w:val="32"/>
        </w:rPr>
      </w:pPr>
      <w:r w:rsidRPr="00974158">
        <w:rPr>
          <w:rFonts w:ascii="Arial" w:hAnsi="Arial" w:cs="Arial"/>
          <w:b/>
          <w:bCs/>
          <w:sz w:val="32"/>
          <w:szCs w:val="32"/>
        </w:rPr>
        <w:t>Module:</w:t>
      </w:r>
      <w:r w:rsidR="00AF30E9" w:rsidRPr="00974158">
        <w:rPr>
          <w:rFonts w:ascii="Arial" w:hAnsi="Arial" w:cs="Arial"/>
          <w:b/>
          <w:bCs/>
          <w:sz w:val="32"/>
          <w:szCs w:val="32"/>
        </w:rPr>
        <w:t xml:space="preserve"> Introduction to Health and Social Care</w:t>
      </w:r>
    </w:p>
    <w:p w14:paraId="2290A036" w14:textId="764D60BF" w:rsidR="00AF30E9" w:rsidRPr="00974158" w:rsidRDefault="00AF30E9" w:rsidP="00460453">
      <w:pPr>
        <w:rPr>
          <w:rFonts w:ascii="Arial" w:hAnsi="Arial" w:cs="Arial"/>
          <w:b/>
          <w:bCs/>
          <w:sz w:val="32"/>
          <w:szCs w:val="32"/>
        </w:rPr>
      </w:pPr>
      <w:r w:rsidRPr="00974158">
        <w:rPr>
          <w:rFonts w:ascii="Arial" w:hAnsi="Arial" w:cs="Arial"/>
          <w:b/>
          <w:bCs/>
          <w:sz w:val="32"/>
          <w:szCs w:val="32"/>
        </w:rPr>
        <w:t xml:space="preserve">Module Code: </w:t>
      </w:r>
      <w:r w:rsidR="003C25A5" w:rsidRPr="00974158">
        <w:rPr>
          <w:rFonts w:ascii="Arial" w:hAnsi="Arial" w:cs="Arial"/>
          <w:b/>
          <w:bCs/>
          <w:sz w:val="32"/>
          <w:szCs w:val="32"/>
        </w:rPr>
        <w:t>LCHS4003</w:t>
      </w:r>
    </w:p>
    <w:p w14:paraId="75FEFE22" w14:textId="0EF8B0D5" w:rsidR="003C25A5" w:rsidRPr="00974158" w:rsidRDefault="003C25A5" w:rsidP="00460453">
      <w:pPr>
        <w:rPr>
          <w:rFonts w:ascii="Arial" w:hAnsi="Arial" w:cs="Arial"/>
          <w:b/>
          <w:bCs/>
          <w:sz w:val="32"/>
          <w:szCs w:val="32"/>
        </w:rPr>
      </w:pPr>
      <w:r w:rsidRPr="00974158">
        <w:rPr>
          <w:rFonts w:ascii="Arial" w:hAnsi="Arial" w:cs="Arial"/>
          <w:b/>
          <w:bCs/>
          <w:sz w:val="32"/>
          <w:szCs w:val="32"/>
        </w:rPr>
        <w:t xml:space="preserve">Lecturer: Jane </w:t>
      </w:r>
      <w:proofErr w:type="spellStart"/>
      <w:r w:rsidRPr="00974158">
        <w:rPr>
          <w:rFonts w:ascii="Arial" w:hAnsi="Arial" w:cs="Arial"/>
          <w:b/>
          <w:bCs/>
          <w:sz w:val="32"/>
          <w:szCs w:val="32"/>
        </w:rPr>
        <w:t>Ngarari</w:t>
      </w:r>
      <w:proofErr w:type="spellEnd"/>
    </w:p>
    <w:p w14:paraId="447F3F70" w14:textId="77777777" w:rsidR="003C25A5" w:rsidRPr="00460453" w:rsidRDefault="003C25A5" w:rsidP="00460453"/>
    <w:p w14:paraId="799D65EC" w14:textId="77777777" w:rsidR="00B93628" w:rsidRDefault="00B93628" w:rsidP="00CE62FB">
      <w:pPr>
        <w:pStyle w:val="Heading1"/>
        <w:spacing w:line="360" w:lineRule="auto"/>
        <w:rPr>
          <w:rFonts w:ascii="Arial" w:eastAsia="Times New Roman" w:hAnsi="Arial" w:cs="Arial"/>
          <w:color w:val="auto"/>
          <w:sz w:val="22"/>
          <w:szCs w:val="22"/>
        </w:rPr>
      </w:pPr>
    </w:p>
    <w:p w14:paraId="365F4BCC" w14:textId="77777777" w:rsidR="00B93628" w:rsidRDefault="00B93628" w:rsidP="00CE62FB">
      <w:pPr>
        <w:pStyle w:val="Heading1"/>
        <w:spacing w:line="360" w:lineRule="auto"/>
        <w:rPr>
          <w:rFonts w:ascii="Arial" w:eastAsia="Times New Roman" w:hAnsi="Arial" w:cs="Arial"/>
          <w:color w:val="auto"/>
          <w:sz w:val="22"/>
          <w:szCs w:val="22"/>
        </w:rPr>
      </w:pPr>
    </w:p>
    <w:p w14:paraId="67D9CE30" w14:textId="77777777" w:rsidR="00B93628" w:rsidRDefault="00B93628" w:rsidP="00CE62FB">
      <w:pPr>
        <w:pStyle w:val="Heading1"/>
        <w:spacing w:line="360" w:lineRule="auto"/>
        <w:rPr>
          <w:rFonts w:ascii="Arial" w:eastAsia="Times New Roman" w:hAnsi="Arial" w:cs="Arial"/>
          <w:color w:val="auto"/>
          <w:sz w:val="22"/>
          <w:szCs w:val="22"/>
        </w:rPr>
      </w:pPr>
    </w:p>
    <w:p w14:paraId="746D9A2D" w14:textId="77777777" w:rsidR="00B93628" w:rsidRDefault="00B93628" w:rsidP="00CE62FB">
      <w:pPr>
        <w:pStyle w:val="Heading1"/>
        <w:spacing w:line="360" w:lineRule="auto"/>
        <w:rPr>
          <w:rFonts w:ascii="Arial" w:eastAsia="Times New Roman" w:hAnsi="Arial" w:cs="Arial"/>
          <w:color w:val="auto"/>
          <w:sz w:val="22"/>
          <w:szCs w:val="22"/>
        </w:rPr>
      </w:pPr>
    </w:p>
    <w:p w14:paraId="18537937" w14:textId="77777777" w:rsidR="00B93628" w:rsidRDefault="00B93628" w:rsidP="00CE62FB">
      <w:pPr>
        <w:pStyle w:val="Heading1"/>
        <w:spacing w:line="360" w:lineRule="auto"/>
        <w:rPr>
          <w:rFonts w:ascii="Arial" w:eastAsia="Times New Roman" w:hAnsi="Arial" w:cs="Arial"/>
          <w:color w:val="auto"/>
          <w:sz w:val="22"/>
          <w:szCs w:val="22"/>
        </w:rPr>
      </w:pPr>
    </w:p>
    <w:p w14:paraId="12165D5F" w14:textId="77777777" w:rsidR="00B93628" w:rsidRDefault="00B93628" w:rsidP="00CE62FB">
      <w:pPr>
        <w:pStyle w:val="Heading1"/>
        <w:spacing w:line="360" w:lineRule="auto"/>
        <w:rPr>
          <w:rFonts w:ascii="Arial" w:eastAsia="Times New Roman" w:hAnsi="Arial" w:cs="Arial"/>
          <w:color w:val="auto"/>
          <w:sz w:val="22"/>
          <w:szCs w:val="22"/>
        </w:rPr>
      </w:pPr>
    </w:p>
    <w:p w14:paraId="0F28D701" w14:textId="77777777" w:rsidR="00B93628" w:rsidRDefault="00B93628" w:rsidP="00CE62FB">
      <w:pPr>
        <w:pStyle w:val="Heading1"/>
        <w:spacing w:line="360" w:lineRule="auto"/>
        <w:rPr>
          <w:rFonts w:ascii="Arial" w:eastAsia="Times New Roman" w:hAnsi="Arial" w:cs="Arial"/>
          <w:color w:val="auto"/>
          <w:sz w:val="22"/>
          <w:szCs w:val="22"/>
        </w:rPr>
      </w:pPr>
    </w:p>
    <w:p w14:paraId="4F499D39" w14:textId="77777777" w:rsidR="00B93628" w:rsidRDefault="00B93628" w:rsidP="00CE62FB">
      <w:pPr>
        <w:pStyle w:val="Heading1"/>
        <w:spacing w:line="360" w:lineRule="auto"/>
        <w:rPr>
          <w:rFonts w:ascii="Arial" w:eastAsia="Times New Roman" w:hAnsi="Arial" w:cs="Arial"/>
          <w:color w:val="auto"/>
          <w:sz w:val="22"/>
          <w:szCs w:val="22"/>
        </w:rPr>
      </w:pPr>
    </w:p>
    <w:p w14:paraId="5CD315C1" w14:textId="77777777" w:rsidR="00B93628" w:rsidRDefault="00B93628" w:rsidP="00CE62FB">
      <w:pPr>
        <w:pStyle w:val="Heading1"/>
        <w:spacing w:line="360" w:lineRule="auto"/>
        <w:rPr>
          <w:rFonts w:ascii="Arial" w:eastAsia="Times New Roman" w:hAnsi="Arial" w:cs="Arial"/>
          <w:color w:val="auto"/>
          <w:sz w:val="22"/>
          <w:szCs w:val="22"/>
        </w:rPr>
      </w:pPr>
    </w:p>
    <w:p w14:paraId="3C1F6244" w14:textId="77777777" w:rsidR="00974158" w:rsidRDefault="00974158" w:rsidP="00CE62FB">
      <w:pPr>
        <w:pStyle w:val="Heading1"/>
        <w:spacing w:line="360" w:lineRule="auto"/>
        <w:rPr>
          <w:rFonts w:ascii="Arial" w:eastAsia="Times New Roman" w:hAnsi="Arial" w:cs="Arial"/>
          <w:color w:val="auto"/>
          <w:sz w:val="22"/>
          <w:szCs w:val="22"/>
        </w:rPr>
      </w:pPr>
    </w:p>
    <w:p w14:paraId="601FDA9B" w14:textId="77777777" w:rsidR="00787161" w:rsidRDefault="00787161" w:rsidP="00787161"/>
    <w:p w14:paraId="7841AD22" w14:textId="77777777" w:rsidR="00787161" w:rsidRPr="00787161" w:rsidRDefault="00787161" w:rsidP="00787161"/>
    <w:p w14:paraId="4752D981" w14:textId="78BE6B18" w:rsidR="002D4514" w:rsidRPr="00CE62FB" w:rsidRDefault="002D4514" w:rsidP="00CE62FB">
      <w:pPr>
        <w:pStyle w:val="Heading1"/>
        <w:spacing w:line="360" w:lineRule="auto"/>
        <w:rPr>
          <w:rFonts w:ascii="Arial" w:eastAsia="Times New Roman" w:hAnsi="Arial" w:cs="Arial"/>
          <w:color w:val="auto"/>
          <w:sz w:val="22"/>
          <w:szCs w:val="22"/>
        </w:rPr>
      </w:pPr>
      <w:r w:rsidRPr="00CE62FB">
        <w:rPr>
          <w:rFonts w:ascii="Arial" w:eastAsia="Times New Roman" w:hAnsi="Arial" w:cs="Arial"/>
          <w:color w:val="auto"/>
          <w:sz w:val="22"/>
          <w:szCs w:val="22"/>
        </w:rPr>
        <w:t>Mini-Report: Addressing the Shortage of Community Mental Health Services in Birmingham</w:t>
      </w:r>
    </w:p>
    <w:p w14:paraId="506F0FC4" w14:textId="35A147CF" w:rsidR="002D4514" w:rsidRPr="00CE62FB" w:rsidRDefault="002D4514" w:rsidP="00CE62FB">
      <w:pPr>
        <w:pStyle w:val="NormalWeb"/>
        <w:spacing w:line="360" w:lineRule="auto"/>
        <w:rPr>
          <w:rFonts w:ascii="Arial" w:hAnsi="Arial" w:cs="Arial"/>
          <w:sz w:val="22"/>
          <w:szCs w:val="22"/>
        </w:rPr>
      </w:pPr>
      <w:r w:rsidRPr="00CE62FB">
        <w:rPr>
          <w:rStyle w:val="Strong"/>
          <w:rFonts w:ascii="Arial" w:hAnsi="Arial" w:cs="Arial"/>
          <w:b w:val="0"/>
          <w:bCs w:val="0"/>
          <w:sz w:val="22"/>
          <w:szCs w:val="22"/>
        </w:rPr>
        <w:t>To:</w:t>
      </w:r>
      <w:r w:rsidRPr="00CE62FB">
        <w:rPr>
          <w:rFonts w:ascii="Arial" w:hAnsi="Arial" w:cs="Arial"/>
          <w:sz w:val="22"/>
          <w:szCs w:val="22"/>
        </w:rPr>
        <w:t xml:space="preserve"> Councillor Mariam Khan, Cabinet Member for Health and Social Care, Birmingham City Council</w:t>
      </w:r>
      <w:r w:rsidRPr="00CE62FB">
        <w:rPr>
          <w:rFonts w:ascii="Arial" w:hAnsi="Arial" w:cs="Arial"/>
          <w:sz w:val="22"/>
          <w:szCs w:val="22"/>
        </w:rPr>
        <w:br/>
      </w:r>
      <w:r w:rsidRPr="00CE62FB">
        <w:rPr>
          <w:rStyle w:val="Strong"/>
          <w:rFonts w:ascii="Arial" w:hAnsi="Arial" w:cs="Arial"/>
          <w:b w:val="0"/>
          <w:bCs w:val="0"/>
          <w:sz w:val="22"/>
          <w:szCs w:val="22"/>
        </w:rPr>
        <w:t>From:</w:t>
      </w:r>
      <w:r w:rsidRPr="00CE62FB">
        <w:rPr>
          <w:rFonts w:ascii="Arial" w:hAnsi="Arial" w:cs="Arial"/>
          <w:sz w:val="22"/>
          <w:szCs w:val="22"/>
        </w:rPr>
        <w:t xml:space="preserve"> </w:t>
      </w:r>
      <w:r w:rsidR="00A16971" w:rsidRPr="00CE62FB">
        <w:rPr>
          <w:rFonts w:ascii="Arial" w:hAnsi="Arial" w:cs="Arial"/>
          <w:sz w:val="22"/>
          <w:szCs w:val="22"/>
        </w:rPr>
        <w:t>Adnaan Ali</w:t>
      </w:r>
      <w:r w:rsidRPr="00CE62FB">
        <w:rPr>
          <w:rFonts w:ascii="Arial" w:hAnsi="Arial" w:cs="Arial"/>
          <w:sz w:val="22"/>
          <w:szCs w:val="22"/>
        </w:rPr>
        <w:br/>
      </w:r>
      <w:r w:rsidRPr="00CE62FB">
        <w:rPr>
          <w:rStyle w:val="Strong"/>
          <w:rFonts w:ascii="Arial" w:hAnsi="Arial" w:cs="Arial"/>
          <w:b w:val="0"/>
          <w:bCs w:val="0"/>
          <w:sz w:val="22"/>
          <w:szCs w:val="22"/>
        </w:rPr>
        <w:t>Date:</w:t>
      </w:r>
      <w:r w:rsidRPr="00CE62FB">
        <w:rPr>
          <w:rFonts w:ascii="Arial" w:hAnsi="Arial" w:cs="Arial"/>
          <w:sz w:val="22"/>
          <w:szCs w:val="22"/>
        </w:rPr>
        <w:t xml:space="preserve"> </w:t>
      </w:r>
      <w:r w:rsidR="00AA7386">
        <w:rPr>
          <w:rFonts w:ascii="Arial" w:hAnsi="Arial" w:cs="Arial"/>
          <w:sz w:val="22"/>
          <w:szCs w:val="22"/>
        </w:rPr>
        <w:t>5</w:t>
      </w:r>
      <w:r w:rsidR="00AA7386" w:rsidRPr="00AA7386">
        <w:rPr>
          <w:rFonts w:ascii="Arial" w:hAnsi="Arial" w:cs="Arial"/>
          <w:sz w:val="22"/>
          <w:szCs w:val="22"/>
          <w:vertAlign w:val="superscript"/>
        </w:rPr>
        <w:t>th</w:t>
      </w:r>
      <w:r w:rsidR="00AA7386">
        <w:rPr>
          <w:rFonts w:ascii="Arial" w:hAnsi="Arial" w:cs="Arial"/>
          <w:sz w:val="22"/>
          <w:szCs w:val="22"/>
        </w:rPr>
        <w:t xml:space="preserve"> October </w:t>
      </w:r>
      <w:r w:rsidRPr="00CE62FB">
        <w:rPr>
          <w:rFonts w:ascii="Arial" w:hAnsi="Arial" w:cs="Arial"/>
          <w:sz w:val="22"/>
          <w:szCs w:val="22"/>
        </w:rPr>
        <w:t>2026</w:t>
      </w:r>
      <w:r w:rsidRPr="00CE62FB">
        <w:rPr>
          <w:rFonts w:ascii="Arial" w:hAnsi="Arial" w:cs="Arial"/>
          <w:sz w:val="22"/>
          <w:szCs w:val="22"/>
        </w:rPr>
        <w:br/>
      </w:r>
      <w:r w:rsidRPr="00CE62FB">
        <w:rPr>
          <w:rStyle w:val="Strong"/>
          <w:rFonts w:ascii="Arial" w:hAnsi="Arial" w:cs="Arial"/>
          <w:b w:val="0"/>
          <w:bCs w:val="0"/>
          <w:sz w:val="22"/>
          <w:szCs w:val="22"/>
        </w:rPr>
        <w:t>Subject:</w:t>
      </w:r>
      <w:r w:rsidRPr="00CE62FB">
        <w:rPr>
          <w:rFonts w:ascii="Arial" w:hAnsi="Arial" w:cs="Arial"/>
          <w:sz w:val="22"/>
          <w:szCs w:val="22"/>
        </w:rPr>
        <w:t xml:space="preserve"> Proposal to address the shortage of Community Mental Health Services in Birmingham</w:t>
      </w:r>
    </w:p>
    <w:p w14:paraId="4FBCAD3E" w14:textId="77777777" w:rsidR="002D4514" w:rsidRPr="00CE62FB" w:rsidRDefault="002D4514" w:rsidP="00CE62FB">
      <w:pPr>
        <w:pStyle w:val="Heading2"/>
        <w:spacing w:line="360" w:lineRule="auto"/>
        <w:rPr>
          <w:rFonts w:ascii="Arial" w:eastAsia="Times New Roman" w:hAnsi="Arial" w:cs="Arial"/>
          <w:color w:val="auto"/>
          <w:sz w:val="22"/>
          <w:szCs w:val="22"/>
        </w:rPr>
      </w:pPr>
      <w:r w:rsidRPr="00CE62FB">
        <w:rPr>
          <w:rFonts w:ascii="Arial" w:eastAsia="Times New Roman" w:hAnsi="Arial" w:cs="Arial"/>
          <w:color w:val="auto"/>
          <w:sz w:val="22"/>
          <w:szCs w:val="22"/>
        </w:rPr>
        <w:t>Introduction</w:t>
      </w:r>
    </w:p>
    <w:p w14:paraId="144EF19A"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 xml:space="preserve">This report considers the shortage of accessible Community Mental Health Services (CMHS) in Birmingham and proposes a community-based response to improve access, prevention and early intervention. Mental health is an important social care issue because difficulties with mental health can affect an individual’s independence, relationships, employment, housing and overall wellbeing. Birmingham City Council’s Joint Strategic Needs Assessment (JSNA) identifies mental health as an important area within its assessment of the needs of working-age adults (Birmingham City Council, 2026a). The Council has also developed its </w:t>
      </w:r>
      <w:r w:rsidRPr="00CE62FB">
        <w:rPr>
          <w:rStyle w:val="Emphasis"/>
          <w:rFonts w:ascii="Arial" w:hAnsi="Arial" w:cs="Arial"/>
          <w:sz w:val="22"/>
          <w:szCs w:val="22"/>
        </w:rPr>
        <w:t>Creating a Mentally Healthy City Strategy 2025–2035</w:t>
      </w:r>
      <w:r w:rsidRPr="00CE62FB">
        <w:rPr>
          <w:rFonts w:ascii="Arial" w:hAnsi="Arial" w:cs="Arial"/>
          <w:sz w:val="22"/>
          <w:szCs w:val="22"/>
        </w:rPr>
        <w:t>, demonstrating the importance placed on improving mental health and reducing inequalities across the city (Birmingham City Council, 2025).</w:t>
      </w:r>
    </w:p>
    <w:p w14:paraId="33975EC3"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The need for accessible community provision is demonstrated by the development of Birmingham’s first Neighbourhood Mental Health Centre in east Birmingham. Since its launch in January 2025, the service had received 550 new referrals by May 2026, indicating substantial demand for community-based mental health support (Birmingham and Solihull Mental Health NHS Foundation Trust, 2026).</w:t>
      </w:r>
    </w:p>
    <w:p w14:paraId="511B330F" w14:textId="77777777" w:rsidR="002D4514" w:rsidRPr="00CE62FB" w:rsidRDefault="002D4514" w:rsidP="00CE62FB">
      <w:pPr>
        <w:pStyle w:val="Heading2"/>
        <w:spacing w:line="360" w:lineRule="auto"/>
        <w:rPr>
          <w:rFonts w:ascii="Arial" w:eastAsia="Times New Roman" w:hAnsi="Arial" w:cs="Arial"/>
          <w:color w:val="auto"/>
          <w:sz w:val="22"/>
          <w:szCs w:val="22"/>
        </w:rPr>
      </w:pPr>
      <w:r w:rsidRPr="00CE62FB">
        <w:rPr>
          <w:rFonts w:ascii="Arial" w:eastAsia="Times New Roman" w:hAnsi="Arial" w:cs="Arial"/>
          <w:color w:val="auto"/>
          <w:sz w:val="22"/>
          <w:szCs w:val="22"/>
        </w:rPr>
        <w:t>Impact of the Issue on the Community</w:t>
      </w:r>
    </w:p>
    <w:p w14:paraId="1B82A696"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A shortage of community mental health provision can result in people experiencing difficulties accessing appropriate support at an early stage. Without timely intervention, some individuals may experience deterioration in their mental health, greater social isolation, difficulties maintaining employment or education, housing problems and increased pressure on families and carers. This can also place additional demand on crisis and acute mental health services.</w:t>
      </w:r>
    </w:p>
    <w:p w14:paraId="7E3D7DB0"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The Care Act 2014 establishes important responsibilities for local authorities in relation to wellbeing and prevention. Section 1 requires a local authority to promote an individual's wellbeing when exercising its care and support functions. Wellbeing includes mental and physical health, emotional wellbeing, participation in work and education, social and economic wellbeing, family relationships and control over day-to-day life (Care Act 2014, s.1). Therefore, improving community access to mental health support is consistent with the wider wellbeing responsibilities of Birmingham City Council.</w:t>
      </w:r>
    </w:p>
    <w:p w14:paraId="180BC7CB"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Section 2 of the Care Act places a duty on local authorities to take steps to prevent, reduce or delay the development of needs for care and support. The statutory guidance emphasises that prevention should apply to all adults and that local authorities should identify unmet need and work with NHS and voluntary-sector partners (Department of Health and Social Care, 2025). Consequently, Birmingham should not rely solely on crisis intervention but should strengthen preventative community services.</w:t>
      </w:r>
    </w:p>
    <w:p w14:paraId="16FC7E28" w14:textId="77777777" w:rsidR="002D4514" w:rsidRPr="00CE62FB" w:rsidRDefault="002D4514" w:rsidP="00CE62FB">
      <w:pPr>
        <w:pStyle w:val="Heading2"/>
        <w:spacing w:line="360" w:lineRule="auto"/>
        <w:rPr>
          <w:rFonts w:ascii="Arial" w:eastAsia="Times New Roman" w:hAnsi="Arial" w:cs="Arial"/>
          <w:color w:val="auto"/>
          <w:sz w:val="22"/>
          <w:szCs w:val="22"/>
        </w:rPr>
      </w:pPr>
      <w:r w:rsidRPr="00CE62FB">
        <w:rPr>
          <w:rFonts w:ascii="Arial" w:eastAsia="Times New Roman" w:hAnsi="Arial" w:cs="Arial"/>
          <w:color w:val="auto"/>
          <w:sz w:val="22"/>
          <w:szCs w:val="22"/>
        </w:rPr>
        <w:t>Recommended Response</w:t>
      </w:r>
    </w:p>
    <w:p w14:paraId="6F807BFA"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 xml:space="preserve">I recommend that Birmingham City Council develop an expanded </w:t>
      </w:r>
      <w:r w:rsidRPr="00CE62FB">
        <w:rPr>
          <w:rStyle w:val="Strong"/>
          <w:rFonts w:ascii="Arial" w:hAnsi="Arial" w:cs="Arial"/>
          <w:b w:val="0"/>
          <w:bCs w:val="0"/>
          <w:sz w:val="22"/>
          <w:szCs w:val="22"/>
        </w:rPr>
        <w:t>Neighbourhood Community Mental Health Support Programme</w:t>
      </w:r>
      <w:r w:rsidRPr="00CE62FB">
        <w:rPr>
          <w:rFonts w:ascii="Arial" w:hAnsi="Arial" w:cs="Arial"/>
          <w:sz w:val="22"/>
          <w:szCs w:val="22"/>
        </w:rPr>
        <w:t>, delivered jointly with Birmingham and Solihull Mental Health NHS Foundation Trust (BSMHFT), primary care and voluntary, community, faith and social enterprise organisations.</w:t>
      </w:r>
    </w:p>
    <w:p w14:paraId="2F210F8C"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First, additional community-based mental health hubs should be developed in areas where evidence demonstrates significant unmet need. These hubs could provide assessment, recovery support, peer support, social prescribing, wellbeing activities and practical assistance relating to housing, benefits and employment. The existing Golden Hillock Neighbourhood Mental Health Centre provides a useful model because it combines NHS and community-sector provision and offers culturally responsive and practical support (Birmingham and Solihull Mental Health NHS Foundation Trust, 2026).</w:t>
      </w:r>
    </w:p>
    <w:p w14:paraId="225E2CBA"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 xml:space="preserve">Second, Birmingham should strengthen </w:t>
      </w:r>
      <w:r w:rsidRPr="00CE62FB">
        <w:rPr>
          <w:rStyle w:val="Strong"/>
          <w:rFonts w:ascii="Arial" w:hAnsi="Arial" w:cs="Arial"/>
          <w:b w:val="0"/>
          <w:bCs w:val="0"/>
          <w:sz w:val="22"/>
          <w:szCs w:val="22"/>
        </w:rPr>
        <w:t>early intervention and prevention</w:t>
      </w:r>
      <w:r w:rsidRPr="00CE62FB">
        <w:rPr>
          <w:rFonts w:ascii="Arial" w:hAnsi="Arial" w:cs="Arial"/>
          <w:sz w:val="22"/>
          <w:szCs w:val="22"/>
        </w:rPr>
        <w:t>. Community organisations, GPs, housing services and social care professionals should have clear referral pathways so that residents can access support before their needs escalate. This would reflect the Care Act's prevention duty and statutory guidance, which recommends identifying people who may benefit from preventative support and working with local partners (Department of Health and Social Care, 2025).</w:t>
      </w:r>
    </w:p>
    <w:p w14:paraId="11E69E42"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Third, the programme should be co-produced with residents, people who use mental health services and carers. Birmingham's mental health strategy reports that more than 1,200 citizens and stakeholders contributed to its development, demonstrating the value of involving local communities in designing mental health provision (Birmingham City Council, 2025).</w:t>
      </w:r>
    </w:p>
    <w:p w14:paraId="575216C7" w14:textId="77777777" w:rsidR="002D4514" w:rsidRPr="00CE62FB" w:rsidRDefault="002D4514" w:rsidP="00CE62FB">
      <w:pPr>
        <w:pStyle w:val="NormalWeb"/>
        <w:spacing w:line="360" w:lineRule="auto"/>
        <w:rPr>
          <w:rFonts w:ascii="Arial" w:hAnsi="Arial" w:cs="Arial"/>
          <w:sz w:val="22"/>
          <w:szCs w:val="22"/>
        </w:rPr>
      </w:pPr>
      <w:r w:rsidRPr="00CE62FB">
        <w:rPr>
          <w:rFonts w:ascii="Arial" w:hAnsi="Arial" w:cs="Arial"/>
          <w:sz w:val="22"/>
          <w:szCs w:val="22"/>
        </w:rPr>
        <w:t>Finally, Birmingham should monitor waiting times, referral numbers, service-user satisfaction, hospital admissions, repeat crisis presentations and inequalities in access. This would allow the Council and its partners to identify whether additional investment is reducing unmet need and improving wellbeing.</w:t>
      </w:r>
    </w:p>
    <w:p w14:paraId="0340B11B" w14:textId="77777777" w:rsidR="002D4514" w:rsidRPr="00CE62FB" w:rsidRDefault="002D4514" w:rsidP="00CE62FB">
      <w:pPr>
        <w:pStyle w:val="Heading2"/>
        <w:spacing w:line="360" w:lineRule="auto"/>
        <w:rPr>
          <w:rFonts w:ascii="Arial" w:eastAsia="Times New Roman" w:hAnsi="Arial" w:cs="Arial"/>
          <w:color w:val="auto"/>
          <w:sz w:val="22"/>
          <w:szCs w:val="22"/>
        </w:rPr>
      </w:pPr>
      <w:r w:rsidRPr="00CE62FB">
        <w:rPr>
          <w:rFonts w:ascii="Arial" w:eastAsia="Times New Roman" w:hAnsi="Arial" w:cs="Arial"/>
          <w:color w:val="auto"/>
          <w:sz w:val="22"/>
          <w:szCs w:val="22"/>
        </w:rPr>
        <w:t>Conclusion</w:t>
      </w:r>
    </w:p>
    <w:p w14:paraId="63D6FFFF" w14:textId="77777777" w:rsidR="002D4514" w:rsidRDefault="002D4514" w:rsidP="00CE62FB">
      <w:pPr>
        <w:pStyle w:val="NormalWeb"/>
        <w:spacing w:line="360" w:lineRule="auto"/>
        <w:rPr>
          <w:rFonts w:ascii="Arial" w:hAnsi="Arial" w:cs="Arial"/>
          <w:sz w:val="22"/>
          <w:szCs w:val="22"/>
        </w:rPr>
      </w:pPr>
      <w:r w:rsidRPr="00CE62FB">
        <w:rPr>
          <w:rFonts w:ascii="Arial" w:hAnsi="Arial" w:cs="Arial"/>
          <w:sz w:val="22"/>
          <w:szCs w:val="22"/>
        </w:rPr>
        <w:t>The shortage of accessible community mental health support presents a significant challenge for Birmingham residents, particularly where difficulties are not identified or addressed early. The Care Act 2014 provides a clear legal framework requiring local authorities to promote wellbeing, prevent or delay care and support needs, and work collaboratively with health partners. Birmingham should therefore expand neighbourhood-based mental health provision through a partnership between the Council, NHS and voluntary and community organisations. Increasing accessible preventative services, strengthening referral pathways and involving residents in service design would support independence and wellbeing while helping to reduce the escalation of mental health needs.</w:t>
      </w:r>
    </w:p>
    <w:p w14:paraId="3704B80B" w14:textId="1164C9A6" w:rsidR="007C4D62" w:rsidRDefault="00A01227" w:rsidP="00CE62FB">
      <w:pPr>
        <w:pStyle w:val="NormalWeb"/>
        <w:spacing w:line="360" w:lineRule="auto"/>
        <w:rPr>
          <w:rFonts w:ascii="Arial" w:hAnsi="Arial" w:cs="Arial"/>
          <w:sz w:val="22"/>
          <w:szCs w:val="22"/>
        </w:rPr>
      </w:pPr>
      <w:r>
        <w:rPr>
          <w:rFonts w:ascii="Arial" w:hAnsi="Arial" w:cs="Arial"/>
          <w:sz w:val="22"/>
          <w:szCs w:val="22"/>
        </w:rPr>
        <w:t>Task 2</w:t>
      </w:r>
    </w:p>
    <w:p w14:paraId="5944843D" w14:textId="77777777" w:rsidR="00723182" w:rsidRPr="007A1B49" w:rsidRDefault="00723182" w:rsidP="007A1B49">
      <w:pPr>
        <w:shd w:val="clear" w:color="auto" w:fill="FCFCFC"/>
        <w:spacing w:after="100" w:afterAutospacing="1" w:line="360" w:lineRule="auto"/>
        <w:outlineLvl w:val="0"/>
        <w:rPr>
          <w:rFonts w:ascii="Arial" w:eastAsia="Times New Roman" w:hAnsi="Arial" w:cs="Arial"/>
          <w:b/>
          <w:bCs/>
          <w:kern w:val="36"/>
          <w:sz w:val="22"/>
          <w:szCs w:val="22"/>
          <w:lang w:eastAsia="en-GB"/>
          <w14:ligatures w14:val="none"/>
        </w:rPr>
      </w:pPr>
      <w:r w:rsidRPr="007A1B49">
        <w:rPr>
          <w:rFonts w:ascii="Arial" w:eastAsia="Times New Roman" w:hAnsi="Arial" w:cs="Arial"/>
          <w:b/>
          <w:bCs/>
          <w:kern w:val="36"/>
          <w:sz w:val="22"/>
          <w:szCs w:val="22"/>
          <w:lang w:eastAsia="en-GB"/>
          <w14:ligatures w14:val="none"/>
        </w:rPr>
        <w:t>Community Antenatal Midwifery Services</w:t>
      </w:r>
    </w:p>
    <w:p w14:paraId="34920029" w14:textId="77777777" w:rsidR="00723182" w:rsidRPr="007A1B49" w:rsidRDefault="00723182" w:rsidP="007A1B49">
      <w:pPr>
        <w:shd w:val="clear" w:color="auto" w:fill="FCFCFC"/>
        <w:spacing w:before="100" w:beforeAutospacing="1" w:after="100" w:afterAutospacing="1" w:line="360" w:lineRule="auto"/>
        <w:rPr>
          <w:rFonts w:ascii="Arial" w:eastAsia="Times New Roman" w:hAnsi="Arial" w:cs="Arial"/>
          <w:kern w:val="0"/>
          <w:sz w:val="22"/>
          <w:szCs w:val="22"/>
          <w:lang w:eastAsia="en-GB"/>
          <w14:ligatures w14:val="none"/>
        </w:rPr>
      </w:pPr>
      <w:r w:rsidRPr="007A1B49">
        <w:rPr>
          <w:rFonts w:ascii="Arial" w:eastAsia="Times New Roman" w:hAnsi="Arial" w:cs="Arial"/>
          <w:kern w:val="0"/>
          <w:sz w:val="22"/>
          <w:szCs w:val="22"/>
          <w:lang w:eastAsia="en-GB"/>
          <w14:ligatures w14:val="none"/>
        </w:rPr>
        <w:t>Community antenatal midwifery services are an important part of maternity care in England. They provide pregnant women with assessment, health education, screening, emotional support and preparation for birth, usually through community clinics, GP practices, health centres or other local settings. The service aims to promote the health and wellbeing of both mother and baby while identifying potential complications at an early stage. This essay explores the origins and historical development of community antenatal midwifery, critically evaluates how the service functions today, and considers its significance in improving the quality of life of service users.</w:t>
      </w:r>
    </w:p>
    <w:p w14:paraId="601D033A" w14:textId="4348A6D3" w:rsidR="00723182" w:rsidRPr="007A1B49" w:rsidRDefault="00723182" w:rsidP="007A1B49">
      <w:pPr>
        <w:shd w:val="clear" w:color="auto" w:fill="FCFCFC"/>
        <w:spacing w:beforeAutospacing="1" w:after="0" w:afterAutospacing="1" w:line="360" w:lineRule="auto"/>
        <w:rPr>
          <w:rFonts w:ascii="Arial" w:eastAsia="Times New Roman" w:hAnsi="Arial" w:cs="Arial"/>
          <w:kern w:val="0"/>
          <w:sz w:val="22"/>
          <w:szCs w:val="22"/>
          <w:lang w:eastAsia="en-GB"/>
          <w14:ligatures w14:val="none"/>
        </w:rPr>
      </w:pPr>
      <w:r w:rsidRPr="007A1B49">
        <w:rPr>
          <w:rFonts w:ascii="Arial" w:eastAsia="Times New Roman" w:hAnsi="Arial" w:cs="Arial"/>
          <w:kern w:val="0"/>
          <w:sz w:val="22"/>
          <w:szCs w:val="22"/>
          <w:lang w:eastAsia="en-GB"/>
          <w14:ligatures w14:val="none"/>
        </w:rPr>
        <w:t xml:space="preserve">The origins of community midwifery can be traced to the development and professionalisation of midwifery during the early twentieth century. The Midwives Act 1902 established legal regulation of midwifery in England and Wales, requiring midwives to be trained and registered. During the first half of the twentieth century, district midwives worked within local communities, with midwives increasingly involved in providing organised maternal care and public health advice (AIMS, 2022). The Midwives Acts of 1902, 1918 and 1936 contributed to the development of a more regulated maternity workforce, while antenatal and postnatal care became increasingly routine during the 1930s (Dunn, 2008). </w:t>
      </w:r>
    </w:p>
    <w:p w14:paraId="5411BC35" w14:textId="65F3F7F5" w:rsidR="00723182" w:rsidRPr="007A1B49" w:rsidRDefault="00723182" w:rsidP="007A1B49">
      <w:pPr>
        <w:shd w:val="clear" w:color="auto" w:fill="FCFCFC"/>
        <w:spacing w:beforeAutospacing="1" w:after="0" w:afterAutospacing="1" w:line="360" w:lineRule="auto"/>
        <w:rPr>
          <w:rFonts w:ascii="Arial" w:eastAsia="Times New Roman" w:hAnsi="Arial" w:cs="Arial"/>
          <w:kern w:val="0"/>
          <w:sz w:val="22"/>
          <w:szCs w:val="22"/>
          <w:lang w:eastAsia="en-GB"/>
          <w14:ligatures w14:val="none"/>
        </w:rPr>
      </w:pPr>
      <w:r w:rsidRPr="007A1B49">
        <w:rPr>
          <w:rFonts w:ascii="Arial" w:eastAsia="Times New Roman" w:hAnsi="Arial" w:cs="Arial"/>
          <w:kern w:val="0"/>
          <w:sz w:val="22"/>
          <w:szCs w:val="22"/>
          <w:lang w:eastAsia="en-GB"/>
          <w14:ligatures w14:val="none"/>
        </w:rPr>
        <w:t>The creation of the National Health Service (NHS) in 1948 was a significant development. Midwifery became part of the NHS, although maternity care initially operated through a combination of local authorities, GPs and hospitals. District midwives continued to provide care within local communities, including antenatal and postnatal services (AIMS, 2022). In 1974, responsibility for district midwives moved from local authorities into the NHS hospital system. Although this created greater organisational integration, it also contributed to a stronger hospital-based approach to maternity care (AIMS, 2022). Consequently, contemporary community midwifery developed within a maternity system increasingly focused on clinical risk, while still retaining the principle of providing care close to where women live.</w:t>
      </w:r>
    </w:p>
    <w:p w14:paraId="476E2BEC" w14:textId="2B181E9B" w:rsidR="00723182" w:rsidRPr="007A1B49" w:rsidRDefault="00723182" w:rsidP="007A1B49">
      <w:pPr>
        <w:shd w:val="clear" w:color="auto" w:fill="FCFCFC"/>
        <w:spacing w:beforeAutospacing="1" w:after="0" w:afterAutospacing="1" w:line="360" w:lineRule="auto"/>
        <w:rPr>
          <w:rFonts w:ascii="Arial" w:eastAsia="Times New Roman" w:hAnsi="Arial" w:cs="Arial"/>
          <w:kern w:val="0"/>
          <w:sz w:val="22"/>
          <w:szCs w:val="22"/>
          <w:lang w:eastAsia="en-GB"/>
          <w14:ligatures w14:val="none"/>
        </w:rPr>
      </w:pPr>
      <w:r w:rsidRPr="007A1B49">
        <w:rPr>
          <w:rFonts w:ascii="Arial" w:eastAsia="Times New Roman" w:hAnsi="Arial" w:cs="Arial"/>
          <w:kern w:val="0"/>
          <w:sz w:val="22"/>
          <w:szCs w:val="22"/>
          <w:lang w:eastAsia="en-GB"/>
          <w14:ligatures w14:val="none"/>
        </w:rPr>
        <w:t>Today, community antenatal midwifery provides a combination of preventative, clinical and supportive care. The National Institute for Health and Care Excellence (NICE) recommends that the first antenatal appointment with a midwife should ideally take place by 10 weeks of pregnancy. Routine appointments involve assessing physical and emotional health, identifying risk factors, providing screening and health information, and monitoring the wellbeing of mother and baby (NICE, 2021). Midwives also assess blood pressure and urine, discuss mental health, provide information about nutrition and lifestyle, and identify concerns such as domestic abuse or safeguarding needs (NHS, 2026).</w:t>
      </w:r>
    </w:p>
    <w:p w14:paraId="6897E170" w14:textId="5CEE6698" w:rsidR="00723182" w:rsidRPr="007A1B49" w:rsidRDefault="00723182" w:rsidP="007A1B49">
      <w:pPr>
        <w:shd w:val="clear" w:color="auto" w:fill="FCFCFC"/>
        <w:spacing w:beforeAutospacing="1" w:after="0" w:afterAutospacing="1" w:line="360" w:lineRule="auto"/>
        <w:rPr>
          <w:rFonts w:ascii="Arial" w:eastAsia="Times New Roman" w:hAnsi="Arial" w:cs="Arial"/>
          <w:kern w:val="0"/>
          <w:sz w:val="22"/>
          <w:szCs w:val="22"/>
          <w:lang w:eastAsia="en-GB"/>
          <w14:ligatures w14:val="none"/>
        </w:rPr>
      </w:pPr>
      <w:r w:rsidRPr="007A1B49">
        <w:rPr>
          <w:rFonts w:ascii="Arial" w:eastAsia="Times New Roman" w:hAnsi="Arial" w:cs="Arial"/>
          <w:kern w:val="0"/>
          <w:sz w:val="22"/>
          <w:szCs w:val="22"/>
          <w:lang w:eastAsia="en-GB"/>
          <w14:ligatures w14:val="none"/>
        </w:rPr>
        <w:t>A key strength of community antenatal midwifery is its emphasis on accessible and personalised care. NICE recommends that antenatal services should provide continuity of carer where possible, allowing trusting relationships to develop between women and healthcare professionals (NICE, 2021). This can enable women to discuss sensitive concerns and participate in decisions about their pregnancy. Community settings may also make maternity care more accessible because appointments can be provided away from hospitals. However, the effectiveness of the service is affected by inequalities in access. NICE reports substantial variation in the proportion of women receiving their booking appointment by 10 weeks, with differences according to ethnicity and between geographical areas (NICE, 2026). Therefore, although community services have the potential to reduce barriers, further action is required to ensure equitable access.</w:t>
      </w:r>
    </w:p>
    <w:p w14:paraId="25B06453" w14:textId="19A752B5" w:rsidR="00723182" w:rsidRPr="007A1B49" w:rsidRDefault="00723182" w:rsidP="007A1B49">
      <w:pPr>
        <w:shd w:val="clear" w:color="auto" w:fill="FCFCFC"/>
        <w:spacing w:beforeAutospacing="1" w:after="0" w:afterAutospacing="1" w:line="360" w:lineRule="auto"/>
        <w:rPr>
          <w:rFonts w:ascii="Arial" w:eastAsia="Times New Roman" w:hAnsi="Arial" w:cs="Arial"/>
          <w:kern w:val="0"/>
          <w:sz w:val="22"/>
          <w:szCs w:val="22"/>
          <w:lang w:eastAsia="en-GB"/>
          <w14:ligatures w14:val="none"/>
        </w:rPr>
      </w:pPr>
      <w:r w:rsidRPr="007A1B49">
        <w:rPr>
          <w:rFonts w:ascii="Arial" w:eastAsia="Times New Roman" w:hAnsi="Arial" w:cs="Arial"/>
          <w:kern w:val="0"/>
          <w:sz w:val="22"/>
          <w:szCs w:val="22"/>
          <w:lang w:eastAsia="en-GB"/>
          <w14:ligatures w14:val="none"/>
        </w:rPr>
        <w:t>Community antenatal midwifery can significantly improve quality of life by supporting physical health, emotional wellbeing and informed decision-making. Early assessment allows potential complications to be identified and referred for specialist care, while regular contact provides opportunities for health promotion and reassurance. NICE recommends additional or longer appointments where women's medical, social or emotional needs require them (NICE, 2021). Furthermore, NHS England's maternity strategy emphasises personalised, safe and equitable care, including listening to women and families and addressing inequalities in maternity outcomes (NHS England, 2023)</w:t>
      </w:r>
    </w:p>
    <w:p w14:paraId="7B05876F" w14:textId="77777777" w:rsidR="00723182" w:rsidRPr="007A1B49" w:rsidRDefault="00723182" w:rsidP="007A1B49">
      <w:pPr>
        <w:shd w:val="clear" w:color="auto" w:fill="FCFCFC"/>
        <w:spacing w:before="100" w:beforeAutospacing="1" w:after="100" w:afterAutospacing="1" w:line="360" w:lineRule="auto"/>
        <w:rPr>
          <w:rFonts w:ascii="Arial" w:eastAsia="Times New Roman" w:hAnsi="Arial" w:cs="Arial"/>
          <w:kern w:val="0"/>
          <w:sz w:val="22"/>
          <w:szCs w:val="22"/>
          <w:lang w:eastAsia="en-GB"/>
          <w14:ligatures w14:val="none"/>
        </w:rPr>
      </w:pPr>
      <w:r w:rsidRPr="007A1B49">
        <w:rPr>
          <w:rFonts w:ascii="Arial" w:eastAsia="Times New Roman" w:hAnsi="Arial" w:cs="Arial"/>
          <w:kern w:val="0"/>
          <w:sz w:val="22"/>
          <w:szCs w:val="22"/>
          <w:lang w:eastAsia="en-GB"/>
          <w14:ligatures w14:val="none"/>
        </w:rPr>
        <w:t>In conclusion, community antenatal midwifery has developed from the regulated district midwifery system of the early twentieth century into an essential component of modern NHS maternity care. Its current role combines clinical assessment with education, prevention, emotional support and personalised care. Although staffing pressures and inequalities in access remain challenges, community antenatal midwifery can enhance quality of life by promoting healthier pregnancies, identifying risks early and empowering women to make informed decisions about their maternity care. Its continued development should therefore focus on accessibility, continuity, adequate staffing and reducing inequalities in outcomes and experiences.</w:t>
      </w:r>
    </w:p>
    <w:p w14:paraId="11A0340D" w14:textId="77777777" w:rsidR="00A01227" w:rsidRPr="00CE62FB" w:rsidRDefault="00A01227" w:rsidP="00CE62FB">
      <w:pPr>
        <w:pStyle w:val="NormalWeb"/>
        <w:spacing w:line="360" w:lineRule="auto"/>
        <w:rPr>
          <w:rFonts w:ascii="Arial" w:hAnsi="Arial" w:cs="Arial"/>
          <w:sz w:val="22"/>
          <w:szCs w:val="22"/>
        </w:rPr>
      </w:pPr>
    </w:p>
    <w:p w14:paraId="351A04A8" w14:textId="77777777" w:rsidR="00974B3D" w:rsidRDefault="00974B3D" w:rsidP="00974B3D">
      <w:pPr>
        <w:pStyle w:val="Heading2"/>
        <w:spacing w:line="360" w:lineRule="auto"/>
        <w:rPr>
          <w:rFonts w:ascii="Arial" w:eastAsia="Times New Roman" w:hAnsi="Arial" w:cs="Arial"/>
          <w:color w:val="auto"/>
          <w:sz w:val="22"/>
          <w:szCs w:val="22"/>
        </w:rPr>
      </w:pPr>
    </w:p>
    <w:p w14:paraId="0046430C" w14:textId="77777777" w:rsidR="00974B3D" w:rsidRDefault="00974B3D" w:rsidP="00974B3D">
      <w:pPr>
        <w:pStyle w:val="Heading2"/>
        <w:spacing w:line="360" w:lineRule="auto"/>
        <w:rPr>
          <w:rFonts w:ascii="Arial" w:eastAsia="Times New Roman" w:hAnsi="Arial" w:cs="Arial"/>
          <w:color w:val="auto"/>
          <w:sz w:val="22"/>
          <w:szCs w:val="22"/>
        </w:rPr>
      </w:pPr>
    </w:p>
    <w:p w14:paraId="5906FCAA" w14:textId="77777777" w:rsidR="00CE62FB" w:rsidRDefault="00CE62FB" w:rsidP="002D4514">
      <w:pPr>
        <w:pStyle w:val="Heading2"/>
        <w:rPr>
          <w:rFonts w:ascii="Arial" w:eastAsia="Times New Roman" w:hAnsi="Arial" w:cs="Arial"/>
          <w:color w:val="auto"/>
          <w:sz w:val="22"/>
          <w:szCs w:val="22"/>
        </w:rPr>
      </w:pPr>
    </w:p>
    <w:p w14:paraId="71228064" w14:textId="77777777" w:rsidR="00B34906" w:rsidRDefault="00B34906" w:rsidP="00B34906"/>
    <w:p w14:paraId="642E2E7C" w14:textId="77777777" w:rsidR="00B34906" w:rsidRPr="00B34906" w:rsidRDefault="00B34906" w:rsidP="00B34906"/>
    <w:p w14:paraId="3D3427DF" w14:textId="77777777" w:rsidR="00CE62FB" w:rsidRDefault="00CE62FB" w:rsidP="002D4514">
      <w:pPr>
        <w:pStyle w:val="Heading2"/>
        <w:rPr>
          <w:rFonts w:eastAsia="Times New Roman"/>
        </w:rPr>
      </w:pPr>
    </w:p>
    <w:p w14:paraId="0144CAB3" w14:textId="77777777" w:rsidR="00CE62FB" w:rsidRDefault="00CE62FB" w:rsidP="002D4514">
      <w:pPr>
        <w:pStyle w:val="Heading2"/>
        <w:rPr>
          <w:rFonts w:eastAsia="Times New Roman"/>
        </w:rPr>
      </w:pPr>
    </w:p>
    <w:p w14:paraId="1DADA363" w14:textId="77777777" w:rsidR="00AE7080" w:rsidRDefault="00AE7080" w:rsidP="009C2B03">
      <w:pPr>
        <w:pStyle w:val="x1yc453h"/>
        <w:shd w:val="clear" w:color="auto" w:fill="FCFCFC"/>
        <w:spacing w:line="360" w:lineRule="auto"/>
        <w:rPr>
          <w:rFonts w:ascii="Arial" w:hAnsi="Arial" w:cs="Arial"/>
          <w:color w:val="0D0D0D"/>
          <w:sz w:val="22"/>
          <w:szCs w:val="22"/>
        </w:rPr>
      </w:pPr>
    </w:p>
    <w:p w14:paraId="5B7F7466" w14:textId="77777777" w:rsidR="00AE7080" w:rsidRDefault="00AE7080" w:rsidP="009C2B03">
      <w:pPr>
        <w:pStyle w:val="x1yc453h"/>
        <w:shd w:val="clear" w:color="auto" w:fill="FCFCFC"/>
        <w:spacing w:line="360" w:lineRule="auto"/>
        <w:rPr>
          <w:rFonts w:ascii="Arial" w:hAnsi="Arial" w:cs="Arial"/>
          <w:color w:val="0D0D0D"/>
          <w:sz w:val="22"/>
          <w:szCs w:val="22"/>
        </w:rPr>
      </w:pPr>
    </w:p>
    <w:p w14:paraId="21BB7C3B" w14:textId="1AFF18B7" w:rsidR="00AE7080" w:rsidRDefault="00B34906" w:rsidP="009C2B03">
      <w:pPr>
        <w:pStyle w:val="x1yc453h"/>
        <w:shd w:val="clear" w:color="auto" w:fill="FCFCFC"/>
        <w:spacing w:line="360" w:lineRule="auto"/>
        <w:rPr>
          <w:rFonts w:ascii="Arial" w:hAnsi="Arial" w:cs="Arial"/>
          <w:color w:val="0D0D0D"/>
          <w:sz w:val="22"/>
          <w:szCs w:val="22"/>
        </w:rPr>
      </w:pPr>
      <w:r>
        <w:rPr>
          <w:rFonts w:ascii="Arial" w:hAnsi="Arial" w:cs="Arial"/>
          <w:color w:val="0D0D0D"/>
          <w:sz w:val="22"/>
          <w:szCs w:val="22"/>
        </w:rPr>
        <w:t>References</w:t>
      </w:r>
    </w:p>
    <w:p w14:paraId="6D68BFC8" w14:textId="7B767E4E"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AIMS (2022) ‘A brief history of district midwifery’. Available at: </w:t>
      </w:r>
      <w:hyperlink r:id="rId4" w:history="1">
        <w:r w:rsidRPr="009C2B03">
          <w:rPr>
            <w:rStyle w:val="Hyperlink"/>
            <w:rFonts w:ascii="Arial" w:hAnsi="Arial" w:cs="Arial"/>
            <w:sz w:val="22"/>
            <w:szCs w:val="22"/>
          </w:rPr>
          <w:t>https://www.aims.org.uk/journal/item/history-district-midwifery</w:t>
        </w:r>
      </w:hyperlink>
      <w:r w:rsidRPr="009C2B03">
        <w:rPr>
          <w:rFonts w:ascii="Arial" w:hAnsi="Arial" w:cs="Arial"/>
          <w:color w:val="0D0D0D"/>
          <w:sz w:val="22"/>
          <w:szCs w:val="22"/>
        </w:rPr>
        <w:t xml:space="preserve"> </w:t>
      </w:r>
    </w:p>
    <w:p w14:paraId="66924980"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Birmingham and Solihull Mental Health NHS Foundation Trust (2026) </w:t>
      </w:r>
      <w:r w:rsidRPr="009C2B03">
        <w:rPr>
          <w:rStyle w:val="Emphasis"/>
          <w:rFonts w:ascii="Arial" w:hAnsi="Arial" w:cs="Arial"/>
          <w:color w:val="0D0D0D"/>
          <w:sz w:val="22"/>
          <w:szCs w:val="22"/>
        </w:rPr>
        <w:t>Birmingham’s first Neighbourhood Mental Health Centre officially opens</w:t>
      </w:r>
      <w:r w:rsidRPr="009C2B03">
        <w:rPr>
          <w:rFonts w:ascii="Arial" w:hAnsi="Arial" w:cs="Arial"/>
          <w:color w:val="0D0D0D"/>
          <w:sz w:val="22"/>
          <w:szCs w:val="22"/>
        </w:rPr>
        <w:t xml:space="preserve">. Available at: </w:t>
      </w:r>
      <w:hyperlink r:id="rId5" w:history="1">
        <w:r w:rsidRPr="009C2B03">
          <w:rPr>
            <w:rStyle w:val="Hyperlink"/>
            <w:rFonts w:ascii="Arial" w:hAnsi="Arial" w:cs="Arial"/>
            <w:sz w:val="22"/>
            <w:szCs w:val="22"/>
          </w:rPr>
          <w:t>https://www.bsmhft.nhs.uk/</w:t>
        </w:r>
      </w:hyperlink>
      <w:r w:rsidRPr="009C2B03">
        <w:rPr>
          <w:rFonts w:ascii="Arial" w:hAnsi="Arial" w:cs="Arial"/>
          <w:color w:val="0D0D0D"/>
          <w:sz w:val="22"/>
          <w:szCs w:val="22"/>
        </w:rPr>
        <w:t xml:space="preserve"> </w:t>
      </w:r>
    </w:p>
    <w:p w14:paraId="151A986E"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Birmingham City Council (2025) </w:t>
      </w:r>
      <w:r w:rsidRPr="009C2B03">
        <w:rPr>
          <w:rStyle w:val="Emphasis"/>
          <w:rFonts w:ascii="Arial" w:hAnsi="Arial" w:cs="Arial"/>
          <w:color w:val="0D0D0D"/>
          <w:sz w:val="22"/>
          <w:szCs w:val="22"/>
        </w:rPr>
        <w:t>Creating a Mentally Healthy City Strategy 2025–2035</w:t>
      </w:r>
      <w:r w:rsidRPr="009C2B03">
        <w:rPr>
          <w:rFonts w:ascii="Arial" w:hAnsi="Arial" w:cs="Arial"/>
          <w:color w:val="0D0D0D"/>
          <w:sz w:val="22"/>
          <w:szCs w:val="22"/>
        </w:rPr>
        <w:t>. Birmingham: Birmingham City Council.</w:t>
      </w:r>
    </w:p>
    <w:p w14:paraId="38568123"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Birmingham City Council (2026a) </w:t>
      </w:r>
      <w:r w:rsidRPr="009C2B03">
        <w:rPr>
          <w:rStyle w:val="Emphasis"/>
          <w:rFonts w:ascii="Arial" w:hAnsi="Arial" w:cs="Arial"/>
          <w:color w:val="0D0D0D"/>
          <w:sz w:val="22"/>
          <w:szCs w:val="22"/>
        </w:rPr>
        <w:t>Joint Strategic Needs Assessment</w:t>
      </w:r>
      <w:r w:rsidRPr="009C2B03">
        <w:rPr>
          <w:rFonts w:ascii="Arial" w:hAnsi="Arial" w:cs="Arial"/>
          <w:color w:val="0D0D0D"/>
          <w:sz w:val="22"/>
          <w:szCs w:val="22"/>
        </w:rPr>
        <w:t xml:space="preserve">. Birmingham: Birmingham City Council. Available at: </w:t>
      </w:r>
      <w:hyperlink r:id="rId6" w:history="1">
        <w:r w:rsidRPr="009C2B03">
          <w:rPr>
            <w:rStyle w:val="Hyperlink"/>
            <w:rFonts w:ascii="Arial" w:hAnsi="Arial" w:cs="Arial"/>
            <w:sz w:val="22"/>
            <w:szCs w:val="22"/>
          </w:rPr>
          <w:t>https://www.birmingham.gov.uk/jsna</w:t>
        </w:r>
      </w:hyperlink>
      <w:r w:rsidRPr="009C2B03">
        <w:rPr>
          <w:rFonts w:ascii="Arial" w:hAnsi="Arial" w:cs="Arial"/>
          <w:color w:val="0D0D0D"/>
          <w:sz w:val="22"/>
          <w:szCs w:val="22"/>
        </w:rPr>
        <w:t xml:space="preserve"> </w:t>
      </w:r>
    </w:p>
    <w:p w14:paraId="69A4F900"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Style w:val="Emphasis"/>
          <w:rFonts w:ascii="Arial" w:hAnsi="Arial" w:cs="Arial"/>
          <w:color w:val="0D0D0D"/>
          <w:sz w:val="22"/>
          <w:szCs w:val="22"/>
        </w:rPr>
        <w:t>Care Act 2014</w:t>
      </w:r>
      <w:r w:rsidRPr="009C2B03">
        <w:rPr>
          <w:rFonts w:ascii="Arial" w:hAnsi="Arial" w:cs="Arial"/>
          <w:color w:val="0D0D0D"/>
          <w:sz w:val="22"/>
          <w:szCs w:val="22"/>
        </w:rPr>
        <w:t xml:space="preserve"> (c. 23). London: The Stationery Office. Available at: </w:t>
      </w:r>
      <w:hyperlink r:id="rId7" w:history="1">
        <w:r w:rsidRPr="009C2B03">
          <w:rPr>
            <w:rStyle w:val="Hyperlink"/>
            <w:rFonts w:ascii="Arial" w:hAnsi="Arial" w:cs="Arial"/>
            <w:sz w:val="22"/>
            <w:szCs w:val="22"/>
          </w:rPr>
          <w:t>https://www.legislation.gov.uk/ukpga/2014/23/contents</w:t>
        </w:r>
      </w:hyperlink>
      <w:r w:rsidRPr="009C2B03">
        <w:rPr>
          <w:rFonts w:ascii="Arial" w:hAnsi="Arial" w:cs="Arial"/>
          <w:color w:val="0D0D0D"/>
          <w:sz w:val="22"/>
          <w:szCs w:val="22"/>
        </w:rPr>
        <w:t xml:space="preserve"> </w:t>
      </w:r>
    </w:p>
    <w:p w14:paraId="78F1544E"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Department of Health and Social Care (2025) </w:t>
      </w:r>
      <w:r w:rsidRPr="009C2B03">
        <w:rPr>
          <w:rStyle w:val="Emphasis"/>
          <w:rFonts w:ascii="Arial" w:hAnsi="Arial" w:cs="Arial"/>
          <w:color w:val="0D0D0D"/>
          <w:sz w:val="22"/>
          <w:szCs w:val="22"/>
        </w:rPr>
        <w:t>Care and support statutory guidance</w:t>
      </w:r>
      <w:r w:rsidRPr="009C2B03">
        <w:rPr>
          <w:rFonts w:ascii="Arial" w:hAnsi="Arial" w:cs="Arial"/>
          <w:color w:val="0D0D0D"/>
          <w:sz w:val="22"/>
          <w:szCs w:val="22"/>
        </w:rPr>
        <w:t xml:space="preserve">. London: GOV.UK. Available at: </w:t>
      </w:r>
      <w:hyperlink r:id="rId8" w:history="1">
        <w:r w:rsidRPr="009C2B03">
          <w:rPr>
            <w:rStyle w:val="Hyperlink"/>
            <w:rFonts w:ascii="Arial" w:hAnsi="Arial" w:cs="Arial"/>
            <w:sz w:val="22"/>
            <w:szCs w:val="22"/>
          </w:rPr>
          <w:t>https://www.gov.uk/government/publications/care-act-statutory-guidance/care-and-support-statutory-guidance</w:t>
        </w:r>
      </w:hyperlink>
      <w:r w:rsidRPr="009C2B03">
        <w:rPr>
          <w:rFonts w:ascii="Arial" w:hAnsi="Arial" w:cs="Arial"/>
          <w:color w:val="0D0D0D"/>
          <w:sz w:val="22"/>
          <w:szCs w:val="22"/>
        </w:rPr>
        <w:t xml:space="preserve"> </w:t>
      </w:r>
    </w:p>
    <w:p w14:paraId="5D3C3656"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Dunn, P.M. (2008) ‘General practitioners and obstetrics: a brief history’, </w:t>
      </w:r>
      <w:r w:rsidRPr="009C2B03">
        <w:rPr>
          <w:rStyle w:val="Emphasis"/>
          <w:rFonts w:ascii="Arial" w:hAnsi="Arial" w:cs="Arial"/>
          <w:color w:val="0D0D0D"/>
          <w:sz w:val="22"/>
          <w:szCs w:val="22"/>
        </w:rPr>
        <w:t xml:space="preserve">Archives of Disease in Childhood – </w:t>
      </w:r>
      <w:proofErr w:type="spellStart"/>
      <w:r w:rsidRPr="009C2B03">
        <w:rPr>
          <w:rStyle w:val="Emphasis"/>
          <w:rFonts w:ascii="Arial" w:hAnsi="Arial" w:cs="Arial"/>
          <w:color w:val="0D0D0D"/>
          <w:sz w:val="22"/>
          <w:szCs w:val="22"/>
        </w:rPr>
        <w:t>Fetal</w:t>
      </w:r>
      <w:proofErr w:type="spellEnd"/>
      <w:r w:rsidRPr="009C2B03">
        <w:rPr>
          <w:rStyle w:val="Emphasis"/>
          <w:rFonts w:ascii="Arial" w:hAnsi="Arial" w:cs="Arial"/>
          <w:color w:val="0D0D0D"/>
          <w:sz w:val="22"/>
          <w:szCs w:val="22"/>
        </w:rPr>
        <w:t xml:space="preserve"> and Neonatal Edition</w:t>
      </w:r>
      <w:r w:rsidRPr="009C2B03">
        <w:rPr>
          <w:rFonts w:ascii="Arial" w:hAnsi="Arial" w:cs="Arial"/>
          <w:color w:val="0D0D0D"/>
          <w:sz w:val="22"/>
          <w:szCs w:val="22"/>
        </w:rPr>
        <w:t xml:space="preserve">, 93(4), pp. F255–F258. Available at: </w:t>
      </w:r>
      <w:hyperlink r:id="rId9" w:history="1">
        <w:r w:rsidRPr="009C2B03">
          <w:rPr>
            <w:rStyle w:val="Hyperlink"/>
            <w:rFonts w:ascii="Arial" w:hAnsi="Arial" w:cs="Arial"/>
            <w:sz w:val="22"/>
            <w:szCs w:val="22"/>
          </w:rPr>
          <w:t>https://pmc.ncbi.nlm.nih.gov/articles/PMC2586862/</w:t>
        </w:r>
      </w:hyperlink>
      <w:r w:rsidRPr="009C2B03">
        <w:rPr>
          <w:rFonts w:ascii="Arial" w:hAnsi="Arial" w:cs="Arial"/>
          <w:color w:val="0D0D0D"/>
          <w:sz w:val="22"/>
          <w:szCs w:val="22"/>
        </w:rPr>
        <w:t xml:space="preserve"> </w:t>
      </w:r>
    </w:p>
    <w:p w14:paraId="69FD60C6"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NHS (2026) ‘Antenatal care and appointments’. Available at: </w:t>
      </w:r>
      <w:hyperlink r:id="rId10" w:history="1">
        <w:r w:rsidRPr="009C2B03">
          <w:rPr>
            <w:rStyle w:val="Hyperlink"/>
            <w:rFonts w:ascii="Arial" w:hAnsi="Arial" w:cs="Arial"/>
            <w:sz w:val="22"/>
            <w:szCs w:val="22"/>
          </w:rPr>
          <w:t>https://www.nhs.uk/pregnancy/your-pregnancy-care/your-antenatal-care-and-appointments/</w:t>
        </w:r>
      </w:hyperlink>
      <w:r w:rsidRPr="009C2B03">
        <w:rPr>
          <w:rFonts w:ascii="Arial" w:hAnsi="Arial" w:cs="Arial"/>
          <w:color w:val="0D0D0D"/>
          <w:sz w:val="22"/>
          <w:szCs w:val="22"/>
        </w:rPr>
        <w:t xml:space="preserve"> </w:t>
      </w:r>
    </w:p>
    <w:p w14:paraId="38767C79"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NHS England (2023) </w:t>
      </w:r>
      <w:r w:rsidRPr="009C2B03">
        <w:rPr>
          <w:rStyle w:val="Emphasis"/>
          <w:rFonts w:ascii="Arial" w:hAnsi="Arial" w:cs="Arial"/>
          <w:color w:val="0D0D0D"/>
          <w:sz w:val="22"/>
          <w:szCs w:val="22"/>
        </w:rPr>
        <w:t>Three year delivery plan for maternity and neonatal services</w:t>
      </w:r>
      <w:r w:rsidRPr="009C2B03">
        <w:rPr>
          <w:rFonts w:ascii="Arial" w:hAnsi="Arial" w:cs="Arial"/>
          <w:color w:val="0D0D0D"/>
          <w:sz w:val="22"/>
          <w:szCs w:val="22"/>
        </w:rPr>
        <w:t xml:space="preserve">. London: NHS England. Available at: </w:t>
      </w:r>
      <w:hyperlink r:id="rId11" w:history="1">
        <w:r w:rsidRPr="009C2B03">
          <w:rPr>
            <w:rStyle w:val="Hyperlink"/>
            <w:rFonts w:ascii="Arial" w:hAnsi="Arial" w:cs="Arial"/>
            <w:sz w:val="22"/>
            <w:szCs w:val="22"/>
          </w:rPr>
          <w:t>https://www.england.nhs.uk/publication/three-year-delivery-plan-for-maternity-and-neonatal-services/</w:t>
        </w:r>
      </w:hyperlink>
      <w:r w:rsidRPr="009C2B03">
        <w:rPr>
          <w:rFonts w:ascii="Arial" w:hAnsi="Arial" w:cs="Arial"/>
          <w:color w:val="0D0D0D"/>
          <w:sz w:val="22"/>
          <w:szCs w:val="22"/>
        </w:rPr>
        <w:t xml:space="preserve"> </w:t>
      </w:r>
    </w:p>
    <w:p w14:paraId="3492010E"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NICE (2021) </w:t>
      </w:r>
      <w:r w:rsidRPr="009C2B03">
        <w:rPr>
          <w:rStyle w:val="Emphasis"/>
          <w:rFonts w:ascii="Arial" w:hAnsi="Arial" w:cs="Arial"/>
          <w:color w:val="0D0D0D"/>
          <w:sz w:val="22"/>
          <w:szCs w:val="22"/>
        </w:rPr>
        <w:t>Antenatal care (NG201)</w:t>
      </w:r>
      <w:r w:rsidRPr="009C2B03">
        <w:rPr>
          <w:rFonts w:ascii="Arial" w:hAnsi="Arial" w:cs="Arial"/>
          <w:color w:val="0D0D0D"/>
          <w:sz w:val="22"/>
          <w:szCs w:val="22"/>
        </w:rPr>
        <w:t xml:space="preserve">. London: National Institute for Health and Care Excellence. Available at: </w:t>
      </w:r>
      <w:hyperlink r:id="rId12" w:history="1">
        <w:r w:rsidRPr="009C2B03">
          <w:rPr>
            <w:rStyle w:val="Hyperlink"/>
            <w:rFonts w:ascii="Arial" w:hAnsi="Arial" w:cs="Arial"/>
            <w:sz w:val="22"/>
            <w:szCs w:val="22"/>
          </w:rPr>
          <w:t>https://www.nice.org.uk/guidance/ng201</w:t>
        </w:r>
      </w:hyperlink>
      <w:r w:rsidRPr="009C2B03">
        <w:rPr>
          <w:rFonts w:ascii="Arial" w:hAnsi="Arial" w:cs="Arial"/>
          <w:color w:val="0D0D0D"/>
          <w:sz w:val="22"/>
          <w:szCs w:val="22"/>
        </w:rPr>
        <w:t xml:space="preserve"> </w:t>
      </w:r>
    </w:p>
    <w:p w14:paraId="603F3A6B" w14:textId="77777777" w:rsidR="00974B3D" w:rsidRPr="009C2B03" w:rsidRDefault="00974B3D" w:rsidP="009C2B03">
      <w:pPr>
        <w:pStyle w:val="x1yc453h"/>
        <w:shd w:val="clear" w:color="auto" w:fill="FCFCFC"/>
        <w:spacing w:line="360" w:lineRule="auto"/>
        <w:rPr>
          <w:rFonts w:ascii="Arial" w:hAnsi="Arial" w:cs="Arial"/>
          <w:color w:val="0D0D0D"/>
          <w:sz w:val="22"/>
          <w:szCs w:val="22"/>
        </w:rPr>
      </w:pPr>
      <w:r w:rsidRPr="009C2B03">
        <w:rPr>
          <w:rFonts w:ascii="Arial" w:hAnsi="Arial" w:cs="Arial"/>
          <w:color w:val="0D0D0D"/>
          <w:sz w:val="22"/>
          <w:szCs w:val="22"/>
        </w:rPr>
        <w:t xml:space="preserve">NICE (2026) </w:t>
      </w:r>
      <w:r w:rsidRPr="009C2B03">
        <w:rPr>
          <w:rStyle w:val="Emphasis"/>
          <w:rFonts w:ascii="Arial" w:hAnsi="Arial" w:cs="Arial"/>
          <w:color w:val="0D0D0D"/>
          <w:sz w:val="22"/>
          <w:szCs w:val="22"/>
        </w:rPr>
        <w:t>Attendance at, and content of, routine antenatal appointments</w:t>
      </w:r>
      <w:r w:rsidRPr="009C2B03">
        <w:rPr>
          <w:rFonts w:ascii="Arial" w:hAnsi="Arial" w:cs="Arial"/>
          <w:color w:val="0D0D0D"/>
          <w:sz w:val="22"/>
          <w:szCs w:val="22"/>
        </w:rPr>
        <w:t xml:space="preserve">. London: National Institute for Health and Care Excellence. Available at: </w:t>
      </w:r>
      <w:hyperlink r:id="rId13" w:history="1">
        <w:r w:rsidRPr="009C2B03">
          <w:rPr>
            <w:rStyle w:val="Hyperlink"/>
            <w:rFonts w:ascii="Arial" w:hAnsi="Arial" w:cs="Arial"/>
            <w:sz w:val="22"/>
            <w:szCs w:val="22"/>
          </w:rPr>
          <w:t>https://www.nice.org.uk/guidance/ng201/resources/implementation-support-toolkit-15242806765/chapter/Attendance-at-and-content-of-routine-antenatal-appointments</w:t>
        </w:r>
      </w:hyperlink>
      <w:r w:rsidRPr="009C2B03">
        <w:rPr>
          <w:rFonts w:ascii="Arial" w:hAnsi="Arial" w:cs="Arial"/>
          <w:color w:val="0D0D0D"/>
          <w:sz w:val="22"/>
          <w:szCs w:val="22"/>
        </w:rPr>
        <w:t xml:space="preserve"> </w:t>
      </w:r>
    </w:p>
    <w:p w14:paraId="17044A5A" w14:textId="77777777" w:rsidR="00675AC4" w:rsidRDefault="00675AC4"/>
    <w:sectPr w:rsidR="00675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14"/>
    <w:rsid w:val="00014FB3"/>
    <w:rsid w:val="000E0139"/>
    <w:rsid w:val="002222A1"/>
    <w:rsid w:val="002C556F"/>
    <w:rsid w:val="002D4514"/>
    <w:rsid w:val="003C25A5"/>
    <w:rsid w:val="003C4CBB"/>
    <w:rsid w:val="00460453"/>
    <w:rsid w:val="00505B9D"/>
    <w:rsid w:val="00543149"/>
    <w:rsid w:val="00626DB1"/>
    <w:rsid w:val="00675AC4"/>
    <w:rsid w:val="00723182"/>
    <w:rsid w:val="00787161"/>
    <w:rsid w:val="007A1B49"/>
    <w:rsid w:val="007B1229"/>
    <w:rsid w:val="007C4D62"/>
    <w:rsid w:val="008E63BC"/>
    <w:rsid w:val="00974158"/>
    <w:rsid w:val="00974B3D"/>
    <w:rsid w:val="009C2B03"/>
    <w:rsid w:val="00A01227"/>
    <w:rsid w:val="00A16971"/>
    <w:rsid w:val="00AA7386"/>
    <w:rsid w:val="00AE3289"/>
    <w:rsid w:val="00AE7080"/>
    <w:rsid w:val="00AF30E9"/>
    <w:rsid w:val="00B34906"/>
    <w:rsid w:val="00B80490"/>
    <w:rsid w:val="00B93628"/>
    <w:rsid w:val="00CB2308"/>
    <w:rsid w:val="00CE62FB"/>
    <w:rsid w:val="00D754A5"/>
    <w:rsid w:val="00EB08A1"/>
    <w:rsid w:val="00F63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B54B7"/>
  <w15:chartTrackingRefBased/>
  <w15:docId w15:val="{7E1FF79C-9799-4B16-93E1-85C0FC02D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5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45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5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5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5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5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5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5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5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5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45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5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5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5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5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5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5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514"/>
    <w:rPr>
      <w:rFonts w:eastAsiaTheme="majorEastAsia" w:cstheme="majorBidi"/>
      <w:color w:val="272727" w:themeColor="text1" w:themeTint="D8"/>
    </w:rPr>
  </w:style>
  <w:style w:type="paragraph" w:styleId="Title">
    <w:name w:val="Title"/>
    <w:basedOn w:val="Normal"/>
    <w:next w:val="Normal"/>
    <w:link w:val="TitleChar"/>
    <w:uiPriority w:val="10"/>
    <w:qFormat/>
    <w:rsid w:val="002D45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5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5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5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514"/>
    <w:pPr>
      <w:spacing w:before="160"/>
      <w:jc w:val="center"/>
    </w:pPr>
    <w:rPr>
      <w:i/>
      <w:iCs/>
      <w:color w:val="404040" w:themeColor="text1" w:themeTint="BF"/>
    </w:rPr>
  </w:style>
  <w:style w:type="character" w:customStyle="1" w:styleId="QuoteChar">
    <w:name w:val="Quote Char"/>
    <w:basedOn w:val="DefaultParagraphFont"/>
    <w:link w:val="Quote"/>
    <w:uiPriority w:val="29"/>
    <w:rsid w:val="002D4514"/>
    <w:rPr>
      <w:i/>
      <w:iCs/>
      <w:color w:val="404040" w:themeColor="text1" w:themeTint="BF"/>
    </w:rPr>
  </w:style>
  <w:style w:type="paragraph" w:styleId="ListParagraph">
    <w:name w:val="List Paragraph"/>
    <w:basedOn w:val="Normal"/>
    <w:uiPriority w:val="34"/>
    <w:qFormat/>
    <w:rsid w:val="002D4514"/>
    <w:pPr>
      <w:ind w:left="720"/>
      <w:contextualSpacing/>
    </w:pPr>
  </w:style>
  <w:style w:type="character" w:styleId="IntenseEmphasis">
    <w:name w:val="Intense Emphasis"/>
    <w:basedOn w:val="DefaultParagraphFont"/>
    <w:uiPriority w:val="21"/>
    <w:qFormat/>
    <w:rsid w:val="002D4514"/>
    <w:rPr>
      <w:i/>
      <w:iCs/>
      <w:color w:val="0F4761" w:themeColor="accent1" w:themeShade="BF"/>
    </w:rPr>
  </w:style>
  <w:style w:type="paragraph" w:styleId="IntenseQuote">
    <w:name w:val="Intense Quote"/>
    <w:basedOn w:val="Normal"/>
    <w:next w:val="Normal"/>
    <w:link w:val="IntenseQuoteChar"/>
    <w:uiPriority w:val="30"/>
    <w:qFormat/>
    <w:rsid w:val="002D45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514"/>
    <w:rPr>
      <w:i/>
      <w:iCs/>
      <w:color w:val="0F4761" w:themeColor="accent1" w:themeShade="BF"/>
    </w:rPr>
  </w:style>
  <w:style w:type="character" w:styleId="IntenseReference">
    <w:name w:val="Intense Reference"/>
    <w:basedOn w:val="DefaultParagraphFont"/>
    <w:uiPriority w:val="32"/>
    <w:qFormat/>
    <w:rsid w:val="002D4514"/>
    <w:rPr>
      <w:b/>
      <w:bCs/>
      <w:smallCaps/>
      <w:color w:val="0F4761" w:themeColor="accent1" w:themeShade="BF"/>
      <w:spacing w:val="5"/>
    </w:rPr>
  </w:style>
  <w:style w:type="character" w:styleId="Hyperlink">
    <w:name w:val="Hyperlink"/>
    <w:basedOn w:val="DefaultParagraphFont"/>
    <w:uiPriority w:val="99"/>
    <w:unhideWhenUsed/>
    <w:rsid w:val="002D4514"/>
    <w:rPr>
      <w:color w:val="0000FF"/>
      <w:u w:val="single"/>
    </w:rPr>
  </w:style>
  <w:style w:type="paragraph" w:styleId="NormalWeb">
    <w:name w:val="Normal (Web)"/>
    <w:basedOn w:val="Normal"/>
    <w:uiPriority w:val="99"/>
    <w:semiHidden/>
    <w:unhideWhenUsed/>
    <w:rsid w:val="002D4514"/>
    <w:pPr>
      <w:spacing w:before="100" w:beforeAutospacing="1" w:after="100" w:afterAutospacing="1" w:line="240" w:lineRule="auto"/>
    </w:pPr>
    <w:rPr>
      <w:rFonts w:ascii="Aptos" w:hAnsi="Aptos" w:cs="Aptos"/>
      <w:kern w:val="0"/>
      <w:lang w:eastAsia="en-GB"/>
      <w14:ligatures w14:val="none"/>
    </w:rPr>
  </w:style>
  <w:style w:type="character" w:styleId="Strong">
    <w:name w:val="Strong"/>
    <w:basedOn w:val="DefaultParagraphFont"/>
    <w:uiPriority w:val="22"/>
    <w:qFormat/>
    <w:rsid w:val="002D4514"/>
    <w:rPr>
      <w:b/>
      <w:bCs/>
    </w:rPr>
  </w:style>
  <w:style w:type="character" w:styleId="Emphasis">
    <w:name w:val="Emphasis"/>
    <w:basedOn w:val="DefaultParagraphFont"/>
    <w:uiPriority w:val="20"/>
    <w:qFormat/>
    <w:rsid w:val="002D4514"/>
    <w:rPr>
      <w:i/>
      <w:iCs/>
    </w:rPr>
  </w:style>
  <w:style w:type="paragraph" w:customStyle="1" w:styleId="x1yc453h">
    <w:name w:val="x1yc453h"/>
    <w:basedOn w:val="Normal"/>
    <w:rsid w:val="002C55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AE32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statutory-guidance/care-and-support-statutory-guidance" TargetMode="External"/><Relationship Id="rId13" Type="http://schemas.openxmlformats.org/officeDocument/2006/relationships/hyperlink" Target="https://www.nice.org.uk/guidance/ng201/resources/implementation-support-toolkit-15242806765/chapter/Attendance-at-and-content-of-routine-antenatal-appointments" TargetMode="External"/><Relationship Id="rId3" Type="http://schemas.openxmlformats.org/officeDocument/2006/relationships/webSettings" Target="web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nice.org.uk/guidance/ng2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rmingham.gov.uk/jsna" TargetMode="External"/><Relationship Id="rId11" Type="http://schemas.openxmlformats.org/officeDocument/2006/relationships/hyperlink" Target="https://www.england.nhs.uk/publication/three-year-delivery-plan-for-maternity-and-neonatal-services/" TargetMode="External"/><Relationship Id="rId5" Type="http://schemas.openxmlformats.org/officeDocument/2006/relationships/hyperlink" Target="https://www.bsmhft.nhs.uk/" TargetMode="External"/><Relationship Id="rId15" Type="http://schemas.openxmlformats.org/officeDocument/2006/relationships/theme" Target="theme/theme1.xml"/><Relationship Id="rId10" Type="http://schemas.openxmlformats.org/officeDocument/2006/relationships/hyperlink" Target="https://www.nhs.uk/pregnancy/your-pregnancy-care/your-antenatal-care-and-appointments/" TargetMode="External"/><Relationship Id="rId4" Type="http://schemas.openxmlformats.org/officeDocument/2006/relationships/hyperlink" Target="https://www.aims.org.uk/journal/item/history-district-midwifery" TargetMode="External"/><Relationship Id="rId9" Type="http://schemas.openxmlformats.org/officeDocument/2006/relationships/hyperlink" Target="https://pmc.ncbi.nlm.nih.gov/articles/PMC258686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b5396b3f-dc01-41c6-a648-ab88fc50c118}" enabled="0" method="" siteId="{b5396b3f-dc01-41c6-a648-ab88fc50c118}" removed="1"/>
</clbl:labelList>
</file>

<file path=docProps/app.xml><?xml version="1.0" encoding="utf-8"?>
<Properties xmlns="http://schemas.openxmlformats.org/officeDocument/2006/extended-properties" xmlns:vt="http://schemas.openxmlformats.org/officeDocument/2006/docPropsVTypes">
  <Template>Normal</Template>
  <TotalTime>2</TotalTime>
  <Pages>1</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Microsoft Office User</cp:lastModifiedBy>
  <cp:revision>4</cp:revision>
  <dcterms:created xsi:type="dcterms:W3CDTF">2026-09-30T18:01:00Z</dcterms:created>
  <dcterms:modified xsi:type="dcterms:W3CDTF">2026-09-30T18:03:00Z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b4809fd1-130a-411d-bc2d-f1412f83df01</vt:lpwstr>
  </property>
</Properties>
</file>