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pStyle w:val="Heading1"/>
        <w:numPr>
          <w:ilvl w:val="0"/>
          <w:numId w:val="1"/>
        </w:numPr>
        <w:jc w:val="center"/>
        <w:ind w:left="432"/>
        <w:ind w:hanging="432"/>
        <w:rPr>
          <w:u w:val="single"/>
        </w:rPr>
      </w:pPr>
      <w:r w:rsidR="00000000" w:rsidDel="00000000" w:rsidRPr="00000000">
        <w:rPr>
          <w:rtl w:val="0"/>
          <w:b/>
          <w:u w:val="single"/>
          <w:color w:val="333333"/>
          <w:rFonts w:ascii="Arial" w:cs="Arial" w:eastAsia="Arial" w:hAnsi="Arial"/>
          <w:sz w:val="48"/>
          <w:szCs w:val="48"/>
        </w:rPr>
        <w:t xml:space="preserve">MODULE :COMMUNITY ENGAGEMENT </w:t>
      </w:r>
      <w:r w:rsidR="00000000" w:rsidDel="00000000" w:rsidRPr="00000000">
        <w:rPr>
          <w:rtl w:val="0"/>
        </w:rPr>
      </w:r>
    </w:p>
    <w:p w:rsidR="00000000" w:rsidDel="00000000" w:rsidRDefault="00000000" w14:paraId="00000002" w:rsidP="00000000" w:rsidRPr="00000000">
      <w:pPr>
        <w:pStyle w:val="Heading1"/>
        <w:numPr>
          <w:ilvl w:val="0"/>
          <w:numId w:val="1"/>
        </w:numPr>
        <w:jc w:val="center"/>
        <w:ind w:left="432"/>
        <w:ind w:hanging="432"/>
        <w:rPr>
          <w:u w:val="single"/>
        </w:rPr>
      </w:pPr>
      <w:r w:rsidR="00000000" w:rsidDel="00000000" w:rsidRPr="00000000">
        <w:rPr>
          <w:rtl w:val="0"/>
        </w:rPr>
      </w:r>
    </w:p>
    <w:p w:rsidR="00000000" w:rsidDel="00000000" w:rsidRDefault="00000000" w14:paraId="00000003" w:rsidP="00000000" w:rsidRPr="00000000">
      <w:pPr>
        <w:pStyle w:val="Heading1"/>
        <w:numPr>
          <w:ilvl w:val="0"/>
          <w:numId w:val="1"/>
        </w:numPr>
        <w:jc w:val="center"/>
        <w:ind w:left="432"/>
        <w:ind w:hanging="432"/>
        <w:rPr>
          <w:u w:val="single"/>
        </w:rPr>
      </w:pPr>
      <w:r w:rsidR="00000000" w:rsidDel="00000000" w:rsidRPr="00000000">
        <w:rPr>
          <w:rtl w:val="0"/>
          <w:b/>
          <w:u w:val="single"/>
          <w:color w:val="333333"/>
          <w:rFonts w:ascii="Arial" w:cs="Arial" w:eastAsia="Arial" w:hAnsi="Arial"/>
          <w:sz w:val="48"/>
          <w:szCs w:val="48"/>
        </w:rPr>
        <w:t>LCBB4002</w:t>
      </w:r>
      <w:r w:rsidR="00000000" w:rsidDel="00000000" w:rsidRPr="00000000">
        <w:rPr>
          <w:rtl w:val="0"/>
        </w:rPr>
      </w:r>
    </w:p>
    <w:p w:rsidR="00000000" w:rsidDel="00000000" w:rsidRDefault="00000000" w14:paraId="00000004" w:rsidP="00000000" w:rsidRPr="00000000">
      <w:pPr>
        <w:pStyle w:val="Heading1"/>
        <w:numPr>
          <w:ilvl w:val="0"/>
          <w:numId w:val="1"/>
        </w:numPr>
        <w:jc w:val="center"/>
        <w:ind w:left="432"/>
        <w:ind w:hanging="432"/>
        <w:rPr>
          <w:u w:val="single"/>
        </w:rPr>
      </w:pPr>
      <w:r w:rsidR="00000000" w:rsidDel="00000000" w:rsidRPr="00000000">
        <w:rPr>
          <w:rtl w:val="0"/>
        </w:rPr>
      </w:r>
    </w:p>
    <w:p w:rsidR="00000000" w:rsidDel="00000000" w:rsidRDefault="00000000" w14:paraId="00000005" w:rsidP="00000000" w:rsidRPr="00000000">
      <w:pPr>
        <w:pStyle w:val="Heading1"/>
        <w:numPr>
          <w:ilvl w:val="0"/>
          <w:numId w:val="1"/>
        </w:numPr>
        <w:jc w:val="center"/>
        <w:ind w:left="432"/>
        <w:ind w:hanging="432"/>
        <w:rPr>
          <w:u w:val="single"/>
        </w:rPr>
      </w:pPr>
      <w:r w:rsidR="00000000" w:rsidDel="00000000" w:rsidRPr="00000000">
        <w:rPr>
          <w:rtl w:val="0"/>
        </w:rPr>
      </w:r>
    </w:p>
    <w:p w:rsidR="00000000" w:rsidDel="00000000" w:rsidRDefault="00000000" w14:paraId="00000006" w:rsidP="00000000" w:rsidRPr="00000000">
      <w:pPr>
        <w:pStyle w:val="Heading1"/>
        <w:numPr>
          <w:ilvl w:val="0"/>
          <w:numId w:val="1"/>
        </w:numPr>
        <w:jc w:val="center"/>
        <w:ind w:left="432"/>
        <w:ind w:hanging="432"/>
        <w:rPr>
          <w:u w:val="single"/>
        </w:rPr>
      </w:pPr>
      <w:r w:rsidR="00000000" w:rsidDel="00000000" w:rsidRPr="00000000">
        <w:rPr>
          <w:rtl w:val="0"/>
        </w:rPr>
      </w:r>
    </w:p>
    <w:p w:rsidR="00000000" w:rsidDel="00000000" w:rsidRDefault="00000000" w14:paraId="00000007" w:rsidP="00000000" w:rsidRPr="00000000">
      <w:pPr>
        <w:pStyle w:val="Heading1"/>
        <w:numPr>
          <w:ilvl w:val="0"/>
          <w:numId w:val="1"/>
        </w:numPr>
        <w:jc w:val="center"/>
        <w:ind w:left="432"/>
        <w:ind w:hanging="432"/>
        <w:rPr>
          <w:u w:val="none"/>
        </w:rPr>
      </w:pPr>
      <w:r w:rsidR="00000000" w:rsidDel="00000000" w:rsidRPr="00000000">
        <w:rPr>
          <w:rtl w:val="0"/>
          <w:b/>
          <w:u w:val="none"/>
          <w:color w:val="333333"/>
          <w:rFonts w:ascii="Arial" w:cs="Arial" w:eastAsia="Arial" w:hAnsi="Arial"/>
          <w:sz w:val="48"/>
          <w:szCs w:val="48"/>
        </w:rPr>
        <w:t>Lecturer: Zahra Mohammadnazari</w:t>
      </w:r>
      <w:r w:rsidR="00000000" w:rsidDel="00000000" w:rsidRPr="00000000">
        <w:rPr>
          <w:rtl w:val="0"/>
        </w:rPr>
      </w:r>
    </w:p>
    <w:p w:rsidR="00000000" w:rsidDel="00000000" w:rsidRDefault="00000000" w14:paraId="00000008" w:rsidP="00000000" w:rsidRPr="00000000">
      <w:pPr>
        <w:pStyle w:val="Heading1"/>
        <w:numPr>
          <w:ilvl w:val="0"/>
          <w:numId w:val="1"/>
        </w:numPr>
        <w:jc w:val="center"/>
        <w:ind w:left="432"/>
        <w:ind w:hanging="432"/>
        <w:rPr>
          <w:u w:val="none"/>
        </w:rPr>
      </w:pPr>
      <w:r w:rsidR="00000000" w:rsidDel="00000000" w:rsidRPr="00000000">
        <w:rPr>
          <w:rtl w:val="0"/>
        </w:rPr>
      </w:r>
    </w:p>
    <w:p w:rsidR="00000000" w:rsidDel="00000000" w:rsidRDefault="00000000" w14:paraId="00000009" w:rsidP="00000000" w:rsidRPr="00000000">
      <w:pPr>
        <w:pStyle w:val="Heading1"/>
        <w:numPr>
          <w:ilvl w:val="0"/>
          <w:numId w:val="1"/>
        </w:numPr>
        <w:jc w:val="left"/>
        <w:ind w:left="432"/>
        <w:ind w:hanging="432"/>
        <w:rPr>
          <w:u w:val="single"/>
        </w:rPr>
      </w:pPr>
      <w:r w:rsidR="00000000" w:rsidDel="00000000" w:rsidRPr="00000000">
        <w:rPr>
          <w:rtl w:val="0"/>
          <w:b/>
          <w:u w:val="single"/>
          <w:color w:val="333333"/>
          <w:rFonts w:ascii="Arial" w:cs="Arial" w:eastAsia="Arial" w:hAnsi="Arial"/>
          <w:sz w:val="48"/>
          <w:szCs w:val="48"/>
        </w:rPr>
        <w:t xml:space="preserve">    Student: Ana Moldovanu 2130326</w:t>
      </w:r>
      <w:r w:rsidR="00000000" w:rsidDel="00000000" w:rsidRPr="00000000">
        <w:rPr>
          <w:rtl w:val="0"/>
        </w:rPr>
      </w:r>
    </w:p>
    <w:p w:rsidR="00000000" w:rsidDel="00000000" w:rsidRDefault="00000000" w14:paraId="0000000A" w:rsidP="00000000" w:rsidRPr="00000000">
      <w:pPr>
        <w:pStyle w:val="Heading1"/>
        <w:numPr>
          <w:ilvl w:val="0"/>
          <w:numId w:val="1"/>
        </w:numPr>
        <w:jc w:val="right"/>
        <w:ind w:left="432"/>
        <w:ind w:hanging="432"/>
        <w:rPr>
          <w:u w:val="none"/>
        </w:rPr>
      </w:pPr>
      <w:r w:rsidR="00000000" w:rsidDel="00000000" w:rsidRPr="00000000">
        <w:rPr>
          <w:rtl w:val="0"/>
        </w:rPr>
      </w:r>
    </w:p>
    <w:p w:rsidR="00000000" w:rsidDel="00000000" w:rsidRDefault="00000000" w14:paraId="0000000B" w:rsidP="00000000" w:rsidRPr="00000000">
      <w:pPr>
        <w:pStyle w:val="Heading1"/>
        <w:numPr>
          <w:ilvl w:val="0"/>
          <w:numId w:val="1"/>
        </w:numPr>
        <w:jc w:val="center"/>
        <w:ind w:left="432"/>
        <w:ind w:hanging="432"/>
        <w:rPr>
          <w:u w:val="single"/>
        </w:rPr>
      </w:pPr>
      <w:r w:rsidR="00000000" w:rsidDel="00000000" w:rsidRPr="00000000">
        <w:rPr>
          <w:rtl w:val="0"/>
        </w:rPr>
      </w:r>
    </w:p>
    <w:p w:rsidR="00000000" w:rsidDel="00000000" w:rsidRDefault="00000000" w14:paraId="0000000C" w:rsidP="00000000" w:rsidRPr="00000000">
      <w:pPr>
        <w:pStyle w:val="Heading1"/>
        <w:numPr>
          <w:ilvl w:val="0"/>
          <w:numId w:val="1"/>
        </w:numPr>
        <w:jc w:val="center"/>
        <w:ind w:left="432"/>
        <w:ind w:hanging="432"/>
        <w:rPr>
          <w:sz w:val="48"/>
          <w:szCs w:val="48"/>
        </w:rPr>
      </w:pPr>
      <w:r w:rsidR="00000000" w:rsidDel="00000000" w:rsidRPr="00000000">
        <w:rPr>
          <w:rtl w:val="0"/>
        </w:rPr>
      </w:r>
    </w:p>
    <w:p w:rsidR="00000000" w:rsidDel="00000000" w:rsidRDefault="00000000" w14:paraId="0000000D" w:rsidP="00000000" w:rsidRPr="00000000">
      <w:pPr>
        <w:pStyle w:val="Heading1"/>
        <w:numPr>
          <w:ilvl w:val="0"/>
          <w:numId w:val="1"/>
        </w:numPr>
        <w:jc w:val="center"/>
        <w:ind w:left="432"/>
        <w:ind w:hanging="432"/>
      </w:pPr>
      <w:r w:rsidR="00000000" w:rsidDel="00000000" w:rsidRPr="00000000">
        <w:rPr>
          <w:rtl w:val="0"/>
        </w:rPr>
      </w:r>
    </w:p>
    <w:p w:rsidR="00000000" w:rsidDel="00000000" w:rsidRDefault="00000000" w14:paraId="0000000E" w:rsidP="00000000" w:rsidRPr="00000000">
      <w:pPr>
        <w:pStyle w:val="Heading1"/>
        <w:numPr>
          <w:ilvl w:val="0"/>
          <w:numId w:val="1"/>
        </w:numPr>
        <w:jc w:val="center"/>
        <w:ind w:left="432"/>
        <w:ind w:hanging="432"/>
        <w:rPr>
          <w:b/>
          <w:u w:val="none"/>
          <w:rFonts w:ascii="Arial" w:cs="Arial" w:eastAsia="Arial" w:hAnsi="Arial"/>
          <w:sz w:val="48"/>
          <w:szCs w:val="48"/>
        </w:rPr>
      </w:pPr>
      <w:r w:rsidR="00000000" w:rsidDel="00000000" w:rsidRPr="00000000">
        <w:rPr>
          <w:rtl w:val="0"/>
          <w:b/>
          <w:u w:val="none"/>
          <w:rFonts w:ascii="Arial" w:cs="Arial" w:eastAsia="Arial" w:hAnsi="Arial"/>
          <w:sz w:val="48"/>
          <w:szCs w:val="48"/>
        </w:rPr>
        <w:t xml:space="preserve">Community Engagement </w:t>
      </w:r>
    </w:p>
    <w:p w:rsidR="00000000" w:rsidDel="00000000" w:rsidRDefault="00000000" w14:paraId="0000000F" w:rsidP="00000000" w:rsidRPr="00000000">
      <w:pPr>
        <w:pStyle w:val="Heading1"/>
        <w:numPr>
          <w:ilvl w:val="0"/>
          <w:numId w:val="1"/>
        </w:numPr>
        <w:jc w:val="center"/>
        <w:ind w:left="432"/>
        <w:ind w:hanging="432"/>
        <w:rPr>
          <w:b/>
          <w:u w:val="none"/>
          <w:rFonts w:ascii="Arial" w:cs="Arial" w:eastAsia="Arial" w:hAnsi="Arial"/>
          <w:sz w:val="48"/>
          <w:szCs w:val="48"/>
        </w:rPr>
      </w:pPr>
      <w:r w:rsidR="00000000" w:rsidDel="00000000" w:rsidRPr="00000000">
        <w:rPr>
          <w:rtl w:val="0"/>
          <w:b/>
          <w:u w:val="none"/>
          <w:color w:val="333333"/>
          <w:rFonts w:ascii="Arial" w:cs="Arial" w:eastAsia="Arial" w:hAnsi="Arial"/>
          <w:sz w:val="48"/>
          <w:szCs w:val="48"/>
        </w:rPr>
        <w:t xml:space="preserve">Assignment 1 – Essay  </w:t>
      </w:r>
      <w:r w:rsidR="00000000" w:rsidDel="00000000" w:rsidRPr="00000000">
        <w:rPr>
          <w:rtl w:val="0"/>
        </w:rPr>
      </w:r>
    </w:p>
    <w:p w:rsidR="00000000" w:rsidDel="00000000" w:rsidRDefault="00000000" w14:paraId="00000010" w:rsidP="00000000" w:rsidRPr="00000000">
      <w:pPr>
        <w:pStyle w:val="Heading1"/>
        <w:numPr>
          <w:ilvl w:val="0"/>
          <w:numId w:val="1"/>
        </w:numPr>
        <w:jc w:val="center"/>
        <w:ind w:left="432"/>
        <w:ind w:hanging="432"/>
      </w:pPr>
      <w:r w:rsidR="00000000" w:rsidDel="00000000" w:rsidRPr="00000000">
        <w:rPr>
          <w:rtl w:val="0"/>
        </w:rPr>
      </w:r>
    </w:p>
    <w:p w:rsidR="00000000" w:rsidDel="00000000" w:rsidRDefault="00000000" w14:paraId="00000011" w:rsidP="00000000" w:rsidRPr="00000000">
      <w:pPr>
        <w:pStyle w:val="Heading1"/>
        <w:numPr>
          <w:ilvl w:val="0"/>
          <w:numId w:val="1"/>
        </w:numPr>
        <w:jc w:val="center"/>
        <w:ind w:left="432"/>
        <w:ind w:hanging="432"/>
      </w:pPr>
      <w:r w:rsidR="00000000" w:rsidDel="00000000" w:rsidRPr="00000000">
        <w:rPr>
          <w:rtl w:val="0"/>
        </w:rPr>
      </w:r>
    </w:p>
    <w:p w:rsidR="00000000" w:rsidDel="00000000" w:rsidRDefault="00000000" w14:paraId="00000012" w:rsidP="00000000" w:rsidRPr="00000000">
      <w:pPr>
        <w:pStyle w:val="Heading1"/>
        <w:numPr>
          <w:ilvl w:val="0"/>
          <w:numId w:val="1"/>
        </w:numPr>
        <w:jc w:val="center"/>
        <w:ind w:left="432"/>
        <w:ind w:hanging="432"/>
      </w:pPr>
      <w:r w:rsidR="00000000" w:rsidDel="00000000" w:rsidRPr="00000000">
        <w:rPr>
          <w:rtl w:val="0"/>
        </w:rPr>
      </w:r>
    </w:p>
    <w:p w:rsidR="00000000" w:rsidDel="00000000" w:rsidRDefault="00000000" w14:paraId="00000013" w:rsidP="00000000" w:rsidRPr="00000000">
      <w:pPr>
        <w:pStyle w:val="Heading1"/>
        <w:numPr>
          <w:ilvl w:val="0"/>
          <w:numId w:val="1"/>
        </w:numPr>
        <w:jc w:val="center"/>
        <w:ind w:left="432"/>
        <w:ind w:hanging="432"/>
      </w:pPr>
      <w:r w:rsidR="00000000" w:rsidDel="00000000" w:rsidRPr="00000000">
        <w:rPr>
          <w:rtl w:val="0"/>
        </w:rPr>
      </w:r>
    </w:p>
    <w:p>
      <w:pPr>
        <w:pStyle w:val="Heading1"/>
        <w:numPr>
          <w:ilvl w:val="0"/>
          <w:numId w:val="1"/>
        </w:numPr>
        <w:jc w:val="center"/>
        <w:ind w:left="432"/>
        <w:ind w:hanging="432"/>
      </w:pPr>
      <w:r/>
    </w:p>
    <w:p>
      <w:pPr>
        <w:pStyle w:val="Heading1"/>
        <w:numPr>
          <w:ilvl w:val="0"/>
          <w:numId w:val="1"/>
        </w:numPr>
        <w:jc w:val="center"/>
        <w:ind w:left="432"/>
        <w:ind w:hanging="432"/>
      </w:pPr>
      <w:r/>
    </w:p>
    <w:p>
      <w:pPr>
        <w:pStyle w:val="Heading1"/>
        <w:numPr>
          <w:ilvl w:val="0"/>
          <w:numId w:val="1"/>
        </w:numPr>
        <w:jc w:val="center"/>
        <w:ind w:left="432"/>
        <w:ind w:hanging="432"/>
      </w:pPr>
      <w:r/>
    </w:p>
    <w:p w:rsidR="00000000" w:rsidDel="00000000" w:rsidRDefault="00000000" w14:paraId="00000014" w:rsidP="00000000" w:rsidRPr="00000000">
      <w:pPr>
        <w:pStyle w:val="Heading1"/>
        <w:numPr>
          <w:ilvl w:val="0"/>
          <w:numId w:val="1"/>
        </w:numPr>
        <w:jc w:val="center"/>
        <w:ind w:left="432"/>
        <w:ind w:hanging="432"/>
        <w:rPr>
          <w:u w:val="single"/>
        </w:rPr>
      </w:pPr>
      <w:r w:rsidR="00000000" w:rsidDel="00000000" w:rsidRPr="00000000">
        <w:rPr>
          <w:rtl w:val="0"/>
        </w:rPr>
      </w:r>
    </w:p>
    <w:p w:rsidR="00000000" w:rsidDel="00000000" w:rsidRDefault="00000000" w14:paraId="00000015" w:rsidP="00000000" w:rsidRPr="00000000">
      <w:pPr>
        <w:pStyle w:val="Heading1"/>
        <w:numPr>
          <w:ilvl w:val="0"/>
          <w:numId w:val="1"/>
        </w:numPr>
        <w:jc w:val="center"/>
        <w:ind w:left="432"/>
        <w:ind w:hanging="432"/>
        <w:rPr>
          <w:b/>
          <w:u w:val="none"/>
          <w:rFonts w:ascii="Arial" w:cs="Arial" w:eastAsia="Arial" w:hAnsi="Arial"/>
          <w:sz w:val="22"/>
          <w:szCs w:val="22"/>
        </w:rPr>
      </w:pPr>
      <w:r w:rsidR="00000000" w:rsidDel="00000000" w:rsidRPr="00000000">
        <w:rPr>
          <w:rtl w:val="0"/>
          <w:b/>
          <w:u w:val="none"/>
          <w:color w:val="333333"/>
          <w:rFonts w:ascii="Arial" w:cs="Arial" w:eastAsia="Arial" w:hAnsi="Arial"/>
          <w:sz w:val="22"/>
          <w:szCs w:val="22"/>
        </w:rPr>
        <w:t>Table of Contents</w:t>
      </w:r>
      <w:r w:rsidR="00000000" w:rsidDel="00000000" w:rsidRPr="00000000">
        <w:rPr>
          <w:rtl w:val="0"/>
        </w:rPr>
      </w:r>
    </w:p>
    <w:p w:rsidR="00000000" w:rsidDel="00000000" w:rsidRDefault="00000000" w14:paraId="00000016" w:rsidP="00000000" w:rsidRPr="00000000">
      <w:pPr>
        <w:pStyle w:val="Heading1"/>
        <w:numPr>
          <w:ilvl w:val="0"/>
          <w:numId w:val="1"/>
        </w:numPr>
        <w:jc w:val="left"/>
        <w:ind w:left="432"/>
        <w:ind w:hanging="432"/>
        <w:rPr>
          <w:b w:val="0"/>
          <w:u w:val="none"/>
          <w:rFonts w:ascii="Arial" w:cs="Arial" w:eastAsia="Arial" w:hAnsi="Arial"/>
        </w:rPr>
      </w:pPr>
      <w:r w:rsidR="00000000" w:rsidDel="00000000" w:rsidRPr="00000000">
        <w:rPr>
          <w:rtl w:val="0"/>
          <w:b/>
          <w:u w:val="none"/>
          <w:color w:val="333333"/>
          <w:rFonts w:ascii="Arial" w:cs="Arial" w:eastAsia="Arial" w:hAnsi="Arial"/>
          <w:sz w:val="22"/>
          <w:szCs w:val="22"/>
        </w:rPr>
        <w:t>INTRODUCTION.</w:t>
      </w:r>
      <w:r w:rsidR="00000000" w:rsidDel="00000000" w:rsidRPr="00000000">
        <w:rPr>
          <w:rtl w:val="0"/>
          <w:b w:val="0"/>
          <w:u w:val="none"/>
          <w:color w:val="333333"/>
          <w:rFonts w:ascii="Arial" w:cs="Arial" w:eastAsia="Arial" w:hAnsi="Arial"/>
          <w:sz w:val="22"/>
          <w:szCs w:val="22"/>
        </w:rPr>
        <w:t>...................................................................................................................3</w:t>
      </w:r>
      <w:r w:rsidR="00000000" w:rsidDel="00000000" w:rsidRPr="00000000">
        <w:rPr>
          <w:rtl w:val="0"/>
        </w:rPr>
      </w:r>
    </w:p>
    <w:p w:rsidR="00000000" w:rsidDel="00000000" w:rsidRDefault="00000000" w14:paraId="00000017" w:rsidP="00000000" w:rsidRPr="00000000">
      <w:pPr>
        <w:pStyle w:val="Heading1"/>
        <w:numPr>
          <w:ilvl w:val="0"/>
          <w:numId w:val="1"/>
        </w:numPr>
        <w:jc w:val="left"/>
        <w:ind w:left="432"/>
        <w:ind w:hanging="432"/>
        <w:rPr>
          <w:b w:val="0"/>
          <w:u w:val="none"/>
          <w:sz w:val="22"/>
          <w:szCs w:val="22"/>
        </w:rPr>
      </w:pPr>
      <w:r w:rsidR="00000000" w:rsidDel="00000000" w:rsidRPr="00000000">
        <w:rPr>
          <w:rtl w:val="0"/>
          <w:b/>
          <w:u w:val="none"/>
          <w:rFonts w:ascii="Arial" w:cs="Arial" w:eastAsia="Arial" w:hAnsi="Arial"/>
          <w:sz w:val="22"/>
          <w:szCs w:val="22"/>
        </w:rPr>
        <w:t>MAIN BODY</w:t>
      </w:r>
      <w:r w:rsidR="00000000" w:rsidDel="00000000" w:rsidRPr="00000000">
        <w:rPr>
          <w:rtl w:val="0"/>
          <w:b w:val="0"/>
          <w:u w:val="none"/>
          <w:sz w:val="22"/>
          <w:szCs w:val="22"/>
        </w:rPr>
        <w:t>.........................................................................................................................................3</w:t>
      </w:r>
    </w:p>
    <w:p w:rsidR="00000000" w:rsidDel="00000000" w:rsidRDefault="00000000" w14:paraId="00000018" w:rsidP="00000000" w:rsidRPr="00000000">
      <w:pPr>
        <w:pStyle w:val="Heading1"/>
        <w:numPr>
          <w:ilvl w:val="0"/>
          <w:numId w:val="1"/>
        </w:numPr>
        <w:jc w:val="left"/>
        <w:ind w:left="432"/>
        <w:ind w:hanging="432"/>
        <w:rPr>
          <w:b w:val="0"/>
          <w:rFonts w:ascii="Arial" w:cs="Arial" w:eastAsia="Arial" w:hAnsi="Arial"/>
          <w:sz w:val="22"/>
          <w:szCs w:val="22"/>
        </w:rPr>
      </w:pPr>
      <w:r w:rsidR="00000000" w:rsidDel="00000000" w:rsidRPr="00000000">
        <w:rPr>
          <w:rtl w:val="0"/>
          <w:b w:val="0"/>
          <w:rFonts w:ascii="Arial" w:cs="Arial" w:eastAsia="Arial" w:hAnsi="Arial"/>
          <w:sz w:val="22"/>
          <w:szCs w:val="22"/>
        </w:rPr>
        <w:t>1. Ways in which Marks and Spenser is using its resources to improve the lives of the community..............................................................................................................................3</w:t>
      </w:r>
    </w:p>
    <w:p w:rsidR="00000000" w:rsidDel="00000000" w:rsidRDefault="00000000" w14:paraId="00000019" w:rsidP="00000000" w:rsidRPr="00000000">
      <w:pPr>
        <w:pStyle w:val="Heading1"/>
        <w:numPr>
          <w:ilvl w:val="0"/>
          <w:numId w:val="1"/>
        </w:numPr>
        <w:jc w:val="center"/>
        <w:ind w:left="432"/>
        <w:ind w:hanging="432"/>
        <w:rPr>
          <w:b w:val="0"/>
          <w:u w:val="none"/>
          <w:rFonts w:ascii="Arial" w:cs="Arial" w:eastAsia="Arial" w:hAnsi="Arial"/>
          <w:sz w:val="22"/>
          <w:szCs w:val="22"/>
        </w:rPr>
      </w:pPr>
      <w:r>
        <w:rPr>
          <w:b w:val="0"/>
          <w:u w:val="none"/>
          <w:color w:val="333333"/>
          <w:rFonts w:ascii="Arial" w:cs="Arial" w:eastAsia="Arial" w:hAnsi="Arial"/>
          <w:sz w:val="22"/>
          <w:szCs w:val="22"/>
        </w:rPr>
        <w:t>2. Key activities and areas of marks and Spenser in relation with their community enagemnt activities.</w:t>
      </w:r>
      <w:r>
        <w:rPr>
          <w:b w:val="0"/>
          <w:u w:val="none"/>
          <w:color w:val="333333"/>
          <w:rFonts w:ascii="Arial" w:cs="Arial" w:eastAsia="Arial" w:hAnsi="Arial"/>
          <w:sz w:val="22"/>
          <w:szCs w:val="22"/>
        </w:rPr>
        <w:tab/>
      </w:r>
      <w:r>
        <w:rPr>
          <w:b w:val="0"/>
          <w:u w:val="none"/>
          <w:color w:val="333333"/>
          <w:rFonts w:ascii="Arial" w:cs="Arial" w:eastAsia="Arial" w:hAnsi="Arial"/>
          <w:sz w:val="22"/>
          <w:szCs w:val="22"/>
        </w:rPr>
        <w:t>........................................................................................................................4</w:t>
      </w:r>
      <w:r w:rsidR="00000000" w:rsidDel="00000000" w:rsidRPr="00000000">
        <w:rPr>
          <w:rtl w:val="0"/>
        </w:rPr>
      </w:r>
    </w:p>
    <w:p w:rsidR="00000000" w:rsidDel="00000000" w:rsidRDefault="00000000" w14:paraId="0000001A" w:rsidP="00000000" w:rsidRPr="00000000">
      <w:pPr>
        <w:pStyle w:val="Heading1"/>
        <w:numPr>
          <w:ilvl w:val="0"/>
          <w:numId w:val="1"/>
        </w:numPr>
        <w:jc w:val="center"/>
        <w:ind w:left="432"/>
        <w:ind w:hanging="432"/>
        <w:rPr>
          <w:b w:val="0"/>
          <w:u w:val="none"/>
          <w:rFonts w:ascii="Arial" w:cs="Arial" w:eastAsia="Arial" w:hAnsi="Arial"/>
          <w:sz w:val="22"/>
          <w:szCs w:val="22"/>
        </w:rPr>
      </w:pPr>
      <w:r w:rsidR="00000000" w:rsidDel="00000000" w:rsidRPr="00000000">
        <w:rPr>
          <w:rtl w:val="0"/>
          <w:b w:val="0"/>
          <w:u w:val="none"/>
          <w:color w:val="333333"/>
          <w:rFonts w:ascii="Arial" w:cs="Arial" w:eastAsia="Arial" w:hAnsi="Arial"/>
          <w:sz w:val="22"/>
          <w:szCs w:val="22"/>
        </w:rPr>
        <w:t>3. Importance of the community engagement role in Marks and Spenser business..............5</w:t>
      </w:r>
      <w:r w:rsidR="00000000" w:rsidDel="00000000" w:rsidRPr="00000000">
        <w:rPr>
          <w:rtl w:val="0"/>
        </w:rPr>
      </w:r>
    </w:p>
    <w:p w:rsidR="00000000" w:rsidDel="00000000" w:rsidRDefault="00000000" w14:paraId="0000001B" w:rsidP="00000000" w:rsidRPr="00000000">
      <w:pPr>
        <w:pStyle w:val="Heading1"/>
        <w:numPr>
          <w:ilvl w:val="0"/>
          <w:numId w:val="1"/>
        </w:numPr>
        <w:jc w:val="center"/>
        <w:ind w:left="432"/>
        <w:ind w:hanging="432"/>
        <w:rPr>
          <w:b w:val="0"/>
          <w:u w:val="none"/>
          <w:rFonts w:ascii="Arial" w:cs="Arial" w:eastAsia="Arial" w:hAnsi="Arial"/>
          <w:sz w:val="22"/>
          <w:szCs w:val="22"/>
        </w:rPr>
      </w:pPr>
      <w:r w:rsidR="00000000" w:rsidDel="00000000" w:rsidRPr="00000000">
        <w:rPr>
          <w:rtl w:val="0"/>
          <w:b w:val="0"/>
          <w:u w:val="none"/>
          <w:color w:val="333333"/>
          <w:rFonts w:ascii="Arial" w:cs="Arial" w:eastAsia="Arial" w:hAnsi="Arial"/>
          <w:sz w:val="22"/>
          <w:szCs w:val="22"/>
        </w:rPr>
        <w:t>4. Marks and Spenser future community engagement plans and strategy.............................6</w:t>
      </w:r>
      <w:r w:rsidR="00000000" w:rsidDel="00000000" w:rsidRPr="00000000">
        <w:rPr>
          <w:rtl w:val="0"/>
        </w:rPr>
      </w:r>
    </w:p>
    <w:p w:rsidR="00000000" w:rsidDel="00000000" w:rsidRDefault="00000000" w14:paraId="0000001C" w:rsidP="00000000" w:rsidRPr="00000000">
      <w:pPr>
        <w:pStyle w:val="Heading1"/>
        <w:numPr>
          <w:ilvl w:val="0"/>
          <w:numId w:val="1"/>
        </w:numPr>
        <w:jc w:val="center"/>
        <w:ind w:left="432"/>
        <w:ind w:hanging="432"/>
        <w:rPr>
          <w:b w:val="0"/>
          <w:u w:val="none"/>
          <w:rFonts w:ascii="Arial" w:cs="Arial" w:eastAsia="Arial" w:hAnsi="Arial"/>
          <w:sz w:val="22"/>
          <w:szCs w:val="22"/>
        </w:rPr>
      </w:pPr>
      <w:r w:rsidR="00000000" w:rsidDel="00000000" w:rsidRPr="00000000">
        <w:rPr>
          <w:rtl w:val="0"/>
          <w:b w:val="0"/>
          <w:u w:val="none"/>
          <w:color w:val="333333"/>
          <w:rFonts w:ascii="Arial" w:cs="Arial" w:eastAsia="Arial" w:hAnsi="Arial"/>
          <w:sz w:val="22"/>
          <w:szCs w:val="22"/>
        </w:rPr>
        <w:t>Discussion and analysis.........................................................................................................7</w:t>
      </w:r>
      <w:r w:rsidR="00000000" w:rsidDel="00000000" w:rsidRPr="00000000">
        <w:rPr>
          <w:rtl w:val="0"/>
        </w:rPr>
      </w:r>
    </w:p>
    <w:p w:rsidR="00000000" w:rsidDel="00000000" w:rsidRDefault="00000000" w14:paraId="0000001D" w:rsidP="00000000" w:rsidRPr="00000000">
      <w:pPr>
        <w:pStyle w:val="Heading1"/>
        <w:numPr>
          <w:ilvl w:val="0"/>
          <w:numId w:val="1"/>
        </w:numPr>
        <w:jc w:val="center"/>
        <w:ind w:left="432"/>
        <w:ind w:hanging="432"/>
        <w:rPr>
          <w:b w:val="0"/>
          <w:u w:val="none"/>
          <w:rFonts w:ascii="Arial" w:cs="Arial" w:eastAsia="Arial" w:hAnsi="Arial"/>
          <w:sz w:val="22"/>
          <w:szCs w:val="22"/>
        </w:rPr>
      </w:pPr>
      <w:r w:rsidR="00000000" w:rsidDel="00000000" w:rsidRPr="00000000">
        <w:rPr>
          <w:rtl w:val="0"/>
          <w:b/>
          <w:u w:val="none"/>
          <w:color w:val="333333"/>
          <w:rFonts w:ascii="Arial" w:cs="Arial" w:eastAsia="Arial" w:hAnsi="Arial"/>
          <w:sz w:val="22"/>
          <w:szCs w:val="22"/>
        </w:rPr>
        <w:t>CONCLUSION.</w:t>
      </w:r>
      <w:r w:rsidR="00000000" w:rsidDel="00000000" w:rsidRPr="00000000">
        <w:rPr>
          <w:rtl w:val="0"/>
          <w:b w:val="0"/>
          <w:u w:val="none"/>
          <w:color w:val="333333"/>
          <w:rFonts w:ascii="Arial" w:cs="Arial" w:eastAsia="Arial" w:hAnsi="Arial"/>
          <w:sz w:val="22"/>
          <w:szCs w:val="22"/>
        </w:rPr>
        <w:t>......................................................................................................................7</w:t>
      </w:r>
      <w:r w:rsidR="00000000" w:rsidDel="00000000" w:rsidRPr="00000000">
        <w:rPr>
          <w:rtl w:val="0"/>
        </w:rPr>
      </w:r>
    </w:p>
    <w:p w:rsidR="00000000" w:rsidDel="00000000" w:rsidRDefault="00000000" w14:paraId="0000001E" w:rsidP="00000000" w:rsidRPr="00000000">
      <w:pPr>
        <w:pStyle w:val="Heading1"/>
        <w:numPr>
          <w:ilvl w:val="0"/>
          <w:numId w:val="1"/>
        </w:numPr>
        <w:jc w:val="center"/>
        <w:ind w:left="432"/>
        <w:ind w:hanging="432"/>
        <w:rPr>
          <w:b w:val="0"/>
          <w:u w:val="none"/>
          <w:rFonts w:ascii="Arial" w:cs="Arial" w:eastAsia="Arial" w:hAnsi="Arial"/>
          <w:sz w:val="22"/>
          <w:szCs w:val="22"/>
        </w:rPr>
      </w:pPr>
      <w:r w:rsidR="00000000" w:rsidDel="00000000" w:rsidRPr="00000000">
        <w:rPr>
          <w:rtl w:val="0"/>
          <w:b/>
          <w:u w:val="none"/>
          <w:color w:val="333333"/>
          <w:rFonts w:ascii="Arial" w:cs="Arial" w:eastAsia="Arial" w:hAnsi="Arial"/>
          <w:sz w:val="22"/>
          <w:szCs w:val="22"/>
        </w:rPr>
        <w:t>REFERENCES.</w:t>
      </w:r>
      <w:r w:rsidR="00000000" w:rsidDel="00000000" w:rsidRPr="00000000">
        <w:rPr>
          <w:rtl w:val="0"/>
          <w:b w:val="0"/>
          <w:u w:val="none"/>
          <w:color w:val="333333"/>
          <w:rFonts w:ascii="Arial" w:cs="Arial" w:eastAsia="Arial" w:hAnsi="Arial"/>
          <w:sz w:val="22"/>
          <w:szCs w:val="22"/>
        </w:rPr>
        <w:t>......................................................................................................................8</w:t>
      </w:r>
      <w:r w:rsidR="00000000" w:rsidDel="00000000" w:rsidRPr="00000000">
        <w:rPr>
          <w:rtl w:val="0"/>
        </w:rPr>
      </w:r>
    </w:p>
    <w:p w:rsidR="00000000" w:rsidDel="00000000" w:rsidRDefault="00000000" w14:paraId="0000001F" w:rsidP="00000000" w:rsidRPr="00000000">
      <w:pPr>
        <w:pStyle w:val="Heading1"/>
        <w:numPr>
          <w:ilvl w:val="0"/>
          <w:numId w:val="1"/>
        </w:numPr>
        <w:jc w:val="center"/>
        <w:ind w:left="432"/>
        <w:ind w:hanging="432"/>
        <w:rPr>
          <w:b w:val="0"/>
          <w:u w:val="none"/>
        </w:rPr>
      </w:pPr>
      <w:r w:rsidR="00000000" w:rsidDel="00000000" w:rsidRPr="00000000">
        <w:rPr>
          <w:rtl w:val="0"/>
        </w:rPr>
      </w:r>
    </w:p>
    <w:p w:rsidR="00000000" w:rsidDel="00000000" w:rsidRDefault="00000000" w14:paraId="00000020" w:rsidP="00000000" w:rsidRPr="00000000">
      <w:pPr>
        <w:pStyle w:val="Heading1"/>
        <w:numPr>
          <w:ilvl w:val="0"/>
          <w:numId w:val="1"/>
        </w:numPr>
        <w:jc w:val="center"/>
        <w:ind w:left="432"/>
        <w:ind w:hanging="432"/>
        <w:rPr>
          <w:u w:val="single"/>
        </w:rPr>
      </w:pPr>
      <w:r w:rsidR="00000000" w:rsidDel="00000000" w:rsidRPr="00000000">
        <w:rPr>
          <w:rtl w:val="0"/>
        </w:rPr>
      </w:r>
    </w:p>
    <w:p w:rsidR="00000000" w:rsidDel="00000000" w:rsidRDefault="00000000" w14:paraId="00000021" w:rsidP="00000000" w:rsidRPr="00000000">
      <w:pPr>
        <w:pStyle w:val="Heading1"/>
        <w:numPr>
          <w:ilvl w:val="0"/>
          <w:numId w:val="1"/>
        </w:numPr>
        <w:jc w:val="center"/>
        <w:ind w:left="432"/>
        <w:ind w:hanging="432"/>
        <w:rPr>
          <w:u w:val="single"/>
        </w:rPr>
      </w:pPr>
      <w:r w:rsidR="00000000" w:rsidDel="00000000" w:rsidRPr="00000000">
        <w:rPr>
          <w:rtl w:val="0"/>
        </w:rPr>
      </w:r>
    </w:p>
    <w:p w:rsidR="00000000" w:rsidDel="00000000" w:rsidRDefault="00000000" w14:paraId="00000022" w:rsidP="00000000" w:rsidRPr="00000000">
      <w:pPr>
        <w:pStyle w:val="Heading1"/>
        <w:numPr>
          <w:ilvl w:val="0"/>
          <w:numId w:val="1"/>
        </w:numPr>
        <w:jc w:val="center"/>
        <w:ind w:left="432"/>
        <w:ind w:hanging="432"/>
        <w:sectPr>
          <w:pgNumType w:start="1"/>
          <w:pgSz w:w="12240" w:h="15840" w:orient="portrait"/>
          <w:pgMar w:left="1440" w:right="1440" w:top="1440" w:bottom="1440" w:header="360" w:footer="360"/>
        </w:sectPr>
        <w:rPr>
          <w:u w:val="single"/>
        </w:rPr>
      </w:pPr>
      <w:r w:rsidR="00000000" w:rsidDel="00000000" w:rsidRPr="00000000">
        <w:rPr>
          <w:rtl w:val="0"/>
        </w:rPr>
      </w:r>
    </w:p>
    <w:p w:rsidR="00000000" w:rsidDel="00000000" w:rsidRDefault="00000000" w14:paraId="00000023" w:rsidP="00000000" w:rsidRPr="00000000">
      <w:pPr>
        <w:pStyle w:val="Heading1"/>
        <w:numPr>
          <w:ilvl w:val="0"/>
          <w:numId w:val="1"/>
        </w:numPr>
        <w:ind w:left="432"/>
        <w:ind w:hanging="432"/>
        <w:pageBreakBefore/>
        <w:rPr>
          <w:rFonts w:ascii="Arial" w:cs="Arial" w:eastAsia="Arial" w:hAnsi="Arial"/>
          <w:sz w:val="22"/>
          <w:szCs w:val="22"/>
        </w:rPr>
      </w:pPr>
      <w:r w:rsidR="00000000" w:rsidDel="00000000" w:rsidRPr="00000000">
        <w:rPr>
          <w:rtl w:val="0"/>
          <w:rFonts w:ascii="Arial" w:cs="Arial" w:eastAsia="Arial" w:hAnsi="Arial"/>
          <w:sz w:val="22"/>
          <w:szCs w:val="22"/>
        </w:rPr>
        <w:t>INTRODUCTION</w:t>
      </w:r>
    </w:p>
    <w:p w:rsidR="00000000" w:rsidDel="00000000" w:rsidRDefault="00000000" w14:paraId="00000024"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Arial" w:cs="Arial" w:eastAsia="Arial" w:hAnsi="Arial"/>
          <w:sz w:val="22"/>
          <w:szCs w:val="22"/>
          <w:smallCaps w:val="0"/>
          <w:shd w:fill="auto" w:val="clear"/>
        </w:rPr>
      </w:pP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Community engagement is a strategic process with the purpose of getting involved and participate in an enterprise for the social welfare of community as whole. Community engagement makes an organization observe the community values and principles it operates in, by working towards the betterment of it (</w:t>
      </w:r>
      <w:r w:rsidR="00000000" w:rsidDel="00000000" w:rsidRPr="00000000">
        <w:rPr>
          <w:rtl w:val="0"/>
          <w:b w:val="0"/>
          <w:i w:val="0"/>
          <w:u w:val="none"/>
          <w:strike w:val="0"/>
          <w:color w:val="222222"/>
          <w:rFonts w:ascii="Arial" w:cs="Arial" w:eastAsia="Arial" w:hAnsi="Arial"/>
          <w:sz w:val="22"/>
          <w:szCs w:val="22"/>
          <w:smallCaps w:val="0"/>
          <w:shd w:fill="auto" w:val="clear"/>
        </w:rPr>
        <w:t>Hartley, 2022)</w:t>
      </w:r>
      <w:r w:rsidR="00000000" w:rsidDel="00000000" w:rsidRPr="00000000">
        <w:rPr>
          <w:rtl w:val="0"/>
          <w:b w:val="0"/>
          <w:i w:val="0"/>
          <w:u w:val="none"/>
          <w:strike w:val="0"/>
          <w:color w:val="000000"/>
          <w:rFonts w:ascii="Arial" w:cs="Arial" w:eastAsia="Arial" w:hAnsi="Arial"/>
          <w:sz w:val="22"/>
          <w:szCs w:val="22"/>
          <w:smallCaps w:val="0"/>
          <w:shd w:fill="auto" w:val="clear"/>
        </w:rPr>
        <w:t>. The report will comprehensively outline the ways Marks and Spenser is using their resources to improve the community. Also, key activities of the company in relation with their community engagement activities will be elaborated. Further vitality of the community engagement role in the business will be illustrated. At last the future community engagement plans and strategies of the Marks and Spenser will be discussed.</w:t>
      </w:r>
    </w:p>
    <w:p w:rsidR="00000000" w:rsidDel="00000000" w:rsidRDefault="00000000" w14:paraId="00000025" w:rsidP="00000000" w:rsidRPr="00000000">
      <w:pPr>
        <w:pStyle w:val="Heading1"/>
        <w:numPr>
          <w:ilvl w:val="0"/>
          <w:numId w:val="1"/>
        </w:numPr>
        <w:ind w:left="432"/>
        <w:ind w:hanging="432"/>
        <w:rPr>
          <w:rFonts w:ascii="Arial" w:cs="Arial" w:eastAsia="Arial" w:hAnsi="Arial"/>
          <w:sz w:val="22"/>
          <w:szCs w:val="22"/>
        </w:rPr>
      </w:pPr>
      <w:r w:rsidR="00000000" w:rsidDel="00000000" w:rsidRPr="00000000">
        <w:rPr>
          <w:rtl w:val="0"/>
          <w:rFonts w:ascii="Arial" w:cs="Arial" w:eastAsia="Arial" w:hAnsi="Arial"/>
          <w:sz w:val="22"/>
          <w:szCs w:val="22"/>
        </w:rPr>
        <w:t>MAIN BODY</w:t>
      </w:r>
    </w:p>
    <w:p w:rsidR="00000000" w:rsidDel="00000000" w:rsidRDefault="00000000" w14:paraId="00000026" w:rsidP="00000000" w:rsidRPr="00000000">
      <w:pPr>
        <w:pStyle w:val="Heading2"/>
        <w:numPr>
          <w:ilvl w:val="1"/>
          <w:numId w:val="1"/>
        </w:numPr>
        <w:ind w:left="576"/>
        <w:ind w:hanging="576"/>
        <w:rPr>
          <w:b/>
          <w:rFonts w:ascii="Arial" w:cs="Arial" w:eastAsia="Arial" w:hAnsi="Arial"/>
          <w:sz w:val="22"/>
          <w:szCs w:val="22"/>
        </w:rPr>
      </w:pPr>
      <w:r w:rsidR="00000000" w:rsidDel="00000000" w:rsidRPr="00000000">
        <w:rPr>
          <w:rtl w:val="0"/>
          <w:b/>
          <w:rFonts w:ascii="Arial" w:cs="Arial" w:eastAsia="Arial" w:hAnsi="Arial"/>
          <w:sz w:val="22"/>
          <w:szCs w:val="22"/>
        </w:rPr>
        <w:t>1. Ways in which Marks and Spenser is using its resources to improve the lives of the community.</w:t>
      </w:r>
    </w:p>
    <w:p w:rsidR="00000000" w:rsidDel="00000000" w:rsidRDefault="00000000" w14:paraId="0000002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Arial" w:cs="Arial" w:eastAsia="Arial" w:hAnsi="Arial"/>
          <w:sz w:val="22"/>
          <w:szCs w:val="22"/>
          <w:smallCaps w:val="0"/>
          <w:shd w:fill="auto" w:val="clear"/>
        </w:rPr>
      </w:pP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 xml:space="preserve">For the years now Marks and Spenser has been constantly putting efforts to make the community a better place for the individuals. As Marks and Spenser understands the responsibilities towards the community from which takes a lot of resources make the business thrive. It is using its numerous resources such as financial, man power, research and development departmental to bring out the best in society and community. Company has engaged a lot of its resources in driving its business towards substantiality, as sustainable choices are the future of the world. One of major practices which are being exercised by the Marks and Spenser is charity work, they are using their resource to donate the money and efforts towards the charity work. In less than four years their card which is called “sparks card for good” will donate over 5 million through a CAF (charities aid foundation)for a good cause </w:t>
      </w:r>
      <w:r w:rsidR="00000000" w:rsidDel="00000000" w:rsidRPr="00000000">
        <w:rPr>
          <w:rtl w:val="0"/>
          <w:b w:val="0"/>
          <w:i w:val="0"/>
          <w:u w:val="none"/>
          <w:strike w:val="0"/>
          <w:color w:val="222222"/>
          <w:rFonts w:ascii="Arial" w:cs="Arial" w:eastAsia="Arial" w:hAnsi="Arial"/>
          <w:sz w:val="22"/>
          <w:szCs w:val="22"/>
          <w:smallCaps w:val="0"/>
          <w:shd w:fill="auto" w:val="clear"/>
        </w:rPr>
        <w:t>(Thorne and et.al., 2022)</w:t>
      </w:r>
      <w:r w:rsidR="00000000" w:rsidDel="00000000" w:rsidRPr="00000000">
        <w:rPr>
          <w:rtl w:val="0"/>
          <w:b w:val="0"/>
          <w:i w:val="0"/>
          <w:u w:val="none"/>
          <w:strike w:val="0"/>
          <w:color w:val="000000"/>
          <w:rFonts w:ascii="Arial" w:cs="Arial" w:eastAsia="Arial" w:hAnsi="Arial"/>
          <w:sz w:val="22"/>
          <w:szCs w:val="22"/>
          <w:smallCaps w:val="0"/>
          <w:shd w:fill="auto" w:val="clear"/>
        </w:rPr>
        <w:t>.</w:t>
      </w:r>
    </w:p>
    <w:p w:rsidR="00000000" w:rsidDel="00000000" w:rsidRDefault="00000000" w14:paraId="0000002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Arial" w:cs="Arial" w:eastAsia="Arial" w:hAnsi="Arial"/>
          <w:sz w:val="22"/>
          <w:szCs w:val="22"/>
          <w:smallCaps w:val="0"/>
          <w:shd w:fill="auto" w:val="clear"/>
        </w:rPr>
      </w:pP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Marks and Spenser has launched these card which are being signed up by the customers and holding this card gives them a choice to donate for every purchase they make, for each time customer use the card they donate 1p to the good cause. Company is also making he donation to the good causes, and they are investing a lot of resources in their research and development department as they are trying to adapt the sustainable practices in their business. Starting from the elimination of the plastic packing and targeting zero waste. Marks and Spenser is an internation business organization, in order to make the lives of the people in the community better, it is giving the local people a chance to work with the company this way Marks and Spenser is giving employment to people and make the lives of the people better.</w:t>
      </w:r>
    </w:p>
    <w:p w:rsidR="00000000" w:rsidDel="00000000" w:rsidRDefault="00000000" w14:paraId="0000002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Arial" w:cs="Arial" w:eastAsia="Arial" w:hAnsi="Arial"/>
          <w:sz w:val="22"/>
          <w:szCs w:val="22"/>
          <w:smallCaps w:val="0"/>
          <w:shd w:fill="auto" w:val="clear"/>
        </w:rPr>
      </w:pP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 xml:space="preserve">The sense of generating employment works best for every economy. Rather than hiring the employees from the home county, Marks and Spenser hires the locals for the area of operation and to work in their stores. This way they are contribution to the community by giving employment and salaries. In their store as and different areas of operation as well Marks and Spenser is using their human resource department to develop a very inclusivity and bias free working environment where they can create a heathy working space </w:t>
      </w:r>
      <w:r w:rsidR="00000000" w:rsidDel="00000000" w:rsidRPr="00000000">
        <w:rPr>
          <w:rtl w:val="0"/>
          <w:b w:val="0"/>
          <w:i w:val="0"/>
          <w:u w:val="none"/>
          <w:strike w:val="0"/>
          <w:color w:val="222222"/>
          <w:rFonts w:ascii="Arial" w:cs="Arial" w:eastAsia="Arial" w:hAnsi="Arial"/>
          <w:sz w:val="22"/>
          <w:szCs w:val="22"/>
          <w:smallCaps w:val="0"/>
          <w:shd w:fill="auto" w:val="clear"/>
        </w:rPr>
        <w:t>(Reynolds and Sariola, 2018)</w:t>
      </w:r>
      <w:r w:rsidR="00000000" w:rsidDel="00000000" w:rsidRPr="00000000">
        <w:rPr>
          <w:rtl w:val="0"/>
          <w:b w:val="0"/>
          <w:i w:val="0"/>
          <w:u w:val="none"/>
          <w:strike w:val="0"/>
          <w:color w:val="000000"/>
          <w:rFonts w:ascii="Arial" w:cs="Arial" w:eastAsia="Arial" w:hAnsi="Arial"/>
          <w:sz w:val="22"/>
          <w:szCs w:val="22"/>
          <w:smallCaps w:val="0"/>
          <w:shd w:fill="auto" w:val="clear"/>
        </w:rPr>
        <w:t>. Hence, Marks and Spenser seem to utilize each and every resource such as financial, human resources, R&amp;D etc. which can bring out the good in community and society.</w:t>
      </w:r>
    </w:p>
    <w:p w:rsidR="00000000" w:rsidDel="00000000" w:rsidRDefault="00000000" w14:paraId="0000002A" w:rsidP="00000000" w:rsidRPr="00000000">
      <w:pPr>
        <w:pStyle w:val="Heading2"/>
        <w:numPr>
          <w:ilvl w:val="1"/>
          <w:numId w:val="1"/>
        </w:numPr>
        <w:ind w:left="576"/>
        <w:ind w:hanging="576"/>
        <w:rPr>
          <w:b/>
          <w:rFonts w:ascii="Arial" w:cs="Arial" w:eastAsia="Arial" w:hAnsi="Arial"/>
          <w:sz w:val="22"/>
          <w:szCs w:val="22"/>
        </w:rPr>
      </w:pPr>
      <w:r w:rsidR="00000000" w:rsidDel="00000000" w:rsidRPr="00000000">
        <w:rPr>
          <w:rtl w:val="0"/>
          <w:b/>
          <w:rFonts w:ascii="Arial" w:cs="Arial" w:eastAsia="Arial" w:hAnsi="Arial"/>
          <w:sz w:val="22"/>
          <w:szCs w:val="22"/>
        </w:rPr>
        <w:t>2. Key activities and areas of Marks and Spenser in relation with their community enagemnt activities.</w:t>
      </w:r>
    </w:p>
    <w:p w:rsidR="00000000" w:rsidDel="00000000" w:rsidRDefault="00000000" w14:paraId="0000002B"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Arial" w:cs="Arial" w:eastAsia="Arial" w:hAnsi="Arial"/>
          <w:sz w:val="22"/>
          <w:szCs w:val="22"/>
          <w:smallCaps w:val="0"/>
          <w:shd w:fill="auto" w:val="clear"/>
        </w:rPr>
      </w:pP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Marks and Spenser has been working for making the contribution towards every sector of the community engagement. Starting from their hiring process, they have made a vision of bringing the inclusivity at all levels of the hierarchy, no matter what kind of job role it is in the company, every individual must be given an equal chance to appear for the interview in the organization. Hiring process is such that they are looking forward to filing the gender gap and making the women the face of business. Company believes in women empowerment and is broadening their vision to make the organization a co working space, company has made strict policies which makes organization condemn and address any behaviour which is based on the bias nature.</w:t>
      </w:r>
    </w:p>
    <w:p w:rsidR="00000000" w:rsidDel="00000000" w:rsidRDefault="00000000" w14:paraId="0000002C"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Arial" w:cs="Arial" w:eastAsia="Arial" w:hAnsi="Arial"/>
          <w:sz w:val="22"/>
          <w:szCs w:val="22"/>
          <w:smallCaps w:val="0"/>
          <w:shd w:fill="auto" w:val="clear"/>
        </w:rPr>
      </w:pP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 xml:space="preserve">Marks and Spenser is working towards bringing inclusivity, bias free, diversified working space where there is no bias based on age, caste, creed, gender, race, background etc. In order to make the lives of individual better they have invented employee code of conduct which needs to be bided by every one on the organization. Such code of conduct are enhancing the community by setting as an example of preaching and practising the best sort of employee practices. Further, company is adapting sustainable business practices and the most evident one is in the year 2021 when the company's has made the commitment to go net zero by 2040 across its all values chain and business models. This has been the industry leading practices which is going to bring fortune for the community in long term. Such practices are going to make the environment better </w:t>
      </w:r>
      <w:r w:rsidR="00000000" w:rsidDel="00000000" w:rsidRPr="00000000">
        <w:rPr>
          <w:rtl w:val="0"/>
          <w:b w:val="0"/>
          <w:i w:val="0"/>
          <w:u w:val="none"/>
          <w:strike w:val="0"/>
          <w:color w:val="222222"/>
          <w:rFonts w:ascii="Arial" w:cs="Arial" w:eastAsia="Arial" w:hAnsi="Arial"/>
          <w:sz w:val="22"/>
          <w:szCs w:val="22"/>
          <w:smallCaps w:val="0"/>
          <w:shd w:fill="auto" w:val="clear"/>
        </w:rPr>
        <w:t>(Corbett, 2018)</w:t>
      </w:r>
      <w:r w:rsidR="00000000" w:rsidDel="00000000" w:rsidRPr="00000000">
        <w:rPr>
          <w:rtl w:val="0"/>
          <w:b w:val="0"/>
          <w:i w:val="0"/>
          <w:u w:val="none"/>
          <w:strike w:val="0"/>
          <w:color w:val="000000"/>
          <w:rFonts w:ascii="Arial" w:cs="Arial" w:eastAsia="Arial" w:hAnsi="Arial"/>
          <w:sz w:val="22"/>
          <w:szCs w:val="22"/>
          <w:smallCaps w:val="0"/>
          <w:shd w:fill="auto" w:val="clear"/>
        </w:rPr>
        <w:t>.</w:t>
      </w:r>
    </w:p>
    <w:p w:rsidR="00000000" w:rsidDel="00000000" w:rsidRDefault="00000000" w14:paraId="0000002D"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Arial" w:cs="Arial" w:eastAsia="Arial" w:hAnsi="Arial"/>
          <w:sz w:val="22"/>
          <w:szCs w:val="22"/>
          <w:smallCaps w:val="0"/>
          <w:shd w:fill="auto" w:val="clear"/>
        </w:rPr>
      </w:pP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Further, they have also committed to minimize all kinds of wastage be it in production or manufacturing units or inventory warehouses. Optimum utilization of resources has been the aim of the company which can save the cost, bring out the low price product in the market which can be afforded by the different people in the community. Even the lower income group people can afford the products of the company. Hence, it is very evident that company has made it an aim to indulge in each such practices which can bring enhancement in the community, by making the health of the people better, reducing the pollution level, reducing wastage, elimination of the one time use plastic packaging etc.</w:t>
      </w:r>
      <w:r w:rsidR="00000000" w:rsidDel="00000000" w:rsidRPr="00000000">
        <w:rPr>
          <w:rtl w:val="0"/>
          <w:b w:val="0"/>
          <w:i w:val="0"/>
          <w:u w:val="none"/>
          <w:strike w:val="0"/>
          <w:color w:val="222222"/>
          <w:rFonts w:ascii="Arial" w:cs="Arial" w:eastAsia="Arial" w:hAnsi="Arial"/>
          <w:sz w:val="22"/>
          <w:szCs w:val="22"/>
          <w:smallCaps w:val="0"/>
          <w:shd w:fill="auto" w:val="clear"/>
        </w:rPr>
        <w:t>(Ardito, Dangelico and Messeni Petruzzelli, 2021).</w:t>
      </w:r>
      <w:r w:rsidR="00000000" w:rsidDel="00000000" w:rsidRPr="00000000">
        <w:rPr>
          <w:rtl w:val="0"/>
        </w:rPr>
      </w:r>
    </w:p>
    <w:p w:rsidR="00000000" w:rsidDel="00000000" w:rsidRDefault="00000000" w14:paraId="0000002E" w:rsidP="00000000" w:rsidRPr="00000000">
      <w:pPr>
        <w:pStyle w:val="Heading2"/>
        <w:numPr>
          <w:ilvl w:val="1"/>
          <w:numId w:val="1"/>
        </w:numPr>
        <w:ind w:left="576"/>
        <w:ind w:hanging="576"/>
        <w:rPr>
          <w:b/>
          <w:rFonts w:ascii="Arial" w:cs="Arial" w:eastAsia="Arial" w:hAnsi="Arial"/>
          <w:sz w:val="22"/>
          <w:szCs w:val="22"/>
        </w:rPr>
      </w:pPr>
      <w:r w:rsidR="00000000" w:rsidDel="00000000" w:rsidRPr="00000000">
        <w:rPr>
          <w:rtl w:val="0"/>
          <w:b/>
          <w:rFonts w:ascii="Arial" w:cs="Arial" w:eastAsia="Arial" w:hAnsi="Arial"/>
          <w:sz w:val="22"/>
          <w:szCs w:val="22"/>
        </w:rPr>
        <w:t>3. Importance of the community engagement role in Marks and Spenser business.</w:t>
      </w:r>
    </w:p>
    <w:p w:rsidR="00000000" w:rsidDel="00000000" w:rsidRDefault="00000000" w14:paraId="0000002F"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Arial" w:cs="Arial" w:eastAsia="Arial" w:hAnsi="Arial"/>
          <w:sz w:val="22"/>
          <w:szCs w:val="22"/>
          <w:smallCaps w:val="0"/>
          <w:shd w:fill="auto" w:val="clear"/>
        </w:rPr>
      </w:pP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 xml:space="preserve">With the rise of expanding public engagement on a global level, Marks and Spenser identified various ways which are directly and indirectly benefiting the organization. As very important is the improved visibility of the organization, when the government authorities and local bodies sees an organization performing community engagement activities which are making the Community a better place for the people., they tend to hold the organization in high regards. Such community engagement practices helps government listen to the business and it needs. It plays signifiant role in the well functioning of the business. Another such crucial important of community engagement in Marks and Spenser is facilitation of its vision, company believes the customer is the king of the business, and they must constantly bring our the direct and indirect measures which can make customers and public in general appreciate the existence of the business </w:t>
      </w:r>
      <w:r w:rsidR="00000000" w:rsidDel="00000000" w:rsidRPr="00000000">
        <w:rPr>
          <w:rtl w:val="0"/>
          <w:b w:val="0"/>
          <w:i w:val="0"/>
          <w:u w:val="none"/>
          <w:strike w:val="0"/>
          <w:color w:val="222222"/>
          <w:rFonts w:ascii="Arial" w:cs="Arial" w:eastAsia="Arial" w:hAnsi="Arial"/>
          <w:sz w:val="22"/>
          <w:szCs w:val="22"/>
          <w:smallCaps w:val="0"/>
          <w:shd w:fill="auto" w:val="clear"/>
        </w:rPr>
        <w:t>(Satizábal and et.al., 2022)</w:t>
      </w:r>
      <w:r w:rsidR="00000000" w:rsidDel="00000000" w:rsidRPr="00000000">
        <w:rPr>
          <w:rtl w:val="0"/>
          <w:b w:val="0"/>
          <w:i w:val="0"/>
          <w:u w:val="none"/>
          <w:strike w:val="0"/>
          <w:color w:val="000000"/>
          <w:rFonts w:ascii="Arial" w:cs="Arial" w:eastAsia="Arial" w:hAnsi="Arial"/>
          <w:sz w:val="22"/>
          <w:szCs w:val="22"/>
          <w:smallCaps w:val="0"/>
          <w:shd w:fill="auto" w:val="clear"/>
        </w:rPr>
        <w:t>.</w:t>
      </w:r>
    </w:p>
    <w:p w:rsidR="00000000" w:rsidDel="00000000" w:rsidRDefault="00000000" w14:paraId="00000030"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Arial" w:cs="Arial" w:eastAsia="Arial" w:hAnsi="Arial"/>
          <w:sz w:val="22"/>
          <w:szCs w:val="22"/>
          <w:smallCaps w:val="0"/>
          <w:shd w:fill="auto" w:val="clear"/>
        </w:rPr>
      </w:pP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The Marks and Spenser's practices of providing employment, doing charity, bringing collaborative inclusive working culture is being highly recognized by the people and it has indirectly helped the business of the organization grow at fast pace. Organization's practice of going net zero by 2040 has been price to be game changer as many environmentalists and conscious people have become the regular customers of the business community engagement makes Marks and Spenser a better organization in itself as at the end of the day business stands on the shoulders of the community as it utilizes the resources of the community to sell the products to the community in order to make the profits. Which proves that community engagement is the way to go for businesses to have the brighter future globally. Community engagement helps business make very strategical decisions which helps business grows better. Many countries of operation of Marks and Spencer has been welcomed due to its ethical community programs which results in making the society better.</w:t>
      </w:r>
    </w:p>
    <w:p w:rsidR="00000000" w:rsidDel="00000000" w:rsidRDefault="00000000" w14:paraId="00000031"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single"/>
          <w:strike w:val="0"/>
          <w:color w:val="000000"/>
          <w:rFonts w:ascii="Arial" w:cs="Arial" w:eastAsia="Arial" w:hAnsi="Arial"/>
          <w:sz w:val="22"/>
          <w:szCs w:val="22"/>
          <w:smallCaps w:val="0"/>
          <w:shd w:fill="auto" w:val="clear"/>
        </w:rPr>
      </w:pP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 xml:space="preserve">Customer and community tends to trust the business more when they industry in community engagement in one way or other. The existence of businesses becomes much smooth when they adapt such positive business practices. Making donation and charity work has signed many customers for the business s it makes them feel being taken care of. Simply put, better and accurately well-informed and involved the community is, more likely customers are to believe and trust the institution engaging them </w:t>
      </w:r>
      <w:r w:rsidR="00000000" w:rsidDel="00000000" w:rsidRPr="00000000">
        <w:rPr>
          <w:rtl w:val="0"/>
          <w:b w:val="0"/>
          <w:i w:val="0"/>
          <w:u w:val="none"/>
          <w:strike w:val="0"/>
          <w:color w:val="222222"/>
          <w:rFonts w:ascii="Arial" w:cs="Arial" w:eastAsia="Arial" w:hAnsi="Arial"/>
          <w:sz w:val="22"/>
          <w:szCs w:val="22"/>
          <w:smallCaps w:val="0"/>
          <w:shd w:fill="auto" w:val="clear"/>
        </w:rPr>
        <w:t>(Brummer, 2018)</w:t>
      </w:r>
      <w:r w:rsidR="00000000" w:rsidDel="00000000" w:rsidRPr="00000000">
        <w:rPr>
          <w:rtl w:val="0"/>
          <w:b w:val="0"/>
          <w:i w:val="0"/>
          <w:u w:val="none"/>
          <w:strike w:val="0"/>
          <w:color w:val="000000"/>
          <w:rFonts w:ascii="Arial" w:cs="Arial" w:eastAsia="Arial" w:hAnsi="Arial"/>
          <w:sz w:val="22"/>
          <w:szCs w:val="22"/>
          <w:smallCaps w:val="0"/>
          <w:shd w:fill="auto" w:val="clear"/>
        </w:rPr>
        <w:t>. Trust plays crucial role and it has been in very short supply within many communities. Which clearly states that community engagement matters, it is a way to make stronger trust with the community.</w:t>
      </w:r>
      <w:r w:rsidR="00000000" w:rsidDel="00000000" w:rsidRPr="00000000">
        <w:rPr>
          <w:rtl w:val="0"/>
        </w:rPr>
      </w:r>
    </w:p>
    <w:p w:rsidR="00000000" w:rsidDel="00000000" w:rsidRDefault="00000000" w14:paraId="00000032" w:rsidP="00000000" w:rsidRPr="00000000">
      <w:pPr>
        <w:pStyle w:val="Heading2"/>
        <w:numPr>
          <w:ilvl w:val="1"/>
          <w:numId w:val="1"/>
        </w:numPr>
        <w:ind w:left="576"/>
        <w:ind w:hanging="576"/>
        <w:rPr>
          <w:b/>
          <w:rFonts w:ascii="Arial" w:cs="Arial" w:eastAsia="Arial" w:hAnsi="Arial"/>
          <w:sz w:val="22"/>
          <w:szCs w:val="22"/>
        </w:rPr>
      </w:pPr>
      <w:r w:rsidR="00000000" w:rsidDel="00000000" w:rsidRPr="00000000">
        <w:rPr>
          <w:rtl w:val="0"/>
          <w:b/>
          <w:u w:val="single"/>
          <w:rFonts w:ascii="Arial" w:cs="Arial" w:eastAsia="Arial" w:hAnsi="Arial"/>
          <w:sz w:val="22"/>
          <w:szCs w:val="22"/>
        </w:rPr>
        <w:t>4. Marks and Spenser future community engagement plans and strategy.</w:t>
      </w:r>
      <w:r w:rsidR="00000000" w:rsidDel="00000000" w:rsidRPr="00000000">
        <w:rPr>
          <w:rtl w:val="0"/>
        </w:rPr>
      </w:r>
    </w:p>
    <w:p w:rsidR="00000000" w:rsidDel="00000000" w:rsidRDefault="00000000" w14:paraId="00000033"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Arial" w:cs="Arial" w:eastAsia="Arial" w:hAnsi="Arial"/>
          <w:sz w:val="22"/>
          <w:szCs w:val="22"/>
          <w:smallCaps w:val="0"/>
          <w:shd w:fill="auto" w:val="clear"/>
        </w:rPr>
      </w:pP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 xml:space="preserve">Organisation has a very practical vision regarding its community engagement practices which it will be undertaking in the future. Future of Marks and Spenser's business practices which are directed towards community engagement are being sustainability in all over the business. Regardless of the area if operation or department, company is envisioned the goal to make the company environment friendly. In order to make the environment friendly organization, very first they are committed to go net zero by 2040 and are constantly working towards the same. A high amount of sum is budgeted for the research and development department in the organisation which is working towards bring suitability in the organization </w:t>
      </w:r>
      <w:r w:rsidR="00000000" w:rsidDel="00000000" w:rsidRPr="00000000">
        <w:rPr>
          <w:rtl w:val="0"/>
          <w:b w:val="0"/>
          <w:i w:val="0"/>
          <w:u w:val="none"/>
          <w:strike w:val="0"/>
          <w:color w:val="222222"/>
          <w:rFonts w:ascii="Arial" w:cs="Arial" w:eastAsia="Arial" w:hAnsi="Arial"/>
          <w:sz w:val="22"/>
          <w:szCs w:val="22"/>
          <w:smallCaps w:val="0"/>
          <w:shd w:fill="auto" w:val="clear"/>
        </w:rPr>
        <w:t>(Gilmore and et.al., 2020)</w:t>
      </w:r>
      <w:r w:rsidR="00000000" w:rsidDel="00000000" w:rsidRPr="00000000">
        <w:rPr>
          <w:rtl w:val="0"/>
          <w:b w:val="0"/>
          <w:i w:val="0"/>
          <w:u w:val="none"/>
          <w:strike w:val="0"/>
          <w:color w:val="000000"/>
          <w:rFonts w:ascii="Arial" w:cs="Arial" w:eastAsia="Arial" w:hAnsi="Arial"/>
          <w:sz w:val="22"/>
          <w:szCs w:val="22"/>
          <w:smallCaps w:val="0"/>
          <w:shd w:fill="auto" w:val="clear"/>
        </w:rPr>
        <w:t>.</w:t>
      </w:r>
    </w:p>
    <w:p w:rsidR="00000000" w:rsidDel="00000000" w:rsidRDefault="00000000" w14:paraId="00000034"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Arial" w:cs="Arial" w:eastAsia="Arial" w:hAnsi="Arial"/>
          <w:sz w:val="22"/>
          <w:szCs w:val="22"/>
          <w:smallCaps w:val="0"/>
          <w:shd w:fill="auto" w:val="clear"/>
        </w:rPr>
      </w:pP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Minimizing and eliminating the plastic packagings which are causing harm to the biodiversity and ground pollution is under the radar of the organization. Further, indulging in increasing the donations of the company for different areas such as education, economic development etc. is considered to be very viral for the business. Further, company is improving its code of conduct for the working in the organization which can work towards the improvement of the working culture in the business. Also, they are ensuring the safety of the employees and various stakeholder who are working for the company. Such practices are improving the overall reputation of the company. Company forecasts a growth structure which can accommodate extensive charity and donation practices which improves the economic consideration of home country as well as county of operations.</w:t>
      </w:r>
    </w:p>
    <w:p w:rsidR="00000000" w:rsidDel="00000000" w:rsidRDefault="00000000" w14:paraId="00000035"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202124"/>
          <w:rFonts w:ascii="Arial" w:cs="Arial" w:eastAsia="Arial" w:hAnsi="Arial"/>
          <w:sz w:val="22"/>
          <w:szCs w:val="22"/>
          <w:smallCaps w:val="0"/>
          <w:shd w:fill="auto" w:val="clear"/>
        </w:rPr>
      </w:pP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 xml:space="preserve">Marks and Spenser is a large scale organization which is working constantly towards making the efforts which can bring out a change in the community, such positive change must be making the lives better for the people of the community. Large picture of the Marks and Spenser's community program is dedicated towards making each practice of the company dedicated towards bring a positive effect on the community as whole. Such practices must lead to the development of the community </w:t>
      </w:r>
      <w:r w:rsidR="00000000" w:rsidDel="00000000" w:rsidRPr="00000000">
        <w:rPr>
          <w:rtl w:val="0"/>
          <w:b w:val="0"/>
          <w:i w:val="0"/>
          <w:u w:val="none"/>
          <w:strike w:val="0"/>
          <w:color w:val="222222"/>
          <w:rFonts w:ascii="Arial" w:cs="Arial" w:eastAsia="Arial" w:hAnsi="Arial"/>
          <w:sz w:val="22"/>
          <w:szCs w:val="22"/>
          <w:smallCaps w:val="0"/>
          <w:shd w:fill="auto" w:val="clear"/>
        </w:rPr>
        <w:t>(Desai, 2018)</w:t>
      </w:r>
      <w:r w:rsidR="00000000" w:rsidDel="00000000" w:rsidRPr="00000000">
        <w:rPr>
          <w:rtl w:val="0"/>
          <w:b w:val="0"/>
          <w:i w:val="0"/>
          <w:u w:val="none"/>
          <w:strike w:val="0"/>
          <w:color w:val="000000"/>
          <w:rFonts w:ascii="Arial" w:cs="Arial" w:eastAsia="Arial" w:hAnsi="Arial"/>
          <w:sz w:val="22"/>
          <w:szCs w:val="22"/>
          <w:smallCaps w:val="0"/>
          <w:shd w:fill="auto" w:val="clear"/>
        </w:rPr>
        <w:t>. The most booming consultations needs a strategic community engagement program, one which combines visionary, big-picture, goals, and step-by-step elaborated approaches. A well-designed strategy</w:t>
      </w:r>
      <w:r w:rsidR="00000000" w:rsidDel="00000000" w:rsidRPr="00000000">
        <w:rPr>
          <w:rtl w:val="0"/>
          <w:b/>
          <w:i w:val="0"/>
          <w:u w:val="none"/>
          <w:strike w:val="0"/>
          <w:color w:val="000000"/>
          <w:rFonts w:ascii="Arial" w:cs="Arial" w:eastAsia="Arial" w:hAnsi="Arial"/>
          <w:sz w:val="22"/>
          <w:szCs w:val="22"/>
          <w:smallCaps w:val="0"/>
          <w:shd w:fill="auto" w:val="clear"/>
        </w:rPr>
        <w:t xml:space="preserve"> </w:t>
      </w:r>
      <w:r w:rsidR="00000000" w:rsidDel="00000000" w:rsidRPr="00000000">
        <w:rPr>
          <w:rtl w:val="0"/>
          <w:b w:val="0"/>
          <w:i w:val="0"/>
          <w:u w:val="none"/>
          <w:strike w:val="0"/>
          <w:color w:val="000000"/>
          <w:rFonts w:ascii="Arial" w:cs="Arial" w:eastAsia="Arial" w:hAnsi="Arial"/>
          <w:sz w:val="22"/>
          <w:szCs w:val="22"/>
          <w:smallCaps w:val="0"/>
          <w:shd w:fill="auto" w:val="clear"/>
        </w:rPr>
        <w:t>helps to connect the community from the very start and continues to welcome more people to table.</w:t>
      </w:r>
      <w:r w:rsidR="00000000" w:rsidDel="00000000" w:rsidRPr="00000000">
        <w:rPr>
          <w:rtl w:val="0"/>
        </w:rPr>
      </w:r>
    </w:p>
    <w:p w:rsidR="00000000" w:rsidDel="00000000" w:rsidRDefault="00000000" w14:paraId="00000036" w:rsidP="00000000" w:rsidRPr="00000000">
      <w:pPr>
        <w:pStyle w:val="Heading2"/>
        <w:numPr>
          <w:ilvl w:val="1"/>
          <w:numId w:val="1"/>
        </w:numPr>
        <w:ind w:left="576"/>
        <w:ind w:hanging="576"/>
        <w:rPr>
          <w:b/>
          <w:color w:val="000000"/>
          <w:rFonts w:ascii="Arial" w:cs="Arial" w:eastAsia="Arial" w:hAnsi="Arial"/>
          <w:sz w:val="22"/>
          <w:szCs w:val="22"/>
        </w:rPr>
      </w:pPr>
      <w:r w:rsidR="00000000" w:rsidDel="00000000" w:rsidRPr="00000000">
        <w:rPr>
          <w:rtl w:val="0"/>
          <w:b/>
          <w:color w:val="202124"/>
          <w:rFonts w:ascii="Arial" w:cs="Arial" w:eastAsia="Arial" w:hAnsi="Arial"/>
          <w:sz w:val="22"/>
          <w:szCs w:val="22"/>
        </w:rPr>
        <w:t>Discussion and analysis</w:t>
      </w:r>
      <w:r w:rsidR="00000000" w:rsidDel="00000000" w:rsidRPr="00000000">
        <w:rPr>
          <w:rtl w:val="0"/>
        </w:rPr>
      </w:r>
    </w:p>
    <w:p w:rsidR="00000000" w:rsidDel="00000000" w:rsidRDefault="00000000" w14:paraId="0000003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Arial" w:cs="Arial" w:eastAsia="Arial" w:hAnsi="Arial"/>
          <w:sz w:val="22"/>
          <w:szCs w:val="22"/>
          <w:smallCaps w:val="0"/>
          <w:shd w:fill="auto" w:val="clear"/>
        </w:rPr>
      </w:pP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 xml:space="preserve">The operation of working collaboratively with groups of people connected by geographic proximity, similar situations or special interest to address the issues which are affecting the well-being of people It is an extremely powerful vehicle for delivering about behavioural and environmental changes </w:t>
      </w:r>
      <w:r w:rsidR="00000000" w:rsidDel="00000000" w:rsidRPr="00000000">
        <w:rPr>
          <w:rtl w:val="0"/>
          <w:b w:val="0"/>
          <w:i w:val="0"/>
          <w:u w:val="none"/>
          <w:strike w:val="0"/>
          <w:color w:val="222222"/>
          <w:rFonts w:ascii="Arial" w:cs="Arial" w:eastAsia="Arial" w:hAnsi="Arial"/>
          <w:sz w:val="22"/>
          <w:szCs w:val="22"/>
          <w:smallCaps w:val="0"/>
          <w:shd w:fill="auto" w:val="clear"/>
        </w:rPr>
        <w:t>(Boaz and Davies, 2019)</w:t>
      </w:r>
      <w:r w:rsidR="00000000" w:rsidDel="00000000" w:rsidRPr="00000000">
        <w:rPr>
          <w:rtl w:val="0"/>
          <w:b w:val="0"/>
          <w:i w:val="0"/>
          <w:u w:val="none"/>
          <w:strike w:val="0"/>
          <w:color w:val="000000"/>
          <w:rFonts w:ascii="Arial" w:cs="Arial" w:eastAsia="Arial" w:hAnsi="Arial"/>
          <w:sz w:val="22"/>
          <w:szCs w:val="22"/>
          <w:smallCaps w:val="0"/>
          <w:shd w:fill="auto" w:val="clear"/>
        </w:rPr>
        <w:t>. For an organization as big as Marks and Spenser the visibility is already at an optimum space, which makes company in the eyes of the community. Hence, company is already utilizing many of its resources to make the organization working towards the community. Also, company envision to create a reputation in its community engagement services which can bring out the positive in the community. Be in term of employment, employee safety, working condition, pollution control, wastage control, net zero carbon emission, donation and charity, Marks and Spenser is trying to indulge in each such practices which can d good to the society as whole.</w:t>
      </w:r>
    </w:p>
    <w:p w:rsidR="00000000" w:rsidDel="00000000" w:rsidRDefault="00000000" w14:paraId="00000038" w:rsidP="00000000" w:rsidRPr="00000000">
      <w:pPr>
        <w:pStyle w:val="Heading1"/>
        <w:numPr>
          <w:ilvl w:val="0"/>
          <w:numId w:val="1"/>
        </w:numPr>
        <w:ind w:left="432"/>
        <w:ind w:hanging="432"/>
        <w:rPr>
          <w:b/>
          <w:rFonts w:ascii="Arial" w:cs="Arial" w:eastAsia="Arial" w:hAnsi="Arial"/>
          <w:sz w:val="22"/>
          <w:szCs w:val="22"/>
        </w:rPr>
      </w:pPr>
      <w:r w:rsidR="00000000" w:rsidDel="00000000" w:rsidRPr="00000000">
        <w:rPr>
          <w:rtl w:val="0"/>
          <w:b/>
          <w:rFonts w:ascii="Arial" w:cs="Arial" w:eastAsia="Arial" w:hAnsi="Arial"/>
          <w:sz w:val="22"/>
          <w:szCs w:val="22"/>
        </w:rPr>
        <w:t>CONCLUSION</w:t>
      </w:r>
    </w:p>
    <w:p w:rsidR="00000000" w:rsidDel="00000000" w:rsidRDefault="00000000" w14:paraId="0000003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Arial" w:cs="Arial" w:eastAsia="Arial" w:hAnsi="Arial"/>
          <w:sz w:val="22"/>
          <w:szCs w:val="22"/>
          <w:smallCaps w:val="0"/>
          <w:shd w:fill="auto" w:val="clear"/>
        </w:rPr>
      </w:pP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The above report of community engagement has showcased various aspects of it in detail starting from the resources which are used by the Marks and Spenser p to enhance the lives in the community. Key activities which are being undertaken by Marks and Spenser for community engagement such as inclusivity, diversity, filling gender gaps etc. has been elaborated. Also, importance of Community engagement in Marks and Spenser has been illustrated. At last the future of community engagement in Marks and Spenser has been discussed with the helps of company's vision.</w:t>
      </w:r>
    </w:p>
    <w:p w:rsidR="00000000" w:rsidDel="00000000" w:rsidRDefault="00000000" w14:paraId="0000003A"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p w:rsidR="00000000" w:rsidDel="00000000" w:rsidRDefault="00000000" w14:paraId="0000003B"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p w:rsidR="00000000" w:rsidDel="00000000" w:rsidRDefault="00000000" w14:paraId="0000003C"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p w:rsidR="00000000" w:rsidDel="00000000" w:rsidRDefault="00000000" w14:paraId="0000003D"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p w:rsidR="00000000" w:rsidDel="00000000" w:rsidRDefault="00000000" w14:paraId="0000003E" w:rsidP="00000000" w:rsidRPr="00000000">
      <w:pPr>
        <w:pStyle w:val="Heading1"/>
        <w:numPr>
          <w:ilvl w:val="0"/>
          <w:numId w:val="1"/>
        </w:numPr>
        <w:ind w:left="432"/>
        <w:ind w:hanging="432"/>
        <w:rPr>
          <w:sz w:val="22"/>
          <w:szCs w:val="22"/>
        </w:rPr>
      </w:pPr>
      <w:r w:rsidR="00000000" w:rsidDel="00000000" w:rsidRPr="00000000">
        <w:rPr>
          <w:rtl w:val="0"/>
        </w:rPr>
      </w:r>
    </w:p>
    <w:p w:rsidR="00000000" w:rsidDel="00000000" w:rsidRDefault="00000000" w14:paraId="0000003F" w:rsidP="00000000" w:rsidRPr="00000000">
      <w:pPr>
        <w:pStyle w:val="Heading1"/>
        <w:numPr>
          <w:ilvl w:val="0"/>
          <w:numId w:val="1"/>
        </w:numPr>
        <w:ind w:left="432"/>
        <w:ind w:hanging="432"/>
        <w:rPr>
          <w:sz w:val="22"/>
          <w:szCs w:val="22"/>
        </w:rPr>
      </w:pPr>
      <w:r w:rsidR="00000000" w:rsidDel="00000000" w:rsidRPr="00000000">
        <w:rPr>
          <w:rtl w:val="0"/>
        </w:rPr>
      </w:r>
    </w:p>
    <w:p w:rsidR="00000000" w:rsidDel="00000000" w:rsidRDefault="00000000" w14:paraId="00000040" w:rsidP="00000000" w:rsidRPr="00000000">
      <w:pPr>
        <w:pStyle w:val="Heading1"/>
        <w:numPr>
          <w:ilvl w:val="0"/>
          <w:numId w:val="1"/>
        </w:numPr>
        <w:ind w:left="432"/>
        <w:ind w:hanging="432"/>
        <w:rPr>
          <w:sz w:val="22"/>
          <w:szCs w:val="22"/>
        </w:rPr>
      </w:pPr>
      <w:r w:rsidR="00000000" w:rsidDel="00000000" w:rsidRPr="00000000">
        <w:rPr>
          <w:rtl w:val="0"/>
        </w:rPr>
      </w:r>
    </w:p>
    <w:p w:rsidR="00000000" w:rsidDel="00000000" w:rsidRDefault="00000000" w14:paraId="00000041" w:rsidP="00000000" w:rsidRPr="00000000">
      <w:pPr>
        <w:pStyle w:val="Heading1"/>
        <w:numPr>
          <w:ilvl w:val="0"/>
          <w:numId w:val="1"/>
        </w:numPr>
        <w:ind w:left="432"/>
        <w:ind w:hanging="432"/>
        <w:rPr>
          <w:sz w:val="22"/>
          <w:szCs w:val="22"/>
        </w:rPr>
      </w:pPr>
      <w:r w:rsidR="00000000" w:rsidDel="00000000" w:rsidRPr="00000000">
        <w:rPr>
          <w:rtl w:val="0"/>
        </w:rPr>
      </w:r>
    </w:p>
    <w:p w:rsidR="00000000" w:rsidDel="00000000" w:rsidRDefault="00000000" w14:paraId="00000042" w:rsidP="00000000" w:rsidRPr="00000000">
      <w:pPr>
        <w:pStyle w:val="Heading1"/>
        <w:numPr>
          <w:ilvl w:val="0"/>
          <w:numId w:val="1"/>
        </w:numPr>
        <w:ind w:left="432"/>
        <w:ind w:hanging="432"/>
        <w:rPr>
          <w:u w:val="single"/>
          <w:rFonts w:ascii="Arial" w:cs="Arial" w:eastAsia="Arial" w:hAnsi="Arial"/>
          <w:sz w:val="22"/>
          <w:szCs w:val="22"/>
        </w:rPr>
      </w:pPr>
      <w:r w:rsidR="00000000" w:rsidDel="00000000" w:rsidRPr="00000000">
        <w:rPr>
          <w:rtl w:val="0"/>
          <w:rFonts w:ascii="Arial" w:cs="Arial" w:eastAsia="Arial" w:hAnsi="Arial"/>
          <w:sz w:val="22"/>
          <w:szCs w:val="22"/>
        </w:rPr>
        <w:t>REFERENCES</w:t>
      </w:r>
      <w:r w:rsidR="00000000" w:rsidDel="00000000" w:rsidRPr="00000000">
        <w:rPr>
          <w:rtl w:val="0"/>
        </w:rPr>
      </w:r>
    </w:p>
    <w:p w:rsidR="00000000" w:rsidDel="00000000" w:rsidRDefault="00000000" w14:paraId="00000043"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222222"/>
          <w:rFonts w:ascii="Arial" w:cs="Arial" w:eastAsia="Arial" w:hAnsi="Arial"/>
          <w:sz w:val="22"/>
          <w:szCs w:val="22"/>
          <w:smallCaps w:val="0"/>
          <w:shd w:fill="auto" w:val="clear"/>
        </w:rPr>
      </w:pPr>
      <w:r w:rsidR="00000000" w:rsidDel="00000000" w:rsidRPr="00000000">
        <w:rPr>
          <w:rtl w:val="0"/>
          <w:b w:val="0"/>
          <w:i w:val="0"/>
          <w:u w:val="single"/>
          <w:strike w:val="0"/>
          <w:color w:val="000000"/>
          <w:rFonts w:ascii="Arial" w:cs="Arial" w:eastAsia="Arial" w:hAnsi="Arial"/>
          <w:sz w:val="22"/>
          <w:szCs w:val="22"/>
          <w:smallCaps w:val="0"/>
          <w:shd w:fill="auto" w:val="clear"/>
        </w:rPr>
        <w:t>Books and journals</w:t>
      </w:r>
      <w:r w:rsidR="00000000" w:rsidDel="00000000" w:rsidRPr="00000000">
        <w:rPr>
          <w:rtl w:val="0"/>
        </w:rPr>
      </w:r>
    </w:p>
    <w:p w:rsidR="00000000" w:rsidDel="00000000" w:rsidRDefault="00000000" w14:paraId="00000044"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867"/>
        <w:ind w:right="0"/>
        <w:ind w:hanging="867"/>
        <w:pageBreakBefore w:val="0"/>
        <w:spacing w:before="0" w:after="0" w:line="360" w:lineRule="auto"/>
        <w:rPr>
          <w:b w:val="0"/>
          <w:i w:val="0"/>
          <w:u w:val="none"/>
          <w:strike w:val="0"/>
          <w:color w:val="222222"/>
          <w:rFonts w:ascii="Arial" w:cs="Arial" w:eastAsia="Arial" w:hAnsi="Arial"/>
          <w:sz w:val="22"/>
          <w:szCs w:val="22"/>
          <w:smallCaps w:val="0"/>
          <w:shd w:fill="auto" w:val="clear"/>
        </w:rPr>
      </w:pPr>
      <w:r w:rsidR="00000000" w:rsidDel="00000000" w:rsidRPr="00000000">
        <w:rPr>
          <w:rtl w:val="0"/>
          <w:b w:val="0"/>
          <w:i w:val="0"/>
          <w:u w:val="none"/>
          <w:strike w:val="0"/>
          <w:color w:val="222222"/>
          <w:rFonts w:ascii="Arial" w:cs="Arial" w:eastAsia="Arial" w:hAnsi="Arial"/>
          <w:sz w:val="22"/>
          <w:szCs w:val="22"/>
          <w:smallCaps w:val="0"/>
          <w:shd w:fill="auto" w:val="clear"/>
        </w:rPr>
        <w:t xml:space="preserve">Ardito, L., Dangelico, R.M. and Messeni Petruzzelli, A., 2021. The link between female representation in the boards of directors and corporate social responsibility: Evidence from B corps. </w:t>
      </w:r>
      <w:r w:rsidR="00000000" w:rsidDel="00000000" w:rsidRPr="00000000">
        <w:rPr>
          <w:rtl w:val="0"/>
          <w:b w:val="0"/>
          <w:i/>
          <w:u w:val="none"/>
          <w:strike w:val="0"/>
          <w:color w:val="222222"/>
          <w:rFonts w:ascii="Arial" w:cs="Arial" w:eastAsia="Arial" w:hAnsi="Arial"/>
          <w:sz w:val="22"/>
          <w:szCs w:val="22"/>
          <w:smallCaps w:val="0"/>
          <w:shd w:fill="auto" w:val="clear"/>
        </w:rPr>
        <w:t>Corporate Social Responsibility and Environmental Management</w:t>
      </w:r>
      <w:r w:rsidR="00000000" w:rsidDel="00000000" w:rsidRPr="00000000">
        <w:rPr>
          <w:rtl w:val="0"/>
          <w:b w:val="0"/>
          <w:i w:val="0"/>
          <w:u w:val="none"/>
          <w:strike w:val="0"/>
          <w:color w:val="222222"/>
          <w:rFonts w:ascii="Arial" w:cs="Arial" w:eastAsia="Arial" w:hAnsi="Arial"/>
          <w:sz w:val="22"/>
          <w:szCs w:val="22"/>
          <w:smallCaps w:val="0"/>
          <w:shd w:fill="auto" w:val="clear"/>
        </w:rPr>
        <w:t>. 28(2). pp.704-720.</w:t>
      </w:r>
    </w:p>
    <w:p w:rsidR="00000000" w:rsidDel="00000000" w:rsidRDefault="00000000" w14:paraId="00000045"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867"/>
        <w:ind w:right="0"/>
        <w:ind w:hanging="867"/>
        <w:pageBreakBefore w:val="0"/>
        <w:spacing w:before="0" w:after="0" w:line="360" w:lineRule="auto"/>
        <w:rPr>
          <w:b w:val="0"/>
          <w:i w:val="0"/>
          <w:u w:val="none"/>
          <w:strike w:val="0"/>
          <w:color w:val="222222"/>
          <w:rFonts w:ascii="Arial" w:cs="Arial" w:eastAsia="Arial" w:hAnsi="Arial"/>
          <w:sz w:val="22"/>
          <w:szCs w:val="22"/>
          <w:smallCaps w:val="0"/>
          <w:shd w:fill="auto" w:val="clear"/>
        </w:rPr>
      </w:pPr>
      <w:r w:rsidR="00000000" w:rsidDel="00000000" w:rsidRPr="00000000">
        <w:rPr>
          <w:rtl w:val="0"/>
          <w:b w:val="0"/>
          <w:i w:val="0"/>
          <w:u w:val="none"/>
          <w:strike w:val="0"/>
          <w:color w:val="222222"/>
          <w:rFonts w:ascii="Arial" w:cs="Arial" w:eastAsia="Arial" w:hAnsi="Arial"/>
          <w:sz w:val="22"/>
          <w:szCs w:val="22"/>
          <w:smallCaps w:val="0"/>
          <w:shd w:fill="auto" w:val="clear"/>
        </w:rPr>
        <w:t xml:space="preserve">Boaz, A. and Davies, H. eds., 2019. </w:t>
      </w:r>
      <w:r w:rsidR="00000000" w:rsidDel="00000000" w:rsidRPr="00000000">
        <w:rPr>
          <w:rtl w:val="0"/>
          <w:b w:val="0"/>
          <w:i/>
          <w:u w:val="none"/>
          <w:strike w:val="0"/>
          <w:color w:val="222222"/>
          <w:rFonts w:ascii="Arial" w:cs="Arial" w:eastAsia="Arial" w:hAnsi="Arial"/>
          <w:sz w:val="22"/>
          <w:szCs w:val="22"/>
          <w:smallCaps w:val="0"/>
          <w:shd w:fill="auto" w:val="clear"/>
        </w:rPr>
        <w:t>What works now?: evidence-informed policy and practice</w:t>
      </w:r>
      <w:r w:rsidR="00000000" w:rsidDel="00000000" w:rsidRPr="00000000">
        <w:rPr>
          <w:rtl w:val="0"/>
          <w:b w:val="0"/>
          <w:i w:val="0"/>
          <w:u w:val="none"/>
          <w:strike w:val="0"/>
          <w:color w:val="222222"/>
          <w:rFonts w:ascii="Arial" w:cs="Arial" w:eastAsia="Arial" w:hAnsi="Arial"/>
          <w:sz w:val="22"/>
          <w:szCs w:val="22"/>
          <w:smallCaps w:val="0"/>
          <w:shd w:fill="auto" w:val="clear"/>
        </w:rPr>
        <w:t>. Policy Press.</w:t>
      </w:r>
    </w:p>
    <w:p w:rsidR="00000000" w:rsidDel="00000000" w:rsidRDefault="00000000" w14:paraId="0000004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867"/>
        <w:ind w:right="0"/>
        <w:ind w:hanging="867"/>
        <w:pageBreakBefore w:val="0"/>
        <w:spacing w:before="0" w:after="0" w:line="360" w:lineRule="auto"/>
        <w:rPr>
          <w:b w:val="0"/>
          <w:i w:val="0"/>
          <w:u w:val="none"/>
          <w:strike w:val="0"/>
          <w:color w:val="222222"/>
          <w:rFonts w:ascii="Arial" w:cs="Arial" w:eastAsia="Arial" w:hAnsi="Arial"/>
          <w:sz w:val="22"/>
          <w:szCs w:val="22"/>
          <w:smallCaps w:val="0"/>
          <w:shd w:fill="auto" w:val="clear"/>
        </w:rPr>
      </w:pPr>
      <w:r w:rsidR="00000000" w:rsidDel="00000000" w:rsidRPr="00000000">
        <w:rPr>
          <w:rtl w:val="0"/>
          <w:b w:val="0"/>
          <w:i w:val="0"/>
          <w:u w:val="none"/>
          <w:strike w:val="0"/>
          <w:color w:val="222222"/>
          <w:rFonts w:ascii="Arial" w:cs="Arial" w:eastAsia="Arial" w:hAnsi="Arial"/>
          <w:sz w:val="22"/>
          <w:szCs w:val="22"/>
          <w:smallCaps w:val="0"/>
          <w:shd w:fill="auto" w:val="clear"/>
        </w:rPr>
        <w:t xml:space="preserve">Brummer, V., 2018. Community energy–benefits and barriers: A comparative literature review of Community Energy in the UK, Germany and the USA, the benefits it provides for society and the barriers it faces. </w:t>
      </w:r>
      <w:r w:rsidR="00000000" w:rsidDel="00000000" w:rsidRPr="00000000">
        <w:rPr>
          <w:rtl w:val="0"/>
          <w:b w:val="0"/>
          <w:i/>
          <w:u w:val="none"/>
          <w:strike w:val="0"/>
          <w:color w:val="222222"/>
          <w:rFonts w:ascii="Arial" w:cs="Arial" w:eastAsia="Arial" w:hAnsi="Arial"/>
          <w:sz w:val="22"/>
          <w:szCs w:val="22"/>
          <w:smallCaps w:val="0"/>
          <w:shd w:fill="auto" w:val="clear"/>
        </w:rPr>
        <w:t>Renewable and Sustainable Energy Reviews</w:t>
      </w:r>
      <w:r w:rsidR="00000000" w:rsidDel="00000000" w:rsidRPr="00000000">
        <w:rPr>
          <w:rtl w:val="0"/>
          <w:b w:val="0"/>
          <w:i w:val="0"/>
          <w:u w:val="none"/>
          <w:strike w:val="0"/>
          <w:color w:val="222222"/>
          <w:rFonts w:ascii="Arial" w:cs="Arial" w:eastAsia="Arial" w:hAnsi="Arial"/>
          <w:sz w:val="22"/>
          <w:szCs w:val="22"/>
          <w:smallCaps w:val="0"/>
          <w:shd w:fill="auto" w:val="clear"/>
        </w:rPr>
        <w:t>. 94. pp.187-196.</w:t>
      </w:r>
    </w:p>
    <w:p w:rsidR="00000000" w:rsidDel="00000000" w:rsidRDefault="00000000" w14:paraId="0000004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867"/>
        <w:ind w:right="0"/>
        <w:ind w:hanging="867"/>
        <w:pageBreakBefore w:val="0"/>
        <w:spacing w:before="0" w:after="0" w:line="360" w:lineRule="auto"/>
        <w:rPr>
          <w:b w:val="0"/>
          <w:i w:val="0"/>
          <w:u w:val="none"/>
          <w:strike w:val="0"/>
          <w:color w:val="222222"/>
          <w:rFonts w:ascii="Arial" w:cs="Arial" w:eastAsia="Arial" w:hAnsi="Arial"/>
          <w:sz w:val="22"/>
          <w:szCs w:val="22"/>
          <w:smallCaps w:val="0"/>
          <w:shd w:fill="auto" w:val="clear"/>
        </w:rPr>
      </w:pPr>
      <w:r w:rsidR="00000000" w:rsidDel="00000000" w:rsidRPr="00000000">
        <w:rPr>
          <w:rtl w:val="0"/>
          <w:b w:val="0"/>
          <w:i w:val="0"/>
          <w:u w:val="none"/>
          <w:strike w:val="0"/>
          <w:color w:val="222222"/>
          <w:rFonts w:ascii="Arial" w:cs="Arial" w:eastAsia="Arial" w:hAnsi="Arial"/>
          <w:sz w:val="22"/>
          <w:szCs w:val="22"/>
          <w:smallCaps w:val="0"/>
          <w:shd w:fill="auto" w:val="clear"/>
        </w:rPr>
        <w:t xml:space="preserve">Corbett, E., 2018, May. Trust and community engagement in digital civics: exploring opportunities for design. In </w:t>
      </w:r>
      <w:r w:rsidR="00000000" w:rsidDel="00000000" w:rsidRPr="00000000">
        <w:rPr>
          <w:rtl w:val="0"/>
          <w:b w:val="0"/>
          <w:i/>
          <w:u w:val="none"/>
          <w:strike w:val="0"/>
          <w:color w:val="222222"/>
          <w:rFonts w:ascii="Arial" w:cs="Arial" w:eastAsia="Arial" w:hAnsi="Arial"/>
          <w:sz w:val="22"/>
          <w:szCs w:val="22"/>
          <w:smallCaps w:val="0"/>
          <w:shd w:fill="auto" w:val="clear"/>
        </w:rPr>
        <w:t xml:space="preserve">Proceedings of the 2018 ACM Conference Companion Publication on Designing Interactive Systems </w:t>
      </w:r>
      <w:r w:rsidR="00000000" w:rsidDel="00000000" w:rsidRPr="00000000">
        <w:rPr>
          <w:rtl w:val="0"/>
          <w:b w:val="0"/>
          <w:i w:val="0"/>
          <w:u w:val="none"/>
          <w:strike w:val="0"/>
          <w:color w:val="222222"/>
          <w:rFonts w:ascii="Arial" w:cs="Arial" w:eastAsia="Arial" w:hAnsi="Arial"/>
          <w:sz w:val="22"/>
          <w:szCs w:val="22"/>
          <w:smallCaps w:val="0"/>
          <w:shd w:fill="auto" w:val="clear"/>
        </w:rPr>
        <w:t>(pp. 367-370).</w:t>
      </w:r>
    </w:p>
    <w:p w:rsidR="00000000" w:rsidDel="00000000" w:rsidRDefault="00000000" w14:paraId="0000004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867"/>
        <w:ind w:right="0"/>
        <w:ind w:hanging="867"/>
        <w:pageBreakBefore w:val="0"/>
        <w:spacing w:before="0" w:after="0" w:line="360" w:lineRule="auto"/>
        <w:rPr>
          <w:b w:val="0"/>
          <w:i w:val="0"/>
          <w:u w:val="none"/>
          <w:strike w:val="0"/>
          <w:color w:val="222222"/>
          <w:rFonts w:ascii="Arial" w:cs="Arial" w:eastAsia="Arial" w:hAnsi="Arial"/>
          <w:sz w:val="22"/>
          <w:szCs w:val="22"/>
          <w:smallCaps w:val="0"/>
          <w:shd w:fill="auto" w:val="clear"/>
        </w:rPr>
      </w:pPr>
      <w:r w:rsidR="00000000" w:rsidDel="00000000" w:rsidRPr="00000000">
        <w:rPr>
          <w:rtl w:val="0"/>
          <w:b w:val="0"/>
          <w:i w:val="0"/>
          <w:u w:val="none"/>
          <w:strike w:val="0"/>
          <w:color w:val="222222"/>
          <w:rFonts w:ascii="Arial" w:cs="Arial" w:eastAsia="Arial" w:hAnsi="Arial"/>
          <w:sz w:val="22"/>
          <w:szCs w:val="22"/>
          <w:smallCaps w:val="0"/>
          <w:shd w:fill="auto" w:val="clear"/>
        </w:rPr>
        <w:t xml:space="preserve">Desai, V. M., 2018. Collaborative stakeholder engagement: An integration between theories of organizational legitimacy and learning. </w:t>
      </w:r>
      <w:r w:rsidR="00000000" w:rsidDel="00000000" w:rsidRPr="00000000">
        <w:rPr>
          <w:rtl w:val="0"/>
          <w:b w:val="0"/>
          <w:i/>
          <w:u w:val="none"/>
          <w:strike w:val="0"/>
          <w:color w:val="222222"/>
          <w:rFonts w:ascii="Arial" w:cs="Arial" w:eastAsia="Arial" w:hAnsi="Arial"/>
          <w:sz w:val="22"/>
          <w:szCs w:val="22"/>
          <w:smallCaps w:val="0"/>
          <w:shd w:fill="auto" w:val="clear"/>
        </w:rPr>
        <w:t>Academy of Management Journal</w:t>
      </w:r>
      <w:r w:rsidR="00000000" w:rsidDel="00000000" w:rsidRPr="00000000">
        <w:rPr>
          <w:rtl w:val="0"/>
          <w:b w:val="0"/>
          <w:i w:val="0"/>
          <w:u w:val="none"/>
          <w:strike w:val="0"/>
          <w:color w:val="222222"/>
          <w:rFonts w:ascii="Arial" w:cs="Arial" w:eastAsia="Arial" w:hAnsi="Arial"/>
          <w:sz w:val="22"/>
          <w:szCs w:val="22"/>
          <w:smallCaps w:val="0"/>
          <w:shd w:fill="auto" w:val="clear"/>
        </w:rPr>
        <w:t>. 61(1). pp.220-244.</w:t>
      </w:r>
    </w:p>
    <w:p w:rsidR="00000000" w:rsidDel="00000000" w:rsidRDefault="00000000" w14:paraId="0000004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867"/>
        <w:ind w:right="0"/>
        <w:ind w:hanging="867"/>
        <w:pageBreakBefore w:val="0"/>
        <w:spacing w:before="0" w:after="0" w:line="360" w:lineRule="auto"/>
        <w:rPr>
          <w:b w:val="0"/>
          <w:i w:val="0"/>
          <w:u w:val="none"/>
          <w:strike w:val="0"/>
          <w:color w:val="222222"/>
          <w:rFonts w:ascii="Arial" w:cs="Arial" w:eastAsia="Arial" w:hAnsi="Arial"/>
          <w:sz w:val="22"/>
          <w:szCs w:val="22"/>
          <w:smallCaps w:val="0"/>
          <w:shd w:fill="auto" w:val="clear"/>
        </w:rPr>
      </w:pPr>
      <w:r w:rsidR="00000000" w:rsidDel="00000000" w:rsidRPr="00000000">
        <w:rPr>
          <w:rtl w:val="0"/>
          <w:b w:val="0"/>
          <w:i w:val="0"/>
          <w:u w:val="none"/>
          <w:strike w:val="0"/>
          <w:color w:val="222222"/>
          <w:rFonts w:ascii="Arial" w:cs="Arial" w:eastAsia="Arial" w:hAnsi="Arial"/>
          <w:sz w:val="22"/>
          <w:szCs w:val="22"/>
          <w:smallCaps w:val="0"/>
          <w:shd w:fill="auto" w:val="clear"/>
        </w:rPr>
        <w:t xml:space="preserve">Gilmore, B. and et.al., 2020. Community engagement for COVID-19 prevention and control: a rapid evidence synthesis. </w:t>
      </w:r>
      <w:r w:rsidR="00000000" w:rsidDel="00000000" w:rsidRPr="00000000">
        <w:rPr>
          <w:rtl w:val="0"/>
          <w:b w:val="0"/>
          <w:i/>
          <w:u w:val="none"/>
          <w:strike w:val="0"/>
          <w:color w:val="222222"/>
          <w:rFonts w:ascii="Arial" w:cs="Arial" w:eastAsia="Arial" w:hAnsi="Arial"/>
          <w:sz w:val="22"/>
          <w:szCs w:val="22"/>
          <w:smallCaps w:val="0"/>
          <w:shd w:fill="auto" w:val="clear"/>
        </w:rPr>
        <w:t>BMJ global health</w:t>
      </w:r>
      <w:r w:rsidR="00000000" w:rsidDel="00000000" w:rsidRPr="00000000">
        <w:rPr>
          <w:rtl w:val="0"/>
          <w:b w:val="0"/>
          <w:i w:val="0"/>
          <w:u w:val="none"/>
          <w:strike w:val="0"/>
          <w:color w:val="222222"/>
          <w:rFonts w:ascii="Arial" w:cs="Arial" w:eastAsia="Arial" w:hAnsi="Arial"/>
          <w:sz w:val="22"/>
          <w:szCs w:val="22"/>
          <w:smallCaps w:val="0"/>
          <w:shd w:fill="auto" w:val="clear"/>
        </w:rPr>
        <w:t>. 5(10). p.e003188.</w:t>
      </w:r>
    </w:p>
    <w:p w:rsidR="00000000" w:rsidDel="00000000" w:rsidRDefault="00000000" w14:paraId="0000004A"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867"/>
        <w:ind w:right="0"/>
        <w:ind w:hanging="867"/>
        <w:pageBreakBefore w:val="0"/>
        <w:spacing w:before="0" w:after="0" w:line="360" w:lineRule="auto"/>
        <w:rPr>
          <w:b w:val="0"/>
          <w:i w:val="0"/>
          <w:u w:val="none"/>
          <w:strike w:val="0"/>
          <w:color w:val="222222"/>
          <w:rFonts w:ascii="Arial" w:cs="Arial" w:eastAsia="Arial" w:hAnsi="Arial"/>
          <w:sz w:val="22"/>
          <w:szCs w:val="22"/>
          <w:smallCaps w:val="0"/>
          <w:shd w:fill="auto" w:val="clear"/>
        </w:rPr>
      </w:pPr>
      <w:r w:rsidR="00000000" w:rsidDel="00000000" w:rsidRPr="00000000">
        <w:rPr>
          <w:rtl w:val="0"/>
          <w:b w:val="0"/>
          <w:i w:val="0"/>
          <w:u w:val="none"/>
          <w:strike w:val="0"/>
          <w:color w:val="222222"/>
          <w:rFonts w:ascii="Arial" w:cs="Arial" w:eastAsia="Arial" w:hAnsi="Arial"/>
          <w:sz w:val="22"/>
          <w:szCs w:val="22"/>
          <w:smallCaps w:val="0"/>
          <w:shd w:fill="auto" w:val="clear"/>
        </w:rPr>
        <w:t xml:space="preserve">Hartley, J. M., 2022. </w:t>
      </w:r>
      <w:r w:rsidR="00000000" w:rsidDel="00000000" w:rsidRPr="00000000">
        <w:rPr>
          <w:rtl w:val="0"/>
          <w:b w:val="0"/>
          <w:i/>
          <w:u w:val="none"/>
          <w:strike w:val="0"/>
          <w:color w:val="222222"/>
          <w:rFonts w:ascii="Arial" w:cs="Arial" w:eastAsia="Arial" w:hAnsi="Arial"/>
          <w:sz w:val="22"/>
          <w:szCs w:val="22"/>
          <w:smallCaps w:val="0"/>
          <w:shd w:fill="auto" w:val="clear"/>
        </w:rPr>
        <w:t xml:space="preserve">An Exploration of Two Community Advisory Boards within Community Engagement Centers at Institutions of Higher Education </w:t>
      </w:r>
      <w:r w:rsidR="00000000" w:rsidDel="00000000" w:rsidRPr="00000000">
        <w:rPr>
          <w:rtl w:val="0"/>
          <w:b w:val="0"/>
          <w:i w:val="0"/>
          <w:u w:val="none"/>
          <w:strike w:val="0"/>
          <w:color w:val="222222"/>
          <w:rFonts w:ascii="Arial" w:cs="Arial" w:eastAsia="Arial" w:hAnsi="Arial"/>
          <w:sz w:val="22"/>
          <w:szCs w:val="22"/>
          <w:smallCaps w:val="0"/>
          <w:shd w:fill="auto" w:val="clear"/>
        </w:rPr>
        <w:t>(Doctoral dissertation, University of Pennsylvania).</w:t>
      </w:r>
    </w:p>
    <w:p w:rsidR="00000000" w:rsidDel="00000000" w:rsidRDefault="00000000" w14:paraId="0000004B"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867"/>
        <w:ind w:right="0"/>
        <w:ind w:hanging="867"/>
        <w:pageBreakBefore w:val="0"/>
        <w:spacing w:before="0" w:after="0" w:line="360" w:lineRule="auto"/>
        <w:rPr>
          <w:b w:val="0"/>
          <w:i w:val="0"/>
          <w:u w:val="none"/>
          <w:strike w:val="0"/>
          <w:color w:val="222222"/>
          <w:rFonts w:ascii="Arial" w:cs="Arial" w:eastAsia="Arial" w:hAnsi="Arial"/>
          <w:sz w:val="22"/>
          <w:szCs w:val="22"/>
          <w:smallCaps w:val="0"/>
          <w:shd w:fill="auto" w:val="clear"/>
        </w:rPr>
      </w:pPr>
      <w:r w:rsidR="00000000" w:rsidDel="00000000" w:rsidRPr="00000000">
        <w:rPr>
          <w:rtl w:val="0"/>
          <w:b w:val="0"/>
          <w:i w:val="0"/>
          <w:u w:val="none"/>
          <w:strike w:val="0"/>
          <w:color w:val="222222"/>
          <w:rFonts w:ascii="Arial" w:cs="Arial" w:eastAsia="Arial" w:hAnsi="Arial"/>
          <w:sz w:val="22"/>
          <w:szCs w:val="22"/>
          <w:smallCaps w:val="0"/>
          <w:shd w:fill="auto" w:val="clear"/>
        </w:rPr>
        <w:t xml:space="preserve">Reynolds, L. and Sariola, S., 2018. The ethics and politics of community engagement in global health research. </w:t>
      </w:r>
      <w:r w:rsidR="00000000" w:rsidDel="00000000" w:rsidRPr="00000000">
        <w:rPr>
          <w:rtl w:val="0"/>
          <w:b w:val="0"/>
          <w:i/>
          <w:u w:val="none"/>
          <w:strike w:val="0"/>
          <w:color w:val="222222"/>
          <w:rFonts w:ascii="Arial" w:cs="Arial" w:eastAsia="Arial" w:hAnsi="Arial"/>
          <w:sz w:val="22"/>
          <w:szCs w:val="22"/>
          <w:smallCaps w:val="0"/>
          <w:shd w:fill="auto" w:val="clear"/>
        </w:rPr>
        <w:t>Critical Public Health</w:t>
      </w:r>
      <w:r w:rsidR="00000000" w:rsidDel="00000000" w:rsidRPr="00000000">
        <w:rPr>
          <w:rtl w:val="0"/>
          <w:b w:val="0"/>
          <w:i w:val="0"/>
          <w:u w:val="none"/>
          <w:strike w:val="0"/>
          <w:color w:val="222222"/>
          <w:rFonts w:ascii="Arial" w:cs="Arial" w:eastAsia="Arial" w:hAnsi="Arial"/>
          <w:sz w:val="22"/>
          <w:szCs w:val="22"/>
          <w:smallCaps w:val="0"/>
          <w:shd w:fill="auto" w:val="clear"/>
        </w:rPr>
        <w:t>. 28(3). pp.257-268.</w:t>
      </w:r>
    </w:p>
    <w:p w:rsidR="00000000" w:rsidDel="00000000" w:rsidRDefault="00000000" w14:paraId="0000004C"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867"/>
        <w:ind w:right="0"/>
        <w:ind w:hanging="867"/>
        <w:pageBreakBefore w:val="0"/>
        <w:spacing w:before="0" w:after="0" w:line="360" w:lineRule="auto"/>
        <w:rPr>
          <w:b w:val="0"/>
          <w:i w:val="0"/>
          <w:u w:val="none"/>
          <w:strike w:val="0"/>
          <w:color w:val="000000"/>
          <w:rFonts w:ascii="Arial" w:cs="Arial" w:eastAsia="Arial" w:hAnsi="Arial"/>
          <w:sz w:val="22"/>
          <w:szCs w:val="22"/>
          <w:smallCaps w:val="0"/>
          <w:shd w:fill="auto" w:val="clear"/>
        </w:rPr>
      </w:pPr>
      <w:r w:rsidR="00000000" w:rsidDel="00000000" w:rsidRPr="00000000">
        <w:rPr>
          <w:rtl w:val="0"/>
          <w:b w:val="0"/>
          <w:i w:val="0"/>
          <w:u w:val="none"/>
          <w:strike w:val="0"/>
          <w:color w:val="222222"/>
          <w:rFonts w:ascii="Arial" w:cs="Arial" w:eastAsia="Arial" w:hAnsi="Arial"/>
          <w:sz w:val="22"/>
          <w:szCs w:val="22"/>
          <w:smallCaps w:val="0"/>
          <w:shd w:fill="auto" w:val="clear"/>
        </w:rPr>
        <w:t xml:space="preserve">Satizábal, P. and et.al., 2022. The power of connection: Navigating the constraints of community engagement for disaster risk reduction. </w:t>
      </w:r>
      <w:r w:rsidR="00000000" w:rsidDel="00000000" w:rsidRPr="00000000">
        <w:rPr>
          <w:rtl w:val="0"/>
          <w:b w:val="0"/>
          <w:i/>
          <w:u w:val="none"/>
          <w:strike w:val="0"/>
          <w:color w:val="222222"/>
          <w:rFonts w:ascii="Arial" w:cs="Arial" w:eastAsia="Arial" w:hAnsi="Arial"/>
          <w:sz w:val="22"/>
          <w:szCs w:val="22"/>
          <w:smallCaps w:val="0"/>
          <w:shd w:fill="auto" w:val="clear"/>
        </w:rPr>
        <w:t>International Journal of Disaster Risk Reduction</w:t>
      </w:r>
      <w:r w:rsidR="00000000" w:rsidDel="00000000" w:rsidRPr="00000000">
        <w:rPr>
          <w:rtl w:val="0"/>
          <w:b w:val="0"/>
          <w:i w:val="0"/>
          <w:u w:val="none"/>
          <w:strike w:val="0"/>
          <w:color w:val="222222"/>
          <w:rFonts w:ascii="Arial" w:cs="Arial" w:eastAsia="Arial" w:hAnsi="Arial"/>
          <w:sz w:val="22"/>
          <w:szCs w:val="22"/>
          <w:smallCaps w:val="0"/>
          <w:shd w:fill="auto" w:val="clear"/>
        </w:rPr>
        <w:t>. 68. p.102699.</w:t>
      </w:r>
      <w:r w:rsidR="00000000" w:rsidDel="00000000" w:rsidRPr="00000000">
        <w:rPr>
          <w:rtl w:val="0"/>
        </w:rPr>
      </w:r>
    </w:p>
    <w:p w:rsidR="00000000" w:rsidDel="00000000" w:rsidRDefault="00000000" w14:paraId="0000004D"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867"/>
        <w:ind w:right="0"/>
        <w:ind w:hanging="867"/>
        <w:pageBreakBefore w:val="0"/>
        <w:spacing w:before="0" w:after="0" w:line="360" w:lineRule="auto"/>
        <w:rPr>
          <w:b w:val="0"/>
          <w:i w:val="0"/>
          <w:u w:val="none"/>
          <w:strike w:val="0"/>
          <w:color w:val="000000"/>
          <w:rFonts w:ascii="Arial" w:cs="Arial" w:eastAsia="Arial" w:hAnsi="Arial"/>
          <w:sz w:val="22"/>
          <w:szCs w:val="22"/>
          <w:smallCaps w:val="0"/>
          <w:shd w:fill="auto" w:val="clear"/>
        </w:rPr>
      </w:pPr>
      <w:r w:rsidR="00000000" w:rsidDel="00000000" w:rsidRPr="00000000">
        <w:rPr>
          <w:rtl w:val="0"/>
          <w:b w:val="0"/>
          <w:i w:val="0"/>
          <w:u w:val="none"/>
          <w:strike w:val="0"/>
          <w:color w:val="000000"/>
          <w:rFonts w:ascii="Arial" w:cs="Arial" w:eastAsia="Arial" w:hAnsi="Arial"/>
          <w:sz w:val="22"/>
          <w:szCs w:val="22"/>
          <w:smallCaps w:val="0"/>
          <w:shd w:fill="auto" w:val="clear"/>
        </w:rPr>
        <w:t>Thorne, S. L. and et.al., 2022. Informing the community engagement framework for natural and nature-based projects: an annotated review of leading stakeholder and community engagement practices</w:t>
      </w:r>
    </w:p>
    <w:p w:rsidR="00000000" w:rsidDel="00000000" w:rsidRDefault="00000000" w14:paraId="0000004E"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48"/>
          <w:szCs w:val="48"/>
          <w:smallCaps w:val="0"/>
          <w:shd w:fill="auto" w:val="clear"/>
        </w:rPr>
      </w:pPr>
      <w:r w:rsidR="00000000" w:rsidDel="00000000" w:rsidRPr="00000000">
        <w:rPr>
          <w:rtl w:val="0"/>
        </w:rPr>
      </w:r>
    </w:p>
    <w:sectPr>
      <w:pgSz w:w="12240" w:h="15840" w:orient="portrait"/>
      <w:pgMar w:left="1440" w:right="1440" w:top="1440" w:bottom="1440" w:header="360" w:footer="360"/>
      <w:type w:val="nextPage"/>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font w:name="Arial"/>
  <w:font w:name="Calibri"/>
  <w:font w:name="Cambria"/>
  <w:font w:name="Symbol"/>
  <w:font w:name="Courier New"/>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multiLevelType w:val="hybridMultilevel"/>
    <w:lvl w:ilvl="0">
      <w:numFmt w:val="decimal"/>
      <w:lvlText w:val=""/>
      <w:start w:val="0"/>
      <w:rPr/>
      <w:pPr>
        <w:ind w:left="432"/>
        <w:ind w:hanging="432"/>
      </w:pPr>
      <w:lvlJc w:val="left"/>
    </w:lvl>
    <w:lvl w:ilvl="1">
      <w:numFmt w:val="decimal"/>
      <w:lvlText w:val=""/>
      <w:start w:val="0"/>
      <w:rPr/>
      <w:pPr>
        <w:ind w:left="576"/>
        <w:ind w:hanging="576"/>
      </w:pPr>
      <w:lvlJc w:val="left"/>
    </w:lvl>
    <w:lvl w:ilvl="2">
      <w:numFmt w:val="decimal"/>
      <w:lvlText w:val=""/>
      <w:start w:val="0"/>
      <w:rPr/>
      <w:pPr>
        <w:ind w:left="720"/>
        <w:ind w:hanging="720"/>
      </w:pPr>
      <w:lvlJc w:val="left"/>
    </w:lvl>
    <w:lvl w:ilvl="3">
      <w:numFmt w:val="decimal"/>
      <w:lvlText w:val=""/>
      <w:start w:val="0"/>
      <w:rPr/>
      <w:pPr>
        <w:ind w:left="864"/>
        <w:ind w:hanging="864"/>
      </w:pPr>
      <w:lvlJc w:val="left"/>
    </w:lvl>
    <w:lvl w:ilvl="4">
      <w:numFmt w:val="decimal"/>
      <w:lvlText w:val=""/>
      <w:start w:val="0"/>
      <w:rPr/>
      <w:pPr>
        <w:ind w:left="1008"/>
        <w:ind w:hanging="1008"/>
      </w:pPr>
      <w:lvlJc w:val="left"/>
    </w:lvl>
    <w:lvl w:ilvl="5">
      <w:numFmt w:val="decimal"/>
      <w:lvlText w:val=""/>
      <w:start w:val="0"/>
      <w:rPr/>
      <w:pPr>
        <w:ind w:left="1152"/>
        <w:ind w:hanging="1152"/>
      </w:pPr>
      <w:lvlJc w:val="left"/>
    </w:lvl>
    <w:lvl w:ilvl="6">
      <w:numFmt w:val="decimal"/>
      <w:lvlText w:val=""/>
      <w:start w:val="0"/>
      <w:rPr/>
      <w:pPr>
        <w:ind w:left="1296"/>
        <w:ind w:hanging="1296"/>
      </w:pPr>
      <w:lvlJc w:val="left"/>
    </w:lvl>
    <w:lvl w:ilvl="7">
      <w:numFmt w:val="decimal"/>
      <w:lvlText w:val=""/>
      <w:start w:val="0"/>
      <w:rPr/>
      <w:pPr>
        <w:ind w:left="1440"/>
        <w:ind w:hanging="1440"/>
      </w:pPr>
      <w:lvlJc w:val="left"/>
    </w:lvl>
    <w:lvl w:ilvl="8">
      <w:numFmt w:val="decimal"/>
      <w:lvlText w:val=""/>
      <w:start w:val="0"/>
      <w:rPr/>
      <w:pPr>
        <w:ind w:left="1584"/>
        <w:ind w:hanging="1584"/>
      </w:pPr>
      <w:lvlJc w:val="left"/>
    </w:lvl>
  </w:abstractNum>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num w:numId="1">
    <w:abstractNumId w:val="1"/>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pPr>
    <w:rPr>
      <w:rFonts w:ascii="Times New Roman" w:cs="Times New Roman" w:eastAsia="Times New Roman" w:hAnsi="Times New Roman"/>
      <w:b w:val="0"/>
      <w:i w:val="0"/>
      <w:smallCaps w:val="0"/>
      <w:strike w:val="0"/>
      <w:color w:val="000000"/>
      <w:sz w:val="24"/>
      <w:szCs w:val="24"/>
      <w:u w:val="singl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360" w:lineRule="auto"/>
      <w:ind w:left="0" w:right="0" w:firstLine="0"/>
      <w:jc w:val="both"/>
    </w:pPr>
    <w:rPr>
      <w:rFonts w:ascii="Arial" w:cs="Arial" w:eastAsia="Arial" w:hAnsi="Arial"/>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360" w:lineRule="auto"/>
      <w:ind w:left="0" w:right="0" w:firstLine="0"/>
      <w:jc w:val="both"/>
    </w:pPr>
    <w:rPr>
      <w:rFonts w:ascii="Arial" w:cs="Arial" w:eastAsia="Arial" w:hAnsi="Arial"/>
      <w:b w:val="1"/>
      <w:i w:val="1"/>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