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B6CD0DB" w14:textId="761C70E6"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B6198" w:rsidRPr="008A4C95">
              <w:rPr>
                <w:rFonts w:ascii="Times New Roman" w:hAnsi="Times New Roman" w:cs="Times New Roman"/>
                <w:b/>
                <w:color w:val="auto"/>
                <w:sz w:val="40"/>
                <w:szCs w:val="40"/>
              </w:rPr>
              <w:t>Samantha Qaissouni</w:t>
            </w:r>
          </w:p>
          <w:p w14:paraId="4B74F047" w14:textId="2FDD5ADD" w:rsidR="00EB6198" w:rsidRPr="008A4C95" w:rsidRDefault="009C337F" w:rsidP="00EB6198">
            <w:pPr>
              <w:overflowPunct/>
              <w:autoSpaceDE/>
              <w:autoSpaceDN/>
              <w:adjustRightInd/>
              <w:ind w:right="-957"/>
              <w:textAlignment w:val="auto"/>
              <w:rPr>
                <w:rFonts w:ascii="Times New Roman" w:hAnsi="Times New Roman" w:cs="Times New Roman"/>
                <w:b/>
                <w:color w:val="auto"/>
                <w:sz w:val="40"/>
                <w:szCs w:val="40"/>
              </w:rPr>
            </w:pPr>
            <w:r>
              <w:rPr>
                <w:rFonts w:ascii="Times New Roman" w:hAnsi="Times New Roman" w:cs="Times New Roman"/>
                <w:b/>
                <w:color w:val="auto"/>
                <w:sz w:val="48"/>
              </w:rPr>
              <w:t>Email address:</w:t>
            </w:r>
            <w:r w:rsidR="00EB6198">
              <w:t xml:space="preserve"> </w:t>
            </w:r>
            <w:hyperlink r:id="rId11" w:history="1">
              <w:r w:rsidR="00EB6198" w:rsidRPr="008A4C95">
                <w:rPr>
                  <w:rStyle w:val="Hyperlink"/>
                  <w:b/>
                  <w:bCs/>
                  <w:sz w:val="40"/>
                  <w:szCs w:val="40"/>
                </w:rPr>
                <w:t>2520976@student.uwtsd.ac.uk</w:t>
              </w:r>
            </w:hyperlink>
          </w:p>
          <w:p w14:paraId="3A6EAAC7" w14:textId="52A274D4" w:rsidR="009C337F" w:rsidRPr="00EB6198" w:rsidRDefault="00EB6198" w:rsidP="005D3F07">
            <w:pPr>
              <w:overflowPunct/>
              <w:autoSpaceDE/>
              <w:autoSpaceDN/>
              <w:adjustRightInd/>
              <w:ind w:right="-957"/>
              <w:textAlignment w:val="auto"/>
              <w:rPr>
                <w:sz w:val="40"/>
                <w:szCs w:val="40"/>
              </w:rPr>
            </w:pPr>
            <w:hyperlink r:id="rId12" w:history="1">
              <w:r w:rsidRPr="008A4C95">
                <w:rPr>
                  <w:rStyle w:val="Hyperlink"/>
                  <w:sz w:val="40"/>
                  <w:szCs w:val="40"/>
                </w:rPr>
                <w:t>s.qaissouni@npt.gov.uk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82871CC" w14:textId="77777777" w:rsidR="00EB6198" w:rsidRDefault="0085230E" w:rsidP="00EB6198">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689EE28" w14:textId="65C4C0E1" w:rsidR="00EB6198" w:rsidRPr="008A4C95" w:rsidRDefault="00EB6198" w:rsidP="00EB6198">
            <w:pPr>
              <w:overflowPunct/>
              <w:autoSpaceDE/>
              <w:autoSpaceDN/>
              <w:adjustRightInd/>
              <w:ind w:right="-957"/>
              <w:textAlignment w:val="auto"/>
              <w:rPr>
                <w:rFonts w:ascii="Times New Roman" w:hAnsi="Times New Roman" w:cs="Times New Roman"/>
                <w:b/>
                <w:color w:val="auto"/>
                <w:sz w:val="40"/>
                <w:szCs w:val="40"/>
              </w:rPr>
            </w:pPr>
            <w:r w:rsidRPr="008A4C95">
              <w:rPr>
                <w:b/>
                <w:bCs/>
                <w:sz w:val="40"/>
                <w:szCs w:val="40"/>
              </w:rPr>
              <w:t xml:space="preserve"> 2520976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49D6330C" w14:textId="77777777" w:rsidR="00F57C3B"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45307717" w14:textId="77777777" w:rsidR="00F57C3B" w:rsidRDefault="00F57C3B" w:rsidP="00FF7EBB">
            <w:pPr>
              <w:jc w:val="both"/>
              <w:rPr>
                <w:sz w:val="24"/>
                <w:szCs w:val="24"/>
              </w:rPr>
            </w:pPr>
          </w:p>
          <w:p w14:paraId="6F557595" w14:textId="77777777" w:rsidR="00F57C3B" w:rsidRDefault="00F57C3B" w:rsidP="00F57C3B">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17A49383" w14:textId="397128A1" w:rsidR="008B28E7" w:rsidRDefault="00BB7FD2" w:rsidP="00FF7EBB">
            <w:pPr>
              <w:jc w:val="both"/>
              <w:rPr>
                <w:sz w:val="24"/>
                <w:szCs w:val="24"/>
              </w:rPr>
            </w:pPr>
            <w:r>
              <w:rPr>
                <w:sz w:val="24"/>
                <w:szCs w:val="24"/>
              </w:rPr>
              <w:t xml:space="preserve"> </w:t>
            </w:r>
          </w:p>
          <w:p w14:paraId="1FBBCFA0" w14:textId="77777777" w:rsidR="006108C9" w:rsidRDefault="006108C9" w:rsidP="00FF7EBB">
            <w:pPr>
              <w:jc w:val="both"/>
              <w:rPr>
                <w:sz w:val="24"/>
                <w:szCs w:val="24"/>
              </w:rPr>
            </w:pPr>
          </w:p>
          <w:p w14:paraId="6F81A362" w14:textId="77777777" w:rsidR="00C04FB2" w:rsidRPr="00B973DE" w:rsidRDefault="00C04FB2" w:rsidP="00C04FB2">
            <w:pPr>
              <w:spacing w:line="360" w:lineRule="auto"/>
              <w:jc w:val="both"/>
              <w:rPr>
                <w:sz w:val="24"/>
                <w:szCs w:val="24"/>
              </w:rPr>
            </w:pPr>
            <w:r w:rsidRPr="00B973DE">
              <w:rPr>
                <w:sz w:val="24"/>
                <w:szCs w:val="24"/>
              </w:rPr>
              <w:t>As my primary area of practice is adult services, this essay examines safeguarding practice in relation to children, in line with Social Care Wales requirements for newly qualified social workers to demonstrate understanding across different practice areas. Safeguarding children in Wales is underpinned by a comprehensive legislative and policy framework that prioritises the protection, welfare and rights of children who may be at risk of abuse or neglect.</w:t>
            </w:r>
          </w:p>
          <w:p w14:paraId="5B65DFE9" w14:textId="77777777" w:rsidR="00C04FB2" w:rsidRPr="00B973DE" w:rsidRDefault="00C04FB2" w:rsidP="00C04FB2">
            <w:pPr>
              <w:spacing w:line="360" w:lineRule="auto"/>
              <w:jc w:val="both"/>
              <w:rPr>
                <w:sz w:val="24"/>
                <w:szCs w:val="24"/>
              </w:rPr>
            </w:pPr>
            <w:r w:rsidRPr="00B973DE">
              <w:rPr>
                <w:sz w:val="24"/>
                <w:szCs w:val="24"/>
              </w:rPr>
              <w:t>The Social Services and Well-being (Wales) Act 2014 provides the overarching statutory framework for children’s safeguarding in Wales. Part 7 of the Act places a duty on local authorities to make enquiries where there is reasonable cause to suspect that a child is at risk of abuse, neglect or other forms of harm. The Act emphasises early intervention, prevention and the promotion of wellbeing, while recognising that children require particular protection due to their developmental needs and vulnerability. Unlike adult safeguarding, children’s safeguarding is guided by the principle that a child’s welfare is paramount.</w:t>
            </w:r>
          </w:p>
          <w:p w14:paraId="6E4BCA7A" w14:textId="77777777" w:rsidR="00C04FB2" w:rsidRPr="00B973DE" w:rsidRDefault="00C04FB2" w:rsidP="00C04FB2">
            <w:pPr>
              <w:spacing w:line="360" w:lineRule="auto"/>
              <w:jc w:val="both"/>
              <w:rPr>
                <w:sz w:val="24"/>
                <w:szCs w:val="24"/>
              </w:rPr>
            </w:pPr>
            <w:r w:rsidRPr="00B973DE">
              <w:rPr>
                <w:sz w:val="24"/>
                <w:szCs w:val="24"/>
              </w:rPr>
              <w:t xml:space="preserve">The Children Act 1989 remains fundamental to safeguarding practice across England and Wales. Section 47 places a statutory duty on local authorities to investigate when there is reasonable cause to suspect a child is suffering, or is likely to suffer, significant harm. Section 17 identifies children in need and places responsibilities on local authorities to safeguard and </w:t>
            </w:r>
            <w:r w:rsidRPr="00B973DE">
              <w:rPr>
                <w:sz w:val="24"/>
                <w:szCs w:val="24"/>
              </w:rPr>
              <w:lastRenderedPageBreak/>
              <w:t>promote their welfare. These provisions underpin compulsory safeguarding interventions, reflecting the state’s protective role where parental care is insufficient or harmful.</w:t>
            </w:r>
          </w:p>
          <w:p w14:paraId="6CA3AC8B" w14:textId="77777777" w:rsidR="00C04FB2" w:rsidRPr="00B973DE" w:rsidRDefault="00C04FB2" w:rsidP="00C04FB2">
            <w:pPr>
              <w:spacing w:line="360" w:lineRule="auto"/>
              <w:jc w:val="both"/>
              <w:rPr>
                <w:sz w:val="24"/>
                <w:szCs w:val="24"/>
              </w:rPr>
            </w:pPr>
            <w:r w:rsidRPr="00B973DE">
              <w:rPr>
                <w:sz w:val="24"/>
                <w:szCs w:val="24"/>
              </w:rPr>
              <w:t>Further strengthening safeguarding arrangements, the Children Act 2004 introduced duties on agencies to cooperate in safeguarding and promoting children’s welfare. This Act reinforces the multi-agency nature of safeguarding and establishes the expectation that professionals work collectively to identify risk and protect children.</w:t>
            </w:r>
          </w:p>
          <w:p w14:paraId="5E1F4502" w14:textId="77777777" w:rsidR="00C04FB2" w:rsidRPr="00B973DE" w:rsidRDefault="00C04FB2" w:rsidP="00C04FB2">
            <w:pPr>
              <w:spacing w:line="360" w:lineRule="auto"/>
              <w:jc w:val="both"/>
              <w:rPr>
                <w:sz w:val="24"/>
                <w:szCs w:val="24"/>
              </w:rPr>
            </w:pPr>
            <w:r w:rsidRPr="00B973DE">
              <w:rPr>
                <w:sz w:val="24"/>
                <w:szCs w:val="24"/>
              </w:rPr>
              <w:t>National guidance for safeguarding children in Wales is set out in Working Together to Safeguard People (Welsh Government, 2019), which applies to both adults and children. This guidance clarifies roles, responsibilities, thresholds and information sharing expectations, reinforcing that safeguarding is everyone’s responsibility. It is supported by the Wales Safeguarding Procedures, which provide practical, operational guidance for practitioners on responding to concerns, undertaking enquiries, convening child protection conferences and implementing safeguarding plans.</w:t>
            </w:r>
          </w:p>
          <w:p w14:paraId="70A748F2" w14:textId="77777777" w:rsidR="00C04FB2" w:rsidRPr="00B973DE" w:rsidRDefault="00C04FB2" w:rsidP="00C04FB2">
            <w:pPr>
              <w:spacing w:line="360" w:lineRule="auto"/>
              <w:jc w:val="both"/>
              <w:rPr>
                <w:sz w:val="24"/>
                <w:szCs w:val="24"/>
              </w:rPr>
            </w:pPr>
            <w:r w:rsidRPr="00B973DE">
              <w:rPr>
                <w:sz w:val="24"/>
                <w:szCs w:val="24"/>
              </w:rPr>
              <w:t>At a local level, safeguarding children is overseen by Safeguarding Boards, established under the SSWB(W)A 2014. These boards coordinate safeguarding activity across agencies, promote consistent practice and support learning from safeguarding reviews. Local authorities implement safeguarding through local threshold guidance and child protection procedures that reflect national standards while responding to local need.</w:t>
            </w:r>
          </w:p>
          <w:p w14:paraId="5CA66958" w14:textId="77777777" w:rsidR="00C04FB2" w:rsidRPr="00B973DE" w:rsidRDefault="00C04FB2" w:rsidP="00C04FB2">
            <w:pPr>
              <w:spacing w:line="360" w:lineRule="auto"/>
              <w:jc w:val="both"/>
              <w:rPr>
                <w:sz w:val="24"/>
                <w:szCs w:val="24"/>
              </w:rPr>
            </w:pPr>
            <w:r w:rsidRPr="00B973DE">
              <w:rPr>
                <w:sz w:val="24"/>
                <w:szCs w:val="24"/>
              </w:rPr>
              <w:t>Children’s safeguarding in Wales is also shaped by international human rights law, notably the United Nations Convention on the Rights of the Child (UNCRC). The Rights of Children and Young Persons (Wales) Measure 2011 requires Welsh Ministers to have due regard to the UNCRC, reinforcing children’s rights to protection from harm, participation and having their best interests treated as a primary consideration.</w:t>
            </w:r>
          </w:p>
          <w:p w14:paraId="77243181" w14:textId="77777777" w:rsidR="00C04FB2" w:rsidRPr="00B973DE" w:rsidRDefault="00C04FB2" w:rsidP="00C04FB2">
            <w:pPr>
              <w:spacing w:line="360" w:lineRule="auto"/>
              <w:jc w:val="both"/>
              <w:rPr>
                <w:sz w:val="24"/>
                <w:szCs w:val="24"/>
              </w:rPr>
            </w:pPr>
            <w:r w:rsidRPr="00B973DE">
              <w:rPr>
                <w:sz w:val="24"/>
                <w:szCs w:val="24"/>
              </w:rPr>
              <w:t>In conclusion, safeguarding children in Wales is governed by a robust legislative and policy framework that prioritises protection, welfare and children’s rights. Understanding this framework is essential for social workers, regardless of their primary area of practice, as safeguarding remains a shared professional responsibility across all areas of social care.</w:t>
            </w:r>
          </w:p>
          <w:p w14:paraId="428C0837" w14:textId="77777777" w:rsidR="00C04FB2" w:rsidRPr="00B973DE" w:rsidRDefault="00C04FB2" w:rsidP="00C04FB2">
            <w:pPr>
              <w:spacing w:line="360" w:lineRule="auto"/>
              <w:jc w:val="both"/>
              <w:rPr>
                <w:b/>
                <w:bCs/>
                <w:sz w:val="24"/>
                <w:szCs w:val="24"/>
              </w:rPr>
            </w:pPr>
            <w:r w:rsidRPr="00B973DE">
              <w:rPr>
                <w:b/>
                <w:bCs/>
                <w:sz w:val="24"/>
                <w:szCs w:val="24"/>
              </w:rPr>
              <w:t>(517 words)</w:t>
            </w: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03BD6D93" w14:textId="56AD433A" w:rsidR="007A628F" w:rsidRPr="008B28E7" w:rsidRDefault="007A628F" w:rsidP="00F66322">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358B8C5C" w14:textId="77777777" w:rsidR="00F66322" w:rsidRDefault="00F66322" w:rsidP="00FC0334">
            <w:pPr>
              <w:jc w:val="both"/>
              <w:rPr>
                <w:sz w:val="24"/>
                <w:szCs w:val="24"/>
              </w:rPr>
            </w:pPr>
          </w:p>
          <w:p w14:paraId="0580461D" w14:textId="77777777" w:rsidR="00F66322" w:rsidRDefault="00F66322" w:rsidP="00F66322">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151298E5" w14:textId="77777777" w:rsidR="00F66322" w:rsidRDefault="00F66322" w:rsidP="00FC0334">
            <w:pPr>
              <w:jc w:val="both"/>
              <w:rPr>
                <w:sz w:val="24"/>
                <w:szCs w:val="24"/>
              </w:rPr>
            </w:pPr>
          </w:p>
          <w:p w14:paraId="4CABE426" w14:textId="77777777" w:rsidR="00FC0334" w:rsidRDefault="00FC0334" w:rsidP="00FC0334">
            <w:pPr>
              <w:jc w:val="both"/>
              <w:rPr>
                <w:sz w:val="24"/>
                <w:szCs w:val="24"/>
              </w:rPr>
            </w:pPr>
          </w:p>
          <w:p w14:paraId="4CF3EFCF" w14:textId="77777777" w:rsidR="00F66322" w:rsidRPr="00C40B72" w:rsidRDefault="00F66322" w:rsidP="00F66322">
            <w:pPr>
              <w:spacing w:line="360" w:lineRule="auto"/>
              <w:jc w:val="both"/>
              <w:rPr>
                <w:sz w:val="24"/>
                <w:szCs w:val="24"/>
              </w:rPr>
            </w:pPr>
            <w:r w:rsidRPr="00C40B72">
              <w:rPr>
                <w:sz w:val="24"/>
                <w:szCs w:val="24"/>
              </w:rPr>
              <w:t>Reflecting on the differences between safeguarding practice in adults’ and children’s services has enabled me to evidence my learning against the Social Care Wales (SCW) consolidation learning outcomes, particularly in relation to analysis in assessment, professional judgement, use of theory and ethical practice. As my main area of work is adult services, exploring children’s safeguarding has strengthened my understanding of how differing legal frameworks and values influence decision</w:t>
            </w:r>
            <w:r w:rsidRPr="00C40B72">
              <w:rPr>
                <w:rFonts w:ascii="Cambria Math" w:hAnsi="Cambria Math" w:cs="Cambria Math"/>
                <w:sz w:val="24"/>
                <w:szCs w:val="24"/>
              </w:rPr>
              <w:t>‑</w:t>
            </w:r>
            <w:r w:rsidRPr="00C40B72">
              <w:rPr>
                <w:sz w:val="24"/>
                <w:szCs w:val="24"/>
              </w:rPr>
              <w:t>making.</w:t>
            </w:r>
          </w:p>
          <w:p w14:paraId="4543C872" w14:textId="77777777" w:rsidR="00F66322" w:rsidRPr="00C40B72" w:rsidRDefault="00F66322" w:rsidP="00F66322">
            <w:pPr>
              <w:spacing w:line="360" w:lineRule="auto"/>
              <w:jc w:val="both"/>
              <w:rPr>
                <w:sz w:val="24"/>
                <w:szCs w:val="24"/>
              </w:rPr>
            </w:pPr>
            <w:r w:rsidRPr="00C40B72">
              <w:rPr>
                <w:sz w:val="24"/>
                <w:szCs w:val="24"/>
              </w:rPr>
              <w:t>In relation to the integration of analysis within assessment, I have learned that children’s safeguarding often requires more immediate and decisive intervention due to the paramountcy principle, where the child’s welfare must be the primary consideration (Children Act 1989). In contrast, adult safeguarding assessments place greater emphasis on understanding capacity, consent and the individual’s right to make unwise decisions (Mental Capacity Act 2005). This comparison has enhanced my analytic skills by requiring me to consider how risk is weighed differently depending on age, vulnerability and legal context.</w:t>
            </w:r>
          </w:p>
          <w:p w14:paraId="546D8BA3" w14:textId="77777777" w:rsidR="00F66322" w:rsidRPr="00C40B72" w:rsidRDefault="00F66322" w:rsidP="00F66322">
            <w:pPr>
              <w:spacing w:line="360" w:lineRule="auto"/>
              <w:jc w:val="both"/>
              <w:rPr>
                <w:sz w:val="24"/>
                <w:szCs w:val="24"/>
              </w:rPr>
            </w:pPr>
            <w:r w:rsidRPr="00C40B72">
              <w:rPr>
                <w:sz w:val="24"/>
                <w:szCs w:val="24"/>
              </w:rPr>
              <w:t>The learning outcome relating to professional judgement in increasingly complex situations is particularly evident when comparing practice contexts. In children’s services, statutory thresholds and structured processes often guide professional action. In adult services, particularly in cases such as self</w:t>
            </w:r>
            <w:r w:rsidRPr="00C40B72">
              <w:rPr>
                <w:rFonts w:ascii="Cambria Math" w:hAnsi="Cambria Math" w:cs="Cambria Math"/>
                <w:sz w:val="24"/>
                <w:szCs w:val="24"/>
              </w:rPr>
              <w:t>‑</w:t>
            </w:r>
            <w:r w:rsidRPr="00C40B72">
              <w:rPr>
                <w:sz w:val="24"/>
                <w:szCs w:val="24"/>
              </w:rPr>
              <w:t>neglect, I have experienced that safeguarding work is far less linear and requires tolerating ongoing risk and uncertainty (Braye, Orr and Preston</w:t>
            </w:r>
            <w:r w:rsidRPr="00C40B72">
              <w:rPr>
                <w:rFonts w:ascii="Cambria Math" w:hAnsi="Cambria Math" w:cs="Cambria Math"/>
                <w:sz w:val="24"/>
                <w:szCs w:val="24"/>
              </w:rPr>
              <w:t>‑</w:t>
            </w:r>
            <w:r w:rsidRPr="00C40B72">
              <w:rPr>
                <w:sz w:val="24"/>
                <w:szCs w:val="24"/>
              </w:rPr>
              <w:t>Shoot, 2015). Reflecting on children’s safeguarding has highlighted how different forms of complexity require different applications of judgement, reinforcing the importance of reflective supervision and defensible decision</w:t>
            </w:r>
            <w:r w:rsidRPr="00C40B72">
              <w:rPr>
                <w:rFonts w:ascii="Cambria Math" w:hAnsi="Cambria Math" w:cs="Cambria Math"/>
                <w:sz w:val="24"/>
                <w:szCs w:val="24"/>
              </w:rPr>
              <w:t>‑</w:t>
            </w:r>
            <w:r w:rsidRPr="00C40B72">
              <w:rPr>
                <w:sz w:val="24"/>
                <w:szCs w:val="24"/>
              </w:rPr>
              <w:t>making (Adams, Dominelli and Payne, 2009).</w:t>
            </w:r>
          </w:p>
          <w:p w14:paraId="0992DE56" w14:textId="77777777" w:rsidR="00F66322" w:rsidRPr="00C40B72" w:rsidRDefault="00F66322" w:rsidP="00F66322">
            <w:pPr>
              <w:spacing w:line="360" w:lineRule="auto"/>
              <w:jc w:val="both"/>
              <w:rPr>
                <w:sz w:val="24"/>
                <w:szCs w:val="24"/>
              </w:rPr>
            </w:pPr>
            <w:r w:rsidRPr="00C40B72">
              <w:rPr>
                <w:sz w:val="24"/>
                <w:szCs w:val="24"/>
              </w:rPr>
              <w:t>This reflection has also strengthened my understanding of collaborative working, another key SCW outcome. Children’s safeguarding relies heavily on clear multi</w:t>
            </w:r>
            <w:r w:rsidRPr="00C40B72">
              <w:rPr>
                <w:rFonts w:ascii="Cambria Math" w:hAnsi="Cambria Math" w:cs="Cambria Math"/>
                <w:sz w:val="24"/>
                <w:szCs w:val="24"/>
              </w:rPr>
              <w:t>‑</w:t>
            </w:r>
            <w:r w:rsidRPr="00C40B72">
              <w:rPr>
                <w:sz w:val="24"/>
                <w:szCs w:val="24"/>
              </w:rPr>
              <w:t xml:space="preserve">agency arrangements, shared thresholds and statutory cooperation, reinforced through guidance such as Working Together to Safeguard People (Welsh Government, 2019). While collaboration is central in </w:t>
            </w:r>
            <w:r w:rsidRPr="00C40B72">
              <w:rPr>
                <w:sz w:val="24"/>
                <w:szCs w:val="24"/>
              </w:rPr>
              <w:lastRenderedPageBreak/>
              <w:t>adult safeguarding, the comparative clarity within children’s services has highlighted the importance of clear communication and shared accountability across disciplines.</w:t>
            </w:r>
          </w:p>
          <w:p w14:paraId="62682EDB" w14:textId="77777777" w:rsidR="00F66322" w:rsidRPr="00C40B72" w:rsidRDefault="00F66322" w:rsidP="00F66322">
            <w:pPr>
              <w:spacing w:line="360" w:lineRule="auto"/>
              <w:jc w:val="both"/>
              <w:rPr>
                <w:sz w:val="24"/>
                <w:szCs w:val="24"/>
              </w:rPr>
            </w:pPr>
            <w:r w:rsidRPr="00C40B72">
              <w:rPr>
                <w:sz w:val="24"/>
                <w:szCs w:val="24"/>
              </w:rPr>
              <w:t>The use of social work theories has supported my learning across both areas. Anti</w:t>
            </w:r>
            <w:r w:rsidRPr="00C40B72">
              <w:rPr>
                <w:rFonts w:ascii="Cambria Math" w:hAnsi="Cambria Math" w:cs="Cambria Math"/>
                <w:sz w:val="24"/>
                <w:szCs w:val="24"/>
              </w:rPr>
              <w:t>‑</w:t>
            </w:r>
            <w:r w:rsidRPr="00C40B72">
              <w:rPr>
                <w:sz w:val="24"/>
                <w:szCs w:val="24"/>
              </w:rPr>
              <w:t>oppressive practice and power analysis have been particularly relevant when reflecting on the different ways authority is exercised. In children’s safeguarding, state power is more overt and accepted, whereas in adult safeguarding I must remain critically aware of power differentials to avoid oppressive practice (Dominelli, 2002).</w:t>
            </w:r>
          </w:p>
          <w:p w14:paraId="51DA6871" w14:textId="77777777" w:rsidR="00F66322" w:rsidRPr="00C40B72" w:rsidRDefault="00F66322" w:rsidP="00F66322">
            <w:pPr>
              <w:spacing w:line="360" w:lineRule="auto"/>
              <w:jc w:val="both"/>
              <w:rPr>
                <w:sz w:val="24"/>
                <w:szCs w:val="24"/>
              </w:rPr>
            </w:pPr>
            <w:r w:rsidRPr="00C40B72">
              <w:rPr>
                <w:sz w:val="24"/>
                <w:szCs w:val="24"/>
              </w:rPr>
              <w:t>Overall, reflecting on the differences between adult and children’s safeguarding has demonstrated my developing competence in ethical awareness, legal literacy and reflective practice. This comparison has enhanced my ability to apply SCW learning outcomes across diverse contexts and strengthened my confidence as a newly qualified social worker.</w:t>
            </w:r>
          </w:p>
          <w:p w14:paraId="42E58B92" w14:textId="77777777" w:rsidR="00F66322" w:rsidRPr="00C40B72" w:rsidRDefault="00F66322" w:rsidP="00F66322">
            <w:pPr>
              <w:spacing w:line="360" w:lineRule="auto"/>
              <w:jc w:val="both"/>
              <w:rPr>
                <w:b/>
                <w:bCs/>
                <w:sz w:val="24"/>
                <w:szCs w:val="24"/>
              </w:rPr>
            </w:pPr>
            <w:r w:rsidRPr="00C40B72">
              <w:rPr>
                <w:b/>
                <w:bCs/>
                <w:sz w:val="24"/>
                <w:szCs w:val="24"/>
              </w:rPr>
              <w:t>(417 words)</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08760B3D" w14:textId="77777777" w:rsidR="00FC0334" w:rsidRPr="006108C9" w:rsidRDefault="00FC0334" w:rsidP="00F66322">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AD0E3" w14:textId="77777777" w:rsidR="00D6790E" w:rsidRDefault="00D6790E">
      <w:r>
        <w:separator/>
      </w:r>
    </w:p>
  </w:endnote>
  <w:endnote w:type="continuationSeparator" w:id="0">
    <w:p w14:paraId="7C0AFA7A" w14:textId="77777777" w:rsidR="00D6790E" w:rsidRDefault="00D67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25E97" w14:textId="77777777" w:rsidR="00D6790E" w:rsidRDefault="00D6790E">
      <w:r>
        <w:separator/>
      </w:r>
    </w:p>
  </w:footnote>
  <w:footnote w:type="continuationSeparator" w:id="0">
    <w:p w14:paraId="22BB889C" w14:textId="77777777" w:rsidR="00D6790E" w:rsidRDefault="00D679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1A0A"/>
    <w:rsid w:val="001D229F"/>
    <w:rsid w:val="001E2EB6"/>
    <w:rsid w:val="001E6EDF"/>
    <w:rsid w:val="001F366F"/>
    <w:rsid w:val="001F4552"/>
    <w:rsid w:val="002019EB"/>
    <w:rsid w:val="00204B58"/>
    <w:rsid w:val="00205051"/>
    <w:rsid w:val="00211F65"/>
    <w:rsid w:val="00214047"/>
    <w:rsid w:val="00216563"/>
    <w:rsid w:val="0021792F"/>
    <w:rsid w:val="00220D06"/>
    <w:rsid w:val="00222BE1"/>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81B"/>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93E"/>
    <w:rsid w:val="00557D77"/>
    <w:rsid w:val="00562EAA"/>
    <w:rsid w:val="00563B58"/>
    <w:rsid w:val="005640C4"/>
    <w:rsid w:val="0056684C"/>
    <w:rsid w:val="00573878"/>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51D1"/>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0370"/>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4003"/>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A1"/>
    <w:rsid w:val="009079BD"/>
    <w:rsid w:val="00912BD9"/>
    <w:rsid w:val="00916FB2"/>
    <w:rsid w:val="00920E5B"/>
    <w:rsid w:val="00926436"/>
    <w:rsid w:val="00926C53"/>
    <w:rsid w:val="0093018C"/>
    <w:rsid w:val="0094495F"/>
    <w:rsid w:val="009544C0"/>
    <w:rsid w:val="00954FA4"/>
    <w:rsid w:val="00956AE9"/>
    <w:rsid w:val="00964CC6"/>
    <w:rsid w:val="00967BFA"/>
    <w:rsid w:val="0098094E"/>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56B3"/>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4FB2"/>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6432"/>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5F1"/>
    <w:rsid w:val="00D36F00"/>
    <w:rsid w:val="00D44B67"/>
    <w:rsid w:val="00D44F8E"/>
    <w:rsid w:val="00D51FD5"/>
    <w:rsid w:val="00D55DE0"/>
    <w:rsid w:val="00D607EF"/>
    <w:rsid w:val="00D60F88"/>
    <w:rsid w:val="00D646BD"/>
    <w:rsid w:val="00D65558"/>
    <w:rsid w:val="00D6790E"/>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32EC"/>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198"/>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C3B"/>
    <w:rsid w:val="00F60281"/>
    <w:rsid w:val="00F66272"/>
    <w:rsid w:val="00F6632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1EA1"/>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qaissouni@npt.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20976@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1246</Words>
  <Characters>7104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Samantha Qaissouni</cp:lastModifiedBy>
  <cp:revision>2</cp:revision>
  <cp:lastPrinted>2020-02-11T19:20:00Z</cp:lastPrinted>
  <dcterms:created xsi:type="dcterms:W3CDTF">2026-06-05T12:38:00Z</dcterms:created>
  <dcterms:modified xsi:type="dcterms:W3CDTF">2026-06-05T12:38:00Z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