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39A467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61808">
              <w:rPr>
                <w:b/>
                <w:color w:val="auto"/>
                <w:sz w:val="32"/>
              </w:rPr>
              <w:t xml:space="preserve">Christian Coomer </w:t>
            </w:r>
          </w:p>
          <w:p w14:paraId="44290483" w14:textId="77777777" w:rsidR="00FF6BE0" w:rsidRDefault="00FF6BE0" w:rsidP="00340E9A">
            <w:pPr>
              <w:overflowPunct/>
              <w:autoSpaceDE/>
              <w:autoSpaceDN/>
              <w:adjustRightInd/>
              <w:ind w:right="237"/>
              <w:textAlignment w:val="auto"/>
              <w:rPr>
                <w:b/>
                <w:color w:val="auto"/>
                <w:sz w:val="32"/>
              </w:rPr>
            </w:pPr>
          </w:p>
          <w:p w14:paraId="161E8B2D" w14:textId="3AF94FBF"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61808">
              <w:rPr>
                <w:b/>
                <w:color w:val="auto"/>
                <w:sz w:val="32"/>
              </w:rPr>
              <w:t xml:space="preserve"> 1916803</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551BA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551BA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551BA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551BA0">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551BA0">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551BA0">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551BA0">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551BA0">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551BA0">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BE27F7"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w:t>
      </w:r>
      <w:proofErr w:type="gramStart"/>
      <w:r w:rsidRPr="66EF36A5">
        <w:rPr>
          <w:rFonts w:eastAsia="Arial"/>
          <w:i/>
          <w:iCs/>
          <w:color w:val="000000" w:themeColor="text1"/>
          <w:sz w:val="24"/>
          <w:szCs w:val="24"/>
        </w:rPr>
        <w:t>particular document</w:t>
      </w:r>
      <w:proofErr w:type="gramEnd"/>
      <w:r w:rsidRPr="66EF36A5">
        <w:rPr>
          <w:rFonts w:eastAsia="Arial"/>
          <w:i/>
          <w:iCs/>
          <w:color w:val="000000" w:themeColor="text1"/>
          <w:sz w:val="24"/>
          <w:szCs w:val="24"/>
        </w:rPr>
        <w:t xml:space="preserve">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D464EBF" w14:textId="6BC163C5" w:rsidR="00961808" w:rsidRDefault="00961808" w:rsidP="00961808">
      <w:pPr>
        <w:ind w:right="237"/>
        <w:jc w:val="both"/>
        <w:rPr>
          <w:sz w:val="24"/>
          <w:szCs w:val="24"/>
        </w:rPr>
      </w:pPr>
      <w:r w:rsidRPr="00961808">
        <w:rPr>
          <w:sz w:val="24"/>
          <w:szCs w:val="24"/>
        </w:rPr>
        <w:t>I recently joined my operational shift after achieving independent patrol status. Using Driscoll’s reflective model (2007) I will reflect on the pressure of being independent, how organisational culture has impacted my wellbeing and my resilience has been tested. I will explore coping strategies to maintain personal values despite the pressure to conform to negative organisational culture.</w:t>
      </w:r>
    </w:p>
    <w:p w14:paraId="751D7832" w14:textId="77777777" w:rsidR="00961808" w:rsidRPr="00961808" w:rsidRDefault="00961808" w:rsidP="00961808">
      <w:pPr>
        <w:ind w:right="237"/>
        <w:jc w:val="both"/>
        <w:rPr>
          <w:sz w:val="24"/>
          <w:szCs w:val="24"/>
        </w:rPr>
      </w:pPr>
    </w:p>
    <w:p w14:paraId="5D47BE11" w14:textId="173FDB4D" w:rsidR="00961808" w:rsidRDefault="00961808" w:rsidP="00961808">
      <w:pPr>
        <w:ind w:right="237"/>
        <w:jc w:val="both"/>
        <w:rPr>
          <w:sz w:val="24"/>
          <w:szCs w:val="24"/>
        </w:rPr>
      </w:pPr>
      <w:r w:rsidRPr="00961808">
        <w:rPr>
          <w:sz w:val="24"/>
          <w:szCs w:val="24"/>
        </w:rPr>
        <w:t>As a new member to the team and a new officer I looked to members of my shift for advice on how to manage a large workload and observed that some individuals would often neglect basic golden hour principles in order to remove it from their workload. There also seemed to be a negative culture that neglected the Forces policy and procedures when it came to low level anti-social behaviour and an increased use of pepper spray without trying to talk a situation down. I felt pressure to conform with this poor cultural practice, but I felt a strong urge to maintain my own personal ethical values and those shared by the wider culture of the organisation.</w:t>
      </w:r>
    </w:p>
    <w:p w14:paraId="07CCE361" w14:textId="77777777" w:rsidR="00DD79BA" w:rsidRPr="00961808" w:rsidRDefault="00DD79BA" w:rsidP="00961808">
      <w:pPr>
        <w:ind w:right="237"/>
        <w:jc w:val="both"/>
        <w:rPr>
          <w:sz w:val="24"/>
          <w:szCs w:val="24"/>
        </w:rPr>
      </w:pPr>
    </w:p>
    <w:p w14:paraId="2453735C" w14:textId="5A3BC1E0" w:rsidR="00961808" w:rsidRDefault="00961808" w:rsidP="00961808">
      <w:pPr>
        <w:ind w:right="237"/>
        <w:jc w:val="both"/>
        <w:rPr>
          <w:sz w:val="24"/>
          <w:szCs w:val="24"/>
        </w:rPr>
      </w:pPr>
      <w:r w:rsidRPr="00961808">
        <w:rPr>
          <w:sz w:val="24"/>
          <w:szCs w:val="24"/>
        </w:rPr>
        <w:t xml:space="preserve">Completing my 12-week tutorship I had learnt the skills needed to deal with a wide range of difficult and dangerous situations and I felt confident with a tutor constable guiding my decision making. However, also making me somewhat complacent, knowing I had the safety of my tutor constable to fall back on when faced with a difficult situation. I knew the transition between being doubled crewed to performing independently was going to impact my wellbeing and test my resilience, as well as the added pressure of fitting into a new team and culture. I found being on an operational shift quite different. Coming from a training environment my tutor constable was able to pick each call they felt relevant to my development and at each call I was taught best practice even if sometimes it took longer. However, on shift I found at times the demand of calls was unrealistic and made it difficult to maintain such high standards. I soon found myself weighed down by a large workload which was difficult and stressful to manage. </w:t>
      </w:r>
      <w:proofErr w:type="spellStart"/>
      <w:r w:rsidRPr="00961808">
        <w:rPr>
          <w:sz w:val="24"/>
          <w:szCs w:val="24"/>
        </w:rPr>
        <w:t>Charman</w:t>
      </w:r>
      <w:proofErr w:type="spellEnd"/>
      <w:r w:rsidRPr="00961808">
        <w:rPr>
          <w:sz w:val="24"/>
          <w:szCs w:val="24"/>
        </w:rPr>
        <w:t xml:space="preserve"> (2017) p.153. recognises the stress and anxiety caused by balancing the dangerous operational environment with the scrutiny of the organisational environment and suggests that culture is then used as a coping mechanism. Although I could see how some officers </w:t>
      </w:r>
      <w:r w:rsidRPr="00961808">
        <w:rPr>
          <w:sz w:val="24"/>
          <w:szCs w:val="24"/>
        </w:rPr>
        <w:lastRenderedPageBreak/>
        <w:t>had slipped into cutting corners as a coping mechanism it is not something that I feel comfortable to do.</w:t>
      </w:r>
    </w:p>
    <w:p w14:paraId="41898CB6" w14:textId="77777777" w:rsidR="00DD79BA" w:rsidRPr="00961808" w:rsidRDefault="00DD79BA" w:rsidP="00961808">
      <w:pPr>
        <w:ind w:right="237"/>
        <w:jc w:val="both"/>
        <w:rPr>
          <w:sz w:val="24"/>
          <w:szCs w:val="24"/>
        </w:rPr>
      </w:pPr>
    </w:p>
    <w:p w14:paraId="307D5A74" w14:textId="54E7EFE4" w:rsidR="00961808" w:rsidRDefault="00961808" w:rsidP="00961808">
      <w:pPr>
        <w:ind w:right="237"/>
        <w:jc w:val="both"/>
        <w:rPr>
          <w:sz w:val="24"/>
          <w:szCs w:val="24"/>
        </w:rPr>
      </w:pPr>
      <w:r w:rsidRPr="00961808">
        <w:rPr>
          <w:sz w:val="24"/>
          <w:szCs w:val="24"/>
        </w:rPr>
        <w:t>I have already been exposed to several dangerous situations where colleagues were assaulted or injured. I knew being independent I would be relying on members of my new shift to be there in a time of need and that I also would be expected to support them when they needed assistance, so the necessity to be part of the team was paramount for my own and colleague’s safety. A recent report by the National Police Chiefs Council and College of Policing (2020) states that 88% of officers say they have been assaulted and recent statistics for 2018/19 were increased from the previous year by 13-15%. The College of Policing suggest these figures are under-reported, so incidence is likely higher. As a probationary constable these statics are alarming and impact confidence when patrolling independently. Over recent years police numbers have fallen as a result of constant funding cuts in a recent report by the Home Office (2020), Police officer numbers are 10% lower across England and Wales since a peak in 2009. This has resulted in most forces adapting how resources are managed, one of these being tradition double crewed units being scaled back to single crewed units in order to maintain police visibility to maintain public confidence, however, there has also been a noticeable increase in police assaults (Police Federation of England and Wales (PFEW) 2017). The National Vice-Chair of the PFEW voiced concerns that working alone exposes an officer to increased risk and that this is unacceptable, recognising that this increases stress as officers struggle to meet the demands expected of them and that described single crewing is a false economy which portrays a false sense of public safety (PFEW 2019).</w:t>
      </w:r>
    </w:p>
    <w:p w14:paraId="60EAEC7F" w14:textId="77777777" w:rsidR="00DD79BA" w:rsidRPr="00961808" w:rsidRDefault="00DD79BA" w:rsidP="00961808">
      <w:pPr>
        <w:ind w:right="237"/>
        <w:jc w:val="both"/>
        <w:rPr>
          <w:sz w:val="24"/>
          <w:szCs w:val="24"/>
        </w:rPr>
      </w:pPr>
    </w:p>
    <w:p w14:paraId="5403D94C" w14:textId="2F7FA8D7" w:rsidR="00961808" w:rsidRDefault="00961808" w:rsidP="00961808">
      <w:pPr>
        <w:ind w:right="237"/>
        <w:jc w:val="both"/>
        <w:rPr>
          <w:sz w:val="24"/>
          <w:szCs w:val="24"/>
        </w:rPr>
      </w:pPr>
      <w:r w:rsidRPr="00961808">
        <w:rPr>
          <w:sz w:val="24"/>
          <w:szCs w:val="24"/>
        </w:rPr>
        <w:t xml:space="preserve">A survey of 18,000 officers found that 76.1% of frontline officers regularly found themselves single crewed and 89.8% felt there were not enough officers to cope with the demands of the job (PFEW 2018). The most recent welfare survey indicates that officers feel their staffing levels are too low with only 14% feeling that there are </w:t>
      </w:r>
      <w:proofErr w:type="gramStart"/>
      <w:r w:rsidRPr="00961808">
        <w:rPr>
          <w:sz w:val="24"/>
          <w:szCs w:val="24"/>
        </w:rPr>
        <w:t>sufficient</w:t>
      </w:r>
      <w:proofErr w:type="gramEnd"/>
      <w:r w:rsidRPr="00961808">
        <w:rPr>
          <w:sz w:val="24"/>
          <w:szCs w:val="24"/>
        </w:rPr>
        <w:t xml:space="preserve"> officers in their team workload is too high (PFEW 2020). These statistics and my limited experience have given me an understanding of why certain officers cut corners particularly when dealing with situations that involve unpredictable individuals, however, still gives me a dilemma how I maintain my own values that reflect my training yet still fit in as an accepted team member.</w:t>
      </w:r>
    </w:p>
    <w:p w14:paraId="4F7D1EBD" w14:textId="77777777" w:rsidR="00DD79BA" w:rsidRPr="00961808" w:rsidRDefault="00DD79BA" w:rsidP="00961808">
      <w:pPr>
        <w:ind w:right="237"/>
        <w:jc w:val="both"/>
        <w:rPr>
          <w:sz w:val="24"/>
          <w:szCs w:val="24"/>
        </w:rPr>
      </w:pPr>
    </w:p>
    <w:p w14:paraId="32B42B8D" w14:textId="0E112250" w:rsidR="00961808" w:rsidRDefault="00961808" w:rsidP="00961808">
      <w:pPr>
        <w:ind w:right="237"/>
        <w:jc w:val="both"/>
        <w:rPr>
          <w:sz w:val="24"/>
          <w:szCs w:val="24"/>
        </w:rPr>
      </w:pPr>
      <w:r w:rsidRPr="00961808">
        <w:rPr>
          <w:sz w:val="24"/>
          <w:szCs w:val="24"/>
        </w:rPr>
        <w:t>I feel the negative culture and practice that I have seen have stemmed from being understaffed and being single crewed resulting in carrying larger workloads. Managing the potential threat of daily assault and managing the workload has encouraged the negative aspects of the forces culture to be used a coping tool.</w:t>
      </w:r>
    </w:p>
    <w:p w14:paraId="425E0EE2" w14:textId="77777777" w:rsidR="00DD79BA" w:rsidRPr="00961808" w:rsidRDefault="00DD79BA" w:rsidP="00961808">
      <w:pPr>
        <w:ind w:right="237"/>
        <w:jc w:val="both"/>
        <w:rPr>
          <w:sz w:val="24"/>
          <w:szCs w:val="24"/>
        </w:rPr>
      </w:pPr>
    </w:p>
    <w:p w14:paraId="44F78C20" w14:textId="2D6DDA4E" w:rsidR="00961808" w:rsidRDefault="00961808" w:rsidP="00961808">
      <w:pPr>
        <w:ind w:right="237"/>
        <w:jc w:val="both"/>
        <w:rPr>
          <w:sz w:val="24"/>
          <w:szCs w:val="24"/>
        </w:rPr>
      </w:pPr>
      <w:r w:rsidRPr="00961808">
        <w:rPr>
          <w:sz w:val="24"/>
          <w:szCs w:val="24"/>
        </w:rPr>
        <w:t xml:space="preserve">I cannot change the fact that I usually work alone. Maintaining my own values and ensuring I mirror the Forces expectation I am beginning to recognise the different members traits in my team. I am starting to identify the officers that are the best role models as their values reflect the principles that I have been taught in my tutorship. I will look for their advice as to how they manage workloads and situations. I think the most difficult action will be to challenge poor practice and I hope to use canteen culture to sit and reflect with those officers how a certain situation was managed. I hope that my natural humour will help me to raise something in an informal way that may feel less intimidating for me and in a way that I do not seem to be critical. I hope </w:t>
      </w:r>
      <w:r w:rsidRPr="00961808">
        <w:rPr>
          <w:sz w:val="24"/>
          <w:szCs w:val="24"/>
        </w:rPr>
        <w:lastRenderedPageBreak/>
        <w:t>as my confidence grows that I will be able to challenge some behaviour by using the experience of those that are my positive role models. Putting the Code of Ethics (College of Policing 2014) into every decision I make to ensure my policing is fair and ethical will ensure that I always act with integrity and not fall into negative aspects of the culture that I see.</w:t>
      </w:r>
    </w:p>
    <w:p w14:paraId="6A5CB2E2" w14:textId="77777777" w:rsidR="00DD79BA" w:rsidRPr="00961808" w:rsidRDefault="00DD79BA" w:rsidP="00961808">
      <w:pPr>
        <w:ind w:right="237"/>
        <w:jc w:val="both"/>
        <w:rPr>
          <w:sz w:val="24"/>
          <w:szCs w:val="24"/>
        </w:rPr>
      </w:pPr>
    </w:p>
    <w:p w14:paraId="67C78189" w14:textId="77777777" w:rsidR="00961808" w:rsidRPr="00961808" w:rsidRDefault="00961808" w:rsidP="00961808">
      <w:pPr>
        <w:ind w:right="237"/>
        <w:jc w:val="both"/>
        <w:rPr>
          <w:sz w:val="24"/>
          <w:szCs w:val="24"/>
        </w:rPr>
      </w:pPr>
      <w:r w:rsidRPr="00961808">
        <w:rPr>
          <w:sz w:val="24"/>
          <w:szCs w:val="24"/>
        </w:rPr>
        <w:t>Word count 1069</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79C6F38B" w14:textId="77777777" w:rsidR="00AA666E" w:rsidRPr="00270EEB" w:rsidRDefault="00AA666E" w:rsidP="00340E9A">
      <w:pPr>
        <w:ind w:right="237"/>
        <w:jc w:val="both"/>
        <w:rPr>
          <w:sz w:val="24"/>
          <w:szCs w:val="24"/>
        </w:rPr>
      </w:pPr>
    </w:p>
    <w:p w14:paraId="73D1A9A4" w14:textId="391EDC92" w:rsidR="00DD79BA" w:rsidRDefault="00DD79BA" w:rsidP="00DD79BA">
      <w:pPr>
        <w:ind w:right="237"/>
        <w:jc w:val="both"/>
        <w:rPr>
          <w:sz w:val="24"/>
          <w:szCs w:val="24"/>
        </w:rPr>
      </w:pPr>
      <w:r w:rsidRPr="00DD79BA">
        <w:rPr>
          <w:sz w:val="24"/>
          <w:szCs w:val="24"/>
        </w:rPr>
        <w:t xml:space="preserve">Using </w:t>
      </w:r>
      <w:proofErr w:type="spellStart"/>
      <w:r w:rsidRPr="00DD79BA">
        <w:rPr>
          <w:sz w:val="24"/>
          <w:szCs w:val="24"/>
        </w:rPr>
        <w:t>Driscolls</w:t>
      </w:r>
      <w:proofErr w:type="spellEnd"/>
      <w:r w:rsidRPr="00DD79BA">
        <w:rPr>
          <w:sz w:val="24"/>
          <w:szCs w:val="24"/>
        </w:rPr>
        <w:t xml:space="preserve"> reflective cycle I will reflect on an incident recently attended whereby a member of the public called Police to report damage to his property caused by his neighbour. I have chosen this incident due to the complexity of the situation which was not apparent at first. </w:t>
      </w:r>
    </w:p>
    <w:p w14:paraId="70009EA2" w14:textId="77777777" w:rsidR="00DD79BA" w:rsidRPr="00DD79BA" w:rsidRDefault="00DD79BA" w:rsidP="00DD79BA">
      <w:pPr>
        <w:ind w:right="237"/>
        <w:jc w:val="both"/>
        <w:rPr>
          <w:sz w:val="24"/>
          <w:szCs w:val="24"/>
        </w:rPr>
      </w:pPr>
    </w:p>
    <w:p w14:paraId="4D65F5DC" w14:textId="62D2A5A2" w:rsidR="00DD79BA" w:rsidRDefault="00DD79BA" w:rsidP="00DD79BA">
      <w:pPr>
        <w:ind w:right="237"/>
        <w:jc w:val="both"/>
        <w:rPr>
          <w:sz w:val="24"/>
          <w:szCs w:val="24"/>
        </w:rPr>
      </w:pPr>
      <w:r w:rsidRPr="00DD79BA">
        <w:rPr>
          <w:sz w:val="24"/>
          <w:szCs w:val="24"/>
        </w:rPr>
        <w:t>I attended an incident whereby a caller said their neighbour had caused damage by pouring milk and bleach through their letterbox and pulled the letterbox flap from the door. The initial information was similar in nature to other incidents I had attended and at this point I felt confident this would be a routine and seemingly straight forward offence of Criminal Damage defined in the Criminal Damage Act (1971) section 1 as ‘a person who without lawful excuse destroys or damages any property belonging to another’.</w:t>
      </w:r>
    </w:p>
    <w:p w14:paraId="46293090" w14:textId="77777777" w:rsidR="00DD79BA" w:rsidRPr="00DD79BA" w:rsidRDefault="00DD79BA" w:rsidP="00DD79BA">
      <w:pPr>
        <w:ind w:right="237"/>
        <w:jc w:val="both"/>
        <w:rPr>
          <w:sz w:val="24"/>
          <w:szCs w:val="24"/>
        </w:rPr>
      </w:pPr>
    </w:p>
    <w:p w14:paraId="5B95C75F" w14:textId="3538CFB1" w:rsidR="00DD79BA" w:rsidRDefault="00DD79BA" w:rsidP="00DD79BA">
      <w:pPr>
        <w:ind w:right="237"/>
        <w:jc w:val="both"/>
        <w:rPr>
          <w:sz w:val="24"/>
          <w:szCs w:val="24"/>
        </w:rPr>
      </w:pPr>
      <w:r w:rsidRPr="00DD79BA">
        <w:rPr>
          <w:sz w:val="24"/>
          <w:szCs w:val="24"/>
        </w:rPr>
        <w:t xml:space="preserve">When attending incidents, I always follow the National Decision-making Model (NDM) which is a 5-stage decision-making framework which applies to any spontaneous or pre-planned situation. As a less experienced officer I find the NDM assists my decision making and structures my actions. At the core of the NDM is the Code of Ethics (2014) which are policing principles which underpin all decision making ensuring the expected standards and behaviour are met which will increase public confidence in policing. </w:t>
      </w:r>
    </w:p>
    <w:p w14:paraId="5F8488CC" w14:textId="77777777" w:rsidR="00DD79BA" w:rsidRPr="00DD79BA" w:rsidRDefault="00DD79BA" w:rsidP="00DD79BA">
      <w:pPr>
        <w:ind w:right="237"/>
        <w:jc w:val="both"/>
        <w:rPr>
          <w:sz w:val="24"/>
          <w:szCs w:val="24"/>
        </w:rPr>
      </w:pPr>
    </w:p>
    <w:p w14:paraId="1C0E682C" w14:textId="7A80EF98" w:rsidR="00DD79BA" w:rsidRDefault="00DD79BA" w:rsidP="00DD79BA">
      <w:pPr>
        <w:ind w:right="237"/>
        <w:jc w:val="both"/>
        <w:rPr>
          <w:sz w:val="24"/>
          <w:szCs w:val="24"/>
        </w:rPr>
      </w:pPr>
      <w:r w:rsidRPr="00DD79BA">
        <w:rPr>
          <w:sz w:val="24"/>
          <w:szCs w:val="24"/>
        </w:rPr>
        <w:t xml:space="preserve">Following the NDM I began gathering as much information and intelligence as possible. I asked the control room to conduct checks on the involved address’s and named persons. The Police National Computer stores and shares all criminal information which would help me to identify risk in my initial assessment of the situation. I was informed there were no warning markers, the caller had no previous </w:t>
      </w:r>
      <w:r w:rsidRPr="00DD79BA">
        <w:rPr>
          <w:sz w:val="24"/>
          <w:szCs w:val="24"/>
        </w:rPr>
        <w:lastRenderedPageBreak/>
        <w:t xml:space="preserve">police involvement and the named subject had been involved with the police several years ago. </w:t>
      </w:r>
    </w:p>
    <w:p w14:paraId="3F74933A" w14:textId="77777777" w:rsidR="00DD79BA" w:rsidRPr="00DD79BA" w:rsidRDefault="00DD79BA" w:rsidP="00DD79BA">
      <w:pPr>
        <w:ind w:right="237"/>
        <w:jc w:val="both"/>
        <w:rPr>
          <w:sz w:val="24"/>
          <w:szCs w:val="24"/>
        </w:rPr>
      </w:pPr>
    </w:p>
    <w:p w14:paraId="6FBF1F99" w14:textId="77777777" w:rsidR="00DD79BA" w:rsidRPr="00DD79BA" w:rsidRDefault="00DD79BA" w:rsidP="00DD79BA">
      <w:pPr>
        <w:ind w:right="237"/>
        <w:jc w:val="both"/>
        <w:rPr>
          <w:sz w:val="24"/>
          <w:szCs w:val="24"/>
        </w:rPr>
      </w:pPr>
      <w:r w:rsidRPr="00DD79BA">
        <w:rPr>
          <w:sz w:val="24"/>
          <w:szCs w:val="24"/>
        </w:rPr>
        <w:t xml:space="preserve">The second stage is assessing threats and risks and developing a working strategy. I was happy there was limited risk or threat, so safe to attend the address alone. My working strategy was to attend the callers address, establish more information, see the damage, confirm or deny an offence had taken place and deal with it accordingly. </w:t>
      </w:r>
    </w:p>
    <w:p w14:paraId="18663823" w14:textId="77777777" w:rsidR="00DD79BA" w:rsidRDefault="00DD79BA" w:rsidP="00DD79BA">
      <w:pPr>
        <w:ind w:right="237"/>
        <w:jc w:val="both"/>
        <w:rPr>
          <w:sz w:val="24"/>
          <w:szCs w:val="24"/>
        </w:rPr>
      </w:pPr>
    </w:p>
    <w:p w14:paraId="122C1297" w14:textId="52FEEA10" w:rsidR="00DD79BA" w:rsidRDefault="00DD79BA" w:rsidP="00DD79BA">
      <w:pPr>
        <w:ind w:right="237"/>
        <w:jc w:val="both"/>
        <w:rPr>
          <w:sz w:val="24"/>
          <w:szCs w:val="24"/>
        </w:rPr>
      </w:pPr>
      <w:r w:rsidRPr="00DD79BA">
        <w:rPr>
          <w:sz w:val="24"/>
          <w:szCs w:val="24"/>
        </w:rPr>
        <w:t xml:space="preserve">On attendance my first action was activating my Body worn video (BWV), encouraged by the College of Policing (2016) as it accurately documents the scene, shows body language of involved persons and captures any key evidence such as significant comments. </w:t>
      </w:r>
    </w:p>
    <w:p w14:paraId="3692B20A" w14:textId="77777777" w:rsidR="00DD79BA" w:rsidRPr="00DD79BA" w:rsidRDefault="00DD79BA" w:rsidP="00DD79BA">
      <w:pPr>
        <w:ind w:right="237"/>
        <w:jc w:val="both"/>
        <w:rPr>
          <w:sz w:val="24"/>
          <w:szCs w:val="24"/>
        </w:rPr>
      </w:pPr>
    </w:p>
    <w:p w14:paraId="3FD1F4CF" w14:textId="77777777" w:rsidR="00DD79BA" w:rsidRPr="00DD79BA" w:rsidRDefault="00DD79BA" w:rsidP="00DD79BA">
      <w:pPr>
        <w:ind w:right="237"/>
        <w:jc w:val="both"/>
        <w:rPr>
          <w:sz w:val="24"/>
          <w:szCs w:val="24"/>
        </w:rPr>
      </w:pPr>
      <w:r w:rsidRPr="00DD79BA">
        <w:rPr>
          <w:sz w:val="24"/>
          <w:szCs w:val="24"/>
        </w:rPr>
        <w:t>Attending the callers address, he stated his neighbour living in the flat below had opened the letter box pouring in a liquid appearing to be a mix of milk and bleach and pulled the letter box flap off then returned to their own address. Additional information from the caller was the neighbour had Huntington’s disease, affecting the brains’ ability the function properly. The disease slowly damages the brain affecting functions such as memory, mood, physical ability and communication, eventually resulting in death (NHS 2021). The caller presented video footage of the incident which clearly showed their neighbour committing the offence and I could see the male was severely disabled, his arms were twisted, very unsteady on his feet, and stopping to catch his breath, signs and symptoms of Huntington’s.</w:t>
      </w:r>
    </w:p>
    <w:p w14:paraId="0640DBE2" w14:textId="77777777" w:rsidR="00DD79BA" w:rsidRDefault="00DD79BA" w:rsidP="00DD79BA">
      <w:pPr>
        <w:ind w:right="237"/>
        <w:jc w:val="both"/>
        <w:rPr>
          <w:sz w:val="24"/>
          <w:szCs w:val="24"/>
        </w:rPr>
      </w:pPr>
    </w:p>
    <w:p w14:paraId="74A98DC0" w14:textId="248465C4" w:rsidR="00DD79BA" w:rsidRDefault="00DD79BA" w:rsidP="00DD79BA">
      <w:pPr>
        <w:ind w:right="237"/>
        <w:jc w:val="both"/>
        <w:rPr>
          <w:sz w:val="24"/>
          <w:szCs w:val="24"/>
        </w:rPr>
      </w:pPr>
      <w:r w:rsidRPr="00DD79BA">
        <w:rPr>
          <w:sz w:val="24"/>
          <w:szCs w:val="24"/>
        </w:rPr>
        <w:t xml:space="preserve">The caller informed me that other incidents had also happened to him and other residents but due to this male’s poor health no one reported it. The caller stated he would often be in the nude walking the streets in the early hours or knocking doors with mail wanting somebody to read it to him. </w:t>
      </w:r>
    </w:p>
    <w:p w14:paraId="03292165" w14:textId="77777777" w:rsidR="00DD79BA" w:rsidRPr="00DD79BA" w:rsidRDefault="00DD79BA" w:rsidP="00DD79BA">
      <w:pPr>
        <w:ind w:right="237"/>
        <w:jc w:val="both"/>
        <w:rPr>
          <w:sz w:val="24"/>
          <w:szCs w:val="24"/>
        </w:rPr>
      </w:pPr>
    </w:p>
    <w:p w14:paraId="27AFF5D0" w14:textId="5BF2CF1F" w:rsidR="00DD79BA" w:rsidRDefault="00DD79BA" w:rsidP="00DD79BA">
      <w:pPr>
        <w:ind w:right="237"/>
        <w:jc w:val="both"/>
        <w:rPr>
          <w:sz w:val="24"/>
          <w:szCs w:val="24"/>
        </w:rPr>
      </w:pPr>
      <w:r w:rsidRPr="00DD79BA">
        <w:rPr>
          <w:sz w:val="24"/>
          <w:szCs w:val="24"/>
        </w:rPr>
        <w:t xml:space="preserve">I attended the downstairs flat hesitant I would be able to communicate with the male. Fortunately, their friend answered and explained they had become the sole carer as formal carers refused to attend. The friend produced a diary of all incidents over a 6-month period ranging from consuming out of date food, soiling himself numerous times, spending weeks without washing and overall general neglect. I felt he needed full time care, but this male’s only support was their friend who could only visit every other day. I questioned why he had not been moved to a facility which provided 24-hour care as I could see he seemed to be at risk from his own behaviour. I was told two doctors had assessed him using yes and no flashcards and declared under Section 2 of the Mental Capacity Act (2005) he had capacity to decide where he lived. </w:t>
      </w:r>
    </w:p>
    <w:p w14:paraId="0D00B148" w14:textId="77777777" w:rsidR="00DD79BA" w:rsidRPr="00DD79BA" w:rsidRDefault="00DD79BA" w:rsidP="00DD79BA">
      <w:pPr>
        <w:ind w:right="237"/>
        <w:jc w:val="both"/>
        <w:rPr>
          <w:sz w:val="24"/>
          <w:szCs w:val="24"/>
        </w:rPr>
      </w:pPr>
    </w:p>
    <w:p w14:paraId="2475F82B" w14:textId="6E9DD98A" w:rsidR="00DD79BA" w:rsidRDefault="00DD79BA" w:rsidP="00DD79BA">
      <w:pPr>
        <w:ind w:right="237"/>
        <w:jc w:val="both"/>
        <w:rPr>
          <w:sz w:val="24"/>
          <w:szCs w:val="24"/>
        </w:rPr>
      </w:pPr>
      <w:r w:rsidRPr="00DD79BA">
        <w:rPr>
          <w:sz w:val="24"/>
          <w:szCs w:val="24"/>
        </w:rPr>
        <w:t xml:space="preserve">However, speaking with the male using their friend to help to communicate, I felt the male struggled to understand basic information. The Mental Capacity Act (2005) states to demonstrate capacity a person must be able to understand the information, retain that information, be able to weigh up that information and communicate their decision, as he was unable to understand the information, I felt he lacked capacity for his actions. </w:t>
      </w:r>
    </w:p>
    <w:p w14:paraId="38AF80CA" w14:textId="77777777" w:rsidR="00DD79BA" w:rsidRPr="00DD79BA" w:rsidRDefault="00DD79BA" w:rsidP="00DD79BA">
      <w:pPr>
        <w:ind w:right="237"/>
        <w:jc w:val="both"/>
        <w:rPr>
          <w:sz w:val="24"/>
          <w:szCs w:val="24"/>
        </w:rPr>
      </w:pPr>
    </w:p>
    <w:p w14:paraId="5CBE47A9" w14:textId="3FEC9063" w:rsidR="00DD79BA" w:rsidRDefault="00DD79BA" w:rsidP="00DD79BA">
      <w:pPr>
        <w:ind w:right="237"/>
        <w:jc w:val="both"/>
        <w:rPr>
          <w:sz w:val="24"/>
          <w:szCs w:val="24"/>
        </w:rPr>
      </w:pPr>
      <w:r w:rsidRPr="00DD79BA">
        <w:rPr>
          <w:sz w:val="24"/>
          <w:szCs w:val="24"/>
        </w:rPr>
        <w:t xml:space="preserve">The situation was more complex than I had initially thought, and I had to make a decision that was proportionate and necessary based upon on all the information. </w:t>
      </w:r>
      <w:r w:rsidRPr="00DD79BA">
        <w:rPr>
          <w:sz w:val="24"/>
          <w:szCs w:val="24"/>
        </w:rPr>
        <w:lastRenderedPageBreak/>
        <w:t>Aware the decision I would make would have wider implications on the community and using the NDM framework to assist my decision making I considered what powers and policies were available to me.</w:t>
      </w:r>
    </w:p>
    <w:p w14:paraId="716BF8FC" w14:textId="77777777" w:rsidR="00DD79BA" w:rsidRPr="00DD79BA" w:rsidRDefault="00DD79BA" w:rsidP="00DD79BA">
      <w:pPr>
        <w:ind w:right="237"/>
        <w:jc w:val="both"/>
        <w:rPr>
          <w:sz w:val="24"/>
          <w:szCs w:val="24"/>
        </w:rPr>
      </w:pPr>
    </w:p>
    <w:p w14:paraId="0AD00786" w14:textId="563BBF47" w:rsidR="00DD79BA" w:rsidRDefault="00DD79BA" w:rsidP="00DD79BA">
      <w:pPr>
        <w:ind w:right="237"/>
        <w:jc w:val="both"/>
        <w:rPr>
          <w:sz w:val="24"/>
          <w:szCs w:val="24"/>
        </w:rPr>
      </w:pPr>
      <w:r w:rsidRPr="00DD79BA">
        <w:rPr>
          <w:sz w:val="24"/>
          <w:szCs w:val="24"/>
        </w:rPr>
        <w:t>There were several options I could have chosen such as power of arrest under Section 24 of the Police and Criminal Evidence Act (1984) giving an officer the power of arrest without warrant anyone who has committed an offence, in the act of an offence or about to commit an offence. I considered what benefits this would have on the situation such as safeguarding the caller from their neighbour. When considering the disadvantages, there were more negatives than positives. If arrested the male would need to be video interviewed which would have presented a problem due to his limited communication, mental capacity and general ill health and I felt would only offer a short-term solution as this was not an isolated incident and there were other factors to consider.</w:t>
      </w:r>
    </w:p>
    <w:p w14:paraId="4D25D7A4" w14:textId="77777777" w:rsidR="00DD79BA" w:rsidRPr="00DD79BA" w:rsidRDefault="00DD79BA" w:rsidP="00DD79BA">
      <w:pPr>
        <w:ind w:right="237"/>
        <w:jc w:val="both"/>
        <w:rPr>
          <w:sz w:val="24"/>
          <w:szCs w:val="24"/>
        </w:rPr>
      </w:pPr>
    </w:p>
    <w:p w14:paraId="69BD4D16" w14:textId="3FCE880B" w:rsidR="00DD79BA" w:rsidRDefault="00DD79BA" w:rsidP="00DD79BA">
      <w:pPr>
        <w:ind w:right="237"/>
        <w:jc w:val="both"/>
        <w:rPr>
          <w:sz w:val="24"/>
          <w:szCs w:val="24"/>
        </w:rPr>
      </w:pPr>
      <w:r w:rsidRPr="00DD79BA">
        <w:rPr>
          <w:sz w:val="24"/>
          <w:szCs w:val="24"/>
        </w:rPr>
        <w:t>Another option was Community Remedy, an out of court disposal for low level offences such as criminal damage (Gwent Police 2021). The victim has the choice how the matter is settled such as written apology or payment for the damaged caused. A Community Remedy was not possible as the male was unable to provide a verbal or written apology, be able to repair damage caused or provide payment to cover cost of the damage. Again, it would have been a short-term solution and would not have solved issues such as the neglect of the male, his ill health and his impact of his behaviour on the community.</w:t>
      </w:r>
    </w:p>
    <w:p w14:paraId="7145E330" w14:textId="77777777" w:rsidR="00DD79BA" w:rsidRPr="00DD79BA" w:rsidRDefault="00DD79BA" w:rsidP="00DD79BA">
      <w:pPr>
        <w:ind w:right="237"/>
        <w:jc w:val="both"/>
        <w:rPr>
          <w:sz w:val="24"/>
          <w:szCs w:val="24"/>
        </w:rPr>
      </w:pPr>
    </w:p>
    <w:p w14:paraId="1E4321AE" w14:textId="2129966F" w:rsidR="00DD79BA" w:rsidRDefault="00DD79BA" w:rsidP="00DD79BA">
      <w:pPr>
        <w:ind w:right="237"/>
        <w:jc w:val="both"/>
        <w:rPr>
          <w:sz w:val="24"/>
          <w:szCs w:val="24"/>
        </w:rPr>
      </w:pPr>
      <w:r w:rsidRPr="00DD79BA">
        <w:rPr>
          <w:sz w:val="24"/>
          <w:szCs w:val="24"/>
        </w:rPr>
        <w:t>Identify options and contingencies is the next stage in the NDM model. Weighing up powers and policies, I decided not to take further action for Criminal Damage. As a Police officer I can use discretion based upon personal judgements to determine what is appropriate. I felt criminally prosecuting this male was not proportionate or in the public interest.</w:t>
      </w:r>
    </w:p>
    <w:p w14:paraId="537CECAD" w14:textId="77777777" w:rsidR="00DD79BA" w:rsidRPr="00DD79BA" w:rsidRDefault="00DD79BA" w:rsidP="00DD79BA">
      <w:pPr>
        <w:ind w:right="237"/>
        <w:jc w:val="both"/>
        <w:rPr>
          <w:sz w:val="24"/>
          <w:szCs w:val="24"/>
        </w:rPr>
      </w:pPr>
    </w:p>
    <w:p w14:paraId="106FDE24" w14:textId="7A908634" w:rsidR="00DD79BA" w:rsidRDefault="00DD79BA" w:rsidP="00DD79BA">
      <w:pPr>
        <w:ind w:right="237"/>
        <w:jc w:val="both"/>
        <w:rPr>
          <w:sz w:val="24"/>
          <w:szCs w:val="24"/>
        </w:rPr>
      </w:pPr>
      <w:r w:rsidRPr="00DD79BA">
        <w:rPr>
          <w:sz w:val="24"/>
          <w:szCs w:val="24"/>
        </w:rPr>
        <w:t>I identified the male as vulnerable and at risk. They were unable to take care of themselves due to their ill health, mental state and inability to protect themselves against significant harm. My assessment is supported by the Home Office (2019) who detail these factors in their definition of a vulnerable adult at risk.</w:t>
      </w:r>
    </w:p>
    <w:p w14:paraId="15798589" w14:textId="77777777" w:rsidR="00DD79BA" w:rsidRPr="00DD79BA" w:rsidRDefault="00DD79BA" w:rsidP="00DD79BA">
      <w:pPr>
        <w:ind w:right="237"/>
        <w:jc w:val="both"/>
        <w:rPr>
          <w:sz w:val="24"/>
          <w:szCs w:val="24"/>
        </w:rPr>
      </w:pPr>
    </w:p>
    <w:p w14:paraId="2EA9BAF5" w14:textId="720489FF" w:rsidR="00DD79BA" w:rsidRDefault="00DD79BA" w:rsidP="00DD79BA">
      <w:pPr>
        <w:ind w:right="237"/>
        <w:jc w:val="both"/>
        <w:rPr>
          <w:sz w:val="24"/>
          <w:szCs w:val="24"/>
        </w:rPr>
      </w:pPr>
      <w:r w:rsidRPr="00DD79BA">
        <w:rPr>
          <w:sz w:val="24"/>
          <w:szCs w:val="24"/>
        </w:rPr>
        <w:t>Once satisfied I had gathered as much information as possible and all options considered, I returned to the caller to inform them of my decision. Applying principles from the code of ethics I felt I was fair and objective in my decision making and was open and honest in my discussion with the caller why I was not taking further action regarding the criminal damage. I expressed my concerns about their neighbour’s vulnerability and felt he needed relocating to a 24-hour care facility.</w:t>
      </w:r>
    </w:p>
    <w:p w14:paraId="332EE270" w14:textId="77777777" w:rsidR="00DD79BA" w:rsidRPr="00DD79BA" w:rsidRDefault="00DD79BA" w:rsidP="00DD79BA">
      <w:pPr>
        <w:ind w:right="237"/>
        <w:jc w:val="both"/>
        <w:rPr>
          <w:sz w:val="24"/>
          <w:szCs w:val="24"/>
        </w:rPr>
      </w:pPr>
    </w:p>
    <w:p w14:paraId="40762577" w14:textId="28B1C49F" w:rsidR="00DD79BA" w:rsidRDefault="00DD79BA" w:rsidP="00DD79BA">
      <w:pPr>
        <w:ind w:right="237"/>
        <w:jc w:val="both"/>
        <w:rPr>
          <w:sz w:val="24"/>
          <w:szCs w:val="24"/>
        </w:rPr>
      </w:pPr>
      <w:r w:rsidRPr="00DD79BA">
        <w:rPr>
          <w:sz w:val="24"/>
          <w:szCs w:val="24"/>
        </w:rPr>
        <w:t xml:space="preserve">I explained I would complete a referral called a Public Protection Notice (PPN), a report summarising vulnerabilities and risk posed to members of the public. Once completed it will be passed onto the Public Protection Unit (PPU) who work with several partner agencies to minimise risk by putting in place appropriate safeguarding (HMIC 2015a). There is a public expectation that as a police officer I will recognise any vulnerable person early, victim or not and put in the right support (HMIC 2015b). I felt sure that supporting this vulnerable individual was right for them and the caller as it provided a plan how a more long-term approach would best </w:t>
      </w:r>
      <w:r w:rsidRPr="00DD79BA">
        <w:rPr>
          <w:sz w:val="24"/>
          <w:szCs w:val="24"/>
        </w:rPr>
        <w:lastRenderedPageBreak/>
        <w:t xml:space="preserve">resolve this situation and any incidents that potentially might happen again. The caller agreed this was the best course of action. </w:t>
      </w:r>
    </w:p>
    <w:p w14:paraId="46D0CABF" w14:textId="77777777" w:rsidR="00DD79BA" w:rsidRPr="00DD79BA" w:rsidRDefault="00DD79BA" w:rsidP="00DD79BA">
      <w:pPr>
        <w:ind w:right="237"/>
        <w:jc w:val="both"/>
        <w:rPr>
          <w:sz w:val="24"/>
          <w:szCs w:val="24"/>
        </w:rPr>
      </w:pPr>
    </w:p>
    <w:p w14:paraId="0F88259E" w14:textId="0140321D" w:rsidR="00DD79BA" w:rsidRDefault="00DD79BA" w:rsidP="00DD79BA">
      <w:pPr>
        <w:ind w:right="237"/>
        <w:jc w:val="both"/>
        <w:rPr>
          <w:sz w:val="24"/>
          <w:szCs w:val="24"/>
        </w:rPr>
      </w:pPr>
      <w:r w:rsidRPr="00DD79BA">
        <w:rPr>
          <w:sz w:val="24"/>
          <w:szCs w:val="24"/>
        </w:rPr>
        <w:t>At the station I completed a comprehensive PPN with photographic evidence provided by the friend outlining all my concerns. Once completed and attached to the incident report and talked it through with the on-duty Sargent in the PPU.</w:t>
      </w:r>
    </w:p>
    <w:p w14:paraId="16CF412E" w14:textId="77777777" w:rsidR="00DD79BA" w:rsidRPr="00DD79BA" w:rsidRDefault="00DD79BA" w:rsidP="00DD79BA">
      <w:pPr>
        <w:ind w:right="237"/>
        <w:jc w:val="both"/>
        <w:rPr>
          <w:sz w:val="24"/>
          <w:szCs w:val="24"/>
        </w:rPr>
      </w:pPr>
    </w:p>
    <w:p w14:paraId="7517DAA3" w14:textId="28042F7F" w:rsidR="00DD79BA" w:rsidRDefault="00DD79BA" w:rsidP="00DD79BA">
      <w:pPr>
        <w:ind w:right="237"/>
        <w:jc w:val="both"/>
        <w:rPr>
          <w:sz w:val="24"/>
          <w:szCs w:val="24"/>
        </w:rPr>
      </w:pPr>
      <w:r w:rsidRPr="00DD79BA">
        <w:rPr>
          <w:sz w:val="24"/>
          <w:szCs w:val="24"/>
        </w:rPr>
        <w:t>After a few days I was informed that due to the level of detail within the PPN and supported by my BWV and photos attached, the male was taken for a mental health assessment under Section 135 of the Mental Health Act (1983) which gives the Police the power to detain a person and take them to a place of safety. It was decided he was a risk to himself and did not have mental capacity. He was relocated to a care home.</w:t>
      </w:r>
    </w:p>
    <w:p w14:paraId="439ED971" w14:textId="77777777" w:rsidR="00DD79BA" w:rsidRPr="00DD79BA" w:rsidRDefault="00DD79BA" w:rsidP="00DD79BA">
      <w:pPr>
        <w:ind w:right="237"/>
        <w:jc w:val="both"/>
        <w:rPr>
          <w:sz w:val="24"/>
          <w:szCs w:val="24"/>
        </w:rPr>
      </w:pPr>
    </w:p>
    <w:p w14:paraId="2F2BA0EB" w14:textId="40088C05" w:rsidR="00DD79BA" w:rsidRDefault="00DD79BA" w:rsidP="00DD79BA">
      <w:pPr>
        <w:ind w:right="237"/>
        <w:jc w:val="both"/>
        <w:rPr>
          <w:sz w:val="24"/>
          <w:szCs w:val="24"/>
        </w:rPr>
      </w:pPr>
      <w:r w:rsidRPr="00DD79BA">
        <w:rPr>
          <w:sz w:val="24"/>
          <w:szCs w:val="24"/>
        </w:rPr>
        <w:t>This has improved my confidence recognising a vulnerable person and looking at mental capacity as although previously assessed by doctors to have capacity I recognised at that time the male did not and needed review to do the best not only for him, but his neighbours and wider community affected by his behaviours. It also reinforced a wider view that policing is not always criminalising a person and that other methods may be appropriate and proportionate if I assess a situation thoroughly and take a well thought out action.</w:t>
      </w:r>
    </w:p>
    <w:p w14:paraId="22F07462" w14:textId="77777777" w:rsidR="00DD79BA" w:rsidRPr="00DD79BA" w:rsidRDefault="00DD79BA" w:rsidP="00DD79BA">
      <w:pPr>
        <w:ind w:right="237"/>
        <w:jc w:val="both"/>
        <w:rPr>
          <w:sz w:val="24"/>
          <w:szCs w:val="24"/>
        </w:rPr>
      </w:pPr>
    </w:p>
    <w:p w14:paraId="37C91B08" w14:textId="77777777" w:rsidR="00DD79BA" w:rsidRPr="00DD79BA" w:rsidRDefault="00DD79BA" w:rsidP="00DD79BA">
      <w:pPr>
        <w:ind w:right="237"/>
        <w:jc w:val="both"/>
        <w:rPr>
          <w:sz w:val="24"/>
          <w:szCs w:val="24"/>
        </w:rPr>
      </w:pPr>
      <w:r w:rsidRPr="00DD79BA">
        <w:rPr>
          <w:sz w:val="24"/>
          <w:szCs w:val="24"/>
        </w:rPr>
        <w:t>Word Count 1621</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DADA1E6" w:rsidR="00025650" w:rsidRDefault="00025650" w:rsidP="00340E9A">
      <w:pPr>
        <w:ind w:right="237"/>
        <w:jc w:val="both"/>
        <w:rPr>
          <w:sz w:val="24"/>
          <w:szCs w:val="24"/>
        </w:rPr>
      </w:pPr>
    </w:p>
    <w:p w14:paraId="64D3CCEB" w14:textId="5F79AFA2" w:rsidR="00DD79BA" w:rsidRDefault="00DD79BA" w:rsidP="00DD79BA">
      <w:pPr>
        <w:ind w:right="237"/>
        <w:jc w:val="both"/>
        <w:rPr>
          <w:sz w:val="24"/>
          <w:szCs w:val="24"/>
        </w:rPr>
      </w:pPr>
      <w:r w:rsidRPr="00DD79BA">
        <w:rPr>
          <w:sz w:val="24"/>
          <w:szCs w:val="24"/>
        </w:rPr>
        <w:t xml:space="preserve">Teamwork in large organisations is essential. Members need to work together, be honest and accountable and committed to achieving force priorities (College of Policing 2017).  Mullins (2010) p313-314 many reasons for team formation such as tasks requiring multiple individuals with collected skills, collusion to affect working environment such as rotating unpopular tasks, provide mutual understanding and support mechanisms, sense of belonging, unity with similar rules and values and collaboration to protect the group from external pressures. An effective team must have sustained performance, resilience and ongoing vitality, enabling it to produce results, withstand pressure at times of stress and difficulty to sustain itself and rebound (Tannenbaum &amp; Salas 2020, p.5). Furthermore, teams are on a continuum of reliance (p.26). Lower reliant teams depend to a lesser degree on other members who often act independently. The higher reliant team continuously coordinate with one another, needing each other. The complex and diverse nature of policing suggests it has higher reliant teams as team members are dependent on each other for support and resilience. Teamwork is key in delivery of policing priorities, for example the Serious and Organised Crime Strategy (2018). </w:t>
      </w:r>
    </w:p>
    <w:p w14:paraId="5A53B590" w14:textId="77777777" w:rsidR="00DD79BA" w:rsidRPr="00DD79BA" w:rsidRDefault="00DD79BA" w:rsidP="00DD79BA">
      <w:pPr>
        <w:ind w:right="237"/>
        <w:jc w:val="both"/>
        <w:rPr>
          <w:sz w:val="24"/>
          <w:szCs w:val="24"/>
        </w:rPr>
      </w:pPr>
    </w:p>
    <w:p w14:paraId="2C692DA9" w14:textId="58693BBD" w:rsidR="00DD79BA" w:rsidRDefault="00DD79BA" w:rsidP="00DD79BA">
      <w:pPr>
        <w:ind w:right="237"/>
        <w:jc w:val="both"/>
        <w:rPr>
          <w:sz w:val="24"/>
          <w:szCs w:val="24"/>
        </w:rPr>
      </w:pPr>
      <w:proofErr w:type="spellStart"/>
      <w:r w:rsidRPr="00DD79BA">
        <w:rPr>
          <w:sz w:val="24"/>
          <w:szCs w:val="24"/>
        </w:rPr>
        <w:t>Tannerbaum</w:t>
      </w:r>
      <w:proofErr w:type="spellEnd"/>
      <w:r w:rsidRPr="00DD79BA">
        <w:rPr>
          <w:sz w:val="24"/>
          <w:szCs w:val="24"/>
        </w:rPr>
        <w:t xml:space="preserve"> &amp; Salas (2020) p.6. suggest there are seven drivers that affect a team’s effectiveness, all are required but some are more important at </w:t>
      </w:r>
      <w:proofErr w:type="gramStart"/>
      <w:r w:rsidRPr="00DD79BA">
        <w:rPr>
          <w:sz w:val="24"/>
          <w:szCs w:val="24"/>
        </w:rPr>
        <w:t>some times</w:t>
      </w:r>
      <w:proofErr w:type="gramEnd"/>
      <w:r w:rsidRPr="00DD79BA">
        <w:rPr>
          <w:sz w:val="24"/>
          <w:szCs w:val="24"/>
        </w:rPr>
        <w:t xml:space="preserve"> than others: </w:t>
      </w:r>
    </w:p>
    <w:p w14:paraId="5825A71D" w14:textId="77777777" w:rsidR="00DD79BA" w:rsidRPr="00DD79BA" w:rsidRDefault="00DD79BA" w:rsidP="00DD79BA">
      <w:pPr>
        <w:ind w:right="237"/>
        <w:jc w:val="both"/>
        <w:rPr>
          <w:sz w:val="24"/>
          <w:szCs w:val="24"/>
        </w:rPr>
      </w:pPr>
    </w:p>
    <w:p w14:paraId="5A098183" w14:textId="77777777" w:rsidR="00DD79BA" w:rsidRPr="003C1C90" w:rsidRDefault="00DD79BA" w:rsidP="003C1C90">
      <w:pPr>
        <w:pStyle w:val="ListParagraph"/>
        <w:numPr>
          <w:ilvl w:val="0"/>
          <w:numId w:val="7"/>
        </w:numPr>
        <w:ind w:right="237"/>
        <w:jc w:val="both"/>
        <w:rPr>
          <w:sz w:val="24"/>
          <w:szCs w:val="24"/>
        </w:rPr>
      </w:pPr>
      <w:r w:rsidRPr="003C1C90">
        <w:rPr>
          <w:sz w:val="24"/>
          <w:szCs w:val="24"/>
        </w:rPr>
        <w:t>‘Capability’ (necessary attributes such as knowledge, skills, ability, personality).</w:t>
      </w:r>
    </w:p>
    <w:p w14:paraId="39BA659E" w14:textId="77777777" w:rsidR="00DD79BA" w:rsidRPr="003C1C90" w:rsidRDefault="00DD79BA" w:rsidP="003C1C90">
      <w:pPr>
        <w:pStyle w:val="ListParagraph"/>
        <w:numPr>
          <w:ilvl w:val="0"/>
          <w:numId w:val="7"/>
        </w:numPr>
        <w:ind w:right="237"/>
        <w:jc w:val="both"/>
        <w:rPr>
          <w:sz w:val="24"/>
          <w:szCs w:val="24"/>
        </w:rPr>
      </w:pPr>
      <w:r w:rsidRPr="003C1C90">
        <w:rPr>
          <w:sz w:val="24"/>
          <w:szCs w:val="24"/>
        </w:rPr>
        <w:t>‘Cooperation’ (beliefs and attitudes that foster trust and cohesion).</w:t>
      </w:r>
    </w:p>
    <w:p w14:paraId="3ED92EDF" w14:textId="77777777" w:rsidR="00DD79BA" w:rsidRPr="003C1C90" w:rsidRDefault="00DD79BA" w:rsidP="003C1C90">
      <w:pPr>
        <w:pStyle w:val="ListParagraph"/>
        <w:numPr>
          <w:ilvl w:val="0"/>
          <w:numId w:val="7"/>
        </w:numPr>
        <w:ind w:right="237"/>
        <w:jc w:val="both"/>
        <w:rPr>
          <w:sz w:val="24"/>
          <w:szCs w:val="24"/>
        </w:rPr>
      </w:pPr>
      <w:r w:rsidRPr="003C1C90">
        <w:rPr>
          <w:sz w:val="24"/>
          <w:szCs w:val="24"/>
        </w:rPr>
        <w:t xml:space="preserve">’Coordination’ (the heart of teamwork). </w:t>
      </w:r>
    </w:p>
    <w:p w14:paraId="2CE7FE00" w14:textId="77777777" w:rsidR="00DD79BA" w:rsidRPr="003C1C90" w:rsidRDefault="00DD79BA" w:rsidP="003C1C90">
      <w:pPr>
        <w:pStyle w:val="ListParagraph"/>
        <w:numPr>
          <w:ilvl w:val="0"/>
          <w:numId w:val="7"/>
        </w:numPr>
        <w:ind w:right="237"/>
        <w:jc w:val="both"/>
        <w:rPr>
          <w:sz w:val="24"/>
          <w:szCs w:val="24"/>
        </w:rPr>
      </w:pPr>
      <w:r w:rsidRPr="003C1C90">
        <w:rPr>
          <w:sz w:val="24"/>
          <w:szCs w:val="24"/>
        </w:rPr>
        <w:t>‘Communication’ (within and outside the team).</w:t>
      </w:r>
    </w:p>
    <w:p w14:paraId="5B08096F" w14:textId="77777777" w:rsidR="00DD79BA" w:rsidRPr="003C1C90" w:rsidRDefault="00DD79BA" w:rsidP="003C1C90">
      <w:pPr>
        <w:pStyle w:val="ListParagraph"/>
        <w:numPr>
          <w:ilvl w:val="0"/>
          <w:numId w:val="7"/>
        </w:numPr>
        <w:ind w:right="237"/>
        <w:jc w:val="both"/>
        <w:rPr>
          <w:sz w:val="24"/>
          <w:szCs w:val="24"/>
        </w:rPr>
      </w:pPr>
      <w:r w:rsidRPr="003C1C90">
        <w:rPr>
          <w:sz w:val="24"/>
          <w:szCs w:val="24"/>
        </w:rPr>
        <w:t>‘Cognition’ (shared understanding).</w:t>
      </w:r>
    </w:p>
    <w:p w14:paraId="5E5ED372" w14:textId="77777777" w:rsidR="00DD79BA" w:rsidRPr="003C1C90" w:rsidRDefault="00DD79BA" w:rsidP="003C1C90">
      <w:pPr>
        <w:pStyle w:val="ListParagraph"/>
        <w:numPr>
          <w:ilvl w:val="0"/>
          <w:numId w:val="7"/>
        </w:numPr>
        <w:ind w:right="237"/>
        <w:jc w:val="both"/>
        <w:rPr>
          <w:sz w:val="24"/>
          <w:szCs w:val="24"/>
        </w:rPr>
      </w:pPr>
      <w:r w:rsidRPr="003C1C90">
        <w:rPr>
          <w:sz w:val="24"/>
          <w:szCs w:val="24"/>
        </w:rPr>
        <w:lastRenderedPageBreak/>
        <w:t>‘Conditions’ (environmental factors such as resource, time and policies).</w:t>
      </w:r>
    </w:p>
    <w:p w14:paraId="76E29A5F" w14:textId="3788DB21" w:rsidR="00DD79BA" w:rsidRPr="003C1C90" w:rsidRDefault="00DD79BA" w:rsidP="003C1C90">
      <w:pPr>
        <w:pStyle w:val="ListParagraph"/>
        <w:numPr>
          <w:ilvl w:val="0"/>
          <w:numId w:val="7"/>
        </w:numPr>
        <w:ind w:right="237"/>
        <w:jc w:val="both"/>
        <w:rPr>
          <w:sz w:val="24"/>
          <w:szCs w:val="24"/>
        </w:rPr>
      </w:pPr>
      <w:r w:rsidRPr="003C1C90">
        <w:rPr>
          <w:sz w:val="24"/>
          <w:szCs w:val="24"/>
        </w:rPr>
        <w:t xml:space="preserve">‘Coaching’ (leadership by the leader and other team members). </w:t>
      </w:r>
    </w:p>
    <w:p w14:paraId="184B416E" w14:textId="77777777" w:rsidR="00DD79BA" w:rsidRPr="00DD79BA" w:rsidRDefault="00DD79BA" w:rsidP="00DD79BA">
      <w:pPr>
        <w:ind w:right="237"/>
        <w:jc w:val="both"/>
        <w:rPr>
          <w:sz w:val="24"/>
          <w:szCs w:val="24"/>
        </w:rPr>
      </w:pPr>
    </w:p>
    <w:p w14:paraId="6E49262B" w14:textId="1D496D01" w:rsidR="00DD79BA" w:rsidRDefault="00DD79BA" w:rsidP="00DD79BA">
      <w:pPr>
        <w:ind w:right="237"/>
        <w:jc w:val="both"/>
        <w:rPr>
          <w:sz w:val="24"/>
          <w:szCs w:val="24"/>
        </w:rPr>
      </w:pPr>
      <w:r w:rsidRPr="00DD79BA">
        <w:rPr>
          <w:sz w:val="24"/>
          <w:szCs w:val="24"/>
        </w:rPr>
        <w:t xml:space="preserve">Similarly, and recognising the link between effectiveness and cohesion Mullins (2010) p.315 lists 4 influencing factors that increase performance and cohesion: </w:t>
      </w:r>
    </w:p>
    <w:p w14:paraId="24E78FC3" w14:textId="77777777" w:rsidR="00DD79BA" w:rsidRPr="00DD79BA" w:rsidRDefault="00DD79BA" w:rsidP="00DD79BA">
      <w:pPr>
        <w:ind w:right="237"/>
        <w:jc w:val="both"/>
        <w:rPr>
          <w:sz w:val="24"/>
          <w:szCs w:val="24"/>
        </w:rPr>
      </w:pPr>
    </w:p>
    <w:p w14:paraId="074A42F9" w14:textId="1A19D488" w:rsidR="00DD79BA" w:rsidRPr="003C1C90" w:rsidRDefault="00DD79BA" w:rsidP="003C1C90">
      <w:pPr>
        <w:pStyle w:val="ListParagraph"/>
        <w:numPr>
          <w:ilvl w:val="0"/>
          <w:numId w:val="6"/>
        </w:numPr>
        <w:ind w:right="237"/>
        <w:jc w:val="both"/>
        <w:rPr>
          <w:sz w:val="24"/>
          <w:szCs w:val="24"/>
        </w:rPr>
      </w:pPr>
      <w:r w:rsidRPr="003C1C90">
        <w:rPr>
          <w:sz w:val="24"/>
          <w:szCs w:val="24"/>
        </w:rPr>
        <w:t xml:space="preserve">‘Membership’ (smaller size, members with similar backgrounds or values and time spent). </w:t>
      </w:r>
    </w:p>
    <w:p w14:paraId="46F80DF8" w14:textId="77777777" w:rsidR="00DD79BA" w:rsidRPr="003C1C90" w:rsidRDefault="00DD79BA" w:rsidP="003C1C90">
      <w:pPr>
        <w:pStyle w:val="ListParagraph"/>
        <w:numPr>
          <w:ilvl w:val="0"/>
          <w:numId w:val="6"/>
        </w:numPr>
        <w:ind w:right="237"/>
        <w:jc w:val="both"/>
        <w:rPr>
          <w:sz w:val="24"/>
          <w:szCs w:val="24"/>
        </w:rPr>
      </w:pPr>
      <w:r w:rsidRPr="003C1C90">
        <w:rPr>
          <w:sz w:val="24"/>
          <w:szCs w:val="24"/>
        </w:rPr>
        <w:t>‘Work Environment’, (similar tasks, close physical proximity, easy communication and using information technology).</w:t>
      </w:r>
    </w:p>
    <w:p w14:paraId="353CAFD2" w14:textId="77777777" w:rsidR="00DD79BA" w:rsidRPr="003C1C90" w:rsidRDefault="00DD79BA" w:rsidP="003C1C90">
      <w:pPr>
        <w:pStyle w:val="ListParagraph"/>
        <w:numPr>
          <w:ilvl w:val="0"/>
          <w:numId w:val="6"/>
        </w:numPr>
        <w:ind w:right="237"/>
        <w:jc w:val="both"/>
        <w:rPr>
          <w:sz w:val="24"/>
          <w:szCs w:val="24"/>
        </w:rPr>
      </w:pPr>
      <w:r w:rsidRPr="003C1C90">
        <w:rPr>
          <w:sz w:val="24"/>
          <w:szCs w:val="24"/>
        </w:rPr>
        <w:t xml:space="preserve">‘Organisational’ (management that encourages, communicates, sets a role model, fair and equitable human resource policies promote organisational justice, success and cooperation when challenged by outside threat). </w:t>
      </w:r>
    </w:p>
    <w:p w14:paraId="7431E520" w14:textId="7D92CFCF" w:rsidR="00DD79BA" w:rsidRPr="003C1C90" w:rsidRDefault="00DD79BA" w:rsidP="003C1C90">
      <w:pPr>
        <w:pStyle w:val="ListParagraph"/>
        <w:numPr>
          <w:ilvl w:val="0"/>
          <w:numId w:val="6"/>
        </w:numPr>
        <w:ind w:right="237"/>
        <w:jc w:val="both"/>
        <w:rPr>
          <w:sz w:val="24"/>
          <w:szCs w:val="24"/>
        </w:rPr>
      </w:pPr>
      <w:r w:rsidRPr="003C1C90">
        <w:rPr>
          <w:sz w:val="24"/>
          <w:szCs w:val="24"/>
        </w:rPr>
        <w:t>‘Group Development and Maturity’ (the way it forms and matures).</w:t>
      </w:r>
    </w:p>
    <w:p w14:paraId="043B2BBE" w14:textId="77777777" w:rsidR="003C1C90" w:rsidRPr="00DD79BA" w:rsidRDefault="003C1C90" w:rsidP="00DD79BA">
      <w:pPr>
        <w:ind w:right="237"/>
        <w:jc w:val="both"/>
        <w:rPr>
          <w:sz w:val="24"/>
          <w:szCs w:val="24"/>
        </w:rPr>
      </w:pPr>
    </w:p>
    <w:p w14:paraId="392FF4A9" w14:textId="379889C0" w:rsidR="00DD79BA" w:rsidRDefault="00DD79BA" w:rsidP="00DD79BA">
      <w:pPr>
        <w:ind w:right="237"/>
        <w:jc w:val="both"/>
        <w:rPr>
          <w:sz w:val="24"/>
          <w:szCs w:val="24"/>
        </w:rPr>
      </w:pPr>
      <w:r w:rsidRPr="00DD79BA">
        <w:rPr>
          <w:sz w:val="24"/>
          <w:szCs w:val="24"/>
        </w:rPr>
        <w:t xml:space="preserve">A well-known theory on team evolution is </w:t>
      </w:r>
      <w:proofErr w:type="spellStart"/>
      <w:r w:rsidRPr="00DD79BA">
        <w:rPr>
          <w:sz w:val="24"/>
          <w:szCs w:val="24"/>
        </w:rPr>
        <w:t>Tuckmans</w:t>
      </w:r>
      <w:proofErr w:type="spellEnd"/>
      <w:r w:rsidRPr="00DD79BA">
        <w:rPr>
          <w:sz w:val="24"/>
          <w:szCs w:val="24"/>
        </w:rPr>
        <w:t xml:space="preserve"> theory (1965) which describes how a team forms, develops, and works together to complete tasks and has five stages (</w:t>
      </w:r>
      <w:proofErr w:type="spellStart"/>
      <w:r w:rsidRPr="00DD79BA">
        <w:rPr>
          <w:sz w:val="24"/>
          <w:szCs w:val="24"/>
        </w:rPr>
        <w:t>Bonebright</w:t>
      </w:r>
      <w:proofErr w:type="spellEnd"/>
      <w:r w:rsidRPr="00DD79BA">
        <w:rPr>
          <w:sz w:val="24"/>
          <w:szCs w:val="24"/>
        </w:rPr>
        <w:t xml:space="preserve"> 2010):</w:t>
      </w:r>
    </w:p>
    <w:p w14:paraId="71E94FFB" w14:textId="77777777" w:rsidR="003C1C90" w:rsidRPr="00DD79BA" w:rsidRDefault="003C1C90" w:rsidP="00DD79BA">
      <w:pPr>
        <w:ind w:right="237"/>
        <w:jc w:val="both"/>
        <w:rPr>
          <w:sz w:val="24"/>
          <w:szCs w:val="24"/>
        </w:rPr>
      </w:pPr>
    </w:p>
    <w:p w14:paraId="7FC9D0EE" w14:textId="77777777" w:rsidR="00DD79BA" w:rsidRPr="003C1C90" w:rsidRDefault="00DD79BA" w:rsidP="003C1C90">
      <w:pPr>
        <w:pStyle w:val="ListParagraph"/>
        <w:numPr>
          <w:ilvl w:val="0"/>
          <w:numId w:val="5"/>
        </w:numPr>
        <w:ind w:right="237"/>
        <w:jc w:val="both"/>
        <w:rPr>
          <w:sz w:val="24"/>
          <w:szCs w:val="24"/>
        </w:rPr>
      </w:pPr>
      <w:r w:rsidRPr="003C1C90">
        <w:rPr>
          <w:sz w:val="24"/>
          <w:szCs w:val="24"/>
        </w:rPr>
        <w:t>‘Forming’ (individual roles are unclear, task and rules established, boundaries and interpersonal relationships established, and standards set).</w:t>
      </w:r>
    </w:p>
    <w:p w14:paraId="7C613CFC" w14:textId="77777777" w:rsidR="00DD79BA" w:rsidRPr="003C1C90" w:rsidRDefault="00DD79BA" w:rsidP="003C1C90">
      <w:pPr>
        <w:pStyle w:val="ListParagraph"/>
        <w:numPr>
          <w:ilvl w:val="0"/>
          <w:numId w:val="5"/>
        </w:numPr>
        <w:ind w:right="237"/>
        <w:jc w:val="both"/>
        <w:rPr>
          <w:sz w:val="24"/>
          <w:szCs w:val="24"/>
        </w:rPr>
      </w:pPr>
      <w:r w:rsidRPr="003C1C90">
        <w:rPr>
          <w:sz w:val="24"/>
          <w:szCs w:val="24"/>
        </w:rPr>
        <w:t>‘Storming’ (sharing ideas and feelings, often see themselves still as individuals, characteristically there is conflict and lack of unity. Strong leadership is important as relationships is formed or broken. Broken teams may never recover).</w:t>
      </w:r>
    </w:p>
    <w:p w14:paraId="396D7992" w14:textId="77777777" w:rsidR="00DD79BA" w:rsidRPr="003C1C90" w:rsidRDefault="00DD79BA" w:rsidP="003C1C90">
      <w:pPr>
        <w:pStyle w:val="ListParagraph"/>
        <w:numPr>
          <w:ilvl w:val="0"/>
          <w:numId w:val="5"/>
        </w:numPr>
        <w:ind w:right="237"/>
        <w:jc w:val="both"/>
        <w:rPr>
          <w:sz w:val="24"/>
          <w:szCs w:val="24"/>
        </w:rPr>
      </w:pPr>
      <w:r w:rsidRPr="003C1C90">
        <w:rPr>
          <w:sz w:val="24"/>
          <w:szCs w:val="24"/>
        </w:rPr>
        <w:t xml:space="preserve">‘Norming’ (Individuals come together with shared values and working practices. Members become more trusting and appreciative of other members. Leaders may take a step back as team members take on more responsibility). </w:t>
      </w:r>
    </w:p>
    <w:p w14:paraId="37DDB0C7" w14:textId="77777777" w:rsidR="00DD79BA" w:rsidRPr="003C1C90" w:rsidRDefault="00DD79BA" w:rsidP="003C1C90">
      <w:pPr>
        <w:pStyle w:val="ListParagraph"/>
        <w:numPr>
          <w:ilvl w:val="0"/>
          <w:numId w:val="5"/>
        </w:numPr>
        <w:ind w:right="237"/>
        <w:jc w:val="both"/>
        <w:rPr>
          <w:sz w:val="24"/>
          <w:szCs w:val="24"/>
        </w:rPr>
      </w:pPr>
      <w:r w:rsidRPr="003C1C90">
        <w:rPr>
          <w:sz w:val="24"/>
          <w:szCs w:val="24"/>
        </w:rPr>
        <w:t xml:space="preserve">‘Performing’ (Capable of knowing roles and responsibilities. Members operate as an effective unit who can work without the guidance of leadership, making their own effective decisions. Leaders can now adopt a delegation style of leadership). </w:t>
      </w:r>
    </w:p>
    <w:p w14:paraId="4ED39ADC" w14:textId="6D09CF18" w:rsidR="00DD79BA" w:rsidRPr="003C1C90" w:rsidRDefault="00DD79BA" w:rsidP="003C1C90">
      <w:pPr>
        <w:pStyle w:val="ListParagraph"/>
        <w:numPr>
          <w:ilvl w:val="0"/>
          <w:numId w:val="5"/>
        </w:numPr>
        <w:ind w:right="237"/>
        <w:jc w:val="both"/>
        <w:rPr>
          <w:sz w:val="24"/>
          <w:szCs w:val="24"/>
        </w:rPr>
      </w:pPr>
      <w:r w:rsidRPr="003C1C90">
        <w:rPr>
          <w:sz w:val="24"/>
          <w:szCs w:val="24"/>
        </w:rPr>
        <w:t>Adjourning (The period after success of a team. Teams may become less motivated after achieving their goals or broken into new teams with new goals).</w:t>
      </w:r>
    </w:p>
    <w:p w14:paraId="2C5AB8F7" w14:textId="77777777" w:rsidR="003C1C90" w:rsidRPr="00DD79BA" w:rsidRDefault="003C1C90" w:rsidP="00DD79BA">
      <w:pPr>
        <w:ind w:right="237"/>
        <w:jc w:val="both"/>
        <w:rPr>
          <w:sz w:val="24"/>
          <w:szCs w:val="24"/>
        </w:rPr>
      </w:pPr>
    </w:p>
    <w:p w14:paraId="26E8B839" w14:textId="2F76AF47" w:rsidR="00DD79BA" w:rsidRDefault="00DD79BA" w:rsidP="00DD79BA">
      <w:pPr>
        <w:ind w:right="237"/>
        <w:jc w:val="both"/>
        <w:rPr>
          <w:sz w:val="24"/>
          <w:szCs w:val="24"/>
        </w:rPr>
      </w:pPr>
      <w:r w:rsidRPr="00DD79BA">
        <w:rPr>
          <w:sz w:val="24"/>
          <w:szCs w:val="24"/>
        </w:rPr>
        <w:t xml:space="preserve">Effective leadership is clearly necessary to establish a well-functioning team and needs different approaches depending what stage a team might be. Mullins (2010) p.317 suggests a team reflects its leader and management style and that affects how other members feel treated having a direct effect on cohesion. Supported by Porter et al (2015) who suggests police leaders are figure heads and role models and that a balanced and flexible style of leadership promotes ethical behaviour, particularly important in policing where high levels of discretion are used and opportunity to deviate from standards exist. Visible leaders with good communication encourage shared values and goals, organisational commitment and a sense of justice further increasing cohesion and morale.  At face value leaders could be interpreted as more senior officers whose job role requires them to be a leader. However, it can be argued leadership is required from all officers, for </w:t>
      </w:r>
      <w:r w:rsidRPr="00DD79BA">
        <w:rPr>
          <w:sz w:val="24"/>
          <w:szCs w:val="24"/>
        </w:rPr>
        <w:lastRenderedPageBreak/>
        <w:t>example there may be a more junior officer who is experienced in an area that the leader may delegate some leadership duties to.</w:t>
      </w:r>
    </w:p>
    <w:p w14:paraId="772EFE92" w14:textId="77777777" w:rsidR="003C1C90" w:rsidRPr="00DD79BA" w:rsidRDefault="003C1C90" w:rsidP="00DD79BA">
      <w:pPr>
        <w:ind w:right="237"/>
        <w:jc w:val="both"/>
        <w:rPr>
          <w:sz w:val="24"/>
          <w:szCs w:val="24"/>
        </w:rPr>
      </w:pPr>
    </w:p>
    <w:p w14:paraId="48F0356D" w14:textId="1EAE4A18" w:rsidR="00DD79BA" w:rsidRDefault="00DD79BA" w:rsidP="00DD79BA">
      <w:pPr>
        <w:ind w:right="237"/>
        <w:jc w:val="both"/>
        <w:rPr>
          <w:sz w:val="24"/>
          <w:szCs w:val="24"/>
        </w:rPr>
      </w:pPr>
      <w:proofErr w:type="gramStart"/>
      <w:r w:rsidRPr="00DD79BA">
        <w:rPr>
          <w:sz w:val="24"/>
          <w:szCs w:val="24"/>
        </w:rPr>
        <w:t>Likewise</w:t>
      </w:r>
      <w:proofErr w:type="gramEnd"/>
      <w:r w:rsidRPr="00DD79BA">
        <w:rPr>
          <w:sz w:val="24"/>
          <w:szCs w:val="24"/>
        </w:rPr>
        <w:t xml:space="preserve"> strong team cohesion is a double-edged sword and can also negatively affect behaviours and thinking of a team that then shows poor judgement as they ‘stick’ together even if a project is failing (</w:t>
      </w:r>
      <w:proofErr w:type="spellStart"/>
      <w:r w:rsidRPr="00DD79BA">
        <w:rPr>
          <w:sz w:val="24"/>
          <w:szCs w:val="24"/>
        </w:rPr>
        <w:t>Khoshsoroor</w:t>
      </w:r>
      <w:proofErr w:type="spellEnd"/>
      <w:r w:rsidRPr="00DD79BA">
        <w:rPr>
          <w:sz w:val="24"/>
          <w:szCs w:val="24"/>
        </w:rPr>
        <w:t xml:space="preserve"> et al 2019). </w:t>
      </w:r>
    </w:p>
    <w:p w14:paraId="1F5D4294" w14:textId="77777777" w:rsidR="003C1C90" w:rsidRPr="00DD79BA" w:rsidRDefault="003C1C90" w:rsidP="00DD79BA">
      <w:pPr>
        <w:ind w:right="237"/>
        <w:jc w:val="both"/>
        <w:rPr>
          <w:sz w:val="24"/>
          <w:szCs w:val="24"/>
        </w:rPr>
      </w:pPr>
    </w:p>
    <w:p w14:paraId="423E84D1" w14:textId="60E927B0" w:rsidR="00DD79BA" w:rsidRDefault="00DD79BA" w:rsidP="00DD79BA">
      <w:pPr>
        <w:ind w:right="237"/>
        <w:jc w:val="both"/>
        <w:rPr>
          <w:sz w:val="24"/>
          <w:szCs w:val="24"/>
        </w:rPr>
      </w:pPr>
      <w:r w:rsidRPr="00DD79BA">
        <w:rPr>
          <w:sz w:val="24"/>
          <w:szCs w:val="24"/>
        </w:rPr>
        <w:t>Belbin found individual members displayed varied behaviours. The interaction and influence of those roles on each other affects how a team performs. There were common behaviours and patterns resulting in identifying nine common roles (</w:t>
      </w:r>
      <w:proofErr w:type="spellStart"/>
      <w:r w:rsidRPr="00DD79BA">
        <w:rPr>
          <w:sz w:val="24"/>
          <w:szCs w:val="24"/>
        </w:rPr>
        <w:t>Aritzeta</w:t>
      </w:r>
      <w:proofErr w:type="spellEnd"/>
      <w:r w:rsidRPr="00DD79BA">
        <w:rPr>
          <w:sz w:val="24"/>
          <w:szCs w:val="24"/>
        </w:rPr>
        <w:t xml:space="preserve"> et al 2007). It is not the specific role behaviours but the role interactions that affect how the team works and a team must be well balanced. Some roles are more important than others at different stages of a team’s development. Belbin differentiates a group and a team: A group is an unlimited number of members who focus on one leader whereas a team is a limited number of specific people with shared or rotating leadership, sharing mutual knowledge and understanding (Mullins 2021 pp308). Honeys 5-role framework is simpler, but similar role types such as leaders, analysts, critics and the role that does the job. Both demonstrate different team roles are essential to a multi-functional team, particularly in the police force with the complexities and various demands the job poses it requires a team that can adapt and change. </w:t>
      </w:r>
    </w:p>
    <w:p w14:paraId="6BA4867E" w14:textId="77777777" w:rsidR="003C1C90" w:rsidRPr="00DD79BA" w:rsidRDefault="003C1C90" w:rsidP="00DD79BA">
      <w:pPr>
        <w:ind w:right="237"/>
        <w:jc w:val="both"/>
        <w:rPr>
          <w:sz w:val="24"/>
          <w:szCs w:val="24"/>
        </w:rPr>
      </w:pPr>
    </w:p>
    <w:p w14:paraId="737A272E" w14:textId="21C87DC5" w:rsidR="00DD79BA" w:rsidRDefault="00DD79BA" w:rsidP="00DD79BA">
      <w:pPr>
        <w:ind w:right="237"/>
        <w:jc w:val="both"/>
        <w:rPr>
          <w:sz w:val="24"/>
          <w:szCs w:val="24"/>
        </w:rPr>
      </w:pPr>
      <w:r w:rsidRPr="00DD79BA">
        <w:rPr>
          <w:sz w:val="24"/>
          <w:szCs w:val="24"/>
        </w:rPr>
        <w:t>Relationships can be strained as different personalities and roles within the team can conflict and Belbin (2010) p.74 suggests 3 groups that these fall into: Failure to see how a relationship can be established, as a result team members avoid each other, both parties have tried to establish a relationship but failed causing conflict which may cause later issues and a relationship where success has been achieved, but in another area breaks down which may be final or with careful management is retrievable. In order to resolve conflict, it is important to recognise which group it falls in so the right approach to resolving it can be taken.</w:t>
      </w:r>
    </w:p>
    <w:p w14:paraId="238DBAEC" w14:textId="77777777" w:rsidR="003C1C90" w:rsidRPr="00DD79BA" w:rsidRDefault="003C1C90" w:rsidP="00DD79BA">
      <w:pPr>
        <w:ind w:right="237"/>
        <w:jc w:val="both"/>
        <w:rPr>
          <w:sz w:val="24"/>
          <w:szCs w:val="24"/>
        </w:rPr>
      </w:pPr>
    </w:p>
    <w:p w14:paraId="40786D67" w14:textId="42D6B673" w:rsidR="003C1C90" w:rsidRDefault="00DD79BA" w:rsidP="00DD79BA">
      <w:pPr>
        <w:ind w:right="237"/>
        <w:jc w:val="both"/>
        <w:rPr>
          <w:sz w:val="24"/>
          <w:szCs w:val="24"/>
        </w:rPr>
      </w:pPr>
      <w:r w:rsidRPr="00DD79BA">
        <w:rPr>
          <w:sz w:val="24"/>
          <w:szCs w:val="24"/>
        </w:rPr>
        <w:t>Lencioni model (2002) “The Five Dysfunctions of a Team” states there are five clear reasons why teams fail to function. Lencioni model follows a pyramid system with absence of trust forming the core foundation. Lencioni describes how the model can be used to improve team cohesion by reversing the negatives for positives. For example, creating trust in the team will make members more confident to engage in healthy conflict resulting in more committed members more likely to hold others accountable and less self-focussed on their personal gains. This suggests using the model as a framework to identify and work back through the pyramid would be the best way to work out where action is needed as it creates a domino effect</w:t>
      </w:r>
      <w:r w:rsidR="003C1C90">
        <w:rPr>
          <w:sz w:val="24"/>
          <w:szCs w:val="24"/>
        </w:rPr>
        <w:t>:</w:t>
      </w:r>
    </w:p>
    <w:p w14:paraId="42224407" w14:textId="77777777" w:rsidR="003C1C90" w:rsidRPr="00DD79BA" w:rsidRDefault="003C1C90" w:rsidP="00DD79BA">
      <w:pPr>
        <w:ind w:right="237"/>
        <w:jc w:val="both"/>
        <w:rPr>
          <w:sz w:val="24"/>
          <w:szCs w:val="24"/>
        </w:rPr>
      </w:pPr>
    </w:p>
    <w:p w14:paraId="56A22504" w14:textId="77777777" w:rsidR="00DD79BA" w:rsidRPr="003C1C90" w:rsidRDefault="00DD79BA" w:rsidP="003C1C90">
      <w:pPr>
        <w:pStyle w:val="ListParagraph"/>
        <w:numPr>
          <w:ilvl w:val="0"/>
          <w:numId w:val="8"/>
        </w:numPr>
        <w:ind w:right="237"/>
        <w:jc w:val="both"/>
        <w:rPr>
          <w:sz w:val="24"/>
          <w:szCs w:val="24"/>
        </w:rPr>
      </w:pPr>
      <w:r w:rsidRPr="003C1C90">
        <w:rPr>
          <w:sz w:val="24"/>
          <w:szCs w:val="24"/>
        </w:rPr>
        <w:t>‘Absence of Trust’ (team members are unwilling to place themselves in a position of vulnerability. Members who fail to take ownership of their mistakes and weaknesses make it difficult for others to trust them). Creating a vulnerability-based trust is built up by multiple experiences over time, getting to know each other. Team exercises that engage members to look at each other’s traits and attributes can help.</w:t>
      </w:r>
    </w:p>
    <w:p w14:paraId="2572DE60" w14:textId="77777777" w:rsidR="00DD79BA" w:rsidRPr="003C1C90" w:rsidRDefault="00DD79BA" w:rsidP="003C1C90">
      <w:pPr>
        <w:pStyle w:val="ListParagraph"/>
        <w:numPr>
          <w:ilvl w:val="0"/>
          <w:numId w:val="8"/>
        </w:numPr>
        <w:ind w:right="237"/>
        <w:jc w:val="both"/>
        <w:rPr>
          <w:sz w:val="24"/>
          <w:szCs w:val="24"/>
        </w:rPr>
      </w:pPr>
      <w:r w:rsidRPr="003C1C90">
        <w:rPr>
          <w:sz w:val="24"/>
          <w:szCs w:val="24"/>
        </w:rPr>
        <w:t xml:space="preserve">‘Fear of Conflict’ (Without trust teams do not debate effectively as they are less likely to engage in unfiltered or intense debate. Individuals who fear conflict tend to hold back on their true thoughts and feeling). The leader </w:t>
      </w:r>
      <w:r w:rsidRPr="003C1C90">
        <w:rPr>
          <w:sz w:val="24"/>
          <w:szCs w:val="24"/>
        </w:rPr>
        <w:lastRenderedPageBreak/>
        <w:t>needs to step back to allow healthy conflict that is honest as this creates healthy debate and increases efficiency as members then concentrate on the task instead of each other.</w:t>
      </w:r>
    </w:p>
    <w:p w14:paraId="42C9CD23" w14:textId="77777777" w:rsidR="00DD79BA" w:rsidRPr="003C1C90" w:rsidRDefault="00DD79BA" w:rsidP="003C1C90">
      <w:pPr>
        <w:pStyle w:val="ListParagraph"/>
        <w:numPr>
          <w:ilvl w:val="0"/>
          <w:numId w:val="8"/>
        </w:numPr>
        <w:ind w:right="237"/>
        <w:jc w:val="both"/>
        <w:rPr>
          <w:sz w:val="24"/>
          <w:szCs w:val="24"/>
        </w:rPr>
      </w:pPr>
      <w:r w:rsidRPr="003C1C90">
        <w:rPr>
          <w:sz w:val="24"/>
          <w:szCs w:val="24"/>
        </w:rPr>
        <w:t>‘Lack of Commitment’ (If team members fear conflict and it results in healthy debate, members are unable to express opinions and will be less supportive and committed). Setting deadlines, checking everyone has understood instruction the same way and contingency planning can keep commitment.</w:t>
      </w:r>
    </w:p>
    <w:p w14:paraId="52CF7D66" w14:textId="77777777" w:rsidR="00DD79BA" w:rsidRPr="003C1C90" w:rsidRDefault="00DD79BA" w:rsidP="003C1C90">
      <w:pPr>
        <w:pStyle w:val="ListParagraph"/>
        <w:numPr>
          <w:ilvl w:val="0"/>
          <w:numId w:val="8"/>
        </w:numPr>
        <w:ind w:right="237"/>
        <w:jc w:val="both"/>
        <w:rPr>
          <w:sz w:val="24"/>
          <w:szCs w:val="24"/>
        </w:rPr>
      </w:pPr>
      <w:r w:rsidRPr="003C1C90">
        <w:rPr>
          <w:sz w:val="24"/>
          <w:szCs w:val="24"/>
        </w:rPr>
        <w:t>‘Avoidance of Accountability’ (Lack of commitment means even the most driven of members even the most attentive and driven members can become less likely to challenge others conduct and so avoid holding themselves and others to account). Making public standards and goals, regular performance feedbacks and team rewards foster accountability.</w:t>
      </w:r>
    </w:p>
    <w:p w14:paraId="7D0A890B" w14:textId="0F48A6BC" w:rsidR="00DD79BA" w:rsidRPr="003C1C90" w:rsidRDefault="00DD79BA" w:rsidP="003C1C90">
      <w:pPr>
        <w:pStyle w:val="ListParagraph"/>
        <w:numPr>
          <w:ilvl w:val="0"/>
          <w:numId w:val="8"/>
        </w:numPr>
        <w:ind w:right="237"/>
        <w:jc w:val="both"/>
        <w:rPr>
          <w:sz w:val="24"/>
          <w:szCs w:val="24"/>
        </w:rPr>
      </w:pPr>
      <w:r w:rsidRPr="003C1C90">
        <w:rPr>
          <w:sz w:val="24"/>
          <w:szCs w:val="24"/>
        </w:rPr>
        <w:t>‘Inattention to Results’ (When team members fail to hold others accountable it creates an environment creates an environment where they are more likely to put their individual needs first such as reputation and career progression before the good of the team and so losing sight of the end goals). Making results public and rewarding achievement keeps focus on the results.</w:t>
      </w:r>
    </w:p>
    <w:p w14:paraId="71313A35" w14:textId="77777777" w:rsidR="003C1C90" w:rsidRPr="00DD79BA" w:rsidRDefault="003C1C90" w:rsidP="00DD79BA">
      <w:pPr>
        <w:ind w:right="237"/>
        <w:jc w:val="both"/>
        <w:rPr>
          <w:sz w:val="24"/>
          <w:szCs w:val="24"/>
        </w:rPr>
      </w:pPr>
    </w:p>
    <w:p w14:paraId="183866C8" w14:textId="08930123" w:rsidR="00DD79BA" w:rsidRDefault="00DD79BA" w:rsidP="00DD79BA">
      <w:pPr>
        <w:ind w:right="237"/>
        <w:jc w:val="both"/>
        <w:rPr>
          <w:sz w:val="24"/>
          <w:szCs w:val="24"/>
        </w:rPr>
      </w:pPr>
      <w:r w:rsidRPr="00DD79BA">
        <w:rPr>
          <w:sz w:val="24"/>
          <w:szCs w:val="24"/>
        </w:rPr>
        <w:t xml:space="preserve">There is a clear link between all these areas and any one of them could have a clear and direct effect on an individual officer or forces compliance with standards and guidance. National standards, legislation and local policies set the forces ‘team rules’ for effective, ethical policing. Statutory Guidance on Professional Standards, Performance and Integrity in Policing (Home Office 2020) and the Code of Ethics (2014) publicly lays out the expected standard expected by every police officer and regular force inspections review and provide results. Being transparent and creating a supportive environment will enable police officers to be accountable for their own actions or hold others to account. There is an obligation in the Code of Ethics to be accountable and challenge actions of another if they fall below the required standards which affects ethical policing and public trust. </w:t>
      </w:r>
    </w:p>
    <w:p w14:paraId="0A9F5530" w14:textId="77777777" w:rsidR="003C1C90" w:rsidRPr="00DD79BA" w:rsidRDefault="003C1C90" w:rsidP="00DD79BA">
      <w:pPr>
        <w:ind w:right="237"/>
        <w:jc w:val="both"/>
        <w:rPr>
          <w:sz w:val="24"/>
          <w:szCs w:val="24"/>
        </w:rPr>
      </w:pPr>
    </w:p>
    <w:p w14:paraId="46CBBCD4" w14:textId="1D93D221" w:rsidR="00DD79BA" w:rsidRDefault="00DD79BA" w:rsidP="00DD79BA">
      <w:pPr>
        <w:ind w:right="237"/>
        <w:jc w:val="both"/>
        <w:rPr>
          <w:sz w:val="24"/>
          <w:szCs w:val="24"/>
        </w:rPr>
      </w:pPr>
      <w:r w:rsidRPr="00DD79BA">
        <w:rPr>
          <w:sz w:val="24"/>
          <w:szCs w:val="24"/>
        </w:rPr>
        <w:t>Policing involves a high level of teamwork, both within smaller teams of individual forces to the wider force and beyond as there is a clear obligation to work in partnership in strategies such as serious crime. Strong leadership and members that recognise and understand how team roles interact and the drivers that affect teams have the best chance of recognising and dealing with conflict to become one unit. Ethical policing depends on sharing a vision and adhering to the same standards to deliver targets and acting as a team.</w:t>
      </w:r>
    </w:p>
    <w:p w14:paraId="4AF0FE99" w14:textId="77777777" w:rsidR="003C1C90" w:rsidRPr="00DD79BA" w:rsidRDefault="003C1C90" w:rsidP="00DD79BA">
      <w:pPr>
        <w:ind w:right="237"/>
        <w:jc w:val="both"/>
        <w:rPr>
          <w:sz w:val="24"/>
          <w:szCs w:val="24"/>
        </w:rPr>
      </w:pPr>
    </w:p>
    <w:p w14:paraId="0928EDA4" w14:textId="1117F75F" w:rsidR="00DD79BA" w:rsidRPr="00270EEB" w:rsidRDefault="00DD79BA" w:rsidP="00DD79BA">
      <w:pPr>
        <w:ind w:right="237"/>
        <w:jc w:val="both"/>
        <w:rPr>
          <w:sz w:val="24"/>
          <w:szCs w:val="24"/>
        </w:rPr>
      </w:pPr>
      <w:r w:rsidRPr="00DD79BA">
        <w:rPr>
          <w:sz w:val="24"/>
          <w:szCs w:val="24"/>
        </w:rPr>
        <w:t>Word count 1646</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lastRenderedPageBreak/>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A743FD5" w14:textId="09A2CBB3" w:rsidR="003C1C90" w:rsidRDefault="003C1C90" w:rsidP="003C1C90">
      <w:pPr>
        <w:ind w:right="237"/>
        <w:jc w:val="both"/>
        <w:rPr>
          <w:sz w:val="24"/>
          <w:szCs w:val="24"/>
        </w:rPr>
      </w:pPr>
      <w:r w:rsidRPr="003C1C90">
        <w:rPr>
          <w:sz w:val="24"/>
          <w:szCs w:val="24"/>
        </w:rPr>
        <w:t>In September 2020 there were 38.8 million licenced vehicles operating within the UK with 31.9 million cars making the majority and 4.2 million light goods vehicles (Department of Transport 2020a). The UK Road network is essential to the UK economy as 80% of domestic freight is transported via the UK roads (Department of Transport 2020b), which further recognises that not only commerce benefits from an effective road network, that criminals also benefit from the network by enabling activity such as illegal trafficking of people and transporting illegal contraband and drugs. These types of activity fall into some of the main categories of serious and organised crime (SOC) which costs the UK £37 billion a year and is the biggest threat to national safety (HM Government 2018).</w:t>
      </w:r>
    </w:p>
    <w:p w14:paraId="456D3D1C" w14:textId="77777777" w:rsidR="003C1C90" w:rsidRPr="003C1C90" w:rsidRDefault="003C1C90" w:rsidP="003C1C90">
      <w:pPr>
        <w:ind w:right="237"/>
        <w:jc w:val="both"/>
        <w:rPr>
          <w:sz w:val="24"/>
          <w:szCs w:val="24"/>
        </w:rPr>
      </w:pPr>
    </w:p>
    <w:p w14:paraId="48C18E71" w14:textId="0ACE4606" w:rsidR="003C1C90" w:rsidRDefault="003C1C90" w:rsidP="003C1C90">
      <w:pPr>
        <w:ind w:right="237"/>
        <w:jc w:val="both"/>
        <w:rPr>
          <w:sz w:val="24"/>
          <w:szCs w:val="24"/>
        </w:rPr>
      </w:pPr>
      <w:r w:rsidRPr="003C1C90">
        <w:rPr>
          <w:sz w:val="24"/>
          <w:szCs w:val="24"/>
        </w:rPr>
        <w:t xml:space="preserve">The Serious and Organised Crime Strategy outlines that the first of 4 objectives to tackling SOC is to constantly disrupt and target action against criminal activity (HM Government 2018). Using data and intelligence and partnership working tackling SOC will be more targeted, effective and break organised criminal infra structure. The menu of tactics (College of Policing 2021) is a tool that provides a range of interventions to disrupt crime and identifies vehicles as being one of 6 areas to disrupt. The menu gives numerous examples of how the use of regulations and legislation can cause disruption, many of which may seem minor offences such as targeting untaxed vehicles and noncompliance with MOTs.  An example in the menu is that of a MOT garage used by organised crime gang issuing false MOTs and using the garage hire vehicles, intelligence identified the garage and enabled closure which further disrupted the criminals’ access to vehicles. Another tactic is requesting the producing of driving documents as this can help with intelligence gaps, such as identifying garages used for example MOT. This indicates that good policing of traffic offences will disrupt criminal activity with another example such as a criminal losing their licence by accumulating penalty points, which could be as the result of using speeding cameras and denying access to transport and making them reliant on others. Many of the examples of ways to disrupt clearly rely on information and intelligence to best achieve that. Identifying patterns and behaviours by </w:t>
      </w:r>
      <w:r w:rsidRPr="003C1C90">
        <w:rPr>
          <w:sz w:val="24"/>
          <w:szCs w:val="24"/>
        </w:rPr>
        <w:lastRenderedPageBreak/>
        <w:t>identifying regular vehicles, private and public such as taxi and hire vehicles of interest. Identifying their routes and times enable specific and most effective planning to disrupt and gather evidence, one example in the menu being identification of a taxi regularly transporting class A drugs resulting in arrest of an individual and the recovery of drugs. There appear to be links between low level offences and prolific offenders, for example 79% of disqualified drivers have criminal records 4 times higher than the general population (Bryant and Bryant 2020 p.423). Using this information can help identify more serious criminality as these ‘low level’ crimes can be an indicator to more serious crimes such as people trafficking, counterfeit goods, drug smuggling and child exploitation. Using traffic offences can deny these criminals use of roads and transportation.</w:t>
      </w:r>
    </w:p>
    <w:p w14:paraId="26610868" w14:textId="77777777" w:rsidR="003C1C90" w:rsidRPr="003C1C90" w:rsidRDefault="003C1C90" w:rsidP="003C1C90">
      <w:pPr>
        <w:ind w:right="237"/>
        <w:jc w:val="both"/>
        <w:rPr>
          <w:sz w:val="24"/>
          <w:szCs w:val="24"/>
        </w:rPr>
      </w:pPr>
    </w:p>
    <w:p w14:paraId="44826A81" w14:textId="77777777" w:rsidR="003C1C90" w:rsidRPr="003C1C90" w:rsidRDefault="003C1C90" w:rsidP="003C1C90">
      <w:pPr>
        <w:ind w:right="237"/>
        <w:jc w:val="both"/>
        <w:rPr>
          <w:sz w:val="24"/>
          <w:szCs w:val="24"/>
        </w:rPr>
      </w:pPr>
      <w:r w:rsidRPr="003C1C90">
        <w:rPr>
          <w:sz w:val="24"/>
          <w:szCs w:val="24"/>
        </w:rPr>
        <w:t>The menu of tactics encourages a multi-agency approach, and this allows the sharing of information and intelligence to detect and deter criminals. However, despite this being the recommended approach a report into roads policing found often this coordinated approach was found to be lacking in some forces and becoming less frequent in others with a suggestion that this is due to limited resources (HMICFRS 2020). This clearly leaves weak spots that will impact on the effectiveness of a force to disrupt activity by tackling traffic offences. Over recent years many forces have had to adapt with Police funding cuts, and this has resulted in some forces merging resources or closing their traffic departments all together Department of Transport (2020b). A local example of this is Gwent Police who chose in 2015/2016 to merge their roads policing unit with their Area Support Unit as a direct response to efficiency savings (Cuthbert 2020). With less manpower intelligence and information that informs the force where they are most effectively used is essential.</w:t>
      </w:r>
    </w:p>
    <w:p w14:paraId="5A3CAE74" w14:textId="77777777" w:rsidR="003C1C90" w:rsidRPr="003C1C90" w:rsidRDefault="003C1C90" w:rsidP="003C1C90">
      <w:pPr>
        <w:ind w:right="237"/>
        <w:jc w:val="both"/>
        <w:rPr>
          <w:sz w:val="24"/>
          <w:szCs w:val="24"/>
        </w:rPr>
      </w:pPr>
    </w:p>
    <w:p w14:paraId="64FD7EF1" w14:textId="738C4868" w:rsidR="003C1C90" w:rsidRDefault="003C1C90" w:rsidP="003C1C90">
      <w:pPr>
        <w:ind w:right="237"/>
        <w:jc w:val="both"/>
        <w:rPr>
          <w:sz w:val="24"/>
          <w:szCs w:val="24"/>
        </w:rPr>
      </w:pPr>
      <w:r w:rsidRPr="003C1C90">
        <w:rPr>
          <w:sz w:val="24"/>
          <w:szCs w:val="24"/>
        </w:rPr>
        <w:t>Sharing information allows the police to adopt an intelligence led policing approach. Intelligence led policing is a shift from the traditional reactive and incident led policing to be proactive and strategic. Gathering and analysing data to identify and prioritise current and future crime areas will ensure that resources are allocated to strategic targeting of the highest risk situations and is the foundation of the National Intelligence Model in England and Wales (Police Foundation 2013). The police vision is to ensure safe, secure, efficient roads and using intelligence led policing to ensure that roads are free from potential serious crime and terrorism (National Police Chiefs Council (NPCC) 2018) and recognises multi agency working as necessary to effective action.</w:t>
      </w:r>
    </w:p>
    <w:p w14:paraId="67C2BAAF" w14:textId="77777777" w:rsidR="003C1C90" w:rsidRPr="003C1C90" w:rsidRDefault="003C1C90" w:rsidP="003C1C90">
      <w:pPr>
        <w:ind w:right="237"/>
        <w:jc w:val="both"/>
        <w:rPr>
          <w:sz w:val="24"/>
          <w:szCs w:val="24"/>
        </w:rPr>
      </w:pPr>
    </w:p>
    <w:p w14:paraId="6BFBC57B" w14:textId="3480C3FC" w:rsidR="003C1C90" w:rsidRDefault="003C1C90" w:rsidP="003C1C90">
      <w:pPr>
        <w:ind w:right="237"/>
        <w:jc w:val="both"/>
        <w:rPr>
          <w:sz w:val="24"/>
          <w:szCs w:val="24"/>
        </w:rPr>
      </w:pPr>
      <w:r w:rsidRPr="003C1C90">
        <w:rPr>
          <w:sz w:val="24"/>
          <w:szCs w:val="24"/>
        </w:rPr>
        <w:t xml:space="preserve">The strategy also recognises the use of technology in maintaining safe roads and disrupting criminals that are on the road specifically using the Automatic Number Plate Recognition system (ANPR). Evidence suggests that ANPR has been successfully used to provide data for the investigation of SOC and successful conviction of offenders (NPCC 2020). </w:t>
      </w:r>
    </w:p>
    <w:p w14:paraId="4AEB706A" w14:textId="77777777" w:rsidR="003C1C90" w:rsidRPr="003C1C90" w:rsidRDefault="003C1C90" w:rsidP="003C1C90">
      <w:pPr>
        <w:ind w:right="237"/>
        <w:jc w:val="both"/>
        <w:rPr>
          <w:sz w:val="24"/>
          <w:szCs w:val="24"/>
        </w:rPr>
      </w:pPr>
    </w:p>
    <w:p w14:paraId="34D3E909" w14:textId="4544727E" w:rsidR="003C1C90" w:rsidRDefault="003C1C90" w:rsidP="003C1C90">
      <w:pPr>
        <w:ind w:right="237"/>
        <w:jc w:val="both"/>
        <w:rPr>
          <w:sz w:val="24"/>
          <w:szCs w:val="24"/>
        </w:rPr>
      </w:pPr>
      <w:r w:rsidRPr="003C1C90">
        <w:rPr>
          <w:sz w:val="24"/>
          <w:szCs w:val="24"/>
        </w:rPr>
        <w:t xml:space="preserve">ANPR is number plate reading technology using cameras that capture an image of a vehicles number plate and can identify a </w:t>
      </w:r>
      <w:proofErr w:type="gramStart"/>
      <w:r w:rsidRPr="003C1C90">
        <w:rPr>
          <w:sz w:val="24"/>
          <w:szCs w:val="24"/>
        </w:rPr>
        <w:t>vehicles</w:t>
      </w:r>
      <w:proofErr w:type="gramEnd"/>
      <w:r w:rsidRPr="003C1C90">
        <w:rPr>
          <w:sz w:val="24"/>
          <w:szCs w:val="24"/>
        </w:rPr>
        <w:t xml:space="preserve"> using make, model and partial registration numbers (College of Policing 2021). There are around 13,000 ANPR cameras storing 55 million records daily and stored for 1 year. ANPR cameras can be found in Police vehicles and in fixed location, the location of these fixed cameras </w:t>
      </w:r>
      <w:proofErr w:type="gramStart"/>
      <w:r w:rsidRPr="003C1C90">
        <w:rPr>
          <w:sz w:val="24"/>
          <w:szCs w:val="24"/>
        </w:rPr>
        <w:t>are</w:t>
      </w:r>
      <w:proofErr w:type="gramEnd"/>
      <w:r w:rsidRPr="003C1C90">
        <w:rPr>
          <w:sz w:val="24"/>
          <w:szCs w:val="24"/>
        </w:rPr>
        <w:t xml:space="preserve"> not made public due to the potential benefits that this would give criminals </w:t>
      </w:r>
      <w:r w:rsidRPr="003C1C90">
        <w:rPr>
          <w:sz w:val="24"/>
          <w:szCs w:val="24"/>
        </w:rPr>
        <w:lastRenderedPageBreak/>
        <w:t xml:space="preserve">(NPCC 2021). The collection and sharing of data </w:t>
      </w:r>
      <w:proofErr w:type="gramStart"/>
      <w:r w:rsidRPr="003C1C90">
        <w:rPr>
          <w:sz w:val="24"/>
          <w:szCs w:val="24"/>
        </w:rPr>
        <w:t>is</w:t>
      </w:r>
      <w:proofErr w:type="gramEnd"/>
      <w:r w:rsidRPr="003C1C90">
        <w:rPr>
          <w:sz w:val="24"/>
          <w:szCs w:val="24"/>
        </w:rPr>
        <w:t xml:space="preserve"> subject to numerous complex legislations and to ensure the use of ANPR upholds the law is maintained by following national standards (Home Office 2020a).</w:t>
      </w:r>
    </w:p>
    <w:p w14:paraId="6DE91966" w14:textId="77777777" w:rsidR="003C1C90" w:rsidRPr="003C1C90" w:rsidRDefault="003C1C90" w:rsidP="003C1C90">
      <w:pPr>
        <w:ind w:right="237"/>
        <w:jc w:val="both"/>
        <w:rPr>
          <w:sz w:val="24"/>
          <w:szCs w:val="24"/>
        </w:rPr>
      </w:pPr>
    </w:p>
    <w:p w14:paraId="409FC0BB" w14:textId="22803ECA" w:rsidR="003C1C90" w:rsidRDefault="003C1C90" w:rsidP="003C1C90">
      <w:pPr>
        <w:ind w:right="237"/>
        <w:jc w:val="both"/>
        <w:rPr>
          <w:sz w:val="24"/>
          <w:szCs w:val="24"/>
        </w:rPr>
      </w:pPr>
      <w:r w:rsidRPr="003C1C90">
        <w:rPr>
          <w:sz w:val="24"/>
          <w:szCs w:val="24"/>
        </w:rPr>
        <w:t>Invented in 1976 by the UK based Police Science Development Branch, early ANPR systems first saw use in 1979, however the first known arrest accredited to ANPR was an arrest made for a motor vehicle theft in 1981. Use continued and in 1993 the Metropolitan Police deployed the system as part of a “Ring of Steal” around London. This was to combat several IRA terrorist bombings that had taken place in the financial district and was the largest use of ANPR systems at that time. 1997 saw the creation of The Police National ANPR Data Centre which was a central base for all forces who had stored information at a local level until then (ANPR International 2021).</w:t>
      </w:r>
    </w:p>
    <w:p w14:paraId="2CF5920B" w14:textId="77777777" w:rsidR="003C1C90" w:rsidRPr="003C1C90" w:rsidRDefault="003C1C90" w:rsidP="003C1C90">
      <w:pPr>
        <w:ind w:right="237"/>
        <w:jc w:val="both"/>
        <w:rPr>
          <w:sz w:val="24"/>
          <w:szCs w:val="24"/>
        </w:rPr>
      </w:pPr>
    </w:p>
    <w:p w14:paraId="19CB779F" w14:textId="77777777" w:rsidR="003C1C90" w:rsidRDefault="003C1C90" w:rsidP="003C1C90">
      <w:pPr>
        <w:ind w:right="237"/>
        <w:jc w:val="both"/>
        <w:rPr>
          <w:sz w:val="24"/>
          <w:szCs w:val="24"/>
        </w:rPr>
      </w:pPr>
      <w:r w:rsidRPr="003C1C90">
        <w:rPr>
          <w:sz w:val="24"/>
          <w:szCs w:val="24"/>
        </w:rPr>
        <w:t>ANPR can provide evidence which can assist in the investigation of crime and road offences and is a key tool used by Police and Law enforcement Agencies to tackle known criminals, terrorism and organised crime groups (Home Office 2020b).</w:t>
      </w:r>
    </w:p>
    <w:p w14:paraId="4BB1A431" w14:textId="63F06E7C" w:rsidR="003C1C90" w:rsidRPr="003C1C90" w:rsidRDefault="003C1C90" w:rsidP="003C1C90">
      <w:pPr>
        <w:ind w:right="237"/>
        <w:jc w:val="both"/>
        <w:rPr>
          <w:sz w:val="24"/>
          <w:szCs w:val="24"/>
        </w:rPr>
      </w:pPr>
      <w:r w:rsidRPr="003C1C90">
        <w:rPr>
          <w:sz w:val="24"/>
          <w:szCs w:val="24"/>
        </w:rPr>
        <w:t xml:space="preserve"> </w:t>
      </w:r>
    </w:p>
    <w:p w14:paraId="78F4D8F8" w14:textId="2DB8C9CF" w:rsidR="003C1C90" w:rsidRDefault="003C1C90" w:rsidP="003C1C90">
      <w:pPr>
        <w:ind w:right="237"/>
        <w:jc w:val="both"/>
        <w:rPr>
          <w:sz w:val="24"/>
          <w:szCs w:val="24"/>
        </w:rPr>
      </w:pPr>
      <w:r w:rsidRPr="003C1C90">
        <w:rPr>
          <w:sz w:val="24"/>
          <w:szCs w:val="24"/>
        </w:rPr>
        <w:t>Accurate intelligence that identifies areas and routes that organised crime groups are prevalent can be disrupted by increasing visibility by using CCTV and ANPR systems. Criminals often use preferred routes and forcing them to use other routes by putting a highly visible surveillance can result in them making mistakes and forcing them into other areas that can be more easily observed which increases information and evidence gained. An example of its effectiveness in tackling SOC can be seen in North Yorkshire Police (2018) using data from ANPR to indicate a vehicle suspected to be linked to drug dealing had entered the county enabled officers to locate and retrieve tens of thousands of pounds and hand the money and suspect to a neighbouring force for ongoing investigation. However, this type of response depends on the availability of a unit and given the cuts being made that affect response as earlier discussed can significantly compromise roads policing being able to respond to available intelligence. The HMICFRS (2020a) found that frequently capacity does not meet demand as dedicated roads policing officers have dropped and their commitment to assisting other areas of policing have increased.</w:t>
      </w:r>
    </w:p>
    <w:p w14:paraId="2522C2C6" w14:textId="77777777" w:rsidR="003C1C90" w:rsidRPr="003C1C90" w:rsidRDefault="003C1C90" w:rsidP="003C1C90">
      <w:pPr>
        <w:ind w:right="237"/>
        <w:jc w:val="both"/>
        <w:rPr>
          <w:sz w:val="24"/>
          <w:szCs w:val="24"/>
        </w:rPr>
      </w:pPr>
    </w:p>
    <w:p w14:paraId="643494E2" w14:textId="4196DEBA" w:rsidR="003C1C90" w:rsidRDefault="003C1C90" w:rsidP="003C1C90">
      <w:pPr>
        <w:ind w:right="237"/>
        <w:jc w:val="both"/>
        <w:rPr>
          <w:sz w:val="24"/>
          <w:szCs w:val="24"/>
        </w:rPr>
      </w:pPr>
      <w:r w:rsidRPr="003C1C90">
        <w:rPr>
          <w:sz w:val="24"/>
          <w:szCs w:val="24"/>
        </w:rPr>
        <w:t xml:space="preserve">The above example shows how data and intelligence sharing can help in the fight against ‘county </w:t>
      </w:r>
      <w:proofErr w:type="gramStart"/>
      <w:r w:rsidRPr="003C1C90">
        <w:rPr>
          <w:sz w:val="24"/>
          <w:szCs w:val="24"/>
        </w:rPr>
        <w:t>lines’</w:t>
      </w:r>
      <w:proofErr w:type="gramEnd"/>
      <w:r w:rsidRPr="003C1C90">
        <w:rPr>
          <w:sz w:val="24"/>
          <w:szCs w:val="24"/>
        </w:rPr>
        <w:t>. County lines are when criminals use dedicated phones to supply drugs. They use vulnerable children and adults to carry the drugs from one area to another, across police and regional borders. There are clear links between county lines with human trafficking and modern slavery (HMICFRS 2020b). The report highlights some examples that a regional organised crime unit had used to disrupt the road network used to transport drugs. These included working with the council taxi licencing company to target taxi drivers involved in activity, visiting airport hire companies which were used by offenders and using ANPR to track suspicious vehicles. However, this system is already compromised by an increasing trend in criminals cloning number plates on private vehicles (NCA 2018).</w:t>
      </w:r>
    </w:p>
    <w:p w14:paraId="53EB5345" w14:textId="77777777" w:rsidR="003C1C90" w:rsidRPr="003C1C90" w:rsidRDefault="003C1C90" w:rsidP="003C1C90">
      <w:pPr>
        <w:ind w:right="237"/>
        <w:jc w:val="both"/>
        <w:rPr>
          <w:sz w:val="24"/>
          <w:szCs w:val="24"/>
        </w:rPr>
      </w:pPr>
    </w:p>
    <w:p w14:paraId="5040866E" w14:textId="77777777" w:rsidR="003C1C90" w:rsidRPr="003C1C90" w:rsidRDefault="003C1C90" w:rsidP="003C1C90">
      <w:pPr>
        <w:ind w:right="237"/>
        <w:jc w:val="both"/>
        <w:rPr>
          <w:sz w:val="24"/>
          <w:szCs w:val="24"/>
        </w:rPr>
      </w:pPr>
      <w:r w:rsidRPr="003C1C90">
        <w:rPr>
          <w:sz w:val="24"/>
          <w:szCs w:val="24"/>
        </w:rPr>
        <w:t xml:space="preserve">Effective road policing clearly has a significant part to play in disrupting serious crime. The road network is essential to transporting illegal goods such as drugs and modern slavery. Resources are limited and are best deployed when data and intelligence is gained so that manpower and time is used effectively. Identifying key </w:t>
      </w:r>
      <w:r w:rsidRPr="003C1C90">
        <w:rPr>
          <w:sz w:val="24"/>
          <w:szCs w:val="24"/>
        </w:rPr>
        <w:lastRenderedPageBreak/>
        <w:t>vehicles, activity in relation to routes used and times enable the smaller continuous disruption such as setting up specific areas for routine speed and vehicle checks to planned strategic operations that intercept specific vehicles. This provides opportunities to force criminal activity into areas that where observation can provide further intelligence and evidence.</w:t>
      </w:r>
    </w:p>
    <w:p w14:paraId="56720C1E" w14:textId="77777777" w:rsidR="003C1C90" w:rsidRPr="003C1C90" w:rsidRDefault="003C1C90" w:rsidP="003C1C90">
      <w:pPr>
        <w:ind w:right="237"/>
        <w:jc w:val="both"/>
        <w:rPr>
          <w:sz w:val="24"/>
          <w:szCs w:val="24"/>
        </w:rPr>
      </w:pPr>
    </w:p>
    <w:p w14:paraId="4C50E184" w14:textId="7047B2C9" w:rsidR="00025650" w:rsidRPr="00270EEB" w:rsidRDefault="003C1C90" w:rsidP="003C1C90">
      <w:pPr>
        <w:ind w:right="237"/>
        <w:jc w:val="both"/>
        <w:rPr>
          <w:sz w:val="24"/>
          <w:szCs w:val="24"/>
        </w:rPr>
      </w:pPr>
      <w:r w:rsidRPr="003C1C90">
        <w:rPr>
          <w:sz w:val="24"/>
          <w:szCs w:val="24"/>
        </w:rPr>
        <w:t>Word count 1546</w:t>
      </w:r>
    </w:p>
    <w:p w14:paraId="55E8513B" w14:textId="77777777" w:rsidR="00025650" w:rsidRPr="00270EEB" w:rsidRDefault="00025650" w:rsidP="00340E9A">
      <w:pPr>
        <w:ind w:right="237"/>
        <w:jc w:val="both"/>
        <w:rPr>
          <w:sz w:val="24"/>
          <w:szCs w:val="24"/>
        </w:rPr>
      </w:pPr>
    </w:p>
    <w:p w14:paraId="0FEEFB0E" w14:textId="38E991D5" w:rsidR="00025650" w:rsidRPr="00270EEB" w:rsidRDefault="006172AE" w:rsidP="00BE27F7">
      <w:pPr>
        <w:ind w:right="237"/>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5E21F8DD" w14:textId="4E846E5F" w:rsidR="00025650" w:rsidRPr="00270EEB" w:rsidRDefault="00025650" w:rsidP="00BE27F7">
      <w:pPr>
        <w:ind w:right="237"/>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03967A24" w:rsidR="00FE5420" w:rsidRPr="00551BA0" w:rsidRDefault="009A1AC9" w:rsidP="00FE5420">
            <w:pPr>
              <w:overflowPunct/>
              <w:autoSpaceDE/>
              <w:autoSpaceDN/>
              <w:adjustRightInd/>
              <w:rPr>
                <w:sz w:val="24"/>
                <w:szCs w:val="24"/>
                <w:lang w:eastAsia="zh-TW"/>
              </w:rPr>
            </w:pPr>
            <w:r w:rsidRPr="00551BA0">
              <w:rPr>
                <w:sz w:val="24"/>
                <w:szCs w:val="24"/>
                <w:lang w:eastAsia="zh-TW"/>
              </w:rPr>
              <w:t xml:space="preserve">Increase knowledge of </w:t>
            </w:r>
            <w:r w:rsidR="00FA5AE1" w:rsidRPr="00551BA0">
              <w:rPr>
                <w:sz w:val="24"/>
                <w:szCs w:val="24"/>
                <w:lang w:eastAsia="zh-TW"/>
              </w:rPr>
              <w:t>Mental Health legislation and powers</w:t>
            </w:r>
            <w:r w:rsidR="00070768" w:rsidRPr="00551BA0">
              <w:rPr>
                <w:sz w:val="24"/>
                <w:szCs w:val="24"/>
                <w:lang w:eastAsia="zh-TW"/>
              </w:rPr>
              <w:t>. Managing situations whereby people involved often have underlying mental health illness is a large part of my day to day police work.</w:t>
            </w:r>
          </w:p>
          <w:p w14:paraId="419F1C4A" w14:textId="7A5BE015" w:rsidR="00FE5420" w:rsidRDefault="00FE5420" w:rsidP="00FE5420">
            <w:pPr>
              <w:overflowPunct/>
              <w:autoSpaceDE/>
              <w:autoSpaceDN/>
              <w:adjustRightInd/>
              <w:rPr>
                <w:sz w:val="22"/>
                <w:szCs w:val="22"/>
                <w:lang w:eastAsia="zh-TW"/>
              </w:rPr>
            </w:pPr>
            <w:r w:rsidRPr="00FE5420">
              <w:rPr>
                <w:sz w:val="22"/>
                <w:szCs w:val="22"/>
                <w:lang w:eastAsia="zh-TW"/>
              </w:rPr>
              <w:t> </w:t>
            </w:r>
          </w:p>
          <w:p w14:paraId="31B089BB" w14:textId="5CA08766" w:rsidR="00551BA0" w:rsidRDefault="00551BA0" w:rsidP="00FE5420">
            <w:pPr>
              <w:overflowPunct/>
              <w:autoSpaceDE/>
              <w:autoSpaceDN/>
              <w:adjustRightInd/>
              <w:rPr>
                <w:sz w:val="22"/>
                <w:szCs w:val="22"/>
                <w:lang w:eastAsia="zh-TW"/>
              </w:rPr>
            </w:pPr>
          </w:p>
          <w:p w14:paraId="1577444D" w14:textId="1B83F533" w:rsidR="00551BA0" w:rsidRDefault="00551BA0" w:rsidP="00FE5420">
            <w:pPr>
              <w:overflowPunct/>
              <w:autoSpaceDE/>
              <w:autoSpaceDN/>
              <w:adjustRightInd/>
              <w:rPr>
                <w:sz w:val="22"/>
                <w:szCs w:val="22"/>
                <w:lang w:eastAsia="zh-TW"/>
              </w:rPr>
            </w:pPr>
          </w:p>
          <w:p w14:paraId="306253FC" w14:textId="77777777" w:rsidR="00551BA0" w:rsidRPr="00FE5420" w:rsidRDefault="00551BA0" w:rsidP="00FE5420">
            <w:pPr>
              <w:overflowPunct/>
              <w:autoSpaceDE/>
              <w:autoSpaceDN/>
              <w:adjustRightInd/>
              <w:rPr>
                <w:rFonts w:ascii="Times New Roman" w:hAnsi="Times New Roman" w:cs="Times New Roman"/>
                <w:sz w:val="24"/>
                <w:szCs w:val="24"/>
                <w:lang w:eastAsia="zh-TW"/>
              </w:rPr>
            </w:pP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FA82930" w14:textId="77777777" w:rsidR="0013758F" w:rsidRDefault="00FE5420" w:rsidP="00FE5420">
            <w:pPr>
              <w:overflowPunct/>
              <w:autoSpaceDE/>
              <w:autoSpaceDN/>
              <w:adjustRightInd/>
              <w:rPr>
                <w:sz w:val="22"/>
                <w:szCs w:val="22"/>
                <w:lang w:eastAsia="zh-TW"/>
              </w:rPr>
            </w:pPr>
            <w:r w:rsidRPr="00FE5420">
              <w:rPr>
                <w:sz w:val="22"/>
                <w:szCs w:val="22"/>
                <w:lang w:eastAsia="zh-TW"/>
              </w:rPr>
              <w:t>8-10</w:t>
            </w:r>
          </w:p>
          <w:p w14:paraId="21631B95" w14:textId="77777777" w:rsidR="0013758F" w:rsidRDefault="0013758F" w:rsidP="00FE5420">
            <w:pPr>
              <w:overflowPunct/>
              <w:autoSpaceDE/>
              <w:autoSpaceDN/>
              <w:adjustRightInd/>
              <w:rPr>
                <w:sz w:val="22"/>
                <w:szCs w:val="22"/>
                <w:lang w:eastAsia="zh-TW"/>
              </w:rPr>
            </w:pPr>
          </w:p>
          <w:p w14:paraId="084D2D24" w14:textId="5EB13EA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13758F">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4E0210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B49890F" w14:textId="77777777" w:rsidR="0013758F" w:rsidRDefault="0013758F" w:rsidP="00FE5420">
            <w:pPr>
              <w:overflowPunct/>
              <w:autoSpaceDE/>
              <w:autoSpaceDN/>
              <w:adjustRightInd/>
              <w:rPr>
                <w:sz w:val="24"/>
                <w:szCs w:val="24"/>
                <w:lang w:eastAsia="zh-TW"/>
              </w:rPr>
            </w:pPr>
          </w:p>
          <w:p w14:paraId="0BCB15AA" w14:textId="7F1BFE5B" w:rsidR="0013758F" w:rsidRPr="00FE5420" w:rsidRDefault="0013758F"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86CEFB2" w14:textId="3754969C" w:rsidR="00FA5AE1" w:rsidRPr="00FA5AE1" w:rsidRDefault="00FA5AE1" w:rsidP="00FA5AE1">
            <w:pPr>
              <w:overflowPunct/>
              <w:autoSpaceDE/>
              <w:autoSpaceDN/>
              <w:adjustRightInd/>
              <w:rPr>
                <w:sz w:val="24"/>
                <w:szCs w:val="24"/>
                <w:lang w:eastAsia="zh-TW"/>
              </w:rPr>
            </w:pPr>
            <w:r>
              <w:t xml:space="preserve"> </w:t>
            </w:r>
            <w:r w:rsidRPr="00FA5AE1">
              <w:rPr>
                <w:sz w:val="24"/>
                <w:szCs w:val="24"/>
                <w:lang w:eastAsia="zh-TW"/>
              </w:rPr>
              <w:t xml:space="preserve">Expand my knowledge of </w:t>
            </w:r>
            <w:r>
              <w:rPr>
                <w:sz w:val="24"/>
                <w:szCs w:val="24"/>
                <w:lang w:eastAsia="zh-TW"/>
              </w:rPr>
              <w:t>M</w:t>
            </w:r>
            <w:r w:rsidRPr="00FA5AE1">
              <w:rPr>
                <w:sz w:val="24"/>
                <w:szCs w:val="24"/>
                <w:lang w:eastAsia="zh-TW"/>
              </w:rPr>
              <w:t xml:space="preserve">ental </w:t>
            </w:r>
            <w:r>
              <w:rPr>
                <w:sz w:val="24"/>
                <w:szCs w:val="24"/>
                <w:lang w:eastAsia="zh-TW"/>
              </w:rPr>
              <w:t>H</w:t>
            </w:r>
            <w:r w:rsidRPr="00FA5AE1">
              <w:rPr>
                <w:sz w:val="24"/>
                <w:szCs w:val="24"/>
                <w:lang w:eastAsia="zh-TW"/>
              </w:rPr>
              <w:t>ealth powers and legislation such as</w:t>
            </w:r>
          </w:p>
          <w:p w14:paraId="29A2A56B" w14:textId="136E5D5A" w:rsidR="00034B4A" w:rsidRPr="00FA5AE1" w:rsidRDefault="00FA5AE1" w:rsidP="00FA5AE1">
            <w:pPr>
              <w:overflowPunct/>
              <w:autoSpaceDE/>
              <w:autoSpaceDN/>
              <w:adjustRightInd/>
              <w:rPr>
                <w:sz w:val="22"/>
                <w:szCs w:val="22"/>
                <w:lang w:eastAsia="zh-TW"/>
              </w:rPr>
            </w:pPr>
            <w:r w:rsidRPr="00FA5AE1">
              <w:rPr>
                <w:sz w:val="24"/>
                <w:szCs w:val="24"/>
                <w:lang w:eastAsia="zh-TW"/>
              </w:rPr>
              <w:t>Section 136 of the Mental Health Act</w:t>
            </w:r>
            <w:r w:rsidR="00070768">
              <w:rPr>
                <w:sz w:val="24"/>
                <w:szCs w:val="24"/>
                <w:lang w:eastAsia="zh-TW"/>
              </w:rPr>
              <w:t xml:space="preserve"> by looking for and completing relevant NCALT packages and discussing with more experienced and knowledgeable officers such as PPU officers.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509BD4EC" w:rsid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05443176" w14:textId="242A3989" w:rsidR="009A1AC9" w:rsidRDefault="009A1AC9" w:rsidP="00FE5420">
            <w:pPr>
              <w:overflowPunct/>
              <w:autoSpaceDE/>
              <w:autoSpaceDN/>
              <w:adjustRightInd/>
              <w:rPr>
                <w:b/>
                <w:bCs/>
                <w:sz w:val="22"/>
                <w:szCs w:val="22"/>
                <w:lang w:eastAsia="zh-TW"/>
              </w:rPr>
            </w:pPr>
          </w:p>
          <w:p w14:paraId="1B28F49E" w14:textId="7D7B901D" w:rsidR="00FE5420" w:rsidRPr="00551BA0" w:rsidRDefault="009A1AC9" w:rsidP="00FE5420">
            <w:pPr>
              <w:overflowPunct/>
              <w:autoSpaceDE/>
              <w:autoSpaceDN/>
              <w:adjustRightInd/>
              <w:rPr>
                <w:sz w:val="24"/>
                <w:szCs w:val="24"/>
                <w:lang w:eastAsia="zh-TW"/>
              </w:rPr>
            </w:pPr>
            <w:r w:rsidRPr="00551BA0">
              <w:rPr>
                <w:sz w:val="24"/>
                <w:szCs w:val="24"/>
                <w:lang w:eastAsia="zh-TW"/>
              </w:rPr>
              <w:t>Increase ability to find specific, credible references through university library by filtering large hits when searching topics.</w:t>
            </w:r>
            <w:r w:rsidR="00070768" w:rsidRPr="00551BA0">
              <w:rPr>
                <w:sz w:val="24"/>
                <w:szCs w:val="24"/>
                <w:lang w:eastAsia="zh-TW"/>
              </w:rPr>
              <w:t xml:space="preserve"> Currently I spend a lot of time unable to filter out relevant information, being more efficient would increase my ability to look at relevant literature for studies and informing day to day policing.</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3CE8184" w14:textId="77777777" w:rsidR="00070768" w:rsidRDefault="00FE5420" w:rsidP="00FE5420">
            <w:pPr>
              <w:overflowPunct/>
              <w:autoSpaceDE/>
              <w:autoSpaceDN/>
              <w:adjustRightInd/>
              <w:rPr>
                <w:sz w:val="22"/>
                <w:szCs w:val="22"/>
                <w:lang w:eastAsia="zh-TW"/>
              </w:rPr>
            </w:pPr>
            <w:r w:rsidRPr="00FE5420">
              <w:rPr>
                <w:sz w:val="22"/>
                <w:szCs w:val="22"/>
                <w:lang w:eastAsia="zh-TW"/>
              </w:rPr>
              <w:t>8-10</w:t>
            </w:r>
          </w:p>
          <w:p w14:paraId="5F68C220" w14:textId="77777777" w:rsidR="00070768" w:rsidRDefault="00070768" w:rsidP="00FE5420">
            <w:pPr>
              <w:overflowPunct/>
              <w:autoSpaceDE/>
              <w:autoSpaceDN/>
              <w:adjustRightInd/>
              <w:rPr>
                <w:sz w:val="22"/>
                <w:szCs w:val="22"/>
                <w:lang w:eastAsia="zh-TW"/>
              </w:rPr>
            </w:pPr>
          </w:p>
          <w:p w14:paraId="0C242629" w14:textId="50EC1C2B" w:rsidR="00FE5420" w:rsidRPr="00070768" w:rsidRDefault="00070768" w:rsidP="00FE5420">
            <w:pPr>
              <w:overflowPunct/>
              <w:autoSpaceDE/>
              <w:autoSpaceDN/>
              <w:adjustRightInd/>
              <w:rPr>
                <w:sz w:val="22"/>
                <w:szCs w:val="22"/>
                <w:lang w:eastAsia="zh-TW"/>
              </w:rPr>
            </w:pPr>
            <w:r>
              <w:rPr>
                <w:sz w:val="22"/>
                <w:szCs w:val="22"/>
                <w:lang w:eastAsia="zh-TW"/>
              </w:rPr>
              <w:t>9</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75EFA4A"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ED2C28D" w14:textId="77777777" w:rsidR="00070768" w:rsidRDefault="00070768" w:rsidP="00FE5420">
            <w:pPr>
              <w:overflowPunct/>
              <w:autoSpaceDE/>
              <w:autoSpaceDN/>
              <w:adjustRightInd/>
              <w:rPr>
                <w:sz w:val="24"/>
                <w:szCs w:val="24"/>
                <w:lang w:eastAsia="zh-TW"/>
              </w:rPr>
            </w:pPr>
          </w:p>
          <w:p w14:paraId="51BAE1EE" w14:textId="367E7729" w:rsidR="00070768" w:rsidRPr="00FE5420" w:rsidRDefault="00070768"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097A4846" w14:textId="55560800" w:rsidR="00FE5420" w:rsidRPr="00070768" w:rsidRDefault="00FE5420" w:rsidP="00FE5420">
            <w:pPr>
              <w:overflowPunct/>
              <w:autoSpaceDE/>
              <w:autoSpaceDN/>
              <w:adjustRightInd/>
              <w:rPr>
                <w:sz w:val="22"/>
                <w:szCs w:val="22"/>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23228B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5CEE67D" w14:textId="5D336DDB" w:rsidR="009A1AC9" w:rsidRDefault="009A1AC9" w:rsidP="00FE5420">
            <w:pPr>
              <w:overflowPunct/>
              <w:autoSpaceDE/>
              <w:autoSpaceDN/>
              <w:adjustRightInd/>
              <w:rPr>
                <w:sz w:val="24"/>
                <w:szCs w:val="24"/>
                <w:lang w:eastAsia="zh-TW"/>
              </w:rPr>
            </w:pPr>
            <w:r>
              <w:rPr>
                <w:sz w:val="24"/>
                <w:szCs w:val="24"/>
                <w:lang w:eastAsia="zh-TW"/>
              </w:rPr>
              <w:t>Learn how to use</w:t>
            </w:r>
            <w:r w:rsidR="00070768">
              <w:rPr>
                <w:sz w:val="24"/>
                <w:szCs w:val="24"/>
                <w:lang w:eastAsia="zh-TW"/>
              </w:rPr>
              <w:t xml:space="preserve"> the Moodle</w:t>
            </w:r>
            <w:r>
              <w:rPr>
                <w:sz w:val="24"/>
                <w:szCs w:val="24"/>
                <w:lang w:eastAsia="zh-TW"/>
              </w:rPr>
              <w:t xml:space="preserve"> search engine to its full advantage and use university resources to help.</w:t>
            </w:r>
          </w:p>
          <w:p w14:paraId="7DF7D6E0" w14:textId="2A62A7DF" w:rsidR="009A1AC9" w:rsidRPr="00FE5420" w:rsidRDefault="009A1AC9"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F15F768" w:rsid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08C1496B" w14:textId="7A2A526D" w:rsidR="009A1AC9" w:rsidRDefault="009A1AC9" w:rsidP="00FE5420">
            <w:pPr>
              <w:overflowPunct/>
              <w:autoSpaceDE/>
              <w:autoSpaceDN/>
              <w:adjustRightInd/>
              <w:rPr>
                <w:b/>
                <w:bCs/>
                <w:sz w:val="22"/>
                <w:szCs w:val="22"/>
                <w:lang w:eastAsia="zh-TW"/>
              </w:rPr>
            </w:pPr>
          </w:p>
          <w:p w14:paraId="44A92785" w14:textId="06E84659" w:rsidR="009A1AC9" w:rsidRPr="00551BA0" w:rsidRDefault="009A1AC9" w:rsidP="00FE5420">
            <w:pPr>
              <w:overflowPunct/>
              <w:autoSpaceDE/>
              <w:autoSpaceDN/>
              <w:adjustRightInd/>
              <w:rPr>
                <w:sz w:val="24"/>
                <w:szCs w:val="24"/>
                <w:lang w:eastAsia="zh-TW"/>
              </w:rPr>
            </w:pPr>
            <w:r w:rsidRPr="00551BA0">
              <w:rPr>
                <w:sz w:val="24"/>
                <w:szCs w:val="24"/>
                <w:lang w:eastAsia="zh-TW"/>
              </w:rPr>
              <w:t>Increase experience of putting case files together that are thorough and contain all necessary evidence</w:t>
            </w:r>
            <w:r w:rsidR="00070768" w:rsidRPr="00551BA0">
              <w:rPr>
                <w:sz w:val="24"/>
                <w:szCs w:val="24"/>
                <w:lang w:eastAsia="zh-TW"/>
              </w:rPr>
              <w:t xml:space="preserve">. I </w:t>
            </w:r>
            <w:r w:rsidR="00551BA0" w:rsidRPr="00551BA0">
              <w:rPr>
                <w:sz w:val="24"/>
                <w:szCs w:val="24"/>
                <w:lang w:eastAsia="zh-TW"/>
              </w:rPr>
              <w:t xml:space="preserve">have had limited experience putting together case files and when I </w:t>
            </w:r>
            <w:proofErr w:type="gramStart"/>
            <w:r w:rsidR="00551BA0" w:rsidRPr="00551BA0">
              <w:rPr>
                <w:sz w:val="24"/>
                <w:szCs w:val="24"/>
                <w:lang w:eastAsia="zh-TW"/>
              </w:rPr>
              <w:t>have</w:t>
            </w:r>
            <w:proofErr w:type="gramEnd"/>
            <w:r w:rsidR="00551BA0" w:rsidRPr="00551BA0">
              <w:rPr>
                <w:sz w:val="24"/>
                <w:szCs w:val="24"/>
                <w:lang w:eastAsia="zh-TW"/>
              </w:rPr>
              <w:t xml:space="preserve"> I have had to seek lots of advice on how and what to put in there.</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1D820C33"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296D6C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277763A" w14:textId="596D6303" w:rsidR="00551BA0" w:rsidRPr="00FE5420" w:rsidRDefault="00551BA0"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0045F16"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353E2B2" w14:textId="02C0B5CC" w:rsidR="00551BA0" w:rsidRPr="00FE5420" w:rsidRDefault="00551BA0" w:rsidP="00FE5420">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13EEC3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601E1E8" w14:textId="77777777" w:rsidR="00551BA0" w:rsidRDefault="00551BA0" w:rsidP="00FE5420">
            <w:pPr>
              <w:overflowPunct/>
              <w:autoSpaceDE/>
              <w:autoSpaceDN/>
              <w:adjustRightInd/>
              <w:rPr>
                <w:sz w:val="24"/>
                <w:szCs w:val="24"/>
                <w:lang w:eastAsia="zh-TW"/>
              </w:rPr>
            </w:pPr>
            <w:r>
              <w:rPr>
                <w:sz w:val="24"/>
                <w:szCs w:val="24"/>
                <w:lang w:eastAsia="zh-TW"/>
              </w:rPr>
              <w:t>Volunteered self to attend case file workshop</w:t>
            </w:r>
          </w:p>
          <w:p w14:paraId="4B21BF28" w14:textId="5791DD3D" w:rsidR="00551BA0" w:rsidRPr="00FE5420" w:rsidRDefault="00551BA0"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Following the </w:t>
            </w:r>
            <w:proofErr w:type="gramStart"/>
            <w:r>
              <w:rPr>
                <w:sz w:val="24"/>
                <w:szCs w:val="24"/>
                <w:lang w:eastAsia="zh-TW"/>
              </w:rPr>
              <w:t>workshop</w:t>
            </w:r>
            <w:proofErr w:type="gramEnd"/>
            <w:r>
              <w:rPr>
                <w:sz w:val="24"/>
                <w:szCs w:val="24"/>
                <w:lang w:eastAsia="zh-TW"/>
              </w:rPr>
              <w:t xml:space="preserve"> I will offer to support other colleagues to increase the experience.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4D189C" w14:textId="77777777" w:rsidR="00BE27F7" w:rsidRDefault="00BE27F7" w:rsidP="00BE27F7">
      <w:pPr>
        <w:overflowPunct/>
        <w:autoSpaceDE/>
        <w:autoSpaceDN/>
        <w:adjustRightInd/>
        <w:spacing w:after="160" w:line="256" w:lineRule="auto"/>
        <w:jc w:val="center"/>
        <w:textAlignment w:val="auto"/>
        <w:rPr>
          <w:rFonts w:eastAsia="Calibri"/>
          <w:b/>
          <w:bCs/>
          <w:color w:val="auto"/>
          <w:sz w:val="24"/>
          <w:szCs w:val="24"/>
          <w:lang w:eastAsia="en-US"/>
        </w:rPr>
      </w:pPr>
    </w:p>
    <w:p w14:paraId="242AC5FC" w14:textId="77777777" w:rsidR="00BE27F7" w:rsidRDefault="00BE27F7" w:rsidP="00BE27F7">
      <w:pPr>
        <w:overflowPunct/>
        <w:autoSpaceDE/>
        <w:autoSpaceDN/>
        <w:adjustRightInd/>
        <w:spacing w:after="160" w:line="256" w:lineRule="auto"/>
        <w:jc w:val="center"/>
        <w:textAlignment w:val="auto"/>
        <w:rPr>
          <w:rFonts w:eastAsia="Calibri"/>
          <w:b/>
          <w:bCs/>
          <w:color w:val="auto"/>
          <w:sz w:val="24"/>
          <w:szCs w:val="24"/>
          <w:lang w:eastAsia="en-US"/>
        </w:rPr>
      </w:pPr>
    </w:p>
    <w:p w14:paraId="71D2B4A7" w14:textId="77777777" w:rsidR="00BE27F7" w:rsidRDefault="00BE27F7" w:rsidP="00BE27F7">
      <w:pPr>
        <w:overflowPunct/>
        <w:autoSpaceDE/>
        <w:autoSpaceDN/>
        <w:adjustRightInd/>
        <w:spacing w:after="160" w:line="256" w:lineRule="auto"/>
        <w:jc w:val="center"/>
        <w:textAlignment w:val="auto"/>
        <w:rPr>
          <w:rFonts w:eastAsia="Calibri"/>
          <w:b/>
          <w:bCs/>
          <w:color w:val="auto"/>
          <w:sz w:val="24"/>
          <w:szCs w:val="24"/>
          <w:lang w:eastAsia="en-US"/>
        </w:rPr>
      </w:pPr>
    </w:p>
    <w:p w14:paraId="56D6B784" w14:textId="77777777" w:rsidR="00BE27F7" w:rsidRDefault="00BE27F7" w:rsidP="00BE27F7">
      <w:pPr>
        <w:overflowPunct/>
        <w:autoSpaceDE/>
        <w:autoSpaceDN/>
        <w:adjustRightInd/>
        <w:spacing w:after="160" w:line="256" w:lineRule="auto"/>
        <w:jc w:val="center"/>
        <w:textAlignment w:val="auto"/>
        <w:rPr>
          <w:rFonts w:eastAsia="Calibri"/>
          <w:b/>
          <w:bCs/>
          <w:color w:val="auto"/>
          <w:sz w:val="24"/>
          <w:szCs w:val="24"/>
          <w:lang w:eastAsia="en-US"/>
        </w:rPr>
      </w:pPr>
    </w:p>
    <w:p w14:paraId="20D7459B" w14:textId="77777777" w:rsidR="00BE27F7" w:rsidRPr="00BE27F7" w:rsidRDefault="00BE27F7" w:rsidP="00BE27F7">
      <w:pPr>
        <w:overflowPunct/>
        <w:autoSpaceDE/>
        <w:autoSpaceDN/>
        <w:adjustRightInd/>
        <w:spacing w:after="160" w:line="256" w:lineRule="auto"/>
        <w:textAlignment w:val="auto"/>
        <w:rPr>
          <w:rFonts w:eastAsia="Calibri"/>
          <w:color w:val="auto"/>
          <w:sz w:val="24"/>
          <w:szCs w:val="24"/>
          <w:lang w:eastAsia="en-US"/>
        </w:rPr>
      </w:pPr>
    </w:p>
    <w:p w14:paraId="7D9620CC" w14:textId="77777777" w:rsidR="00BE27F7" w:rsidRPr="00BE27F7" w:rsidRDefault="00BE27F7" w:rsidP="00BE27F7">
      <w:pPr>
        <w:overflowPunct/>
        <w:autoSpaceDE/>
        <w:autoSpaceDN/>
        <w:adjustRightInd/>
        <w:spacing w:after="160" w:line="256" w:lineRule="auto"/>
        <w:textAlignment w:val="auto"/>
        <w:rPr>
          <w:rFonts w:eastAsia="Calibri"/>
          <w:color w:val="auto"/>
          <w:sz w:val="24"/>
          <w:szCs w:val="24"/>
          <w:u w:val="single"/>
          <w:lang w:eastAsia="en-US"/>
        </w:rPr>
      </w:pPr>
    </w:p>
    <w:p w14:paraId="7DF140BE" w14:textId="77777777" w:rsidR="00536FA9" w:rsidRPr="00BE27F7" w:rsidRDefault="00536FA9" w:rsidP="00340E9A">
      <w:pPr>
        <w:overflowPunct/>
        <w:autoSpaceDE/>
        <w:autoSpaceDN/>
        <w:adjustRightInd/>
        <w:ind w:right="237"/>
        <w:textAlignment w:val="auto"/>
        <w:rPr>
          <w:bCs/>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w:t>
      </w:r>
      <w:proofErr w:type="gramStart"/>
      <w:r>
        <w:rPr>
          <w:rStyle w:val="normaltextrun"/>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61E560F8"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proofErr w:type="spellStart"/>
      <w:r w:rsidR="00BE27F7" w:rsidRPr="00BE27F7">
        <w:rPr>
          <w:rStyle w:val="normaltextrun"/>
          <w:rFonts w:ascii="Brush Script MT" w:hAnsi="Brush Script MT" w:cs="Arial"/>
          <w:color w:val="000000"/>
          <w:sz w:val="40"/>
          <w:szCs w:val="40"/>
        </w:rPr>
        <w:t>C.</w:t>
      </w:r>
      <w:proofErr w:type="gramStart"/>
      <w:r w:rsidR="00BE27F7" w:rsidRPr="00BE27F7">
        <w:rPr>
          <w:rStyle w:val="normaltextrun"/>
          <w:rFonts w:ascii="Brush Script MT" w:hAnsi="Brush Script MT" w:cs="Arial"/>
          <w:color w:val="000000"/>
          <w:sz w:val="40"/>
          <w:szCs w:val="40"/>
        </w:rPr>
        <w:t>J.Coomer</w:t>
      </w:r>
      <w:proofErr w:type="spellEnd"/>
      <w:proofErr w:type="gramEnd"/>
      <w:r>
        <w:rPr>
          <w:rStyle w:val="normaltextrun"/>
          <w:rFonts w:ascii="Arial" w:hAnsi="Arial" w:cs="Arial"/>
          <w:color w:val="000000"/>
        </w:rPr>
        <w:t xml:space="preserve">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2AD7060F"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BE27F7">
        <w:rPr>
          <w:rStyle w:val="normaltextrun"/>
          <w:rFonts w:ascii="Arial" w:hAnsi="Arial" w:cs="Arial"/>
          <w:color w:val="000000"/>
        </w:rPr>
        <w:t>18</w:t>
      </w:r>
      <w:r w:rsidR="00BE27F7" w:rsidRPr="00BE27F7">
        <w:rPr>
          <w:rStyle w:val="normaltextrun"/>
          <w:rFonts w:ascii="Arial" w:hAnsi="Arial" w:cs="Arial"/>
          <w:color w:val="000000"/>
          <w:vertAlign w:val="superscript"/>
        </w:rPr>
        <w:t>th</w:t>
      </w:r>
      <w:r w:rsidR="00BE27F7">
        <w:rPr>
          <w:rStyle w:val="normaltextrun"/>
          <w:rFonts w:ascii="Arial" w:hAnsi="Arial" w:cs="Arial"/>
          <w:color w:val="000000"/>
        </w:rPr>
        <w:t xml:space="preserve"> July 2021</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04CA2108" w:rsidR="6A1ACC1F" w:rsidRDefault="6A1ACC1F" w:rsidP="00B459FC"/>
    <w:p w14:paraId="5961D0A6" w14:textId="188E589C" w:rsidR="004659AC" w:rsidRDefault="004659AC" w:rsidP="00B459FC"/>
    <w:p w14:paraId="08B65399" w14:textId="77777777" w:rsidR="004659AC" w:rsidRPr="00BE27F7" w:rsidRDefault="004659AC" w:rsidP="004659AC">
      <w:pPr>
        <w:overflowPunct/>
        <w:autoSpaceDE/>
        <w:autoSpaceDN/>
        <w:adjustRightInd/>
        <w:spacing w:after="160" w:line="256" w:lineRule="auto"/>
        <w:textAlignment w:val="auto"/>
        <w:rPr>
          <w:rFonts w:eastAsia="Calibri"/>
          <w:b/>
          <w:bCs/>
          <w:color w:val="auto"/>
          <w:sz w:val="24"/>
          <w:szCs w:val="24"/>
          <w:lang w:eastAsia="en-US"/>
        </w:rPr>
      </w:pPr>
      <w:bookmarkStart w:id="0" w:name="_GoBack"/>
      <w:bookmarkEnd w:id="0"/>
      <w:r w:rsidRPr="00BE27F7">
        <w:rPr>
          <w:rFonts w:eastAsia="Calibri"/>
          <w:b/>
          <w:bCs/>
          <w:color w:val="auto"/>
          <w:sz w:val="24"/>
          <w:szCs w:val="24"/>
          <w:lang w:eastAsia="en-US"/>
        </w:rPr>
        <w:t>Task 1</w:t>
      </w:r>
      <w:r>
        <w:rPr>
          <w:rFonts w:eastAsia="Calibri"/>
          <w:b/>
          <w:bCs/>
          <w:color w:val="auto"/>
          <w:sz w:val="24"/>
          <w:szCs w:val="24"/>
          <w:lang w:eastAsia="en-US"/>
        </w:rPr>
        <w:t>:</w:t>
      </w:r>
    </w:p>
    <w:p w14:paraId="55B1D4DF"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bookmarkStart w:id="1" w:name="_Hlk76444519"/>
      <w:r w:rsidRPr="00BE27F7">
        <w:rPr>
          <w:rFonts w:eastAsia="Calibri"/>
          <w:i/>
          <w:iCs/>
          <w:color w:val="auto"/>
          <w:sz w:val="24"/>
          <w:szCs w:val="24"/>
          <w:lang w:eastAsia="en-US"/>
        </w:rPr>
        <w:t>Code of Ethics (2014) A Code of Practice for the Principles and Standards of Professional Behaviour for the Policing Profession of England and Wales</w:t>
      </w:r>
      <w:r w:rsidRPr="00BE27F7">
        <w:rPr>
          <w:rFonts w:eastAsia="Calibri"/>
          <w:color w:val="auto"/>
          <w:sz w:val="24"/>
          <w:szCs w:val="24"/>
          <w:lang w:eastAsia="en-US"/>
        </w:rPr>
        <w:t xml:space="preserve">. </w:t>
      </w:r>
      <w:r w:rsidRPr="00BE27F7">
        <w:rPr>
          <w:rFonts w:eastAsia="Calibri"/>
          <w:color w:val="auto"/>
          <w:sz w:val="24"/>
          <w:szCs w:val="24"/>
          <w:u w:val="single"/>
          <w:lang w:eastAsia="en-US"/>
        </w:rPr>
        <w:t>Available at: https://www.college.police.uk/What-we-do/Ethics/Ethics-home/Documents/Code_of_Ethics.pdf</w:t>
      </w:r>
      <w:r w:rsidRPr="00BE27F7">
        <w:rPr>
          <w:rFonts w:eastAsia="Calibri"/>
          <w:color w:val="auto"/>
          <w:sz w:val="24"/>
          <w:szCs w:val="24"/>
          <w:lang w:eastAsia="en-US"/>
        </w:rPr>
        <w:t xml:space="preserve"> </w:t>
      </w:r>
      <w:bookmarkEnd w:id="1"/>
      <w:r w:rsidRPr="00BE27F7">
        <w:rPr>
          <w:rFonts w:eastAsia="Calibri"/>
          <w:color w:val="auto"/>
          <w:sz w:val="24"/>
          <w:szCs w:val="24"/>
          <w:lang w:eastAsia="en-US"/>
        </w:rPr>
        <w:t>(Accessed 30 May 2021).</w:t>
      </w:r>
    </w:p>
    <w:p w14:paraId="22404302"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Home Office (2020) </w:t>
      </w:r>
      <w:r w:rsidRPr="00BE27F7">
        <w:rPr>
          <w:rFonts w:eastAsia="Calibri"/>
          <w:i/>
          <w:iCs/>
          <w:color w:val="auto"/>
          <w:sz w:val="24"/>
          <w:szCs w:val="24"/>
          <w:lang w:eastAsia="en-US"/>
        </w:rPr>
        <w:t>Police workforce, England and Wales, as at 31 March 2020 second edition</w:t>
      </w:r>
      <w:r w:rsidRPr="00BE27F7">
        <w:rPr>
          <w:rFonts w:eastAsia="Calibri"/>
          <w:color w:val="auto"/>
          <w:sz w:val="24"/>
          <w:szCs w:val="24"/>
          <w:lang w:eastAsia="en-US"/>
        </w:rPr>
        <w:t xml:space="preserve">. Available at: </w:t>
      </w:r>
      <w:hyperlink r:id="rId20" w:history="1">
        <w:r w:rsidRPr="00BE27F7">
          <w:rPr>
            <w:rFonts w:eastAsia="Calibri"/>
            <w:color w:val="0000FF"/>
            <w:sz w:val="24"/>
            <w:szCs w:val="24"/>
            <w:u w:val="single"/>
            <w:lang w:eastAsia="en-US"/>
          </w:rPr>
          <w:t>Police workforce, England and Wales: 31 March 2020 second edition (publishing.service.gov.uk)</w:t>
        </w:r>
      </w:hyperlink>
      <w:r w:rsidRPr="00BE27F7">
        <w:rPr>
          <w:rFonts w:eastAsia="Calibri"/>
          <w:color w:val="auto"/>
          <w:sz w:val="24"/>
          <w:szCs w:val="24"/>
          <w:lang w:eastAsia="en-US"/>
        </w:rPr>
        <w:t xml:space="preserve"> (Accessed 25 May 2021).</w:t>
      </w:r>
    </w:p>
    <w:p w14:paraId="16576EF5"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National Police Chiefs Council and College of Policing (2020) </w:t>
      </w:r>
      <w:r w:rsidRPr="00BE27F7">
        <w:rPr>
          <w:rFonts w:eastAsia="Calibri"/>
          <w:i/>
          <w:iCs/>
          <w:color w:val="auto"/>
          <w:sz w:val="24"/>
          <w:szCs w:val="24"/>
          <w:lang w:eastAsia="en-US"/>
        </w:rPr>
        <w:t xml:space="preserve">Officer and Staff Safety Review. </w:t>
      </w:r>
      <w:r w:rsidRPr="00BE27F7">
        <w:rPr>
          <w:rFonts w:eastAsia="Calibri"/>
          <w:color w:val="auto"/>
          <w:sz w:val="24"/>
          <w:szCs w:val="24"/>
          <w:lang w:eastAsia="en-US"/>
        </w:rPr>
        <w:t xml:space="preserve">Available at: </w:t>
      </w:r>
      <w:hyperlink r:id="rId21" w:history="1">
        <w:r w:rsidRPr="00BE27F7">
          <w:rPr>
            <w:rFonts w:eastAsia="Calibri"/>
            <w:color w:val="0563C1" w:themeColor="hyperlink"/>
            <w:sz w:val="24"/>
            <w:szCs w:val="24"/>
            <w:u w:val="single"/>
            <w:lang w:eastAsia="en-US"/>
          </w:rPr>
          <w:t>https://www.polfed.org/westmids/media/3344/cop-npcc-officer-staff-safety-review.pdf</w:t>
        </w:r>
      </w:hyperlink>
      <w:r w:rsidRPr="00BE27F7">
        <w:rPr>
          <w:rFonts w:eastAsia="Calibri"/>
          <w:color w:val="auto"/>
          <w:sz w:val="24"/>
          <w:szCs w:val="24"/>
          <w:lang w:eastAsia="en-US"/>
        </w:rPr>
        <w:t xml:space="preserve"> (Accessed 25 May 2021).</w:t>
      </w:r>
    </w:p>
    <w:p w14:paraId="33486E91"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Police Federation of England and Wales (2017) </w:t>
      </w:r>
      <w:r w:rsidRPr="00BE27F7">
        <w:rPr>
          <w:rFonts w:eastAsia="Calibri"/>
          <w:i/>
          <w:iCs/>
          <w:color w:val="auto"/>
          <w:sz w:val="24"/>
          <w:szCs w:val="24"/>
          <w:lang w:eastAsia="en-US"/>
        </w:rPr>
        <w:t>Policy Document Single Crewing Version 3.</w:t>
      </w:r>
      <w:r w:rsidRPr="00BE27F7">
        <w:rPr>
          <w:rFonts w:eastAsia="Calibri"/>
          <w:color w:val="auto"/>
          <w:sz w:val="24"/>
          <w:szCs w:val="24"/>
          <w:lang w:eastAsia="en-US"/>
        </w:rPr>
        <w:t xml:space="preserve"> Available at: </w:t>
      </w:r>
      <w:hyperlink r:id="rId22" w:history="1">
        <w:r w:rsidRPr="00BE27F7">
          <w:rPr>
            <w:rFonts w:eastAsia="Calibri"/>
            <w:color w:val="0563C1" w:themeColor="hyperlink"/>
            <w:sz w:val="24"/>
            <w:szCs w:val="24"/>
            <w:u w:val="single"/>
            <w:lang w:eastAsia="en-US"/>
          </w:rPr>
          <w:t>https://www.polfed.org/media/13785/pfew_policy_-_single_crewing_-_may_2017_v3.pdf</w:t>
        </w:r>
      </w:hyperlink>
      <w:r w:rsidRPr="00BE27F7">
        <w:rPr>
          <w:rFonts w:eastAsia="Calibri"/>
          <w:color w:val="auto"/>
          <w:sz w:val="24"/>
          <w:szCs w:val="24"/>
          <w:lang w:eastAsia="en-US"/>
        </w:rPr>
        <w:t xml:space="preserve"> (Accessed 25 May 2021).</w:t>
      </w:r>
    </w:p>
    <w:p w14:paraId="7CC6880A"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Police Federation of England and Wales (2018) </w:t>
      </w:r>
      <w:r w:rsidRPr="00BE27F7">
        <w:rPr>
          <w:rFonts w:eastAsia="Calibri"/>
          <w:i/>
          <w:iCs/>
          <w:color w:val="auto"/>
          <w:sz w:val="24"/>
          <w:szCs w:val="24"/>
          <w:lang w:eastAsia="en-US"/>
        </w:rPr>
        <w:t xml:space="preserve">PFEW Demand, Capacity and Welfare Survey 2018 Headline Statistics December 2018. </w:t>
      </w:r>
      <w:r w:rsidRPr="00BE27F7">
        <w:rPr>
          <w:rFonts w:eastAsia="Calibri"/>
          <w:color w:val="auto"/>
          <w:sz w:val="24"/>
          <w:szCs w:val="24"/>
          <w:lang w:eastAsia="en-US"/>
        </w:rPr>
        <w:t xml:space="preserve">Available at: </w:t>
      </w:r>
      <w:hyperlink r:id="rId23" w:history="1">
        <w:r w:rsidRPr="00BE27F7">
          <w:rPr>
            <w:rFonts w:eastAsia="Calibri"/>
            <w:color w:val="0563C1" w:themeColor="hyperlink"/>
            <w:sz w:val="24"/>
            <w:szCs w:val="24"/>
            <w:u w:val="single"/>
            <w:lang w:eastAsia="en-US"/>
          </w:rPr>
          <w:t>https://www.polfed.org/media/15355/demandcapacityandwelfaresurveyheadlinestatistics2018-06-02-19-v1.pdf</w:t>
        </w:r>
      </w:hyperlink>
      <w:r w:rsidRPr="00BE27F7">
        <w:rPr>
          <w:rFonts w:eastAsia="Calibri"/>
          <w:color w:val="auto"/>
          <w:sz w:val="24"/>
          <w:szCs w:val="24"/>
          <w:lang w:eastAsia="en-US"/>
        </w:rPr>
        <w:t xml:space="preserve"> (Accessed 25 May 2021).</w:t>
      </w:r>
    </w:p>
    <w:p w14:paraId="675DDFE4"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Police Federation of England and Wales (2019) </w:t>
      </w:r>
      <w:r w:rsidRPr="00BE27F7">
        <w:rPr>
          <w:rFonts w:eastAsia="Calibri"/>
          <w:i/>
          <w:iCs/>
          <w:color w:val="auto"/>
          <w:sz w:val="24"/>
          <w:szCs w:val="24"/>
          <w:lang w:eastAsia="en-US"/>
        </w:rPr>
        <w:t xml:space="preserve">Government must face facts - extreme stress in policing is real. </w:t>
      </w:r>
      <w:r w:rsidRPr="00BE27F7">
        <w:rPr>
          <w:rFonts w:eastAsia="Calibri"/>
          <w:color w:val="auto"/>
          <w:sz w:val="24"/>
          <w:szCs w:val="24"/>
          <w:lang w:eastAsia="en-US"/>
        </w:rPr>
        <w:t xml:space="preserve">Available at: </w:t>
      </w:r>
      <w:hyperlink r:id="rId24" w:history="1">
        <w:r w:rsidRPr="00BE27F7">
          <w:rPr>
            <w:rFonts w:eastAsia="Calibri"/>
            <w:color w:val="0563C1" w:themeColor="hyperlink"/>
            <w:sz w:val="24"/>
            <w:szCs w:val="24"/>
            <w:u w:val="single"/>
            <w:lang w:eastAsia="en-US"/>
          </w:rPr>
          <w:t>https://www.polfed.org/news/latest-news/2019/government-must-face-facts-extreme-stress-in-policing-is-real/</w:t>
        </w:r>
      </w:hyperlink>
      <w:r w:rsidRPr="00BE27F7">
        <w:rPr>
          <w:rFonts w:eastAsia="Calibri"/>
          <w:color w:val="auto"/>
          <w:sz w:val="24"/>
          <w:szCs w:val="24"/>
          <w:lang w:eastAsia="en-US"/>
        </w:rPr>
        <w:t xml:space="preserve"> (Accessed 27 May 2021).</w:t>
      </w:r>
    </w:p>
    <w:p w14:paraId="17631C33"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Police Federation of England and Wales (2020) </w:t>
      </w:r>
      <w:r w:rsidRPr="00BE27F7">
        <w:rPr>
          <w:rFonts w:eastAsia="Calibri"/>
          <w:i/>
          <w:iCs/>
          <w:color w:val="auto"/>
          <w:sz w:val="24"/>
          <w:szCs w:val="24"/>
          <w:lang w:eastAsia="en-US"/>
        </w:rPr>
        <w:t xml:space="preserve">Demand Capacity &amp; Welfare Survey 2020 Headline report: PRRB January 2021 </w:t>
      </w:r>
      <w:r w:rsidRPr="00BE27F7">
        <w:rPr>
          <w:rFonts w:eastAsia="Calibri"/>
          <w:color w:val="auto"/>
          <w:sz w:val="24"/>
          <w:szCs w:val="24"/>
          <w:lang w:eastAsia="en-US"/>
        </w:rPr>
        <w:t xml:space="preserve">Available at: </w:t>
      </w:r>
      <w:hyperlink r:id="rId25" w:history="1">
        <w:r w:rsidRPr="00BE27F7">
          <w:rPr>
            <w:rFonts w:eastAsia="Calibri"/>
            <w:color w:val="0563C1" w:themeColor="hyperlink"/>
            <w:sz w:val="24"/>
            <w:szCs w:val="24"/>
            <w:u w:val="single"/>
            <w:lang w:eastAsia="en-US"/>
          </w:rPr>
          <w:t>https://www.polfed.org/media/16557/dcw_prrb-report-13-01-2021-v20.pdf</w:t>
        </w:r>
      </w:hyperlink>
      <w:r w:rsidRPr="00BE27F7">
        <w:rPr>
          <w:rFonts w:eastAsia="Calibri"/>
          <w:color w:val="auto"/>
          <w:sz w:val="24"/>
          <w:szCs w:val="24"/>
          <w:lang w:eastAsia="en-US"/>
        </w:rPr>
        <w:t xml:space="preserve"> (Accessed 30 May 2021).</w:t>
      </w:r>
    </w:p>
    <w:p w14:paraId="503D995B"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p>
    <w:p w14:paraId="6631272D" w14:textId="77777777" w:rsidR="004659AC" w:rsidRPr="00BE27F7" w:rsidRDefault="004659AC" w:rsidP="004659AC">
      <w:pPr>
        <w:overflowPunct/>
        <w:autoSpaceDE/>
        <w:autoSpaceDN/>
        <w:adjustRightInd/>
        <w:spacing w:after="160" w:line="256" w:lineRule="auto"/>
        <w:textAlignment w:val="auto"/>
        <w:rPr>
          <w:rFonts w:eastAsia="Calibri"/>
          <w:b/>
          <w:bCs/>
          <w:color w:val="auto"/>
          <w:sz w:val="24"/>
          <w:szCs w:val="24"/>
          <w:lang w:eastAsia="en-US"/>
        </w:rPr>
      </w:pPr>
      <w:r w:rsidRPr="00BE27F7">
        <w:rPr>
          <w:rFonts w:eastAsia="Calibri"/>
          <w:b/>
          <w:bCs/>
          <w:color w:val="auto"/>
          <w:sz w:val="24"/>
          <w:szCs w:val="24"/>
          <w:lang w:eastAsia="en-US"/>
        </w:rPr>
        <w:t>Task 2</w:t>
      </w:r>
      <w:r>
        <w:rPr>
          <w:rFonts w:eastAsia="Calibri"/>
          <w:b/>
          <w:bCs/>
          <w:color w:val="auto"/>
          <w:sz w:val="24"/>
          <w:szCs w:val="24"/>
          <w:lang w:eastAsia="en-US"/>
        </w:rPr>
        <w:t>:</w:t>
      </w:r>
    </w:p>
    <w:p w14:paraId="06B8D180"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bookmarkStart w:id="2" w:name="_Hlk77306578"/>
      <w:r w:rsidRPr="00BE27F7">
        <w:rPr>
          <w:rFonts w:eastAsia="Calibri"/>
          <w:color w:val="auto"/>
          <w:sz w:val="24"/>
          <w:szCs w:val="24"/>
          <w:lang w:eastAsia="en-US"/>
        </w:rPr>
        <w:t xml:space="preserve">Code of Ethics (2014) </w:t>
      </w:r>
      <w:r w:rsidRPr="00BE27F7">
        <w:rPr>
          <w:rFonts w:eastAsia="Calibri"/>
          <w:i/>
          <w:iCs/>
          <w:color w:val="auto"/>
          <w:sz w:val="24"/>
          <w:szCs w:val="24"/>
          <w:lang w:eastAsia="en-US"/>
        </w:rPr>
        <w:t>A Code of Practice for the Principles and Standards of Professional Behaviour for the Policing Profession of England and Wales</w:t>
      </w:r>
      <w:r w:rsidRPr="00BE27F7">
        <w:rPr>
          <w:rFonts w:eastAsia="Calibri"/>
          <w:color w:val="auto"/>
          <w:sz w:val="24"/>
          <w:szCs w:val="24"/>
          <w:lang w:eastAsia="en-US"/>
        </w:rPr>
        <w:t xml:space="preserve">. Available at: </w:t>
      </w:r>
      <w:hyperlink r:id="rId26" w:history="1">
        <w:r w:rsidRPr="00BE27F7">
          <w:rPr>
            <w:rFonts w:eastAsia="Calibri"/>
            <w:color w:val="0563C1" w:themeColor="hyperlink"/>
            <w:sz w:val="24"/>
            <w:szCs w:val="24"/>
            <w:u w:val="single"/>
            <w:lang w:eastAsia="en-US"/>
          </w:rPr>
          <w:t>https://www.college.police.uk/What-we-do/Ethics/Ethics-home/Documents/Code_of_Ethics.pdf</w:t>
        </w:r>
      </w:hyperlink>
      <w:bookmarkEnd w:id="2"/>
      <w:r w:rsidRPr="00BE27F7">
        <w:rPr>
          <w:rFonts w:eastAsia="Calibri"/>
          <w:color w:val="auto"/>
          <w:sz w:val="24"/>
          <w:szCs w:val="24"/>
          <w:lang w:eastAsia="en-US"/>
        </w:rPr>
        <w:t xml:space="preserve"> (Accessed 1 July 2021).</w:t>
      </w:r>
    </w:p>
    <w:p w14:paraId="7B49E168"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lastRenderedPageBreak/>
        <w:t xml:space="preserve">College of Policing (2016) </w:t>
      </w:r>
      <w:r w:rsidRPr="00BE27F7">
        <w:rPr>
          <w:rFonts w:eastAsia="Calibri"/>
          <w:i/>
          <w:iCs/>
          <w:color w:val="auto"/>
          <w:sz w:val="24"/>
          <w:szCs w:val="24"/>
          <w:lang w:eastAsia="en-US"/>
        </w:rPr>
        <w:t>Major investigation and public protection First response.</w:t>
      </w:r>
      <w:r w:rsidRPr="00BE27F7">
        <w:rPr>
          <w:rFonts w:eastAsia="Calibri"/>
          <w:color w:val="auto"/>
          <w:sz w:val="24"/>
          <w:szCs w:val="24"/>
          <w:lang w:eastAsia="en-US"/>
        </w:rPr>
        <w:t xml:space="preserve"> Available at: </w:t>
      </w:r>
      <w:hyperlink r:id="rId27" w:history="1">
        <w:r w:rsidRPr="00BE27F7">
          <w:rPr>
            <w:rFonts w:eastAsia="Calibri"/>
            <w:color w:val="0563C1" w:themeColor="hyperlink"/>
            <w:sz w:val="24"/>
            <w:szCs w:val="24"/>
            <w:u w:val="single"/>
            <w:lang w:eastAsia="en-US"/>
          </w:rPr>
          <w:t>https://www.app.college.police.uk/app-content/major-investigation-and-public-protection/domestic-abuse/first-response/</w:t>
        </w:r>
      </w:hyperlink>
      <w:r w:rsidRPr="00BE27F7">
        <w:rPr>
          <w:rFonts w:eastAsia="Calibri"/>
          <w:color w:val="auto"/>
          <w:sz w:val="24"/>
          <w:szCs w:val="24"/>
          <w:lang w:eastAsia="en-US"/>
        </w:rPr>
        <w:t xml:space="preserve"> (Accessed 2 July 2021).</w:t>
      </w:r>
    </w:p>
    <w:p w14:paraId="5C593EAD"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i/>
          <w:iCs/>
          <w:color w:val="auto"/>
          <w:sz w:val="24"/>
          <w:szCs w:val="24"/>
          <w:lang w:eastAsia="en-US"/>
        </w:rPr>
        <w:t xml:space="preserve">Criminal Damage Act 1971, C.48. </w:t>
      </w:r>
      <w:r w:rsidRPr="00BE27F7">
        <w:rPr>
          <w:rFonts w:eastAsia="Calibri"/>
          <w:color w:val="auto"/>
          <w:sz w:val="24"/>
          <w:szCs w:val="24"/>
          <w:lang w:eastAsia="en-US"/>
        </w:rPr>
        <w:t xml:space="preserve">Available at: </w:t>
      </w:r>
      <w:hyperlink r:id="rId28" w:history="1">
        <w:r w:rsidRPr="00BE27F7">
          <w:rPr>
            <w:rFonts w:eastAsia="Calibri"/>
            <w:color w:val="0563C1" w:themeColor="hyperlink"/>
            <w:sz w:val="24"/>
            <w:szCs w:val="24"/>
            <w:u w:val="single"/>
            <w:lang w:eastAsia="en-US"/>
          </w:rPr>
          <w:t>https://www.legislation.gov.uk/ukpga/1971/48/section/1</w:t>
        </w:r>
      </w:hyperlink>
      <w:r w:rsidRPr="00BE27F7">
        <w:rPr>
          <w:rFonts w:eastAsia="Calibri"/>
          <w:color w:val="auto"/>
          <w:sz w:val="24"/>
          <w:szCs w:val="24"/>
          <w:lang w:eastAsia="en-US"/>
        </w:rPr>
        <w:t xml:space="preserve"> (Accessed 1 July 2021).</w:t>
      </w:r>
    </w:p>
    <w:p w14:paraId="66C66244"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Gwent Police (2021) </w:t>
      </w:r>
      <w:r w:rsidRPr="00BE27F7">
        <w:rPr>
          <w:rFonts w:eastAsia="Calibri"/>
          <w:i/>
          <w:iCs/>
          <w:color w:val="auto"/>
          <w:sz w:val="24"/>
          <w:szCs w:val="24"/>
          <w:lang w:eastAsia="en-US"/>
        </w:rPr>
        <w:t xml:space="preserve">New Community Remedy Roll Outs. </w:t>
      </w:r>
      <w:r w:rsidRPr="00BE27F7">
        <w:rPr>
          <w:rFonts w:eastAsia="Calibri"/>
          <w:color w:val="auto"/>
          <w:sz w:val="24"/>
          <w:szCs w:val="24"/>
          <w:lang w:eastAsia="en-US"/>
        </w:rPr>
        <w:t xml:space="preserve">Available at: </w:t>
      </w:r>
      <w:hyperlink r:id="rId29" w:history="1">
        <w:r w:rsidRPr="00BE27F7">
          <w:rPr>
            <w:rFonts w:eastAsia="Calibri"/>
            <w:color w:val="0563C1" w:themeColor="hyperlink"/>
            <w:sz w:val="24"/>
            <w:szCs w:val="24"/>
            <w:u w:val="single"/>
            <w:lang w:eastAsia="en-US"/>
          </w:rPr>
          <w:t>https://www.gwent.pcc.police.uk/en/news-room/new-community-remedy-rolls-out/</w:t>
        </w:r>
      </w:hyperlink>
      <w:r w:rsidRPr="00BE27F7">
        <w:rPr>
          <w:rFonts w:eastAsia="Calibri"/>
          <w:color w:val="auto"/>
          <w:sz w:val="24"/>
          <w:szCs w:val="24"/>
          <w:lang w:eastAsia="en-US"/>
        </w:rPr>
        <w:t xml:space="preserve"> (Accessed 2 July 2021).</w:t>
      </w:r>
    </w:p>
    <w:p w14:paraId="63B4A85D"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HMIC (2015a) </w:t>
      </w:r>
      <w:r w:rsidRPr="00BE27F7">
        <w:rPr>
          <w:rFonts w:eastAsia="Calibri"/>
          <w:i/>
          <w:iCs/>
          <w:color w:val="auto"/>
          <w:sz w:val="24"/>
          <w:szCs w:val="24"/>
          <w:lang w:eastAsia="en-US"/>
        </w:rPr>
        <w:t xml:space="preserve">PEEL: Police effectiveness 2015 (Vulnerability) An inspection of South Wales Police. </w:t>
      </w:r>
      <w:r w:rsidRPr="00BE27F7">
        <w:rPr>
          <w:rFonts w:eastAsia="Calibri"/>
          <w:color w:val="auto"/>
          <w:sz w:val="24"/>
          <w:szCs w:val="24"/>
          <w:lang w:eastAsia="en-US"/>
        </w:rPr>
        <w:t xml:space="preserve">Available at: </w:t>
      </w:r>
      <w:hyperlink r:id="rId30" w:anchor=":~:text=Officers%20who%20attend%20incidents%20complete%20a%20public%20protection,completed%20on%20every%20occasion%20by%20the%20responding%20officer" w:history="1">
        <w:r w:rsidRPr="00BE27F7">
          <w:rPr>
            <w:rFonts w:eastAsia="Calibri"/>
            <w:color w:val="0563C1" w:themeColor="hyperlink"/>
            <w:sz w:val="24"/>
            <w:szCs w:val="24"/>
            <w:u w:val="single"/>
            <w:lang w:eastAsia="en-US"/>
          </w:rPr>
          <w:t>https://www.justiceinspectorates.gov.uk/hmicfrs/wp-content/uploads/police-effectiveness-vulnerability-2015-south-wales.pdf#:~:text=Officers%20who%20attend%20incidents%20complete%20a%20public%20protection,completed%20on%20every%20occasion%20by%20the%20responding%20officer</w:t>
        </w:r>
      </w:hyperlink>
      <w:r w:rsidRPr="00BE27F7">
        <w:rPr>
          <w:rFonts w:eastAsia="Calibri"/>
          <w:color w:val="auto"/>
          <w:sz w:val="24"/>
          <w:szCs w:val="24"/>
          <w:lang w:eastAsia="en-US"/>
        </w:rPr>
        <w:t>. (Accessed 1 July 2021).</w:t>
      </w:r>
    </w:p>
    <w:p w14:paraId="24ABD393"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HMIC (2015b) </w:t>
      </w:r>
      <w:r w:rsidRPr="00BE27F7">
        <w:rPr>
          <w:rFonts w:eastAsia="Calibri"/>
          <w:i/>
          <w:iCs/>
          <w:color w:val="auto"/>
          <w:sz w:val="24"/>
          <w:szCs w:val="24"/>
          <w:lang w:eastAsia="en-US"/>
        </w:rPr>
        <w:t xml:space="preserve">PEEL: Police effectiveness 2015 (Vulnerability) An inspection of Gwent </w:t>
      </w:r>
      <w:proofErr w:type="gramStart"/>
      <w:r w:rsidRPr="00BE27F7">
        <w:rPr>
          <w:rFonts w:eastAsia="Calibri"/>
          <w:i/>
          <w:iCs/>
          <w:color w:val="auto"/>
          <w:sz w:val="24"/>
          <w:szCs w:val="24"/>
          <w:lang w:eastAsia="en-US"/>
        </w:rPr>
        <w:t>Police..</w:t>
      </w:r>
      <w:proofErr w:type="gramEnd"/>
      <w:r w:rsidRPr="00BE27F7">
        <w:rPr>
          <w:rFonts w:eastAsia="Calibri"/>
          <w:color w:val="auto"/>
          <w:sz w:val="24"/>
          <w:szCs w:val="24"/>
          <w:lang w:eastAsia="en-US"/>
        </w:rPr>
        <w:t xml:space="preserve"> Available at: </w:t>
      </w:r>
      <w:hyperlink r:id="rId31" w:history="1">
        <w:r w:rsidRPr="00BE27F7">
          <w:rPr>
            <w:rFonts w:eastAsia="Calibri"/>
            <w:color w:val="0563C1" w:themeColor="hyperlink"/>
            <w:sz w:val="24"/>
            <w:szCs w:val="24"/>
            <w:u w:val="single"/>
            <w:lang w:eastAsia="en-US"/>
          </w:rPr>
          <w:t>https://www.justiceinspectorates.gov.uk/hmicfrs/wp-content/uploads/police-effectiveness-vulnerability-2015-gwent.pdf</w:t>
        </w:r>
      </w:hyperlink>
      <w:r w:rsidRPr="00BE27F7">
        <w:rPr>
          <w:rFonts w:eastAsia="Calibri"/>
          <w:color w:val="auto"/>
          <w:sz w:val="24"/>
          <w:szCs w:val="24"/>
          <w:lang w:eastAsia="en-US"/>
        </w:rPr>
        <w:t xml:space="preserve"> (Accessed 1 July 2021).</w:t>
      </w:r>
    </w:p>
    <w:p w14:paraId="6EE0756F"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Home Office (2019) </w:t>
      </w:r>
      <w:r w:rsidRPr="00BE27F7">
        <w:rPr>
          <w:rFonts w:eastAsia="Calibri"/>
          <w:i/>
          <w:iCs/>
          <w:color w:val="auto"/>
          <w:sz w:val="24"/>
          <w:szCs w:val="24"/>
          <w:lang w:eastAsia="en-US"/>
        </w:rPr>
        <w:t xml:space="preserve">Identifying people at risk (enforcement) Version 2.0 </w:t>
      </w:r>
      <w:r w:rsidRPr="00BE27F7">
        <w:rPr>
          <w:rFonts w:eastAsia="Calibri"/>
          <w:color w:val="auto"/>
          <w:sz w:val="24"/>
          <w:szCs w:val="24"/>
          <w:lang w:eastAsia="en-US"/>
        </w:rPr>
        <w:t xml:space="preserve">Available at: </w:t>
      </w:r>
      <w:hyperlink r:id="rId32" w:history="1">
        <w:r w:rsidRPr="00BE27F7">
          <w:rPr>
            <w:rFonts w:eastAsia="Calibri"/>
            <w:color w:val="0563C1" w:themeColor="hyperlink"/>
            <w:sz w:val="24"/>
            <w:szCs w:val="24"/>
            <w:u w:val="single"/>
            <w:lang w:eastAsia="en-US"/>
          </w:rPr>
          <w:t>https://assets.publishing.service.gov.uk/government/uploads/system/uploads/attachment_data/file/866071/identifying-people-at-risk-_enforcement_-v2.0_ext.pdf</w:t>
        </w:r>
      </w:hyperlink>
      <w:r w:rsidRPr="00BE27F7">
        <w:rPr>
          <w:rFonts w:eastAsia="Calibri"/>
          <w:color w:val="auto"/>
          <w:sz w:val="24"/>
          <w:szCs w:val="24"/>
          <w:lang w:eastAsia="en-US"/>
        </w:rPr>
        <w:t xml:space="preserve"> (Accessed 1 July 2021).</w:t>
      </w:r>
    </w:p>
    <w:p w14:paraId="340604A8"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i/>
          <w:iCs/>
          <w:color w:val="auto"/>
          <w:sz w:val="24"/>
          <w:szCs w:val="24"/>
          <w:lang w:eastAsia="en-US"/>
        </w:rPr>
        <w:t>Mental health Act 1983, c.20.</w:t>
      </w:r>
      <w:r w:rsidRPr="00BE27F7">
        <w:rPr>
          <w:rFonts w:eastAsia="Calibri"/>
          <w:color w:val="auto"/>
          <w:sz w:val="24"/>
          <w:szCs w:val="24"/>
          <w:lang w:eastAsia="en-US"/>
        </w:rPr>
        <w:t xml:space="preserve"> Available at: </w:t>
      </w:r>
      <w:hyperlink r:id="rId33" w:history="1">
        <w:r w:rsidRPr="00BE27F7">
          <w:rPr>
            <w:rFonts w:eastAsia="Calibri"/>
            <w:color w:val="0563C1" w:themeColor="hyperlink"/>
            <w:sz w:val="24"/>
            <w:szCs w:val="24"/>
            <w:u w:val="single"/>
            <w:lang w:eastAsia="en-US"/>
          </w:rPr>
          <w:t>https://www.legislation.gov.uk/ukpga/1983/20/section/136</w:t>
        </w:r>
      </w:hyperlink>
      <w:r w:rsidRPr="00BE27F7">
        <w:rPr>
          <w:rFonts w:eastAsia="Calibri"/>
          <w:color w:val="auto"/>
          <w:sz w:val="24"/>
          <w:szCs w:val="24"/>
          <w:u w:val="single"/>
          <w:lang w:eastAsia="en-US"/>
        </w:rPr>
        <w:t xml:space="preserve"> </w:t>
      </w:r>
      <w:r w:rsidRPr="00BE27F7">
        <w:rPr>
          <w:rFonts w:eastAsia="Calibri"/>
          <w:color w:val="auto"/>
          <w:sz w:val="24"/>
          <w:szCs w:val="24"/>
          <w:lang w:eastAsia="en-US"/>
        </w:rPr>
        <w:t>(Accessed 2 July 2021).</w:t>
      </w:r>
    </w:p>
    <w:p w14:paraId="65ED7912"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i/>
          <w:iCs/>
          <w:color w:val="auto"/>
          <w:sz w:val="24"/>
          <w:szCs w:val="24"/>
          <w:lang w:eastAsia="en-US"/>
        </w:rPr>
        <w:t xml:space="preserve">Mental Health Act 2005, c.9. </w:t>
      </w:r>
      <w:r w:rsidRPr="00BE27F7">
        <w:rPr>
          <w:rFonts w:eastAsia="Calibri"/>
          <w:color w:val="auto"/>
          <w:sz w:val="24"/>
          <w:szCs w:val="24"/>
          <w:lang w:eastAsia="en-US"/>
        </w:rPr>
        <w:t xml:space="preserve">Available at: </w:t>
      </w:r>
      <w:hyperlink r:id="rId34" w:history="1">
        <w:r w:rsidRPr="00BE27F7">
          <w:rPr>
            <w:rFonts w:eastAsia="Calibri"/>
            <w:color w:val="0563C1" w:themeColor="hyperlink"/>
            <w:sz w:val="24"/>
            <w:szCs w:val="24"/>
            <w:u w:val="single"/>
            <w:lang w:eastAsia="en-US"/>
          </w:rPr>
          <w:t>https://www.legislation.gov.uk/ukpga/ 2005/9/section/3</w:t>
        </w:r>
      </w:hyperlink>
      <w:r w:rsidRPr="00BE27F7">
        <w:rPr>
          <w:rFonts w:eastAsia="Calibri"/>
          <w:color w:val="auto"/>
          <w:sz w:val="24"/>
          <w:szCs w:val="24"/>
          <w:lang w:eastAsia="en-US"/>
        </w:rPr>
        <w:t xml:space="preserve"> (Accessed 1 July 2021).</w:t>
      </w:r>
    </w:p>
    <w:p w14:paraId="624A91C9"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NHS (2021) </w:t>
      </w:r>
      <w:r w:rsidRPr="00BE27F7">
        <w:rPr>
          <w:rFonts w:eastAsia="Calibri"/>
          <w:i/>
          <w:iCs/>
          <w:color w:val="auto"/>
          <w:sz w:val="24"/>
          <w:szCs w:val="24"/>
          <w:lang w:eastAsia="en-US"/>
        </w:rPr>
        <w:t>Overview-Huntington's disease.</w:t>
      </w:r>
      <w:r w:rsidRPr="00BE27F7">
        <w:rPr>
          <w:rFonts w:eastAsia="Calibri"/>
          <w:color w:val="auto"/>
          <w:sz w:val="24"/>
          <w:szCs w:val="24"/>
          <w:lang w:eastAsia="en-US"/>
        </w:rPr>
        <w:t xml:space="preserve"> Available at:</w:t>
      </w:r>
      <w:r w:rsidRPr="00BE27F7">
        <w:rPr>
          <w:rFonts w:eastAsia="Calibri"/>
          <w:color w:val="auto"/>
          <w:sz w:val="24"/>
          <w:szCs w:val="24"/>
          <w:u w:val="single"/>
          <w:lang w:eastAsia="en-US"/>
        </w:rPr>
        <w:t xml:space="preserve"> </w:t>
      </w:r>
      <w:hyperlink r:id="rId35" w:history="1">
        <w:r w:rsidRPr="00BE27F7">
          <w:rPr>
            <w:rFonts w:eastAsia="Calibri"/>
            <w:color w:val="0563C1" w:themeColor="hyperlink"/>
            <w:sz w:val="24"/>
            <w:szCs w:val="24"/>
            <w:u w:val="single"/>
            <w:lang w:eastAsia="en-US"/>
          </w:rPr>
          <w:t>https://www.nhs.uk/conditions/huntingtons-disease/</w:t>
        </w:r>
      </w:hyperlink>
      <w:r w:rsidRPr="00BE27F7">
        <w:rPr>
          <w:rFonts w:eastAsia="Calibri"/>
          <w:color w:val="auto"/>
          <w:sz w:val="24"/>
          <w:szCs w:val="24"/>
          <w:lang w:eastAsia="en-US"/>
        </w:rPr>
        <w:t xml:space="preserve"> (Accessed 2 July 2021).</w:t>
      </w:r>
    </w:p>
    <w:p w14:paraId="61C7BB96"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i/>
          <w:iCs/>
          <w:color w:val="auto"/>
          <w:sz w:val="24"/>
          <w:szCs w:val="24"/>
          <w:lang w:eastAsia="en-US"/>
        </w:rPr>
        <w:t xml:space="preserve">Police and Criminal Evidence Act 1984, c.60.  </w:t>
      </w:r>
      <w:r w:rsidRPr="00BE27F7">
        <w:rPr>
          <w:rFonts w:eastAsia="Calibri"/>
          <w:color w:val="auto"/>
          <w:sz w:val="24"/>
          <w:szCs w:val="24"/>
          <w:lang w:eastAsia="en-US"/>
        </w:rPr>
        <w:t xml:space="preserve">Available at: </w:t>
      </w:r>
      <w:hyperlink r:id="rId36" w:history="1">
        <w:r w:rsidRPr="00BE27F7">
          <w:rPr>
            <w:rFonts w:eastAsia="Calibri"/>
            <w:color w:val="0563C1" w:themeColor="hyperlink"/>
            <w:sz w:val="24"/>
            <w:szCs w:val="24"/>
            <w:u w:val="single"/>
            <w:lang w:eastAsia="en-US"/>
          </w:rPr>
          <w:t>https://www.legislation.gov.uk/ukpga/1984/60/section/24</w:t>
        </w:r>
      </w:hyperlink>
      <w:r w:rsidRPr="00BE27F7">
        <w:rPr>
          <w:rFonts w:eastAsia="Calibri"/>
          <w:color w:val="auto"/>
          <w:sz w:val="24"/>
          <w:szCs w:val="24"/>
          <w:lang w:eastAsia="en-US"/>
        </w:rPr>
        <w:t xml:space="preserve"> (Accessed 1 July 2021).</w:t>
      </w:r>
    </w:p>
    <w:p w14:paraId="46745517"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p>
    <w:p w14:paraId="77F126E6" w14:textId="77777777" w:rsidR="004659AC" w:rsidRPr="00BE27F7" w:rsidRDefault="004659AC" w:rsidP="004659AC">
      <w:pPr>
        <w:overflowPunct/>
        <w:autoSpaceDE/>
        <w:autoSpaceDN/>
        <w:adjustRightInd/>
        <w:spacing w:after="160" w:line="256" w:lineRule="auto"/>
        <w:textAlignment w:val="auto"/>
        <w:rPr>
          <w:rFonts w:eastAsia="Calibri"/>
          <w:b/>
          <w:bCs/>
          <w:color w:val="auto"/>
          <w:sz w:val="24"/>
          <w:szCs w:val="24"/>
          <w:lang w:eastAsia="en-US"/>
        </w:rPr>
      </w:pPr>
      <w:r w:rsidRPr="00BE27F7">
        <w:rPr>
          <w:rFonts w:eastAsia="Calibri"/>
          <w:b/>
          <w:bCs/>
          <w:color w:val="auto"/>
          <w:sz w:val="24"/>
          <w:szCs w:val="24"/>
          <w:lang w:eastAsia="en-US"/>
        </w:rPr>
        <w:t>Task 3:</w:t>
      </w:r>
    </w:p>
    <w:p w14:paraId="796E33B2"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proofErr w:type="spellStart"/>
      <w:r w:rsidRPr="00BE27F7">
        <w:rPr>
          <w:rFonts w:eastAsia="Calibri"/>
          <w:color w:val="auto"/>
          <w:sz w:val="24"/>
          <w:szCs w:val="24"/>
          <w:lang w:eastAsia="en-US"/>
        </w:rPr>
        <w:t>Aritzeta</w:t>
      </w:r>
      <w:proofErr w:type="spellEnd"/>
      <w:r w:rsidRPr="00BE27F7">
        <w:rPr>
          <w:rFonts w:eastAsia="Calibri"/>
          <w:color w:val="auto"/>
          <w:sz w:val="24"/>
          <w:szCs w:val="24"/>
          <w:lang w:eastAsia="en-US"/>
        </w:rPr>
        <w:t xml:space="preserve">, A. </w:t>
      </w:r>
      <w:proofErr w:type="spellStart"/>
      <w:r w:rsidRPr="00BE27F7">
        <w:rPr>
          <w:rFonts w:eastAsia="Calibri"/>
          <w:color w:val="auto"/>
          <w:sz w:val="24"/>
          <w:szCs w:val="24"/>
          <w:lang w:eastAsia="en-US"/>
        </w:rPr>
        <w:t>Swailes</w:t>
      </w:r>
      <w:proofErr w:type="spellEnd"/>
      <w:r w:rsidRPr="00BE27F7">
        <w:rPr>
          <w:rFonts w:eastAsia="Calibri"/>
          <w:color w:val="auto"/>
          <w:sz w:val="24"/>
          <w:szCs w:val="24"/>
          <w:lang w:eastAsia="en-US"/>
        </w:rPr>
        <w:t xml:space="preserve">, S. Senior, B. (2007) ‘Belbin's Team Role Model: Development, Validity and Applications for Team Building’, </w:t>
      </w:r>
      <w:r w:rsidRPr="00BE27F7">
        <w:rPr>
          <w:rFonts w:eastAsia="Calibri"/>
          <w:i/>
          <w:iCs/>
          <w:color w:val="auto"/>
          <w:sz w:val="24"/>
          <w:szCs w:val="24"/>
          <w:lang w:eastAsia="en-US"/>
        </w:rPr>
        <w:t xml:space="preserve">Journal of Management Studies, </w:t>
      </w:r>
      <w:r w:rsidRPr="00BE27F7">
        <w:rPr>
          <w:rFonts w:eastAsia="Calibri"/>
          <w:color w:val="auto"/>
          <w:sz w:val="24"/>
          <w:szCs w:val="24"/>
          <w:lang w:eastAsia="en-US"/>
        </w:rPr>
        <w:t xml:space="preserve">44(1), pp.96-118, Available at: </w:t>
      </w:r>
      <w:hyperlink r:id="rId37" w:history="1">
        <w:r w:rsidRPr="00BE27F7">
          <w:rPr>
            <w:rFonts w:eastAsia="Calibri"/>
            <w:color w:val="0563C1" w:themeColor="hyperlink"/>
            <w:sz w:val="24"/>
            <w:szCs w:val="24"/>
            <w:u w:val="single"/>
            <w:lang w:eastAsia="en-US"/>
          </w:rPr>
          <w:t>https://doi-org.ezproxy.uwtsd.ac.uk/10.1111/j.1467-6486.2007.00666.x</w:t>
        </w:r>
      </w:hyperlink>
      <w:r w:rsidRPr="00BE27F7">
        <w:rPr>
          <w:rFonts w:eastAsia="Calibri"/>
          <w:color w:val="auto"/>
          <w:sz w:val="24"/>
          <w:szCs w:val="24"/>
          <w:lang w:eastAsia="en-US"/>
        </w:rPr>
        <w:t xml:space="preserve"> (Accessed 14 July 2021).</w:t>
      </w:r>
    </w:p>
    <w:p w14:paraId="13C23478"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Belbin, R. (2010) </w:t>
      </w:r>
      <w:r w:rsidRPr="00BE27F7">
        <w:rPr>
          <w:rFonts w:eastAsia="Calibri"/>
          <w:i/>
          <w:iCs/>
          <w:color w:val="auto"/>
          <w:sz w:val="24"/>
          <w:szCs w:val="24"/>
          <w:lang w:eastAsia="en-US"/>
        </w:rPr>
        <w:t>Team Roles at Work 2</w:t>
      </w:r>
      <w:r w:rsidRPr="00BE27F7">
        <w:rPr>
          <w:rFonts w:eastAsia="Calibri"/>
          <w:i/>
          <w:iCs/>
          <w:color w:val="auto"/>
          <w:sz w:val="24"/>
          <w:szCs w:val="24"/>
          <w:vertAlign w:val="superscript"/>
          <w:lang w:eastAsia="en-US"/>
        </w:rPr>
        <w:t>nd</w:t>
      </w:r>
      <w:r w:rsidRPr="00BE27F7">
        <w:rPr>
          <w:rFonts w:eastAsia="Calibri"/>
          <w:i/>
          <w:iCs/>
          <w:color w:val="auto"/>
          <w:sz w:val="24"/>
          <w:szCs w:val="24"/>
          <w:lang w:eastAsia="en-US"/>
        </w:rPr>
        <w:t xml:space="preserve"> Edition </w:t>
      </w:r>
      <w:r w:rsidRPr="00BE27F7">
        <w:rPr>
          <w:rFonts w:eastAsia="Calibri"/>
          <w:color w:val="auto"/>
          <w:sz w:val="24"/>
          <w:szCs w:val="24"/>
          <w:lang w:eastAsia="en-US"/>
        </w:rPr>
        <w:t xml:space="preserve">Available at: </w:t>
      </w:r>
      <w:hyperlink r:id="rId38" w:history="1">
        <w:r w:rsidRPr="00BE27F7">
          <w:rPr>
            <w:rFonts w:eastAsia="Calibri"/>
            <w:color w:val="0563C1" w:themeColor="hyperlink"/>
            <w:sz w:val="24"/>
            <w:szCs w:val="24"/>
            <w:u w:val="single"/>
            <w:lang w:eastAsia="en-US"/>
          </w:rPr>
          <w:t>https://search-ebscohost-</w:t>
        </w:r>
        <w:r w:rsidRPr="00BE27F7">
          <w:rPr>
            <w:rFonts w:eastAsia="Calibri"/>
            <w:color w:val="0563C1" w:themeColor="hyperlink"/>
            <w:sz w:val="24"/>
            <w:szCs w:val="24"/>
            <w:u w:val="single"/>
            <w:lang w:eastAsia="en-US"/>
          </w:rPr>
          <w:lastRenderedPageBreak/>
          <w:t>com.ezproxy.uwtsd.ac.uk/login.aspx?direct=true&amp;db=nlebk&amp;AN=459724&amp;site=ehost-live</w:t>
        </w:r>
      </w:hyperlink>
      <w:r w:rsidRPr="00BE27F7">
        <w:rPr>
          <w:rFonts w:eastAsia="Calibri"/>
          <w:color w:val="auto"/>
          <w:sz w:val="24"/>
          <w:szCs w:val="24"/>
          <w:lang w:eastAsia="en-US"/>
        </w:rPr>
        <w:t xml:space="preserve"> (Accessed 15 July 2021).</w:t>
      </w:r>
    </w:p>
    <w:p w14:paraId="1C639C5D"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proofErr w:type="spellStart"/>
      <w:proofErr w:type="gramStart"/>
      <w:r w:rsidRPr="00BE27F7">
        <w:rPr>
          <w:rFonts w:eastAsia="Calibri"/>
          <w:color w:val="auto"/>
          <w:sz w:val="24"/>
          <w:szCs w:val="24"/>
          <w:lang w:eastAsia="en-US"/>
        </w:rPr>
        <w:t>Bonebright,D</w:t>
      </w:r>
      <w:proofErr w:type="spellEnd"/>
      <w:r w:rsidRPr="00BE27F7">
        <w:rPr>
          <w:rFonts w:eastAsia="Calibri"/>
          <w:color w:val="auto"/>
          <w:sz w:val="24"/>
          <w:szCs w:val="24"/>
          <w:lang w:eastAsia="en-US"/>
        </w:rPr>
        <w:t>.</w:t>
      </w:r>
      <w:proofErr w:type="gramEnd"/>
      <w:r w:rsidRPr="00BE27F7">
        <w:rPr>
          <w:rFonts w:eastAsia="Calibri"/>
          <w:color w:val="auto"/>
          <w:sz w:val="24"/>
          <w:szCs w:val="24"/>
          <w:lang w:eastAsia="en-US"/>
        </w:rPr>
        <w:t xml:space="preserve"> (2010) ‘40 years of storming: a historical review of Tuckman's model of small group development’, </w:t>
      </w:r>
      <w:r w:rsidRPr="00BE27F7">
        <w:rPr>
          <w:rFonts w:eastAsia="Calibri"/>
          <w:i/>
          <w:iCs/>
          <w:color w:val="auto"/>
          <w:sz w:val="24"/>
          <w:szCs w:val="24"/>
          <w:lang w:eastAsia="en-US"/>
        </w:rPr>
        <w:t>Human resource development international</w:t>
      </w:r>
      <w:r w:rsidRPr="00BE27F7">
        <w:rPr>
          <w:rFonts w:eastAsia="Calibri"/>
          <w:color w:val="auto"/>
          <w:sz w:val="24"/>
          <w:szCs w:val="24"/>
          <w:lang w:eastAsia="en-US"/>
        </w:rPr>
        <w:t>, 13 (1), pp.111-120</w:t>
      </w:r>
    </w:p>
    <w:p w14:paraId="34725B2D"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Code of Ethics (2014) </w:t>
      </w:r>
      <w:r w:rsidRPr="00BE27F7">
        <w:rPr>
          <w:rFonts w:eastAsia="Calibri"/>
          <w:i/>
          <w:iCs/>
          <w:color w:val="auto"/>
          <w:sz w:val="24"/>
          <w:szCs w:val="24"/>
          <w:lang w:eastAsia="en-US"/>
        </w:rPr>
        <w:t>A Code of Practice for the Principles and Standards of Professional Behaviour for the Policing Profession of England and Wales</w:t>
      </w:r>
      <w:r w:rsidRPr="00BE27F7">
        <w:rPr>
          <w:rFonts w:eastAsia="Calibri"/>
          <w:color w:val="auto"/>
          <w:sz w:val="24"/>
          <w:szCs w:val="24"/>
          <w:lang w:eastAsia="en-US"/>
        </w:rPr>
        <w:t xml:space="preserve">. Available at: </w:t>
      </w:r>
      <w:hyperlink r:id="rId39" w:history="1">
        <w:r w:rsidRPr="00BE27F7">
          <w:rPr>
            <w:rFonts w:eastAsia="Calibri"/>
            <w:color w:val="0563C1" w:themeColor="hyperlink"/>
            <w:sz w:val="24"/>
            <w:szCs w:val="24"/>
            <w:u w:val="single"/>
            <w:lang w:eastAsia="en-US"/>
          </w:rPr>
          <w:t>https://www.college.police.uk/What-we-do/Ethics/Ethics-home/Documents/Code_of_Ethics.pdf</w:t>
        </w:r>
      </w:hyperlink>
      <w:r w:rsidRPr="00BE27F7">
        <w:rPr>
          <w:rFonts w:eastAsia="Calibri"/>
          <w:color w:val="auto"/>
          <w:sz w:val="24"/>
          <w:szCs w:val="24"/>
          <w:lang w:eastAsia="en-US"/>
        </w:rPr>
        <w:t xml:space="preserve"> (Accessed 14 July 2021).</w:t>
      </w:r>
    </w:p>
    <w:p w14:paraId="22209A73"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College of Policing (2017) </w:t>
      </w:r>
      <w:r w:rsidRPr="00BE27F7">
        <w:rPr>
          <w:rFonts w:eastAsia="Calibri"/>
          <w:i/>
          <w:iCs/>
          <w:color w:val="auto"/>
          <w:sz w:val="24"/>
          <w:szCs w:val="24"/>
          <w:lang w:eastAsia="en-US"/>
        </w:rPr>
        <w:t xml:space="preserve">Transformation Framework A standard approach to underpin strategic, organisational-level peer review, police force transformation and business change. </w:t>
      </w:r>
      <w:r w:rsidRPr="00BE27F7">
        <w:rPr>
          <w:rFonts w:eastAsia="Calibri"/>
          <w:color w:val="auto"/>
          <w:sz w:val="24"/>
          <w:szCs w:val="24"/>
          <w:lang w:eastAsia="en-US"/>
        </w:rPr>
        <w:t xml:space="preserve">Available at: </w:t>
      </w:r>
      <w:hyperlink r:id="rId40" w:history="1">
        <w:r w:rsidRPr="00BE27F7">
          <w:rPr>
            <w:rFonts w:eastAsia="Calibri"/>
            <w:color w:val="0563C1" w:themeColor="hyperlink"/>
            <w:sz w:val="24"/>
            <w:szCs w:val="24"/>
            <w:u w:val="single"/>
            <w:lang w:eastAsia="en-US"/>
          </w:rPr>
          <w:t>https://paas-s3-broker-prod-lon-6453d964-1d1a-432a-9260-5e0ba7d2fc51.s3.eu-west-2.amazonaws.com/s3fs-public/2020-12/Transformation-framework.pdf</w:t>
        </w:r>
      </w:hyperlink>
      <w:r w:rsidRPr="00BE27F7">
        <w:rPr>
          <w:rFonts w:eastAsia="Calibri"/>
          <w:color w:val="auto"/>
          <w:sz w:val="24"/>
          <w:szCs w:val="24"/>
          <w:lang w:eastAsia="en-US"/>
        </w:rPr>
        <w:t xml:space="preserve"> (Accessed 14 July 2021).</w:t>
      </w:r>
    </w:p>
    <w:p w14:paraId="57D20418"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Home Office (2020) </w:t>
      </w:r>
      <w:r w:rsidRPr="00BE27F7">
        <w:rPr>
          <w:rFonts w:eastAsia="Calibri"/>
          <w:i/>
          <w:iCs/>
          <w:color w:val="auto"/>
          <w:sz w:val="24"/>
          <w:szCs w:val="24"/>
          <w:lang w:eastAsia="en-US"/>
        </w:rPr>
        <w:t>Home Office Guidance Conduct, Efficiency and Effectiveness: Statutory Guidance on Professional Standards, Performance and Integrity in Policing</w:t>
      </w:r>
      <w:r w:rsidRPr="00BE27F7">
        <w:rPr>
          <w:rFonts w:eastAsia="Calibri"/>
          <w:color w:val="auto"/>
          <w:sz w:val="24"/>
          <w:szCs w:val="24"/>
          <w:lang w:eastAsia="en-US"/>
        </w:rPr>
        <w:t xml:space="preserve">. Available at: </w:t>
      </w:r>
      <w:hyperlink r:id="rId41" w:history="1">
        <w:r w:rsidRPr="00BE27F7">
          <w:rPr>
            <w:rFonts w:eastAsia="Calibri"/>
            <w:color w:val="0563C1" w:themeColor="hyperlink"/>
            <w:sz w:val="24"/>
            <w:szCs w:val="24"/>
            <w:u w:val="single"/>
            <w:lang w:eastAsia="en-US"/>
          </w:rPr>
          <w:t>https://assets.publishing.service.gov.uk/government/uploads/system/uploads/attachment_data/file/863820/Home_Office_Statutory_Guidance_0502.pdf</w:t>
        </w:r>
      </w:hyperlink>
      <w:r w:rsidRPr="00BE27F7">
        <w:rPr>
          <w:rFonts w:eastAsia="Calibri"/>
          <w:color w:val="auto"/>
          <w:sz w:val="24"/>
          <w:szCs w:val="24"/>
          <w:lang w:eastAsia="en-US"/>
        </w:rPr>
        <w:t xml:space="preserve"> (Accessed 15 July 2021).</w:t>
      </w:r>
      <w:bookmarkStart w:id="3" w:name="_Hlk77235160"/>
    </w:p>
    <w:bookmarkEnd w:id="3"/>
    <w:p w14:paraId="2EF3F026"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proofErr w:type="spellStart"/>
      <w:r w:rsidRPr="00BE27F7">
        <w:rPr>
          <w:rFonts w:eastAsia="Calibri"/>
          <w:color w:val="auto"/>
          <w:sz w:val="24"/>
          <w:szCs w:val="24"/>
          <w:lang w:eastAsia="en-US"/>
        </w:rPr>
        <w:t>Khoshsoroor</w:t>
      </w:r>
      <w:proofErr w:type="spellEnd"/>
      <w:r w:rsidRPr="00BE27F7">
        <w:rPr>
          <w:rFonts w:eastAsia="Calibri"/>
          <w:color w:val="auto"/>
          <w:sz w:val="24"/>
          <w:szCs w:val="24"/>
          <w:lang w:eastAsia="en-US"/>
        </w:rPr>
        <w:t xml:space="preserve">, S. Liang, D. Salami, G. </w:t>
      </w:r>
      <w:proofErr w:type="spellStart"/>
      <w:r w:rsidRPr="00BE27F7">
        <w:rPr>
          <w:rFonts w:eastAsia="Calibri"/>
          <w:color w:val="auto"/>
          <w:sz w:val="24"/>
          <w:szCs w:val="24"/>
          <w:lang w:eastAsia="en-US"/>
        </w:rPr>
        <w:t>Chitsaz</w:t>
      </w:r>
      <w:proofErr w:type="spellEnd"/>
      <w:r w:rsidRPr="00BE27F7">
        <w:rPr>
          <w:rFonts w:eastAsia="Calibri"/>
          <w:color w:val="auto"/>
          <w:sz w:val="24"/>
          <w:szCs w:val="24"/>
          <w:lang w:eastAsia="en-US"/>
        </w:rPr>
        <w:t xml:space="preserve">, E. (2019) ‘Team cohesion: A double-edged sword in the relationship between rival estimation and escalation of commitment’, </w:t>
      </w:r>
      <w:r w:rsidRPr="00BE27F7">
        <w:rPr>
          <w:rFonts w:eastAsia="Calibri"/>
          <w:i/>
          <w:iCs/>
          <w:color w:val="auto"/>
          <w:sz w:val="24"/>
          <w:szCs w:val="24"/>
          <w:lang w:eastAsia="en-US"/>
        </w:rPr>
        <w:t xml:space="preserve">Social </w:t>
      </w:r>
      <w:proofErr w:type="spellStart"/>
      <w:r w:rsidRPr="00BE27F7">
        <w:rPr>
          <w:rFonts w:eastAsia="Calibri"/>
          <w:i/>
          <w:iCs/>
          <w:color w:val="auto"/>
          <w:sz w:val="24"/>
          <w:szCs w:val="24"/>
          <w:lang w:eastAsia="en-US"/>
        </w:rPr>
        <w:t>Behavior</w:t>
      </w:r>
      <w:proofErr w:type="spellEnd"/>
      <w:r w:rsidRPr="00BE27F7">
        <w:rPr>
          <w:rFonts w:eastAsia="Calibri"/>
          <w:i/>
          <w:iCs/>
          <w:color w:val="auto"/>
          <w:sz w:val="24"/>
          <w:szCs w:val="24"/>
          <w:lang w:eastAsia="en-US"/>
        </w:rPr>
        <w:t xml:space="preserve"> and Personality’,</w:t>
      </w:r>
      <w:r w:rsidRPr="00BE27F7">
        <w:rPr>
          <w:rFonts w:eastAsia="Calibri"/>
          <w:color w:val="auto"/>
          <w:sz w:val="24"/>
          <w:szCs w:val="24"/>
          <w:lang w:eastAsia="en-US"/>
        </w:rPr>
        <w:t xml:space="preserve"> 47(9). Available at: </w:t>
      </w:r>
      <w:hyperlink r:id="rId42" w:history="1">
        <w:r w:rsidRPr="00BE27F7">
          <w:rPr>
            <w:rFonts w:eastAsia="Calibri"/>
            <w:color w:val="0563C1" w:themeColor="hyperlink"/>
            <w:sz w:val="24"/>
            <w:szCs w:val="24"/>
            <w:u w:val="single"/>
            <w:lang w:eastAsia="en-US"/>
          </w:rPr>
          <w:t>https://doi.org/10.2224/sbp.8122</w:t>
        </w:r>
      </w:hyperlink>
      <w:r w:rsidRPr="00BE27F7">
        <w:rPr>
          <w:rFonts w:eastAsia="Calibri"/>
          <w:color w:val="auto"/>
          <w:sz w:val="24"/>
          <w:szCs w:val="24"/>
          <w:lang w:eastAsia="en-US"/>
        </w:rPr>
        <w:t xml:space="preserve"> (Accessed 15 July 2021).</w:t>
      </w:r>
    </w:p>
    <w:p w14:paraId="5F50BD11"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Lencioni, P. (2002) </w:t>
      </w:r>
      <w:r w:rsidRPr="00BE27F7">
        <w:rPr>
          <w:rFonts w:eastAsia="Calibri"/>
          <w:i/>
          <w:iCs/>
          <w:color w:val="auto"/>
          <w:sz w:val="24"/>
          <w:szCs w:val="24"/>
          <w:lang w:eastAsia="en-US"/>
        </w:rPr>
        <w:t xml:space="preserve">The Five Dysfunctions of a Team. </w:t>
      </w:r>
      <w:r w:rsidRPr="00BE27F7">
        <w:rPr>
          <w:rFonts w:eastAsia="Calibri"/>
          <w:color w:val="auto"/>
          <w:sz w:val="24"/>
          <w:szCs w:val="24"/>
          <w:lang w:eastAsia="en-US"/>
        </w:rPr>
        <w:t>San Francisco. Jossey-Bass.</w:t>
      </w:r>
    </w:p>
    <w:p w14:paraId="37721828"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proofErr w:type="spellStart"/>
      <w:r w:rsidRPr="00BE27F7">
        <w:rPr>
          <w:rFonts w:eastAsia="Calibri"/>
          <w:color w:val="auto"/>
          <w:sz w:val="24"/>
          <w:szCs w:val="24"/>
          <w:lang w:eastAsia="en-US"/>
        </w:rPr>
        <w:t>Mulins</w:t>
      </w:r>
      <w:proofErr w:type="spellEnd"/>
      <w:r w:rsidRPr="00BE27F7">
        <w:rPr>
          <w:rFonts w:eastAsia="Calibri"/>
          <w:color w:val="auto"/>
          <w:sz w:val="24"/>
          <w:szCs w:val="24"/>
          <w:lang w:eastAsia="en-US"/>
        </w:rPr>
        <w:t xml:space="preserve">, L. (2010) </w:t>
      </w:r>
      <w:r w:rsidRPr="00BE27F7">
        <w:rPr>
          <w:rFonts w:eastAsia="Calibri"/>
          <w:i/>
          <w:iCs/>
          <w:color w:val="auto"/>
          <w:sz w:val="24"/>
          <w:szCs w:val="24"/>
          <w:lang w:eastAsia="en-US"/>
        </w:rPr>
        <w:t xml:space="preserve">Management &amp; Organisational Behaviour. </w:t>
      </w:r>
      <w:r w:rsidRPr="00BE27F7">
        <w:rPr>
          <w:rFonts w:eastAsia="Calibri"/>
          <w:color w:val="auto"/>
          <w:sz w:val="24"/>
          <w:szCs w:val="24"/>
          <w:lang w:eastAsia="en-US"/>
        </w:rPr>
        <w:t>9</w:t>
      </w:r>
      <w:r w:rsidRPr="00BE27F7">
        <w:rPr>
          <w:rFonts w:eastAsia="Calibri"/>
          <w:color w:val="auto"/>
          <w:sz w:val="24"/>
          <w:szCs w:val="24"/>
          <w:vertAlign w:val="superscript"/>
          <w:lang w:eastAsia="en-US"/>
        </w:rPr>
        <w:t>th</w:t>
      </w:r>
      <w:r w:rsidRPr="00BE27F7">
        <w:rPr>
          <w:rFonts w:eastAsia="Calibri"/>
          <w:color w:val="auto"/>
          <w:sz w:val="24"/>
          <w:szCs w:val="24"/>
          <w:lang w:eastAsia="en-US"/>
        </w:rPr>
        <w:t xml:space="preserve"> </w:t>
      </w:r>
      <w:proofErr w:type="spellStart"/>
      <w:r w:rsidRPr="00BE27F7">
        <w:rPr>
          <w:rFonts w:eastAsia="Calibri"/>
          <w:color w:val="auto"/>
          <w:sz w:val="24"/>
          <w:szCs w:val="24"/>
          <w:lang w:eastAsia="en-US"/>
        </w:rPr>
        <w:t>edn</w:t>
      </w:r>
      <w:proofErr w:type="spellEnd"/>
      <w:r w:rsidRPr="00BE27F7">
        <w:rPr>
          <w:rFonts w:eastAsia="Calibri"/>
          <w:color w:val="auto"/>
          <w:sz w:val="24"/>
          <w:szCs w:val="24"/>
          <w:lang w:eastAsia="en-US"/>
        </w:rPr>
        <w:t xml:space="preserve">. Available at: </w:t>
      </w:r>
      <w:hyperlink r:id="rId43" w:history="1">
        <w:r w:rsidRPr="00BE27F7">
          <w:rPr>
            <w:rFonts w:eastAsia="Calibri"/>
            <w:color w:val="0563C1" w:themeColor="hyperlink"/>
            <w:sz w:val="24"/>
            <w:szCs w:val="24"/>
            <w:u w:val="single"/>
            <w:lang w:eastAsia="en-US"/>
          </w:rPr>
          <w:t>https://drive.google.com/file/d/0B0h_RaZ4MRJKZTNqQkNsMHpaWGs2UlNtWnlZTEZOSFNGQWZ3/edit?resourcekey=0-7PPli6R6ssNLD6HX5bOgEg</w:t>
        </w:r>
      </w:hyperlink>
      <w:r w:rsidRPr="00BE27F7">
        <w:rPr>
          <w:rFonts w:eastAsia="Calibri"/>
          <w:color w:val="auto"/>
          <w:sz w:val="24"/>
          <w:szCs w:val="24"/>
          <w:lang w:eastAsia="en-US"/>
        </w:rPr>
        <w:t xml:space="preserve"> (Accessed 18 July 2021).  </w:t>
      </w:r>
    </w:p>
    <w:p w14:paraId="2F158E59"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Porter, L. Webb, S </w:t>
      </w:r>
      <w:proofErr w:type="spellStart"/>
      <w:r w:rsidRPr="00BE27F7">
        <w:rPr>
          <w:rFonts w:eastAsia="Calibri"/>
          <w:color w:val="auto"/>
          <w:sz w:val="24"/>
          <w:szCs w:val="24"/>
          <w:lang w:eastAsia="en-US"/>
        </w:rPr>
        <w:t>Prenzler</w:t>
      </w:r>
      <w:proofErr w:type="spellEnd"/>
      <w:r w:rsidRPr="00BE27F7">
        <w:rPr>
          <w:rFonts w:eastAsia="Calibri"/>
          <w:color w:val="auto"/>
          <w:sz w:val="24"/>
          <w:szCs w:val="24"/>
          <w:lang w:eastAsia="en-US"/>
        </w:rPr>
        <w:t xml:space="preserve">, T. Gill, M. (2015) </w:t>
      </w:r>
      <w:r w:rsidRPr="00BE27F7">
        <w:rPr>
          <w:rFonts w:eastAsia="Calibri"/>
          <w:i/>
          <w:iCs/>
          <w:color w:val="auto"/>
          <w:sz w:val="24"/>
          <w:szCs w:val="24"/>
          <w:lang w:eastAsia="en-US"/>
        </w:rPr>
        <w:t>The role of leadership in promoting ethical police behaviour: The findings of qualitative case study research.</w:t>
      </w:r>
      <w:r w:rsidRPr="00BE27F7">
        <w:rPr>
          <w:rFonts w:eastAsia="Calibri"/>
          <w:color w:val="auto"/>
          <w:sz w:val="24"/>
          <w:szCs w:val="24"/>
          <w:lang w:eastAsia="en-US"/>
        </w:rPr>
        <w:t xml:space="preserve"> Available at: </w:t>
      </w:r>
    </w:p>
    <w:p w14:paraId="6902C1AC"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u w:val="single"/>
          <w:lang w:eastAsia="en-US"/>
        </w:rPr>
        <w:t>https://whatworks.college.police.uk/Research/Documents/150317_Ethical_leadership_FINAL_REPORT.pdf</w:t>
      </w:r>
      <w:r w:rsidRPr="00BE27F7">
        <w:rPr>
          <w:rFonts w:eastAsia="Calibri"/>
          <w:color w:val="auto"/>
          <w:sz w:val="24"/>
          <w:szCs w:val="24"/>
          <w:lang w:eastAsia="en-US"/>
        </w:rPr>
        <w:t xml:space="preserve"> (Accessed 15 July 2021).</w:t>
      </w:r>
    </w:p>
    <w:p w14:paraId="29CCDF6B"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Serious and Organised Crime Strategy (2018) Available at: https://assets.publishing.service.gov.uk/government/uploads/system/uploads/attachment_data/file/752850/SOC-2018-web.pdf (Accessed 14 June 2021).</w:t>
      </w:r>
    </w:p>
    <w:p w14:paraId="33A3CFFB" w14:textId="77777777" w:rsidR="004659AC" w:rsidRPr="00BE27F7" w:rsidRDefault="004659AC" w:rsidP="004659AC">
      <w:pPr>
        <w:overflowPunct/>
        <w:autoSpaceDE/>
        <w:autoSpaceDN/>
        <w:adjustRightInd/>
        <w:spacing w:after="160" w:line="256" w:lineRule="auto"/>
        <w:textAlignment w:val="auto"/>
        <w:rPr>
          <w:rFonts w:eastAsia="Calibri"/>
          <w:i/>
          <w:iCs/>
          <w:color w:val="auto"/>
          <w:sz w:val="24"/>
          <w:szCs w:val="24"/>
          <w:lang w:eastAsia="en-US"/>
        </w:rPr>
      </w:pPr>
      <w:r w:rsidRPr="00BE27F7">
        <w:rPr>
          <w:rFonts w:eastAsia="Calibri"/>
          <w:color w:val="auto"/>
          <w:sz w:val="24"/>
          <w:szCs w:val="24"/>
          <w:lang w:eastAsia="en-US"/>
        </w:rPr>
        <w:t xml:space="preserve">Tannenbaum, T. &amp; Salas, E. (2020) </w:t>
      </w:r>
      <w:r w:rsidRPr="00BE27F7">
        <w:rPr>
          <w:rFonts w:eastAsia="Calibri"/>
          <w:i/>
          <w:iCs/>
          <w:color w:val="auto"/>
          <w:sz w:val="24"/>
          <w:szCs w:val="24"/>
          <w:lang w:eastAsia="en-US"/>
        </w:rPr>
        <w:t>Teams That Work: The Seven Drivers of Team Effectiveness.</w:t>
      </w:r>
      <w:r w:rsidRPr="00BE27F7">
        <w:rPr>
          <w:rFonts w:eastAsia="Calibri"/>
          <w:color w:val="auto"/>
          <w:sz w:val="24"/>
          <w:szCs w:val="24"/>
          <w:lang w:eastAsia="en-US"/>
        </w:rPr>
        <w:t xml:space="preserve"> Available at: DOI:10.1093/</w:t>
      </w:r>
      <w:proofErr w:type="spellStart"/>
      <w:r w:rsidRPr="00BE27F7">
        <w:rPr>
          <w:rFonts w:eastAsia="Calibri"/>
          <w:color w:val="auto"/>
          <w:sz w:val="24"/>
          <w:szCs w:val="24"/>
          <w:lang w:eastAsia="en-US"/>
        </w:rPr>
        <w:t>oso</w:t>
      </w:r>
      <w:proofErr w:type="spellEnd"/>
      <w:r w:rsidRPr="00BE27F7">
        <w:rPr>
          <w:rFonts w:eastAsia="Calibri"/>
          <w:color w:val="auto"/>
          <w:sz w:val="24"/>
          <w:szCs w:val="24"/>
          <w:lang w:eastAsia="en-US"/>
        </w:rPr>
        <w:t>/9780190056964.001.0001 (Accessed 15 July 2021).</w:t>
      </w:r>
    </w:p>
    <w:p w14:paraId="2E6EAE4C"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p>
    <w:p w14:paraId="6721527A" w14:textId="77777777" w:rsidR="004659AC" w:rsidRPr="00BE27F7" w:rsidRDefault="004659AC" w:rsidP="004659AC">
      <w:pPr>
        <w:overflowPunct/>
        <w:autoSpaceDE/>
        <w:autoSpaceDN/>
        <w:adjustRightInd/>
        <w:spacing w:after="160" w:line="256" w:lineRule="auto"/>
        <w:textAlignment w:val="auto"/>
        <w:rPr>
          <w:rFonts w:eastAsia="Calibri"/>
          <w:b/>
          <w:bCs/>
          <w:color w:val="auto"/>
          <w:sz w:val="24"/>
          <w:szCs w:val="24"/>
          <w:lang w:eastAsia="en-US"/>
        </w:rPr>
      </w:pPr>
      <w:r w:rsidRPr="00BE27F7">
        <w:rPr>
          <w:rFonts w:eastAsia="Calibri"/>
          <w:b/>
          <w:bCs/>
          <w:color w:val="auto"/>
          <w:sz w:val="24"/>
          <w:szCs w:val="24"/>
          <w:lang w:eastAsia="en-US"/>
        </w:rPr>
        <w:lastRenderedPageBreak/>
        <w:t>Task 4:</w:t>
      </w:r>
    </w:p>
    <w:p w14:paraId="04660D5B"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ANPR International (2021) </w:t>
      </w:r>
      <w:r w:rsidRPr="00BE27F7">
        <w:rPr>
          <w:rFonts w:eastAsia="Calibri"/>
          <w:i/>
          <w:iCs/>
          <w:color w:val="auto"/>
          <w:sz w:val="24"/>
          <w:szCs w:val="24"/>
          <w:lang w:eastAsia="en-US"/>
        </w:rPr>
        <w:t xml:space="preserve">History of ANPR. </w:t>
      </w:r>
      <w:r w:rsidRPr="00BE27F7">
        <w:rPr>
          <w:rFonts w:eastAsia="Calibri"/>
          <w:color w:val="auto"/>
          <w:sz w:val="24"/>
          <w:szCs w:val="24"/>
          <w:lang w:eastAsia="en-US"/>
        </w:rPr>
        <w:t xml:space="preserve">Available at: </w:t>
      </w:r>
      <w:hyperlink r:id="rId44" w:history="1">
        <w:r w:rsidRPr="00BE27F7">
          <w:rPr>
            <w:rFonts w:eastAsia="Calibri"/>
            <w:color w:val="0563C1" w:themeColor="hyperlink"/>
            <w:sz w:val="24"/>
            <w:szCs w:val="24"/>
            <w:u w:val="single"/>
            <w:lang w:eastAsia="en-US"/>
          </w:rPr>
          <w:t>http://www.anpr-international.com/history-of-anpr/</w:t>
        </w:r>
      </w:hyperlink>
      <w:r w:rsidRPr="00BE27F7">
        <w:rPr>
          <w:rFonts w:eastAsia="Calibri"/>
          <w:color w:val="auto"/>
          <w:sz w:val="24"/>
          <w:szCs w:val="24"/>
          <w:lang w:eastAsia="en-US"/>
        </w:rPr>
        <w:t xml:space="preserve"> (Accessed 20 June 2021).</w:t>
      </w:r>
    </w:p>
    <w:p w14:paraId="5A1B1946" w14:textId="77777777" w:rsidR="004659AC" w:rsidRPr="00BE27F7" w:rsidRDefault="004659AC" w:rsidP="004659AC">
      <w:pPr>
        <w:overflowPunct/>
        <w:autoSpaceDE/>
        <w:autoSpaceDN/>
        <w:adjustRightInd/>
        <w:spacing w:after="160" w:line="256" w:lineRule="auto"/>
        <w:textAlignment w:val="auto"/>
        <w:rPr>
          <w:rFonts w:eastAsia="Calibri"/>
          <w:i/>
          <w:iCs/>
          <w:color w:val="auto"/>
          <w:sz w:val="24"/>
          <w:szCs w:val="24"/>
          <w:lang w:eastAsia="en-US"/>
        </w:rPr>
      </w:pPr>
      <w:r w:rsidRPr="00BE27F7">
        <w:rPr>
          <w:rFonts w:eastAsia="Calibri"/>
          <w:color w:val="auto"/>
          <w:sz w:val="24"/>
          <w:szCs w:val="24"/>
          <w:lang w:eastAsia="en-US"/>
        </w:rPr>
        <w:t xml:space="preserve">Bryant, R. &amp; Bryant, S. (2020) </w:t>
      </w:r>
      <w:proofErr w:type="spellStart"/>
      <w:r w:rsidRPr="00BE27F7">
        <w:rPr>
          <w:rFonts w:eastAsia="Calibri"/>
          <w:i/>
          <w:iCs/>
          <w:color w:val="auto"/>
          <w:sz w:val="24"/>
          <w:szCs w:val="24"/>
          <w:lang w:eastAsia="en-US"/>
        </w:rPr>
        <w:t>Blackstones</w:t>
      </w:r>
      <w:proofErr w:type="spellEnd"/>
      <w:r w:rsidRPr="00BE27F7">
        <w:rPr>
          <w:rFonts w:eastAsia="Calibri"/>
          <w:i/>
          <w:iCs/>
          <w:color w:val="auto"/>
          <w:sz w:val="24"/>
          <w:szCs w:val="24"/>
          <w:lang w:eastAsia="en-US"/>
        </w:rPr>
        <w:t xml:space="preserve"> Handbook for Policing Students 2020. </w:t>
      </w:r>
      <w:r w:rsidRPr="00BE27F7">
        <w:rPr>
          <w:rFonts w:eastAsia="Calibri"/>
          <w:color w:val="auto"/>
          <w:sz w:val="24"/>
          <w:szCs w:val="24"/>
          <w:lang w:eastAsia="en-US"/>
        </w:rPr>
        <w:t>14</w:t>
      </w:r>
      <w:r w:rsidRPr="00BE27F7">
        <w:rPr>
          <w:rFonts w:eastAsia="Calibri"/>
          <w:color w:val="auto"/>
          <w:sz w:val="24"/>
          <w:szCs w:val="24"/>
          <w:vertAlign w:val="superscript"/>
          <w:lang w:eastAsia="en-US"/>
        </w:rPr>
        <w:t>th</w:t>
      </w:r>
      <w:r w:rsidRPr="00BE27F7">
        <w:rPr>
          <w:rFonts w:eastAsia="Calibri"/>
          <w:color w:val="auto"/>
          <w:sz w:val="24"/>
          <w:szCs w:val="24"/>
          <w:lang w:eastAsia="en-US"/>
        </w:rPr>
        <w:t xml:space="preserve"> </w:t>
      </w:r>
      <w:proofErr w:type="spellStart"/>
      <w:r w:rsidRPr="00BE27F7">
        <w:rPr>
          <w:rFonts w:eastAsia="Calibri"/>
          <w:color w:val="auto"/>
          <w:sz w:val="24"/>
          <w:szCs w:val="24"/>
          <w:lang w:eastAsia="en-US"/>
        </w:rPr>
        <w:t>edn</w:t>
      </w:r>
      <w:proofErr w:type="spellEnd"/>
      <w:r w:rsidRPr="00BE27F7">
        <w:rPr>
          <w:rFonts w:eastAsia="Calibri"/>
          <w:color w:val="auto"/>
          <w:sz w:val="24"/>
          <w:szCs w:val="24"/>
          <w:lang w:eastAsia="en-US"/>
        </w:rPr>
        <w:t>. USA. Oxford University Press.</w:t>
      </w:r>
    </w:p>
    <w:p w14:paraId="5CA57BA1"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College of Policing (2020) </w:t>
      </w:r>
      <w:r w:rsidRPr="00BE27F7">
        <w:rPr>
          <w:rFonts w:eastAsia="Calibri"/>
          <w:i/>
          <w:iCs/>
          <w:color w:val="auto"/>
          <w:sz w:val="24"/>
          <w:szCs w:val="24"/>
          <w:lang w:eastAsia="en-US"/>
        </w:rPr>
        <w:t>Investigation ANPR</w:t>
      </w:r>
      <w:r w:rsidRPr="00BE27F7">
        <w:rPr>
          <w:rFonts w:eastAsia="Calibri"/>
          <w:color w:val="auto"/>
          <w:sz w:val="24"/>
          <w:szCs w:val="24"/>
          <w:lang w:eastAsia="en-US"/>
        </w:rPr>
        <w:t xml:space="preserve"> Available at: </w:t>
      </w:r>
      <w:hyperlink r:id="rId45" w:anchor="anpr-analysis" w:history="1">
        <w:r w:rsidRPr="00BE27F7">
          <w:rPr>
            <w:rFonts w:eastAsia="Calibri"/>
            <w:color w:val="0563C1" w:themeColor="hyperlink"/>
            <w:sz w:val="24"/>
            <w:szCs w:val="24"/>
            <w:u w:val="single"/>
            <w:lang w:eastAsia="en-US"/>
          </w:rPr>
          <w:t>https://www.app.college.police.uk/app-content/investigations/investigative-strategies/investigative-strategiesanpr/#anpr-analysis</w:t>
        </w:r>
      </w:hyperlink>
      <w:r w:rsidRPr="00BE27F7">
        <w:rPr>
          <w:rFonts w:eastAsia="Calibri"/>
          <w:color w:val="auto"/>
          <w:sz w:val="24"/>
          <w:szCs w:val="24"/>
          <w:lang w:eastAsia="en-US"/>
        </w:rPr>
        <w:t xml:space="preserve"> (Accessed 16 June 2021).</w:t>
      </w:r>
    </w:p>
    <w:p w14:paraId="5384AA3A"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College of Policing (2021) </w:t>
      </w:r>
      <w:r w:rsidRPr="00BE27F7">
        <w:rPr>
          <w:rFonts w:eastAsia="Calibri"/>
          <w:i/>
          <w:iCs/>
          <w:color w:val="auto"/>
          <w:sz w:val="24"/>
          <w:szCs w:val="24"/>
          <w:lang w:eastAsia="en-US"/>
        </w:rPr>
        <w:t xml:space="preserve">Disrupting Serious and Organised Criminals Menu of tactics. </w:t>
      </w:r>
      <w:r w:rsidRPr="00BE27F7">
        <w:rPr>
          <w:rFonts w:eastAsia="Calibri"/>
          <w:color w:val="auto"/>
          <w:sz w:val="24"/>
          <w:szCs w:val="24"/>
          <w:lang w:eastAsia="en-US"/>
        </w:rPr>
        <w:t xml:space="preserve">Available at: </w:t>
      </w:r>
      <w:hyperlink r:id="rId46" w:history="1">
        <w:r w:rsidRPr="00BE27F7">
          <w:rPr>
            <w:rFonts w:eastAsia="Calibri"/>
            <w:color w:val="0563C1" w:themeColor="hyperlink"/>
            <w:sz w:val="24"/>
            <w:szCs w:val="24"/>
            <w:u w:val="single"/>
            <w:lang w:eastAsia="en-US"/>
          </w:rPr>
          <w:t>https://whatworks.college.police.uk/Research/Documents/Menu_of_tactics.pdf</w:t>
        </w:r>
      </w:hyperlink>
      <w:r w:rsidRPr="00BE27F7">
        <w:rPr>
          <w:rFonts w:eastAsia="Calibri"/>
          <w:color w:val="auto"/>
          <w:sz w:val="24"/>
          <w:szCs w:val="24"/>
          <w:lang w:eastAsia="en-US"/>
        </w:rPr>
        <w:t xml:space="preserve"> (Accessed 14 June 2021).</w:t>
      </w:r>
    </w:p>
    <w:p w14:paraId="23834BA3"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Cuthbert, J. Police and Crime Commissioner for Gwent (2020) Letter to </w:t>
      </w:r>
      <w:proofErr w:type="spellStart"/>
      <w:r w:rsidRPr="00BE27F7">
        <w:rPr>
          <w:rFonts w:eastAsia="Calibri"/>
          <w:color w:val="auto"/>
          <w:sz w:val="24"/>
          <w:szCs w:val="24"/>
          <w:lang w:eastAsia="en-US"/>
        </w:rPr>
        <w:t>Priti</w:t>
      </w:r>
      <w:proofErr w:type="spellEnd"/>
      <w:r w:rsidRPr="00BE27F7">
        <w:rPr>
          <w:rFonts w:eastAsia="Calibri"/>
          <w:color w:val="auto"/>
          <w:sz w:val="24"/>
          <w:szCs w:val="24"/>
          <w:lang w:eastAsia="en-US"/>
        </w:rPr>
        <w:t xml:space="preserve"> Patel, Home Secretary, 1</w:t>
      </w:r>
      <w:r w:rsidRPr="00BE27F7">
        <w:rPr>
          <w:rFonts w:eastAsia="Calibri"/>
          <w:color w:val="auto"/>
          <w:sz w:val="24"/>
          <w:szCs w:val="24"/>
          <w:vertAlign w:val="superscript"/>
          <w:lang w:eastAsia="en-US"/>
        </w:rPr>
        <w:t>st</w:t>
      </w:r>
      <w:r w:rsidRPr="00BE27F7">
        <w:rPr>
          <w:rFonts w:eastAsia="Calibri"/>
          <w:color w:val="auto"/>
          <w:sz w:val="24"/>
          <w:szCs w:val="24"/>
          <w:lang w:eastAsia="en-US"/>
        </w:rPr>
        <w:t xml:space="preserve"> September.</w:t>
      </w:r>
    </w:p>
    <w:p w14:paraId="7EF97A83"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Department of Transport (2020a) </w:t>
      </w:r>
      <w:r w:rsidRPr="00BE27F7">
        <w:rPr>
          <w:rFonts w:eastAsia="Calibri"/>
          <w:i/>
          <w:iCs/>
          <w:color w:val="auto"/>
          <w:sz w:val="24"/>
          <w:szCs w:val="24"/>
          <w:lang w:eastAsia="en-US"/>
        </w:rPr>
        <w:t>Vehicle Licensing Statistics: 2020 Quarter 3 (Jul – Sep).</w:t>
      </w:r>
      <w:r w:rsidRPr="00BE27F7">
        <w:rPr>
          <w:rFonts w:eastAsia="Calibri"/>
          <w:color w:val="auto"/>
          <w:sz w:val="24"/>
          <w:szCs w:val="24"/>
          <w:lang w:eastAsia="en-US"/>
        </w:rPr>
        <w:t xml:space="preserve"> Available at: </w:t>
      </w:r>
      <w:hyperlink r:id="rId47" w:history="1">
        <w:r w:rsidRPr="00BE27F7">
          <w:rPr>
            <w:rFonts w:eastAsia="Calibri"/>
            <w:color w:val="0000FF"/>
            <w:sz w:val="24"/>
            <w:szCs w:val="24"/>
            <w:u w:val="single"/>
            <w:lang w:eastAsia="en-US"/>
          </w:rPr>
          <w:t>Vehicle Licensing Statistics: July to September 2020 (publishing.service.gov.uk)</w:t>
        </w:r>
      </w:hyperlink>
      <w:r w:rsidRPr="00BE27F7">
        <w:rPr>
          <w:rFonts w:eastAsia="Calibri"/>
          <w:color w:val="auto"/>
          <w:sz w:val="24"/>
          <w:szCs w:val="24"/>
          <w:lang w:eastAsia="en-US"/>
        </w:rPr>
        <w:t xml:space="preserve"> (Accessed 14 June 2021).</w:t>
      </w:r>
    </w:p>
    <w:p w14:paraId="43DDECAD"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Department of Transport (2020b) </w:t>
      </w:r>
      <w:r w:rsidRPr="00BE27F7">
        <w:rPr>
          <w:rFonts w:eastAsia="Calibri"/>
          <w:i/>
          <w:iCs/>
          <w:color w:val="auto"/>
          <w:sz w:val="24"/>
          <w:szCs w:val="24"/>
          <w:lang w:eastAsia="en-US"/>
        </w:rPr>
        <w:t>Roads Policing Review Call for Evidence</w:t>
      </w:r>
      <w:r w:rsidRPr="00BE27F7">
        <w:rPr>
          <w:rFonts w:eastAsia="Calibri"/>
          <w:color w:val="auto"/>
          <w:sz w:val="24"/>
          <w:szCs w:val="24"/>
          <w:lang w:eastAsia="en-US"/>
        </w:rPr>
        <w:t xml:space="preserve">. Available at: </w:t>
      </w:r>
      <w:hyperlink r:id="rId48" w:history="1">
        <w:r w:rsidRPr="00BE27F7">
          <w:rPr>
            <w:rFonts w:eastAsia="Calibri"/>
            <w:color w:val="0563C1" w:themeColor="hyperlink"/>
            <w:sz w:val="24"/>
            <w:szCs w:val="24"/>
            <w:u w:val="single"/>
            <w:lang w:eastAsia="en-US"/>
          </w:rPr>
          <w:t>https://assets.publishing.service.gov.uk/government/uploads/system/uploads/attachment_data/file/899574/roads-policing-review-call-for-evidence.pdf</w:t>
        </w:r>
      </w:hyperlink>
      <w:r w:rsidRPr="00BE27F7">
        <w:rPr>
          <w:rFonts w:eastAsia="Calibri"/>
          <w:color w:val="auto"/>
          <w:sz w:val="24"/>
          <w:szCs w:val="24"/>
          <w:lang w:eastAsia="en-US"/>
        </w:rPr>
        <w:t xml:space="preserve"> (Accessed 14 June 2021).</w:t>
      </w:r>
    </w:p>
    <w:p w14:paraId="33CD70B4"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Home Office (2020a) </w:t>
      </w:r>
      <w:r w:rsidRPr="00BE27F7">
        <w:rPr>
          <w:rFonts w:eastAsia="Calibri"/>
          <w:i/>
          <w:iCs/>
          <w:color w:val="auto"/>
          <w:sz w:val="24"/>
          <w:szCs w:val="24"/>
          <w:lang w:eastAsia="en-US"/>
        </w:rPr>
        <w:t xml:space="preserve">National ANPR Standards for Policing and Law Enforcement. </w:t>
      </w:r>
      <w:r w:rsidRPr="00BE27F7">
        <w:rPr>
          <w:rFonts w:eastAsia="Calibri"/>
          <w:color w:val="auto"/>
          <w:sz w:val="24"/>
          <w:szCs w:val="24"/>
          <w:lang w:eastAsia="en-US"/>
        </w:rPr>
        <w:t xml:space="preserve">Available at: </w:t>
      </w:r>
      <w:hyperlink r:id="rId49" w:history="1">
        <w:r w:rsidRPr="00BE27F7">
          <w:rPr>
            <w:rFonts w:eastAsia="Calibri"/>
            <w:color w:val="0563C1" w:themeColor="hyperlink"/>
            <w:sz w:val="24"/>
            <w:szCs w:val="24"/>
            <w:u w:val="single"/>
            <w:lang w:eastAsia="en-US"/>
          </w:rPr>
          <w:t>https://assets.publishing.service.gov.uk/government/uploads/system/uploads/attachment_data/file/936912/NASPLE_Version_2.1_November_2020.pdf</w:t>
        </w:r>
      </w:hyperlink>
      <w:r w:rsidRPr="00BE27F7">
        <w:rPr>
          <w:rFonts w:eastAsia="Calibri"/>
          <w:color w:val="auto"/>
          <w:sz w:val="24"/>
          <w:szCs w:val="24"/>
          <w:lang w:eastAsia="en-US"/>
        </w:rPr>
        <w:t xml:space="preserve"> (Accessed 17 June 2021).</w:t>
      </w:r>
    </w:p>
    <w:p w14:paraId="6B698AA5"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Home Office (2020b) </w:t>
      </w:r>
      <w:r w:rsidRPr="00BE27F7">
        <w:rPr>
          <w:rFonts w:eastAsia="Calibri"/>
          <w:i/>
          <w:iCs/>
          <w:color w:val="auto"/>
          <w:sz w:val="24"/>
          <w:szCs w:val="24"/>
          <w:lang w:eastAsia="en-US"/>
        </w:rPr>
        <w:t>Guidance on ANPR Performance Assessment and Optimisation.</w:t>
      </w:r>
      <w:r w:rsidRPr="00BE27F7">
        <w:rPr>
          <w:rFonts w:eastAsia="Calibri"/>
          <w:color w:val="auto"/>
          <w:sz w:val="24"/>
          <w:szCs w:val="24"/>
          <w:lang w:eastAsia="en-US"/>
        </w:rPr>
        <w:t xml:space="preserve"> Available at: </w:t>
      </w:r>
      <w:hyperlink r:id="rId50" w:history="1">
        <w:r w:rsidRPr="00BE27F7">
          <w:rPr>
            <w:rFonts w:eastAsia="Calibri"/>
            <w:color w:val="0563C1" w:themeColor="hyperlink"/>
            <w:sz w:val="24"/>
            <w:szCs w:val="24"/>
            <w:u w:val="single"/>
            <w:lang w:eastAsia="en-US"/>
          </w:rPr>
          <w:t>https://assets.publishing.service.gov.uk/government/uploads/system/uploads/attachment_data/file/909024/ANPR_-_Evaluation_Approved_Version_2.0.pdf</w:t>
        </w:r>
      </w:hyperlink>
      <w:r w:rsidRPr="00BE27F7">
        <w:rPr>
          <w:rFonts w:eastAsia="Calibri"/>
          <w:color w:val="auto"/>
          <w:sz w:val="24"/>
          <w:szCs w:val="24"/>
          <w:lang w:eastAsia="en-US"/>
        </w:rPr>
        <w:t xml:space="preserve"> (Accessed 17 June 2021).</w:t>
      </w:r>
    </w:p>
    <w:p w14:paraId="4AF8D34D"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bookmarkStart w:id="4" w:name="_Hlk77309771"/>
      <w:r w:rsidRPr="00BE27F7">
        <w:rPr>
          <w:rFonts w:eastAsia="Calibri"/>
          <w:color w:val="auto"/>
          <w:sz w:val="24"/>
          <w:szCs w:val="24"/>
          <w:lang w:eastAsia="en-US"/>
        </w:rPr>
        <w:t xml:space="preserve">HM Government (2018) </w:t>
      </w:r>
      <w:r w:rsidRPr="00BE27F7">
        <w:rPr>
          <w:rFonts w:eastAsia="Calibri"/>
          <w:i/>
          <w:iCs/>
          <w:color w:val="auto"/>
          <w:sz w:val="24"/>
          <w:szCs w:val="24"/>
          <w:lang w:eastAsia="en-US"/>
        </w:rPr>
        <w:t xml:space="preserve">Serious and Organised Crime Strategy. </w:t>
      </w:r>
      <w:r w:rsidRPr="00BE27F7">
        <w:rPr>
          <w:rFonts w:eastAsia="Calibri"/>
          <w:color w:val="auto"/>
          <w:sz w:val="24"/>
          <w:szCs w:val="24"/>
          <w:lang w:eastAsia="en-US"/>
        </w:rPr>
        <w:t xml:space="preserve">Available at: </w:t>
      </w:r>
      <w:hyperlink r:id="rId51" w:history="1">
        <w:r w:rsidRPr="00BE27F7">
          <w:rPr>
            <w:rFonts w:eastAsia="Calibri"/>
            <w:color w:val="0563C1" w:themeColor="hyperlink"/>
            <w:sz w:val="24"/>
            <w:szCs w:val="24"/>
            <w:u w:val="single"/>
            <w:lang w:eastAsia="en-US"/>
          </w:rPr>
          <w:t>https://assets.publishing.service.gov.uk/government/uploads/system/uploads/attachment_data/file/752850/SOC-2018-web.pdf</w:t>
        </w:r>
      </w:hyperlink>
      <w:r w:rsidRPr="00BE27F7">
        <w:rPr>
          <w:rFonts w:eastAsia="Calibri"/>
          <w:color w:val="auto"/>
          <w:sz w:val="24"/>
          <w:szCs w:val="24"/>
          <w:lang w:eastAsia="en-US"/>
        </w:rPr>
        <w:t xml:space="preserve"> (Accessed 14 June 2021).</w:t>
      </w:r>
    </w:p>
    <w:bookmarkEnd w:id="4"/>
    <w:p w14:paraId="46CF1873"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HMICFRS (2020a) Roads Policing: </w:t>
      </w:r>
      <w:r w:rsidRPr="00BE27F7">
        <w:rPr>
          <w:rFonts w:eastAsia="Calibri"/>
          <w:i/>
          <w:iCs/>
          <w:color w:val="auto"/>
          <w:sz w:val="24"/>
          <w:szCs w:val="24"/>
          <w:lang w:eastAsia="en-US"/>
        </w:rPr>
        <w:t xml:space="preserve">Not optional </w:t>
      </w:r>
      <w:proofErr w:type="gramStart"/>
      <w:r w:rsidRPr="00BE27F7">
        <w:rPr>
          <w:rFonts w:eastAsia="Calibri"/>
          <w:i/>
          <w:iCs/>
          <w:color w:val="auto"/>
          <w:sz w:val="24"/>
          <w:szCs w:val="24"/>
          <w:lang w:eastAsia="en-US"/>
        </w:rPr>
        <w:t>An</w:t>
      </w:r>
      <w:proofErr w:type="gramEnd"/>
      <w:r w:rsidRPr="00BE27F7">
        <w:rPr>
          <w:rFonts w:eastAsia="Calibri"/>
          <w:i/>
          <w:iCs/>
          <w:color w:val="auto"/>
          <w:sz w:val="24"/>
          <w:szCs w:val="24"/>
          <w:lang w:eastAsia="en-US"/>
        </w:rPr>
        <w:t xml:space="preserve"> inspection of roads policing in England and Wales.</w:t>
      </w:r>
      <w:r w:rsidRPr="00BE27F7">
        <w:rPr>
          <w:rFonts w:eastAsia="Calibri"/>
          <w:color w:val="auto"/>
          <w:sz w:val="24"/>
          <w:szCs w:val="24"/>
          <w:lang w:eastAsia="en-US"/>
        </w:rPr>
        <w:t xml:space="preserve"> Available at: </w:t>
      </w:r>
      <w:hyperlink r:id="rId52" w:history="1">
        <w:r w:rsidRPr="00BE27F7">
          <w:rPr>
            <w:rFonts w:eastAsia="Calibri"/>
            <w:color w:val="0563C1" w:themeColor="hyperlink"/>
            <w:sz w:val="24"/>
            <w:szCs w:val="24"/>
            <w:u w:val="single"/>
            <w:lang w:eastAsia="en-US"/>
          </w:rPr>
          <w:t>https://www.justiceinspectorates.gov.uk/hmicfrs/wp-content/uploads/roads-policing-not-optional-an-inspection-of-roads-policing-in-england-and-wales.pdf</w:t>
        </w:r>
      </w:hyperlink>
      <w:r w:rsidRPr="00BE27F7">
        <w:rPr>
          <w:rFonts w:eastAsia="Calibri"/>
          <w:color w:val="auto"/>
          <w:sz w:val="24"/>
          <w:szCs w:val="24"/>
          <w:lang w:eastAsia="en-US"/>
        </w:rPr>
        <w:t xml:space="preserve"> (Accessed 16 June 2021).</w:t>
      </w:r>
    </w:p>
    <w:p w14:paraId="11E9C7B3"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lastRenderedPageBreak/>
        <w:t>HMICFRS (2020</w:t>
      </w:r>
      <w:proofErr w:type="gramStart"/>
      <w:r w:rsidRPr="00BE27F7">
        <w:rPr>
          <w:rFonts w:eastAsia="Calibri"/>
          <w:color w:val="auto"/>
          <w:sz w:val="24"/>
          <w:szCs w:val="24"/>
          <w:lang w:eastAsia="en-US"/>
        </w:rPr>
        <w:t xml:space="preserve">b) </w:t>
      </w:r>
      <w:r w:rsidRPr="00BE27F7">
        <w:rPr>
          <w:rFonts w:eastAsia="Calibri"/>
          <w:i/>
          <w:iCs/>
          <w:color w:val="auto"/>
          <w:sz w:val="24"/>
          <w:szCs w:val="24"/>
          <w:lang w:eastAsia="en-US"/>
        </w:rPr>
        <w:t xml:space="preserve"> Both</w:t>
      </w:r>
      <w:proofErr w:type="gramEnd"/>
      <w:r w:rsidRPr="00BE27F7">
        <w:rPr>
          <w:rFonts w:eastAsia="Calibri"/>
          <w:i/>
          <w:iCs/>
          <w:color w:val="auto"/>
          <w:sz w:val="24"/>
          <w:szCs w:val="24"/>
          <w:lang w:eastAsia="en-US"/>
        </w:rPr>
        <w:t xml:space="preserve"> sides of the coin The police and National Crime Agency’s response to vulnerable people in ‘county lines’ drug offending. </w:t>
      </w:r>
      <w:r w:rsidRPr="00BE27F7">
        <w:rPr>
          <w:rFonts w:eastAsia="Calibri"/>
          <w:color w:val="auto"/>
          <w:sz w:val="24"/>
          <w:szCs w:val="24"/>
          <w:lang w:eastAsia="en-US"/>
        </w:rPr>
        <w:t xml:space="preserve">Available at: </w:t>
      </w:r>
      <w:hyperlink r:id="rId53" w:history="1">
        <w:r w:rsidRPr="00BE27F7">
          <w:rPr>
            <w:rFonts w:eastAsia="Calibri"/>
            <w:color w:val="0563C1" w:themeColor="hyperlink"/>
            <w:sz w:val="24"/>
            <w:szCs w:val="24"/>
            <w:u w:val="single"/>
            <w:lang w:eastAsia="en-US"/>
          </w:rPr>
          <w:t>https://www.justiceinspectorates.gov.uk/hmicfrs/wp-content/uploads/both-sides-of-the-coin-police-nca-response-vulnerable-people-county-lines-drug-offending.pdf</w:t>
        </w:r>
      </w:hyperlink>
      <w:r w:rsidRPr="00BE27F7">
        <w:rPr>
          <w:rFonts w:eastAsia="Calibri"/>
          <w:color w:val="auto"/>
          <w:sz w:val="24"/>
          <w:szCs w:val="24"/>
          <w:lang w:eastAsia="en-US"/>
        </w:rPr>
        <w:t xml:space="preserve"> (Accessed 26 June 2021).</w:t>
      </w:r>
    </w:p>
    <w:p w14:paraId="509EE249"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NCA (2018) </w:t>
      </w:r>
      <w:r w:rsidRPr="00BE27F7">
        <w:rPr>
          <w:rFonts w:eastAsia="Calibri"/>
          <w:i/>
          <w:iCs/>
          <w:color w:val="auto"/>
          <w:sz w:val="24"/>
          <w:szCs w:val="24"/>
          <w:lang w:eastAsia="en-US"/>
        </w:rPr>
        <w:t xml:space="preserve">County Lines Drug Supply, Vulnerability and Harm 2018. </w:t>
      </w:r>
      <w:r w:rsidRPr="00BE27F7">
        <w:rPr>
          <w:rFonts w:eastAsia="Calibri"/>
          <w:color w:val="auto"/>
          <w:sz w:val="24"/>
          <w:szCs w:val="24"/>
          <w:lang w:eastAsia="en-US"/>
        </w:rPr>
        <w:t xml:space="preserve">Available at: </w:t>
      </w:r>
      <w:hyperlink r:id="rId54" w:history="1">
        <w:r w:rsidRPr="00BE27F7">
          <w:rPr>
            <w:rFonts w:eastAsia="Calibri"/>
            <w:color w:val="0563C1" w:themeColor="hyperlink"/>
            <w:sz w:val="24"/>
            <w:szCs w:val="24"/>
            <w:u w:val="single"/>
            <w:lang w:eastAsia="en-US"/>
          </w:rPr>
          <w:t>https://www.nationalcrimeagency.gov.uk/who-we-are/publications/257-county-lines-drug-supply-vulnerability-and-harm-2018/file</w:t>
        </w:r>
      </w:hyperlink>
      <w:r w:rsidRPr="00BE27F7">
        <w:rPr>
          <w:rFonts w:eastAsia="Calibri"/>
          <w:color w:val="auto"/>
          <w:sz w:val="24"/>
          <w:szCs w:val="24"/>
          <w:lang w:eastAsia="en-US"/>
        </w:rPr>
        <w:t xml:space="preserve"> (Accessed 20 June 2021).</w:t>
      </w:r>
    </w:p>
    <w:p w14:paraId="7A5BF690"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North Yorkshire Police (2018) </w:t>
      </w:r>
      <w:r w:rsidRPr="00BE27F7">
        <w:rPr>
          <w:rFonts w:eastAsia="Calibri"/>
          <w:i/>
          <w:iCs/>
          <w:color w:val="auto"/>
          <w:sz w:val="24"/>
          <w:szCs w:val="24"/>
          <w:lang w:eastAsia="en-US"/>
        </w:rPr>
        <w:t>#</w:t>
      </w:r>
      <w:proofErr w:type="spellStart"/>
      <w:r w:rsidRPr="00BE27F7">
        <w:rPr>
          <w:rFonts w:eastAsia="Calibri"/>
          <w:i/>
          <w:iCs/>
          <w:color w:val="auto"/>
          <w:sz w:val="24"/>
          <w:szCs w:val="24"/>
          <w:lang w:eastAsia="en-US"/>
        </w:rPr>
        <w:t>Behindthescenes</w:t>
      </w:r>
      <w:proofErr w:type="spellEnd"/>
      <w:r w:rsidRPr="00BE27F7">
        <w:rPr>
          <w:rFonts w:eastAsia="Calibri"/>
          <w:i/>
          <w:iCs/>
          <w:color w:val="auto"/>
          <w:sz w:val="24"/>
          <w:szCs w:val="24"/>
          <w:lang w:eastAsia="en-US"/>
        </w:rPr>
        <w:t xml:space="preserve"> – how technology helps keep North Yorkshire safe: ANPR. </w:t>
      </w:r>
      <w:r w:rsidRPr="00BE27F7">
        <w:rPr>
          <w:rFonts w:eastAsia="Calibri"/>
          <w:color w:val="auto"/>
          <w:sz w:val="24"/>
          <w:szCs w:val="24"/>
          <w:lang w:eastAsia="en-US"/>
        </w:rPr>
        <w:t xml:space="preserve">Available at: </w:t>
      </w:r>
      <w:hyperlink r:id="rId55" w:history="1">
        <w:r w:rsidRPr="00BE27F7">
          <w:rPr>
            <w:rFonts w:eastAsia="Calibri"/>
            <w:color w:val="0563C1" w:themeColor="hyperlink"/>
            <w:sz w:val="24"/>
            <w:szCs w:val="24"/>
            <w:u w:val="single"/>
            <w:lang w:eastAsia="en-US"/>
          </w:rPr>
          <w:t>https://northyorkshire.police.uk/news/behindthescenes-how-technology-keeps-north-yorkshire-safe-anpr/</w:t>
        </w:r>
      </w:hyperlink>
      <w:r w:rsidRPr="00BE27F7">
        <w:rPr>
          <w:rFonts w:eastAsia="Calibri"/>
          <w:color w:val="auto"/>
          <w:sz w:val="24"/>
          <w:szCs w:val="24"/>
          <w:lang w:eastAsia="en-US"/>
        </w:rPr>
        <w:t xml:space="preserve"> (Accessed 19 June 2021).</w:t>
      </w:r>
    </w:p>
    <w:p w14:paraId="350EEFAB"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NPCC (2018) </w:t>
      </w:r>
      <w:r w:rsidRPr="00BE27F7">
        <w:rPr>
          <w:rFonts w:eastAsia="Calibri"/>
          <w:i/>
          <w:iCs/>
          <w:color w:val="auto"/>
          <w:sz w:val="24"/>
          <w:szCs w:val="24"/>
          <w:lang w:eastAsia="en-US"/>
        </w:rPr>
        <w:t xml:space="preserve">Policing our Roads Together A </w:t>
      </w:r>
      <w:proofErr w:type="gramStart"/>
      <w:r w:rsidRPr="00BE27F7">
        <w:rPr>
          <w:rFonts w:eastAsia="Calibri"/>
          <w:i/>
          <w:iCs/>
          <w:color w:val="auto"/>
          <w:sz w:val="24"/>
          <w:szCs w:val="24"/>
          <w:lang w:eastAsia="en-US"/>
        </w:rPr>
        <w:t>3 year</w:t>
      </w:r>
      <w:proofErr w:type="gramEnd"/>
      <w:r w:rsidRPr="00BE27F7">
        <w:rPr>
          <w:rFonts w:eastAsia="Calibri"/>
          <w:i/>
          <w:iCs/>
          <w:color w:val="auto"/>
          <w:sz w:val="24"/>
          <w:szCs w:val="24"/>
          <w:lang w:eastAsia="en-US"/>
        </w:rPr>
        <w:t xml:space="preserve"> strategy 2018-2021.</w:t>
      </w:r>
      <w:r w:rsidRPr="00BE27F7">
        <w:rPr>
          <w:rFonts w:eastAsia="Calibri"/>
          <w:color w:val="auto"/>
          <w:sz w:val="24"/>
          <w:szCs w:val="24"/>
          <w:lang w:eastAsia="en-US"/>
        </w:rPr>
        <w:t xml:space="preserve"> Available at: </w:t>
      </w:r>
      <w:hyperlink r:id="rId56" w:history="1">
        <w:r w:rsidRPr="00BE27F7">
          <w:rPr>
            <w:rFonts w:eastAsia="Calibri"/>
            <w:color w:val="0563C1" w:themeColor="hyperlink"/>
            <w:sz w:val="24"/>
            <w:szCs w:val="24"/>
            <w:u w:val="single"/>
            <w:lang w:eastAsia="en-US"/>
          </w:rPr>
          <w:t>https://library.college.police.uk/docs/appref/Policing-our-Roads-Together-partners-copy.pdf</w:t>
        </w:r>
      </w:hyperlink>
      <w:r w:rsidRPr="00BE27F7">
        <w:rPr>
          <w:rFonts w:eastAsia="Calibri"/>
          <w:color w:val="auto"/>
          <w:sz w:val="24"/>
          <w:szCs w:val="24"/>
          <w:lang w:eastAsia="en-US"/>
        </w:rPr>
        <w:t xml:space="preserve"> (Accessed 14 June 2121).</w:t>
      </w:r>
    </w:p>
    <w:p w14:paraId="190D489E"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NPCC (2020) </w:t>
      </w:r>
      <w:r w:rsidRPr="00BE27F7">
        <w:rPr>
          <w:rFonts w:eastAsia="Calibri"/>
          <w:i/>
          <w:iCs/>
          <w:color w:val="auto"/>
          <w:sz w:val="24"/>
          <w:szCs w:val="24"/>
          <w:lang w:eastAsia="en-US"/>
        </w:rPr>
        <w:t xml:space="preserve">Automatic Number Plate Recognition (ANPR) Strategy 2020 – 2024. </w:t>
      </w:r>
      <w:r w:rsidRPr="00BE27F7">
        <w:rPr>
          <w:rFonts w:eastAsia="Calibri"/>
          <w:color w:val="auto"/>
          <w:sz w:val="24"/>
          <w:szCs w:val="24"/>
          <w:lang w:eastAsia="en-US"/>
        </w:rPr>
        <w:t xml:space="preserve">Available at: </w:t>
      </w:r>
      <w:hyperlink r:id="rId57" w:history="1">
        <w:r w:rsidRPr="00BE27F7">
          <w:rPr>
            <w:rFonts w:eastAsia="Calibri"/>
            <w:color w:val="0563C1" w:themeColor="hyperlink"/>
            <w:sz w:val="24"/>
            <w:szCs w:val="24"/>
            <w:u w:val="single"/>
            <w:lang w:eastAsia="en-US"/>
          </w:rPr>
          <w:t>https://www.npcc.police.uk/ANPR%20Strategy%202020%20Final.pdf</w:t>
        </w:r>
      </w:hyperlink>
      <w:r w:rsidRPr="00BE27F7">
        <w:rPr>
          <w:rFonts w:eastAsia="Calibri"/>
          <w:color w:val="auto"/>
          <w:sz w:val="24"/>
          <w:szCs w:val="24"/>
          <w:lang w:eastAsia="en-US"/>
        </w:rPr>
        <w:t xml:space="preserve"> (Accessed 17 June 2021).</w:t>
      </w:r>
    </w:p>
    <w:p w14:paraId="2DA7928B"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NPCC (2021) </w:t>
      </w:r>
      <w:r w:rsidRPr="00BE27F7">
        <w:rPr>
          <w:rFonts w:eastAsia="Calibri"/>
          <w:i/>
          <w:iCs/>
          <w:color w:val="auto"/>
          <w:sz w:val="24"/>
          <w:szCs w:val="24"/>
          <w:lang w:eastAsia="en-US"/>
        </w:rPr>
        <w:t>Automatic Number Plate Recognition (ANPR).</w:t>
      </w:r>
      <w:r w:rsidRPr="00BE27F7">
        <w:rPr>
          <w:rFonts w:eastAsia="Calibri"/>
          <w:color w:val="auto"/>
          <w:sz w:val="24"/>
          <w:szCs w:val="24"/>
          <w:lang w:eastAsia="en-US"/>
        </w:rPr>
        <w:t xml:space="preserve"> Available at: https://www.npcc.police.uk/FreedomofInformation/ANPR.aspx (Accessed 17 June 2021).</w:t>
      </w:r>
    </w:p>
    <w:p w14:paraId="10AD9A5E" w14:textId="77777777" w:rsidR="004659AC" w:rsidRPr="00BE27F7" w:rsidRDefault="004659AC" w:rsidP="004659AC">
      <w:pPr>
        <w:overflowPunct/>
        <w:autoSpaceDE/>
        <w:autoSpaceDN/>
        <w:adjustRightInd/>
        <w:spacing w:after="160" w:line="256" w:lineRule="auto"/>
        <w:textAlignment w:val="auto"/>
        <w:rPr>
          <w:rFonts w:eastAsia="Calibri"/>
          <w:color w:val="auto"/>
          <w:sz w:val="24"/>
          <w:szCs w:val="24"/>
          <w:lang w:eastAsia="en-US"/>
        </w:rPr>
      </w:pPr>
      <w:r w:rsidRPr="00BE27F7">
        <w:rPr>
          <w:rFonts w:eastAsia="Calibri"/>
          <w:color w:val="auto"/>
          <w:sz w:val="24"/>
          <w:szCs w:val="24"/>
          <w:lang w:eastAsia="en-US"/>
        </w:rPr>
        <w:t xml:space="preserve">Police Foundation (2013) </w:t>
      </w:r>
      <w:r w:rsidRPr="00BE27F7">
        <w:rPr>
          <w:rFonts w:eastAsia="Calibri"/>
          <w:i/>
          <w:iCs/>
          <w:color w:val="auto"/>
          <w:sz w:val="24"/>
          <w:szCs w:val="24"/>
          <w:lang w:eastAsia="en-US"/>
        </w:rPr>
        <w:t xml:space="preserve">Policing and Crime Reduction The evidence and its implications for practice. </w:t>
      </w:r>
      <w:r w:rsidRPr="00BE27F7">
        <w:rPr>
          <w:rFonts w:eastAsia="Calibri"/>
          <w:color w:val="auto"/>
          <w:sz w:val="24"/>
          <w:szCs w:val="24"/>
          <w:lang w:eastAsia="en-US"/>
        </w:rPr>
        <w:t xml:space="preserve">Available at: </w:t>
      </w:r>
      <w:hyperlink r:id="rId58" w:history="1">
        <w:r w:rsidRPr="00BE27F7">
          <w:rPr>
            <w:rFonts w:eastAsia="Calibri"/>
            <w:color w:val="0563C1" w:themeColor="hyperlink"/>
            <w:sz w:val="24"/>
            <w:szCs w:val="24"/>
            <w:u w:val="single"/>
            <w:lang w:eastAsia="en-US"/>
          </w:rPr>
          <w:t>https://www.police-foundation.org.uk/2017/wp-content/uploads/2017/06/police-foundation-police-effectiveness-report.pdf</w:t>
        </w:r>
      </w:hyperlink>
      <w:r w:rsidRPr="00BE27F7">
        <w:rPr>
          <w:rFonts w:eastAsia="Calibri"/>
          <w:color w:val="auto"/>
          <w:sz w:val="24"/>
          <w:szCs w:val="24"/>
          <w:lang w:eastAsia="en-US"/>
        </w:rPr>
        <w:t xml:space="preserve"> (Accessed 16 June 2021).</w:t>
      </w:r>
    </w:p>
    <w:p w14:paraId="4FE90D75" w14:textId="77777777" w:rsidR="004659AC" w:rsidRDefault="004659AC" w:rsidP="00B459FC"/>
    <w:sectPr w:rsidR="004659A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B504C5" w14:textId="77777777" w:rsidR="00BE27F7" w:rsidRDefault="00BE27F7">
      <w:r>
        <w:separator/>
      </w:r>
    </w:p>
  </w:endnote>
  <w:endnote w:type="continuationSeparator" w:id="0">
    <w:p w14:paraId="1F7D2B98" w14:textId="77777777" w:rsidR="00BE27F7" w:rsidRDefault="00BE27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C93D34" w14:textId="77777777" w:rsidR="00BE27F7" w:rsidRDefault="00BE27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BE27F7" w:rsidRDefault="00BE27F7">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BE27F7" w:rsidRPr="00BB5EAA" w:rsidRDefault="00BE27F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887E47" w14:textId="77777777" w:rsidR="00BE27F7" w:rsidRDefault="00BE27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B817C4" w14:textId="77777777" w:rsidR="00BE27F7" w:rsidRDefault="00BE27F7">
      <w:r>
        <w:separator/>
      </w:r>
    </w:p>
  </w:footnote>
  <w:footnote w:type="continuationSeparator" w:id="0">
    <w:p w14:paraId="10351D9C" w14:textId="77777777" w:rsidR="00BE27F7" w:rsidRDefault="00BE27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623252" w14:textId="77777777" w:rsidR="00BE27F7" w:rsidRDefault="00BE27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5A1AC0" w14:textId="77777777" w:rsidR="00BE27F7" w:rsidRDefault="00BE27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B74B61" w14:textId="77777777" w:rsidR="00BE27F7" w:rsidRDefault="00BE27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2896A3B"/>
    <w:multiLevelType w:val="hybridMultilevel"/>
    <w:tmpl w:val="494C4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1C0015"/>
    <w:multiLevelType w:val="hybridMultilevel"/>
    <w:tmpl w:val="A1385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4" w15:restartNumberingAfterBreak="0">
    <w:nsid w:val="1A630E23"/>
    <w:multiLevelType w:val="hybridMultilevel"/>
    <w:tmpl w:val="2A849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6" w15:restartNumberingAfterBreak="0">
    <w:nsid w:val="68B538EF"/>
    <w:multiLevelType w:val="hybridMultilevel"/>
    <w:tmpl w:val="C582C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7"/>
  </w:num>
  <w:num w:numId="5">
    <w:abstractNumId w:val="4"/>
  </w:num>
  <w:num w:numId="6">
    <w:abstractNumId w:val="1"/>
  </w:num>
  <w:num w:numId="7">
    <w:abstractNumId w:val="6"/>
  </w:num>
  <w:num w:numId="8">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4B4A"/>
    <w:rsid w:val="000372B2"/>
    <w:rsid w:val="0004079F"/>
    <w:rsid w:val="00045B87"/>
    <w:rsid w:val="00045C07"/>
    <w:rsid w:val="00055D43"/>
    <w:rsid w:val="00056FAC"/>
    <w:rsid w:val="00057751"/>
    <w:rsid w:val="00062E39"/>
    <w:rsid w:val="00070768"/>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5AAD"/>
    <w:rsid w:val="000F6196"/>
    <w:rsid w:val="000F7ECD"/>
    <w:rsid w:val="00102E64"/>
    <w:rsid w:val="0010312C"/>
    <w:rsid w:val="00106DC7"/>
    <w:rsid w:val="00112391"/>
    <w:rsid w:val="00114F52"/>
    <w:rsid w:val="0012135C"/>
    <w:rsid w:val="001347F8"/>
    <w:rsid w:val="0013758F"/>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3F0A"/>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1C90"/>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659AC"/>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1BA0"/>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172A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808"/>
    <w:rsid w:val="00964CC6"/>
    <w:rsid w:val="00991FDA"/>
    <w:rsid w:val="009927A1"/>
    <w:rsid w:val="0099774D"/>
    <w:rsid w:val="009A1AC9"/>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27F7"/>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9BA"/>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A5AE1"/>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BE27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870653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What-we-do/Ethics/Ethics-home/Documents/Code_of_Ethics.pdf" TargetMode="External"/><Relationship Id="rId39" Type="http://schemas.openxmlformats.org/officeDocument/2006/relationships/hyperlink" Target="https://www.college.police.uk/What-we-do/Ethics/Ethics-home/Documents/Code_of_Ethics.pdf" TargetMode="External"/><Relationship Id="rId21" Type="http://schemas.openxmlformats.org/officeDocument/2006/relationships/hyperlink" Target="https://www.polfed.org/westmids/media/3344/cop-npcc-officer-staff-safety-review.pdf" TargetMode="External"/><Relationship Id="rId34" Type="http://schemas.openxmlformats.org/officeDocument/2006/relationships/hyperlink" Target="https://www.legislation.gov.uk/ukpga/%202005/9/section/3" TargetMode="External"/><Relationship Id="rId42" Type="http://schemas.openxmlformats.org/officeDocument/2006/relationships/hyperlink" Target="https://doi.org/10.2224/sbp.8122" TargetMode="External"/><Relationship Id="rId47" Type="http://schemas.openxmlformats.org/officeDocument/2006/relationships/hyperlink" Target="https://assets.publishing.service.gov.uk/government/uploads/system/uploads/attachment_data/file/942420/vehicle-licensing-statistics-july-to-september-2020.pdf" TargetMode="External"/><Relationship Id="rId50" Type="http://schemas.openxmlformats.org/officeDocument/2006/relationships/hyperlink" Target="https://assets.publishing.service.gov.uk/government/uploads/system/uploads/attachment_data/file/909024/ANPR_-_Evaluation_Approved_Version_2.0.pdf" TargetMode="External"/><Relationship Id="rId55" Type="http://schemas.openxmlformats.org/officeDocument/2006/relationships/hyperlink" Target="https://northyorkshire.police.uk/news/behindthescenes-how-technology-keeps-north-yorkshire-safe-anpr/"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polfed.org/media/16557/dcw_prrb-report-13-01-2021-v20.pdf" TargetMode="External"/><Relationship Id="rId33" Type="http://schemas.openxmlformats.org/officeDocument/2006/relationships/hyperlink" Target="https://www.legislation.gov.uk/ukpga/1983/20/section/136" TargetMode="External"/><Relationship Id="rId38" Type="http://schemas.openxmlformats.org/officeDocument/2006/relationships/hyperlink" Target="https://search-ebscohost-com.ezproxy.uwtsd.ac.uk/login.aspx?direct=true&amp;db=nlebk&amp;AN=459724&amp;site=ehost-live" TargetMode="External"/><Relationship Id="rId46" Type="http://schemas.openxmlformats.org/officeDocument/2006/relationships/hyperlink" Target="https://whatworks.college.police.uk/Research/Documents/Menu_of_tactics.pdf" TargetMode="External"/><Relationship Id="rId59"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publishing.service.gov.uk/government/uploads/system/uploads/attachment_data/file/955182/police-workforce-mar20-hosb2020.pdf" TargetMode="External"/><Relationship Id="rId29" Type="http://schemas.openxmlformats.org/officeDocument/2006/relationships/hyperlink" Target="https://www.gwent.pcc.police.uk/en/news-room/new-community-remedy-rolls-out/" TargetMode="External"/><Relationship Id="rId41" Type="http://schemas.openxmlformats.org/officeDocument/2006/relationships/hyperlink" Target="https://assets.publishing.service.gov.uk/government/uploads/system/uploads/attachment_data/file/863820/Home_Office_Statutory_Guidance_0502.pdf" TargetMode="External"/><Relationship Id="rId54" Type="http://schemas.openxmlformats.org/officeDocument/2006/relationships/hyperlink" Target="https://www.nationalcrimeagency.gov.uk/who-we-are/publications/257-county-lines-drug-supply-vulnerability-and-harm-2018/fi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olfed.org/news/latest-news/2019/government-must-face-facts-extreme-stress-in-policing-is-real/" TargetMode="External"/><Relationship Id="rId32" Type="http://schemas.openxmlformats.org/officeDocument/2006/relationships/hyperlink" Target="https://assets.publishing.service.gov.uk/government/uploads/system/uploads/attachment_data/file/866071/identifying-people-at-risk-_enforcement_-v2.0_ext.pdf" TargetMode="External"/><Relationship Id="rId37" Type="http://schemas.openxmlformats.org/officeDocument/2006/relationships/hyperlink" Target="https://doi-org.ezproxy.uwtsd.ac.uk/10.1111/j.1467-6486.2007.00666.x" TargetMode="External"/><Relationship Id="rId40" Type="http://schemas.openxmlformats.org/officeDocument/2006/relationships/hyperlink" Target="https://paas-s3-broker-prod-lon-6453d964-1d1a-432a-9260-5e0ba7d2fc51.s3.eu-west-2.amazonaws.com/s3fs-public/2020-12/Transformation-framework.pdf" TargetMode="External"/><Relationship Id="rId45" Type="http://schemas.openxmlformats.org/officeDocument/2006/relationships/hyperlink" Target="https://www.app.college.police.uk/app-content/investigations/investigative-strategies/investigative-strategiesanpr/" TargetMode="External"/><Relationship Id="rId53" Type="http://schemas.openxmlformats.org/officeDocument/2006/relationships/hyperlink" Target="https://www.justiceinspectorates.gov.uk/hmicfrs/wp-content/uploads/both-sides-of-the-coin-police-nca-response-vulnerable-people-county-lines-drug-offending.pdf" TargetMode="External"/><Relationship Id="rId58" Type="http://schemas.openxmlformats.org/officeDocument/2006/relationships/hyperlink" Target="https://www.police-foundation.org.uk/2017/wp-content/uploads/2017/06/police-foundation-police-effectiveness-report.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polfed.org/media/15355/demandcapacityandwelfaresurveyheadlinestatistics2018-06-02-19-v1.pdf" TargetMode="External"/><Relationship Id="rId28" Type="http://schemas.openxmlformats.org/officeDocument/2006/relationships/hyperlink" Target="https://www.legislation.gov.uk/ukpga/1971/48/section/1" TargetMode="External"/><Relationship Id="rId36" Type="http://schemas.openxmlformats.org/officeDocument/2006/relationships/hyperlink" Target="https://www.legislation.gov.uk/ukpga/1984/60/section/24" TargetMode="External"/><Relationship Id="rId49" Type="http://schemas.openxmlformats.org/officeDocument/2006/relationships/hyperlink" Target="https://assets.publishing.service.gov.uk/government/uploads/system/uploads/attachment_data/file/936912/NASPLE_Version_2.1_November_2020.pdf" TargetMode="External"/><Relationship Id="rId57" Type="http://schemas.openxmlformats.org/officeDocument/2006/relationships/hyperlink" Target="https://www.npcc.police.uk/ANPR%20Strategy%202020%20Final.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justiceinspectorates.gov.uk/hmicfrs/wp-content/uploads/police-effectiveness-vulnerability-2015-gwent.pdf" TargetMode="External"/><Relationship Id="rId44" Type="http://schemas.openxmlformats.org/officeDocument/2006/relationships/hyperlink" Target="http://www.anpr-international.com/history-of-anpr/" TargetMode="External"/><Relationship Id="rId52" Type="http://schemas.openxmlformats.org/officeDocument/2006/relationships/hyperlink" Target="https://www.justiceinspectorates.gov.uk/hmicfrs/wp-content/uploads/roads-policing-not-optional-an-inspection-of-roads-policing-in-england-and-wales.pdf" TargetMode="External"/><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polfed.org/media/13785/pfew_policy_-_single_crewing_-_may_2017_v3.pdf" TargetMode="External"/><Relationship Id="rId27" Type="http://schemas.openxmlformats.org/officeDocument/2006/relationships/hyperlink" Target="https://www.app.college.police.uk/app-content/major-investigation-and-public-protection/domestic-abuse/first-response/" TargetMode="External"/><Relationship Id="rId30" Type="http://schemas.openxmlformats.org/officeDocument/2006/relationships/hyperlink" Target="https://www.justiceinspectorates.gov.uk/hmicfrs/wp-content/uploads/police-effectiveness-vulnerability-2015-south-wales.pdf" TargetMode="External"/><Relationship Id="rId35" Type="http://schemas.openxmlformats.org/officeDocument/2006/relationships/hyperlink" Target="https://www.nhs.uk/conditions/huntingtons-disease/" TargetMode="External"/><Relationship Id="rId43" Type="http://schemas.openxmlformats.org/officeDocument/2006/relationships/hyperlink" Target="https://drive.google.com/file/d/0B0h_RaZ4MRJKZTNqQkNsMHpaWGs2UlNtWnlZTEZOSFNGQWZ3/edit?resourcekey=0-7PPli6R6ssNLD6HX5bOgEg" TargetMode="External"/><Relationship Id="rId48" Type="http://schemas.openxmlformats.org/officeDocument/2006/relationships/hyperlink" Target="https://assets.publishing.service.gov.uk/government/uploads/system/uploads/attachment_data/file/899574/roads-policing-review-call-for-evidence.pdf" TargetMode="External"/><Relationship Id="rId56" Type="http://schemas.openxmlformats.org/officeDocument/2006/relationships/hyperlink" Target="https://library.college.police.uk/docs/appref/Policing-our-Roads-Together-partners-copy.pdf" TargetMode="External"/><Relationship Id="rId8" Type="http://schemas.openxmlformats.org/officeDocument/2006/relationships/webSettings" Target="webSettings.xml"/><Relationship Id="rId51" Type="http://schemas.openxmlformats.org/officeDocument/2006/relationships/hyperlink" Target="https://assets.publishing.service.gov.uk/government/uploads/system/uploads/attachment_data/file/752850/SOC-2018-web.pdf"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purl.org/dc/elements/1.1/"/>
    <ds:schemaRef ds:uri="2e89cfda-a374-4413-9f0d-8b601eddeb70"/>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09015123-4AFC-4691-AEF3-34564E8CDF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8601</Words>
  <Characters>55977</Characters>
  <Application>Microsoft Office Word</Application>
  <DocSecurity>0</DocSecurity>
  <Lines>466</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Coomer, Christian</cp:lastModifiedBy>
  <cp:revision>2</cp:revision>
  <cp:lastPrinted>2014-08-26T08:55:00Z</cp:lastPrinted>
  <dcterms:created xsi:type="dcterms:W3CDTF">2021-07-18T13:28:00Z</dcterms:created>
  <dcterms:modified xsi:type="dcterms:W3CDTF">2021-07-18T13:28:00Z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SetDate">
    <vt:lpwstr>2021-01-13T18:22:36.9318537Z</vt:lpwstr>
  </property>
  <property fmtid="{D5CDD505-2E9C-101B-9397-08002B2CF9AE}" pid="6" name="MSIP_Label_f2acd28b-79a3-4a0f-b0ff-4b75658b1549_Name">
    <vt:lpwstr>OFFICIAL</vt:lpwstr>
  </property>
  <property fmtid="{D5CDD505-2E9C-101B-9397-08002B2CF9AE}" pid="7" name="MSIP_Label_f2acd28b-79a3-4a0f-b0ff-4b75658b1549_ActionId">
    <vt:lpwstr>ad34d7f1-1f78-4961-ac47-67064a129ed3</vt:lpwstr>
  </property>
  <property fmtid="{D5CDD505-2E9C-101B-9397-08002B2CF9AE}" pid="8" name="MSIP_Label_f2acd28b-79a3-4a0f-b0ff-4b75658b1549_Extended_MSFT_Method">
    <vt:lpwstr>Automatic</vt:lpwstr>
  </property>
  <property fmtid="{D5CDD505-2E9C-101B-9397-08002B2CF9AE}" pid="9" name="Sensitivity">
    <vt:lpwstr>OFFICIAL</vt:lpwstr>
  </property>
</Properties>
</file>