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E69E9" w14:textId="77777777" w:rsidR="007B3762" w:rsidRPr="00327AB2" w:rsidRDefault="007B3762" w:rsidP="000D2731">
      <w:pPr>
        <w:pStyle w:val="Title"/>
        <w:rPr>
          <w:rFonts w:ascii="Arial" w:hAnsi="Arial" w:cs="Arial"/>
          <w:sz w:val="48"/>
          <w:szCs w:val="48"/>
          <w:shd w:val="clear" w:color="auto" w:fill="FFFFFF"/>
        </w:rPr>
      </w:pPr>
      <w:r w:rsidRPr="00327AB2">
        <w:rPr>
          <w:rFonts w:ascii="Arial" w:hAnsi="Arial" w:cs="Arial"/>
          <w:sz w:val="48"/>
          <w:szCs w:val="48"/>
          <w:shd w:val="clear" w:color="auto" w:fill="FFFFFF"/>
        </w:rPr>
        <w:t>FINANCIAL MANAGEMENT FOR THE HOTEL INDUSTRY</w:t>
      </w:r>
    </w:p>
    <w:p w14:paraId="18D1F493" w14:textId="77777777" w:rsidR="00F00C78" w:rsidRDefault="007B3762" w:rsidP="000D2731">
      <w:pPr>
        <w:pStyle w:val="Title"/>
        <w:rPr>
          <w:rFonts w:ascii="Arial" w:hAnsi="Arial" w:cs="Arial"/>
          <w:sz w:val="48"/>
          <w:szCs w:val="48"/>
        </w:rPr>
      </w:pPr>
      <w:r w:rsidRPr="00327AB2">
        <w:rPr>
          <w:rFonts w:ascii="Arial" w:hAnsi="Arial" w:cs="Arial"/>
          <w:sz w:val="48"/>
          <w:szCs w:val="48"/>
        </w:rPr>
        <w:t>Case Study: The Seacrest Lodge</w:t>
      </w:r>
    </w:p>
    <w:p w14:paraId="53A5E9D6" w14:textId="77777777" w:rsidR="00327AB2" w:rsidRDefault="00327AB2" w:rsidP="00327AB2"/>
    <w:p w14:paraId="25BC6005" w14:textId="77777777" w:rsidR="00327AB2" w:rsidRDefault="00327AB2" w:rsidP="00327AB2"/>
    <w:p w14:paraId="448EB67E" w14:textId="61BE243A" w:rsidR="00327AB2" w:rsidRDefault="00327AB2" w:rsidP="00327AB2">
      <w:pPr>
        <w:rPr>
          <w:sz w:val="32"/>
          <w:szCs w:val="32"/>
        </w:rPr>
      </w:pPr>
      <w:r>
        <w:rPr>
          <w:sz w:val="32"/>
          <w:szCs w:val="32"/>
        </w:rPr>
        <w:t xml:space="preserve">Student Name: Ana-Maria </w:t>
      </w:r>
      <w:proofErr w:type="spellStart"/>
      <w:r>
        <w:rPr>
          <w:sz w:val="32"/>
          <w:szCs w:val="32"/>
        </w:rPr>
        <w:t>Bosuioc</w:t>
      </w:r>
      <w:proofErr w:type="spellEnd"/>
    </w:p>
    <w:p w14:paraId="2259BFEB" w14:textId="0CCA0FEC" w:rsidR="00327AB2" w:rsidRDefault="00327AB2" w:rsidP="00327AB2">
      <w:pPr>
        <w:rPr>
          <w:sz w:val="32"/>
          <w:szCs w:val="32"/>
        </w:rPr>
      </w:pPr>
      <w:r>
        <w:rPr>
          <w:sz w:val="32"/>
          <w:szCs w:val="32"/>
        </w:rPr>
        <w:t>Student number: 2126864</w:t>
      </w:r>
    </w:p>
    <w:p w14:paraId="0839CCBD" w14:textId="3A77A4A3" w:rsidR="00327AB2" w:rsidRPr="00327AB2" w:rsidRDefault="00327AB2" w:rsidP="00327AB2">
      <w:pPr>
        <w:rPr>
          <w:sz w:val="32"/>
          <w:szCs w:val="32"/>
        </w:rPr>
      </w:pPr>
      <w:r>
        <w:rPr>
          <w:sz w:val="32"/>
          <w:szCs w:val="32"/>
        </w:rPr>
        <w:t>Teacher: Tristan Hawkins</w:t>
      </w:r>
    </w:p>
    <w:p w14:paraId="49A07894" w14:textId="77777777" w:rsidR="00A132A7" w:rsidRPr="005E345D" w:rsidRDefault="00F00C78" w:rsidP="00A132A7">
      <w:pPr>
        <w:pStyle w:val="Heading1"/>
      </w:pPr>
      <w:r w:rsidRPr="005E345D">
        <w:br w:type="page"/>
      </w:r>
      <w:bookmarkStart w:id="0" w:name="_Toc157504732"/>
      <w:r w:rsidRPr="005E345D">
        <w:lastRenderedPageBreak/>
        <w:t>Executive Summary</w:t>
      </w:r>
      <w:bookmarkEnd w:id="0"/>
    </w:p>
    <w:p w14:paraId="2C3EA30E" w14:textId="77777777" w:rsidR="007B3762" w:rsidRPr="005E345D" w:rsidRDefault="00A132A7" w:rsidP="00F00C78">
      <w:pPr>
        <w:spacing w:before="0"/>
        <w:rPr>
          <w:rFonts w:ascii="Arial" w:hAnsi="Arial" w:cs="Arial"/>
          <w:color w:val="000000" w:themeColor="text1"/>
          <w:kern w:val="0"/>
          <w:szCs w:val="24"/>
          <w14:ligatures w14:val="none"/>
        </w:rPr>
      </w:pPr>
      <w:r w:rsidRPr="005E345D">
        <w:rPr>
          <w:rFonts w:ascii="Arial" w:hAnsi="Arial" w:cs="Arial"/>
        </w:rPr>
        <w:t xml:space="preserve">The assessment was analysing the fiscal performance of The Seacrest Resort. The resort was having a declining revenue and profitability from 2021 to 2023. There </w:t>
      </w:r>
      <w:r w:rsidR="000D2731" w:rsidRPr="005E345D">
        <w:rPr>
          <w:rFonts w:ascii="Arial" w:hAnsi="Arial" w:cs="Arial"/>
        </w:rPr>
        <w:t>was</w:t>
      </w:r>
      <w:r w:rsidRPr="005E345D">
        <w:rPr>
          <w:rFonts w:ascii="Arial" w:hAnsi="Arial" w:cs="Arial"/>
        </w:rPr>
        <w:t xml:space="preserve"> some turnaround strategies provided for increasing the profitability of the firm. The turnaround strategies were like monitoring cash, focusing on main activities, and diligence with operating expenses. </w:t>
      </w:r>
      <w:r w:rsidRPr="005E345D">
        <w:rPr>
          <w:rFonts w:ascii="Arial" w:hAnsi="Arial" w:cs="Arial"/>
          <w:color w:val="000000" w:themeColor="text1"/>
          <w:kern w:val="0"/>
          <w:szCs w:val="24"/>
          <w14:ligatures w14:val="none"/>
        </w:rPr>
        <w:t>There was an assessment of financial risks. The turnaround strategy was significant to mitigate the profitability, efficiency, revenue, operational risks, and financial risks. It was found that</w:t>
      </w:r>
      <w:r w:rsidR="006F5022" w:rsidRPr="005E345D">
        <w:rPr>
          <w:rFonts w:ascii="Arial" w:hAnsi="Arial" w:cs="Arial"/>
          <w:color w:val="000000" w:themeColor="text1"/>
          <w:kern w:val="0"/>
          <w:szCs w:val="24"/>
          <w14:ligatures w14:val="none"/>
        </w:rPr>
        <w:t xml:space="preserve"> The Seacrest Lodge Resort must </w:t>
      </w:r>
      <w:r w:rsidR="00855BE5" w:rsidRPr="005E345D">
        <w:rPr>
          <w:rFonts w:ascii="Arial" w:hAnsi="Arial" w:cs="Arial"/>
          <w:color w:val="000000" w:themeColor="text1"/>
          <w:kern w:val="0"/>
          <w:szCs w:val="24"/>
          <w14:ligatures w14:val="none"/>
        </w:rPr>
        <w:t>use a strategy of diligence with operating expenses which will help it to improve its profitability as it has reported -£150,000 in 2023.</w:t>
      </w:r>
      <w:r w:rsidR="00306809" w:rsidRPr="005E345D">
        <w:rPr>
          <w:rFonts w:ascii="Arial" w:hAnsi="Arial" w:cs="Arial"/>
          <w:color w:val="000000" w:themeColor="text1"/>
          <w:kern w:val="0"/>
          <w:szCs w:val="24"/>
          <w14:ligatures w14:val="none"/>
        </w:rPr>
        <w:t xml:space="preserve"> The </w:t>
      </w:r>
      <w:r w:rsidR="00983CB9" w:rsidRPr="005E345D">
        <w:rPr>
          <w:rFonts w:ascii="Arial" w:hAnsi="Arial" w:cs="Arial"/>
          <w:color w:val="000000" w:themeColor="text1"/>
          <w:kern w:val="0"/>
          <w:szCs w:val="24"/>
          <w14:ligatures w14:val="none"/>
        </w:rPr>
        <w:t>firm was degrading its revenue in the previous three years</w:t>
      </w:r>
      <w:r w:rsidR="00723E8C" w:rsidRPr="005E345D">
        <w:rPr>
          <w:rFonts w:ascii="Arial" w:hAnsi="Arial" w:cs="Arial"/>
          <w:color w:val="000000" w:themeColor="text1"/>
          <w:kern w:val="0"/>
          <w:szCs w:val="24"/>
          <w14:ligatures w14:val="none"/>
        </w:rPr>
        <w:t xml:space="preserve"> due to low occupancy rates and low average rate of room. </w:t>
      </w:r>
      <w:r w:rsidR="007B3762" w:rsidRPr="005E345D">
        <w:rPr>
          <w:rFonts w:ascii="Arial" w:hAnsi="Arial" w:cs="Arial"/>
          <w:color w:val="000000" w:themeColor="text1"/>
          <w:szCs w:val="24"/>
        </w:rPr>
        <w:br w:type="page"/>
      </w:r>
    </w:p>
    <w:bookmarkStart w:id="1" w:name="_Toc150330701" w:displacedByCustomXml="next"/>
    <w:sdt>
      <w:sdtPr>
        <w:rPr>
          <w:rFonts w:ascii="Arial" w:eastAsiaTheme="minorHAnsi" w:hAnsi="Arial" w:cs="Arial"/>
          <w:iCs w:val="0"/>
          <w:color w:val="auto"/>
          <w:kern w:val="2"/>
          <w:sz w:val="24"/>
          <w:szCs w:val="22"/>
          <w:lang w:val="en-GB"/>
          <w14:ligatures w14:val="standardContextual"/>
        </w:rPr>
        <w:id w:val="374128115"/>
        <w:docPartObj>
          <w:docPartGallery w:val="Table of Contents"/>
          <w:docPartUnique/>
        </w:docPartObj>
      </w:sdtPr>
      <w:sdtEndPr>
        <w:rPr>
          <w:b/>
          <w:bCs/>
          <w:noProof/>
        </w:rPr>
      </w:sdtEndPr>
      <w:sdtContent>
        <w:p w14:paraId="7A020907" w14:textId="77777777" w:rsidR="00EE06E4" w:rsidRPr="005E345D" w:rsidRDefault="00EE06E4" w:rsidP="00EE06E4">
          <w:pPr>
            <w:pStyle w:val="TOCHeading"/>
            <w:rPr>
              <w:rFonts w:ascii="Arial" w:hAnsi="Arial" w:cs="Arial"/>
            </w:rPr>
          </w:pPr>
          <w:r w:rsidRPr="005E345D">
            <w:rPr>
              <w:rFonts w:ascii="Arial" w:hAnsi="Arial" w:cs="Arial"/>
            </w:rPr>
            <w:t>Contents</w:t>
          </w:r>
        </w:p>
        <w:p w14:paraId="3B21538B" w14:textId="77777777" w:rsidR="00642761" w:rsidRDefault="00EE06E4">
          <w:pPr>
            <w:pStyle w:val="TOC1"/>
            <w:tabs>
              <w:tab w:val="right" w:leader="dot" w:pos="9350"/>
            </w:tabs>
            <w:rPr>
              <w:rFonts w:asciiTheme="minorHAnsi" w:eastAsiaTheme="minorEastAsia" w:hAnsiTheme="minorHAnsi"/>
              <w:noProof/>
              <w:kern w:val="0"/>
              <w:sz w:val="22"/>
              <w:lang w:val="en-US"/>
              <w14:ligatures w14:val="none"/>
            </w:rPr>
          </w:pPr>
          <w:r w:rsidRPr="005E345D">
            <w:rPr>
              <w:rFonts w:ascii="Arial" w:hAnsi="Arial" w:cs="Arial"/>
            </w:rPr>
            <w:fldChar w:fldCharType="begin"/>
          </w:r>
          <w:r w:rsidRPr="005E345D">
            <w:rPr>
              <w:rFonts w:ascii="Arial" w:hAnsi="Arial" w:cs="Arial"/>
            </w:rPr>
            <w:instrText xml:space="preserve"> TOC \o "1-3" \h \z \u </w:instrText>
          </w:r>
          <w:r w:rsidRPr="005E345D">
            <w:rPr>
              <w:rFonts w:ascii="Arial" w:hAnsi="Arial" w:cs="Arial"/>
            </w:rPr>
            <w:fldChar w:fldCharType="separate"/>
          </w:r>
          <w:hyperlink w:anchor="_Toc157504732" w:history="1">
            <w:r w:rsidR="00642761" w:rsidRPr="00A72EA4">
              <w:rPr>
                <w:rStyle w:val="Hyperlink"/>
                <w:noProof/>
              </w:rPr>
              <w:t>Executive Summary</w:t>
            </w:r>
            <w:r w:rsidR="00642761">
              <w:rPr>
                <w:noProof/>
                <w:webHidden/>
              </w:rPr>
              <w:tab/>
            </w:r>
            <w:r w:rsidR="00642761">
              <w:rPr>
                <w:noProof/>
                <w:webHidden/>
              </w:rPr>
              <w:fldChar w:fldCharType="begin"/>
            </w:r>
            <w:r w:rsidR="00642761">
              <w:rPr>
                <w:noProof/>
                <w:webHidden/>
              </w:rPr>
              <w:instrText xml:space="preserve"> PAGEREF _Toc157504732 \h </w:instrText>
            </w:r>
            <w:r w:rsidR="00642761">
              <w:rPr>
                <w:noProof/>
                <w:webHidden/>
              </w:rPr>
            </w:r>
            <w:r w:rsidR="00642761">
              <w:rPr>
                <w:noProof/>
                <w:webHidden/>
              </w:rPr>
              <w:fldChar w:fldCharType="separate"/>
            </w:r>
            <w:r w:rsidR="00642761">
              <w:rPr>
                <w:noProof/>
                <w:webHidden/>
              </w:rPr>
              <w:t>2</w:t>
            </w:r>
            <w:r w:rsidR="00642761">
              <w:rPr>
                <w:noProof/>
                <w:webHidden/>
              </w:rPr>
              <w:fldChar w:fldCharType="end"/>
            </w:r>
          </w:hyperlink>
        </w:p>
        <w:p w14:paraId="088EDB09"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3" w:history="1">
            <w:r w:rsidR="00642761" w:rsidRPr="00A72EA4">
              <w:rPr>
                <w:rStyle w:val="Hyperlink"/>
                <w:noProof/>
              </w:rPr>
              <w:t>Introduction</w:t>
            </w:r>
            <w:r w:rsidR="00642761">
              <w:rPr>
                <w:noProof/>
                <w:webHidden/>
              </w:rPr>
              <w:tab/>
            </w:r>
            <w:r w:rsidR="00642761">
              <w:rPr>
                <w:noProof/>
                <w:webHidden/>
              </w:rPr>
              <w:fldChar w:fldCharType="begin"/>
            </w:r>
            <w:r w:rsidR="00642761">
              <w:rPr>
                <w:noProof/>
                <w:webHidden/>
              </w:rPr>
              <w:instrText xml:space="preserve"> PAGEREF _Toc157504733 \h </w:instrText>
            </w:r>
            <w:r w:rsidR="00642761">
              <w:rPr>
                <w:noProof/>
                <w:webHidden/>
              </w:rPr>
            </w:r>
            <w:r w:rsidR="00642761">
              <w:rPr>
                <w:noProof/>
                <w:webHidden/>
              </w:rPr>
              <w:fldChar w:fldCharType="separate"/>
            </w:r>
            <w:r w:rsidR="00642761">
              <w:rPr>
                <w:noProof/>
                <w:webHidden/>
              </w:rPr>
              <w:t>4</w:t>
            </w:r>
            <w:r w:rsidR="00642761">
              <w:rPr>
                <w:noProof/>
                <w:webHidden/>
              </w:rPr>
              <w:fldChar w:fldCharType="end"/>
            </w:r>
          </w:hyperlink>
        </w:p>
        <w:p w14:paraId="6B758C15" w14:textId="77777777" w:rsidR="00642761"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57504734" w:history="1">
            <w:r w:rsidR="00642761" w:rsidRPr="00A72EA4">
              <w:rPr>
                <w:rStyle w:val="Hyperlink"/>
                <w:rFonts w:ascii="Arial" w:hAnsi="Arial" w:cs="Arial"/>
                <w:noProof/>
              </w:rPr>
              <w:t>Scope and Objectives</w:t>
            </w:r>
            <w:r w:rsidR="00642761">
              <w:rPr>
                <w:noProof/>
                <w:webHidden/>
              </w:rPr>
              <w:tab/>
            </w:r>
            <w:r w:rsidR="00642761">
              <w:rPr>
                <w:noProof/>
                <w:webHidden/>
              </w:rPr>
              <w:fldChar w:fldCharType="begin"/>
            </w:r>
            <w:r w:rsidR="00642761">
              <w:rPr>
                <w:noProof/>
                <w:webHidden/>
              </w:rPr>
              <w:instrText xml:space="preserve"> PAGEREF _Toc157504734 \h </w:instrText>
            </w:r>
            <w:r w:rsidR="00642761">
              <w:rPr>
                <w:noProof/>
                <w:webHidden/>
              </w:rPr>
            </w:r>
            <w:r w:rsidR="00642761">
              <w:rPr>
                <w:noProof/>
                <w:webHidden/>
              </w:rPr>
              <w:fldChar w:fldCharType="separate"/>
            </w:r>
            <w:r w:rsidR="00642761">
              <w:rPr>
                <w:noProof/>
                <w:webHidden/>
              </w:rPr>
              <w:t>5</w:t>
            </w:r>
            <w:r w:rsidR="00642761">
              <w:rPr>
                <w:noProof/>
                <w:webHidden/>
              </w:rPr>
              <w:fldChar w:fldCharType="end"/>
            </w:r>
          </w:hyperlink>
        </w:p>
        <w:p w14:paraId="178BFB17"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5" w:history="1">
            <w:r w:rsidR="00642761" w:rsidRPr="00A72EA4">
              <w:rPr>
                <w:rStyle w:val="Hyperlink"/>
                <w:noProof/>
              </w:rPr>
              <w:t>Financial Performance</w:t>
            </w:r>
            <w:r w:rsidR="00642761">
              <w:rPr>
                <w:noProof/>
                <w:webHidden/>
              </w:rPr>
              <w:tab/>
            </w:r>
            <w:r w:rsidR="00642761">
              <w:rPr>
                <w:noProof/>
                <w:webHidden/>
              </w:rPr>
              <w:fldChar w:fldCharType="begin"/>
            </w:r>
            <w:r w:rsidR="00642761">
              <w:rPr>
                <w:noProof/>
                <w:webHidden/>
              </w:rPr>
              <w:instrText xml:space="preserve"> PAGEREF _Toc157504735 \h </w:instrText>
            </w:r>
            <w:r w:rsidR="00642761">
              <w:rPr>
                <w:noProof/>
                <w:webHidden/>
              </w:rPr>
            </w:r>
            <w:r w:rsidR="00642761">
              <w:rPr>
                <w:noProof/>
                <w:webHidden/>
              </w:rPr>
              <w:fldChar w:fldCharType="separate"/>
            </w:r>
            <w:r w:rsidR="00642761">
              <w:rPr>
                <w:noProof/>
                <w:webHidden/>
              </w:rPr>
              <w:t>6</w:t>
            </w:r>
            <w:r w:rsidR="00642761">
              <w:rPr>
                <w:noProof/>
                <w:webHidden/>
              </w:rPr>
              <w:fldChar w:fldCharType="end"/>
            </w:r>
          </w:hyperlink>
        </w:p>
        <w:p w14:paraId="702C65C3"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6" w:history="1">
            <w:r w:rsidR="00642761" w:rsidRPr="00A72EA4">
              <w:rPr>
                <w:rStyle w:val="Hyperlink"/>
                <w:noProof/>
              </w:rPr>
              <w:t>Causes in declining profitability considering real-world events as well as the current economy</w:t>
            </w:r>
            <w:r w:rsidR="00642761">
              <w:rPr>
                <w:noProof/>
                <w:webHidden/>
              </w:rPr>
              <w:tab/>
            </w:r>
            <w:r w:rsidR="00642761">
              <w:rPr>
                <w:noProof/>
                <w:webHidden/>
              </w:rPr>
              <w:fldChar w:fldCharType="begin"/>
            </w:r>
            <w:r w:rsidR="00642761">
              <w:rPr>
                <w:noProof/>
                <w:webHidden/>
              </w:rPr>
              <w:instrText xml:space="preserve"> PAGEREF _Toc157504736 \h </w:instrText>
            </w:r>
            <w:r w:rsidR="00642761">
              <w:rPr>
                <w:noProof/>
                <w:webHidden/>
              </w:rPr>
            </w:r>
            <w:r w:rsidR="00642761">
              <w:rPr>
                <w:noProof/>
                <w:webHidden/>
              </w:rPr>
              <w:fldChar w:fldCharType="separate"/>
            </w:r>
            <w:r w:rsidR="00642761">
              <w:rPr>
                <w:noProof/>
                <w:webHidden/>
              </w:rPr>
              <w:t>9</w:t>
            </w:r>
            <w:r w:rsidR="00642761">
              <w:rPr>
                <w:noProof/>
                <w:webHidden/>
              </w:rPr>
              <w:fldChar w:fldCharType="end"/>
            </w:r>
          </w:hyperlink>
        </w:p>
        <w:p w14:paraId="7248E3D2"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7" w:history="1">
            <w:r w:rsidR="00642761" w:rsidRPr="00A72EA4">
              <w:rPr>
                <w:rStyle w:val="Hyperlink"/>
                <w:noProof/>
              </w:rPr>
              <w:t>Comprehensive turnaround strategy</w:t>
            </w:r>
            <w:r w:rsidR="00642761">
              <w:rPr>
                <w:noProof/>
                <w:webHidden/>
              </w:rPr>
              <w:tab/>
            </w:r>
            <w:r w:rsidR="00642761">
              <w:rPr>
                <w:noProof/>
                <w:webHidden/>
              </w:rPr>
              <w:fldChar w:fldCharType="begin"/>
            </w:r>
            <w:r w:rsidR="00642761">
              <w:rPr>
                <w:noProof/>
                <w:webHidden/>
              </w:rPr>
              <w:instrText xml:space="preserve"> PAGEREF _Toc157504737 \h </w:instrText>
            </w:r>
            <w:r w:rsidR="00642761">
              <w:rPr>
                <w:noProof/>
                <w:webHidden/>
              </w:rPr>
            </w:r>
            <w:r w:rsidR="00642761">
              <w:rPr>
                <w:noProof/>
                <w:webHidden/>
              </w:rPr>
              <w:fldChar w:fldCharType="separate"/>
            </w:r>
            <w:r w:rsidR="00642761">
              <w:rPr>
                <w:noProof/>
                <w:webHidden/>
              </w:rPr>
              <w:t>10</w:t>
            </w:r>
            <w:r w:rsidR="00642761">
              <w:rPr>
                <w:noProof/>
                <w:webHidden/>
              </w:rPr>
              <w:fldChar w:fldCharType="end"/>
            </w:r>
          </w:hyperlink>
        </w:p>
        <w:p w14:paraId="7158E466"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8" w:history="1">
            <w:r w:rsidR="00642761" w:rsidRPr="00A72EA4">
              <w:rPr>
                <w:rStyle w:val="Hyperlink"/>
                <w:noProof/>
              </w:rPr>
              <w:t>Recommendations</w:t>
            </w:r>
            <w:r w:rsidR="00642761">
              <w:rPr>
                <w:noProof/>
                <w:webHidden/>
              </w:rPr>
              <w:tab/>
            </w:r>
            <w:r w:rsidR="00642761">
              <w:rPr>
                <w:noProof/>
                <w:webHidden/>
              </w:rPr>
              <w:fldChar w:fldCharType="begin"/>
            </w:r>
            <w:r w:rsidR="00642761">
              <w:rPr>
                <w:noProof/>
                <w:webHidden/>
              </w:rPr>
              <w:instrText xml:space="preserve"> PAGEREF _Toc157504738 \h </w:instrText>
            </w:r>
            <w:r w:rsidR="00642761">
              <w:rPr>
                <w:noProof/>
                <w:webHidden/>
              </w:rPr>
            </w:r>
            <w:r w:rsidR="00642761">
              <w:rPr>
                <w:noProof/>
                <w:webHidden/>
              </w:rPr>
              <w:fldChar w:fldCharType="separate"/>
            </w:r>
            <w:r w:rsidR="00642761">
              <w:rPr>
                <w:noProof/>
                <w:webHidden/>
              </w:rPr>
              <w:t>12</w:t>
            </w:r>
            <w:r w:rsidR="00642761">
              <w:rPr>
                <w:noProof/>
                <w:webHidden/>
              </w:rPr>
              <w:fldChar w:fldCharType="end"/>
            </w:r>
          </w:hyperlink>
        </w:p>
        <w:p w14:paraId="7A3F19A8"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39" w:history="1">
            <w:r w:rsidR="00642761" w:rsidRPr="00A72EA4">
              <w:rPr>
                <w:rStyle w:val="Hyperlink"/>
                <w:noProof/>
              </w:rPr>
              <w:t>Conclusion</w:t>
            </w:r>
            <w:r w:rsidR="00642761">
              <w:rPr>
                <w:noProof/>
                <w:webHidden/>
              </w:rPr>
              <w:tab/>
            </w:r>
            <w:r w:rsidR="00642761">
              <w:rPr>
                <w:noProof/>
                <w:webHidden/>
              </w:rPr>
              <w:fldChar w:fldCharType="begin"/>
            </w:r>
            <w:r w:rsidR="00642761">
              <w:rPr>
                <w:noProof/>
                <w:webHidden/>
              </w:rPr>
              <w:instrText xml:space="preserve"> PAGEREF _Toc157504739 \h </w:instrText>
            </w:r>
            <w:r w:rsidR="00642761">
              <w:rPr>
                <w:noProof/>
                <w:webHidden/>
              </w:rPr>
            </w:r>
            <w:r w:rsidR="00642761">
              <w:rPr>
                <w:noProof/>
                <w:webHidden/>
              </w:rPr>
              <w:fldChar w:fldCharType="separate"/>
            </w:r>
            <w:r w:rsidR="00642761">
              <w:rPr>
                <w:noProof/>
                <w:webHidden/>
              </w:rPr>
              <w:t>13</w:t>
            </w:r>
            <w:r w:rsidR="00642761">
              <w:rPr>
                <w:noProof/>
                <w:webHidden/>
              </w:rPr>
              <w:fldChar w:fldCharType="end"/>
            </w:r>
          </w:hyperlink>
        </w:p>
        <w:p w14:paraId="61C844EE"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40" w:history="1">
            <w:r w:rsidR="00642761" w:rsidRPr="00A72EA4">
              <w:rPr>
                <w:rStyle w:val="Hyperlink"/>
                <w:noProof/>
              </w:rPr>
              <w:t>References</w:t>
            </w:r>
            <w:r w:rsidR="00642761">
              <w:rPr>
                <w:noProof/>
                <w:webHidden/>
              </w:rPr>
              <w:tab/>
            </w:r>
            <w:r w:rsidR="00642761">
              <w:rPr>
                <w:noProof/>
                <w:webHidden/>
              </w:rPr>
              <w:fldChar w:fldCharType="begin"/>
            </w:r>
            <w:r w:rsidR="00642761">
              <w:rPr>
                <w:noProof/>
                <w:webHidden/>
              </w:rPr>
              <w:instrText xml:space="preserve"> PAGEREF _Toc157504740 \h </w:instrText>
            </w:r>
            <w:r w:rsidR="00642761">
              <w:rPr>
                <w:noProof/>
                <w:webHidden/>
              </w:rPr>
            </w:r>
            <w:r w:rsidR="00642761">
              <w:rPr>
                <w:noProof/>
                <w:webHidden/>
              </w:rPr>
              <w:fldChar w:fldCharType="separate"/>
            </w:r>
            <w:r w:rsidR="00642761">
              <w:rPr>
                <w:noProof/>
                <w:webHidden/>
              </w:rPr>
              <w:t>14</w:t>
            </w:r>
            <w:r w:rsidR="00642761">
              <w:rPr>
                <w:noProof/>
                <w:webHidden/>
              </w:rPr>
              <w:fldChar w:fldCharType="end"/>
            </w:r>
          </w:hyperlink>
        </w:p>
        <w:p w14:paraId="5B0944E3" w14:textId="77777777" w:rsidR="00642761"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57504741" w:history="1">
            <w:r w:rsidR="00642761" w:rsidRPr="00A72EA4">
              <w:rPr>
                <w:rStyle w:val="Hyperlink"/>
                <w:noProof/>
              </w:rPr>
              <w:t>Appendices</w:t>
            </w:r>
            <w:r w:rsidR="00642761">
              <w:rPr>
                <w:noProof/>
                <w:webHidden/>
              </w:rPr>
              <w:tab/>
            </w:r>
            <w:r w:rsidR="00642761">
              <w:rPr>
                <w:noProof/>
                <w:webHidden/>
              </w:rPr>
              <w:fldChar w:fldCharType="begin"/>
            </w:r>
            <w:r w:rsidR="00642761">
              <w:rPr>
                <w:noProof/>
                <w:webHidden/>
              </w:rPr>
              <w:instrText xml:space="preserve"> PAGEREF _Toc157504741 \h </w:instrText>
            </w:r>
            <w:r w:rsidR="00642761">
              <w:rPr>
                <w:noProof/>
                <w:webHidden/>
              </w:rPr>
            </w:r>
            <w:r w:rsidR="00642761">
              <w:rPr>
                <w:noProof/>
                <w:webHidden/>
              </w:rPr>
              <w:fldChar w:fldCharType="separate"/>
            </w:r>
            <w:r w:rsidR="00642761">
              <w:rPr>
                <w:noProof/>
                <w:webHidden/>
              </w:rPr>
              <w:t>16</w:t>
            </w:r>
            <w:r w:rsidR="00642761">
              <w:rPr>
                <w:noProof/>
                <w:webHidden/>
              </w:rPr>
              <w:fldChar w:fldCharType="end"/>
            </w:r>
          </w:hyperlink>
        </w:p>
        <w:p w14:paraId="0DA49DEC" w14:textId="77777777" w:rsidR="00EE06E4" w:rsidRPr="005E345D" w:rsidRDefault="00EE06E4">
          <w:pPr>
            <w:rPr>
              <w:rFonts w:ascii="Arial" w:hAnsi="Arial" w:cs="Arial"/>
            </w:rPr>
          </w:pPr>
          <w:r w:rsidRPr="005E345D">
            <w:rPr>
              <w:rFonts w:ascii="Arial" w:hAnsi="Arial" w:cs="Arial"/>
              <w:b/>
              <w:bCs/>
              <w:noProof/>
            </w:rPr>
            <w:fldChar w:fldCharType="end"/>
          </w:r>
        </w:p>
      </w:sdtContent>
    </w:sdt>
    <w:p w14:paraId="7F4B17F5" w14:textId="77777777" w:rsidR="00EE06E4" w:rsidRPr="005E345D" w:rsidRDefault="00EE06E4">
      <w:pPr>
        <w:spacing w:before="0"/>
        <w:rPr>
          <w:rFonts w:ascii="Arial" w:eastAsia="Calibri" w:hAnsi="Arial" w:cs="Arial"/>
          <w:b/>
          <w:i/>
          <w:sz w:val="28"/>
          <w:szCs w:val="24"/>
          <w:lang w:val="en-US"/>
        </w:rPr>
      </w:pPr>
      <w:r w:rsidRPr="005E345D">
        <w:rPr>
          <w:rFonts w:ascii="Arial" w:hAnsi="Arial" w:cs="Arial"/>
          <w:i/>
        </w:rPr>
        <w:br w:type="page"/>
      </w:r>
    </w:p>
    <w:p w14:paraId="7EE31F2A" w14:textId="77777777" w:rsidR="007B3762" w:rsidRPr="005E345D" w:rsidRDefault="007B3762" w:rsidP="00EE06E4">
      <w:pPr>
        <w:pStyle w:val="Heading1"/>
        <w:rPr>
          <w:color w:val="000000" w:themeColor="text1"/>
        </w:rPr>
      </w:pPr>
      <w:bookmarkStart w:id="2" w:name="_Toc157504733"/>
      <w:r w:rsidRPr="005E345D">
        <w:lastRenderedPageBreak/>
        <w:t>Introduction</w:t>
      </w:r>
      <w:bookmarkEnd w:id="1"/>
      <w:bookmarkEnd w:id="2"/>
    </w:p>
    <w:p w14:paraId="6A2F968D" w14:textId="77777777" w:rsidR="007B3762" w:rsidRPr="005E345D" w:rsidRDefault="00600658" w:rsidP="00690DCB">
      <w:pPr>
        <w:rPr>
          <w:rFonts w:ascii="Arial" w:hAnsi="Arial" w:cs="Arial"/>
          <w:color w:val="000000" w:themeColor="text1"/>
          <w:szCs w:val="24"/>
        </w:rPr>
      </w:pPr>
      <w:r w:rsidRPr="005E345D">
        <w:rPr>
          <w:rFonts w:ascii="Arial" w:hAnsi="Arial" w:cs="Arial"/>
          <w:color w:val="000000" w:themeColor="text1"/>
          <w:szCs w:val="24"/>
        </w:rPr>
        <w:t xml:space="preserve">The assessment will be a briefing on The Seacrest Lodge which serves event facilities, </w:t>
      </w:r>
      <w:r w:rsidR="008F711F" w:rsidRPr="005E345D">
        <w:rPr>
          <w:rFonts w:ascii="Arial" w:hAnsi="Arial" w:cs="Arial"/>
          <w:color w:val="000000" w:themeColor="text1"/>
          <w:szCs w:val="24"/>
        </w:rPr>
        <w:t xml:space="preserve">a </w:t>
      </w:r>
      <w:r w:rsidRPr="005E345D">
        <w:rPr>
          <w:rFonts w:ascii="Arial" w:hAnsi="Arial" w:cs="Arial"/>
          <w:color w:val="000000" w:themeColor="text1"/>
          <w:szCs w:val="24"/>
        </w:rPr>
        <w:t xml:space="preserve">restaurant, and </w:t>
      </w:r>
      <w:r w:rsidR="008F711F" w:rsidRPr="005E345D">
        <w:rPr>
          <w:rFonts w:ascii="Arial" w:hAnsi="Arial" w:cs="Arial"/>
          <w:color w:val="000000" w:themeColor="text1"/>
          <w:szCs w:val="24"/>
        </w:rPr>
        <w:t xml:space="preserve">a </w:t>
      </w:r>
      <w:r w:rsidRPr="005E345D">
        <w:rPr>
          <w:rFonts w:ascii="Arial" w:hAnsi="Arial" w:cs="Arial"/>
          <w:color w:val="000000" w:themeColor="text1"/>
          <w:szCs w:val="24"/>
        </w:rPr>
        <w:t>bar</w:t>
      </w:r>
      <w:r w:rsidR="008F711F" w:rsidRPr="005E345D">
        <w:rPr>
          <w:rFonts w:ascii="Arial" w:hAnsi="Arial" w:cs="Arial"/>
          <w:color w:val="000000" w:themeColor="text1"/>
          <w:szCs w:val="24"/>
        </w:rPr>
        <w:t>. It resides on a picturesque coast edge</w:t>
      </w:r>
      <w:r w:rsidR="000D2EC6" w:rsidRPr="005E345D">
        <w:rPr>
          <w:rFonts w:ascii="Arial" w:hAnsi="Arial" w:cs="Arial"/>
          <w:color w:val="000000" w:themeColor="text1"/>
          <w:szCs w:val="24"/>
        </w:rPr>
        <w:t xml:space="preserve">. There will be an analysis </w:t>
      </w:r>
      <w:r w:rsidR="00801AD1" w:rsidRPr="005E345D">
        <w:rPr>
          <w:rFonts w:ascii="Arial" w:hAnsi="Arial" w:cs="Arial"/>
          <w:color w:val="000000" w:themeColor="text1"/>
          <w:szCs w:val="24"/>
        </w:rPr>
        <w:t>of</w:t>
      </w:r>
      <w:r w:rsidR="000D2EC6" w:rsidRPr="005E345D">
        <w:rPr>
          <w:rFonts w:ascii="Arial" w:hAnsi="Arial" w:cs="Arial"/>
          <w:color w:val="000000" w:themeColor="text1"/>
          <w:szCs w:val="24"/>
        </w:rPr>
        <w:t xml:space="preserve"> the decreasing </w:t>
      </w:r>
      <w:r w:rsidR="00331A9E" w:rsidRPr="005E345D">
        <w:rPr>
          <w:rFonts w:ascii="Arial" w:hAnsi="Arial" w:cs="Arial"/>
          <w:color w:val="000000" w:themeColor="text1"/>
          <w:szCs w:val="24"/>
        </w:rPr>
        <w:t xml:space="preserve">occupancy rate, customer satisfaction, and </w:t>
      </w:r>
      <w:r w:rsidR="005E3C4B" w:rsidRPr="005E345D">
        <w:rPr>
          <w:rFonts w:ascii="Arial" w:hAnsi="Arial" w:cs="Arial"/>
          <w:color w:val="000000" w:themeColor="text1"/>
          <w:szCs w:val="24"/>
        </w:rPr>
        <w:t xml:space="preserve">revenue. </w:t>
      </w:r>
      <w:r w:rsidR="00E72B93" w:rsidRPr="005E345D">
        <w:rPr>
          <w:rFonts w:ascii="Arial" w:hAnsi="Arial" w:cs="Arial"/>
          <w:color w:val="000000" w:themeColor="text1"/>
          <w:szCs w:val="24"/>
        </w:rPr>
        <w:t xml:space="preserve">There will be a concern for The Seacrest Resort to </w:t>
      </w:r>
      <w:r w:rsidR="002E42FA" w:rsidRPr="005E345D">
        <w:rPr>
          <w:rFonts w:ascii="Arial" w:hAnsi="Arial" w:cs="Arial"/>
          <w:color w:val="000000" w:themeColor="text1"/>
          <w:szCs w:val="24"/>
        </w:rPr>
        <w:t xml:space="preserve">improve </w:t>
      </w:r>
      <w:r w:rsidR="00771C64" w:rsidRPr="005E345D">
        <w:rPr>
          <w:rFonts w:ascii="Arial" w:hAnsi="Arial" w:cs="Arial"/>
          <w:color w:val="000000" w:themeColor="text1"/>
          <w:szCs w:val="24"/>
        </w:rPr>
        <w:t>its</w:t>
      </w:r>
      <w:r w:rsidR="002E42FA" w:rsidRPr="005E345D">
        <w:rPr>
          <w:rFonts w:ascii="Arial" w:hAnsi="Arial" w:cs="Arial"/>
          <w:color w:val="000000" w:themeColor="text1"/>
          <w:szCs w:val="24"/>
        </w:rPr>
        <w:t xml:space="preserve"> future viability </w:t>
      </w:r>
      <w:r w:rsidR="00771C64" w:rsidRPr="005E345D">
        <w:rPr>
          <w:rFonts w:ascii="Arial" w:hAnsi="Arial" w:cs="Arial"/>
          <w:color w:val="000000" w:themeColor="text1"/>
          <w:szCs w:val="24"/>
        </w:rPr>
        <w:t xml:space="preserve">by performing a comprehensive turnaround strategy. </w:t>
      </w:r>
      <w:r w:rsidR="00ED2D57" w:rsidRPr="005E345D">
        <w:rPr>
          <w:rFonts w:ascii="Arial" w:hAnsi="Arial" w:cs="Arial"/>
          <w:color w:val="000000" w:themeColor="text1"/>
          <w:szCs w:val="24"/>
        </w:rPr>
        <w:t xml:space="preserve">The </w:t>
      </w:r>
      <w:r w:rsidR="001539DC" w:rsidRPr="005E345D">
        <w:rPr>
          <w:rFonts w:ascii="Arial" w:hAnsi="Arial" w:cs="Arial"/>
          <w:color w:val="000000" w:themeColor="text1"/>
          <w:szCs w:val="24"/>
        </w:rPr>
        <w:t>market is having high competition and new entrants</w:t>
      </w:r>
      <w:r w:rsidR="00695CC8" w:rsidRPr="005E345D">
        <w:rPr>
          <w:rFonts w:ascii="Arial" w:hAnsi="Arial" w:cs="Arial"/>
          <w:color w:val="000000" w:themeColor="text1"/>
          <w:szCs w:val="24"/>
        </w:rPr>
        <w:t xml:space="preserve"> in the vicinity. </w:t>
      </w:r>
      <w:r w:rsidR="007B1AB6" w:rsidRPr="005E345D">
        <w:rPr>
          <w:rFonts w:ascii="Arial" w:hAnsi="Arial" w:cs="Arial"/>
          <w:color w:val="000000" w:themeColor="text1"/>
          <w:szCs w:val="24"/>
        </w:rPr>
        <w:t xml:space="preserve">The customer preferences were changed and the customer reviews </w:t>
      </w:r>
      <w:r w:rsidR="007657D5" w:rsidRPr="005E345D">
        <w:rPr>
          <w:rFonts w:ascii="Arial" w:hAnsi="Arial" w:cs="Arial"/>
          <w:color w:val="000000" w:themeColor="text1"/>
          <w:szCs w:val="24"/>
        </w:rPr>
        <w:t xml:space="preserve">as well as outdated amenities </w:t>
      </w:r>
      <w:r w:rsidR="00AD600B" w:rsidRPr="005E345D">
        <w:rPr>
          <w:rFonts w:ascii="Arial" w:hAnsi="Arial" w:cs="Arial"/>
          <w:color w:val="000000" w:themeColor="text1"/>
          <w:szCs w:val="24"/>
        </w:rPr>
        <w:t>have</w:t>
      </w:r>
      <w:r w:rsidR="007B1AB6" w:rsidRPr="005E345D">
        <w:rPr>
          <w:rFonts w:ascii="Arial" w:hAnsi="Arial" w:cs="Arial"/>
          <w:color w:val="000000" w:themeColor="text1"/>
          <w:szCs w:val="24"/>
        </w:rPr>
        <w:t xml:space="preserve"> decreased</w:t>
      </w:r>
      <w:r w:rsidR="007657D5" w:rsidRPr="005E345D">
        <w:rPr>
          <w:rFonts w:ascii="Arial" w:hAnsi="Arial" w:cs="Arial"/>
          <w:color w:val="000000" w:themeColor="text1"/>
          <w:szCs w:val="24"/>
        </w:rPr>
        <w:t xml:space="preserve">. </w:t>
      </w:r>
      <w:r w:rsidR="00A0417B" w:rsidRPr="005E345D">
        <w:rPr>
          <w:rFonts w:ascii="Arial" w:hAnsi="Arial" w:cs="Arial"/>
          <w:color w:val="000000" w:themeColor="text1"/>
          <w:szCs w:val="24"/>
        </w:rPr>
        <w:t>There will be a</w:t>
      </w:r>
      <w:r w:rsidR="00E11311" w:rsidRPr="005E345D">
        <w:rPr>
          <w:rFonts w:ascii="Arial" w:hAnsi="Arial" w:cs="Arial"/>
          <w:color w:val="000000" w:themeColor="text1"/>
          <w:szCs w:val="24"/>
        </w:rPr>
        <w:t xml:space="preserve">n analysis </w:t>
      </w:r>
      <w:r w:rsidR="00F20D07" w:rsidRPr="005E345D">
        <w:rPr>
          <w:rFonts w:ascii="Arial" w:hAnsi="Arial" w:cs="Arial"/>
          <w:color w:val="000000" w:themeColor="text1"/>
          <w:szCs w:val="24"/>
        </w:rPr>
        <w:t>of</w:t>
      </w:r>
      <w:r w:rsidR="00E11311" w:rsidRPr="005E345D">
        <w:rPr>
          <w:rFonts w:ascii="Arial" w:hAnsi="Arial" w:cs="Arial"/>
          <w:color w:val="000000" w:themeColor="text1"/>
          <w:szCs w:val="24"/>
        </w:rPr>
        <w:t xml:space="preserve"> </w:t>
      </w:r>
      <w:r w:rsidR="00B31F06" w:rsidRPr="005E345D">
        <w:rPr>
          <w:rFonts w:ascii="Arial" w:hAnsi="Arial" w:cs="Arial"/>
          <w:color w:val="000000" w:themeColor="text1"/>
          <w:szCs w:val="24"/>
        </w:rPr>
        <w:t xml:space="preserve">the </w:t>
      </w:r>
      <w:r w:rsidR="00F20D07" w:rsidRPr="005E345D">
        <w:rPr>
          <w:rFonts w:ascii="Arial" w:hAnsi="Arial" w:cs="Arial"/>
          <w:color w:val="000000" w:themeColor="text1"/>
          <w:szCs w:val="24"/>
        </w:rPr>
        <w:t>causes of the decline in the profits of the resort by considering real-world events</w:t>
      </w:r>
      <w:r w:rsidR="00B31F06" w:rsidRPr="005E345D">
        <w:rPr>
          <w:rFonts w:ascii="Arial" w:hAnsi="Arial" w:cs="Arial"/>
          <w:color w:val="000000" w:themeColor="text1"/>
          <w:szCs w:val="24"/>
        </w:rPr>
        <w:t xml:space="preserve"> </w:t>
      </w:r>
      <w:r w:rsidR="002E7A91" w:rsidRPr="005E345D">
        <w:rPr>
          <w:rFonts w:ascii="Arial" w:hAnsi="Arial" w:cs="Arial"/>
          <w:color w:val="000000" w:themeColor="text1"/>
          <w:szCs w:val="24"/>
        </w:rPr>
        <w:t xml:space="preserve">as well as </w:t>
      </w:r>
      <w:r w:rsidR="00493313" w:rsidRPr="005E345D">
        <w:rPr>
          <w:rFonts w:ascii="Arial" w:hAnsi="Arial" w:cs="Arial"/>
          <w:color w:val="000000" w:themeColor="text1"/>
          <w:szCs w:val="24"/>
        </w:rPr>
        <w:t xml:space="preserve">the </w:t>
      </w:r>
      <w:r w:rsidR="002E7A91" w:rsidRPr="005E345D">
        <w:rPr>
          <w:rFonts w:ascii="Arial" w:hAnsi="Arial" w:cs="Arial"/>
          <w:color w:val="000000" w:themeColor="text1"/>
          <w:szCs w:val="24"/>
        </w:rPr>
        <w:t>current economy.</w:t>
      </w:r>
      <w:r w:rsidR="007B3762" w:rsidRPr="005E345D">
        <w:rPr>
          <w:rFonts w:ascii="Arial" w:hAnsi="Arial" w:cs="Arial"/>
          <w:color w:val="000000" w:themeColor="text1"/>
          <w:kern w:val="0"/>
          <w:szCs w:val="24"/>
          <w14:ligatures w14:val="none"/>
        </w:rPr>
        <w:br w:type="page"/>
      </w:r>
    </w:p>
    <w:p w14:paraId="3EAF88A6" w14:textId="77777777" w:rsidR="007B3762" w:rsidRPr="000D2731" w:rsidRDefault="007B3762" w:rsidP="000D2731">
      <w:pPr>
        <w:pStyle w:val="Heading2"/>
        <w:spacing w:line="360" w:lineRule="auto"/>
        <w:rPr>
          <w:rFonts w:ascii="Arial" w:hAnsi="Arial" w:cs="Arial"/>
          <w:color w:val="000000" w:themeColor="text1"/>
        </w:rPr>
      </w:pPr>
      <w:bookmarkStart w:id="3" w:name="_Toc150330702"/>
      <w:bookmarkStart w:id="4" w:name="_Toc157504734"/>
      <w:r w:rsidRPr="000D2731">
        <w:rPr>
          <w:rFonts w:ascii="Arial" w:hAnsi="Arial" w:cs="Arial"/>
        </w:rPr>
        <w:lastRenderedPageBreak/>
        <w:t>Scope and Objectives</w:t>
      </w:r>
      <w:bookmarkEnd w:id="3"/>
      <w:bookmarkEnd w:id="4"/>
    </w:p>
    <w:p w14:paraId="6F1A1195" w14:textId="77777777" w:rsidR="007854E1" w:rsidRPr="005E345D" w:rsidRDefault="007854E1" w:rsidP="000D2731">
      <w:pPr>
        <w:rPr>
          <w:rFonts w:ascii="Arial" w:hAnsi="Arial" w:cs="Arial"/>
          <w:color w:val="000000" w:themeColor="text1"/>
          <w:szCs w:val="24"/>
        </w:rPr>
      </w:pPr>
      <w:r w:rsidRPr="005E345D">
        <w:rPr>
          <w:rFonts w:ascii="Arial" w:hAnsi="Arial" w:cs="Arial"/>
          <w:color w:val="000000" w:themeColor="text1"/>
          <w:szCs w:val="24"/>
        </w:rPr>
        <w:t xml:space="preserve">The assessment has a scope of management and development of the performance of The Seacrest Lodge. Some of the main questions to be answered in the report are as follows – </w:t>
      </w:r>
    </w:p>
    <w:p w14:paraId="562173B1" w14:textId="77777777" w:rsidR="007854E1" w:rsidRPr="005E345D" w:rsidRDefault="007854E1" w:rsidP="00690DCB">
      <w:pPr>
        <w:pStyle w:val="ListParagraph"/>
        <w:numPr>
          <w:ilvl w:val="0"/>
          <w:numId w:val="7"/>
        </w:numPr>
        <w:rPr>
          <w:rFonts w:ascii="Arial" w:hAnsi="Arial" w:cs="Arial"/>
          <w:color w:val="000000" w:themeColor="text1"/>
          <w:sz w:val="24"/>
          <w:szCs w:val="24"/>
        </w:rPr>
      </w:pPr>
      <w:r w:rsidRPr="005E345D">
        <w:rPr>
          <w:rFonts w:ascii="Arial" w:hAnsi="Arial" w:cs="Arial"/>
          <w:color w:val="000000" w:themeColor="text1"/>
          <w:sz w:val="24"/>
          <w:szCs w:val="24"/>
        </w:rPr>
        <w:t xml:space="preserve">The Seacrest Lodge will be giving a justification for the financial performance </w:t>
      </w:r>
      <w:r w:rsidR="002579F5" w:rsidRPr="005E345D">
        <w:rPr>
          <w:rFonts w:ascii="Arial" w:hAnsi="Arial" w:cs="Arial"/>
          <w:color w:val="000000" w:themeColor="text1"/>
          <w:sz w:val="24"/>
          <w:szCs w:val="24"/>
        </w:rPr>
        <w:t>of</w:t>
      </w:r>
      <w:r w:rsidRPr="005E345D">
        <w:rPr>
          <w:rFonts w:ascii="Arial" w:hAnsi="Arial" w:cs="Arial"/>
          <w:color w:val="000000" w:themeColor="text1"/>
          <w:sz w:val="24"/>
          <w:szCs w:val="24"/>
        </w:rPr>
        <w:t xml:space="preserve"> the previous three fiscal years.</w:t>
      </w:r>
    </w:p>
    <w:p w14:paraId="5C604329" w14:textId="77777777" w:rsidR="007854E1" w:rsidRPr="005E345D" w:rsidRDefault="00C12E11" w:rsidP="00690DCB">
      <w:pPr>
        <w:pStyle w:val="ListParagraph"/>
        <w:numPr>
          <w:ilvl w:val="0"/>
          <w:numId w:val="7"/>
        </w:numPr>
        <w:rPr>
          <w:rFonts w:ascii="Arial" w:hAnsi="Arial" w:cs="Arial"/>
          <w:color w:val="000000" w:themeColor="text1"/>
          <w:sz w:val="24"/>
          <w:szCs w:val="24"/>
        </w:rPr>
      </w:pPr>
      <w:r w:rsidRPr="005E345D">
        <w:rPr>
          <w:rFonts w:ascii="Arial" w:hAnsi="Arial" w:cs="Arial"/>
          <w:color w:val="000000" w:themeColor="text1"/>
          <w:sz w:val="24"/>
          <w:szCs w:val="24"/>
        </w:rPr>
        <w:t>The assessment contains the objective of indicating the vital causes for the declining profitability of the previous three fiscal years.</w:t>
      </w:r>
    </w:p>
    <w:p w14:paraId="73FD7161" w14:textId="77777777" w:rsidR="007B3762" w:rsidRPr="005E345D" w:rsidRDefault="002600D7" w:rsidP="00690DCB">
      <w:pPr>
        <w:pStyle w:val="ListParagraph"/>
        <w:numPr>
          <w:ilvl w:val="0"/>
          <w:numId w:val="7"/>
        </w:numPr>
        <w:rPr>
          <w:rFonts w:ascii="Arial" w:hAnsi="Arial" w:cs="Arial"/>
          <w:color w:val="000000" w:themeColor="text1"/>
          <w:szCs w:val="24"/>
        </w:rPr>
      </w:pPr>
      <w:r w:rsidRPr="005E345D">
        <w:rPr>
          <w:rFonts w:ascii="Arial" w:hAnsi="Arial" w:cs="Arial"/>
          <w:color w:val="000000" w:themeColor="text1"/>
          <w:sz w:val="24"/>
          <w:szCs w:val="24"/>
        </w:rPr>
        <w:t>The third</w:t>
      </w:r>
      <w:r w:rsidR="00C12E11" w:rsidRPr="005E345D">
        <w:rPr>
          <w:rFonts w:ascii="Arial" w:hAnsi="Arial" w:cs="Arial"/>
          <w:color w:val="000000" w:themeColor="text1"/>
          <w:sz w:val="24"/>
          <w:szCs w:val="24"/>
        </w:rPr>
        <w:t xml:space="preserve"> objective is to prepare a potential turnaround strategy to maintain the fiscal performance of The Sea</w:t>
      </w:r>
      <w:r w:rsidRPr="005E345D">
        <w:rPr>
          <w:rFonts w:ascii="Arial" w:hAnsi="Arial" w:cs="Arial"/>
          <w:color w:val="000000" w:themeColor="text1"/>
          <w:sz w:val="24"/>
          <w:szCs w:val="24"/>
        </w:rPr>
        <w:t xml:space="preserve">crest Resort in the aspect of reacquiring and operating the brand value </w:t>
      </w:r>
      <w:r w:rsidR="006C6926" w:rsidRPr="005E345D">
        <w:rPr>
          <w:rFonts w:ascii="Arial" w:hAnsi="Arial" w:cs="Arial"/>
          <w:color w:val="000000" w:themeColor="text1"/>
          <w:sz w:val="24"/>
          <w:szCs w:val="24"/>
        </w:rPr>
        <w:t>in front</w:t>
      </w:r>
      <w:r w:rsidR="00BA104A" w:rsidRPr="005E345D">
        <w:rPr>
          <w:rFonts w:ascii="Arial" w:hAnsi="Arial" w:cs="Arial"/>
          <w:color w:val="000000" w:themeColor="text1"/>
          <w:sz w:val="24"/>
          <w:szCs w:val="24"/>
        </w:rPr>
        <w:t xml:space="preserve"> of the customer. It </w:t>
      </w:r>
      <w:r w:rsidR="00984061" w:rsidRPr="005E345D">
        <w:rPr>
          <w:rFonts w:ascii="Arial" w:hAnsi="Arial" w:cs="Arial"/>
          <w:color w:val="000000" w:themeColor="text1"/>
          <w:sz w:val="24"/>
          <w:szCs w:val="24"/>
        </w:rPr>
        <w:t>must</w:t>
      </w:r>
      <w:r w:rsidR="001A20C6" w:rsidRPr="005E345D">
        <w:rPr>
          <w:rFonts w:ascii="Arial" w:hAnsi="Arial" w:cs="Arial"/>
          <w:color w:val="000000" w:themeColor="text1"/>
          <w:sz w:val="24"/>
          <w:szCs w:val="24"/>
        </w:rPr>
        <w:t xml:space="preserve"> regain the image of </w:t>
      </w:r>
      <w:r w:rsidR="00B25855" w:rsidRPr="005E345D">
        <w:rPr>
          <w:rFonts w:ascii="Arial" w:hAnsi="Arial" w:cs="Arial"/>
          <w:color w:val="000000" w:themeColor="text1"/>
          <w:sz w:val="24"/>
          <w:szCs w:val="24"/>
        </w:rPr>
        <w:t>a</w:t>
      </w:r>
      <w:r w:rsidR="001A20C6" w:rsidRPr="005E345D">
        <w:rPr>
          <w:rFonts w:ascii="Arial" w:hAnsi="Arial" w:cs="Arial"/>
          <w:color w:val="000000" w:themeColor="text1"/>
          <w:sz w:val="24"/>
          <w:szCs w:val="24"/>
        </w:rPr>
        <w:t xml:space="preserve"> thriving destination of luxury and relaxation. </w:t>
      </w:r>
      <w:r w:rsidR="007B3762" w:rsidRPr="005E345D">
        <w:rPr>
          <w:rFonts w:ascii="Arial" w:hAnsi="Arial" w:cs="Arial"/>
          <w:color w:val="000000" w:themeColor="text1"/>
          <w:szCs w:val="24"/>
        </w:rPr>
        <w:br w:type="page"/>
      </w:r>
    </w:p>
    <w:p w14:paraId="5CF38F3F" w14:textId="77777777" w:rsidR="007B3762" w:rsidRPr="005E345D" w:rsidRDefault="007B3762" w:rsidP="00EE06E4">
      <w:pPr>
        <w:pStyle w:val="Heading1"/>
      </w:pPr>
      <w:bookmarkStart w:id="5" w:name="_Toc150330703"/>
      <w:bookmarkStart w:id="6" w:name="_Toc157504735"/>
      <w:r w:rsidRPr="005E345D">
        <w:lastRenderedPageBreak/>
        <w:t xml:space="preserve">Financial </w:t>
      </w:r>
      <w:bookmarkEnd w:id="5"/>
      <w:r w:rsidR="00291A14" w:rsidRPr="005E345D">
        <w:t>Performance</w:t>
      </w:r>
      <w:bookmarkEnd w:id="6"/>
    </w:p>
    <w:p w14:paraId="06CB4B37" w14:textId="77777777" w:rsidR="009E1C88" w:rsidRPr="005E345D" w:rsidRDefault="0086286D" w:rsidP="00690DCB">
      <w:pPr>
        <w:pStyle w:val="ListParagraph"/>
        <w:numPr>
          <w:ilvl w:val="0"/>
          <w:numId w:val="8"/>
        </w:numPr>
        <w:rPr>
          <w:rFonts w:ascii="Arial" w:hAnsi="Arial" w:cs="Arial"/>
          <w:sz w:val="24"/>
          <w:szCs w:val="24"/>
        </w:rPr>
      </w:pPr>
      <w:r w:rsidRPr="005E345D">
        <w:rPr>
          <w:rFonts w:ascii="Arial" w:hAnsi="Arial" w:cs="Arial"/>
          <w:b/>
          <w:bCs/>
          <w:i/>
          <w:iCs/>
          <w:sz w:val="24"/>
          <w:szCs w:val="24"/>
        </w:rPr>
        <w:t>Liquidity Ratio (Current Ratio)</w:t>
      </w:r>
      <w:r w:rsidRPr="005E345D">
        <w:rPr>
          <w:rFonts w:ascii="Arial" w:hAnsi="Arial" w:cs="Arial"/>
          <w:sz w:val="24"/>
          <w:szCs w:val="24"/>
        </w:rPr>
        <w:t xml:space="preserve"> </w:t>
      </w:r>
      <w:r w:rsidR="009E1C88" w:rsidRPr="005E345D">
        <w:rPr>
          <w:rFonts w:ascii="Arial" w:hAnsi="Arial" w:cs="Arial"/>
          <w:sz w:val="24"/>
          <w:szCs w:val="24"/>
        </w:rPr>
        <w:t>–</w:t>
      </w:r>
      <w:r w:rsidRPr="005E345D">
        <w:rPr>
          <w:rFonts w:ascii="Arial" w:hAnsi="Arial" w:cs="Arial"/>
          <w:sz w:val="24"/>
          <w:szCs w:val="24"/>
        </w:rPr>
        <w:t xml:space="preserve"> </w:t>
      </w:r>
      <w:r w:rsidR="00332F13" w:rsidRPr="005E345D">
        <w:rPr>
          <w:rFonts w:ascii="Arial" w:hAnsi="Arial" w:cs="Arial"/>
          <w:sz w:val="24"/>
          <w:szCs w:val="24"/>
        </w:rPr>
        <w:t>According to Husna and Satria, (2019), th</w:t>
      </w:r>
      <w:r w:rsidR="000E1D2C" w:rsidRPr="005E345D">
        <w:rPr>
          <w:rFonts w:ascii="Arial" w:hAnsi="Arial" w:cs="Arial"/>
          <w:sz w:val="24"/>
          <w:szCs w:val="24"/>
        </w:rPr>
        <w:t xml:space="preserve">e current ratio refers to the measurability of a firm to attain short-term obligations with the help of short-term assets. The Seacrest Lodge Resort </w:t>
      </w:r>
      <w:r w:rsidR="00332F13" w:rsidRPr="005E345D">
        <w:rPr>
          <w:rFonts w:ascii="Arial" w:hAnsi="Arial" w:cs="Arial"/>
          <w:sz w:val="24"/>
          <w:szCs w:val="24"/>
        </w:rPr>
        <w:t xml:space="preserve">has </w:t>
      </w:r>
      <w:r w:rsidR="002F58DA" w:rsidRPr="005E345D">
        <w:rPr>
          <w:rFonts w:ascii="Arial" w:hAnsi="Arial" w:cs="Arial"/>
          <w:sz w:val="24"/>
          <w:szCs w:val="24"/>
        </w:rPr>
        <w:t xml:space="preserve">decreasing short-term assets and increasing short-term liabilities which is a bad performance of the resort in </w:t>
      </w:r>
      <w:r w:rsidR="00EF1C22" w:rsidRPr="005E345D">
        <w:rPr>
          <w:rFonts w:ascii="Arial" w:hAnsi="Arial" w:cs="Arial"/>
          <w:sz w:val="24"/>
          <w:szCs w:val="24"/>
        </w:rPr>
        <w:t xml:space="preserve">the </w:t>
      </w:r>
      <w:r w:rsidR="002F58DA" w:rsidRPr="005E345D">
        <w:rPr>
          <w:rFonts w:ascii="Arial" w:hAnsi="Arial" w:cs="Arial"/>
          <w:sz w:val="24"/>
          <w:szCs w:val="24"/>
        </w:rPr>
        <w:t xml:space="preserve">past three years. </w:t>
      </w:r>
      <w:r w:rsidR="00EF1C22" w:rsidRPr="005E345D">
        <w:rPr>
          <w:rFonts w:ascii="Arial" w:hAnsi="Arial" w:cs="Arial"/>
          <w:sz w:val="24"/>
          <w:szCs w:val="24"/>
        </w:rPr>
        <w:t xml:space="preserve">The resort must improve by </w:t>
      </w:r>
      <w:r w:rsidR="00F9047F" w:rsidRPr="005E345D">
        <w:rPr>
          <w:rFonts w:ascii="Arial" w:hAnsi="Arial" w:cs="Arial"/>
          <w:sz w:val="24"/>
          <w:szCs w:val="24"/>
        </w:rPr>
        <w:t xml:space="preserve">investing in short-term assets and obligating the current liabilities in the future. It should pay attention </w:t>
      </w:r>
      <w:r w:rsidR="00D652BD" w:rsidRPr="005E345D">
        <w:rPr>
          <w:rFonts w:ascii="Arial" w:hAnsi="Arial" w:cs="Arial"/>
          <w:sz w:val="24"/>
          <w:szCs w:val="24"/>
        </w:rPr>
        <w:t>to</w:t>
      </w:r>
      <w:r w:rsidR="00690DCB" w:rsidRPr="005E345D">
        <w:rPr>
          <w:rFonts w:ascii="Arial" w:hAnsi="Arial" w:cs="Arial"/>
          <w:sz w:val="24"/>
          <w:szCs w:val="24"/>
        </w:rPr>
        <w:t xml:space="preserve"> increasing profitability by implementing new strategies</w:t>
      </w:r>
      <w:r w:rsidR="00D652BD" w:rsidRPr="005E345D">
        <w:rPr>
          <w:rFonts w:ascii="Arial" w:hAnsi="Arial" w:cs="Arial"/>
          <w:sz w:val="24"/>
          <w:szCs w:val="24"/>
        </w:rPr>
        <w:t xml:space="preserve"> (See Appendix 1).</w:t>
      </w:r>
    </w:p>
    <w:p w14:paraId="401142F7" w14:textId="77777777" w:rsidR="0064378E" w:rsidRPr="005E345D" w:rsidRDefault="0064378E" w:rsidP="00690DCB">
      <w:pPr>
        <w:pStyle w:val="Caption"/>
        <w:keepNext/>
        <w:spacing w:line="360" w:lineRule="auto"/>
        <w:rPr>
          <w:rFonts w:ascii="Arial" w:hAnsi="Arial" w:cs="Arial"/>
          <w:sz w:val="24"/>
          <w:szCs w:val="24"/>
        </w:rPr>
      </w:pPr>
      <w:r w:rsidRPr="005E345D">
        <w:rPr>
          <w:rFonts w:ascii="Arial" w:hAnsi="Arial" w:cs="Arial"/>
          <w:sz w:val="24"/>
          <w:szCs w:val="24"/>
        </w:rPr>
        <w:t xml:space="preserve">Table </w:t>
      </w:r>
      <w:r w:rsidRPr="005E345D">
        <w:rPr>
          <w:rFonts w:ascii="Arial" w:hAnsi="Arial" w:cs="Arial"/>
          <w:sz w:val="24"/>
          <w:szCs w:val="24"/>
        </w:rPr>
        <w:fldChar w:fldCharType="begin"/>
      </w:r>
      <w:r w:rsidRPr="005E345D">
        <w:rPr>
          <w:rFonts w:ascii="Arial" w:hAnsi="Arial" w:cs="Arial"/>
          <w:sz w:val="24"/>
          <w:szCs w:val="24"/>
        </w:rPr>
        <w:instrText xml:space="preserve"> SEQ Table \* ARABIC </w:instrText>
      </w:r>
      <w:r w:rsidRPr="005E345D">
        <w:rPr>
          <w:rFonts w:ascii="Arial" w:hAnsi="Arial" w:cs="Arial"/>
          <w:sz w:val="24"/>
          <w:szCs w:val="24"/>
        </w:rPr>
        <w:fldChar w:fldCharType="separate"/>
      </w:r>
      <w:r w:rsidRPr="005E345D">
        <w:rPr>
          <w:rFonts w:ascii="Arial" w:hAnsi="Arial" w:cs="Arial"/>
          <w:noProof/>
          <w:sz w:val="24"/>
          <w:szCs w:val="24"/>
        </w:rPr>
        <w:t>1</w:t>
      </w:r>
      <w:r w:rsidRPr="005E345D">
        <w:rPr>
          <w:rFonts w:ascii="Arial" w:hAnsi="Arial" w:cs="Arial"/>
          <w:sz w:val="24"/>
          <w:szCs w:val="24"/>
        </w:rPr>
        <w:fldChar w:fldCharType="end"/>
      </w:r>
      <w:r w:rsidRPr="005E345D">
        <w:rPr>
          <w:rFonts w:ascii="Arial" w:hAnsi="Arial" w:cs="Arial"/>
          <w:sz w:val="24"/>
          <w:szCs w:val="24"/>
        </w:rPr>
        <w:t>: Liquidity Ratio of The Seacrest Lodge Resort from 2021 to 2023</w:t>
      </w:r>
    </w:p>
    <w:tbl>
      <w:tblPr>
        <w:tblW w:w="5000" w:type="pct"/>
        <w:tblLook w:val="04A0" w:firstRow="1" w:lastRow="0" w:firstColumn="1" w:lastColumn="0" w:noHBand="0" w:noVBand="1"/>
      </w:tblPr>
      <w:tblGrid>
        <w:gridCol w:w="6431"/>
        <w:gridCol w:w="973"/>
        <w:gridCol w:w="973"/>
        <w:gridCol w:w="973"/>
      </w:tblGrid>
      <w:tr w:rsidR="00BD5944" w:rsidRPr="00BD5944" w14:paraId="4C0C4B36" w14:textId="77777777" w:rsidTr="0064378E">
        <w:trPr>
          <w:trHeight w:val="310"/>
        </w:trPr>
        <w:tc>
          <w:tcPr>
            <w:tcW w:w="342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42CA3B"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Particulars</w:t>
            </w:r>
          </w:p>
        </w:tc>
        <w:tc>
          <w:tcPr>
            <w:tcW w:w="527" w:type="pct"/>
            <w:tcBorders>
              <w:top w:val="single" w:sz="4" w:space="0" w:color="auto"/>
              <w:left w:val="nil"/>
              <w:bottom w:val="single" w:sz="4" w:space="0" w:color="auto"/>
              <w:right w:val="single" w:sz="4" w:space="0" w:color="auto"/>
            </w:tcBorders>
            <w:shd w:val="clear" w:color="auto" w:fill="auto"/>
            <w:noWrap/>
            <w:vAlign w:val="bottom"/>
            <w:hideMark/>
          </w:tcPr>
          <w:p w14:paraId="2A5524BC"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2021 (£)</w:t>
            </w:r>
          </w:p>
        </w:tc>
        <w:tc>
          <w:tcPr>
            <w:tcW w:w="527" w:type="pct"/>
            <w:tcBorders>
              <w:top w:val="single" w:sz="4" w:space="0" w:color="auto"/>
              <w:left w:val="nil"/>
              <w:bottom w:val="single" w:sz="4" w:space="0" w:color="auto"/>
              <w:right w:val="single" w:sz="4" w:space="0" w:color="auto"/>
            </w:tcBorders>
            <w:shd w:val="clear" w:color="auto" w:fill="auto"/>
            <w:noWrap/>
            <w:vAlign w:val="bottom"/>
            <w:hideMark/>
          </w:tcPr>
          <w:p w14:paraId="1F6EF7F9"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2022 (£)</w:t>
            </w:r>
          </w:p>
        </w:tc>
        <w:tc>
          <w:tcPr>
            <w:tcW w:w="527" w:type="pct"/>
            <w:tcBorders>
              <w:top w:val="single" w:sz="4" w:space="0" w:color="auto"/>
              <w:left w:val="nil"/>
              <w:bottom w:val="single" w:sz="4" w:space="0" w:color="auto"/>
              <w:right w:val="single" w:sz="4" w:space="0" w:color="auto"/>
            </w:tcBorders>
            <w:shd w:val="clear" w:color="auto" w:fill="auto"/>
            <w:noWrap/>
            <w:vAlign w:val="bottom"/>
            <w:hideMark/>
          </w:tcPr>
          <w:p w14:paraId="7F2BBD5B"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2023 (£)</w:t>
            </w:r>
          </w:p>
        </w:tc>
      </w:tr>
      <w:tr w:rsidR="00BD5944" w:rsidRPr="00BD5944" w14:paraId="3652F1B6"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0EAE39E7"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Liquidity Ratio</w:t>
            </w:r>
          </w:p>
        </w:tc>
        <w:tc>
          <w:tcPr>
            <w:tcW w:w="527" w:type="pct"/>
            <w:tcBorders>
              <w:top w:val="nil"/>
              <w:left w:val="nil"/>
              <w:bottom w:val="single" w:sz="4" w:space="0" w:color="auto"/>
              <w:right w:val="single" w:sz="4" w:space="0" w:color="auto"/>
            </w:tcBorders>
            <w:shd w:val="clear" w:color="auto" w:fill="auto"/>
            <w:noWrap/>
            <w:vAlign w:val="bottom"/>
            <w:hideMark/>
          </w:tcPr>
          <w:p w14:paraId="4CEFF9E1"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527" w:type="pct"/>
            <w:tcBorders>
              <w:top w:val="nil"/>
              <w:left w:val="nil"/>
              <w:bottom w:val="single" w:sz="4" w:space="0" w:color="auto"/>
              <w:right w:val="single" w:sz="4" w:space="0" w:color="auto"/>
            </w:tcBorders>
            <w:shd w:val="clear" w:color="auto" w:fill="auto"/>
            <w:noWrap/>
            <w:vAlign w:val="bottom"/>
            <w:hideMark/>
          </w:tcPr>
          <w:p w14:paraId="2D5217F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527" w:type="pct"/>
            <w:tcBorders>
              <w:top w:val="nil"/>
              <w:left w:val="nil"/>
              <w:bottom w:val="single" w:sz="4" w:space="0" w:color="auto"/>
              <w:right w:val="single" w:sz="4" w:space="0" w:color="auto"/>
            </w:tcBorders>
            <w:shd w:val="clear" w:color="auto" w:fill="auto"/>
            <w:noWrap/>
            <w:vAlign w:val="bottom"/>
            <w:hideMark/>
          </w:tcPr>
          <w:p w14:paraId="416E0F6F"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65E719B4"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270FAB89"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Accounts Receivable</w:t>
            </w:r>
          </w:p>
        </w:tc>
        <w:tc>
          <w:tcPr>
            <w:tcW w:w="527" w:type="pct"/>
            <w:tcBorders>
              <w:top w:val="nil"/>
              <w:left w:val="nil"/>
              <w:bottom w:val="single" w:sz="4" w:space="0" w:color="auto"/>
              <w:right w:val="single" w:sz="4" w:space="0" w:color="auto"/>
            </w:tcBorders>
            <w:shd w:val="clear" w:color="auto" w:fill="auto"/>
            <w:noWrap/>
            <w:vAlign w:val="bottom"/>
            <w:hideMark/>
          </w:tcPr>
          <w:p w14:paraId="1F346723"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50,000</w:t>
            </w:r>
          </w:p>
        </w:tc>
        <w:tc>
          <w:tcPr>
            <w:tcW w:w="527" w:type="pct"/>
            <w:tcBorders>
              <w:top w:val="nil"/>
              <w:left w:val="nil"/>
              <w:bottom w:val="single" w:sz="4" w:space="0" w:color="auto"/>
              <w:right w:val="single" w:sz="4" w:space="0" w:color="auto"/>
            </w:tcBorders>
            <w:shd w:val="clear" w:color="auto" w:fill="auto"/>
            <w:noWrap/>
            <w:vAlign w:val="bottom"/>
            <w:hideMark/>
          </w:tcPr>
          <w:p w14:paraId="38655E51"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40,000</w:t>
            </w:r>
          </w:p>
        </w:tc>
        <w:tc>
          <w:tcPr>
            <w:tcW w:w="527" w:type="pct"/>
            <w:tcBorders>
              <w:top w:val="nil"/>
              <w:left w:val="nil"/>
              <w:bottom w:val="single" w:sz="4" w:space="0" w:color="auto"/>
              <w:right w:val="single" w:sz="4" w:space="0" w:color="auto"/>
            </w:tcBorders>
            <w:shd w:val="clear" w:color="auto" w:fill="auto"/>
            <w:noWrap/>
            <w:vAlign w:val="bottom"/>
            <w:hideMark/>
          </w:tcPr>
          <w:p w14:paraId="23E0108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30,000</w:t>
            </w:r>
          </w:p>
        </w:tc>
      </w:tr>
      <w:tr w:rsidR="00BD5944" w:rsidRPr="00BD5944" w14:paraId="196E1346"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6DD20899"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Cash and Cash Equivalents</w:t>
            </w:r>
          </w:p>
        </w:tc>
        <w:tc>
          <w:tcPr>
            <w:tcW w:w="527" w:type="pct"/>
            <w:tcBorders>
              <w:top w:val="nil"/>
              <w:left w:val="nil"/>
              <w:bottom w:val="single" w:sz="4" w:space="0" w:color="auto"/>
              <w:right w:val="single" w:sz="4" w:space="0" w:color="auto"/>
            </w:tcBorders>
            <w:shd w:val="clear" w:color="auto" w:fill="auto"/>
            <w:noWrap/>
            <w:vAlign w:val="bottom"/>
            <w:hideMark/>
          </w:tcPr>
          <w:p w14:paraId="2DA0B93D"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100,000</w:t>
            </w:r>
          </w:p>
        </w:tc>
        <w:tc>
          <w:tcPr>
            <w:tcW w:w="527" w:type="pct"/>
            <w:tcBorders>
              <w:top w:val="nil"/>
              <w:left w:val="nil"/>
              <w:bottom w:val="single" w:sz="4" w:space="0" w:color="auto"/>
              <w:right w:val="single" w:sz="4" w:space="0" w:color="auto"/>
            </w:tcBorders>
            <w:shd w:val="clear" w:color="auto" w:fill="auto"/>
            <w:noWrap/>
            <w:vAlign w:val="bottom"/>
            <w:hideMark/>
          </w:tcPr>
          <w:p w14:paraId="09EF22F8"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80,000</w:t>
            </w:r>
          </w:p>
        </w:tc>
        <w:tc>
          <w:tcPr>
            <w:tcW w:w="527" w:type="pct"/>
            <w:tcBorders>
              <w:top w:val="nil"/>
              <w:left w:val="nil"/>
              <w:bottom w:val="single" w:sz="4" w:space="0" w:color="auto"/>
              <w:right w:val="single" w:sz="4" w:space="0" w:color="auto"/>
            </w:tcBorders>
            <w:shd w:val="clear" w:color="auto" w:fill="auto"/>
            <w:noWrap/>
            <w:vAlign w:val="bottom"/>
            <w:hideMark/>
          </w:tcPr>
          <w:p w14:paraId="361D345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20,000</w:t>
            </w:r>
          </w:p>
        </w:tc>
      </w:tr>
      <w:tr w:rsidR="00BD5944" w:rsidRPr="00BD5944" w14:paraId="3C31CEDD"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2EE62F3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Current Assets = Accounts Receivable + Cash and Cash Equivalents</w:t>
            </w:r>
          </w:p>
        </w:tc>
        <w:tc>
          <w:tcPr>
            <w:tcW w:w="527" w:type="pct"/>
            <w:tcBorders>
              <w:top w:val="nil"/>
              <w:left w:val="nil"/>
              <w:bottom w:val="single" w:sz="4" w:space="0" w:color="auto"/>
              <w:right w:val="single" w:sz="4" w:space="0" w:color="auto"/>
            </w:tcBorders>
            <w:shd w:val="clear" w:color="auto" w:fill="auto"/>
            <w:noWrap/>
            <w:vAlign w:val="bottom"/>
            <w:hideMark/>
          </w:tcPr>
          <w:p w14:paraId="4FADE8BB"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w:t>
            </w:r>
          </w:p>
        </w:tc>
        <w:tc>
          <w:tcPr>
            <w:tcW w:w="527" w:type="pct"/>
            <w:tcBorders>
              <w:top w:val="nil"/>
              <w:left w:val="nil"/>
              <w:bottom w:val="single" w:sz="4" w:space="0" w:color="auto"/>
              <w:right w:val="single" w:sz="4" w:space="0" w:color="auto"/>
            </w:tcBorders>
            <w:shd w:val="clear" w:color="auto" w:fill="auto"/>
            <w:noWrap/>
            <w:vAlign w:val="bottom"/>
            <w:hideMark/>
          </w:tcPr>
          <w:p w14:paraId="5DC63E06"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120,000</w:t>
            </w:r>
          </w:p>
        </w:tc>
        <w:tc>
          <w:tcPr>
            <w:tcW w:w="527" w:type="pct"/>
            <w:tcBorders>
              <w:top w:val="nil"/>
              <w:left w:val="nil"/>
              <w:bottom w:val="single" w:sz="4" w:space="0" w:color="auto"/>
              <w:right w:val="single" w:sz="4" w:space="0" w:color="auto"/>
            </w:tcBorders>
            <w:shd w:val="clear" w:color="auto" w:fill="auto"/>
            <w:noWrap/>
            <w:vAlign w:val="bottom"/>
            <w:hideMark/>
          </w:tcPr>
          <w:p w14:paraId="19466232"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50,000</w:t>
            </w:r>
          </w:p>
        </w:tc>
      </w:tr>
      <w:tr w:rsidR="00BD5944" w:rsidRPr="00BD5944" w14:paraId="5FA728CF"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5DD9BEB0"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Current Liabilities = Accounts Payable</w:t>
            </w:r>
          </w:p>
        </w:tc>
        <w:tc>
          <w:tcPr>
            <w:tcW w:w="527" w:type="pct"/>
            <w:tcBorders>
              <w:top w:val="nil"/>
              <w:left w:val="nil"/>
              <w:bottom w:val="single" w:sz="4" w:space="0" w:color="auto"/>
              <w:right w:val="single" w:sz="4" w:space="0" w:color="auto"/>
            </w:tcBorders>
            <w:shd w:val="clear" w:color="auto" w:fill="auto"/>
            <w:noWrap/>
            <w:vAlign w:val="bottom"/>
            <w:hideMark/>
          </w:tcPr>
          <w:p w14:paraId="05754DF1"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30,000</w:t>
            </w:r>
          </w:p>
        </w:tc>
        <w:tc>
          <w:tcPr>
            <w:tcW w:w="527" w:type="pct"/>
            <w:tcBorders>
              <w:top w:val="nil"/>
              <w:left w:val="nil"/>
              <w:bottom w:val="single" w:sz="4" w:space="0" w:color="auto"/>
              <w:right w:val="single" w:sz="4" w:space="0" w:color="auto"/>
            </w:tcBorders>
            <w:shd w:val="clear" w:color="auto" w:fill="auto"/>
            <w:noWrap/>
            <w:vAlign w:val="bottom"/>
            <w:hideMark/>
          </w:tcPr>
          <w:p w14:paraId="003BCE87"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40,000</w:t>
            </w:r>
          </w:p>
        </w:tc>
        <w:tc>
          <w:tcPr>
            <w:tcW w:w="527" w:type="pct"/>
            <w:tcBorders>
              <w:top w:val="nil"/>
              <w:left w:val="nil"/>
              <w:bottom w:val="single" w:sz="4" w:space="0" w:color="auto"/>
              <w:right w:val="single" w:sz="4" w:space="0" w:color="auto"/>
            </w:tcBorders>
            <w:shd w:val="clear" w:color="auto" w:fill="auto"/>
            <w:noWrap/>
            <w:vAlign w:val="bottom"/>
            <w:hideMark/>
          </w:tcPr>
          <w:p w14:paraId="116EB875"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50,000</w:t>
            </w:r>
          </w:p>
        </w:tc>
      </w:tr>
      <w:tr w:rsidR="00BD5944" w:rsidRPr="00BD5944" w14:paraId="6428D56C"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2AD5804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Formula - Current Ratio = Current Assets / Current Liabilities</w:t>
            </w:r>
          </w:p>
        </w:tc>
        <w:tc>
          <w:tcPr>
            <w:tcW w:w="527" w:type="pct"/>
            <w:tcBorders>
              <w:top w:val="nil"/>
              <w:left w:val="nil"/>
              <w:bottom w:val="single" w:sz="4" w:space="0" w:color="auto"/>
              <w:right w:val="single" w:sz="4" w:space="0" w:color="auto"/>
            </w:tcBorders>
            <w:shd w:val="clear" w:color="auto" w:fill="auto"/>
            <w:noWrap/>
            <w:vAlign w:val="bottom"/>
            <w:hideMark/>
          </w:tcPr>
          <w:p w14:paraId="5BA6B8C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527" w:type="pct"/>
            <w:tcBorders>
              <w:top w:val="nil"/>
              <w:left w:val="nil"/>
              <w:bottom w:val="single" w:sz="4" w:space="0" w:color="auto"/>
              <w:right w:val="single" w:sz="4" w:space="0" w:color="auto"/>
            </w:tcBorders>
            <w:shd w:val="clear" w:color="auto" w:fill="auto"/>
            <w:noWrap/>
            <w:vAlign w:val="bottom"/>
            <w:hideMark/>
          </w:tcPr>
          <w:p w14:paraId="260B5860"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527" w:type="pct"/>
            <w:tcBorders>
              <w:top w:val="nil"/>
              <w:left w:val="nil"/>
              <w:bottom w:val="single" w:sz="4" w:space="0" w:color="auto"/>
              <w:right w:val="single" w:sz="4" w:space="0" w:color="auto"/>
            </w:tcBorders>
            <w:shd w:val="clear" w:color="auto" w:fill="auto"/>
            <w:noWrap/>
            <w:vAlign w:val="bottom"/>
            <w:hideMark/>
          </w:tcPr>
          <w:p w14:paraId="1C4A298D"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4DE6071A" w14:textId="77777777" w:rsidTr="0064378E">
        <w:trPr>
          <w:trHeight w:val="310"/>
        </w:trPr>
        <w:tc>
          <w:tcPr>
            <w:tcW w:w="3420" w:type="pct"/>
            <w:tcBorders>
              <w:top w:val="nil"/>
              <w:left w:val="single" w:sz="4" w:space="0" w:color="auto"/>
              <w:bottom w:val="single" w:sz="4" w:space="0" w:color="auto"/>
              <w:right w:val="single" w:sz="4" w:space="0" w:color="auto"/>
            </w:tcBorders>
            <w:shd w:val="clear" w:color="auto" w:fill="auto"/>
            <w:noWrap/>
            <w:vAlign w:val="bottom"/>
            <w:hideMark/>
          </w:tcPr>
          <w:p w14:paraId="0D9069DA"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Current Ratio</w:t>
            </w:r>
          </w:p>
        </w:tc>
        <w:tc>
          <w:tcPr>
            <w:tcW w:w="527" w:type="pct"/>
            <w:tcBorders>
              <w:top w:val="nil"/>
              <w:left w:val="nil"/>
              <w:bottom w:val="single" w:sz="4" w:space="0" w:color="auto"/>
              <w:right w:val="single" w:sz="4" w:space="0" w:color="auto"/>
            </w:tcBorders>
            <w:shd w:val="clear" w:color="auto" w:fill="auto"/>
            <w:noWrap/>
            <w:vAlign w:val="bottom"/>
            <w:hideMark/>
          </w:tcPr>
          <w:p w14:paraId="78398CF6"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5.00</w:t>
            </w:r>
          </w:p>
        </w:tc>
        <w:tc>
          <w:tcPr>
            <w:tcW w:w="527" w:type="pct"/>
            <w:tcBorders>
              <w:top w:val="nil"/>
              <w:left w:val="nil"/>
              <w:bottom w:val="single" w:sz="4" w:space="0" w:color="auto"/>
              <w:right w:val="single" w:sz="4" w:space="0" w:color="auto"/>
            </w:tcBorders>
            <w:shd w:val="clear" w:color="auto" w:fill="auto"/>
            <w:noWrap/>
            <w:vAlign w:val="bottom"/>
            <w:hideMark/>
          </w:tcPr>
          <w:p w14:paraId="52E19F1E"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3.00</w:t>
            </w:r>
          </w:p>
        </w:tc>
        <w:tc>
          <w:tcPr>
            <w:tcW w:w="527" w:type="pct"/>
            <w:tcBorders>
              <w:top w:val="nil"/>
              <w:left w:val="nil"/>
              <w:bottom w:val="single" w:sz="4" w:space="0" w:color="auto"/>
              <w:right w:val="single" w:sz="4" w:space="0" w:color="auto"/>
            </w:tcBorders>
            <w:shd w:val="clear" w:color="auto" w:fill="auto"/>
            <w:noWrap/>
            <w:vAlign w:val="bottom"/>
            <w:hideMark/>
          </w:tcPr>
          <w:p w14:paraId="34A2355D"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1.00</w:t>
            </w:r>
          </w:p>
        </w:tc>
      </w:tr>
    </w:tbl>
    <w:p w14:paraId="0CAB53E1" w14:textId="77777777" w:rsidR="00DC2DCD" w:rsidRPr="005E345D" w:rsidRDefault="00DC2DCD" w:rsidP="00DC2DCD">
      <w:pPr>
        <w:rPr>
          <w:rFonts w:ascii="Arial" w:hAnsi="Arial" w:cs="Arial"/>
          <w:szCs w:val="24"/>
        </w:rPr>
      </w:pPr>
    </w:p>
    <w:p w14:paraId="23BD93A4" w14:textId="77777777" w:rsidR="00C55702" w:rsidRPr="005E345D" w:rsidRDefault="00C55702" w:rsidP="00690DCB">
      <w:pPr>
        <w:pStyle w:val="ListParagraph"/>
        <w:numPr>
          <w:ilvl w:val="0"/>
          <w:numId w:val="8"/>
        </w:numPr>
        <w:rPr>
          <w:rFonts w:ascii="Arial" w:hAnsi="Arial" w:cs="Arial"/>
          <w:sz w:val="24"/>
          <w:szCs w:val="24"/>
        </w:rPr>
      </w:pPr>
      <w:r w:rsidRPr="005E345D">
        <w:rPr>
          <w:rFonts w:ascii="Arial" w:hAnsi="Arial" w:cs="Arial"/>
          <w:b/>
          <w:bCs/>
          <w:i/>
          <w:iCs/>
          <w:sz w:val="24"/>
          <w:szCs w:val="24"/>
        </w:rPr>
        <w:t>Solvency Ratio (Debt to Equity Ratio)</w:t>
      </w:r>
      <w:r w:rsidRPr="005E345D">
        <w:rPr>
          <w:rFonts w:ascii="Arial" w:hAnsi="Arial" w:cs="Arial"/>
          <w:sz w:val="24"/>
          <w:szCs w:val="24"/>
        </w:rPr>
        <w:t xml:space="preserve"> – </w:t>
      </w:r>
      <w:r w:rsidR="009326B2" w:rsidRPr="005E345D">
        <w:rPr>
          <w:rFonts w:ascii="Arial" w:hAnsi="Arial" w:cs="Arial"/>
          <w:sz w:val="24"/>
          <w:szCs w:val="24"/>
        </w:rPr>
        <w:t>In accordance with Yenni et al., (2021), t</w:t>
      </w:r>
      <w:r w:rsidR="001938B6" w:rsidRPr="005E345D">
        <w:rPr>
          <w:rFonts w:ascii="Arial" w:hAnsi="Arial" w:cs="Arial"/>
          <w:sz w:val="24"/>
          <w:szCs w:val="24"/>
        </w:rPr>
        <w:t xml:space="preserve">he solvency ratio includes </w:t>
      </w:r>
      <w:r w:rsidR="0020769C" w:rsidRPr="005E345D">
        <w:rPr>
          <w:rFonts w:ascii="Arial" w:hAnsi="Arial" w:cs="Arial"/>
          <w:sz w:val="24"/>
          <w:szCs w:val="24"/>
        </w:rPr>
        <w:t xml:space="preserve">a </w:t>
      </w:r>
      <w:r w:rsidR="004B5C6B" w:rsidRPr="005E345D">
        <w:rPr>
          <w:rFonts w:ascii="Arial" w:hAnsi="Arial" w:cs="Arial"/>
          <w:sz w:val="24"/>
          <w:szCs w:val="24"/>
        </w:rPr>
        <w:t>debt-to-equity</w:t>
      </w:r>
      <w:r w:rsidR="001938B6" w:rsidRPr="005E345D">
        <w:rPr>
          <w:rFonts w:ascii="Arial" w:hAnsi="Arial" w:cs="Arial"/>
          <w:sz w:val="24"/>
          <w:szCs w:val="24"/>
        </w:rPr>
        <w:t xml:space="preserve"> ratio that gives an insight </w:t>
      </w:r>
      <w:r w:rsidR="00371C57" w:rsidRPr="005E345D">
        <w:rPr>
          <w:rFonts w:ascii="Arial" w:hAnsi="Arial" w:cs="Arial"/>
          <w:sz w:val="24"/>
          <w:szCs w:val="24"/>
        </w:rPr>
        <w:t>into</w:t>
      </w:r>
      <w:r w:rsidR="001938B6" w:rsidRPr="005E345D">
        <w:rPr>
          <w:rFonts w:ascii="Arial" w:hAnsi="Arial" w:cs="Arial"/>
          <w:sz w:val="24"/>
          <w:szCs w:val="24"/>
        </w:rPr>
        <w:t xml:space="preserve"> the risk measurement of the firm. </w:t>
      </w:r>
      <w:r w:rsidR="0020769C" w:rsidRPr="005E345D">
        <w:rPr>
          <w:rFonts w:ascii="Arial" w:hAnsi="Arial" w:cs="Arial"/>
          <w:sz w:val="24"/>
          <w:szCs w:val="24"/>
        </w:rPr>
        <w:t xml:space="preserve">Debt to </w:t>
      </w:r>
      <w:r w:rsidR="004B5C6B" w:rsidRPr="005E345D">
        <w:rPr>
          <w:rFonts w:ascii="Arial" w:hAnsi="Arial" w:cs="Arial"/>
          <w:sz w:val="24"/>
          <w:szCs w:val="24"/>
        </w:rPr>
        <w:t>debt-to-equity</w:t>
      </w:r>
      <w:r w:rsidR="0020769C" w:rsidRPr="005E345D">
        <w:rPr>
          <w:rFonts w:ascii="Arial" w:hAnsi="Arial" w:cs="Arial"/>
          <w:sz w:val="24"/>
          <w:szCs w:val="24"/>
        </w:rPr>
        <w:t xml:space="preserve"> ratio provides </w:t>
      </w:r>
      <w:r w:rsidR="00371C57" w:rsidRPr="005E345D">
        <w:rPr>
          <w:rFonts w:ascii="Arial" w:hAnsi="Arial" w:cs="Arial"/>
          <w:sz w:val="24"/>
          <w:szCs w:val="24"/>
        </w:rPr>
        <w:t xml:space="preserve">an </w:t>
      </w:r>
      <w:r w:rsidR="0020769C" w:rsidRPr="005E345D">
        <w:rPr>
          <w:rFonts w:ascii="Arial" w:hAnsi="Arial" w:cs="Arial"/>
          <w:sz w:val="24"/>
          <w:szCs w:val="24"/>
        </w:rPr>
        <w:t xml:space="preserve">indication of the firm’s structure as well as the reliance on the debt or equity which will fund the operations. </w:t>
      </w:r>
      <w:r w:rsidR="00371C57" w:rsidRPr="005E345D">
        <w:rPr>
          <w:rFonts w:ascii="Arial" w:hAnsi="Arial" w:cs="Arial"/>
          <w:sz w:val="24"/>
          <w:szCs w:val="24"/>
        </w:rPr>
        <w:t>The Seacrest Lodge</w:t>
      </w:r>
      <w:r w:rsidR="00EF728C" w:rsidRPr="005E345D">
        <w:rPr>
          <w:rFonts w:ascii="Arial" w:hAnsi="Arial" w:cs="Arial"/>
          <w:sz w:val="24"/>
          <w:szCs w:val="24"/>
        </w:rPr>
        <w:t xml:space="preserve"> Resort</w:t>
      </w:r>
      <w:r w:rsidR="00371C57" w:rsidRPr="005E345D">
        <w:rPr>
          <w:rFonts w:ascii="Arial" w:hAnsi="Arial" w:cs="Arial"/>
          <w:sz w:val="24"/>
          <w:szCs w:val="24"/>
        </w:rPr>
        <w:t xml:space="preserve"> has</w:t>
      </w:r>
      <w:r w:rsidR="00EF728C" w:rsidRPr="005E345D">
        <w:rPr>
          <w:rFonts w:ascii="Arial" w:hAnsi="Arial" w:cs="Arial"/>
          <w:sz w:val="24"/>
          <w:szCs w:val="24"/>
        </w:rPr>
        <w:t xml:space="preserve"> a stable debt and decreasing equity which is a bad indicator of the financial performance. The Seacrest Lodge Resort </w:t>
      </w:r>
      <w:r w:rsidR="00EF728C" w:rsidRPr="005E345D">
        <w:rPr>
          <w:rFonts w:ascii="Arial" w:hAnsi="Arial" w:cs="Arial"/>
          <w:sz w:val="24"/>
          <w:szCs w:val="24"/>
        </w:rPr>
        <w:lastRenderedPageBreak/>
        <w:t xml:space="preserve">should </w:t>
      </w:r>
      <w:r w:rsidR="00385A97" w:rsidRPr="005E345D">
        <w:rPr>
          <w:rFonts w:ascii="Arial" w:hAnsi="Arial" w:cs="Arial"/>
          <w:sz w:val="24"/>
          <w:szCs w:val="24"/>
        </w:rPr>
        <w:t>introduce more equity in the market and obligate the debt within one year to improve its solvency</w:t>
      </w:r>
      <w:r w:rsidR="00D652BD" w:rsidRPr="005E345D">
        <w:rPr>
          <w:rFonts w:ascii="Arial" w:hAnsi="Arial" w:cs="Arial"/>
          <w:sz w:val="24"/>
          <w:szCs w:val="24"/>
        </w:rPr>
        <w:t xml:space="preserve"> (See Appendix 2).</w:t>
      </w:r>
    </w:p>
    <w:p w14:paraId="3AD5B732" w14:textId="77777777" w:rsidR="0064378E" w:rsidRPr="005E345D" w:rsidRDefault="0064378E" w:rsidP="00690DCB">
      <w:pPr>
        <w:pStyle w:val="Caption"/>
        <w:keepNext/>
        <w:spacing w:line="360" w:lineRule="auto"/>
        <w:rPr>
          <w:rFonts w:ascii="Arial" w:hAnsi="Arial" w:cs="Arial"/>
          <w:sz w:val="24"/>
          <w:szCs w:val="24"/>
        </w:rPr>
      </w:pPr>
      <w:r w:rsidRPr="005E345D">
        <w:rPr>
          <w:rFonts w:ascii="Arial" w:hAnsi="Arial" w:cs="Arial"/>
          <w:sz w:val="24"/>
          <w:szCs w:val="24"/>
        </w:rPr>
        <w:t xml:space="preserve">Table </w:t>
      </w:r>
      <w:r w:rsidRPr="005E345D">
        <w:rPr>
          <w:rFonts w:ascii="Arial" w:hAnsi="Arial" w:cs="Arial"/>
          <w:sz w:val="24"/>
          <w:szCs w:val="24"/>
        </w:rPr>
        <w:fldChar w:fldCharType="begin"/>
      </w:r>
      <w:r w:rsidRPr="005E345D">
        <w:rPr>
          <w:rFonts w:ascii="Arial" w:hAnsi="Arial" w:cs="Arial"/>
          <w:sz w:val="24"/>
          <w:szCs w:val="24"/>
        </w:rPr>
        <w:instrText xml:space="preserve"> SEQ Table \* ARABIC </w:instrText>
      </w:r>
      <w:r w:rsidRPr="005E345D">
        <w:rPr>
          <w:rFonts w:ascii="Arial" w:hAnsi="Arial" w:cs="Arial"/>
          <w:sz w:val="24"/>
          <w:szCs w:val="24"/>
        </w:rPr>
        <w:fldChar w:fldCharType="separate"/>
      </w:r>
      <w:r w:rsidRPr="005E345D">
        <w:rPr>
          <w:rFonts w:ascii="Arial" w:hAnsi="Arial" w:cs="Arial"/>
          <w:noProof/>
          <w:sz w:val="24"/>
          <w:szCs w:val="24"/>
        </w:rPr>
        <w:t>2</w:t>
      </w:r>
      <w:r w:rsidRPr="005E345D">
        <w:rPr>
          <w:rFonts w:ascii="Arial" w:hAnsi="Arial" w:cs="Arial"/>
          <w:sz w:val="24"/>
          <w:szCs w:val="24"/>
        </w:rPr>
        <w:fldChar w:fldCharType="end"/>
      </w:r>
      <w:r w:rsidRPr="005E345D">
        <w:rPr>
          <w:rFonts w:ascii="Arial" w:hAnsi="Arial" w:cs="Arial"/>
          <w:sz w:val="24"/>
          <w:szCs w:val="24"/>
        </w:rPr>
        <w:t>: Solvency Ratio of The Seacrest Lodge Resort from 2021 to 2023</w:t>
      </w:r>
    </w:p>
    <w:tbl>
      <w:tblPr>
        <w:tblW w:w="5000" w:type="pct"/>
        <w:tblLook w:val="04A0" w:firstRow="1" w:lastRow="0" w:firstColumn="1" w:lastColumn="0" w:noHBand="0" w:noVBand="1"/>
      </w:tblPr>
      <w:tblGrid>
        <w:gridCol w:w="5792"/>
        <w:gridCol w:w="1186"/>
        <w:gridCol w:w="1186"/>
        <w:gridCol w:w="1186"/>
      </w:tblGrid>
      <w:tr w:rsidR="00BD5944" w:rsidRPr="00BD5944" w14:paraId="1D40428E" w14:textId="77777777" w:rsidTr="0064378E">
        <w:trPr>
          <w:trHeight w:val="310"/>
        </w:trPr>
        <w:tc>
          <w:tcPr>
            <w:tcW w:w="305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E1D0FB"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Particulars</w:t>
            </w:r>
          </w:p>
        </w:tc>
        <w:tc>
          <w:tcPr>
            <w:tcW w:w="629" w:type="pct"/>
            <w:tcBorders>
              <w:top w:val="single" w:sz="4" w:space="0" w:color="auto"/>
              <w:left w:val="nil"/>
              <w:bottom w:val="single" w:sz="4" w:space="0" w:color="auto"/>
              <w:right w:val="single" w:sz="4" w:space="0" w:color="auto"/>
            </w:tcBorders>
            <w:shd w:val="clear" w:color="auto" w:fill="auto"/>
            <w:noWrap/>
            <w:vAlign w:val="bottom"/>
            <w:hideMark/>
          </w:tcPr>
          <w:p w14:paraId="791B028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2021 (£)</w:t>
            </w:r>
          </w:p>
        </w:tc>
        <w:tc>
          <w:tcPr>
            <w:tcW w:w="629" w:type="pct"/>
            <w:tcBorders>
              <w:top w:val="single" w:sz="4" w:space="0" w:color="auto"/>
              <w:left w:val="nil"/>
              <w:bottom w:val="single" w:sz="4" w:space="0" w:color="auto"/>
              <w:right w:val="single" w:sz="4" w:space="0" w:color="auto"/>
            </w:tcBorders>
            <w:shd w:val="clear" w:color="auto" w:fill="auto"/>
            <w:noWrap/>
            <w:vAlign w:val="bottom"/>
            <w:hideMark/>
          </w:tcPr>
          <w:p w14:paraId="1C3CCA9D"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2022 (£)</w:t>
            </w:r>
          </w:p>
        </w:tc>
        <w:tc>
          <w:tcPr>
            <w:tcW w:w="683" w:type="pct"/>
            <w:tcBorders>
              <w:top w:val="single" w:sz="4" w:space="0" w:color="auto"/>
              <w:left w:val="nil"/>
              <w:bottom w:val="single" w:sz="4" w:space="0" w:color="auto"/>
              <w:right w:val="single" w:sz="4" w:space="0" w:color="auto"/>
            </w:tcBorders>
            <w:shd w:val="clear" w:color="auto" w:fill="auto"/>
            <w:noWrap/>
            <w:vAlign w:val="bottom"/>
            <w:hideMark/>
          </w:tcPr>
          <w:p w14:paraId="6335AD25"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2023 (£)</w:t>
            </w:r>
          </w:p>
        </w:tc>
      </w:tr>
      <w:tr w:rsidR="00BD5944" w:rsidRPr="00BD5944" w14:paraId="5B476354" w14:textId="77777777" w:rsidTr="0064378E">
        <w:trPr>
          <w:trHeight w:val="310"/>
        </w:trPr>
        <w:tc>
          <w:tcPr>
            <w:tcW w:w="3059" w:type="pct"/>
            <w:tcBorders>
              <w:top w:val="nil"/>
              <w:left w:val="single" w:sz="4" w:space="0" w:color="auto"/>
              <w:bottom w:val="single" w:sz="4" w:space="0" w:color="auto"/>
              <w:right w:val="single" w:sz="4" w:space="0" w:color="auto"/>
            </w:tcBorders>
            <w:shd w:val="clear" w:color="auto" w:fill="auto"/>
            <w:noWrap/>
            <w:vAlign w:val="bottom"/>
            <w:hideMark/>
          </w:tcPr>
          <w:p w14:paraId="4545FA75"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Solvency Ratio</w:t>
            </w:r>
          </w:p>
        </w:tc>
        <w:tc>
          <w:tcPr>
            <w:tcW w:w="629" w:type="pct"/>
            <w:tcBorders>
              <w:top w:val="nil"/>
              <w:left w:val="nil"/>
              <w:bottom w:val="single" w:sz="4" w:space="0" w:color="auto"/>
              <w:right w:val="single" w:sz="4" w:space="0" w:color="auto"/>
            </w:tcBorders>
            <w:shd w:val="clear" w:color="auto" w:fill="auto"/>
            <w:noWrap/>
            <w:vAlign w:val="bottom"/>
            <w:hideMark/>
          </w:tcPr>
          <w:p w14:paraId="28A62F2D"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29" w:type="pct"/>
            <w:tcBorders>
              <w:top w:val="nil"/>
              <w:left w:val="nil"/>
              <w:bottom w:val="single" w:sz="4" w:space="0" w:color="auto"/>
              <w:right w:val="single" w:sz="4" w:space="0" w:color="auto"/>
            </w:tcBorders>
            <w:shd w:val="clear" w:color="auto" w:fill="auto"/>
            <w:noWrap/>
            <w:vAlign w:val="bottom"/>
            <w:hideMark/>
          </w:tcPr>
          <w:p w14:paraId="0A6C8E91"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83" w:type="pct"/>
            <w:tcBorders>
              <w:top w:val="nil"/>
              <w:left w:val="nil"/>
              <w:bottom w:val="single" w:sz="4" w:space="0" w:color="auto"/>
              <w:right w:val="single" w:sz="4" w:space="0" w:color="auto"/>
            </w:tcBorders>
            <w:shd w:val="clear" w:color="auto" w:fill="auto"/>
            <w:noWrap/>
            <w:vAlign w:val="bottom"/>
            <w:hideMark/>
          </w:tcPr>
          <w:p w14:paraId="01A61384"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7CE8CE9C" w14:textId="77777777" w:rsidTr="0064378E">
        <w:trPr>
          <w:trHeight w:val="310"/>
        </w:trPr>
        <w:tc>
          <w:tcPr>
            <w:tcW w:w="3059" w:type="pct"/>
            <w:tcBorders>
              <w:top w:val="nil"/>
              <w:left w:val="single" w:sz="4" w:space="0" w:color="auto"/>
              <w:bottom w:val="single" w:sz="4" w:space="0" w:color="auto"/>
              <w:right w:val="single" w:sz="4" w:space="0" w:color="auto"/>
            </w:tcBorders>
            <w:shd w:val="clear" w:color="auto" w:fill="auto"/>
            <w:noWrap/>
            <w:vAlign w:val="bottom"/>
            <w:hideMark/>
          </w:tcPr>
          <w:p w14:paraId="5CBA6615" w14:textId="77777777" w:rsidR="00BD5944" w:rsidRPr="00BD5944" w:rsidRDefault="000D2731" w:rsidP="00690DCB">
            <w:pPr>
              <w:spacing w:before="0" w:after="0"/>
              <w:jc w:val="left"/>
              <w:rPr>
                <w:rFonts w:ascii="Arial" w:eastAsia="Times New Roman" w:hAnsi="Arial" w:cs="Arial"/>
                <w:color w:val="000000"/>
                <w:kern w:val="0"/>
                <w:szCs w:val="24"/>
                <w:lang w:eastAsia="en-GB"/>
                <w14:ligatures w14:val="none"/>
              </w:rPr>
            </w:pPr>
            <w:r>
              <w:rPr>
                <w:rFonts w:ascii="Arial" w:eastAsia="Times New Roman" w:hAnsi="Arial" w:cs="Arial"/>
                <w:color w:val="000000"/>
                <w:kern w:val="0"/>
                <w:szCs w:val="24"/>
                <w:lang w:eastAsia="en-GB"/>
                <w14:ligatures w14:val="none"/>
              </w:rPr>
              <w:t xml:space="preserve">Long-Term </w:t>
            </w:r>
            <w:r w:rsidR="00BD5944" w:rsidRPr="00BD5944">
              <w:rPr>
                <w:rFonts w:ascii="Arial" w:eastAsia="Times New Roman" w:hAnsi="Arial" w:cs="Arial"/>
                <w:color w:val="000000"/>
                <w:kern w:val="0"/>
                <w:szCs w:val="24"/>
                <w:lang w:eastAsia="en-GB"/>
                <w14:ligatures w14:val="none"/>
              </w:rPr>
              <w:t>Debt</w:t>
            </w:r>
          </w:p>
        </w:tc>
        <w:tc>
          <w:tcPr>
            <w:tcW w:w="629" w:type="pct"/>
            <w:tcBorders>
              <w:top w:val="nil"/>
              <w:left w:val="nil"/>
              <w:bottom w:val="single" w:sz="4" w:space="0" w:color="auto"/>
              <w:right w:val="single" w:sz="4" w:space="0" w:color="auto"/>
            </w:tcBorders>
            <w:shd w:val="clear" w:color="auto" w:fill="auto"/>
            <w:noWrap/>
            <w:vAlign w:val="bottom"/>
            <w:hideMark/>
          </w:tcPr>
          <w:p w14:paraId="75EB0D64"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1,500,000</w:t>
            </w:r>
          </w:p>
        </w:tc>
        <w:tc>
          <w:tcPr>
            <w:tcW w:w="629" w:type="pct"/>
            <w:tcBorders>
              <w:top w:val="nil"/>
              <w:left w:val="nil"/>
              <w:bottom w:val="single" w:sz="4" w:space="0" w:color="auto"/>
              <w:right w:val="single" w:sz="4" w:space="0" w:color="auto"/>
            </w:tcBorders>
            <w:shd w:val="clear" w:color="auto" w:fill="auto"/>
            <w:noWrap/>
            <w:vAlign w:val="bottom"/>
            <w:hideMark/>
          </w:tcPr>
          <w:p w14:paraId="556DA665"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1,500,000</w:t>
            </w:r>
          </w:p>
        </w:tc>
        <w:tc>
          <w:tcPr>
            <w:tcW w:w="683" w:type="pct"/>
            <w:tcBorders>
              <w:top w:val="nil"/>
              <w:left w:val="nil"/>
              <w:bottom w:val="single" w:sz="4" w:space="0" w:color="auto"/>
              <w:right w:val="single" w:sz="4" w:space="0" w:color="auto"/>
            </w:tcBorders>
            <w:shd w:val="clear" w:color="auto" w:fill="auto"/>
            <w:noWrap/>
            <w:vAlign w:val="bottom"/>
            <w:hideMark/>
          </w:tcPr>
          <w:p w14:paraId="6A954E46"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1,500,000</w:t>
            </w:r>
          </w:p>
        </w:tc>
      </w:tr>
      <w:tr w:rsidR="00BD5944" w:rsidRPr="00BD5944" w14:paraId="06F7B5D8" w14:textId="77777777" w:rsidTr="0064378E">
        <w:trPr>
          <w:trHeight w:val="310"/>
        </w:trPr>
        <w:tc>
          <w:tcPr>
            <w:tcW w:w="3059" w:type="pct"/>
            <w:tcBorders>
              <w:top w:val="nil"/>
              <w:left w:val="single" w:sz="4" w:space="0" w:color="auto"/>
              <w:bottom w:val="single" w:sz="4" w:space="0" w:color="auto"/>
              <w:right w:val="single" w:sz="4" w:space="0" w:color="auto"/>
            </w:tcBorders>
            <w:shd w:val="clear" w:color="auto" w:fill="auto"/>
            <w:noWrap/>
            <w:vAlign w:val="bottom"/>
            <w:hideMark/>
          </w:tcPr>
          <w:p w14:paraId="0A4B2831"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Equity</w:t>
            </w:r>
          </w:p>
        </w:tc>
        <w:tc>
          <w:tcPr>
            <w:tcW w:w="629" w:type="pct"/>
            <w:tcBorders>
              <w:top w:val="nil"/>
              <w:left w:val="nil"/>
              <w:bottom w:val="single" w:sz="4" w:space="0" w:color="auto"/>
              <w:right w:val="single" w:sz="4" w:space="0" w:color="auto"/>
            </w:tcBorders>
            <w:shd w:val="clear" w:color="auto" w:fill="auto"/>
            <w:noWrap/>
            <w:vAlign w:val="bottom"/>
            <w:hideMark/>
          </w:tcPr>
          <w:p w14:paraId="00519A7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620,000</w:t>
            </w:r>
          </w:p>
        </w:tc>
        <w:tc>
          <w:tcPr>
            <w:tcW w:w="629" w:type="pct"/>
            <w:tcBorders>
              <w:top w:val="nil"/>
              <w:left w:val="nil"/>
              <w:bottom w:val="single" w:sz="4" w:space="0" w:color="auto"/>
              <w:right w:val="single" w:sz="4" w:space="0" w:color="auto"/>
            </w:tcBorders>
            <w:shd w:val="clear" w:color="auto" w:fill="auto"/>
            <w:noWrap/>
            <w:vAlign w:val="bottom"/>
            <w:hideMark/>
          </w:tcPr>
          <w:p w14:paraId="559FD00C"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580,000</w:t>
            </w:r>
          </w:p>
        </w:tc>
        <w:tc>
          <w:tcPr>
            <w:tcW w:w="683" w:type="pct"/>
            <w:tcBorders>
              <w:top w:val="nil"/>
              <w:left w:val="nil"/>
              <w:bottom w:val="single" w:sz="4" w:space="0" w:color="auto"/>
              <w:right w:val="single" w:sz="4" w:space="0" w:color="auto"/>
            </w:tcBorders>
            <w:shd w:val="clear" w:color="auto" w:fill="auto"/>
            <w:noWrap/>
            <w:vAlign w:val="bottom"/>
            <w:hideMark/>
          </w:tcPr>
          <w:p w14:paraId="6EFD501F"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300,000</w:t>
            </w:r>
          </w:p>
        </w:tc>
      </w:tr>
      <w:tr w:rsidR="00BD5944" w:rsidRPr="00BD5944" w14:paraId="31D3A6B5" w14:textId="77777777" w:rsidTr="0064378E">
        <w:trPr>
          <w:trHeight w:val="310"/>
        </w:trPr>
        <w:tc>
          <w:tcPr>
            <w:tcW w:w="3059" w:type="pct"/>
            <w:tcBorders>
              <w:top w:val="nil"/>
              <w:left w:val="single" w:sz="4" w:space="0" w:color="auto"/>
              <w:bottom w:val="single" w:sz="4" w:space="0" w:color="auto"/>
              <w:right w:val="single" w:sz="4" w:space="0" w:color="auto"/>
            </w:tcBorders>
            <w:shd w:val="clear" w:color="auto" w:fill="auto"/>
            <w:noWrap/>
            <w:vAlign w:val="bottom"/>
            <w:hideMark/>
          </w:tcPr>
          <w:p w14:paraId="6807C741"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xml:space="preserve">Formula - Debt-to-Equity Ratio = </w:t>
            </w:r>
            <w:r w:rsidR="000D2731">
              <w:rPr>
                <w:rFonts w:ascii="Arial" w:eastAsia="Times New Roman" w:hAnsi="Arial" w:cs="Arial"/>
                <w:color w:val="000000"/>
                <w:kern w:val="0"/>
                <w:szCs w:val="24"/>
                <w:lang w:eastAsia="en-GB"/>
                <w14:ligatures w14:val="none"/>
              </w:rPr>
              <w:t xml:space="preserve">Long-Term </w:t>
            </w:r>
            <w:r w:rsidRPr="00BD5944">
              <w:rPr>
                <w:rFonts w:ascii="Arial" w:eastAsia="Times New Roman" w:hAnsi="Arial" w:cs="Arial"/>
                <w:color w:val="000000"/>
                <w:kern w:val="0"/>
                <w:szCs w:val="24"/>
                <w:lang w:eastAsia="en-GB"/>
                <w14:ligatures w14:val="none"/>
              </w:rPr>
              <w:t>Debt / Equity</w:t>
            </w:r>
          </w:p>
        </w:tc>
        <w:tc>
          <w:tcPr>
            <w:tcW w:w="629" w:type="pct"/>
            <w:tcBorders>
              <w:top w:val="nil"/>
              <w:left w:val="nil"/>
              <w:bottom w:val="single" w:sz="4" w:space="0" w:color="auto"/>
              <w:right w:val="single" w:sz="4" w:space="0" w:color="auto"/>
            </w:tcBorders>
            <w:shd w:val="clear" w:color="auto" w:fill="auto"/>
            <w:noWrap/>
            <w:vAlign w:val="bottom"/>
            <w:hideMark/>
          </w:tcPr>
          <w:p w14:paraId="0D73F3C4"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29" w:type="pct"/>
            <w:tcBorders>
              <w:top w:val="nil"/>
              <w:left w:val="nil"/>
              <w:bottom w:val="single" w:sz="4" w:space="0" w:color="auto"/>
              <w:right w:val="single" w:sz="4" w:space="0" w:color="auto"/>
            </w:tcBorders>
            <w:shd w:val="clear" w:color="auto" w:fill="auto"/>
            <w:noWrap/>
            <w:vAlign w:val="bottom"/>
            <w:hideMark/>
          </w:tcPr>
          <w:p w14:paraId="345B4FF0"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83" w:type="pct"/>
            <w:tcBorders>
              <w:top w:val="nil"/>
              <w:left w:val="nil"/>
              <w:bottom w:val="single" w:sz="4" w:space="0" w:color="auto"/>
              <w:right w:val="single" w:sz="4" w:space="0" w:color="auto"/>
            </w:tcBorders>
            <w:shd w:val="clear" w:color="auto" w:fill="auto"/>
            <w:noWrap/>
            <w:vAlign w:val="bottom"/>
            <w:hideMark/>
          </w:tcPr>
          <w:p w14:paraId="2E168AB2"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6D256AAC" w14:textId="77777777" w:rsidTr="0064378E">
        <w:trPr>
          <w:trHeight w:val="310"/>
        </w:trPr>
        <w:tc>
          <w:tcPr>
            <w:tcW w:w="3059" w:type="pct"/>
            <w:tcBorders>
              <w:top w:val="nil"/>
              <w:left w:val="single" w:sz="4" w:space="0" w:color="auto"/>
              <w:bottom w:val="single" w:sz="4" w:space="0" w:color="auto"/>
              <w:right w:val="single" w:sz="4" w:space="0" w:color="auto"/>
            </w:tcBorders>
            <w:shd w:val="clear" w:color="auto" w:fill="auto"/>
            <w:noWrap/>
            <w:vAlign w:val="bottom"/>
            <w:hideMark/>
          </w:tcPr>
          <w:p w14:paraId="1FAF31A4"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Debt-to-Equity Ratio</w:t>
            </w:r>
          </w:p>
        </w:tc>
        <w:tc>
          <w:tcPr>
            <w:tcW w:w="629" w:type="pct"/>
            <w:tcBorders>
              <w:top w:val="nil"/>
              <w:left w:val="nil"/>
              <w:bottom w:val="single" w:sz="4" w:space="0" w:color="auto"/>
              <w:right w:val="single" w:sz="4" w:space="0" w:color="auto"/>
            </w:tcBorders>
            <w:shd w:val="clear" w:color="auto" w:fill="auto"/>
            <w:noWrap/>
            <w:vAlign w:val="bottom"/>
            <w:hideMark/>
          </w:tcPr>
          <w:p w14:paraId="1F1029C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2.42</w:t>
            </w:r>
          </w:p>
        </w:tc>
        <w:tc>
          <w:tcPr>
            <w:tcW w:w="629" w:type="pct"/>
            <w:tcBorders>
              <w:top w:val="nil"/>
              <w:left w:val="nil"/>
              <w:bottom w:val="single" w:sz="4" w:space="0" w:color="auto"/>
              <w:right w:val="single" w:sz="4" w:space="0" w:color="auto"/>
            </w:tcBorders>
            <w:shd w:val="clear" w:color="auto" w:fill="auto"/>
            <w:noWrap/>
            <w:vAlign w:val="bottom"/>
            <w:hideMark/>
          </w:tcPr>
          <w:p w14:paraId="4A1FC941"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2.59</w:t>
            </w:r>
          </w:p>
        </w:tc>
        <w:tc>
          <w:tcPr>
            <w:tcW w:w="683" w:type="pct"/>
            <w:tcBorders>
              <w:top w:val="nil"/>
              <w:left w:val="nil"/>
              <w:bottom w:val="single" w:sz="4" w:space="0" w:color="auto"/>
              <w:right w:val="single" w:sz="4" w:space="0" w:color="auto"/>
            </w:tcBorders>
            <w:shd w:val="clear" w:color="auto" w:fill="auto"/>
            <w:noWrap/>
            <w:vAlign w:val="bottom"/>
            <w:hideMark/>
          </w:tcPr>
          <w:p w14:paraId="4078962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5.00</w:t>
            </w:r>
          </w:p>
        </w:tc>
      </w:tr>
    </w:tbl>
    <w:p w14:paraId="4F7A4923" w14:textId="77777777" w:rsidR="00614671" w:rsidRPr="005E345D" w:rsidRDefault="00614671" w:rsidP="00614671">
      <w:pPr>
        <w:rPr>
          <w:rFonts w:ascii="Arial" w:hAnsi="Arial" w:cs="Arial"/>
          <w:szCs w:val="24"/>
        </w:rPr>
      </w:pPr>
    </w:p>
    <w:p w14:paraId="215498E9" w14:textId="77777777" w:rsidR="009E1C88" w:rsidRPr="005E345D" w:rsidRDefault="009E1C88" w:rsidP="00690DCB">
      <w:pPr>
        <w:pStyle w:val="ListParagraph"/>
        <w:numPr>
          <w:ilvl w:val="0"/>
          <w:numId w:val="8"/>
        </w:numPr>
        <w:rPr>
          <w:rFonts w:ascii="Arial" w:hAnsi="Arial" w:cs="Arial"/>
          <w:sz w:val="24"/>
          <w:szCs w:val="24"/>
        </w:rPr>
      </w:pPr>
      <w:r w:rsidRPr="005E345D">
        <w:rPr>
          <w:rFonts w:ascii="Arial" w:hAnsi="Arial" w:cs="Arial"/>
          <w:b/>
          <w:bCs/>
          <w:i/>
          <w:iCs/>
          <w:sz w:val="24"/>
          <w:szCs w:val="24"/>
        </w:rPr>
        <w:t>Profitability Ratio (Return on Assets)</w:t>
      </w:r>
      <w:r w:rsidRPr="005E345D">
        <w:rPr>
          <w:rFonts w:ascii="Arial" w:hAnsi="Arial" w:cs="Arial"/>
          <w:sz w:val="24"/>
          <w:szCs w:val="24"/>
        </w:rPr>
        <w:t xml:space="preserve"> – </w:t>
      </w:r>
      <w:r w:rsidR="00DC2DCD" w:rsidRPr="005E345D">
        <w:rPr>
          <w:rFonts w:ascii="Arial" w:hAnsi="Arial" w:cs="Arial"/>
          <w:sz w:val="24"/>
          <w:szCs w:val="24"/>
        </w:rPr>
        <w:t xml:space="preserve">According to Husna and Satria, (2019), the return on asset ratio </w:t>
      </w:r>
      <w:r w:rsidR="00110D49" w:rsidRPr="005E345D">
        <w:rPr>
          <w:rFonts w:ascii="Arial" w:hAnsi="Arial" w:cs="Arial"/>
          <w:sz w:val="24"/>
          <w:szCs w:val="24"/>
        </w:rPr>
        <w:t>analyses</w:t>
      </w:r>
      <w:r w:rsidR="00DC2DCD" w:rsidRPr="005E345D">
        <w:rPr>
          <w:rFonts w:ascii="Arial" w:hAnsi="Arial" w:cs="Arial"/>
          <w:sz w:val="24"/>
          <w:szCs w:val="24"/>
        </w:rPr>
        <w:t xml:space="preserve"> the capability of the firm to make profits which can </w:t>
      </w:r>
      <w:r w:rsidR="00B3784C" w:rsidRPr="005E345D">
        <w:rPr>
          <w:rFonts w:ascii="Arial" w:hAnsi="Arial" w:cs="Arial"/>
          <w:sz w:val="24"/>
          <w:szCs w:val="24"/>
        </w:rPr>
        <w:t>ensure the company’s value.</w:t>
      </w:r>
      <w:r w:rsidR="00110D49" w:rsidRPr="005E345D">
        <w:rPr>
          <w:rFonts w:ascii="Arial" w:hAnsi="Arial" w:cs="Arial"/>
          <w:sz w:val="24"/>
          <w:szCs w:val="24"/>
        </w:rPr>
        <w:t xml:space="preserve"> It has been </w:t>
      </w:r>
      <w:r w:rsidR="000D2731" w:rsidRPr="005E345D">
        <w:rPr>
          <w:rFonts w:ascii="Arial" w:hAnsi="Arial" w:cs="Arial"/>
          <w:sz w:val="24"/>
          <w:szCs w:val="24"/>
        </w:rPr>
        <w:t>analyzed</w:t>
      </w:r>
      <w:r w:rsidR="00110D49" w:rsidRPr="005E345D">
        <w:rPr>
          <w:rFonts w:ascii="Arial" w:hAnsi="Arial" w:cs="Arial"/>
          <w:sz w:val="24"/>
          <w:szCs w:val="24"/>
        </w:rPr>
        <w:t xml:space="preserve"> that The Seacrest Lodge has decreased </w:t>
      </w:r>
      <w:r w:rsidR="00C542E8" w:rsidRPr="005E345D">
        <w:rPr>
          <w:rFonts w:ascii="Arial" w:hAnsi="Arial" w:cs="Arial"/>
          <w:sz w:val="24"/>
          <w:szCs w:val="24"/>
        </w:rPr>
        <w:t>its</w:t>
      </w:r>
      <w:r w:rsidR="00110D49" w:rsidRPr="005E345D">
        <w:rPr>
          <w:rFonts w:ascii="Arial" w:hAnsi="Arial" w:cs="Arial"/>
          <w:sz w:val="24"/>
          <w:szCs w:val="24"/>
        </w:rPr>
        <w:t xml:space="preserve"> total assets as well as the net profit from 2021 to 2023</w:t>
      </w:r>
      <w:r w:rsidR="00FB51A1" w:rsidRPr="005E345D">
        <w:rPr>
          <w:rFonts w:ascii="Arial" w:hAnsi="Arial" w:cs="Arial"/>
          <w:sz w:val="24"/>
          <w:szCs w:val="24"/>
        </w:rPr>
        <w:t xml:space="preserve">. This explains that the resort has </w:t>
      </w:r>
      <w:r w:rsidR="00645E70" w:rsidRPr="005E345D">
        <w:rPr>
          <w:rFonts w:ascii="Arial" w:hAnsi="Arial" w:cs="Arial"/>
          <w:sz w:val="24"/>
          <w:szCs w:val="24"/>
        </w:rPr>
        <w:t xml:space="preserve">bad performance in the profitability ratio and profitability as well. The </w:t>
      </w:r>
      <w:r w:rsidR="00CE03CF" w:rsidRPr="005E345D">
        <w:rPr>
          <w:rFonts w:ascii="Arial" w:hAnsi="Arial" w:cs="Arial"/>
          <w:sz w:val="24"/>
          <w:szCs w:val="24"/>
        </w:rPr>
        <w:t>resort must increase the average room rate and occupancy rates by developing new strategies for the profitability of the business</w:t>
      </w:r>
      <w:r w:rsidR="00D652BD" w:rsidRPr="005E345D">
        <w:rPr>
          <w:rFonts w:ascii="Arial" w:hAnsi="Arial" w:cs="Arial"/>
          <w:sz w:val="24"/>
          <w:szCs w:val="24"/>
        </w:rPr>
        <w:t xml:space="preserve"> (See Appendix 3).</w:t>
      </w:r>
      <w:r w:rsidR="00964177" w:rsidRPr="005E345D">
        <w:rPr>
          <w:rFonts w:ascii="Arial" w:hAnsi="Arial" w:cs="Arial"/>
          <w:sz w:val="24"/>
          <w:szCs w:val="24"/>
        </w:rPr>
        <w:t xml:space="preserve"> </w:t>
      </w:r>
    </w:p>
    <w:p w14:paraId="457AEA47" w14:textId="77777777" w:rsidR="0064378E" w:rsidRPr="005E345D" w:rsidRDefault="0064378E" w:rsidP="00690DCB">
      <w:pPr>
        <w:pStyle w:val="Caption"/>
        <w:keepNext/>
        <w:spacing w:line="360" w:lineRule="auto"/>
        <w:rPr>
          <w:rFonts w:ascii="Arial" w:hAnsi="Arial" w:cs="Arial"/>
          <w:sz w:val="24"/>
          <w:szCs w:val="24"/>
        </w:rPr>
      </w:pPr>
      <w:r w:rsidRPr="005E345D">
        <w:rPr>
          <w:rFonts w:ascii="Arial" w:hAnsi="Arial" w:cs="Arial"/>
          <w:sz w:val="24"/>
          <w:szCs w:val="24"/>
        </w:rPr>
        <w:t xml:space="preserve">Table </w:t>
      </w:r>
      <w:r w:rsidRPr="005E345D">
        <w:rPr>
          <w:rFonts w:ascii="Arial" w:hAnsi="Arial" w:cs="Arial"/>
          <w:sz w:val="24"/>
          <w:szCs w:val="24"/>
        </w:rPr>
        <w:fldChar w:fldCharType="begin"/>
      </w:r>
      <w:r w:rsidRPr="005E345D">
        <w:rPr>
          <w:rFonts w:ascii="Arial" w:hAnsi="Arial" w:cs="Arial"/>
          <w:sz w:val="24"/>
          <w:szCs w:val="24"/>
        </w:rPr>
        <w:instrText xml:space="preserve"> SEQ Table \* ARABIC </w:instrText>
      </w:r>
      <w:r w:rsidRPr="005E345D">
        <w:rPr>
          <w:rFonts w:ascii="Arial" w:hAnsi="Arial" w:cs="Arial"/>
          <w:sz w:val="24"/>
          <w:szCs w:val="24"/>
        </w:rPr>
        <w:fldChar w:fldCharType="separate"/>
      </w:r>
      <w:r w:rsidRPr="005E345D">
        <w:rPr>
          <w:rFonts w:ascii="Arial" w:hAnsi="Arial" w:cs="Arial"/>
          <w:noProof/>
          <w:sz w:val="24"/>
          <w:szCs w:val="24"/>
        </w:rPr>
        <w:t>3</w:t>
      </w:r>
      <w:r w:rsidRPr="005E345D">
        <w:rPr>
          <w:rFonts w:ascii="Arial" w:hAnsi="Arial" w:cs="Arial"/>
          <w:sz w:val="24"/>
          <w:szCs w:val="24"/>
        </w:rPr>
        <w:fldChar w:fldCharType="end"/>
      </w:r>
      <w:r w:rsidRPr="005E345D">
        <w:rPr>
          <w:rFonts w:ascii="Arial" w:hAnsi="Arial" w:cs="Arial"/>
          <w:sz w:val="24"/>
          <w:szCs w:val="24"/>
        </w:rPr>
        <w:t>: Profitability Ratio of The Seacrest Lodge Resort from 2021 to 2023</w:t>
      </w:r>
    </w:p>
    <w:tbl>
      <w:tblPr>
        <w:tblW w:w="5000" w:type="pct"/>
        <w:tblLook w:val="04A0" w:firstRow="1" w:lastRow="0" w:firstColumn="1" w:lastColumn="0" w:noHBand="0" w:noVBand="1"/>
      </w:tblPr>
      <w:tblGrid>
        <w:gridCol w:w="5888"/>
        <w:gridCol w:w="1154"/>
        <w:gridCol w:w="1154"/>
        <w:gridCol w:w="1154"/>
      </w:tblGrid>
      <w:tr w:rsidR="00BD5944" w:rsidRPr="00BD5944" w14:paraId="60D94189" w14:textId="77777777" w:rsidTr="0064378E">
        <w:trPr>
          <w:trHeight w:val="310"/>
        </w:trPr>
        <w:tc>
          <w:tcPr>
            <w:tcW w:w="316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7A722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Particulars</w:t>
            </w:r>
          </w:p>
        </w:tc>
        <w:tc>
          <w:tcPr>
            <w:tcW w:w="611" w:type="pct"/>
            <w:tcBorders>
              <w:top w:val="single" w:sz="4" w:space="0" w:color="auto"/>
              <w:left w:val="nil"/>
              <w:bottom w:val="single" w:sz="4" w:space="0" w:color="auto"/>
              <w:right w:val="single" w:sz="4" w:space="0" w:color="auto"/>
            </w:tcBorders>
            <w:shd w:val="clear" w:color="auto" w:fill="auto"/>
            <w:noWrap/>
            <w:vAlign w:val="bottom"/>
            <w:hideMark/>
          </w:tcPr>
          <w:p w14:paraId="4F79D2CD"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2021 (£)</w:t>
            </w:r>
          </w:p>
        </w:tc>
        <w:tc>
          <w:tcPr>
            <w:tcW w:w="611" w:type="pct"/>
            <w:tcBorders>
              <w:top w:val="single" w:sz="4" w:space="0" w:color="auto"/>
              <w:left w:val="nil"/>
              <w:bottom w:val="single" w:sz="4" w:space="0" w:color="auto"/>
              <w:right w:val="single" w:sz="4" w:space="0" w:color="auto"/>
            </w:tcBorders>
            <w:shd w:val="clear" w:color="auto" w:fill="auto"/>
            <w:noWrap/>
            <w:vAlign w:val="bottom"/>
            <w:hideMark/>
          </w:tcPr>
          <w:p w14:paraId="0F98E8C1"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2022 (£)</w:t>
            </w:r>
          </w:p>
        </w:tc>
        <w:tc>
          <w:tcPr>
            <w:tcW w:w="611" w:type="pct"/>
            <w:tcBorders>
              <w:top w:val="single" w:sz="4" w:space="0" w:color="auto"/>
              <w:left w:val="nil"/>
              <w:bottom w:val="single" w:sz="4" w:space="0" w:color="auto"/>
              <w:right w:val="single" w:sz="4" w:space="0" w:color="auto"/>
            </w:tcBorders>
            <w:shd w:val="clear" w:color="auto" w:fill="auto"/>
            <w:noWrap/>
            <w:vAlign w:val="bottom"/>
            <w:hideMark/>
          </w:tcPr>
          <w:p w14:paraId="7825E543"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2023 (£)</w:t>
            </w:r>
          </w:p>
        </w:tc>
      </w:tr>
      <w:tr w:rsidR="00BD5944" w:rsidRPr="00BD5944" w14:paraId="7841E892" w14:textId="77777777" w:rsidTr="0064378E">
        <w:trPr>
          <w:trHeight w:val="310"/>
        </w:trPr>
        <w:tc>
          <w:tcPr>
            <w:tcW w:w="3168" w:type="pct"/>
            <w:tcBorders>
              <w:top w:val="nil"/>
              <w:left w:val="single" w:sz="4" w:space="0" w:color="auto"/>
              <w:bottom w:val="single" w:sz="4" w:space="0" w:color="auto"/>
              <w:right w:val="single" w:sz="4" w:space="0" w:color="auto"/>
            </w:tcBorders>
            <w:shd w:val="clear" w:color="auto" w:fill="auto"/>
            <w:noWrap/>
            <w:vAlign w:val="bottom"/>
            <w:hideMark/>
          </w:tcPr>
          <w:p w14:paraId="09B40AE7"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Profitability Ratio</w:t>
            </w:r>
          </w:p>
        </w:tc>
        <w:tc>
          <w:tcPr>
            <w:tcW w:w="611" w:type="pct"/>
            <w:tcBorders>
              <w:top w:val="nil"/>
              <w:left w:val="nil"/>
              <w:bottom w:val="single" w:sz="4" w:space="0" w:color="auto"/>
              <w:right w:val="single" w:sz="4" w:space="0" w:color="auto"/>
            </w:tcBorders>
            <w:shd w:val="clear" w:color="auto" w:fill="auto"/>
            <w:noWrap/>
            <w:vAlign w:val="bottom"/>
            <w:hideMark/>
          </w:tcPr>
          <w:p w14:paraId="5B12E322"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11" w:type="pct"/>
            <w:tcBorders>
              <w:top w:val="nil"/>
              <w:left w:val="nil"/>
              <w:bottom w:val="single" w:sz="4" w:space="0" w:color="auto"/>
              <w:right w:val="single" w:sz="4" w:space="0" w:color="auto"/>
            </w:tcBorders>
            <w:shd w:val="clear" w:color="auto" w:fill="auto"/>
            <w:noWrap/>
            <w:vAlign w:val="bottom"/>
            <w:hideMark/>
          </w:tcPr>
          <w:p w14:paraId="7EA0776C"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11" w:type="pct"/>
            <w:tcBorders>
              <w:top w:val="nil"/>
              <w:left w:val="nil"/>
              <w:bottom w:val="single" w:sz="4" w:space="0" w:color="auto"/>
              <w:right w:val="single" w:sz="4" w:space="0" w:color="auto"/>
            </w:tcBorders>
            <w:shd w:val="clear" w:color="auto" w:fill="auto"/>
            <w:noWrap/>
            <w:vAlign w:val="bottom"/>
            <w:hideMark/>
          </w:tcPr>
          <w:p w14:paraId="6D1275E6"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6E9E6C76" w14:textId="77777777" w:rsidTr="0064378E">
        <w:trPr>
          <w:trHeight w:val="310"/>
        </w:trPr>
        <w:tc>
          <w:tcPr>
            <w:tcW w:w="3168" w:type="pct"/>
            <w:tcBorders>
              <w:top w:val="nil"/>
              <w:left w:val="single" w:sz="4" w:space="0" w:color="auto"/>
              <w:bottom w:val="single" w:sz="4" w:space="0" w:color="auto"/>
              <w:right w:val="single" w:sz="4" w:space="0" w:color="auto"/>
            </w:tcBorders>
            <w:shd w:val="clear" w:color="auto" w:fill="auto"/>
            <w:noWrap/>
            <w:vAlign w:val="bottom"/>
            <w:hideMark/>
          </w:tcPr>
          <w:p w14:paraId="13841829"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Net Profit</w:t>
            </w:r>
          </w:p>
        </w:tc>
        <w:tc>
          <w:tcPr>
            <w:tcW w:w="611" w:type="pct"/>
            <w:tcBorders>
              <w:top w:val="nil"/>
              <w:left w:val="nil"/>
              <w:bottom w:val="single" w:sz="4" w:space="0" w:color="auto"/>
              <w:right w:val="single" w:sz="4" w:space="0" w:color="auto"/>
            </w:tcBorders>
            <w:shd w:val="clear" w:color="auto" w:fill="auto"/>
            <w:noWrap/>
            <w:vAlign w:val="bottom"/>
            <w:hideMark/>
          </w:tcPr>
          <w:p w14:paraId="4D9F9EC2"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300,000</w:t>
            </w:r>
          </w:p>
        </w:tc>
        <w:tc>
          <w:tcPr>
            <w:tcW w:w="611" w:type="pct"/>
            <w:tcBorders>
              <w:top w:val="nil"/>
              <w:left w:val="nil"/>
              <w:bottom w:val="single" w:sz="4" w:space="0" w:color="auto"/>
              <w:right w:val="single" w:sz="4" w:space="0" w:color="auto"/>
            </w:tcBorders>
            <w:shd w:val="clear" w:color="auto" w:fill="auto"/>
            <w:noWrap/>
            <w:vAlign w:val="bottom"/>
            <w:hideMark/>
          </w:tcPr>
          <w:p w14:paraId="7F9A4559"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w:t>
            </w:r>
          </w:p>
        </w:tc>
        <w:tc>
          <w:tcPr>
            <w:tcW w:w="611" w:type="pct"/>
            <w:tcBorders>
              <w:top w:val="nil"/>
              <w:left w:val="nil"/>
              <w:bottom w:val="single" w:sz="4" w:space="0" w:color="auto"/>
              <w:right w:val="single" w:sz="4" w:space="0" w:color="auto"/>
            </w:tcBorders>
            <w:shd w:val="clear" w:color="auto" w:fill="auto"/>
            <w:noWrap/>
            <w:vAlign w:val="bottom"/>
            <w:hideMark/>
          </w:tcPr>
          <w:p w14:paraId="5C637578"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-150,000</w:t>
            </w:r>
          </w:p>
        </w:tc>
      </w:tr>
      <w:tr w:rsidR="00BD5944" w:rsidRPr="00BD5944" w14:paraId="214E5456" w14:textId="77777777" w:rsidTr="0064378E">
        <w:trPr>
          <w:trHeight w:val="310"/>
        </w:trPr>
        <w:tc>
          <w:tcPr>
            <w:tcW w:w="3168" w:type="pct"/>
            <w:tcBorders>
              <w:top w:val="nil"/>
              <w:left w:val="single" w:sz="4" w:space="0" w:color="auto"/>
              <w:bottom w:val="single" w:sz="4" w:space="0" w:color="auto"/>
              <w:right w:val="single" w:sz="4" w:space="0" w:color="auto"/>
            </w:tcBorders>
            <w:shd w:val="clear" w:color="auto" w:fill="auto"/>
            <w:noWrap/>
            <w:vAlign w:val="bottom"/>
            <w:hideMark/>
          </w:tcPr>
          <w:p w14:paraId="4EB3CBF9"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Total Assets</w:t>
            </w:r>
          </w:p>
        </w:tc>
        <w:tc>
          <w:tcPr>
            <w:tcW w:w="611" w:type="pct"/>
            <w:tcBorders>
              <w:top w:val="nil"/>
              <w:left w:val="nil"/>
              <w:bottom w:val="single" w:sz="4" w:space="0" w:color="auto"/>
              <w:right w:val="single" w:sz="4" w:space="0" w:color="auto"/>
            </w:tcBorders>
            <w:shd w:val="clear" w:color="auto" w:fill="auto"/>
            <w:noWrap/>
            <w:vAlign w:val="bottom"/>
            <w:hideMark/>
          </w:tcPr>
          <w:p w14:paraId="62A4F8E1"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2,150,000</w:t>
            </w:r>
          </w:p>
        </w:tc>
        <w:tc>
          <w:tcPr>
            <w:tcW w:w="611" w:type="pct"/>
            <w:tcBorders>
              <w:top w:val="nil"/>
              <w:left w:val="nil"/>
              <w:bottom w:val="single" w:sz="4" w:space="0" w:color="auto"/>
              <w:right w:val="single" w:sz="4" w:space="0" w:color="auto"/>
            </w:tcBorders>
            <w:shd w:val="clear" w:color="auto" w:fill="auto"/>
            <w:noWrap/>
            <w:vAlign w:val="bottom"/>
            <w:hideMark/>
          </w:tcPr>
          <w:p w14:paraId="6DECBF61"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2,120,000</w:t>
            </w:r>
          </w:p>
        </w:tc>
        <w:tc>
          <w:tcPr>
            <w:tcW w:w="611" w:type="pct"/>
            <w:tcBorders>
              <w:top w:val="nil"/>
              <w:left w:val="nil"/>
              <w:bottom w:val="single" w:sz="4" w:space="0" w:color="auto"/>
              <w:right w:val="single" w:sz="4" w:space="0" w:color="auto"/>
            </w:tcBorders>
            <w:shd w:val="clear" w:color="auto" w:fill="auto"/>
            <w:noWrap/>
            <w:vAlign w:val="bottom"/>
            <w:hideMark/>
          </w:tcPr>
          <w:p w14:paraId="2E76DECE"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1,850,000</w:t>
            </w:r>
          </w:p>
        </w:tc>
      </w:tr>
      <w:tr w:rsidR="00BD5944" w:rsidRPr="00BD5944" w14:paraId="7FE69613" w14:textId="77777777" w:rsidTr="0064378E">
        <w:trPr>
          <w:trHeight w:val="310"/>
        </w:trPr>
        <w:tc>
          <w:tcPr>
            <w:tcW w:w="3168" w:type="pct"/>
            <w:tcBorders>
              <w:top w:val="nil"/>
              <w:left w:val="single" w:sz="4" w:space="0" w:color="auto"/>
              <w:bottom w:val="single" w:sz="4" w:space="0" w:color="auto"/>
              <w:right w:val="single" w:sz="4" w:space="0" w:color="auto"/>
            </w:tcBorders>
            <w:shd w:val="clear" w:color="auto" w:fill="auto"/>
            <w:noWrap/>
            <w:vAlign w:val="bottom"/>
            <w:hideMark/>
          </w:tcPr>
          <w:p w14:paraId="5506365E"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lastRenderedPageBreak/>
              <w:t>Formula - Return on Assets = Net Profit (Loss) / Total Assets</w:t>
            </w:r>
          </w:p>
        </w:tc>
        <w:tc>
          <w:tcPr>
            <w:tcW w:w="611" w:type="pct"/>
            <w:tcBorders>
              <w:top w:val="nil"/>
              <w:left w:val="nil"/>
              <w:bottom w:val="single" w:sz="4" w:space="0" w:color="auto"/>
              <w:right w:val="single" w:sz="4" w:space="0" w:color="auto"/>
            </w:tcBorders>
            <w:shd w:val="clear" w:color="auto" w:fill="auto"/>
            <w:noWrap/>
            <w:vAlign w:val="bottom"/>
            <w:hideMark/>
          </w:tcPr>
          <w:p w14:paraId="6A6086CB"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11" w:type="pct"/>
            <w:tcBorders>
              <w:top w:val="nil"/>
              <w:left w:val="nil"/>
              <w:bottom w:val="single" w:sz="4" w:space="0" w:color="auto"/>
              <w:right w:val="single" w:sz="4" w:space="0" w:color="auto"/>
            </w:tcBorders>
            <w:shd w:val="clear" w:color="auto" w:fill="auto"/>
            <w:noWrap/>
            <w:vAlign w:val="bottom"/>
            <w:hideMark/>
          </w:tcPr>
          <w:p w14:paraId="14200100"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c>
          <w:tcPr>
            <w:tcW w:w="611" w:type="pct"/>
            <w:tcBorders>
              <w:top w:val="nil"/>
              <w:left w:val="nil"/>
              <w:bottom w:val="single" w:sz="4" w:space="0" w:color="auto"/>
              <w:right w:val="single" w:sz="4" w:space="0" w:color="auto"/>
            </w:tcBorders>
            <w:shd w:val="clear" w:color="auto" w:fill="auto"/>
            <w:noWrap/>
            <w:vAlign w:val="bottom"/>
            <w:hideMark/>
          </w:tcPr>
          <w:p w14:paraId="2AD31C04"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 </w:t>
            </w:r>
          </w:p>
        </w:tc>
      </w:tr>
      <w:tr w:rsidR="00BD5944" w:rsidRPr="00BD5944" w14:paraId="2CFCAC26" w14:textId="77777777" w:rsidTr="0064378E">
        <w:trPr>
          <w:trHeight w:val="310"/>
        </w:trPr>
        <w:tc>
          <w:tcPr>
            <w:tcW w:w="3168" w:type="pct"/>
            <w:tcBorders>
              <w:top w:val="nil"/>
              <w:left w:val="single" w:sz="4" w:space="0" w:color="auto"/>
              <w:bottom w:val="single" w:sz="4" w:space="0" w:color="auto"/>
              <w:right w:val="single" w:sz="4" w:space="0" w:color="auto"/>
            </w:tcBorders>
            <w:shd w:val="clear" w:color="auto" w:fill="auto"/>
            <w:noWrap/>
            <w:vAlign w:val="bottom"/>
            <w:hideMark/>
          </w:tcPr>
          <w:p w14:paraId="4C1841D3" w14:textId="77777777" w:rsidR="00BD5944" w:rsidRPr="00BD5944" w:rsidRDefault="00BD5944" w:rsidP="00690DCB">
            <w:pPr>
              <w:spacing w:before="0" w:after="0"/>
              <w:jc w:val="lef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Return on Assets</w:t>
            </w:r>
          </w:p>
        </w:tc>
        <w:tc>
          <w:tcPr>
            <w:tcW w:w="611" w:type="pct"/>
            <w:tcBorders>
              <w:top w:val="nil"/>
              <w:left w:val="nil"/>
              <w:bottom w:val="single" w:sz="4" w:space="0" w:color="auto"/>
              <w:right w:val="single" w:sz="4" w:space="0" w:color="auto"/>
            </w:tcBorders>
            <w:shd w:val="clear" w:color="auto" w:fill="auto"/>
            <w:noWrap/>
            <w:vAlign w:val="bottom"/>
            <w:hideMark/>
          </w:tcPr>
          <w:p w14:paraId="59A21D48"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14%</w:t>
            </w:r>
          </w:p>
        </w:tc>
        <w:tc>
          <w:tcPr>
            <w:tcW w:w="611" w:type="pct"/>
            <w:tcBorders>
              <w:top w:val="nil"/>
              <w:left w:val="nil"/>
              <w:bottom w:val="single" w:sz="4" w:space="0" w:color="auto"/>
              <w:right w:val="single" w:sz="4" w:space="0" w:color="auto"/>
            </w:tcBorders>
            <w:shd w:val="clear" w:color="auto" w:fill="auto"/>
            <w:noWrap/>
            <w:vAlign w:val="bottom"/>
            <w:hideMark/>
          </w:tcPr>
          <w:p w14:paraId="3B4A46FF"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7%</w:t>
            </w:r>
          </w:p>
        </w:tc>
        <w:tc>
          <w:tcPr>
            <w:tcW w:w="611" w:type="pct"/>
            <w:tcBorders>
              <w:top w:val="nil"/>
              <w:left w:val="nil"/>
              <w:bottom w:val="single" w:sz="4" w:space="0" w:color="auto"/>
              <w:right w:val="single" w:sz="4" w:space="0" w:color="auto"/>
            </w:tcBorders>
            <w:shd w:val="clear" w:color="auto" w:fill="auto"/>
            <w:noWrap/>
            <w:vAlign w:val="bottom"/>
            <w:hideMark/>
          </w:tcPr>
          <w:p w14:paraId="2B92776F" w14:textId="77777777" w:rsidR="00BD5944" w:rsidRPr="00BD5944" w:rsidRDefault="00BD5944" w:rsidP="00690DCB">
            <w:pPr>
              <w:spacing w:before="0" w:after="0"/>
              <w:jc w:val="right"/>
              <w:rPr>
                <w:rFonts w:ascii="Arial" w:eastAsia="Times New Roman" w:hAnsi="Arial" w:cs="Arial"/>
                <w:color w:val="000000"/>
                <w:kern w:val="0"/>
                <w:szCs w:val="24"/>
                <w:lang w:eastAsia="en-GB"/>
                <w14:ligatures w14:val="none"/>
              </w:rPr>
            </w:pPr>
            <w:r w:rsidRPr="00BD5944">
              <w:rPr>
                <w:rFonts w:ascii="Arial" w:eastAsia="Times New Roman" w:hAnsi="Arial" w:cs="Arial"/>
                <w:color w:val="000000"/>
                <w:kern w:val="0"/>
                <w:szCs w:val="24"/>
                <w:lang w:eastAsia="en-GB"/>
                <w14:ligatures w14:val="none"/>
              </w:rPr>
              <w:t>-8%</w:t>
            </w:r>
          </w:p>
        </w:tc>
      </w:tr>
    </w:tbl>
    <w:p w14:paraId="74650AF0" w14:textId="77777777" w:rsidR="00614671" w:rsidRPr="005E345D" w:rsidRDefault="00614671" w:rsidP="00614671">
      <w:pPr>
        <w:rPr>
          <w:rFonts w:ascii="Arial" w:hAnsi="Arial" w:cs="Arial"/>
          <w:szCs w:val="24"/>
        </w:rPr>
      </w:pPr>
    </w:p>
    <w:p w14:paraId="636190EC" w14:textId="77777777" w:rsidR="004770FA" w:rsidRPr="005E345D" w:rsidRDefault="009E1C88" w:rsidP="00690DCB">
      <w:pPr>
        <w:pStyle w:val="ListParagraph"/>
        <w:numPr>
          <w:ilvl w:val="0"/>
          <w:numId w:val="8"/>
        </w:numPr>
        <w:rPr>
          <w:rFonts w:ascii="Arial" w:hAnsi="Arial" w:cs="Arial"/>
          <w:sz w:val="24"/>
          <w:szCs w:val="24"/>
        </w:rPr>
      </w:pPr>
      <w:r w:rsidRPr="005E345D">
        <w:rPr>
          <w:rFonts w:ascii="Arial" w:hAnsi="Arial" w:cs="Arial"/>
          <w:b/>
          <w:bCs/>
          <w:i/>
          <w:iCs/>
          <w:sz w:val="24"/>
          <w:szCs w:val="24"/>
        </w:rPr>
        <w:t>Efficiency Ratio (Fixed Asset Turnover Ratio)</w:t>
      </w:r>
      <w:r w:rsidRPr="005E345D">
        <w:rPr>
          <w:rFonts w:ascii="Arial" w:hAnsi="Arial" w:cs="Arial"/>
          <w:sz w:val="24"/>
          <w:szCs w:val="24"/>
        </w:rPr>
        <w:t xml:space="preserve"> </w:t>
      </w:r>
      <w:r w:rsidR="004770FA" w:rsidRPr="005E345D">
        <w:rPr>
          <w:rFonts w:ascii="Arial" w:hAnsi="Arial" w:cs="Arial"/>
          <w:sz w:val="24"/>
          <w:szCs w:val="24"/>
        </w:rPr>
        <w:t>–</w:t>
      </w:r>
      <w:r w:rsidRPr="005E345D">
        <w:rPr>
          <w:rFonts w:ascii="Arial" w:hAnsi="Arial" w:cs="Arial"/>
          <w:sz w:val="24"/>
          <w:szCs w:val="24"/>
        </w:rPr>
        <w:t xml:space="preserve"> </w:t>
      </w:r>
      <w:r w:rsidR="009F3077" w:rsidRPr="005E345D">
        <w:rPr>
          <w:rFonts w:ascii="Arial" w:hAnsi="Arial" w:cs="Arial"/>
          <w:color w:val="222222"/>
          <w:sz w:val="24"/>
          <w:szCs w:val="24"/>
          <w:shd w:val="clear" w:color="auto" w:fill="FFFFFF"/>
        </w:rPr>
        <w:t xml:space="preserve">Alarussi, (2021), posits that the efficiency ratio </w:t>
      </w:r>
      <w:r w:rsidR="009E654D" w:rsidRPr="005E345D">
        <w:rPr>
          <w:rFonts w:ascii="Arial" w:hAnsi="Arial" w:cs="Arial"/>
          <w:sz w:val="24"/>
          <w:szCs w:val="24"/>
        </w:rPr>
        <w:t xml:space="preserve">refers to a productivity measurement ratio which will interpret the effectiveness in making sales from the investments in the fixed assets back into the firm </w:t>
      </w:r>
      <w:r w:rsidR="008801C5" w:rsidRPr="005E345D">
        <w:rPr>
          <w:rFonts w:ascii="Arial" w:hAnsi="Arial" w:cs="Arial"/>
          <w:sz w:val="24"/>
          <w:szCs w:val="24"/>
        </w:rPr>
        <w:t xml:space="preserve">and </w:t>
      </w:r>
      <w:r w:rsidR="009E654D" w:rsidRPr="005E345D">
        <w:rPr>
          <w:rFonts w:ascii="Arial" w:hAnsi="Arial" w:cs="Arial"/>
          <w:sz w:val="24"/>
          <w:szCs w:val="24"/>
        </w:rPr>
        <w:t xml:space="preserve">analyses only the investments. </w:t>
      </w:r>
      <w:r w:rsidR="008801C5" w:rsidRPr="005E345D">
        <w:rPr>
          <w:rFonts w:ascii="Arial" w:hAnsi="Arial" w:cs="Arial"/>
          <w:sz w:val="24"/>
          <w:szCs w:val="24"/>
        </w:rPr>
        <w:t xml:space="preserve">The net sales and net fixed assets </w:t>
      </w:r>
      <w:r w:rsidR="00DD09C1" w:rsidRPr="005E345D">
        <w:rPr>
          <w:rFonts w:ascii="Arial" w:hAnsi="Arial" w:cs="Arial"/>
          <w:sz w:val="24"/>
          <w:szCs w:val="24"/>
        </w:rPr>
        <w:t>decreased</w:t>
      </w:r>
      <w:r w:rsidR="008801C5" w:rsidRPr="005E345D">
        <w:rPr>
          <w:rFonts w:ascii="Arial" w:hAnsi="Arial" w:cs="Arial"/>
          <w:sz w:val="24"/>
          <w:szCs w:val="24"/>
        </w:rPr>
        <w:t xml:space="preserve"> from 2021 to 2023 of The Seacrest Lodge Resort. </w:t>
      </w:r>
      <w:r w:rsidR="00DD09C1" w:rsidRPr="005E345D">
        <w:rPr>
          <w:rFonts w:ascii="Arial" w:hAnsi="Arial" w:cs="Arial"/>
          <w:sz w:val="24"/>
          <w:szCs w:val="24"/>
        </w:rPr>
        <w:t xml:space="preserve">This represents a bad performance of the business in its efficiency. </w:t>
      </w:r>
      <w:r w:rsidR="00463191" w:rsidRPr="005E345D">
        <w:rPr>
          <w:rFonts w:ascii="Arial" w:hAnsi="Arial" w:cs="Arial"/>
          <w:sz w:val="24"/>
          <w:szCs w:val="24"/>
        </w:rPr>
        <w:t>The resort should improve its efficiency by</w:t>
      </w:r>
      <w:r w:rsidR="00C05482" w:rsidRPr="005E345D">
        <w:rPr>
          <w:rFonts w:ascii="Arial" w:hAnsi="Arial" w:cs="Arial"/>
          <w:sz w:val="24"/>
          <w:szCs w:val="24"/>
        </w:rPr>
        <w:t xml:space="preserve"> implementing new marketing strategies for </w:t>
      </w:r>
      <w:r w:rsidR="00421CBF" w:rsidRPr="005E345D">
        <w:rPr>
          <w:rFonts w:ascii="Arial" w:hAnsi="Arial" w:cs="Arial"/>
          <w:sz w:val="24"/>
          <w:szCs w:val="24"/>
        </w:rPr>
        <w:t xml:space="preserve">the </w:t>
      </w:r>
      <w:r w:rsidR="00C05482" w:rsidRPr="005E345D">
        <w:rPr>
          <w:rFonts w:ascii="Arial" w:hAnsi="Arial" w:cs="Arial"/>
          <w:sz w:val="24"/>
          <w:szCs w:val="24"/>
        </w:rPr>
        <w:t xml:space="preserve">growth of sales. </w:t>
      </w:r>
      <w:r w:rsidR="00651B35" w:rsidRPr="005E345D">
        <w:rPr>
          <w:rFonts w:ascii="Arial" w:hAnsi="Arial" w:cs="Arial"/>
          <w:sz w:val="24"/>
          <w:szCs w:val="24"/>
        </w:rPr>
        <w:t xml:space="preserve">The resort must improve customer </w:t>
      </w:r>
      <w:r w:rsidR="00AA46B0" w:rsidRPr="005E345D">
        <w:rPr>
          <w:rFonts w:ascii="Arial" w:hAnsi="Arial" w:cs="Arial"/>
          <w:sz w:val="24"/>
          <w:szCs w:val="24"/>
        </w:rPr>
        <w:t>service</w:t>
      </w:r>
      <w:r w:rsidR="00651B35" w:rsidRPr="005E345D">
        <w:rPr>
          <w:rFonts w:ascii="Arial" w:hAnsi="Arial" w:cs="Arial"/>
          <w:sz w:val="24"/>
          <w:szCs w:val="24"/>
        </w:rPr>
        <w:t xml:space="preserve"> and customer </w:t>
      </w:r>
      <w:r w:rsidR="00AA46B0" w:rsidRPr="005E345D">
        <w:rPr>
          <w:rFonts w:ascii="Arial" w:hAnsi="Arial" w:cs="Arial"/>
          <w:sz w:val="24"/>
          <w:szCs w:val="24"/>
        </w:rPr>
        <w:t>reviews</w:t>
      </w:r>
      <w:r w:rsidR="00651B35" w:rsidRPr="005E345D">
        <w:rPr>
          <w:rFonts w:ascii="Arial" w:hAnsi="Arial" w:cs="Arial"/>
          <w:sz w:val="24"/>
          <w:szCs w:val="24"/>
        </w:rPr>
        <w:t xml:space="preserve"> by improving outdated amenities and service quality.</w:t>
      </w:r>
      <w:r w:rsidR="00ED4FF2" w:rsidRPr="005E345D">
        <w:rPr>
          <w:rFonts w:ascii="Arial" w:hAnsi="Arial" w:cs="Arial"/>
          <w:sz w:val="24"/>
          <w:szCs w:val="24"/>
        </w:rPr>
        <w:t xml:space="preserve"> The </w:t>
      </w:r>
      <w:r w:rsidR="00E8231C" w:rsidRPr="005E345D">
        <w:rPr>
          <w:rFonts w:ascii="Arial" w:hAnsi="Arial" w:cs="Arial"/>
          <w:sz w:val="24"/>
          <w:szCs w:val="24"/>
        </w:rPr>
        <w:t>customer preferences must be followed by The Seacrest Lodge Resort</w:t>
      </w:r>
      <w:r w:rsidR="00FB5083" w:rsidRPr="005E345D">
        <w:rPr>
          <w:rFonts w:ascii="Arial" w:hAnsi="Arial" w:cs="Arial"/>
          <w:sz w:val="24"/>
          <w:szCs w:val="24"/>
        </w:rPr>
        <w:t xml:space="preserve"> (See Appendix 4).</w:t>
      </w:r>
    </w:p>
    <w:p w14:paraId="3101919D" w14:textId="77777777" w:rsidR="0064378E" w:rsidRPr="005E345D" w:rsidRDefault="0064378E" w:rsidP="00690DCB">
      <w:pPr>
        <w:pStyle w:val="Caption"/>
        <w:keepNext/>
        <w:spacing w:line="360" w:lineRule="auto"/>
        <w:rPr>
          <w:rFonts w:ascii="Arial" w:hAnsi="Arial" w:cs="Arial"/>
          <w:sz w:val="24"/>
          <w:szCs w:val="24"/>
        </w:rPr>
      </w:pPr>
      <w:r w:rsidRPr="005E345D">
        <w:rPr>
          <w:rFonts w:ascii="Arial" w:hAnsi="Arial" w:cs="Arial"/>
          <w:sz w:val="24"/>
          <w:szCs w:val="24"/>
        </w:rPr>
        <w:t xml:space="preserve">Table </w:t>
      </w:r>
      <w:r w:rsidRPr="005E345D">
        <w:rPr>
          <w:rFonts w:ascii="Arial" w:hAnsi="Arial" w:cs="Arial"/>
          <w:sz w:val="24"/>
          <w:szCs w:val="24"/>
        </w:rPr>
        <w:fldChar w:fldCharType="begin"/>
      </w:r>
      <w:r w:rsidRPr="005E345D">
        <w:rPr>
          <w:rFonts w:ascii="Arial" w:hAnsi="Arial" w:cs="Arial"/>
          <w:sz w:val="24"/>
          <w:szCs w:val="24"/>
        </w:rPr>
        <w:instrText xml:space="preserve"> SEQ Table \* ARABIC </w:instrText>
      </w:r>
      <w:r w:rsidRPr="005E345D">
        <w:rPr>
          <w:rFonts w:ascii="Arial" w:hAnsi="Arial" w:cs="Arial"/>
          <w:sz w:val="24"/>
          <w:szCs w:val="24"/>
        </w:rPr>
        <w:fldChar w:fldCharType="separate"/>
      </w:r>
      <w:r w:rsidRPr="005E345D">
        <w:rPr>
          <w:rFonts w:ascii="Arial" w:hAnsi="Arial" w:cs="Arial"/>
          <w:noProof/>
          <w:sz w:val="24"/>
          <w:szCs w:val="24"/>
        </w:rPr>
        <w:t>4</w:t>
      </w:r>
      <w:r w:rsidRPr="005E345D">
        <w:rPr>
          <w:rFonts w:ascii="Arial" w:hAnsi="Arial" w:cs="Arial"/>
          <w:sz w:val="24"/>
          <w:szCs w:val="24"/>
        </w:rPr>
        <w:fldChar w:fldCharType="end"/>
      </w:r>
      <w:r w:rsidRPr="005E345D">
        <w:rPr>
          <w:rFonts w:ascii="Arial" w:hAnsi="Arial" w:cs="Arial"/>
          <w:sz w:val="24"/>
          <w:szCs w:val="24"/>
        </w:rPr>
        <w:t>: Efficiency Ratio of The Seacrest Lodge Resort from 2021 to 2023</w:t>
      </w:r>
    </w:p>
    <w:tbl>
      <w:tblPr>
        <w:tblW w:w="5000" w:type="pct"/>
        <w:tblLook w:val="04A0" w:firstRow="1" w:lastRow="0" w:firstColumn="1" w:lastColumn="0" w:noHBand="0" w:noVBand="1"/>
      </w:tblPr>
      <w:tblGrid>
        <w:gridCol w:w="6224"/>
        <w:gridCol w:w="1042"/>
        <w:gridCol w:w="1042"/>
        <w:gridCol w:w="1042"/>
      </w:tblGrid>
      <w:tr w:rsidR="0064378E" w:rsidRPr="0064378E" w14:paraId="39C7718F" w14:textId="77777777" w:rsidTr="0064378E">
        <w:trPr>
          <w:trHeight w:val="310"/>
        </w:trPr>
        <w:tc>
          <w:tcPr>
            <w:tcW w:w="317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3C12BF"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Particulars</w:t>
            </w:r>
          </w:p>
        </w:tc>
        <w:tc>
          <w:tcPr>
            <w:tcW w:w="609" w:type="pct"/>
            <w:tcBorders>
              <w:top w:val="single" w:sz="4" w:space="0" w:color="auto"/>
              <w:left w:val="nil"/>
              <w:bottom w:val="single" w:sz="4" w:space="0" w:color="auto"/>
              <w:right w:val="single" w:sz="4" w:space="0" w:color="auto"/>
            </w:tcBorders>
            <w:shd w:val="clear" w:color="auto" w:fill="auto"/>
            <w:noWrap/>
            <w:vAlign w:val="bottom"/>
            <w:hideMark/>
          </w:tcPr>
          <w:p w14:paraId="2FA7F3A4"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2021 (£)</w:t>
            </w:r>
          </w:p>
        </w:tc>
        <w:tc>
          <w:tcPr>
            <w:tcW w:w="609" w:type="pct"/>
            <w:tcBorders>
              <w:top w:val="single" w:sz="4" w:space="0" w:color="auto"/>
              <w:left w:val="nil"/>
              <w:bottom w:val="single" w:sz="4" w:space="0" w:color="auto"/>
              <w:right w:val="single" w:sz="4" w:space="0" w:color="auto"/>
            </w:tcBorders>
            <w:shd w:val="clear" w:color="auto" w:fill="auto"/>
            <w:noWrap/>
            <w:vAlign w:val="bottom"/>
            <w:hideMark/>
          </w:tcPr>
          <w:p w14:paraId="593AB4A4"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2022 (£)</w:t>
            </w:r>
          </w:p>
        </w:tc>
        <w:tc>
          <w:tcPr>
            <w:tcW w:w="609" w:type="pct"/>
            <w:tcBorders>
              <w:top w:val="single" w:sz="4" w:space="0" w:color="auto"/>
              <w:left w:val="nil"/>
              <w:bottom w:val="single" w:sz="4" w:space="0" w:color="auto"/>
              <w:right w:val="single" w:sz="4" w:space="0" w:color="auto"/>
            </w:tcBorders>
            <w:shd w:val="clear" w:color="auto" w:fill="auto"/>
            <w:noWrap/>
            <w:vAlign w:val="bottom"/>
            <w:hideMark/>
          </w:tcPr>
          <w:p w14:paraId="3C30DE28"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2023 (£)</w:t>
            </w:r>
          </w:p>
        </w:tc>
      </w:tr>
      <w:tr w:rsidR="0064378E" w:rsidRPr="0064378E" w14:paraId="031FE5D4"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335C4A4D"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Efficiency Ratio</w:t>
            </w:r>
          </w:p>
        </w:tc>
        <w:tc>
          <w:tcPr>
            <w:tcW w:w="609" w:type="pct"/>
            <w:tcBorders>
              <w:top w:val="nil"/>
              <w:left w:val="nil"/>
              <w:bottom w:val="single" w:sz="4" w:space="0" w:color="auto"/>
              <w:right w:val="single" w:sz="4" w:space="0" w:color="auto"/>
            </w:tcBorders>
            <w:shd w:val="clear" w:color="auto" w:fill="auto"/>
            <w:noWrap/>
            <w:vAlign w:val="bottom"/>
            <w:hideMark/>
          </w:tcPr>
          <w:p w14:paraId="769B2D28"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3A2058C9"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05FAD73D"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r>
      <w:tr w:rsidR="0064378E" w:rsidRPr="0064378E" w14:paraId="79C80B51"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79C09F00"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Fixed Asset Turnover Ratio</w:t>
            </w:r>
          </w:p>
        </w:tc>
        <w:tc>
          <w:tcPr>
            <w:tcW w:w="609" w:type="pct"/>
            <w:tcBorders>
              <w:top w:val="nil"/>
              <w:left w:val="nil"/>
              <w:bottom w:val="single" w:sz="4" w:space="0" w:color="auto"/>
              <w:right w:val="single" w:sz="4" w:space="0" w:color="auto"/>
            </w:tcBorders>
            <w:shd w:val="clear" w:color="auto" w:fill="auto"/>
            <w:noWrap/>
            <w:vAlign w:val="bottom"/>
            <w:hideMark/>
          </w:tcPr>
          <w:p w14:paraId="6DA0AA8D"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47BBD50A"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0BE8B72E"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r>
      <w:tr w:rsidR="0064378E" w:rsidRPr="0064378E" w14:paraId="15A7D779"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0A6717B1"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Net Sales</w:t>
            </w:r>
          </w:p>
        </w:tc>
        <w:tc>
          <w:tcPr>
            <w:tcW w:w="609" w:type="pct"/>
            <w:tcBorders>
              <w:top w:val="nil"/>
              <w:left w:val="nil"/>
              <w:bottom w:val="single" w:sz="4" w:space="0" w:color="auto"/>
              <w:right w:val="single" w:sz="4" w:space="0" w:color="auto"/>
            </w:tcBorders>
            <w:shd w:val="clear" w:color="auto" w:fill="auto"/>
            <w:noWrap/>
            <w:vAlign w:val="bottom"/>
            <w:hideMark/>
          </w:tcPr>
          <w:p w14:paraId="30049F1E"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1,200,000</w:t>
            </w:r>
          </w:p>
        </w:tc>
        <w:tc>
          <w:tcPr>
            <w:tcW w:w="609" w:type="pct"/>
            <w:tcBorders>
              <w:top w:val="nil"/>
              <w:left w:val="nil"/>
              <w:bottom w:val="single" w:sz="4" w:space="0" w:color="auto"/>
              <w:right w:val="single" w:sz="4" w:space="0" w:color="auto"/>
            </w:tcBorders>
            <w:shd w:val="clear" w:color="auto" w:fill="auto"/>
            <w:noWrap/>
            <w:vAlign w:val="bottom"/>
            <w:hideMark/>
          </w:tcPr>
          <w:p w14:paraId="3C59161E"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1,100,000</w:t>
            </w:r>
          </w:p>
        </w:tc>
        <w:tc>
          <w:tcPr>
            <w:tcW w:w="609" w:type="pct"/>
            <w:tcBorders>
              <w:top w:val="nil"/>
              <w:left w:val="nil"/>
              <w:bottom w:val="single" w:sz="4" w:space="0" w:color="auto"/>
              <w:right w:val="single" w:sz="4" w:space="0" w:color="auto"/>
            </w:tcBorders>
            <w:shd w:val="clear" w:color="auto" w:fill="auto"/>
            <w:noWrap/>
            <w:vAlign w:val="bottom"/>
            <w:hideMark/>
          </w:tcPr>
          <w:p w14:paraId="40B25D08"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950,000</w:t>
            </w:r>
          </w:p>
        </w:tc>
      </w:tr>
      <w:tr w:rsidR="0064378E" w:rsidRPr="0064378E" w14:paraId="72B71DAD"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6301EF15"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Average Net Fixed Assets</w:t>
            </w:r>
          </w:p>
        </w:tc>
        <w:tc>
          <w:tcPr>
            <w:tcW w:w="609" w:type="pct"/>
            <w:tcBorders>
              <w:top w:val="nil"/>
              <w:left w:val="nil"/>
              <w:bottom w:val="single" w:sz="4" w:space="0" w:color="auto"/>
              <w:right w:val="single" w:sz="4" w:space="0" w:color="auto"/>
            </w:tcBorders>
            <w:shd w:val="clear" w:color="auto" w:fill="auto"/>
            <w:noWrap/>
            <w:vAlign w:val="bottom"/>
            <w:hideMark/>
          </w:tcPr>
          <w:p w14:paraId="5C3DE653"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2,000,000</w:t>
            </w:r>
          </w:p>
        </w:tc>
        <w:tc>
          <w:tcPr>
            <w:tcW w:w="609" w:type="pct"/>
            <w:tcBorders>
              <w:top w:val="nil"/>
              <w:left w:val="nil"/>
              <w:bottom w:val="single" w:sz="4" w:space="0" w:color="auto"/>
              <w:right w:val="single" w:sz="4" w:space="0" w:color="auto"/>
            </w:tcBorders>
            <w:shd w:val="clear" w:color="auto" w:fill="auto"/>
            <w:noWrap/>
            <w:vAlign w:val="bottom"/>
            <w:hideMark/>
          </w:tcPr>
          <w:p w14:paraId="4DB9D4FE"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2,000,000</w:t>
            </w:r>
          </w:p>
        </w:tc>
        <w:tc>
          <w:tcPr>
            <w:tcW w:w="609" w:type="pct"/>
            <w:tcBorders>
              <w:top w:val="nil"/>
              <w:left w:val="nil"/>
              <w:bottom w:val="single" w:sz="4" w:space="0" w:color="auto"/>
              <w:right w:val="single" w:sz="4" w:space="0" w:color="auto"/>
            </w:tcBorders>
            <w:shd w:val="clear" w:color="auto" w:fill="auto"/>
            <w:noWrap/>
            <w:vAlign w:val="bottom"/>
            <w:hideMark/>
          </w:tcPr>
          <w:p w14:paraId="6D2D021E"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1,800,000</w:t>
            </w:r>
          </w:p>
        </w:tc>
      </w:tr>
      <w:tr w:rsidR="0064378E" w:rsidRPr="0064378E" w14:paraId="7E96D3C7"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75FA5B86" w14:textId="77777777" w:rsidR="0064378E" w:rsidRPr="0064378E" w:rsidRDefault="0064378E" w:rsidP="000D2731">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xml:space="preserve">Formula </w:t>
            </w:r>
            <w:r w:rsidR="000D2731">
              <w:rPr>
                <w:rFonts w:ascii="Arial" w:eastAsia="Times New Roman" w:hAnsi="Arial" w:cs="Arial"/>
                <w:color w:val="000000"/>
                <w:kern w:val="0"/>
                <w:szCs w:val="24"/>
                <w:lang w:eastAsia="en-GB"/>
                <w14:ligatures w14:val="none"/>
              </w:rPr>
              <w:t>–</w:t>
            </w:r>
            <w:r w:rsidRPr="0064378E">
              <w:rPr>
                <w:rFonts w:ascii="Arial" w:eastAsia="Times New Roman" w:hAnsi="Arial" w:cs="Arial"/>
                <w:color w:val="000000"/>
                <w:kern w:val="0"/>
                <w:szCs w:val="24"/>
                <w:lang w:eastAsia="en-GB"/>
                <w14:ligatures w14:val="none"/>
              </w:rPr>
              <w:t xml:space="preserve"> </w:t>
            </w:r>
            <w:r w:rsidR="000D2731">
              <w:rPr>
                <w:rFonts w:ascii="Arial" w:eastAsia="Times New Roman" w:hAnsi="Arial" w:cs="Arial"/>
                <w:color w:val="000000"/>
                <w:kern w:val="0"/>
                <w:szCs w:val="24"/>
                <w:lang w:eastAsia="en-GB"/>
                <w14:ligatures w14:val="none"/>
              </w:rPr>
              <w:t>Fixed Asset Turnover Ratio= Net Sales/ Average Fixed Assets</w:t>
            </w:r>
          </w:p>
        </w:tc>
        <w:tc>
          <w:tcPr>
            <w:tcW w:w="609" w:type="pct"/>
            <w:tcBorders>
              <w:top w:val="nil"/>
              <w:left w:val="nil"/>
              <w:bottom w:val="single" w:sz="4" w:space="0" w:color="auto"/>
              <w:right w:val="single" w:sz="4" w:space="0" w:color="auto"/>
            </w:tcBorders>
            <w:shd w:val="clear" w:color="auto" w:fill="auto"/>
            <w:noWrap/>
            <w:vAlign w:val="bottom"/>
            <w:hideMark/>
          </w:tcPr>
          <w:p w14:paraId="20961041"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37FA48BC"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c>
          <w:tcPr>
            <w:tcW w:w="609" w:type="pct"/>
            <w:tcBorders>
              <w:top w:val="nil"/>
              <w:left w:val="nil"/>
              <w:bottom w:val="single" w:sz="4" w:space="0" w:color="auto"/>
              <w:right w:val="single" w:sz="4" w:space="0" w:color="auto"/>
            </w:tcBorders>
            <w:shd w:val="clear" w:color="auto" w:fill="auto"/>
            <w:noWrap/>
            <w:vAlign w:val="bottom"/>
            <w:hideMark/>
          </w:tcPr>
          <w:p w14:paraId="17C513D7"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 </w:t>
            </w:r>
          </w:p>
        </w:tc>
      </w:tr>
      <w:tr w:rsidR="0064378E" w:rsidRPr="0064378E" w14:paraId="3C95CD36" w14:textId="77777777" w:rsidTr="0064378E">
        <w:trPr>
          <w:trHeight w:val="310"/>
        </w:trPr>
        <w:tc>
          <w:tcPr>
            <w:tcW w:w="3173" w:type="pct"/>
            <w:tcBorders>
              <w:top w:val="nil"/>
              <w:left w:val="single" w:sz="4" w:space="0" w:color="auto"/>
              <w:bottom w:val="single" w:sz="4" w:space="0" w:color="auto"/>
              <w:right w:val="single" w:sz="4" w:space="0" w:color="auto"/>
            </w:tcBorders>
            <w:shd w:val="clear" w:color="auto" w:fill="auto"/>
            <w:noWrap/>
            <w:vAlign w:val="bottom"/>
            <w:hideMark/>
          </w:tcPr>
          <w:p w14:paraId="7B476DBA" w14:textId="77777777" w:rsidR="0064378E" w:rsidRPr="0064378E" w:rsidRDefault="0064378E" w:rsidP="00690DCB">
            <w:pPr>
              <w:spacing w:before="0" w:after="0"/>
              <w:jc w:val="lef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Fixed Asset Turnover Ratio</w:t>
            </w:r>
          </w:p>
        </w:tc>
        <w:tc>
          <w:tcPr>
            <w:tcW w:w="609" w:type="pct"/>
            <w:tcBorders>
              <w:top w:val="nil"/>
              <w:left w:val="nil"/>
              <w:bottom w:val="single" w:sz="4" w:space="0" w:color="auto"/>
              <w:right w:val="single" w:sz="4" w:space="0" w:color="auto"/>
            </w:tcBorders>
            <w:shd w:val="clear" w:color="auto" w:fill="auto"/>
            <w:noWrap/>
            <w:vAlign w:val="bottom"/>
            <w:hideMark/>
          </w:tcPr>
          <w:p w14:paraId="7E49831C"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60%</w:t>
            </w:r>
          </w:p>
        </w:tc>
        <w:tc>
          <w:tcPr>
            <w:tcW w:w="609" w:type="pct"/>
            <w:tcBorders>
              <w:top w:val="nil"/>
              <w:left w:val="nil"/>
              <w:bottom w:val="single" w:sz="4" w:space="0" w:color="auto"/>
              <w:right w:val="single" w:sz="4" w:space="0" w:color="auto"/>
            </w:tcBorders>
            <w:shd w:val="clear" w:color="auto" w:fill="auto"/>
            <w:noWrap/>
            <w:vAlign w:val="bottom"/>
            <w:hideMark/>
          </w:tcPr>
          <w:p w14:paraId="6537C3D4"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55%</w:t>
            </w:r>
          </w:p>
        </w:tc>
        <w:tc>
          <w:tcPr>
            <w:tcW w:w="609" w:type="pct"/>
            <w:tcBorders>
              <w:top w:val="nil"/>
              <w:left w:val="nil"/>
              <w:bottom w:val="single" w:sz="4" w:space="0" w:color="auto"/>
              <w:right w:val="single" w:sz="4" w:space="0" w:color="auto"/>
            </w:tcBorders>
            <w:shd w:val="clear" w:color="auto" w:fill="auto"/>
            <w:noWrap/>
            <w:vAlign w:val="bottom"/>
            <w:hideMark/>
          </w:tcPr>
          <w:p w14:paraId="27608332" w14:textId="77777777" w:rsidR="0064378E" w:rsidRPr="0064378E" w:rsidRDefault="0064378E" w:rsidP="00690DCB">
            <w:pPr>
              <w:spacing w:before="0" w:after="0"/>
              <w:jc w:val="right"/>
              <w:rPr>
                <w:rFonts w:ascii="Arial" w:eastAsia="Times New Roman" w:hAnsi="Arial" w:cs="Arial"/>
                <w:color w:val="000000"/>
                <w:kern w:val="0"/>
                <w:szCs w:val="24"/>
                <w:lang w:eastAsia="en-GB"/>
                <w14:ligatures w14:val="none"/>
              </w:rPr>
            </w:pPr>
            <w:r w:rsidRPr="0064378E">
              <w:rPr>
                <w:rFonts w:ascii="Arial" w:eastAsia="Times New Roman" w:hAnsi="Arial" w:cs="Arial"/>
                <w:color w:val="000000"/>
                <w:kern w:val="0"/>
                <w:szCs w:val="24"/>
                <w:lang w:eastAsia="en-GB"/>
                <w14:ligatures w14:val="none"/>
              </w:rPr>
              <w:t>53%</w:t>
            </w:r>
          </w:p>
        </w:tc>
      </w:tr>
    </w:tbl>
    <w:p w14:paraId="59EE655C" w14:textId="77777777" w:rsidR="004F7087" w:rsidRPr="005E345D" w:rsidRDefault="004F7087" w:rsidP="00690DCB">
      <w:pPr>
        <w:spacing w:before="0"/>
        <w:rPr>
          <w:rFonts w:ascii="Arial" w:hAnsi="Arial" w:cs="Arial"/>
          <w:szCs w:val="24"/>
        </w:rPr>
      </w:pPr>
    </w:p>
    <w:p w14:paraId="29B364F9" w14:textId="77777777" w:rsidR="00291A14" w:rsidRPr="005E345D" w:rsidRDefault="00291A14" w:rsidP="00690DCB">
      <w:pPr>
        <w:spacing w:before="0"/>
        <w:rPr>
          <w:rFonts w:ascii="Arial" w:hAnsi="Arial" w:cs="Arial"/>
          <w:szCs w:val="24"/>
        </w:rPr>
      </w:pPr>
      <w:r w:rsidRPr="005E345D">
        <w:rPr>
          <w:rFonts w:ascii="Arial" w:hAnsi="Arial" w:cs="Arial"/>
          <w:szCs w:val="24"/>
        </w:rPr>
        <w:br w:type="page"/>
      </w:r>
    </w:p>
    <w:p w14:paraId="6235632C" w14:textId="77777777" w:rsidR="00257791" w:rsidRPr="005E345D" w:rsidRDefault="00257791" w:rsidP="00EE06E4">
      <w:pPr>
        <w:pStyle w:val="Heading1"/>
      </w:pPr>
      <w:bookmarkStart w:id="7" w:name="_Toc157504736"/>
      <w:r w:rsidRPr="005E345D">
        <w:lastRenderedPageBreak/>
        <w:t xml:space="preserve">Causes in declining profitability considering real-world events as well as </w:t>
      </w:r>
      <w:r w:rsidR="00261202" w:rsidRPr="005E345D">
        <w:t xml:space="preserve">the </w:t>
      </w:r>
      <w:r w:rsidRPr="005E345D">
        <w:t>current economy</w:t>
      </w:r>
      <w:bookmarkEnd w:id="7"/>
    </w:p>
    <w:p w14:paraId="352A6A19" w14:textId="77777777" w:rsidR="001D4CE2" w:rsidRPr="005E345D" w:rsidRDefault="001D4CE2" w:rsidP="00690DCB">
      <w:pPr>
        <w:spacing w:before="0"/>
        <w:rPr>
          <w:rFonts w:ascii="Arial" w:hAnsi="Arial" w:cs="Arial"/>
          <w:szCs w:val="24"/>
        </w:rPr>
      </w:pPr>
      <w:r w:rsidRPr="005E345D">
        <w:rPr>
          <w:rFonts w:ascii="Arial" w:hAnsi="Arial" w:cs="Arial"/>
          <w:b/>
          <w:bCs/>
          <w:i/>
          <w:iCs/>
          <w:szCs w:val="24"/>
        </w:rPr>
        <w:t>Impact of coronavirus</w:t>
      </w:r>
      <w:r w:rsidRPr="005E345D">
        <w:rPr>
          <w:rFonts w:ascii="Arial" w:hAnsi="Arial" w:cs="Arial"/>
          <w:szCs w:val="24"/>
        </w:rPr>
        <w:t xml:space="preserve"> - </w:t>
      </w:r>
      <w:r w:rsidR="00191E1B" w:rsidRPr="005E345D">
        <w:rPr>
          <w:rFonts w:ascii="Arial" w:hAnsi="Arial" w:cs="Arial"/>
          <w:szCs w:val="24"/>
        </w:rPr>
        <w:t xml:space="preserve">The </w:t>
      </w:r>
      <w:r w:rsidR="00BD37F4" w:rsidRPr="005E345D">
        <w:rPr>
          <w:rFonts w:ascii="Arial" w:hAnsi="Arial" w:cs="Arial"/>
          <w:szCs w:val="24"/>
        </w:rPr>
        <w:t xml:space="preserve">Seacrest Lodge has decreased </w:t>
      </w:r>
      <w:r w:rsidR="002579F5" w:rsidRPr="005E345D">
        <w:rPr>
          <w:rFonts w:ascii="Arial" w:hAnsi="Arial" w:cs="Arial"/>
          <w:szCs w:val="24"/>
        </w:rPr>
        <w:t>its</w:t>
      </w:r>
      <w:r w:rsidR="00BD37F4" w:rsidRPr="005E345D">
        <w:rPr>
          <w:rFonts w:ascii="Arial" w:hAnsi="Arial" w:cs="Arial"/>
          <w:szCs w:val="24"/>
        </w:rPr>
        <w:t xml:space="preserve"> profitability </w:t>
      </w:r>
      <w:r w:rsidR="002579F5" w:rsidRPr="005E345D">
        <w:rPr>
          <w:rFonts w:ascii="Arial" w:hAnsi="Arial" w:cs="Arial"/>
          <w:szCs w:val="24"/>
        </w:rPr>
        <w:t>in</w:t>
      </w:r>
      <w:r w:rsidR="00BD37F4" w:rsidRPr="005E345D">
        <w:rPr>
          <w:rFonts w:ascii="Arial" w:hAnsi="Arial" w:cs="Arial"/>
          <w:szCs w:val="24"/>
        </w:rPr>
        <w:t xml:space="preserve"> </w:t>
      </w:r>
      <w:r w:rsidR="002579F5" w:rsidRPr="005E345D">
        <w:rPr>
          <w:rFonts w:ascii="Arial" w:hAnsi="Arial" w:cs="Arial"/>
          <w:szCs w:val="24"/>
        </w:rPr>
        <w:t xml:space="preserve">the </w:t>
      </w:r>
      <w:r w:rsidR="00BD37F4" w:rsidRPr="005E345D">
        <w:rPr>
          <w:rFonts w:ascii="Arial" w:hAnsi="Arial" w:cs="Arial"/>
          <w:szCs w:val="24"/>
        </w:rPr>
        <w:t xml:space="preserve">past three years which were 2021 to 2023. </w:t>
      </w:r>
      <w:r w:rsidRPr="005E345D">
        <w:rPr>
          <w:rFonts w:ascii="Arial" w:hAnsi="Arial" w:cs="Arial"/>
          <w:szCs w:val="24"/>
        </w:rPr>
        <w:t>According to ONS. Gov. UK, (202</w:t>
      </w:r>
      <w:r w:rsidR="00076035" w:rsidRPr="005E345D">
        <w:rPr>
          <w:rFonts w:ascii="Arial" w:hAnsi="Arial" w:cs="Arial"/>
          <w:szCs w:val="24"/>
        </w:rPr>
        <w:t>1), t</w:t>
      </w:r>
      <w:r w:rsidR="00DB74B2" w:rsidRPr="005E345D">
        <w:rPr>
          <w:rFonts w:ascii="Arial" w:hAnsi="Arial" w:cs="Arial"/>
          <w:szCs w:val="24"/>
        </w:rPr>
        <w:t xml:space="preserve">he profitability of the hotel industry has declined </w:t>
      </w:r>
      <w:r w:rsidR="00B528FF" w:rsidRPr="005E345D">
        <w:rPr>
          <w:rFonts w:ascii="Arial" w:hAnsi="Arial" w:cs="Arial"/>
          <w:szCs w:val="24"/>
        </w:rPr>
        <w:t xml:space="preserve">due to the Coronavirus as there were some restrictions </w:t>
      </w:r>
      <w:r w:rsidR="00A84929" w:rsidRPr="005E345D">
        <w:rPr>
          <w:rFonts w:ascii="Arial" w:hAnsi="Arial" w:cs="Arial"/>
          <w:szCs w:val="24"/>
        </w:rPr>
        <w:t>in the</w:t>
      </w:r>
      <w:r w:rsidR="00F52229" w:rsidRPr="005E345D">
        <w:rPr>
          <w:rFonts w:ascii="Arial" w:hAnsi="Arial" w:cs="Arial"/>
          <w:szCs w:val="24"/>
        </w:rPr>
        <w:t xml:space="preserve"> hotel and resort</w:t>
      </w:r>
      <w:r w:rsidR="00A84929" w:rsidRPr="005E345D">
        <w:rPr>
          <w:rFonts w:ascii="Arial" w:hAnsi="Arial" w:cs="Arial"/>
          <w:szCs w:val="24"/>
        </w:rPr>
        <w:t xml:space="preserve"> sectors. </w:t>
      </w:r>
      <w:r w:rsidR="00F52229" w:rsidRPr="005E345D">
        <w:rPr>
          <w:rFonts w:ascii="Arial" w:hAnsi="Arial" w:cs="Arial"/>
          <w:szCs w:val="24"/>
        </w:rPr>
        <w:t xml:space="preserve">The coronavirus is </w:t>
      </w:r>
      <w:r w:rsidR="008C6895" w:rsidRPr="005E345D">
        <w:rPr>
          <w:rFonts w:ascii="Arial" w:hAnsi="Arial" w:cs="Arial"/>
          <w:szCs w:val="24"/>
        </w:rPr>
        <w:t>a</w:t>
      </w:r>
      <w:r w:rsidR="00F52229" w:rsidRPr="005E345D">
        <w:rPr>
          <w:rFonts w:ascii="Arial" w:hAnsi="Arial" w:cs="Arial"/>
          <w:szCs w:val="24"/>
        </w:rPr>
        <w:t xml:space="preserve"> real-world event which has impacted </w:t>
      </w:r>
      <w:r w:rsidR="008C6895" w:rsidRPr="005E345D">
        <w:rPr>
          <w:rFonts w:ascii="Arial" w:hAnsi="Arial" w:cs="Arial"/>
          <w:szCs w:val="24"/>
        </w:rPr>
        <w:t>the decline in revenue from 2021 to 2023. The revenue of The Seacrest Lodge</w:t>
      </w:r>
      <w:r w:rsidR="00B842A8" w:rsidRPr="005E345D">
        <w:rPr>
          <w:rFonts w:ascii="Arial" w:hAnsi="Arial" w:cs="Arial"/>
          <w:szCs w:val="24"/>
        </w:rPr>
        <w:t xml:space="preserve"> </w:t>
      </w:r>
      <w:r w:rsidR="00FA3758" w:rsidRPr="005E345D">
        <w:rPr>
          <w:rFonts w:ascii="Arial" w:hAnsi="Arial" w:cs="Arial"/>
          <w:szCs w:val="24"/>
        </w:rPr>
        <w:t>Resort has declined from £1,200,000 to £1,100,000 to £950,000 in 2021 to 2023</w:t>
      </w:r>
      <w:r w:rsidR="00A0079E" w:rsidRPr="005E345D">
        <w:rPr>
          <w:rFonts w:ascii="Arial" w:hAnsi="Arial" w:cs="Arial"/>
          <w:szCs w:val="24"/>
        </w:rPr>
        <w:t xml:space="preserve">. There was a decrease in the </w:t>
      </w:r>
      <w:r w:rsidRPr="005E345D">
        <w:rPr>
          <w:rFonts w:ascii="Arial" w:hAnsi="Arial" w:cs="Arial"/>
          <w:szCs w:val="24"/>
        </w:rPr>
        <w:t xml:space="preserve">net income from 2021 to 2023 by £300,000 to £150,000. </w:t>
      </w:r>
    </w:p>
    <w:p w14:paraId="37351620" w14:textId="77777777" w:rsidR="001D4CE2" w:rsidRPr="005E345D" w:rsidRDefault="001D4CE2" w:rsidP="00690DCB">
      <w:pPr>
        <w:spacing w:before="0"/>
        <w:rPr>
          <w:rFonts w:ascii="Arial" w:hAnsi="Arial" w:cs="Arial"/>
          <w:szCs w:val="24"/>
        </w:rPr>
      </w:pPr>
      <w:r w:rsidRPr="005E345D">
        <w:rPr>
          <w:rFonts w:ascii="Arial" w:hAnsi="Arial" w:cs="Arial"/>
          <w:b/>
          <w:bCs/>
          <w:i/>
          <w:iCs/>
          <w:szCs w:val="24"/>
        </w:rPr>
        <w:t>Impact of Brexit</w:t>
      </w:r>
      <w:r w:rsidRPr="005E345D">
        <w:rPr>
          <w:rFonts w:ascii="Arial" w:hAnsi="Arial" w:cs="Arial"/>
          <w:szCs w:val="24"/>
        </w:rPr>
        <w:t xml:space="preserve"> – </w:t>
      </w:r>
      <w:r w:rsidR="00B8276D" w:rsidRPr="005E345D">
        <w:rPr>
          <w:rFonts w:ascii="Arial" w:hAnsi="Arial" w:cs="Arial"/>
          <w:szCs w:val="24"/>
        </w:rPr>
        <w:t xml:space="preserve">The hospitality industry was badly impacted by Brexit at the last of </w:t>
      </w:r>
      <w:r w:rsidR="00602B44" w:rsidRPr="005E345D">
        <w:rPr>
          <w:rFonts w:ascii="Arial" w:hAnsi="Arial" w:cs="Arial"/>
          <w:szCs w:val="24"/>
        </w:rPr>
        <w:t xml:space="preserve">the </w:t>
      </w:r>
      <w:r w:rsidR="00B8276D" w:rsidRPr="005E345D">
        <w:rPr>
          <w:rFonts w:ascii="Arial" w:hAnsi="Arial" w:cs="Arial"/>
          <w:szCs w:val="24"/>
        </w:rPr>
        <w:t xml:space="preserve">transition period which coincided with the initial phase of </w:t>
      </w:r>
      <w:r w:rsidR="00602B44" w:rsidRPr="005E345D">
        <w:rPr>
          <w:rFonts w:ascii="Arial" w:hAnsi="Arial" w:cs="Arial"/>
          <w:szCs w:val="24"/>
        </w:rPr>
        <w:t xml:space="preserve">the </w:t>
      </w:r>
      <w:r w:rsidR="00B8276D" w:rsidRPr="005E345D">
        <w:rPr>
          <w:rFonts w:ascii="Arial" w:hAnsi="Arial" w:cs="Arial"/>
          <w:szCs w:val="24"/>
        </w:rPr>
        <w:t xml:space="preserve">lockdown. This was the separate effect on the declining profitability of </w:t>
      </w:r>
      <w:r w:rsidR="00E47EB8" w:rsidRPr="005E345D">
        <w:rPr>
          <w:rFonts w:ascii="Arial" w:hAnsi="Arial" w:cs="Arial"/>
          <w:szCs w:val="24"/>
        </w:rPr>
        <w:t>The Seacrest Lodge Resort.</w:t>
      </w:r>
      <w:r w:rsidR="00990064" w:rsidRPr="005E345D">
        <w:rPr>
          <w:rFonts w:ascii="Arial" w:hAnsi="Arial" w:cs="Arial"/>
          <w:szCs w:val="24"/>
        </w:rPr>
        <w:t xml:space="preserve"> </w:t>
      </w:r>
      <w:r w:rsidR="0045392E" w:rsidRPr="005E345D">
        <w:rPr>
          <w:rFonts w:ascii="Arial" w:hAnsi="Arial" w:cs="Arial"/>
          <w:szCs w:val="24"/>
        </w:rPr>
        <w:t xml:space="preserve">Brexit has led to economic uncertainties in the hotel industry such as the low value of the British Pound resulted in the </w:t>
      </w:r>
      <w:r w:rsidR="00C416A3" w:rsidRPr="005E345D">
        <w:rPr>
          <w:rFonts w:ascii="Arial" w:hAnsi="Arial" w:cs="Arial"/>
          <w:szCs w:val="24"/>
        </w:rPr>
        <w:t>high costs</w:t>
      </w:r>
      <w:r w:rsidR="0045392E" w:rsidRPr="005E345D">
        <w:rPr>
          <w:rFonts w:ascii="Arial" w:hAnsi="Arial" w:cs="Arial"/>
          <w:szCs w:val="24"/>
        </w:rPr>
        <w:t xml:space="preserve"> of </w:t>
      </w:r>
      <w:r w:rsidR="00C416A3" w:rsidRPr="005E345D">
        <w:rPr>
          <w:rFonts w:ascii="Arial" w:hAnsi="Arial" w:cs="Arial"/>
          <w:szCs w:val="24"/>
        </w:rPr>
        <w:t>imported goods and services in the hotel industry.</w:t>
      </w:r>
    </w:p>
    <w:p w14:paraId="0A9EA9B0" w14:textId="77777777" w:rsidR="00291A14" w:rsidRPr="005E345D" w:rsidRDefault="001D4CE2" w:rsidP="00690DCB">
      <w:pPr>
        <w:spacing w:before="0"/>
        <w:rPr>
          <w:rFonts w:ascii="Arial" w:hAnsi="Arial" w:cs="Arial"/>
        </w:rPr>
      </w:pPr>
      <w:r w:rsidRPr="005E345D">
        <w:rPr>
          <w:rFonts w:ascii="Arial" w:hAnsi="Arial" w:cs="Arial"/>
          <w:b/>
          <w:bCs/>
          <w:i/>
          <w:iCs/>
          <w:szCs w:val="24"/>
        </w:rPr>
        <w:t>Current Economy</w:t>
      </w:r>
      <w:r w:rsidRPr="005E345D">
        <w:rPr>
          <w:rFonts w:ascii="Arial" w:hAnsi="Arial" w:cs="Arial"/>
          <w:szCs w:val="24"/>
        </w:rPr>
        <w:t xml:space="preserve"> – </w:t>
      </w:r>
      <w:r w:rsidR="00680B34" w:rsidRPr="005E345D">
        <w:rPr>
          <w:rFonts w:ascii="Arial" w:hAnsi="Arial" w:cs="Arial"/>
          <w:szCs w:val="24"/>
        </w:rPr>
        <w:t>The Seacrest Lodge Resort has reported a net loss in 2023 of -£150,000 due to the further explained factors in the current economy. ONS. Gov. UK, (2021), depicted that the economy of the hospitality sector was degraded due to the Coronavirus impact on the employment of the people in the UK. There were job vacancies and the employees were actively seeking recruitment in the UK hotels. The economic inactivity and some problems related to employment in the UK were the reason for the degrading profitability of The Seacrest Lodge Resort from 2021 to 2023.</w:t>
      </w:r>
      <w:r w:rsidR="00291A14" w:rsidRPr="005E345D">
        <w:rPr>
          <w:rFonts w:ascii="Arial" w:hAnsi="Arial" w:cs="Arial"/>
        </w:rPr>
        <w:br w:type="page"/>
      </w:r>
    </w:p>
    <w:p w14:paraId="03E0732C" w14:textId="77777777" w:rsidR="00275F57" w:rsidRPr="005E345D" w:rsidRDefault="00291A14" w:rsidP="00EE06E4">
      <w:pPr>
        <w:pStyle w:val="Heading1"/>
      </w:pPr>
      <w:bookmarkStart w:id="8" w:name="_Toc157504737"/>
      <w:r w:rsidRPr="005E345D">
        <w:lastRenderedPageBreak/>
        <w:t>Comprehensive turnaround strategy</w:t>
      </w:r>
      <w:bookmarkEnd w:id="8"/>
    </w:p>
    <w:p w14:paraId="54AF153B" w14:textId="77777777" w:rsidR="00CB6AAC" w:rsidRPr="005E345D" w:rsidRDefault="00B31BD2" w:rsidP="00275F57">
      <w:pPr>
        <w:rPr>
          <w:rFonts w:ascii="Arial" w:hAnsi="Arial" w:cs="Arial"/>
          <w:szCs w:val="24"/>
          <w:lang w:val="en-US"/>
        </w:rPr>
      </w:pPr>
      <w:r w:rsidRPr="005E345D">
        <w:rPr>
          <w:rFonts w:ascii="Arial" w:hAnsi="Arial" w:cs="Arial"/>
          <w:szCs w:val="24"/>
          <w:lang w:val="en-US"/>
        </w:rPr>
        <w:t xml:space="preserve">According to Friedland and Rubin, (2022), </w:t>
      </w:r>
      <w:r w:rsidR="00754068" w:rsidRPr="005E345D">
        <w:rPr>
          <w:rFonts w:ascii="Arial" w:hAnsi="Arial" w:cs="Arial"/>
          <w:szCs w:val="24"/>
          <w:lang w:val="en-US"/>
        </w:rPr>
        <w:t xml:space="preserve">the strategies to be used by The Seacrest Lodge Resort </w:t>
      </w:r>
      <w:r w:rsidR="00062BD0" w:rsidRPr="005E345D">
        <w:rPr>
          <w:rFonts w:ascii="Arial" w:hAnsi="Arial" w:cs="Arial"/>
          <w:szCs w:val="24"/>
          <w:lang w:val="en-US"/>
        </w:rPr>
        <w:t xml:space="preserve">are as follows – </w:t>
      </w:r>
    </w:p>
    <w:p w14:paraId="5BCE65C1" w14:textId="77777777" w:rsidR="00062BD0" w:rsidRPr="005E345D" w:rsidRDefault="00062BD0" w:rsidP="00062BD0">
      <w:pPr>
        <w:pStyle w:val="ListParagraph"/>
        <w:numPr>
          <w:ilvl w:val="0"/>
          <w:numId w:val="8"/>
        </w:numPr>
        <w:rPr>
          <w:rFonts w:ascii="Arial" w:hAnsi="Arial" w:cs="Arial"/>
          <w:sz w:val="24"/>
          <w:szCs w:val="24"/>
        </w:rPr>
      </w:pPr>
      <w:r w:rsidRPr="005E345D">
        <w:rPr>
          <w:rFonts w:ascii="Arial" w:hAnsi="Arial" w:cs="Arial"/>
          <w:b/>
          <w:bCs/>
          <w:i/>
          <w:iCs/>
          <w:sz w:val="24"/>
          <w:szCs w:val="24"/>
        </w:rPr>
        <w:t xml:space="preserve">Monitoring Cash </w:t>
      </w:r>
      <w:r w:rsidRPr="005E345D">
        <w:rPr>
          <w:rFonts w:ascii="Arial" w:hAnsi="Arial" w:cs="Arial"/>
          <w:sz w:val="24"/>
          <w:szCs w:val="24"/>
        </w:rPr>
        <w:t>–</w:t>
      </w:r>
      <w:r w:rsidR="003B7A39" w:rsidRPr="005E345D">
        <w:rPr>
          <w:rFonts w:ascii="Arial" w:hAnsi="Arial" w:cs="Arial"/>
          <w:sz w:val="24"/>
          <w:szCs w:val="24"/>
        </w:rPr>
        <w:t xml:space="preserve"> Friedland and Rubin, (2022), determined that t</w:t>
      </w:r>
      <w:r w:rsidRPr="005E345D">
        <w:rPr>
          <w:rFonts w:ascii="Arial" w:hAnsi="Arial" w:cs="Arial"/>
          <w:sz w:val="24"/>
          <w:szCs w:val="24"/>
        </w:rPr>
        <w:t xml:space="preserve">here is a </w:t>
      </w:r>
      <w:r w:rsidR="00B433CD" w:rsidRPr="005E345D">
        <w:rPr>
          <w:rFonts w:ascii="Arial" w:hAnsi="Arial" w:cs="Arial"/>
          <w:sz w:val="24"/>
          <w:szCs w:val="24"/>
        </w:rPr>
        <w:t>non-estimable</w:t>
      </w:r>
      <w:r w:rsidRPr="005E345D">
        <w:rPr>
          <w:rFonts w:ascii="Arial" w:hAnsi="Arial" w:cs="Arial"/>
          <w:sz w:val="24"/>
          <w:szCs w:val="24"/>
        </w:rPr>
        <w:t xml:space="preserve"> environment which makes </w:t>
      </w:r>
      <w:r w:rsidR="00842C42" w:rsidRPr="005E345D">
        <w:rPr>
          <w:rFonts w:ascii="Arial" w:hAnsi="Arial" w:cs="Arial"/>
          <w:sz w:val="24"/>
          <w:szCs w:val="24"/>
        </w:rPr>
        <w:t xml:space="preserve">it </w:t>
      </w:r>
      <w:r w:rsidR="00B433CD" w:rsidRPr="005E345D">
        <w:rPr>
          <w:rFonts w:ascii="Arial" w:hAnsi="Arial" w:cs="Arial"/>
          <w:sz w:val="24"/>
          <w:szCs w:val="24"/>
        </w:rPr>
        <w:t>difficult</w:t>
      </w:r>
      <w:r w:rsidRPr="005E345D">
        <w:rPr>
          <w:rFonts w:ascii="Arial" w:hAnsi="Arial" w:cs="Arial"/>
          <w:sz w:val="24"/>
          <w:szCs w:val="24"/>
        </w:rPr>
        <w:t xml:space="preserve"> </w:t>
      </w:r>
      <w:r w:rsidR="00B433CD" w:rsidRPr="005E345D">
        <w:rPr>
          <w:rFonts w:ascii="Arial" w:hAnsi="Arial" w:cs="Arial"/>
          <w:sz w:val="24"/>
          <w:szCs w:val="24"/>
        </w:rPr>
        <w:t>to project</w:t>
      </w:r>
      <w:r w:rsidRPr="005E345D">
        <w:rPr>
          <w:rFonts w:ascii="Arial" w:hAnsi="Arial" w:cs="Arial"/>
          <w:sz w:val="24"/>
          <w:szCs w:val="24"/>
        </w:rPr>
        <w:t xml:space="preserve"> the revenue.</w:t>
      </w:r>
      <w:r w:rsidR="007B7ED7" w:rsidRPr="005E345D">
        <w:rPr>
          <w:rFonts w:ascii="Arial" w:hAnsi="Arial" w:cs="Arial"/>
          <w:sz w:val="24"/>
          <w:szCs w:val="24"/>
        </w:rPr>
        <w:t xml:space="preserve"> The Seacrest Lodge Resort must create a cash flow model frequently </w:t>
      </w:r>
      <w:r w:rsidR="00322C51" w:rsidRPr="005E345D">
        <w:rPr>
          <w:rFonts w:ascii="Arial" w:hAnsi="Arial" w:cs="Arial"/>
          <w:sz w:val="24"/>
          <w:szCs w:val="24"/>
        </w:rPr>
        <w:t xml:space="preserve">based on better assumptions of room rates, occupancy rates, and costs incurred. </w:t>
      </w:r>
      <w:r w:rsidR="00E5022D" w:rsidRPr="005E345D">
        <w:rPr>
          <w:rFonts w:ascii="Arial" w:hAnsi="Arial" w:cs="Arial"/>
          <w:sz w:val="24"/>
          <w:szCs w:val="24"/>
        </w:rPr>
        <w:t>This strategy</w:t>
      </w:r>
      <w:r w:rsidR="000F3012" w:rsidRPr="005E345D">
        <w:rPr>
          <w:rFonts w:ascii="Arial" w:hAnsi="Arial" w:cs="Arial"/>
          <w:sz w:val="24"/>
          <w:szCs w:val="24"/>
        </w:rPr>
        <w:t xml:space="preserve"> used by The Seacrest Resort will allow the investors as well as management to control the business with the availability of debt and equity. </w:t>
      </w:r>
      <w:r w:rsidR="00E5022D" w:rsidRPr="005E345D">
        <w:rPr>
          <w:rFonts w:ascii="Arial" w:hAnsi="Arial" w:cs="Arial"/>
          <w:sz w:val="24"/>
          <w:szCs w:val="24"/>
        </w:rPr>
        <w:t xml:space="preserve">This strategy will help in revitalizing the </w:t>
      </w:r>
      <w:r w:rsidR="00826298" w:rsidRPr="005E345D">
        <w:rPr>
          <w:rFonts w:ascii="Arial" w:hAnsi="Arial" w:cs="Arial"/>
          <w:sz w:val="24"/>
          <w:szCs w:val="24"/>
        </w:rPr>
        <w:t>business.</w:t>
      </w:r>
    </w:p>
    <w:p w14:paraId="1822777B" w14:textId="77777777" w:rsidR="00AA5F7C" w:rsidRPr="005E345D" w:rsidRDefault="00AA5F7C" w:rsidP="00062BD0">
      <w:pPr>
        <w:pStyle w:val="ListParagraph"/>
        <w:numPr>
          <w:ilvl w:val="0"/>
          <w:numId w:val="8"/>
        </w:numPr>
        <w:rPr>
          <w:rFonts w:ascii="Arial" w:hAnsi="Arial" w:cs="Arial"/>
          <w:sz w:val="24"/>
          <w:szCs w:val="24"/>
        </w:rPr>
      </w:pPr>
      <w:r w:rsidRPr="005E345D">
        <w:rPr>
          <w:rFonts w:ascii="Arial" w:hAnsi="Arial" w:cs="Arial"/>
          <w:b/>
          <w:bCs/>
          <w:i/>
          <w:iCs/>
          <w:sz w:val="24"/>
          <w:szCs w:val="24"/>
        </w:rPr>
        <w:t>Focus on main activities</w:t>
      </w:r>
      <w:r w:rsidRPr="005E345D">
        <w:rPr>
          <w:rFonts w:ascii="Arial" w:hAnsi="Arial" w:cs="Arial"/>
          <w:sz w:val="24"/>
          <w:szCs w:val="24"/>
        </w:rPr>
        <w:t xml:space="preserve"> – The Seacrest Lodge Resort must focus on the main activities for the turnaround strategies which </w:t>
      </w:r>
      <w:r w:rsidR="00387811" w:rsidRPr="005E345D">
        <w:rPr>
          <w:rFonts w:ascii="Arial" w:hAnsi="Arial" w:cs="Arial"/>
          <w:sz w:val="24"/>
          <w:szCs w:val="24"/>
        </w:rPr>
        <w:t>rely</w:t>
      </w:r>
      <w:r w:rsidRPr="005E345D">
        <w:rPr>
          <w:rFonts w:ascii="Arial" w:hAnsi="Arial" w:cs="Arial"/>
          <w:sz w:val="24"/>
          <w:szCs w:val="24"/>
        </w:rPr>
        <w:t xml:space="preserve"> on the firm’s ability to make cash flow. </w:t>
      </w:r>
      <w:r w:rsidR="00111F5D" w:rsidRPr="005E345D">
        <w:rPr>
          <w:rFonts w:ascii="Arial" w:hAnsi="Arial" w:cs="Arial"/>
          <w:sz w:val="24"/>
          <w:szCs w:val="24"/>
        </w:rPr>
        <w:t>The hotel might dispose of the old assets due to its outdated amenities and low occupancy rate to make cash or invest in new projects.</w:t>
      </w:r>
      <w:r w:rsidR="000E1294" w:rsidRPr="005E345D">
        <w:rPr>
          <w:rFonts w:ascii="Arial" w:hAnsi="Arial" w:cs="Arial"/>
          <w:sz w:val="24"/>
          <w:szCs w:val="24"/>
        </w:rPr>
        <w:t xml:space="preserve"> </w:t>
      </w:r>
    </w:p>
    <w:p w14:paraId="7D4E5F67" w14:textId="77777777" w:rsidR="00275F57" w:rsidRPr="005E345D" w:rsidRDefault="00842C42" w:rsidP="00275F57">
      <w:pPr>
        <w:pStyle w:val="ListParagraph"/>
        <w:numPr>
          <w:ilvl w:val="0"/>
          <w:numId w:val="8"/>
        </w:numPr>
        <w:rPr>
          <w:rFonts w:ascii="Arial" w:hAnsi="Arial" w:cs="Arial"/>
          <w:sz w:val="24"/>
          <w:szCs w:val="24"/>
        </w:rPr>
      </w:pPr>
      <w:r w:rsidRPr="005E345D">
        <w:rPr>
          <w:rFonts w:ascii="Arial" w:hAnsi="Arial" w:cs="Arial"/>
          <w:b/>
          <w:bCs/>
          <w:i/>
          <w:iCs/>
          <w:sz w:val="24"/>
          <w:szCs w:val="24"/>
        </w:rPr>
        <w:t xml:space="preserve">Diligence with operating expenses </w:t>
      </w:r>
      <w:r w:rsidRPr="005E345D">
        <w:rPr>
          <w:rFonts w:ascii="Arial" w:hAnsi="Arial" w:cs="Arial"/>
          <w:sz w:val="24"/>
          <w:szCs w:val="24"/>
        </w:rPr>
        <w:t>–</w:t>
      </w:r>
      <w:r w:rsidR="00AA5F7C" w:rsidRPr="005E345D">
        <w:rPr>
          <w:rFonts w:ascii="Arial" w:hAnsi="Arial" w:cs="Arial"/>
          <w:sz w:val="24"/>
          <w:szCs w:val="24"/>
        </w:rPr>
        <w:t xml:space="preserve"> As per Friedland and Rubin, (2022), T</w:t>
      </w:r>
      <w:r w:rsidR="00B05F85" w:rsidRPr="005E345D">
        <w:rPr>
          <w:rFonts w:ascii="Arial" w:hAnsi="Arial" w:cs="Arial"/>
          <w:sz w:val="24"/>
          <w:szCs w:val="24"/>
        </w:rPr>
        <w:t xml:space="preserve">he Seacrest Lodge Resort has the operators to decrease the operating expenditure at the time of </w:t>
      </w:r>
      <w:r w:rsidR="004964EB" w:rsidRPr="005E345D">
        <w:rPr>
          <w:rFonts w:ascii="Arial" w:hAnsi="Arial" w:cs="Arial"/>
          <w:sz w:val="24"/>
          <w:szCs w:val="24"/>
        </w:rPr>
        <w:t xml:space="preserve">the </w:t>
      </w:r>
      <w:r w:rsidR="00B05F85" w:rsidRPr="005E345D">
        <w:rPr>
          <w:rFonts w:ascii="Arial" w:hAnsi="Arial" w:cs="Arial"/>
          <w:sz w:val="24"/>
          <w:szCs w:val="24"/>
        </w:rPr>
        <w:t xml:space="preserve">pandemic. There will be </w:t>
      </w:r>
      <w:r w:rsidR="00C62C2E" w:rsidRPr="005E345D">
        <w:rPr>
          <w:rFonts w:ascii="Arial" w:hAnsi="Arial" w:cs="Arial"/>
          <w:sz w:val="24"/>
          <w:szCs w:val="24"/>
        </w:rPr>
        <w:t>a</w:t>
      </w:r>
      <w:r w:rsidR="004964EB" w:rsidRPr="005E345D">
        <w:rPr>
          <w:rFonts w:ascii="Arial" w:hAnsi="Arial" w:cs="Arial"/>
          <w:sz w:val="24"/>
          <w:szCs w:val="24"/>
        </w:rPr>
        <w:t xml:space="preserve"> </w:t>
      </w:r>
      <w:r w:rsidR="00B05F85" w:rsidRPr="005E345D">
        <w:rPr>
          <w:rFonts w:ascii="Arial" w:hAnsi="Arial" w:cs="Arial"/>
          <w:sz w:val="24"/>
          <w:szCs w:val="24"/>
        </w:rPr>
        <w:t>return of demand and a rise in expenses along with the increasing revenue.</w:t>
      </w:r>
      <w:r w:rsidR="00C62C2E" w:rsidRPr="005E345D">
        <w:rPr>
          <w:rFonts w:ascii="Arial" w:hAnsi="Arial" w:cs="Arial"/>
          <w:sz w:val="24"/>
          <w:szCs w:val="24"/>
        </w:rPr>
        <w:t xml:space="preserve"> </w:t>
      </w:r>
      <w:r w:rsidR="00EB0F34" w:rsidRPr="005E345D">
        <w:rPr>
          <w:rFonts w:ascii="Arial" w:hAnsi="Arial" w:cs="Arial"/>
          <w:sz w:val="24"/>
          <w:szCs w:val="24"/>
        </w:rPr>
        <w:t xml:space="preserve">The firm </w:t>
      </w:r>
      <w:r w:rsidR="00681218" w:rsidRPr="005E345D">
        <w:rPr>
          <w:rFonts w:ascii="Arial" w:hAnsi="Arial" w:cs="Arial"/>
          <w:sz w:val="24"/>
          <w:szCs w:val="24"/>
        </w:rPr>
        <w:t>must</w:t>
      </w:r>
      <w:r w:rsidR="00EB0F34" w:rsidRPr="005E345D">
        <w:rPr>
          <w:rFonts w:ascii="Arial" w:hAnsi="Arial" w:cs="Arial"/>
          <w:sz w:val="24"/>
          <w:szCs w:val="24"/>
        </w:rPr>
        <w:t xml:space="preserve"> reevaluate as well as reprice the policies and procedures for the pricing of the operating expenses</w:t>
      </w:r>
      <w:r w:rsidR="00AA5F7C" w:rsidRPr="005E345D">
        <w:rPr>
          <w:rFonts w:ascii="Arial" w:hAnsi="Arial" w:cs="Arial"/>
          <w:sz w:val="24"/>
          <w:szCs w:val="24"/>
        </w:rPr>
        <w:t xml:space="preserve">. </w:t>
      </w:r>
      <w:r w:rsidR="00826298" w:rsidRPr="005E345D">
        <w:rPr>
          <w:rFonts w:ascii="Arial" w:hAnsi="Arial" w:cs="Arial"/>
          <w:sz w:val="24"/>
          <w:szCs w:val="24"/>
        </w:rPr>
        <w:t>This will enlist the expertise to interpret the business which can be salvaged by this turnaround strategy.</w:t>
      </w:r>
      <w:r w:rsidR="000E1294" w:rsidRPr="005E345D">
        <w:rPr>
          <w:rFonts w:ascii="Arial" w:hAnsi="Arial" w:cs="Arial"/>
          <w:sz w:val="24"/>
          <w:szCs w:val="24"/>
        </w:rPr>
        <w:t xml:space="preserve"> </w:t>
      </w:r>
    </w:p>
    <w:p w14:paraId="42AEFBB0" w14:textId="77777777" w:rsidR="004752BE" w:rsidRDefault="00E06FE7" w:rsidP="00EE06E4">
      <w:pPr>
        <w:pStyle w:val="ListParagraph"/>
        <w:numPr>
          <w:ilvl w:val="0"/>
          <w:numId w:val="8"/>
        </w:numPr>
        <w:rPr>
          <w:rFonts w:ascii="Arial" w:hAnsi="Arial" w:cs="Arial"/>
          <w:sz w:val="24"/>
          <w:szCs w:val="24"/>
        </w:rPr>
      </w:pPr>
      <w:r w:rsidRPr="005E345D">
        <w:rPr>
          <w:rFonts w:ascii="Arial" w:hAnsi="Arial" w:cs="Arial"/>
          <w:b/>
          <w:bCs/>
          <w:i/>
          <w:iCs/>
          <w:sz w:val="24"/>
          <w:szCs w:val="24"/>
        </w:rPr>
        <w:t xml:space="preserve">Invest in technology – </w:t>
      </w:r>
      <w:r w:rsidRPr="005E345D">
        <w:rPr>
          <w:rFonts w:ascii="Arial" w:hAnsi="Arial" w:cs="Arial"/>
          <w:sz w:val="24"/>
          <w:szCs w:val="24"/>
        </w:rPr>
        <w:t xml:space="preserve">Friedland and Rubin, (2022), determined that the hotel industry must improve technological advances. </w:t>
      </w:r>
      <w:r w:rsidR="00D1671A" w:rsidRPr="005E345D">
        <w:rPr>
          <w:rFonts w:ascii="Arial" w:hAnsi="Arial" w:cs="Arial"/>
          <w:sz w:val="24"/>
          <w:szCs w:val="24"/>
        </w:rPr>
        <w:t xml:space="preserve">The guests are anticipating developed connectivity with no interruptions. This has led The Seacrest Resort to improve the Wi-Fi infrastructures as well as other </w:t>
      </w:r>
      <w:r w:rsidR="005E345D" w:rsidRPr="005E345D">
        <w:rPr>
          <w:rFonts w:ascii="Arial" w:hAnsi="Arial" w:cs="Arial"/>
          <w:sz w:val="24"/>
          <w:szCs w:val="24"/>
        </w:rPr>
        <w:t>next-generation</w:t>
      </w:r>
      <w:r w:rsidR="00271240" w:rsidRPr="005E345D">
        <w:rPr>
          <w:rFonts w:ascii="Arial" w:hAnsi="Arial" w:cs="Arial"/>
          <w:sz w:val="24"/>
          <w:szCs w:val="24"/>
        </w:rPr>
        <w:t xml:space="preserve"> advancements. </w:t>
      </w:r>
      <w:r w:rsidR="005A3E20">
        <w:rPr>
          <w:rFonts w:ascii="Arial" w:hAnsi="Arial" w:cs="Arial"/>
          <w:sz w:val="24"/>
          <w:szCs w:val="24"/>
        </w:rPr>
        <w:t>As per Shin and Kang, (2020), l</w:t>
      </w:r>
      <w:r w:rsidR="005E345D" w:rsidRPr="005E345D">
        <w:rPr>
          <w:rFonts w:ascii="Arial" w:hAnsi="Arial" w:cs="Arial"/>
          <w:sz w:val="24"/>
          <w:szCs w:val="24"/>
        </w:rPr>
        <w:t>everaging technology has been optimizing the operations as well as decreasing costs to drive sales as well as long-term growth to increase profitability and customer loyalty. The Seacrest Lodge Resort keeps the latest development in the online space which is imperative to be relevant in a rising competitive environment.</w:t>
      </w:r>
    </w:p>
    <w:p w14:paraId="4DFA5FC9" w14:textId="77777777" w:rsidR="004752BE" w:rsidRPr="004752BE" w:rsidRDefault="004752BE" w:rsidP="004752BE">
      <w:pPr>
        <w:rPr>
          <w:rFonts w:ascii="Arial" w:hAnsi="Arial" w:cs="Arial"/>
          <w:szCs w:val="24"/>
        </w:rPr>
      </w:pPr>
      <w:r w:rsidRPr="004752BE">
        <w:rPr>
          <w:rFonts w:ascii="Arial" w:hAnsi="Arial" w:cs="Arial"/>
          <w:szCs w:val="24"/>
        </w:rPr>
        <w:lastRenderedPageBreak/>
        <w:t xml:space="preserve">The turnaround recovery strategies are in the concern of cost efficiency which entails a wide variety of acts targeted to producing the instant achievement of the firm. The measures might develop The Seacrest Lodge Resort’s cash flow as well as stabilization in fiscal concerns before the complex strategies. The cost-efficiency strategies are mostly implemented in the recovery stage as The Seacrest Lodge Resort </w:t>
      </w:r>
      <w:r w:rsidR="00903AAB">
        <w:rPr>
          <w:rFonts w:ascii="Arial" w:hAnsi="Arial" w:cs="Arial"/>
          <w:szCs w:val="24"/>
        </w:rPr>
        <w:t xml:space="preserve">should </w:t>
      </w:r>
      <w:r w:rsidRPr="004752BE">
        <w:rPr>
          <w:rFonts w:ascii="Arial" w:hAnsi="Arial" w:cs="Arial"/>
          <w:szCs w:val="24"/>
        </w:rPr>
        <w:t xml:space="preserve">prefer turnaround strategies in the achievement of cost efficiency due to the ease of execution and less capital needed. </w:t>
      </w:r>
    </w:p>
    <w:p w14:paraId="19397B7D" w14:textId="77777777" w:rsidR="00367C82" w:rsidRPr="004752BE" w:rsidRDefault="00367C82" w:rsidP="004752BE">
      <w:pPr>
        <w:rPr>
          <w:rFonts w:ascii="Arial" w:hAnsi="Arial" w:cs="Arial"/>
          <w:szCs w:val="24"/>
        </w:rPr>
      </w:pPr>
      <w:r w:rsidRPr="004752BE">
        <w:rPr>
          <w:rFonts w:ascii="Arial" w:hAnsi="Arial" w:cs="Arial"/>
        </w:rPr>
        <w:br w:type="page"/>
      </w:r>
      <w:bookmarkStart w:id="9" w:name="_Toc157504738"/>
      <w:r w:rsidR="00EC1C9B" w:rsidRPr="005E345D">
        <w:rPr>
          <w:rStyle w:val="Heading1Char"/>
        </w:rPr>
        <w:lastRenderedPageBreak/>
        <w:t>Recommendation</w:t>
      </w:r>
      <w:r w:rsidR="00F00C78" w:rsidRPr="005E345D">
        <w:rPr>
          <w:rStyle w:val="Heading1Char"/>
        </w:rPr>
        <w:t>s</w:t>
      </w:r>
      <w:bookmarkEnd w:id="9"/>
    </w:p>
    <w:p w14:paraId="4D43193D" w14:textId="77777777" w:rsidR="002579F5" w:rsidRPr="005E345D" w:rsidRDefault="002579F5" w:rsidP="00436979">
      <w:pPr>
        <w:pStyle w:val="ListParagraph"/>
        <w:numPr>
          <w:ilvl w:val="0"/>
          <w:numId w:val="10"/>
        </w:numPr>
        <w:rPr>
          <w:rFonts w:ascii="Arial" w:hAnsi="Arial" w:cs="Arial"/>
          <w:sz w:val="24"/>
          <w:szCs w:val="24"/>
        </w:rPr>
      </w:pPr>
      <w:r w:rsidRPr="005E345D">
        <w:rPr>
          <w:rFonts w:ascii="Arial" w:hAnsi="Arial" w:cs="Arial"/>
          <w:b/>
          <w:bCs/>
          <w:i/>
          <w:iCs/>
          <w:sz w:val="24"/>
          <w:szCs w:val="24"/>
        </w:rPr>
        <w:t>Cost efficiency strategy</w:t>
      </w:r>
      <w:r w:rsidRPr="005E345D">
        <w:rPr>
          <w:rFonts w:ascii="Arial" w:hAnsi="Arial" w:cs="Arial"/>
          <w:sz w:val="24"/>
          <w:szCs w:val="24"/>
        </w:rPr>
        <w:t xml:space="preserve"> – </w:t>
      </w:r>
      <w:r w:rsidR="00436979" w:rsidRPr="005E345D">
        <w:rPr>
          <w:rFonts w:ascii="Arial" w:hAnsi="Arial" w:cs="Arial"/>
          <w:sz w:val="24"/>
          <w:szCs w:val="24"/>
        </w:rPr>
        <w:t xml:space="preserve">It is recommended </w:t>
      </w:r>
      <w:r w:rsidR="005E345D" w:rsidRPr="005E345D">
        <w:rPr>
          <w:rFonts w:ascii="Arial" w:hAnsi="Arial" w:cs="Arial"/>
          <w:sz w:val="24"/>
          <w:szCs w:val="24"/>
        </w:rPr>
        <w:t>that</w:t>
      </w:r>
      <w:r w:rsidR="00436979" w:rsidRPr="005E345D">
        <w:rPr>
          <w:rFonts w:ascii="Arial" w:hAnsi="Arial" w:cs="Arial"/>
          <w:sz w:val="24"/>
          <w:szCs w:val="24"/>
        </w:rPr>
        <w:t xml:space="preserve"> The Seacrest Lodge Resort prefer </w:t>
      </w:r>
      <w:r w:rsidR="005E345D" w:rsidRPr="005E345D">
        <w:rPr>
          <w:rFonts w:ascii="Arial" w:hAnsi="Arial" w:cs="Arial"/>
          <w:sz w:val="24"/>
          <w:szCs w:val="24"/>
        </w:rPr>
        <w:t xml:space="preserve">a </w:t>
      </w:r>
      <w:r w:rsidR="00436979" w:rsidRPr="005E345D">
        <w:rPr>
          <w:rFonts w:ascii="Arial" w:hAnsi="Arial" w:cs="Arial"/>
          <w:sz w:val="24"/>
          <w:szCs w:val="24"/>
        </w:rPr>
        <w:t>turnaround strategy of cost efficiency in the achievement of cost efficiency due to the ease of execution and less capital needed. This will help in revitalizing the business and enlist the expertise to interpret the business which can be salvaged by this turnaround strategy.</w:t>
      </w:r>
    </w:p>
    <w:p w14:paraId="222C2728" w14:textId="77777777" w:rsidR="0015487D" w:rsidRPr="005E345D" w:rsidRDefault="005E345D" w:rsidP="0015487D">
      <w:pPr>
        <w:pStyle w:val="ListParagraph"/>
        <w:numPr>
          <w:ilvl w:val="0"/>
          <w:numId w:val="9"/>
        </w:numPr>
        <w:rPr>
          <w:rFonts w:ascii="Arial" w:hAnsi="Arial" w:cs="Arial"/>
          <w:sz w:val="24"/>
          <w:szCs w:val="24"/>
        </w:rPr>
      </w:pPr>
      <w:r>
        <w:rPr>
          <w:rFonts w:ascii="Arial" w:hAnsi="Arial" w:cs="Arial"/>
          <w:b/>
          <w:bCs/>
          <w:i/>
          <w:iCs/>
          <w:sz w:val="24"/>
          <w:szCs w:val="24"/>
        </w:rPr>
        <w:t>Increase</w:t>
      </w:r>
      <w:r w:rsidR="002579F5" w:rsidRPr="005E345D">
        <w:rPr>
          <w:rFonts w:ascii="Arial" w:hAnsi="Arial" w:cs="Arial"/>
          <w:b/>
          <w:bCs/>
          <w:i/>
          <w:iCs/>
          <w:sz w:val="24"/>
          <w:szCs w:val="24"/>
        </w:rPr>
        <w:t xml:space="preserve"> revenue</w:t>
      </w:r>
      <w:r w:rsidR="002579F5" w:rsidRPr="005E345D">
        <w:rPr>
          <w:rFonts w:ascii="Arial" w:hAnsi="Arial" w:cs="Arial"/>
          <w:sz w:val="24"/>
          <w:szCs w:val="24"/>
        </w:rPr>
        <w:t xml:space="preserve"> –</w:t>
      </w:r>
      <w:r w:rsidR="00436979" w:rsidRPr="005E345D">
        <w:rPr>
          <w:rFonts w:ascii="Arial" w:hAnsi="Arial" w:cs="Arial"/>
          <w:sz w:val="24"/>
          <w:szCs w:val="24"/>
        </w:rPr>
        <w:t xml:space="preserve"> The Seacrest Lodge Resort is recommended to increase its revenue by increasing the rate of rooms and implementing marketing strategies to attract customers.</w:t>
      </w:r>
    </w:p>
    <w:p w14:paraId="12E6F5E3" w14:textId="77777777" w:rsidR="00CA7815" w:rsidRPr="005E345D" w:rsidRDefault="00CA7815" w:rsidP="00CA7815">
      <w:pPr>
        <w:pStyle w:val="ListParagraph"/>
        <w:numPr>
          <w:ilvl w:val="0"/>
          <w:numId w:val="9"/>
        </w:numPr>
        <w:rPr>
          <w:rFonts w:ascii="Arial" w:hAnsi="Arial" w:cs="Arial"/>
          <w:sz w:val="24"/>
          <w:szCs w:val="24"/>
        </w:rPr>
      </w:pPr>
      <w:r w:rsidRPr="005E345D">
        <w:rPr>
          <w:rFonts w:ascii="Arial" w:hAnsi="Arial" w:cs="Arial"/>
          <w:b/>
          <w:bCs/>
          <w:i/>
          <w:iCs/>
          <w:sz w:val="24"/>
          <w:szCs w:val="24"/>
        </w:rPr>
        <w:t>Increase Average Room Rate</w:t>
      </w:r>
      <w:r w:rsidRPr="005E345D">
        <w:rPr>
          <w:rFonts w:ascii="Arial" w:hAnsi="Arial" w:cs="Arial"/>
          <w:sz w:val="24"/>
          <w:szCs w:val="24"/>
        </w:rPr>
        <w:t xml:space="preserve"> – </w:t>
      </w:r>
      <w:r w:rsidR="00436979" w:rsidRPr="005E345D">
        <w:rPr>
          <w:rFonts w:ascii="Arial" w:hAnsi="Arial" w:cs="Arial"/>
          <w:sz w:val="24"/>
          <w:szCs w:val="24"/>
        </w:rPr>
        <w:t xml:space="preserve">This will help in increasing the profitability as the Seacrest Lodge Resort has reported a loss in 2023. The resort is recommended to </w:t>
      </w:r>
      <w:r w:rsidR="00D244FC" w:rsidRPr="005E345D">
        <w:rPr>
          <w:rFonts w:ascii="Arial" w:hAnsi="Arial" w:cs="Arial"/>
          <w:sz w:val="24"/>
          <w:szCs w:val="24"/>
        </w:rPr>
        <w:t xml:space="preserve">increase the average room rate after updating the amenities and </w:t>
      </w:r>
      <w:r w:rsidR="0020339F" w:rsidRPr="005E345D">
        <w:rPr>
          <w:rFonts w:ascii="Arial" w:hAnsi="Arial" w:cs="Arial"/>
          <w:sz w:val="24"/>
          <w:szCs w:val="24"/>
        </w:rPr>
        <w:t>facilities to the customers.</w:t>
      </w:r>
    </w:p>
    <w:p w14:paraId="4173BC76" w14:textId="77777777" w:rsidR="00EC1C9B" w:rsidRPr="005E345D" w:rsidRDefault="00EC1C9B">
      <w:pPr>
        <w:spacing w:before="0"/>
        <w:rPr>
          <w:rFonts w:ascii="Arial" w:hAnsi="Arial" w:cs="Arial"/>
        </w:rPr>
      </w:pPr>
      <w:r w:rsidRPr="005E345D">
        <w:rPr>
          <w:rFonts w:ascii="Arial" w:hAnsi="Arial" w:cs="Arial"/>
        </w:rPr>
        <w:br w:type="page"/>
      </w:r>
    </w:p>
    <w:p w14:paraId="1011E126" w14:textId="77777777" w:rsidR="00EC1C9B" w:rsidRPr="005E345D" w:rsidRDefault="00EC1C9B" w:rsidP="00EE06E4">
      <w:pPr>
        <w:pStyle w:val="Heading1"/>
      </w:pPr>
      <w:bookmarkStart w:id="10" w:name="_Toc157504739"/>
      <w:r w:rsidRPr="005E345D">
        <w:lastRenderedPageBreak/>
        <w:t>Conclusion</w:t>
      </w:r>
      <w:bookmarkEnd w:id="10"/>
    </w:p>
    <w:p w14:paraId="18F71FF6" w14:textId="77777777" w:rsidR="00EC1C9B" w:rsidRPr="001B389C" w:rsidRDefault="0020339F" w:rsidP="005E345D">
      <w:pPr>
        <w:spacing w:before="0"/>
        <w:rPr>
          <w:rFonts w:ascii="Arial" w:hAnsi="Arial" w:cs="Arial"/>
          <w:color w:val="000000" w:themeColor="text1"/>
          <w:kern w:val="0"/>
          <w:szCs w:val="24"/>
          <w14:ligatures w14:val="none"/>
        </w:rPr>
      </w:pPr>
      <w:r w:rsidRPr="005E345D">
        <w:rPr>
          <w:rFonts w:ascii="Arial" w:hAnsi="Arial" w:cs="Arial"/>
        </w:rPr>
        <w:t xml:space="preserve">The report </w:t>
      </w:r>
      <w:r w:rsidR="005E345D" w:rsidRPr="005E345D">
        <w:rPr>
          <w:rFonts w:ascii="Arial" w:hAnsi="Arial" w:cs="Arial"/>
        </w:rPr>
        <w:t>analysed</w:t>
      </w:r>
      <w:r w:rsidRPr="005E345D">
        <w:rPr>
          <w:rFonts w:ascii="Arial" w:hAnsi="Arial" w:cs="Arial"/>
        </w:rPr>
        <w:t xml:space="preserve"> </w:t>
      </w:r>
      <w:r w:rsidR="005E345D" w:rsidRPr="005E345D">
        <w:rPr>
          <w:rFonts w:ascii="Arial" w:hAnsi="Arial" w:cs="Arial"/>
        </w:rPr>
        <w:t xml:space="preserve">the </w:t>
      </w:r>
      <w:r w:rsidRPr="005E345D">
        <w:rPr>
          <w:rFonts w:ascii="Arial" w:hAnsi="Arial" w:cs="Arial"/>
        </w:rPr>
        <w:t>financial performance of The Seacrest Resort</w:t>
      </w:r>
      <w:r w:rsidR="007209DE" w:rsidRPr="005E345D">
        <w:rPr>
          <w:rFonts w:ascii="Arial" w:hAnsi="Arial" w:cs="Arial"/>
        </w:rPr>
        <w:t xml:space="preserve">. The resort was having a degrading revenue and profitability from 2021 to 2023. There </w:t>
      </w:r>
      <w:r w:rsidR="00EE405A" w:rsidRPr="005E345D">
        <w:rPr>
          <w:rFonts w:ascii="Arial" w:hAnsi="Arial" w:cs="Arial"/>
        </w:rPr>
        <w:t>was</w:t>
      </w:r>
      <w:r w:rsidR="007209DE" w:rsidRPr="005E345D">
        <w:rPr>
          <w:rFonts w:ascii="Arial" w:hAnsi="Arial" w:cs="Arial"/>
        </w:rPr>
        <w:t xml:space="preserve"> some turnaround strategies mentioned for improving the profitability of the firm. The turnaround strategies were such as </w:t>
      </w:r>
      <w:r w:rsidR="00E22DA4" w:rsidRPr="005E345D">
        <w:rPr>
          <w:rFonts w:ascii="Arial" w:hAnsi="Arial" w:cs="Arial"/>
        </w:rPr>
        <w:t xml:space="preserve">monitoring cash, </w:t>
      </w:r>
      <w:r w:rsidR="00A17953" w:rsidRPr="005E345D">
        <w:rPr>
          <w:rFonts w:ascii="Arial" w:hAnsi="Arial" w:cs="Arial"/>
        </w:rPr>
        <w:t>focusing</w:t>
      </w:r>
      <w:r w:rsidR="00E22DA4" w:rsidRPr="005E345D">
        <w:rPr>
          <w:rFonts w:ascii="Arial" w:hAnsi="Arial" w:cs="Arial"/>
        </w:rPr>
        <w:t xml:space="preserve"> on main activities, and diligence with operating expenses. </w:t>
      </w:r>
      <w:r w:rsidR="007209DE" w:rsidRPr="005E345D">
        <w:rPr>
          <w:rFonts w:ascii="Arial" w:hAnsi="Arial" w:cs="Arial"/>
          <w:color w:val="000000" w:themeColor="text1"/>
          <w:kern w:val="0"/>
          <w:szCs w:val="24"/>
          <w14:ligatures w14:val="none"/>
        </w:rPr>
        <w:t xml:space="preserve">There was an assessment of </w:t>
      </w:r>
      <w:r w:rsidR="00E22DA4" w:rsidRPr="005E345D">
        <w:rPr>
          <w:rFonts w:ascii="Arial" w:hAnsi="Arial" w:cs="Arial"/>
          <w:color w:val="000000" w:themeColor="text1"/>
          <w:kern w:val="0"/>
          <w:szCs w:val="24"/>
          <w14:ligatures w14:val="none"/>
        </w:rPr>
        <w:t>financial risks</w:t>
      </w:r>
      <w:r w:rsidR="007209DE" w:rsidRPr="005E345D">
        <w:rPr>
          <w:rFonts w:ascii="Arial" w:hAnsi="Arial" w:cs="Arial"/>
          <w:color w:val="000000" w:themeColor="text1"/>
          <w:kern w:val="0"/>
          <w:szCs w:val="24"/>
          <w14:ligatures w14:val="none"/>
        </w:rPr>
        <w:t>. The turnaround strategy was significant to mitigate the profitability, efficiency, revenue, operational risks, and financial risks.</w:t>
      </w:r>
      <w:r w:rsidR="005E345D" w:rsidRPr="005E345D">
        <w:rPr>
          <w:rFonts w:ascii="Arial" w:hAnsi="Arial" w:cs="Arial"/>
          <w:color w:val="000000" w:themeColor="text1"/>
          <w:kern w:val="0"/>
          <w:szCs w:val="24"/>
          <w14:ligatures w14:val="none"/>
        </w:rPr>
        <w:t xml:space="preserve"> It has been concluded that The Seacrest Resort </w:t>
      </w:r>
      <w:r w:rsidR="005E345D">
        <w:rPr>
          <w:rFonts w:ascii="Arial" w:hAnsi="Arial" w:cs="Arial"/>
          <w:color w:val="000000" w:themeColor="text1"/>
          <w:kern w:val="0"/>
          <w:szCs w:val="24"/>
          <w14:ligatures w14:val="none"/>
        </w:rPr>
        <w:t>should imply the cost efficiency strategy, increase revenue, and increase the average room rate to improve the profitability as well as revenue and attain customers in the further years.</w:t>
      </w:r>
      <w:r w:rsidR="00EC1C9B" w:rsidRPr="005E345D">
        <w:rPr>
          <w:rFonts w:ascii="Arial" w:hAnsi="Arial" w:cs="Arial"/>
        </w:rPr>
        <w:br w:type="page"/>
      </w:r>
    </w:p>
    <w:p w14:paraId="5B91D9D6" w14:textId="77777777" w:rsidR="00EC1C9B" w:rsidRPr="005E345D" w:rsidRDefault="00EC1C9B" w:rsidP="00EE06E4">
      <w:pPr>
        <w:pStyle w:val="Heading1"/>
      </w:pPr>
      <w:bookmarkStart w:id="11" w:name="_Toc157504740"/>
      <w:r w:rsidRPr="005E345D">
        <w:lastRenderedPageBreak/>
        <w:t>References</w:t>
      </w:r>
      <w:bookmarkEnd w:id="11"/>
    </w:p>
    <w:p w14:paraId="055ECCCC" w14:textId="1FFD7A36" w:rsidR="00F96478" w:rsidRPr="00F84D0D" w:rsidRDefault="00C667D5" w:rsidP="00F84D0D">
      <w:pPr>
        <w:pStyle w:val="ListParagraph"/>
        <w:numPr>
          <w:ilvl w:val="0"/>
          <w:numId w:val="11"/>
        </w:numPr>
        <w:rPr>
          <w:rFonts w:ascii="Arial" w:hAnsi="Arial" w:cs="Arial"/>
          <w:color w:val="222222"/>
          <w:szCs w:val="24"/>
          <w:shd w:val="clear" w:color="auto" w:fill="FFFFFF"/>
        </w:rPr>
      </w:pPr>
      <w:bookmarkStart w:id="12" w:name="_Hlk157425321"/>
      <w:proofErr w:type="spellStart"/>
      <w:r w:rsidRPr="00F84D0D">
        <w:rPr>
          <w:rFonts w:ascii="Arial" w:hAnsi="Arial" w:cs="Arial"/>
          <w:color w:val="222222"/>
          <w:szCs w:val="24"/>
          <w:shd w:val="clear" w:color="auto" w:fill="FFFFFF"/>
        </w:rPr>
        <w:t>Alarussi</w:t>
      </w:r>
      <w:proofErr w:type="spellEnd"/>
      <w:r w:rsidRPr="00F84D0D">
        <w:rPr>
          <w:rFonts w:ascii="Arial" w:hAnsi="Arial" w:cs="Arial"/>
          <w:color w:val="222222"/>
          <w:szCs w:val="24"/>
          <w:shd w:val="clear" w:color="auto" w:fill="FFFFFF"/>
        </w:rPr>
        <w:t>, A.S.A.</w:t>
      </w:r>
      <w:r w:rsidR="008F5B18">
        <w:rPr>
          <w:rFonts w:ascii="Arial" w:hAnsi="Arial" w:cs="Arial"/>
          <w:color w:val="222222"/>
          <w:szCs w:val="24"/>
          <w:shd w:val="clear" w:color="auto" w:fill="FFFFFF"/>
        </w:rPr>
        <w:t xml:space="preserve"> </w:t>
      </w:r>
      <w:r w:rsidRPr="00F84D0D">
        <w:rPr>
          <w:rFonts w:ascii="Arial" w:hAnsi="Arial" w:cs="Arial"/>
          <w:color w:val="222222"/>
          <w:szCs w:val="24"/>
          <w:shd w:val="clear" w:color="auto" w:fill="FFFFFF"/>
        </w:rPr>
        <w:t xml:space="preserve">(2021) </w:t>
      </w:r>
      <w:bookmarkEnd w:id="12"/>
      <w:r w:rsidRPr="00F84D0D">
        <w:rPr>
          <w:rFonts w:ascii="Arial" w:hAnsi="Arial" w:cs="Arial"/>
          <w:color w:val="222222"/>
          <w:szCs w:val="24"/>
          <w:shd w:val="clear" w:color="auto" w:fill="FFFFFF"/>
        </w:rPr>
        <w:t>“Financial ratios and efficiency in Malaysian listed companies”, </w:t>
      </w:r>
      <w:r w:rsidRPr="00F84D0D">
        <w:rPr>
          <w:rFonts w:ascii="Arial" w:hAnsi="Arial" w:cs="Arial"/>
          <w:i/>
          <w:iCs/>
          <w:color w:val="222222"/>
          <w:szCs w:val="24"/>
          <w:shd w:val="clear" w:color="auto" w:fill="FFFFFF"/>
        </w:rPr>
        <w:t>Asian Journal of Economics and Banking</w:t>
      </w:r>
      <w:r w:rsidRPr="00F84D0D">
        <w:rPr>
          <w:rFonts w:ascii="Arial" w:hAnsi="Arial" w:cs="Arial"/>
          <w:color w:val="222222"/>
          <w:szCs w:val="24"/>
          <w:shd w:val="clear" w:color="auto" w:fill="FFFFFF"/>
        </w:rPr>
        <w:t>, </w:t>
      </w:r>
      <w:r w:rsidRPr="00F84D0D">
        <w:rPr>
          <w:rFonts w:ascii="Arial" w:hAnsi="Arial" w:cs="Arial"/>
          <w:i/>
          <w:iCs/>
          <w:color w:val="222222"/>
          <w:szCs w:val="24"/>
          <w:shd w:val="clear" w:color="auto" w:fill="FFFFFF"/>
        </w:rPr>
        <w:t>5</w:t>
      </w:r>
      <w:r w:rsidRPr="00F84D0D">
        <w:rPr>
          <w:rFonts w:ascii="Arial" w:hAnsi="Arial" w:cs="Arial"/>
          <w:color w:val="222222"/>
          <w:szCs w:val="24"/>
          <w:shd w:val="clear" w:color="auto" w:fill="FFFFFF"/>
        </w:rPr>
        <w:t>(2), pp.116-135.</w:t>
      </w:r>
      <w:r w:rsidR="00BF57FF">
        <w:rPr>
          <w:rFonts w:ascii="Arial" w:hAnsi="Arial" w:cs="Arial"/>
          <w:color w:val="222222"/>
          <w:szCs w:val="24"/>
          <w:shd w:val="clear" w:color="auto" w:fill="FFFFFF"/>
        </w:rPr>
        <w:t xml:space="preserve"> Available at</w:t>
      </w:r>
      <w:r w:rsidRPr="00F84D0D">
        <w:rPr>
          <w:rFonts w:ascii="Arial" w:hAnsi="Arial" w:cs="Arial"/>
          <w:color w:val="222222"/>
          <w:szCs w:val="24"/>
          <w:shd w:val="clear" w:color="auto" w:fill="FFFFFF"/>
        </w:rPr>
        <w:t xml:space="preserve"> Doi: </w:t>
      </w:r>
      <w:hyperlink r:id="rId8" w:history="1">
        <w:r w:rsidR="008F5B18" w:rsidRPr="00FD4C1B">
          <w:rPr>
            <w:rStyle w:val="Hyperlink"/>
            <w:rFonts w:ascii="Arial" w:hAnsi="Arial" w:cs="Arial"/>
            <w:szCs w:val="24"/>
            <w:shd w:val="clear" w:color="auto" w:fill="FFFFFF"/>
          </w:rPr>
          <w:t>http://dx.doi.org/10.1108/AJEB-06-2020-0014</w:t>
        </w:r>
      </w:hyperlink>
      <w:r w:rsidR="008F5B18">
        <w:rPr>
          <w:rFonts w:ascii="Arial" w:hAnsi="Arial" w:cs="Arial"/>
          <w:color w:val="222222"/>
          <w:szCs w:val="24"/>
          <w:shd w:val="clear" w:color="auto" w:fill="FFFFFF"/>
        </w:rPr>
        <w:t xml:space="preserve">. </w:t>
      </w:r>
    </w:p>
    <w:p w14:paraId="20E370B9" w14:textId="6F8B424C" w:rsidR="00C667D5" w:rsidRPr="00F84D0D" w:rsidRDefault="00C667D5" w:rsidP="00F84D0D">
      <w:pPr>
        <w:pStyle w:val="ListParagraph"/>
        <w:numPr>
          <w:ilvl w:val="0"/>
          <w:numId w:val="11"/>
        </w:numPr>
        <w:rPr>
          <w:rFonts w:ascii="Arial" w:hAnsi="Arial" w:cs="Arial"/>
          <w:color w:val="222222"/>
          <w:szCs w:val="24"/>
          <w:shd w:val="clear" w:color="auto" w:fill="FFFFFF"/>
        </w:rPr>
      </w:pPr>
      <w:r w:rsidRPr="00F84D0D">
        <w:rPr>
          <w:rFonts w:ascii="Arial" w:hAnsi="Arial" w:cs="Arial"/>
          <w:color w:val="222222"/>
          <w:szCs w:val="24"/>
          <w:shd w:val="clear" w:color="auto" w:fill="FFFFFF"/>
        </w:rPr>
        <w:t xml:space="preserve">Friedland, S. D., and Rubin, J. (2022) Ten Survival Strategies for Hotel Owners. Available at: </w:t>
      </w:r>
      <w:hyperlink r:id="rId9" w:history="1">
        <w:r w:rsidR="008F5B18" w:rsidRPr="00FD4C1B">
          <w:rPr>
            <w:rStyle w:val="Hyperlink"/>
            <w:rFonts w:ascii="Arial" w:hAnsi="Arial" w:cs="Arial"/>
            <w:szCs w:val="24"/>
            <w:shd w:val="clear" w:color="auto" w:fill="FFFFFF"/>
          </w:rPr>
          <w:t>https://www.eisneramper.com/insights/coronavirus/distressed-hotel-owners-strategies-1122/</w:t>
        </w:r>
      </w:hyperlink>
      <w:r w:rsidR="008F5B18">
        <w:rPr>
          <w:rFonts w:ascii="Arial" w:hAnsi="Arial" w:cs="Arial"/>
          <w:color w:val="222222"/>
          <w:szCs w:val="24"/>
          <w:shd w:val="clear" w:color="auto" w:fill="FFFFFF"/>
        </w:rPr>
        <w:t xml:space="preserve">. </w:t>
      </w:r>
    </w:p>
    <w:p w14:paraId="50682F0A" w14:textId="5EBBF702" w:rsidR="00C667D5" w:rsidRPr="00F84D0D" w:rsidRDefault="00C667D5" w:rsidP="00F84D0D">
      <w:pPr>
        <w:pStyle w:val="ListParagraph"/>
        <w:numPr>
          <w:ilvl w:val="0"/>
          <w:numId w:val="11"/>
        </w:numPr>
        <w:rPr>
          <w:rFonts w:ascii="Arial" w:hAnsi="Arial" w:cs="Arial"/>
          <w:color w:val="222222"/>
          <w:szCs w:val="24"/>
          <w:shd w:val="clear" w:color="auto" w:fill="FFFFFF"/>
        </w:rPr>
      </w:pPr>
      <w:r w:rsidRPr="00F84D0D">
        <w:rPr>
          <w:rFonts w:ascii="Arial" w:hAnsi="Arial" w:cs="Arial"/>
          <w:color w:val="222222"/>
          <w:szCs w:val="24"/>
          <w:shd w:val="clear" w:color="auto" w:fill="FFFFFF"/>
        </w:rPr>
        <w:t>Husna, A. and Satria, I. (2019) “Effects of return on asset, debt to asset ratio, current ratio, firm size, and dividend payout ratio on firm value”, </w:t>
      </w:r>
      <w:r w:rsidRPr="00F84D0D">
        <w:rPr>
          <w:rFonts w:ascii="Arial" w:hAnsi="Arial" w:cs="Arial"/>
          <w:i/>
          <w:iCs/>
          <w:color w:val="222222"/>
          <w:szCs w:val="24"/>
          <w:shd w:val="clear" w:color="auto" w:fill="FFFFFF"/>
        </w:rPr>
        <w:t>International Journal of Economics and Financial Issues</w:t>
      </w:r>
      <w:r w:rsidRPr="00F84D0D">
        <w:rPr>
          <w:rFonts w:ascii="Arial" w:hAnsi="Arial" w:cs="Arial"/>
          <w:color w:val="222222"/>
          <w:szCs w:val="24"/>
          <w:shd w:val="clear" w:color="auto" w:fill="FFFFFF"/>
        </w:rPr>
        <w:t>, </w:t>
      </w:r>
      <w:r w:rsidRPr="00F84D0D">
        <w:rPr>
          <w:rFonts w:ascii="Arial" w:hAnsi="Arial" w:cs="Arial"/>
          <w:i/>
          <w:iCs/>
          <w:color w:val="222222"/>
          <w:szCs w:val="24"/>
          <w:shd w:val="clear" w:color="auto" w:fill="FFFFFF"/>
        </w:rPr>
        <w:t>9</w:t>
      </w:r>
      <w:r w:rsidRPr="00F84D0D">
        <w:rPr>
          <w:rFonts w:ascii="Arial" w:hAnsi="Arial" w:cs="Arial"/>
          <w:color w:val="222222"/>
          <w:szCs w:val="24"/>
          <w:shd w:val="clear" w:color="auto" w:fill="FFFFFF"/>
        </w:rPr>
        <w:t xml:space="preserve">(5), pp.50-54. </w:t>
      </w:r>
      <w:r w:rsidR="00BF57FF">
        <w:rPr>
          <w:rFonts w:ascii="Arial" w:hAnsi="Arial" w:cs="Arial"/>
          <w:color w:val="222222"/>
          <w:szCs w:val="24"/>
          <w:shd w:val="clear" w:color="auto" w:fill="FFFFFF"/>
        </w:rPr>
        <w:t xml:space="preserve">Available at </w:t>
      </w:r>
      <w:r w:rsidRPr="00F84D0D">
        <w:rPr>
          <w:rFonts w:ascii="Arial" w:hAnsi="Arial" w:cs="Arial"/>
          <w:color w:val="222222"/>
          <w:szCs w:val="24"/>
          <w:shd w:val="clear" w:color="auto" w:fill="FFFFFF"/>
        </w:rPr>
        <w:t xml:space="preserve">Doi: </w:t>
      </w:r>
      <w:hyperlink r:id="rId10" w:history="1">
        <w:r w:rsidR="00BF57FF" w:rsidRPr="00FD4C1B">
          <w:rPr>
            <w:rStyle w:val="Hyperlink"/>
            <w:rFonts w:ascii="Arial" w:hAnsi="Arial" w:cs="Arial"/>
            <w:szCs w:val="24"/>
            <w:shd w:val="clear" w:color="auto" w:fill="FFFFFF"/>
          </w:rPr>
          <w:t>https://doi.org/10.32479/ijefi.8595</w:t>
        </w:r>
      </w:hyperlink>
      <w:r w:rsidR="00BF57FF">
        <w:rPr>
          <w:rFonts w:ascii="Arial" w:hAnsi="Arial" w:cs="Arial"/>
          <w:color w:val="222222"/>
          <w:szCs w:val="24"/>
          <w:shd w:val="clear" w:color="auto" w:fill="FFFFFF"/>
        </w:rPr>
        <w:t xml:space="preserve">. </w:t>
      </w:r>
      <w:r w:rsidRPr="00F84D0D">
        <w:rPr>
          <w:rFonts w:ascii="Arial" w:hAnsi="Arial" w:cs="Arial"/>
          <w:color w:val="222222"/>
          <w:szCs w:val="24"/>
          <w:shd w:val="clear" w:color="auto" w:fill="FFFFFF"/>
        </w:rPr>
        <w:t xml:space="preserve"> (Accessed: 26 January 2024).</w:t>
      </w:r>
    </w:p>
    <w:p w14:paraId="47E17790" w14:textId="43D2CD5E" w:rsidR="00C667D5" w:rsidRPr="00F84D0D" w:rsidRDefault="00C667D5" w:rsidP="00F84D0D">
      <w:pPr>
        <w:pStyle w:val="ListParagraph"/>
        <w:numPr>
          <w:ilvl w:val="0"/>
          <w:numId w:val="11"/>
        </w:numPr>
        <w:rPr>
          <w:rFonts w:ascii="Arial" w:hAnsi="Arial" w:cs="Arial"/>
          <w:color w:val="222222"/>
          <w:szCs w:val="24"/>
          <w:shd w:val="clear" w:color="auto" w:fill="FFFFFF"/>
        </w:rPr>
      </w:pPr>
      <w:r w:rsidRPr="00F84D0D">
        <w:rPr>
          <w:rFonts w:ascii="Arial" w:hAnsi="Arial" w:cs="Arial"/>
          <w:color w:val="222222"/>
          <w:szCs w:val="24"/>
          <w:shd w:val="clear" w:color="auto" w:fill="FFFFFF"/>
        </w:rPr>
        <w:t>ONS. Gov. UK, (2021) Coronavirus and its impact on UK hospitality: January 2020 to June</w:t>
      </w:r>
      <w:r w:rsidR="00BF57FF">
        <w:rPr>
          <w:rFonts w:ascii="Arial" w:hAnsi="Arial" w:cs="Arial"/>
          <w:color w:val="222222"/>
          <w:szCs w:val="24"/>
          <w:shd w:val="clear" w:color="auto" w:fill="FFFFFF"/>
        </w:rPr>
        <w:t xml:space="preserve"> </w:t>
      </w:r>
      <w:r w:rsidRPr="00F84D0D">
        <w:rPr>
          <w:rFonts w:ascii="Arial" w:hAnsi="Arial" w:cs="Arial"/>
          <w:color w:val="222222"/>
          <w:szCs w:val="24"/>
          <w:shd w:val="clear" w:color="auto" w:fill="FFFFFF"/>
        </w:rPr>
        <w:t>2021.</w:t>
      </w:r>
      <w:r w:rsidR="00BF57FF">
        <w:rPr>
          <w:rFonts w:ascii="Arial" w:hAnsi="Arial" w:cs="Arial"/>
          <w:color w:val="222222"/>
          <w:szCs w:val="24"/>
          <w:shd w:val="clear" w:color="auto" w:fill="FFFFFF"/>
        </w:rPr>
        <w:t>Available at:</w:t>
      </w:r>
      <w:r w:rsidRPr="00F84D0D">
        <w:rPr>
          <w:rFonts w:ascii="Arial" w:hAnsi="Arial" w:cs="Arial"/>
          <w:color w:val="222222"/>
          <w:szCs w:val="24"/>
          <w:shd w:val="clear" w:color="auto" w:fill="FFFFFF"/>
        </w:rPr>
        <w:t xml:space="preserve"> </w:t>
      </w:r>
      <w:hyperlink r:id="rId11" w:history="1">
        <w:r w:rsidR="00BF57FF" w:rsidRPr="00FD4C1B">
          <w:rPr>
            <w:rStyle w:val="Hyperlink"/>
            <w:rFonts w:ascii="Arial" w:hAnsi="Arial" w:cs="Arial"/>
            <w:szCs w:val="24"/>
            <w:shd w:val="clear" w:color="auto" w:fill="FFFFFF"/>
          </w:rPr>
          <w:t>https://www.ons.gov.uk/businessindustryandtrade/business/activitysizeandlocation/articles/coronavirusanditsimpactonukhospitality/january2020tojune2021</w:t>
        </w:r>
      </w:hyperlink>
      <w:r w:rsidR="00BF57FF">
        <w:rPr>
          <w:rFonts w:ascii="Arial" w:hAnsi="Arial" w:cs="Arial"/>
          <w:color w:val="222222"/>
          <w:szCs w:val="24"/>
          <w:shd w:val="clear" w:color="auto" w:fill="FFFFFF"/>
        </w:rPr>
        <w:t>.</w:t>
      </w:r>
    </w:p>
    <w:p w14:paraId="2FB49C7D" w14:textId="0044455C" w:rsidR="005A3E20" w:rsidRPr="00F84D0D" w:rsidRDefault="00C667D5" w:rsidP="00F84D0D">
      <w:pPr>
        <w:pStyle w:val="ListParagraph"/>
        <w:numPr>
          <w:ilvl w:val="0"/>
          <w:numId w:val="11"/>
        </w:numPr>
        <w:rPr>
          <w:rFonts w:ascii="Arial" w:hAnsi="Arial" w:cs="Arial"/>
          <w:color w:val="222222"/>
          <w:szCs w:val="24"/>
          <w:shd w:val="clear" w:color="auto" w:fill="FFFFFF"/>
        </w:rPr>
      </w:pPr>
      <w:bookmarkStart w:id="13" w:name="_Hlk157417465"/>
      <w:r w:rsidRPr="00F84D0D">
        <w:rPr>
          <w:rFonts w:ascii="Arial" w:hAnsi="Arial" w:cs="Arial"/>
          <w:color w:val="222222"/>
          <w:szCs w:val="24"/>
          <w:shd w:val="clear" w:color="auto" w:fill="FFFFFF"/>
        </w:rPr>
        <w:t xml:space="preserve">Shin, H. and Kang, J. (2020) </w:t>
      </w:r>
      <w:bookmarkEnd w:id="13"/>
      <w:r w:rsidRPr="00F84D0D">
        <w:rPr>
          <w:rFonts w:ascii="Arial" w:hAnsi="Arial" w:cs="Arial"/>
          <w:color w:val="222222"/>
          <w:szCs w:val="24"/>
          <w:shd w:val="clear" w:color="auto" w:fill="FFFFFF"/>
        </w:rPr>
        <w:t>“Reducing perceived health risk to attract hotel customers in the COVID-19 pandemic era: Focused on technology innovation for social distancing and cleanliness”, </w:t>
      </w:r>
      <w:r w:rsidRPr="00F84D0D">
        <w:rPr>
          <w:rFonts w:ascii="Arial" w:hAnsi="Arial" w:cs="Arial"/>
          <w:i/>
          <w:iCs/>
          <w:color w:val="222222"/>
          <w:szCs w:val="24"/>
          <w:shd w:val="clear" w:color="auto" w:fill="FFFFFF"/>
        </w:rPr>
        <w:t>International Journal of Hospitality Management</w:t>
      </w:r>
      <w:r w:rsidRPr="00F84D0D">
        <w:rPr>
          <w:rFonts w:ascii="Arial" w:hAnsi="Arial" w:cs="Arial"/>
          <w:color w:val="222222"/>
          <w:szCs w:val="24"/>
          <w:shd w:val="clear" w:color="auto" w:fill="FFFFFF"/>
        </w:rPr>
        <w:t>, </w:t>
      </w:r>
      <w:r w:rsidRPr="00F84D0D">
        <w:rPr>
          <w:rFonts w:ascii="Arial" w:hAnsi="Arial" w:cs="Arial"/>
          <w:i/>
          <w:iCs/>
          <w:color w:val="222222"/>
          <w:szCs w:val="24"/>
          <w:shd w:val="clear" w:color="auto" w:fill="FFFFFF"/>
        </w:rPr>
        <w:t>91</w:t>
      </w:r>
      <w:r w:rsidRPr="00F84D0D">
        <w:rPr>
          <w:rFonts w:ascii="Arial" w:hAnsi="Arial" w:cs="Arial"/>
          <w:color w:val="222222"/>
          <w:szCs w:val="24"/>
          <w:shd w:val="clear" w:color="auto" w:fill="FFFFFF"/>
        </w:rPr>
        <w:t>, p.102664.</w:t>
      </w:r>
      <w:r w:rsidR="00BF57FF">
        <w:rPr>
          <w:rFonts w:ascii="Arial" w:hAnsi="Arial" w:cs="Arial"/>
          <w:color w:val="222222"/>
          <w:szCs w:val="24"/>
          <w:shd w:val="clear" w:color="auto" w:fill="FFFFFF"/>
        </w:rPr>
        <w:t xml:space="preserve"> Available at</w:t>
      </w:r>
      <w:r w:rsidRPr="00F84D0D">
        <w:rPr>
          <w:rFonts w:ascii="Arial" w:hAnsi="Arial" w:cs="Arial"/>
          <w:color w:val="222222"/>
          <w:szCs w:val="24"/>
          <w:shd w:val="clear" w:color="auto" w:fill="FFFFFF"/>
        </w:rPr>
        <w:t xml:space="preserve"> Doi: </w:t>
      </w:r>
      <w:hyperlink r:id="rId12" w:history="1">
        <w:r w:rsidR="00BF57FF" w:rsidRPr="00FD4C1B">
          <w:rPr>
            <w:rStyle w:val="Hyperlink"/>
            <w:rFonts w:ascii="Arial" w:hAnsi="Arial" w:cs="Arial"/>
            <w:szCs w:val="24"/>
            <w:shd w:val="clear" w:color="auto" w:fill="FFFFFF"/>
          </w:rPr>
          <w:t>https://doi.org/10.1016/j.ijhm.2020.102664</w:t>
        </w:r>
      </w:hyperlink>
      <w:r w:rsidR="00BF57FF">
        <w:rPr>
          <w:rFonts w:ascii="Arial" w:hAnsi="Arial" w:cs="Arial"/>
          <w:color w:val="222222"/>
          <w:szCs w:val="24"/>
          <w:shd w:val="clear" w:color="auto" w:fill="FFFFFF"/>
        </w:rPr>
        <w:t xml:space="preserve">. </w:t>
      </w:r>
      <w:r w:rsidRPr="00F84D0D">
        <w:rPr>
          <w:rFonts w:ascii="Arial" w:hAnsi="Arial" w:cs="Arial"/>
          <w:color w:val="222222"/>
          <w:szCs w:val="24"/>
          <w:shd w:val="clear" w:color="auto" w:fill="FFFFFF"/>
        </w:rPr>
        <w:t xml:space="preserve"> </w:t>
      </w:r>
    </w:p>
    <w:p w14:paraId="3EE444B2" w14:textId="67DBDBA6" w:rsidR="00C667D5" w:rsidRPr="00F84D0D" w:rsidRDefault="00C667D5" w:rsidP="00F84D0D">
      <w:pPr>
        <w:pStyle w:val="ListParagraph"/>
        <w:numPr>
          <w:ilvl w:val="0"/>
          <w:numId w:val="11"/>
        </w:numPr>
        <w:rPr>
          <w:rFonts w:ascii="Arial" w:hAnsi="Arial" w:cs="Arial"/>
          <w:color w:val="222222"/>
          <w:szCs w:val="24"/>
          <w:shd w:val="clear" w:color="auto" w:fill="FFFFFF"/>
        </w:rPr>
      </w:pPr>
      <w:r w:rsidRPr="00F84D0D">
        <w:rPr>
          <w:rFonts w:ascii="Arial" w:hAnsi="Arial" w:cs="Arial"/>
          <w:color w:val="222222"/>
          <w:szCs w:val="24"/>
          <w:shd w:val="clear" w:color="auto" w:fill="FFFFFF"/>
        </w:rPr>
        <w:t xml:space="preserve">Yap, G., </w:t>
      </w:r>
      <w:proofErr w:type="spellStart"/>
      <w:r w:rsidRPr="00F84D0D">
        <w:rPr>
          <w:rFonts w:ascii="Arial" w:hAnsi="Arial" w:cs="Arial"/>
          <w:color w:val="222222"/>
          <w:szCs w:val="24"/>
          <w:shd w:val="clear" w:color="auto" w:fill="FFFFFF"/>
        </w:rPr>
        <w:t>Saha</w:t>
      </w:r>
      <w:proofErr w:type="spellEnd"/>
      <w:r w:rsidRPr="00F84D0D">
        <w:rPr>
          <w:rFonts w:ascii="Arial" w:hAnsi="Arial" w:cs="Arial"/>
          <w:color w:val="222222"/>
          <w:szCs w:val="24"/>
          <w:shd w:val="clear" w:color="auto" w:fill="FFFFFF"/>
        </w:rPr>
        <w:t xml:space="preserve">, S. and </w:t>
      </w:r>
      <w:proofErr w:type="spellStart"/>
      <w:r w:rsidRPr="00F84D0D">
        <w:rPr>
          <w:rFonts w:ascii="Arial" w:hAnsi="Arial" w:cs="Arial"/>
          <w:color w:val="222222"/>
          <w:szCs w:val="24"/>
          <w:shd w:val="clear" w:color="auto" w:fill="FFFFFF"/>
        </w:rPr>
        <w:t>Alsowaidi</w:t>
      </w:r>
      <w:proofErr w:type="spellEnd"/>
      <w:r w:rsidRPr="00F84D0D">
        <w:rPr>
          <w:rFonts w:ascii="Arial" w:hAnsi="Arial" w:cs="Arial"/>
          <w:color w:val="222222"/>
          <w:szCs w:val="24"/>
          <w:shd w:val="clear" w:color="auto" w:fill="FFFFFF"/>
        </w:rPr>
        <w:t>, S.S. (2022) “The competitiveness of Qatari tourism: A comparative and SWOT analysis”,</w:t>
      </w:r>
      <w:r w:rsidR="00BF57FF">
        <w:rPr>
          <w:rFonts w:ascii="Arial" w:hAnsi="Arial" w:cs="Arial"/>
          <w:color w:val="222222"/>
          <w:szCs w:val="24"/>
          <w:shd w:val="clear" w:color="auto" w:fill="FFFFFF"/>
        </w:rPr>
        <w:t xml:space="preserve"> Available at</w:t>
      </w:r>
      <w:r w:rsidRPr="00F84D0D">
        <w:rPr>
          <w:rFonts w:ascii="Arial" w:hAnsi="Arial" w:cs="Arial"/>
          <w:color w:val="222222"/>
          <w:szCs w:val="24"/>
          <w:shd w:val="clear" w:color="auto" w:fill="FFFFFF"/>
        </w:rPr>
        <w:t xml:space="preserve"> Doi: </w:t>
      </w:r>
      <w:hyperlink r:id="rId13" w:history="1">
        <w:r w:rsidR="00BF57FF" w:rsidRPr="00FD4C1B">
          <w:rPr>
            <w:rStyle w:val="Hyperlink"/>
            <w:rFonts w:ascii="Arial" w:hAnsi="Arial" w:cs="Arial"/>
            <w:szCs w:val="24"/>
            <w:shd w:val="clear" w:color="auto" w:fill="FFFFFF"/>
          </w:rPr>
          <w:t>https://doi.org/10.14738/assrj.97.12536</w:t>
        </w:r>
      </w:hyperlink>
      <w:r w:rsidR="00BF57FF">
        <w:rPr>
          <w:rFonts w:ascii="Arial" w:hAnsi="Arial" w:cs="Arial"/>
          <w:color w:val="222222"/>
          <w:szCs w:val="24"/>
          <w:shd w:val="clear" w:color="auto" w:fill="FFFFFF"/>
        </w:rPr>
        <w:t xml:space="preserve">. </w:t>
      </w:r>
      <w:r w:rsidRPr="00F84D0D">
        <w:rPr>
          <w:rFonts w:ascii="Arial" w:hAnsi="Arial" w:cs="Arial"/>
          <w:color w:val="222222"/>
          <w:szCs w:val="24"/>
          <w:shd w:val="clear" w:color="auto" w:fill="FFFFFF"/>
        </w:rPr>
        <w:t xml:space="preserve"> </w:t>
      </w:r>
    </w:p>
    <w:p w14:paraId="562C3FF9" w14:textId="26A01F42" w:rsidR="00C667D5" w:rsidRPr="00F84D0D" w:rsidRDefault="00C667D5" w:rsidP="00F84D0D">
      <w:pPr>
        <w:pStyle w:val="ListParagraph"/>
        <w:numPr>
          <w:ilvl w:val="0"/>
          <w:numId w:val="11"/>
        </w:numPr>
        <w:rPr>
          <w:rFonts w:ascii="Arial" w:hAnsi="Arial" w:cs="Arial"/>
          <w:color w:val="222222"/>
          <w:szCs w:val="24"/>
          <w:shd w:val="clear" w:color="auto" w:fill="FFFFFF"/>
        </w:rPr>
      </w:pPr>
      <w:r w:rsidRPr="00F84D0D">
        <w:rPr>
          <w:rFonts w:ascii="Arial" w:hAnsi="Arial" w:cs="Arial"/>
          <w:color w:val="222222"/>
          <w:szCs w:val="24"/>
          <w:shd w:val="clear" w:color="auto" w:fill="FFFFFF"/>
        </w:rPr>
        <w:t xml:space="preserve">Yenni, Y., Arifin, A., </w:t>
      </w:r>
      <w:proofErr w:type="spellStart"/>
      <w:r w:rsidRPr="00F84D0D">
        <w:rPr>
          <w:rFonts w:ascii="Arial" w:hAnsi="Arial" w:cs="Arial"/>
          <w:color w:val="222222"/>
          <w:szCs w:val="24"/>
          <w:shd w:val="clear" w:color="auto" w:fill="FFFFFF"/>
        </w:rPr>
        <w:t>Gunawan</w:t>
      </w:r>
      <w:proofErr w:type="spellEnd"/>
      <w:r w:rsidRPr="00F84D0D">
        <w:rPr>
          <w:rFonts w:ascii="Arial" w:hAnsi="Arial" w:cs="Arial"/>
          <w:color w:val="222222"/>
          <w:szCs w:val="24"/>
          <w:shd w:val="clear" w:color="auto" w:fill="FFFFFF"/>
        </w:rPr>
        <w:t xml:space="preserve">, E., </w:t>
      </w:r>
      <w:proofErr w:type="spellStart"/>
      <w:r w:rsidRPr="00F84D0D">
        <w:rPr>
          <w:rFonts w:ascii="Arial" w:hAnsi="Arial" w:cs="Arial"/>
          <w:color w:val="222222"/>
          <w:szCs w:val="24"/>
          <w:shd w:val="clear" w:color="auto" w:fill="FFFFFF"/>
        </w:rPr>
        <w:t>Pakpahan</w:t>
      </w:r>
      <w:proofErr w:type="spellEnd"/>
      <w:r w:rsidRPr="00F84D0D">
        <w:rPr>
          <w:rFonts w:ascii="Arial" w:hAnsi="Arial" w:cs="Arial"/>
          <w:color w:val="222222"/>
          <w:szCs w:val="24"/>
          <w:shd w:val="clear" w:color="auto" w:fill="FFFFFF"/>
        </w:rPr>
        <w:t xml:space="preserve">, L. and </w:t>
      </w:r>
      <w:proofErr w:type="spellStart"/>
      <w:r w:rsidRPr="00F84D0D">
        <w:rPr>
          <w:rFonts w:ascii="Arial" w:hAnsi="Arial" w:cs="Arial"/>
          <w:color w:val="222222"/>
          <w:szCs w:val="24"/>
          <w:shd w:val="clear" w:color="auto" w:fill="FFFFFF"/>
        </w:rPr>
        <w:t>Siregar</w:t>
      </w:r>
      <w:proofErr w:type="spellEnd"/>
      <w:r w:rsidRPr="00F84D0D">
        <w:rPr>
          <w:rFonts w:ascii="Arial" w:hAnsi="Arial" w:cs="Arial"/>
          <w:color w:val="222222"/>
          <w:szCs w:val="24"/>
          <w:shd w:val="clear" w:color="auto" w:fill="FFFFFF"/>
        </w:rPr>
        <w:t>, H. (2021) “The Impact of Solvency and Working Capital on Profitability”, </w:t>
      </w:r>
      <w:r w:rsidRPr="00F84D0D">
        <w:rPr>
          <w:rFonts w:ascii="Arial" w:hAnsi="Arial" w:cs="Arial"/>
          <w:i/>
          <w:iCs/>
          <w:color w:val="222222"/>
          <w:szCs w:val="24"/>
          <w:shd w:val="clear" w:color="auto" w:fill="FFFFFF"/>
        </w:rPr>
        <w:t>Journal of Industrial Engineering &amp; Management Research</w:t>
      </w:r>
      <w:r w:rsidRPr="00F84D0D">
        <w:rPr>
          <w:rFonts w:ascii="Arial" w:hAnsi="Arial" w:cs="Arial"/>
          <w:color w:val="222222"/>
          <w:szCs w:val="24"/>
          <w:shd w:val="clear" w:color="auto" w:fill="FFFFFF"/>
        </w:rPr>
        <w:t>, </w:t>
      </w:r>
      <w:r w:rsidRPr="00F84D0D">
        <w:rPr>
          <w:rFonts w:ascii="Arial" w:hAnsi="Arial" w:cs="Arial"/>
          <w:i/>
          <w:iCs/>
          <w:color w:val="222222"/>
          <w:szCs w:val="24"/>
          <w:shd w:val="clear" w:color="auto" w:fill="FFFFFF"/>
        </w:rPr>
        <w:t>2</w:t>
      </w:r>
      <w:r w:rsidRPr="00F84D0D">
        <w:rPr>
          <w:rFonts w:ascii="Arial" w:hAnsi="Arial" w:cs="Arial"/>
          <w:color w:val="222222"/>
          <w:szCs w:val="24"/>
          <w:shd w:val="clear" w:color="auto" w:fill="FFFFFF"/>
        </w:rPr>
        <w:t>(4), pp.15-38.</w:t>
      </w:r>
      <w:r w:rsidR="00BF57FF">
        <w:rPr>
          <w:rFonts w:ascii="Arial" w:hAnsi="Arial" w:cs="Arial"/>
          <w:color w:val="222222"/>
          <w:szCs w:val="24"/>
          <w:shd w:val="clear" w:color="auto" w:fill="FFFFFF"/>
        </w:rPr>
        <w:t xml:space="preserve"> Available at</w:t>
      </w:r>
      <w:r w:rsidRPr="00F84D0D">
        <w:rPr>
          <w:rFonts w:ascii="Arial" w:hAnsi="Arial" w:cs="Arial"/>
          <w:color w:val="222222"/>
          <w:szCs w:val="24"/>
          <w:shd w:val="clear" w:color="auto" w:fill="FFFFFF"/>
        </w:rPr>
        <w:t xml:space="preserve"> Doi: </w:t>
      </w:r>
      <w:hyperlink r:id="rId14" w:history="1">
        <w:r w:rsidR="00BF57FF" w:rsidRPr="00FD4C1B">
          <w:rPr>
            <w:rStyle w:val="Hyperlink"/>
            <w:rFonts w:ascii="Arial" w:hAnsi="Arial" w:cs="Arial"/>
            <w:szCs w:val="24"/>
            <w:shd w:val="clear" w:color="auto" w:fill="FFFFFF"/>
          </w:rPr>
          <w:t>https://doi.org/10.7777/jiemar.v2i2</w:t>
        </w:r>
      </w:hyperlink>
      <w:r w:rsidR="00BF57FF">
        <w:rPr>
          <w:rFonts w:ascii="Arial" w:hAnsi="Arial" w:cs="Arial"/>
          <w:color w:val="222222"/>
          <w:szCs w:val="24"/>
          <w:shd w:val="clear" w:color="auto" w:fill="FFFFFF"/>
        </w:rPr>
        <w:t xml:space="preserve">. </w:t>
      </w:r>
    </w:p>
    <w:p w14:paraId="7A9F0F17" w14:textId="77777777" w:rsidR="00050C83" w:rsidRDefault="00050C83">
      <w:pPr>
        <w:spacing w:before="0"/>
        <w:rPr>
          <w:rFonts w:ascii="Arial" w:eastAsia="Calibri" w:hAnsi="Arial" w:cs="Arial"/>
          <w:b/>
          <w:iCs/>
          <w:sz w:val="28"/>
          <w:szCs w:val="24"/>
          <w:lang w:val="en-US"/>
        </w:rPr>
      </w:pPr>
      <w:r>
        <w:br w:type="page"/>
      </w:r>
    </w:p>
    <w:p w14:paraId="4312EB2D" w14:textId="77777777" w:rsidR="00D652BD" w:rsidRPr="005E345D" w:rsidRDefault="00D652BD" w:rsidP="00D652BD">
      <w:pPr>
        <w:pStyle w:val="Heading1"/>
      </w:pPr>
      <w:bookmarkStart w:id="14" w:name="_Toc157504741"/>
      <w:r w:rsidRPr="005E345D">
        <w:lastRenderedPageBreak/>
        <w:t>Appendices</w:t>
      </w:r>
      <w:bookmarkEnd w:id="14"/>
    </w:p>
    <w:p w14:paraId="47D506EC" w14:textId="77777777" w:rsidR="00D652BD" w:rsidRPr="005E345D" w:rsidRDefault="00D652BD" w:rsidP="00690DCB">
      <w:pPr>
        <w:spacing w:before="0"/>
        <w:rPr>
          <w:rFonts w:ascii="Arial" w:hAnsi="Arial" w:cs="Arial"/>
          <w:b/>
          <w:bCs/>
        </w:rPr>
      </w:pPr>
      <w:r w:rsidRPr="005E345D">
        <w:rPr>
          <w:rFonts w:ascii="Arial" w:hAnsi="Arial" w:cs="Arial"/>
          <w:b/>
          <w:bCs/>
        </w:rPr>
        <w:t>Appendix 1</w:t>
      </w:r>
    </w:p>
    <w:p w14:paraId="527762F3" w14:textId="77777777" w:rsidR="00D652BD" w:rsidRPr="005E345D" w:rsidRDefault="00D652BD" w:rsidP="00690DCB">
      <w:pPr>
        <w:spacing w:before="0"/>
        <w:rPr>
          <w:rFonts w:ascii="Arial" w:hAnsi="Arial" w:cs="Arial"/>
        </w:rPr>
      </w:pPr>
      <w:r w:rsidRPr="005E345D">
        <w:rPr>
          <w:rFonts w:ascii="Arial" w:hAnsi="Arial" w:cs="Arial"/>
          <w:noProof/>
          <w:lang w:val="en-US"/>
        </w:rPr>
        <w:drawing>
          <wp:inline distT="0" distB="0" distL="0" distR="0" wp14:anchorId="076F3B29" wp14:editId="513D42F3">
            <wp:extent cx="4572000" cy="2743200"/>
            <wp:effectExtent l="0" t="0" r="19050" b="19050"/>
            <wp:docPr id="1821827374" name="Chart 1">
              <a:extLst xmlns:a="http://schemas.openxmlformats.org/drawingml/2006/main">
                <a:ext uri="{FF2B5EF4-FFF2-40B4-BE49-F238E27FC236}">
                  <a16:creationId xmlns:a16="http://schemas.microsoft.com/office/drawing/2014/main" id="{66E69CDA-C00F-5AB4-00FF-BE45BD6EDA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1BEE9A" w14:textId="77777777" w:rsidR="00D652BD" w:rsidRPr="005E345D" w:rsidRDefault="00D652BD" w:rsidP="00690DCB">
      <w:pPr>
        <w:spacing w:before="0"/>
        <w:rPr>
          <w:rFonts w:ascii="Arial" w:hAnsi="Arial" w:cs="Arial"/>
          <w:b/>
          <w:bCs/>
        </w:rPr>
      </w:pPr>
      <w:r w:rsidRPr="005E345D">
        <w:rPr>
          <w:rFonts w:ascii="Arial" w:hAnsi="Arial" w:cs="Arial"/>
          <w:b/>
          <w:bCs/>
        </w:rPr>
        <w:t>Appendix 2</w:t>
      </w:r>
    </w:p>
    <w:p w14:paraId="4F9D5A1E" w14:textId="77777777" w:rsidR="00D652BD" w:rsidRPr="005E345D" w:rsidRDefault="00D652BD" w:rsidP="00690DCB">
      <w:pPr>
        <w:spacing w:before="0"/>
        <w:rPr>
          <w:rFonts w:ascii="Arial" w:hAnsi="Arial" w:cs="Arial"/>
        </w:rPr>
      </w:pPr>
      <w:r w:rsidRPr="005E345D">
        <w:rPr>
          <w:rFonts w:ascii="Arial" w:hAnsi="Arial" w:cs="Arial"/>
          <w:noProof/>
          <w:lang w:val="en-US"/>
        </w:rPr>
        <w:drawing>
          <wp:inline distT="0" distB="0" distL="0" distR="0" wp14:anchorId="363E40D1" wp14:editId="0D4951EB">
            <wp:extent cx="4572000" cy="2743200"/>
            <wp:effectExtent l="0" t="0" r="0" b="0"/>
            <wp:docPr id="495772200" name="Chart 1">
              <a:extLst xmlns:a="http://schemas.openxmlformats.org/drawingml/2006/main">
                <a:ext uri="{FF2B5EF4-FFF2-40B4-BE49-F238E27FC236}">
                  <a16:creationId xmlns:a16="http://schemas.microsoft.com/office/drawing/2014/main" id="{3982D695-4122-CD69-ADAC-07B3228D53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97185F" w14:textId="77777777" w:rsidR="00D652BD" w:rsidRPr="005E345D" w:rsidRDefault="00D652BD" w:rsidP="00690DCB">
      <w:pPr>
        <w:spacing w:before="0"/>
        <w:rPr>
          <w:rFonts w:ascii="Arial" w:hAnsi="Arial" w:cs="Arial"/>
          <w:b/>
          <w:bCs/>
        </w:rPr>
      </w:pPr>
      <w:r w:rsidRPr="005E345D">
        <w:rPr>
          <w:rFonts w:ascii="Arial" w:hAnsi="Arial" w:cs="Arial"/>
          <w:b/>
          <w:bCs/>
        </w:rPr>
        <w:t>Appendix 3</w:t>
      </w:r>
    </w:p>
    <w:p w14:paraId="598EEECB" w14:textId="77777777" w:rsidR="00D652BD" w:rsidRPr="005E345D" w:rsidRDefault="00D652BD" w:rsidP="00690DCB">
      <w:pPr>
        <w:spacing w:before="0"/>
        <w:rPr>
          <w:rFonts w:ascii="Arial" w:hAnsi="Arial" w:cs="Arial"/>
        </w:rPr>
      </w:pPr>
      <w:r w:rsidRPr="005E345D">
        <w:rPr>
          <w:rFonts w:ascii="Arial" w:hAnsi="Arial" w:cs="Arial"/>
          <w:noProof/>
          <w:lang w:val="en-US"/>
        </w:rPr>
        <w:lastRenderedPageBreak/>
        <w:drawing>
          <wp:inline distT="0" distB="0" distL="0" distR="0" wp14:anchorId="50D85C7E" wp14:editId="1761297D">
            <wp:extent cx="4572000" cy="2743200"/>
            <wp:effectExtent l="0" t="0" r="0" b="0"/>
            <wp:docPr id="730189736" name="Chart 1">
              <a:extLst xmlns:a="http://schemas.openxmlformats.org/drawingml/2006/main">
                <a:ext uri="{FF2B5EF4-FFF2-40B4-BE49-F238E27FC236}">
                  <a16:creationId xmlns:a16="http://schemas.microsoft.com/office/drawing/2014/main" id="{EBA7A512-2E53-D852-A6E2-A132347AC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6BCC5E" w14:textId="77777777" w:rsidR="00D652BD" w:rsidRPr="005E345D" w:rsidRDefault="00D652BD" w:rsidP="00690DCB">
      <w:pPr>
        <w:spacing w:before="0"/>
        <w:rPr>
          <w:rFonts w:ascii="Arial" w:hAnsi="Arial" w:cs="Arial"/>
          <w:b/>
          <w:bCs/>
        </w:rPr>
      </w:pPr>
      <w:r w:rsidRPr="005E345D">
        <w:rPr>
          <w:rFonts w:ascii="Arial" w:hAnsi="Arial" w:cs="Arial"/>
          <w:b/>
          <w:bCs/>
        </w:rPr>
        <w:t>Appendix 4</w:t>
      </w:r>
    </w:p>
    <w:p w14:paraId="518C1E32" w14:textId="77777777" w:rsidR="00D652BD" w:rsidRPr="005E345D" w:rsidRDefault="00D652BD" w:rsidP="00690DCB">
      <w:pPr>
        <w:spacing w:before="0"/>
        <w:rPr>
          <w:rFonts w:ascii="Arial" w:hAnsi="Arial" w:cs="Arial"/>
        </w:rPr>
      </w:pPr>
      <w:r w:rsidRPr="005E345D">
        <w:rPr>
          <w:rFonts w:ascii="Arial" w:hAnsi="Arial" w:cs="Arial"/>
          <w:noProof/>
          <w:lang w:val="en-US"/>
        </w:rPr>
        <w:drawing>
          <wp:inline distT="0" distB="0" distL="0" distR="0" wp14:anchorId="0581607A" wp14:editId="4F5EE769">
            <wp:extent cx="4572000" cy="2743200"/>
            <wp:effectExtent l="0" t="0" r="0" b="0"/>
            <wp:docPr id="985776203" name="Chart 1">
              <a:extLst xmlns:a="http://schemas.openxmlformats.org/drawingml/2006/main">
                <a:ext uri="{FF2B5EF4-FFF2-40B4-BE49-F238E27FC236}">
                  <a16:creationId xmlns:a16="http://schemas.microsoft.com/office/drawing/2014/main" id="{203A3B2B-FDFC-433B-DE7B-A3FF78DCE7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sectPr w:rsidR="00D652BD" w:rsidRPr="005E345D">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DCB10" w14:textId="77777777" w:rsidR="00F162DF" w:rsidRDefault="00F162DF" w:rsidP="0012020A">
      <w:pPr>
        <w:spacing w:before="0" w:after="0" w:line="240" w:lineRule="auto"/>
      </w:pPr>
      <w:r>
        <w:separator/>
      </w:r>
    </w:p>
  </w:endnote>
  <w:endnote w:type="continuationSeparator" w:id="0">
    <w:p w14:paraId="34497579" w14:textId="77777777" w:rsidR="00F162DF" w:rsidRDefault="00F162DF" w:rsidP="0012020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815646"/>
      <w:docPartObj>
        <w:docPartGallery w:val="Page Numbers (Bottom of Page)"/>
        <w:docPartUnique/>
      </w:docPartObj>
    </w:sdtPr>
    <w:sdtEndPr>
      <w:rPr>
        <w:noProof/>
      </w:rPr>
    </w:sdtEndPr>
    <w:sdtContent>
      <w:p w14:paraId="0179B99E" w14:textId="77777777" w:rsidR="0012020A" w:rsidRDefault="0012020A">
        <w:pPr>
          <w:pStyle w:val="Footer"/>
          <w:jc w:val="center"/>
        </w:pPr>
        <w:r>
          <w:fldChar w:fldCharType="begin"/>
        </w:r>
        <w:r>
          <w:instrText xml:space="preserve"> PAGE   \* MERGEFORMAT </w:instrText>
        </w:r>
        <w:r>
          <w:fldChar w:fldCharType="separate"/>
        </w:r>
        <w:r w:rsidR="005A3E20">
          <w:rPr>
            <w:noProof/>
          </w:rPr>
          <w:t>1</w:t>
        </w:r>
        <w:r>
          <w:rPr>
            <w:noProof/>
          </w:rPr>
          <w:fldChar w:fldCharType="end"/>
        </w:r>
      </w:p>
    </w:sdtContent>
  </w:sdt>
  <w:p w14:paraId="35D2A503" w14:textId="77777777" w:rsidR="0012020A" w:rsidRDefault="00120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EF9BF" w14:textId="77777777" w:rsidR="00F162DF" w:rsidRDefault="00F162DF" w:rsidP="0012020A">
      <w:pPr>
        <w:spacing w:before="0" w:after="0" w:line="240" w:lineRule="auto"/>
      </w:pPr>
      <w:r>
        <w:separator/>
      </w:r>
    </w:p>
  </w:footnote>
  <w:footnote w:type="continuationSeparator" w:id="0">
    <w:p w14:paraId="596BE939" w14:textId="77777777" w:rsidR="00F162DF" w:rsidRDefault="00F162DF" w:rsidP="0012020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9" type="#_x0000_t75" style="width:11pt;height:11pt" o:bullet="t">
        <v:imagedata r:id="rId1" o:title="clip_image001"/>
      </v:shape>
    </w:pict>
  </w:numPicBullet>
  <w:abstractNum w:abstractNumId="0" w15:restartNumberingAfterBreak="0">
    <w:nsid w:val="13957B6F"/>
    <w:multiLevelType w:val="hybridMultilevel"/>
    <w:tmpl w:val="884EA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527E8"/>
    <w:multiLevelType w:val="hybridMultilevel"/>
    <w:tmpl w:val="5A8C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C050A"/>
    <w:multiLevelType w:val="hybridMultilevel"/>
    <w:tmpl w:val="FB267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44062"/>
    <w:multiLevelType w:val="hybridMultilevel"/>
    <w:tmpl w:val="3DFEC3A4"/>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1F80BFD"/>
    <w:multiLevelType w:val="hybridMultilevel"/>
    <w:tmpl w:val="44025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3C3B43"/>
    <w:multiLevelType w:val="hybridMultilevel"/>
    <w:tmpl w:val="6414B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AE3F99"/>
    <w:multiLevelType w:val="hybridMultilevel"/>
    <w:tmpl w:val="0222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AD4654"/>
    <w:multiLevelType w:val="hybridMultilevel"/>
    <w:tmpl w:val="A6DE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52AD4"/>
    <w:multiLevelType w:val="hybridMultilevel"/>
    <w:tmpl w:val="77428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F33BC6"/>
    <w:multiLevelType w:val="hybridMultilevel"/>
    <w:tmpl w:val="C2105D62"/>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7C383BBE"/>
    <w:multiLevelType w:val="hybridMultilevel"/>
    <w:tmpl w:val="4EA43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71129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0623682">
    <w:abstractNumId w:val="9"/>
  </w:num>
  <w:num w:numId="3" w16cid:durableId="1095248142">
    <w:abstractNumId w:val="1"/>
  </w:num>
  <w:num w:numId="4" w16cid:durableId="1741096090">
    <w:abstractNumId w:val="5"/>
  </w:num>
  <w:num w:numId="5" w16cid:durableId="1552573009">
    <w:abstractNumId w:val="6"/>
  </w:num>
  <w:num w:numId="6" w16cid:durableId="1053700877">
    <w:abstractNumId w:val="4"/>
  </w:num>
  <w:num w:numId="7" w16cid:durableId="1114446832">
    <w:abstractNumId w:val="10"/>
  </w:num>
  <w:num w:numId="8" w16cid:durableId="892696905">
    <w:abstractNumId w:val="8"/>
  </w:num>
  <w:num w:numId="9" w16cid:durableId="1682931251">
    <w:abstractNumId w:val="2"/>
  </w:num>
  <w:num w:numId="10" w16cid:durableId="1080061054">
    <w:abstractNumId w:val="7"/>
  </w:num>
  <w:num w:numId="11" w16cid:durableId="1420757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762"/>
    <w:rsid w:val="00031DDD"/>
    <w:rsid w:val="00033852"/>
    <w:rsid w:val="00047DD3"/>
    <w:rsid w:val="00050C83"/>
    <w:rsid w:val="00062BD0"/>
    <w:rsid w:val="00073C43"/>
    <w:rsid w:val="00075C0B"/>
    <w:rsid w:val="00076035"/>
    <w:rsid w:val="000818A6"/>
    <w:rsid w:val="000B2F54"/>
    <w:rsid w:val="000B50AA"/>
    <w:rsid w:val="000C5E8D"/>
    <w:rsid w:val="000D2731"/>
    <w:rsid w:val="000D2EC6"/>
    <w:rsid w:val="000D48C0"/>
    <w:rsid w:val="000E1294"/>
    <w:rsid w:val="000E1D2C"/>
    <w:rsid w:val="000F3012"/>
    <w:rsid w:val="00102407"/>
    <w:rsid w:val="00110D49"/>
    <w:rsid w:val="00111F5D"/>
    <w:rsid w:val="0012020A"/>
    <w:rsid w:val="001539DC"/>
    <w:rsid w:val="0015487D"/>
    <w:rsid w:val="00191E1B"/>
    <w:rsid w:val="001938B6"/>
    <w:rsid w:val="001A20C6"/>
    <w:rsid w:val="001B1D59"/>
    <w:rsid w:val="001B389C"/>
    <w:rsid w:val="001D4CE2"/>
    <w:rsid w:val="001D7899"/>
    <w:rsid w:val="001F072A"/>
    <w:rsid w:val="0020339F"/>
    <w:rsid w:val="0020769C"/>
    <w:rsid w:val="00257791"/>
    <w:rsid w:val="002579F5"/>
    <w:rsid w:val="002600D7"/>
    <w:rsid w:val="00261202"/>
    <w:rsid w:val="00271240"/>
    <w:rsid w:val="00275F57"/>
    <w:rsid w:val="002833E9"/>
    <w:rsid w:val="00284479"/>
    <w:rsid w:val="00291A14"/>
    <w:rsid w:val="00293F78"/>
    <w:rsid w:val="002C095F"/>
    <w:rsid w:val="002D6633"/>
    <w:rsid w:val="002E42FA"/>
    <w:rsid w:val="002E4FAF"/>
    <w:rsid w:val="002E7A91"/>
    <w:rsid w:val="002F14C6"/>
    <w:rsid w:val="002F58DA"/>
    <w:rsid w:val="002F5AAA"/>
    <w:rsid w:val="00306809"/>
    <w:rsid w:val="00322C51"/>
    <w:rsid w:val="00323739"/>
    <w:rsid w:val="00327AB2"/>
    <w:rsid w:val="00331A9E"/>
    <w:rsid w:val="00332F13"/>
    <w:rsid w:val="00335562"/>
    <w:rsid w:val="003478AD"/>
    <w:rsid w:val="00367C82"/>
    <w:rsid w:val="00371C57"/>
    <w:rsid w:val="00385A97"/>
    <w:rsid w:val="00387811"/>
    <w:rsid w:val="003A03EF"/>
    <w:rsid w:val="003A4E45"/>
    <w:rsid w:val="003B084B"/>
    <w:rsid w:val="003B7A39"/>
    <w:rsid w:val="003D285A"/>
    <w:rsid w:val="00406EC7"/>
    <w:rsid w:val="00417F73"/>
    <w:rsid w:val="00421CBF"/>
    <w:rsid w:val="00436979"/>
    <w:rsid w:val="00442B21"/>
    <w:rsid w:val="004515FB"/>
    <w:rsid w:val="0045392E"/>
    <w:rsid w:val="00463191"/>
    <w:rsid w:val="004752BE"/>
    <w:rsid w:val="004770FA"/>
    <w:rsid w:val="00484C99"/>
    <w:rsid w:val="00493313"/>
    <w:rsid w:val="004964EB"/>
    <w:rsid w:val="004A2D18"/>
    <w:rsid w:val="004B2A40"/>
    <w:rsid w:val="004B5C6B"/>
    <w:rsid w:val="004B5FA8"/>
    <w:rsid w:val="004D06E7"/>
    <w:rsid w:val="004D72FE"/>
    <w:rsid w:val="004F7087"/>
    <w:rsid w:val="00514DD7"/>
    <w:rsid w:val="00533F68"/>
    <w:rsid w:val="00545F75"/>
    <w:rsid w:val="00546146"/>
    <w:rsid w:val="0059056B"/>
    <w:rsid w:val="00591982"/>
    <w:rsid w:val="005A18B5"/>
    <w:rsid w:val="005A3E20"/>
    <w:rsid w:val="005B329E"/>
    <w:rsid w:val="005E345D"/>
    <w:rsid w:val="005E3C4B"/>
    <w:rsid w:val="00600658"/>
    <w:rsid w:val="00602B44"/>
    <w:rsid w:val="00606AB8"/>
    <w:rsid w:val="0061139A"/>
    <w:rsid w:val="00614671"/>
    <w:rsid w:val="00617F16"/>
    <w:rsid w:val="00631EDD"/>
    <w:rsid w:val="00642761"/>
    <w:rsid w:val="0064378E"/>
    <w:rsid w:val="00645E70"/>
    <w:rsid w:val="006479FE"/>
    <w:rsid w:val="00651B35"/>
    <w:rsid w:val="0066123D"/>
    <w:rsid w:val="00680B34"/>
    <w:rsid w:val="00681218"/>
    <w:rsid w:val="00690DCB"/>
    <w:rsid w:val="00695B03"/>
    <w:rsid w:val="00695CC8"/>
    <w:rsid w:val="006A0145"/>
    <w:rsid w:val="006A2871"/>
    <w:rsid w:val="006C6926"/>
    <w:rsid w:val="006D2C57"/>
    <w:rsid w:val="006F0FDD"/>
    <w:rsid w:val="006F5022"/>
    <w:rsid w:val="00710EA5"/>
    <w:rsid w:val="00716040"/>
    <w:rsid w:val="007209DE"/>
    <w:rsid w:val="0072314B"/>
    <w:rsid w:val="00723E8C"/>
    <w:rsid w:val="00744482"/>
    <w:rsid w:val="00754068"/>
    <w:rsid w:val="007657D5"/>
    <w:rsid w:val="00771C64"/>
    <w:rsid w:val="007854E1"/>
    <w:rsid w:val="00786377"/>
    <w:rsid w:val="007B1AB6"/>
    <w:rsid w:val="007B3762"/>
    <w:rsid w:val="007B7ED7"/>
    <w:rsid w:val="007C7D46"/>
    <w:rsid w:val="00801AD1"/>
    <w:rsid w:val="00801B66"/>
    <w:rsid w:val="00814DE0"/>
    <w:rsid w:val="00826298"/>
    <w:rsid w:val="00842C42"/>
    <w:rsid w:val="00852A18"/>
    <w:rsid w:val="00855BE5"/>
    <w:rsid w:val="0086286D"/>
    <w:rsid w:val="00876CAF"/>
    <w:rsid w:val="008801C5"/>
    <w:rsid w:val="008840FA"/>
    <w:rsid w:val="008C2617"/>
    <w:rsid w:val="008C46A5"/>
    <w:rsid w:val="008C6895"/>
    <w:rsid w:val="008D3E56"/>
    <w:rsid w:val="008D797D"/>
    <w:rsid w:val="008F5B18"/>
    <w:rsid w:val="008F711F"/>
    <w:rsid w:val="008F7E2E"/>
    <w:rsid w:val="00902BDE"/>
    <w:rsid w:val="00903AAB"/>
    <w:rsid w:val="00907212"/>
    <w:rsid w:val="009326B2"/>
    <w:rsid w:val="00964177"/>
    <w:rsid w:val="00980AE6"/>
    <w:rsid w:val="00983CB9"/>
    <w:rsid w:val="00984061"/>
    <w:rsid w:val="00986C36"/>
    <w:rsid w:val="00990064"/>
    <w:rsid w:val="00991862"/>
    <w:rsid w:val="009E1C88"/>
    <w:rsid w:val="009E654D"/>
    <w:rsid w:val="009F3077"/>
    <w:rsid w:val="00A00437"/>
    <w:rsid w:val="00A0079E"/>
    <w:rsid w:val="00A03A1C"/>
    <w:rsid w:val="00A0417B"/>
    <w:rsid w:val="00A132A7"/>
    <w:rsid w:val="00A17953"/>
    <w:rsid w:val="00A22F2F"/>
    <w:rsid w:val="00A31F2B"/>
    <w:rsid w:val="00A369CD"/>
    <w:rsid w:val="00A45C21"/>
    <w:rsid w:val="00A50F87"/>
    <w:rsid w:val="00A84929"/>
    <w:rsid w:val="00A87BED"/>
    <w:rsid w:val="00AA06F6"/>
    <w:rsid w:val="00AA46B0"/>
    <w:rsid w:val="00AA5F7C"/>
    <w:rsid w:val="00AA6C8B"/>
    <w:rsid w:val="00AB1520"/>
    <w:rsid w:val="00AC00FE"/>
    <w:rsid w:val="00AD02B4"/>
    <w:rsid w:val="00AD600B"/>
    <w:rsid w:val="00AF293B"/>
    <w:rsid w:val="00B05F85"/>
    <w:rsid w:val="00B25855"/>
    <w:rsid w:val="00B31BD2"/>
    <w:rsid w:val="00B31F06"/>
    <w:rsid w:val="00B3784C"/>
    <w:rsid w:val="00B433CD"/>
    <w:rsid w:val="00B528FF"/>
    <w:rsid w:val="00B71F6D"/>
    <w:rsid w:val="00B8276D"/>
    <w:rsid w:val="00B842A8"/>
    <w:rsid w:val="00BA104A"/>
    <w:rsid w:val="00BA21EA"/>
    <w:rsid w:val="00BD37F4"/>
    <w:rsid w:val="00BD5944"/>
    <w:rsid w:val="00BF57FF"/>
    <w:rsid w:val="00C05482"/>
    <w:rsid w:val="00C12E11"/>
    <w:rsid w:val="00C13363"/>
    <w:rsid w:val="00C15B1D"/>
    <w:rsid w:val="00C416A3"/>
    <w:rsid w:val="00C53F2E"/>
    <w:rsid w:val="00C542E8"/>
    <w:rsid w:val="00C55702"/>
    <w:rsid w:val="00C62C2E"/>
    <w:rsid w:val="00C667D5"/>
    <w:rsid w:val="00CA7815"/>
    <w:rsid w:val="00CB6AAC"/>
    <w:rsid w:val="00CC0249"/>
    <w:rsid w:val="00CE03CF"/>
    <w:rsid w:val="00CE52A9"/>
    <w:rsid w:val="00CF3A9C"/>
    <w:rsid w:val="00CF5C1C"/>
    <w:rsid w:val="00D1671A"/>
    <w:rsid w:val="00D244FC"/>
    <w:rsid w:val="00D37C37"/>
    <w:rsid w:val="00D652BD"/>
    <w:rsid w:val="00D659E1"/>
    <w:rsid w:val="00D80FBF"/>
    <w:rsid w:val="00DA36BB"/>
    <w:rsid w:val="00DA4993"/>
    <w:rsid w:val="00DB63FB"/>
    <w:rsid w:val="00DB74B2"/>
    <w:rsid w:val="00DC2DCD"/>
    <w:rsid w:val="00DD09C1"/>
    <w:rsid w:val="00DF0A96"/>
    <w:rsid w:val="00E02C08"/>
    <w:rsid w:val="00E06FE7"/>
    <w:rsid w:val="00E11311"/>
    <w:rsid w:val="00E22DA4"/>
    <w:rsid w:val="00E320BC"/>
    <w:rsid w:val="00E47EB8"/>
    <w:rsid w:val="00E5022D"/>
    <w:rsid w:val="00E72B93"/>
    <w:rsid w:val="00E77F11"/>
    <w:rsid w:val="00E8231C"/>
    <w:rsid w:val="00EB0F34"/>
    <w:rsid w:val="00EC1C9B"/>
    <w:rsid w:val="00ED2D57"/>
    <w:rsid w:val="00ED363A"/>
    <w:rsid w:val="00ED4FF2"/>
    <w:rsid w:val="00EE06E4"/>
    <w:rsid w:val="00EE405A"/>
    <w:rsid w:val="00EF1C22"/>
    <w:rsid w:val="00EF728C"/>
    <w:rsid w:val="00F00C78"/>
    <w:rsid w:val="00F07F73"/>
    <w:rsid w:val="00F162DF"/>
    <w:rsid w:val="00F20D07"/>
    <w:rsid w:val="00F2733A"/>
    <w:rsid w:val="00F27504"/>
    <w:rsid w:val="00F30EB0"/>
    <w:rsid w:val="00F419FA"/>
    <w:rsid w:val="00F52229"/>
    <w:rsid w:val="00F63A08"/>
    <w:rsid w:val="00F84D0D"/>
    <w:rsid w:val="00F9047F"/>
    <w:rsid w:val="00F96478"/>
    <w:rsid w:val="00F978B6"/>
    <w:rsid w:val="00FA0A95"/>
    <w:rsid w:val="00FA3758"/>
    <w:rsid w:val="00FB5083"/>
    <w:rsid w:val="00FB51A1"/>
    <w:rsid w:val="00FB7E54"/>
    <w:rsid w:val="00FC69B4"/>
    <w:rsid w:val="00FD1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CEB205"/>
  <w15:docId w15:val="{1E741A90-FFB1-1E4A-84EB-96F7B02A7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871"/>
    <w:pPr>
      <w:spacing w:before="120"/>
    </w:pPr>
    <w:rPr>
      <w:rFonts w:ascii="Times New Roman" w:hAnsi="Times New Roman"/>
      <w:sz w:val="24"/>
      <w:lang w:val="en-GB"/>
    </w:rPr>
  </w:style>
  <w:style w:type="paragraph" w:styleId="Heading1">
    <w:name w:val="heading 1"/>
    <w:basedOn w:val="Heading2"/>
    <w:next w:val="Normal"/>
    <w:link w:val="Heading1Char"/>
    <w:autoRedefine/>
    <w:uiPriority w:val="9"/>
    <w:qFormat/>
    <w:rsid w:val="00EE06E4"/>
    <w:pPr>
      <w:keepNext w:val="0"/>
      <w:keepLines w:val="0"/>
      <w:spacing w:before="120" w:after="120" w:line="360" w:lineRule="auto"/>
      <w:jc w:val="both"/>
      <w:outlineLvl w:val="0"/>
    </w:pPr>
    <w:rPr>
      <w:rFonts w:ascii="Arial" w:eastAsia="Calibri" w:hAnsi="Arial" w:cs="Arial"/>
      <w:iCs/>
      <w:sz w:val="28"/>
      <w:szCs w:val="24"/>
      <w:u w:val="none"/>
      <w:lang w:val="en-US"/>
    </w:rPr>
  </w:style>
  <w:style w:type="paragraph" w:styleId="Heading2">
    <w:name w:val="heading 2"/>
    <w:basedOn w:val="Normal"/>
    <w:next w:val="Normal"/>
    <w:link w:val="Heading2Char"/>
    <w:uiPriority w:val="9"/>
    <w:unhideWhenUsed/>
    <w:qFormat/>
    <w:rsid w:val="002C095F"/>
    <w:pPr>
      <w:keepNext/>
      <w:keepLines/>
      <w:spacing w:before="40" w:after="0" w:line="259" w:lineRule="auto"/>
      <w:jc w:val="left"/>
      <w:outlineLvl w:val="1"/>
    </w:pPr>
    <w:rPr>
      <w:rFonts w:eastAsiaTheme="majorEastAsia" w:cstheme="majorBidi"/>
      <w:b/>
      <w:szCs w:val="26"/>
      <w:u w:val="single"/>
    </w:rPr>
  </w:style>
  <w:style w:type="paragraph" w:styleId="Heading3">
    <w:name w:val="heading 3"/>
    <w:basedOn w:val="Normal"/>
    <w:next w:val="Normal"/>
    <w:link w:val="Heading3Char"/>
    <w:uiPriority w:val="9"/>
    <w:unhideWhenUsed/>
    <w:qFormat/>
    <w:rsid w:val="00F30EB0"/>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095F"/>
    <w:rPr>
      <w:rFonts w:ascii="Times New Roman" w:eastAsiaTheme="majorEastAsia" w:hAnsi="Times New Roman" w:cstheme="majorBidi"/>
      <w:b/>
      <w:sz w:val="24"/>
      <w:szCs w:val="26"/>
      <w:u w:val="single"/>
    </w:rPr>
  </w:style>
  <w:style w:type="character" w:customStyle="1" w:styleId="Heading1Char">
    <w:name w:val="Heading 1 Char"/>
    <w:basedOn w:val="DefaultParagraphFont"/>
    <w:link w:val="Heading1"/>
    <w:uiPriority w:val="9"/>
    <w:rsid w:val="00EE06E4"/>
    <w:rPr>
      <w:rFonts w:ascii="Arial" w:eastAsia="Calibri" w:hAnsi="Arial" w:cs="Arial"/>
      <w:b/>
      <w:iCs/>
      <w:sz w:val="28"/>
      <w:szCs w:val="24"/>
    </w:rPr>
  </w:style>
  <w:style w:type="character" w:customStyle="1" w:styleId="Heading3Char">
    <w:name w:val="Heading 3 Char"/>
    <w:basedOn w:val="DefaultParagraphFont"/>
    <w:link w:val="Heading3"/>
    <w:uiPriority w:val="9"/>
    <w:rsid w:val="00F30EB0"/>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876CAF"/>
    <w:pPr>
      <w:spacing w:before="0" w:after="0" w:line="240" w:lineRule="auto"/>
      <w:contextualSpacing/>
      <w:jc w:val="center"/>
    </w:pPr>
    <w:rPr>
      <w:rFonts w:eastAsiaTheme="majorEastAsia" w:cstheme="majorBidi"/>
      <w:b/>
      <w:spacing w:val="-10"/>
      <w:kern w:val="28"/>
      <w:sz w:val="72"/>
      <w:szCs w:val="56"/>
      <w:u w:val="single"/>
    </w:rPr>
  </w:style>
  <w:style w:type="character" w:customStyle="1" w:styleId="TitleChar">
    <w:name w:val="Title Char"/>
    <w:basedOn w:val="DefaultParagraphFont"/>
    <w:link w:val="Title"/>
    <w:uiPriority w:val="10"/>
    <w:rsid w:val="00876CAF"/>
    <w:rPr>
      <w:rFonts w:ascii="Times New Roman" w:eastAsiaTheme="majorEastAsia" w:hAnsi="Times New Roman" w:cstheme="majorBidi"/>
      <w:b/>
      <w:spacing w:val="-10"/>
      <w:kern w:val="28"/>
      <w:sz w:val="72"/>
      <w:szCs w:val="56"/>
      <w:u w:val="single"/>
    </w:rPr>
  </w:style>
  <w:style w:type="paragraph" w:styleId="ListParagraph">
    <w:name w:val="List Paragraph"/>
    <w:basedOn w:val="Normal"/>
    <w:uiPriority w:val="34"/>
    <w:qFormat/>
    <w:rsid w:val="007B3762"/>
    <w:pPr>
      <w:spacing w:before="0"/>
      <w:ind w:left="720"/>
      <w:contextualSpacing/>
    </w:pPr>
    <w:rPr>
      <w:rFonts w:asciiTheme="minorHAnsi" w:hAnsiTheme="minorHAnsi"/>
      <w:sz w:val="22"/>
      <w:lang w:val="en-US"/>
    </w:rPr>
  </w:style>
  <w:style w:type="paragraph" w:styleId="Caption">
    <w:name w:val="caption"/>
    <w:basedOn w:val="Normal"/>
    <w:next w:val="Normal"/>
    <w:uiPriority w:val="35"/>
    <w:unhideWhenUsed/>
    <w:qFormat/>
    <w:rsid w:val="0064378E"/>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E06E4"/>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E06E4"/>
    <w:pPr>
      <w:spacing w:after="100"/>
    </w:pPr>
  </w:style>
  <w:style w:type="character" w:styleId="Hyperlink">
    <w:name w:val="Hyperlink"/>
    <w:basedOn w:val="DefaultParagraphFont"/>
    <w:uiPriority w:val="99"/>
    <w:unhideWhenUsed/>
    <w:rsid w:val="00EE06E4"/>
    <w:rPr>
      <w:color w:val="0563C1" w:themeColor="hyperlink"/>
      <w:u w:val="single"/>
    </w:rPr>
  </w:style>
  <w:style w:type="character" w:styleId="FollowedHyperlink">
    <w:name w:val="FollowedHyperlink"/>
    <w:basedOn w:val="DefaultParagraphFont"/>
    <w:uiPriority w:val="99"/>
    <w:semiHidden/>
    <w:unhideWhenUsed/>
    <w:rsid w:val="00C667D5"/>
    <w:rPr>
      <w:color w:val="954F72" w:themeColor="followedHyperlink"/>
      <w:u w:val="single"/>
    </w:rPr>
  </w:style>
  <w:style w:type="paragraph" w:styleId="Header">
    <w:name w:val="header"/>
    <w:basedOn w:val="Normal"/>
    <w:link w:val="HeaderChar"/>
    <w:uiPriority w:val="99"/>
    <w:unhideWhenUsed/>
    <w:rsid w:val="0012020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020A"/>
    <w:rPr>
      <w:rFonts w:ascii="Times New Roman" w:hAnsi="Times New Roman"/>
      <w:sz w:val="24"/>
      <w:lang w:val="en-GB"/>
    </w:rPr>
  </w:style>
  <w:style w:type="paragraph" w:styleId="Footer">
    <w:name w:val="footer"/>
    <w:basedOn w:val="Normal"/>
    <w:link w:val="FooterChar"/>
    <w:uiPriority w:val="99"/>
    <w:unhideWhenUsed/>
    <w:rsid w:val="0012020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020A"/>
    <w:rPr>
      <w:rFonts w:ascii="Times New Roman" w:hAnsi="Times New Roman"/>
      <w:sz w:val="24"/>
      <w:lang w:val="en-GB"/>
    </w:rPr>
  </w:style>
  <w:style w:type="paragraph" w:styleId="BalloonText">
    <w:name w:val="Balloon Text"/>
    <w:basedOn w:val="Normal"/>
    <w:link w:val="BalloonTextChar"/>
    <w:uiPriority w:val="99"/>
    <w:semiHidden/>
    <w:unhideWhenUsed/>
    <w:rsid w:val="000D273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731"/>
    <w:rPr>
      <w:rFonts w:ascii="Tahoma" w:hAnsi="Tahoma" w:cs="Tahoma"/>
      <w:sz w:val="16"/>
      <w:szCs w:val="16"/>
      <w:lang w:val="en-GB"/>
    </w:rPr>
  </w:style>
  <w:style w:type="paragraph" w:styleId="TOC2">
    <w:name w:val="toc 2"/>
    <w:basedOn w:val="Normal"/>
    <w:next w:val="Normal"/>
    <w:autoRedefine/>
    <w:uiPriority w:val="39"/>
    <w:unhideWhenUsed/>
    <w:rsid w:val="000D2731"/>
    <w:pPr>
      <w:spacing w:after="100"/>
      <w:ind w:left="240"/>
    </w:pPr>
  </w:style>
  <w:style w:type="character" w:styleId="UnresolvedMention">
    <w:name w:val="Unresolved Mention"/>
    <w:basedOn w:val="DefaultParagraphFont"/>
    <w:uiPriority w:val="99"/>
    <w:semiHidden/>
    <w:unhideWhenUsed/>
    <w:rsid w:val="008F5B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849">
      <w:bodyDiv w:val="1"/>
      <w:marLeft w:val="0"/>
      <w:marRight w:val="0"/>
      <w:marTop w:val="0"/>
      <w:marBottom w:val="0"/>
      <w:divBdr>
        <w:top w:val="none" w:sz="0" w:space="0" w:color="auto"/>
        <w:left w:val="none" w:sz="0" w:space="0" w:color="auto"/>
        <w:bottom w:val="none" w:sz="0" w:space="0" w:color="auto"/>
        <w:right w:val="none" w:sz="0" w:space="0" w:color="auto"/>
      </w:divBdr>
    </w:div>
    <w:div w:id="607129633">
      <w:bodyDiv w:val="1"/>
      <w:marLeft w:val="0"/>
      <w:marRight w:val="0"/>
      <w:marTop w:val="0"/>
      <w:marBottom w:val="0"/>
      <w:divBdr>
        <w:top w:val="none" w:sz="0" w:space="0" w:color="auto"/>
        <w:left w:val="none" w:sz="0" w:space="0" w:color="auto"/>
        <w:bottom w:val="none" w:sz="0" w:space="0" w:color="auto"/>
        <w:right w:val="none" w:sz="0" w:space="0" w:color="auto"/>
      </w:divBdr>
    </w:div>
    <w:div w:id="751194812">
      <w:bodyDiv w:val="1"/>
      <w:marLeft w:val="0"/>
      <w:marRight w:val="0"/>
      <w:marTop w:val="0"/>
      <w:marBottom w:val="0"/>
      <w:divBdr>
        <w:top w:val="none" w:sz="0" w:space="0" w:color="auto"/>
        <w:left w:val="none" w:sz="0" w:space="0" w:color="auto"/>
        <w:bottom w:val="none" w:sz="0" w:space="0" w:color="auto"/>
        <w:right w:val="none" w:sz="0" w:space="0" w:color="auto"/>
      </w:divBdr>
    </w:div>
    <w:div w:id="888032025">
      <w:bodyDiv w:val="1"/>
      <w:marLeft w:val="0"/>
      <w:marRight w:val="0"/>
      <w:marTop w:val="0"/>
      <w:marBottom w:val="0"/>
      <w:divBdr>
        <w:top w:val="none" w:sz="0" w:space="0" w:color="auto"/>
        <w:left w:val="none" w:sz="0" w:space="0" w:color="auto"/>
        <w:bottom w:val="none" w:sz="0" w:space="0" w:color="auto"/>
        <w:right w:val="none" w:sz="0" w:space="0" w:color="auto"/>
      </w:divBdr>
    </w:div>
    <w:div w:id="1063872139">
      <w:bodyDiv w:val="1"/>
      <w:marLeft w:val="0"/>
      <w:marRight w:val="0"/>
      <w:marTop w:val="0"/>
      <w:marBottom w:val="0"/>
      <w:divBdr>
        <w:top w:val="none" w:sz="0" w:space="0" w:color="auto"/>
        <w:left w:val="none" w:sz="0" w:space="0" w:color="auto"/>
        <w:bottom w:val="none" w:sz="0" w:space="0" w:color="auto"/>
        <w:right w:val="none" w:sz="0" w:space="0" w:color="auto"/>
      </w:divBdr>
    </w:div>
    <w:div w:id="1208909278">
      <w:bodyDiv w:val="1"/>
      <w:marLeft w:val="0"/>
      <w:marRight w:val="0"/>
      <w:marTop w:val="0"/>
      <w:marBottom w:val="0"/>
      <w:divBdr>
        <w:top w:val="none" w:sz="0" w:space="0" w:color="auto"/>
        <w:left w:val="none" w:sz="0" w:space="0" w:color="auto"/>
        <w:bottom w:val="none" w:sz="0" w:space="0" w:color="auto"/>
        <w:right w:val="none" w:sz="0" w:space="0" w:color="auto"/>
      </w:divBdr>
    </w:div>
    <w:div w:id="1266957795">
      <w:bodyDiv w:val="1"/>
      <w:marLeft w:val="0"/>
      <w:marRight w:val="0"/>
      <w:marTop w:val="0"/>
      <w:marBottom w:val="0"/>
      <w:divBdr>
        <w:top w:val="none" w:sz="0" w:space="0" w:color="auto"/>
        <w:left w:val="none" w:sz="0" w:space="0" w:color="auto"/>
        <w:bottom w:val="none" w:sz="0" w:space="0" w:color="auto"/>
        <w:right w:val="none" w:sz="0" w:space="0" w:color="auto"/>
      </w:divBdr>
    </w:div>
    <w:div w:id="204644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AJEB-06-2020-0014" TargetMode="External"/><Relationship Id="rId13" Type="http://schemas.openxmlformats.org/officeDocument/2006/relationships/hyperlink" Target="https://doi.org/10.14738/assrj.97.12536" TargetMode="External"/><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ijhm.2020.102664" TargetMode="External"/><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businessindustryandtrade/business/activitysizeandlocation/articles/coronavirusanditsimpactonukhospitality/january2020tojune2021" TargetMode="Externa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hyperlink" Target="https://doi.org/10.32479/ijefi.859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isneramper.com/insights/coronavirus/distressed-hotel-owners-strategies-1122/" TargetMode="External"/><Relationship Id="rId14" Type="http://schemas.openxmlformats.org/officeDocument/2006/relationships/hyperlink" Target="https://doi.org/10.7777/jiemar.v2i2"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file:///C:\Users\Ekta\Documents\Zucol\FINANCIAL%20MANAGEMENT%20FOR%20THE%20HOTEL%20INDUSTRY_KLHOPNCNJM\BMIH5007_FINANCIAL_MANAGEMENT_FOR_THE_HOTEL_INDUSTRY%20Assignment%202_KLHOPNCNJM.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Ekta\Documents\Zucol\FINANCIAL%20MANAGEMENT%20FOR%20THE%20HOTEL%20INDUSTRY_KLHOPNCNJM\BMIH5007_FINANCIAL_MANAGEMENT_FOR_THE_HOTEL_INDUSTRY%20Assignment%202_KLHOPNCNJM.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Ekta\Documents\Zucol\FINANCIAL%20MANAGEMENT%20FOR%20THE%20HOTEL%20INDUSTRY_KLHOPNCNJM\BMIH5007_FINANCIAL_MANAGEMENT_FOR_THE_HOTEL_INDUSTRY%20Assignment%202_KLHOPNCNJM.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Ekta\Documents\Zucol\FINANCIAL%20MANAGEMENT%20FOR%20THE%20HOTEL%20INDUSTRY_KLHOPNCNJM\BMIH5007_FINANCIAL_MANAGEMENT_FOR_THE_HOTEL_INDUSTRY%20Assignment%202_KLHOPNCNJ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a:t>
            </a:r>
            <a:r>
              <a:rPr lang="en-GB" baseline="0"/>
              <a:t> Ratio (Current Ratio)</a:t>
            </a:r>
            <a:endParaRPr lang="en-GB"/>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Ratios!$B$2:$D$2</c:f>
              <c:strCache>
                <c:ptCount val="3"/>
                <c:pt idx="0">
                  <c:v>2021 (£)</c:v>
                </c:pt>
                <c:pt idx="1">
                  <c:v>2022 (£)</c:v>
                </c:pt>
                <c:pt idx="2">
                  <c:v>2023 (£)</c:v>
                </c:pt>
              </c:strCache>
            </c:strRef>
          </c:cat>
          <c:val>
            <c:numRef>
              <c:f>Ratios!$B$9:$D$9</c:f>
              <c:numCache>
                <c:formatCode>0.00</c:formatCode>
                <c:ptCount val="3"/>
                <c:pt idx="0">
                  <c:v>5</c:v>
                </c:pt>
                <c:pt idx="1">
                  <c:v>3</c:v>
                </c:pt>
                <c:pt idx="2">
                  <c:v>1</c:v>
                </c:pt>
              </c:numCache>
            </c:numRef>
          </c:val>
          <c:extLst>
            <c:ext xmlns:c16="http://schemas.microsoft.com/office/drawing/2014/chart" uri="{C3380CC4-5D6E-409C-BE32-E72D297353CC}">
              <c16:uniqueId val="{00000000-0462-4306-8165-BEE8B88CE49F}"/>
            </c:ext>
          </c:extLst>
        </c:ser>
        <c:dLbls>
          <c:showLegendKey val="0"/>
          <c:showVal val="0"/>
          <c:showCatName val="0"/>
          <c:showSerName val="0"/>
          <c:showPercent val="0"/>
          <c:showBubbleSize val="0"/>
        </c:dLbls>
        <c:gapWidth val="150"/>
        <c:shape val="box"/>
        <c:axId val="387268608"/>
        <c:axId val="387270528"/>
        <c:axId val="0"/>
      </c:bar3DChart>
      <c:catAx>
        <c:axId val="387268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270528"/>
        <c:crosses val="autoZero"/>
        <c:auto val="1"/>
        <c:lblAlgn val="ctr"/>
        <c:lblOffset val="100"/>
        <c:noMultiLvlLbl val="0"/>
      </c:catAx>
      <c:valAx>
        <c:axId val="387270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Ratio</a:t>
                </a:r>
                <a:r>
                  <a:rPr lang="en-GB" baseline="0"/>
                  <a:t> (in times)</a:t>
                </a:r>
                <a:endParaRPr lang="en-GB"/>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2686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Solvency</a:t>
            </a:r>
            <a:r>
              <a:rPr lang="en-GB" baseline="0"/>
              <a:t> Ratio (Debt to Equity Ratio)</a:t>
            </a:r>
            <a:endParaRPr lang="en-GB"/>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rgbClr val="FFC000"/>
            </a:solidFill>
            <a:ln>
              <a:noFill/>
            </a:ln>
            <a:effectLst/>
            <a:sp3d/>
          </c:spPr>
          <c:invertIfNegative val="0"/>
          <c:cat>
            <c:strRef>
              <c:f>Ratios!$B$11:$D$11</c:f>
              <c:strCache>
                <c:ptCount val="3"/>
                <c:pt idx="0">
                  <c:v>2021 (£)</c:v>
                </c:pt>
                <c:pt idx="1">
                  <c:v>2022 (£)</c:v>
                </c:pt>
                <c:pt idx="2">
                  <c:v>2023 (£)</c:v>
                </c:pt>
              </c:strCache>
            </c:strRef>
          </c:cat>
          <c:val>
            <c:numRef>
              <c:f>Ratios!$B$16:$D$16</c:f>
              <c:numCache>
                <c:formatCode>0.00</c:formatCode>
                <c:ptCount val="3"/>
                <c:pt idx="0">
                  <c:v>2.4193548387096775</c:v>
                </c:pt>
                <c:pt idx="1">
                  <c:v>2.5862068965517242</c:v>
                </c:pt>
                <c:pt idx="2">
                  <c:v>5</c:v>
                </c:pt>
              </c:numCache>
            </c:numRef>
          </c:val>
          <c:extLst>
            <c:ext xmlns:c16="http://schemas.microsoft.com/office/drawing/2014/chart" uri="{C3380CC4-5D6E-409C-BE32-E72D297353CC}">
              <c16:uniqueId val="{00000000-C3F9-4EB9-8D73-BD7E9C650E68}"/>
            </c:ext>
          </c:extLst>
        </c:ser>
        <c:dLbls>
          <c:showLegendKey val="0"/>
          <c:showVal val="0"/>
          <c:showCatName val="0"/>
          <c:showSerName val="0"/>
          <c:showPercent val="0"/>
          <c:showBubbleSize val="0"/>
        </c:dLbls>
        <c:gapWidth val="150"/>
        <c:shape val="box"/>
        <c:axId val="387280256"/>
        <c:axId val="387286528"/>
        <c:axId val="387266752"/>
      </c:bar3DChart>
      <c:catAx>
        <c:axId val="387280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286528"/>
        <c:crosses val="autoZero"/>
        <c:auto val="1"/>
        <c:lblAlgn val="ctr"/>
        <c:lblOffset val="100"/>
        <c:noMultiLvlLbl val="0"/>
      </c:catAx>
      <c:valAx>
        <c:axId val="387286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Ratio (in numbers)</a:t>
                </a: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280256"/>
        <c:crosses val="autoZero"/>
        <c:crossBetween val="between"/>
      </c:valAx>
      <c:serAx>
        <c:axId val="387266752"/>
        <c:scaling>
          <c:orientation val="minMax"/>
        </c:scaling>
        <c:delete val="1"/>
        <c:axPos val="b"/>
        <c:majorTickMark val="none"/>
        <c:minorTickMark val="none"/>
        <c:tickLblPos val="nextTo"/>
        <c:crossAx val="387286528"/>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 (Return on Assets)</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rgbClr val="92D050"/>
            </a:solidFill>
            <a:ln>
              <a:noFill/>
            </a:ln>
            <a:effectLst/>
            <a:sp3d/>
          </c:spPr>
          <c:invertIfNegative val="0"/>
          <c:cat>
            <c:strRef>
              <c:f>Ratios!$B$18:$D$18</c:f>
              <c:strCache>
                <c:ptCount val="3"/>
                <c:pt idx="0">
                  <c:v>2021 (£)</c:v>
                </c:pt>
                <c:pt idx="1">
                  <c:v>2022 (£)</c:v>
                </c:pt>
                <c:pt idx="2">
                  <c:v>2023 (£)</c:v>
                </c:pt>
              </c:strCache>
            </c:strRef>
          </c:cat>
          <c:val>
            <c:numRef>
              <c:f>Ratios!$B$23:$D$23</c:f>
              <c:numCache>
                <c:formatCode>0%</c:formatCode>
                <c:ptCount val="3"/>
                <c:pt idx="0">
                  <c:v>0.13953488372093023</c:v>
                </c:pt>
                <c:pt idx="1">
                  <c:v>7.0754716981132074E-2</c:v>
                </c:pt>
                <c:pt idx="2">
                  <c:v>-8.1081081081081086E-2</c:v>
                </c:pt>
              </c:numCache>
            </c:numRef>
          </c:val>
          <c:extLst>
            <c:ext xmlns:c16="http://schemas.microsoft.com/office/drawing/2014/chart" uri="{C3380CC4-5D6E-409C-BE32-E72D297353CC}">
              <c16:uniqueId val="{00000000-EC5C-4DA6-87A5-3560B1B19CB4}"/>
            </c:ext>
          </c:extLst>
        </c:ser>
        <c:dLbls>
          <c:showLegendKey val="0"/>
          <c:showVal val="0"/>
          <c:showCatName val="0"/>
          <c:showSerName val="0"/>
          <c:showPercent val="0"/>
          <c:showBubbleSize val="0"/>
        </c:dLbls>
        <c:gapWidth val="150"/>
        <c:shape val="box"/>
        <c:axId val="387584384"/>
        <c:axId val="387586304"/>
        <c:axId val="387267648"/>
      </c:bar3DChart>
      <c:catAx>
        <c:axId val="387584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586304"/>
        <c:crosses val="autoZero"/>
        <c:auto val="1"/>
        <c:lblAlgn val="ctr"/>
        <c:lblOffset val="100"/>
        <c:noMultiLvlLbl val="0"/>
      </c:catAx>
      <c:valAx>
        <c:axId val="387586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Ratio (in percentage)</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584384"/>
        <c:crosses val="autoZero"/>
        <c:crossBetween val="between"/>
      </c:valAx>
      <c:serAx>
        <c:axId val="387267648"/>
        <c:scaling>
          <c:orientation val="minMax"/>
        </c:scaling>
        <c:delete val="1"/>
        <c:axPos val="b"/>
        <c:title>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387586304"/>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Ratio (Fixed Asset Turnover Ratio)</a:t>
            </a:r>
            <a:endParaRPr lang="en-GB"/>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rgbClr val="7030A0"/>
            </a:solidFill>
            <a:ln>
              <a:noFill/>
            </a:ln>
            <a:effectLst/>
            <a:sp3d/>
          </c:spPr>
          <c:invertIfNegative val="0"/>
          <c:cat>
            <c:strRef>
              <c:f>Ratios!$B$25:$D$25</c:f>
              <c:strCache>
                <c:ptCount val="3"/>
                <c:pt idx="0">
                  <c:v>2021 (£)</c:v>
                </c:pt>
                <c:pt idx="1">
                  <c:v>2022 (£)</c:v>
                </c:pt>
                <c:pt idx="2">
                  <c:v>2023 (£)</c:v>
                </c:pt>
              </c:strCache>
            </c:strRef>
          </c:cat>
          <c:val>
            <c:numRef>
              <c:f>Ratios!$B$31:$D$31</c:f>
              <c:numCache>
                <c:formatCode>0%</c:formatCode>
                <c:ptCount val="3"/>
                <c:pt idx="0">
                  <c:v>0.6</c:v>
                </c:pt>
                <c:pt idx="1">
                  <c:v>0.55000000000000004</c:v>
                </c:pt>
                <c:pt idx="2">
                  <c:v>0.52777777777777779</c:v>
                </c:pt>
              </c:numCache>
            </c:numRef>
          </c:val>
          <c:extLst>
            <c:ext xmlns:c16="http://schemas.microsoft.com/office/drawing/2014/chart" uri="{C3380CC4-5D6E-409C-BE32-E72D297353CC}">
              <c16:uniqueId val="{00000000-ED7E-4497-8C2A-24ECFCA1A53D}"/>
            </c:ext>
          </c:extLst>
        </c:ser>
        <c:dLbls>
          <c:showLegendKey val="0"/>
          <c:showVal val="0"/>
          <c:showCatName val="0"/>
          <c:showSerName val="0"/>
          <c:showPercent val="0"/>
          <c:showBubbleSize val="0"/>
        </c:dLbls>
        <c:gapWidth val="150"/>
        <c:shape val="box"/>
        <c:axId val="387626496"/>
        <c:axId val="387628416"/>
        <c:axId val="387617216"/>
      </c:bar3DChart>
      <c:catAx>
        <c:axId val="387626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628416"/>
        <c:crosses val="autoZero"/>
        <c:auto val="1"/>
        <c:lblAlgn val="ctr"/>
        <c:lblOffset val="100"/>
        <c:noMultiLvlLbl val="0"/>
      </c:catAx>
      <c:valAx>
        <c:axId val="38762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Ratio (in percentage)</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626496"/>
        <c:crosses val="autoZero"/>
        <c:crossBetween val="between"/>
      </c:valAx>
      <c:serAx>
        <c:axId val="387617216"/>
        <c:scaling>
          <c:orientation val="minMax"/>
        </c:scaling>
        <c:delete val="1"/>
        <c:axPos val="b"/>
        <c:majorTickMark val="none"/>
        <c:minorTickMark val="none"/>
        <c:tickLblPos val="nextTo"/>
        <c:crossAx val="387628416"/>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08B6F-C13C-435C-B6E5-05C5E6E62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Bosuioc Marius Robert</cp:lastModifiedBy>
  <cp:revision>3</cp:revision>
  <dcterms:created xsi:type="dcterms:W3CDTF">2024-02-27T17:41:00Z</dcterms:created>
  <dcterms:modified xsi:type="dcterms:W3CDTF">2024-02-28T18:17:00Z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fa200763-d345-4fe8-ab47-954b6495d021</vt:lpwstr>
  </property>
</Properties>
</file>