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E9FC6" w14:textId="106BF486" w:rsidR="00026207" w:rsidRPr="00A81A9B" w:rsidRDefault="00026207" w:rsidP="00604866">
      <w:pPr>
        <w:spacing w:line="360" w:lineRule="auto"/>
        <w:rPr>
          <w:rFonts w:ascii="Arial" w:hAnsi="Arial" w:cs="Arial"/>
          <w:b/>
          <w:bCs/>
          <w:sz w:val="22"/>
          <w:szCs w:val="22"/>
        </w:rPr>
      </w:pPr>
    </w:p>
    <w:p w14:paraId="5E310748" w14:textId="6898280A" w:rsidR="00BD5E6B" w:rsidRPr="00A81A9B" w:rsidRDefault="00BD5E6B" w:rsidP="00604866">
      <w:pPr>
        <w:spacing w:after="0" w:line="360" w:lineRule="auto"/>
        <w:jc w:val="center"/>
        <w:rPr>
          <w:rFonts w:ascii="Arial" w:eastAsia="Times New Roman" w:hAnsi="Arial" w:cs="Arial"/>
          <w:b/>
          <w:bCs/>
          <w:color w:val="000000"/>
          <w:kern w:val="0"/>
          <w:sz w:val="22"/>
          <w:szCs w:val="22"/>
          <w:lang w:eastAsia="en-GB"/>
          <w14:ligatures w14:val="none"/>
        </w:rPr>
      </w:pPr>
      <w:r w:rsidRPr="00A81A9B">
        <w:rPr>
          <w:rFonts w:ascii="Arial" w:hAnsi="Arial" w:cs="Arial"/>
          <w:b/>
          <w:bCs/>
          <w:noProof/>
          <w:sz w:val="22"/>
          <w:szCs w:val="22"/>
        </w:rPr>
        <w:drawing>
          <wp:inline distT="0" distB="0" distL="0" distR="0" wp14:anchorId="3044ED3D" wp14:editId="1098BB10">
            <wp:extent cx="4808086" cy="2524125"/>
            <wp:effectExtent l="0" t="0" r="0" b="0"/>
            <wp:docPr id="160335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56558" name="Picture 16033565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634" cy="2540162"/>
                    </a:xfrm>
                    <a:prstGeom prst="rect">
                      <a:avLst/>
                    </a:prstGeom>
                  </pic:spPr>
                </pic:pic>
              </a:graphicData>
            </a:graphic>
          </wp:inline>
        </w:drawing>
      </w:r>
    </w:p>
    <w:p w14:paraId="7F2F2EED" w14:textId="77777777" w:rsidR="00BD5E6B" w:rsidRPr="00A81A9B" w:rsidRDefault="00BD5E6B" w:rsidP="00604866">
      <w:pPr>
        <w:spacing w:after="0" w:line="360" w:lineRule="auto"/>
        <w:jc w:val="center"/>
        <w:rPr>
          <w:rFonts w:ascii="Arial" w:eastAsia="Times New Roman" w:hAnsi="Arial" w:cs="Arial"/>
          <w:b/>
          <w:bCs/>
          <w:color w:val="000000"/>
          <w:kern w:val="0"/>
          <w:sz w:val="22"/>
          <w:szCs w:val="22"/>
          <w:lang w:eastAsia="en-GB"/>
          <w14:ligatures w14:val="none"/>
        </w:rPr>
      </w:pPr>
    </w:p>
    <w:p w14:paraId="64DA6B6E" w14:textId="4E4D1BC5" w:rsidR="00026207" w:rsidRPr="00A81A9B" w:rsidRDefault="00026207" w:rsidP="00604866">
      <w:pPr>
        <w:spacing w:after="0" w:line="360" w:lineRule="auto"/>
        <w:jc w:val="center"/>
        <w:rPr>
          <w:rFonts w:ascii="Arial" w:eastAsia="Times New Roman" w:hAnsi="Arial" w:cs="Arial"/>
          <w:kern w:val="0"/>
          <w:sz w:val="22"/>
          <w:szCs w:val="22"/>
          <w:lang w:eastAsia="en-GB"/>
          <w14:ligatures w14:val="none"/>
        </w:rPr>
      </w:pPr>
      <w:r w:rsidRPr="00A81A9B">
        <w:rPr>
          <w:rFonts w:ascii="Arial" w:eastAsia="Times New Roman" w:hAnsi="Arial" w:cs="Arial"/>
          <w:b/>
          <w:bCs/>
          <w:color w:val="000000"/>
          <w:kern w:val="0"/>
          <w:sz w:val="22"/>
          <w:szCs w:val="22"/>
          <w:lang w:eastAsia="en-GB"/>
          <w14:ligatures w14:val="none"/>
        </w:rPr>
        <w:t>BSC (HONS) HEALTH AND SOCIAL CARE</w:t>
      </w:r>
    </w:p>
    <w:p w14:paraId="0E1599F0" w14:textId="77777777" w:rsidR="00026207" w:rsidRPr="00A81A9B" w:rsidRDefault="00026207" w:rsidP="00604866">
      <w:pPr>
        <w:spacing w:line="360" w:lineRule="auto"/>
        <w:jc w:val="center"/>
        <w:rPr>
          <w:rFonts w:ascii="Arial" w:hAnsi="Arial" w:cs="Arial"/>
          <w:b/>
          <w:bCs/>
          <w:sz w:val="22"/>
          <w:szCs w:val="22"/>
        </w:rPr>
      </w:pPr>
    </w:p>
    <w:p w14:paraId="67FD09BC" w14:textId="77777777" w:rsidR="00026207" w:rsidRPr="00A81A9B" w:rsidRDefault="00026207" w:rsidP="00604866">
      <w:pPr>
        <w:spacing w:line="360" w:lineRule="auto"/>
        <w:rPr>
          <w:rFonts w:ascii="Arial" w:hAnsi="Arial" w:cs="Arial"/>
          <w:b/>
          <w:bCs/>
          <w:sz w:val="22"/>
          <w:szCs w:val="22"/>
        </w:rPr>
      </w:pPr>
    </w:p>
    <w:p w14:paraId="716B5ADE" w14:textId="77777777" w:rsidR="00026207" w:rsidRPr="00A81A9B" w:rsidRDefault="00026207" w:rsidP="00604866">
      <w:pPr>
        <w:spacing w:line="360" w:lineRule="auto"/>
        <w:jc w:val="center"/>
        <w:rPr>
          <w:rFonts w:ascii="Arial" w:hAnsi="Arial" w:cs="Arial"/>
          <w:sz w:val="22"/>
          <w:szCs w:val="22"/>
        </w:rPr>
      </w:pPr>
      <w:r w:rsidRPr="00A81A9B">
        <w:rPr>
          <w:rFonts w:ascii="Arial" w:hAnsi="Arial" w:cs="Arial"/>
          <w:sz w:val="22"/>
          <w:szCs w:val="22"/>
        </w:rPr>
        <w:t>STUDENT NAME &amp; ID.</w:t>
      </w:r>
    </w:p>
    <w:p w14:paraId="3E89F43B" w14:textId="77777777" w:rsidR="00026207" w:rsidRPr="00A81A9B" w:rsidRDefault="00026207" w:rsidP="00604866">
      <w:pPr>
        <w:spacing w:line="360" w:lineRule="auto"/>
        <w:jc w:val="center"/>
        <w:rPr>
          <w:rFonts w:ascii="Arial" w:hAnsi="Arial" w:cs="Arial"/>
          <w:b/>
          <w:bCs/>
          <w:sz w:val="22"/>
          <w:szCs w:val="22"/>
        </w:rPr>
      </w:pPr>
      <w:r w:rsidRPr="00A81A9B">
        <w:rPr>
          <w:rFonts w:ascii="Arial" w:hAnsi="Arial" w:cs="Arial"/>
          <w:b/>
          <w:bCs/>
          <w:sz w:val="22"/>
          <w:szCs w:val="22"/>
        </w:rPr>
        <w:t>JOELLY OYONO</w:t>
      </w:r>
    </w:p>
    <w:p w14:paraId="224A1A72" w14:textId="56F2ABB6" w:rsidR="00026207" w:rsidRPr="00A81A9B" w:rsidRDefault="00026207" w:rsidP="00604866">
      <w:pPr>
        <w:spacing w:line="360" w:lineRule="auto"/>
        <w:jc w:val="center"/>
        <w:rPr>
          <w:rFonts w:ascii="Arial" w:hAnsi="Arial" w:cs="Arial"/>
          <w:b/>
          <w:bCs/>
          <w:sz w:val="22"/>
          <w:szCs w:val="22"/>
        </w:rPr>
      </w:pPr>
      <w:r w:rsidRPr="00A81A9B">
        <w:rPr>
          <w:rFonts w:ascii="Arial" w:hAnsi="Arial" w:cs="Arial"/>
          <w:b/>
          <w:bCs/>
          <w:sz w:val="22"/>
          <w:szCs w:val="22"/>
        </w:rPr>
        <w:t>2317543</w:t>
      </w:r>
    </w:p>
    <w:p w14:paraId="0003B45C" w14:textId="77777777" w:rsidR="00026207" w:rsidRPr="00A81A9B" w:rsidRDefault="00026207" w:rsidP="00604866">
      <w:pPr>
        <w:spacing w:line="360" w:lineRule="auto"/>
        <w:jc w:val="center"/>
        <w:rPr>
          <w:rFonts w:ascii="Arial" w:hAnsi="Arial" w:cs="Arial"/>
          <w:b/>
          <w:bCs/>
          <w:sz w:val="22"/>
          <w:szCs w:val="22"/>
        </w:rPr>
      </w:pPr>
    </w:p>
    <w:p w14:paraId="7569AA59" w14:textId="77777777" w:rsidR="00026207" w:rsidRPr="00A81A9B" w:rsidRDefault="00026207" w:rsidP="00604866">
      <w:pPr>
        <w:spacing w:line="360" w:lineRule="auto"/>
        <w:rPr>
          <w:rFonts w:ascii="Arial" w:hAnsi="Arial" w:cs="Arial"/>
          <w:b/>
          <w:bCs/>
          <w:sz w:val="22"/>
          <w:szCs w:val="22"/>
        </w:rPr>
      </w:pPr>
    </w:p>
    <w:p w14:paraId="292AE4CC" w14:textId="77777777" w:rsidR="00026207" w:rsidRPr="00A81A9B" w:rsidRDefault="00026207" w:rsidP="00604866">
      <w:pPr>
        <w:spacing w:line="360" w:lineRule="auto"/>
        <w:jc w:val="center"/>
        <w:rPr>
          <w:rFonts w:ascii="Arial" w:hAnsi="Arial" w:cs="Arial"/>
          <w:sz w:val="22"/>
          <w:szCs w:val="22"/>
        </w:rPr>
      </w:pPr>
      <w:r w:rsidRPr="00A81A9B">
        <w:rPr>
          <w:rFonts w:ascii="Arial" w:hAnsi="Arial" w:cs="Arial"/>
          <w:sz w:val="22"/>
          <w:szCs w:val="22"/>
        </w:rPr>
        <w:t>MODULE &amp; CODE</w:t>
      </w:r>
    </w:p>
    <w:p w14:paraId="413D31A9" w14:textId="5E962ACE" w:rsidR="00BD5E6B" w:rsidRPr="00A81A9B" w:rsidRDefault="003A500B" w:rsidP="00604866">
      <w:pPr>
        <w:spacing w:after="0" w:line="360" w:lineRule="auto"/>
        <w:jc w:val="center"/>
        <w:rPr>
          <w:rFonts w:ascii="Arial" w:eastAsia="Times New Roman" w:hAnsi="Arial" w:cs="Arial"/>
          <w:kern w:val="0"/>
          <w:sz w:val="22"/>
          <w:szCs w:val="22"/>
          <w:lang w:eastAsia="en-GB"/>
          <w14:ligatures w14:val="none"/>
        </w:rPr>
      </w:pPr>
      <w:r w:rsidRPr="00A81A9B">
        <w:rPr>
          <w:rFonts w:ascii="Arial" w:eastAsia="Times New Roman" w:hAnsi="Arial" w:cs="Arial"/>
          <w:b/>
          <w:bCs/>
          <w:color w:val="000000"/>
          <w:kern w:val="0"/>
          <w:sz w:val="22"/>
          <w:szCs w:val="22"/>
          <w:lang w:eastAsia="en-GB"/>
          <w14:ligatures w14:val="none"/>
        </w:rPr>
        <w:t>CHANGEMAKERS: BUILDING YOUR PERSONAL BRAND FOR SUSTAINABLE EMPLOYMENT</w:t>
      </w:r>
    </w:p>
    <w:p w14:paraId="54831D0A" w14:textId="77777777" w:rsidR="00026207" w:rsidRPr="00A81A9B" w:rsidRDefault="00026207" w:rsidP="00604866">
      <w:pPr>
        <w:spacing w:after="0" w:line="360" w:lineRule="auto"/>
        <w:jc w:val="center"/>
        <w:rPr>
          <w:rFonts w:ascii="Arial" w:eastAsia="Times New Roman" w:hAnsi="Arial" w:cs="Arial"/>
          <w:kern w:val="0"/>
          <w:sz w:val="22"/>
          <w:szCs w:val="22"/>
          <w:lang w:eastAsia="en-GB"/>
          <w14:ligatures w14:val="none"/>
        </w:rPr>
      </w:pPr>
    </w:p>
    <w:p w14:paraId="08708B44" w14:textId="77777777" w:rsidR="00BD5E6B" w:rsidRPr="00A81A9B" w:rsidRDefault="00BD5E6B" w:rsidP="00604866">
      <w:pPr>
        <w:spacing w:after="0" w:line="360" w:lineRule="auto"/>
        <w:jc w:val="center"/>
        <w:rPr>
          <w:rFonts w:ascii="Arial" w:eastAsia="Times New Roman" w:hAnsi="Arial" w:cs="Arial"/>
          <w:kern w:val="0"/>
          <w:sz w:val="22"/>
          <w:szCs w:val="22"/>
          <w:lang w:eastAsia="en-GB"/>
          <w14:ligatures w14:val="none"/>
        </w:rPr>
      </w:pPr>
      <w:r w:rsidRPr="00A81A9B">
        <w:rPr>
          <w:rFonts w:ascii="Arial" w:eastAsia="Times New Roman" w:hAnsi="Arial" w:cs="Arial"/>
          <w:b/>
          <w:bCs/>
          <w:color w:val="000000"/>
          <w:kern w:val="0"/>
          <w:sz w:val="22"/>
          <w:szCs w:val="22"/>
          <w:lang w:eastAsia="en-GB"/>
          <w14:ligatures w14:val="none"/>
        </w:rPr>
        <w:t>BMHP5015</w:t>
      </w:r>
    </w:p>
    <w:p w14:paraId="53D9A211" w14:textId="539BC563" w:rsidR="00026207" w:rsidRPr="00A81A9B" w:rsidRDefault="00026207" w:rsidP="00604866">
      <w:pPr>
        <w:spacing w:line="360" w:lineRule="auto"/>
        <w:jc w:val="center"/>
        <w:rPr>
          <w:rFonts w:ascii="Arial" w:hAnsi="Arial" w:cs="Arial"/>
          <w:sz w:val="22"/>
          <w:szCs w:val="22"/>
        </w:rPr>
      </w:pPr>
      <w:r w:rsidRPr="00A81A9B">
        <w:rPr>
          <w:rFonts w:ascii="Arial" w:hAnsi="Arial" w:cs="Arial"/>
          <w:sz w:val="22"/>
          <w:szCs w:val="22"/>
        </w:rPr>
        <w:t>LECTURER(S)</w:t>
      </w:r>
    </w:p>
    <w:p w14:paraId="3142430C" w14:textId="77777777" w:rsidR="00BD5E6B" w:rsidRPr="00A81A9B" w:rsidRDefault="00BD5E6B" w:rsidP="00604866">
      <w:pPr>
        <w:spacing w:after="0" w:line="360" w:lineRule="auto"/>
        <w:jc w:val="center"/>
        <w:rPr>
          <w:rFonts w:ascii="Arial" w:eastAsia="Times New Roman" w:hAnsi="Arial" w:cs="Arial"/>
          <w:kern w:val="0"/>
          <w:sz w:val="22"/>
          <w:szCs w:val="22"/>
          <w:lang w:eastAsia="en-GB"/>
          <w14:ligatures w14:val="none"/>
        </w:rPr>
      </w:pPr>
      <w:r w:rsidRPr="00A81A9B">
        <w:rPr>
          <w:rFonts w:ascii="Arial" w:eastAsia="Times New Roman" w:hAnsi="Arial" w:cs="Arial"/>
          <w:b/>
          <w:bCs/>
          <w:color w:val="000000"/>
          <w:kern w:val="0"/>
          <w:sz w:val="22"/>
          <w:szCs w:val="22"/>
          <w:lang w:eastAsia="en-GB"/>
          <w14:ligatures w14:val="none"/>
        </w:rPr>
        <w:t>Caroline Salami</w:t>
      </w:r>
    </w:p>
    <w:p w14:paraId="26AB9EE3" w14:textId="77777777" w:rsidR="00BD5E6B" w:rsidRPr="00A81A9B" w:rsidRDefault="00BD5E6B" w:rsidP="00604866">
      <w:pPr>
        <w:spacing w:after="0" w:line="360" w:lineRule="auto"/>
        <w:jc w:val="center"/>
        <w:rPr>
          <w:rFonts w:ascii="Arial" w:eastAsia="Times New Roman" w:hAnsi="Arial" w:cs="Arial"/>
          <w:kern w:val="0"/>
          <w:sz w:val="22"/>
          <w:szCs w:val="22"/>
          <w:lang w:eastAsia="en-GB"/>
          <w14:ligatures w14:val="none"/>
        </w:rPr>
      </w:pPr>
      <w:r w:rsidRPr="00A81A9B">
        <w:rPr>
          <w:rFonts w:ascii="Arial" w:eastAsia="Times New Roman" w:hAnsi="Arial" w:cs="Arial"/>
          <w:b/>
          <w:bCs/>
          <w:color w:val="000000"/>
          <w:kern w:val="0"/>
          <w:sz w:val="22"/>
          <w:szCs w:val="22"/>
          <w:lang w:eastAsia="en-GB"/>
          <w14:ligatures w14:val="none"/>
        </w:rPr>
        <w:t>Brian Mashumba</w:t>
      </w:r>
    </w:p>
    <w:p w14:paraId="2411FA33" w14:textId="77777777" w:rsidR="00026207" w:rsidRPr="00A81A9B" w:rsidRDefault="00026207" w:rsidP="00604866">
      <w:pPr>
        <w:spacing w:line="360" w:lineRule="auto"/>
        <w:jc w:val="center"/>
        <w:rPr>
          <w:rFonts w:ascii="Arial" w:hAnsi="Arial" w:cs="Arial"/>
          <w:sz w:val="22"/>
          <w:szCs w:val="22"/>
        </w:rPr>
      </w:pPr>
    </w:p>
    <w:p w14:paraId="2F3398F4" w14:textId="1E6CAAF7" w:rsidR="00A22949" w:rsidRPr="00A81A9B" w:rsidRDefault="00BD5E6B" w:rsidP="00604866">
      <w:pPr>
        <w:spacing w:line="360" w:lineRule="auto"/>
        <w:jc w:val="center"/>
        <w:rPr>
          <w:rFonts w:ascii="Arial" w:hAnsi="Arial" w:cs="Arial"/>
          <w:sz w:val="22"/>
          <w:szCs w:val="22"/>
        </w:rPr>
      </w:pPr>
      <w:r w:rsidRPr="00A81A9B">
        <w:rPr>
          <w:rFonts w:ascii="Arial" w:hAnsi="Arial" w:cs="Arial"/>
          <w:sz w:val="22"/>
          <w:szCs w:val="22"/>
        </w:rPr>
        <w:t>28</w:t>
      </w:r>
      <w:r w:rsidR="00026207" w:rsidRPr="00A81A9B">
        <w:rPr>
          <w:rFonts w:ascii="Arial" w:hAnsi="Arial" w:cs="Arial"/>
          <w:sz w:val="22"/>
          <w:szCs w:val="22"/>
        </w:rPr>
        <w:t xml:space="preserve"> </w:t>
      </w:r>
      <w:r w:rsidRPr="00A81A9B">
        <w:rPr>
          <w:rFonts w:ascii="Arial" w:hAnsi="Arial" w:cs="Arial"/>
          <w:sz w:val="22"/>
          <w:szCs w:val="22"/>
        </w:rPr>
        <w:t>Dec</w:t>
      </w:r>
      <w:r w:rsidR="00026207" w:rsidRPr="00A81A9B">
        <w:rPr>
          <w:rFonts w:ascii="Arial" w:hAnsi="Arial" w:cs="Arial"/>
          <w:sz w:val="22"/>
          <w:szCs w:val="22"/>
        </w:rPr>
        <w:t>, 2025</w:t>
      </w:r>
    </w:p>
    <w:sdt>
      <w:sdtPr>
        <w:rPr>
          <w:rFonts w:ascii="Arial" w:hAnsi="Arial" w:cs="Arial"/>
          <w:sz w:val="22"/>
          <w:szCs w:val="22"/>
        </w:rPr>
        <w:id w:val="1758947986"/>
        <w:docPartObj>
          <w:docPartGallery w:val="Table of Contents"/>
          <w:docPartUnique/>
        </w:docPartObj>
      </w:sdtPr>
      <w:sdtEndPr>
        <w:rPr>
          <w:rFonts w:eastAsiaTheme="minorHAnsi"/>
          <w:b/>
          <w:bCs/>
          <w:noProof/>
          <w:color w:val="auto"/>
          <w:kern w:val="2"/>
          <w:lang w:val="en-GB"/>
          <w14:ligatures w14:val="standardContextual"/>
        </w:rPr>
      </w:sdtEndPr>
      <w:sdtContent>
        <w:p w14:paraId="04890E85" w14:textId="3F5CD9B8" w:rsidR="00A22949" w:rsidRPr="00A81A9B" w:rsidRDefault="00A22949" w:rsidP="00604866">
          <w:pPr>
            <w:pStyle w:val="TOCHeading"/>
            <w:spacing w:line="360" w:lineRule="auto"/>
            <w:rPr>
              <w:rFonts w:ascii="Arial" w:hAnsi="Arial" w:cs="Arial"/>
              <w:sz w:val="22"/>
              <w:szCs w:val="22"/>
            </w:rPr>
          </w:pPr>
          <w:r w:rsidRPr="00A81A9B">
            <w:rPr>
              <w:rFonts w:ascii="Arial" w:hAnsi="Arial" w:cs="Arial"/>
              <w:sz w:val="22"/>
              <w:szCs w:val="22"/>
            </w:rPr>
            <w:t>Table of Contents</w:t>
          </w:r>
        </w:p>
        <w:p w14:paraId="63AAE395" w14:textId="5F6DB643" w:rsidR="00A22949" w:rsidRPr="00A81A9B" w:rsidRDefault="00A22949" w:rsidP="00604866">
          <w:pPr>
            <w:pStyle w:val="TOC2"/>
            <w:tabs>
              <w:tab w:val="right" w:leader="dot" w:pos="9016"/>
            </w:tabs>
            <w:spacing w:line="360" w:lineRule="auto"/>
            <w:rPr>
              <w:rFonts w:ascii="Arial" w:hAnsi="Arial" w:cs="Arial"/>
              <w:noProof/>
              <w:sz w:val="22"/>
              <w:szCs w:val="22"/>
            </w:rPr>
          </w:pPr>
          <w:r w:rsidRPr="00A81A9B">
            <w:rPr>
              <w:rFonts w:ascii="Arial" w:hAnsi="Arial" w:cs="Arial"/>
              <w:sz w:val="22"/>
              <w:szCs w:val="22"/>
            </w:rPr>
            <w:fldChar w:fldCharType="begin"/>
          </w:r>
          <w:r w:rsidRPr="00A81A9B">
            <w:rPr>
              <w:rFonts w:ascii="Arial" w:hAnsi="Arial" w:cs="Arial"/>
              <w:sz w:val="22"/>
              <w:szCs w:val="22"/>
            </w:rPr>
            <w:instrText xml:space="preserve"> TOC \o "1-3" \h \z \u </w:instrText>
          </w:r>
          <w:r w:rsidRPr="00A81A9B">
            <w:rPr>
              <w:rFonts w:ascii="Arial" w:hAnsi="Arial" w:cs="Arial"/>
              <w:sz w:val="22"/>
              <w:szCs w:val="22"/>
            </w:rPr>
            <w:fldChar w:fldCharType="separate"/>
          </w:r>
          <w:hyperlink w:anchor="_Toc216016230" w:history="1">
            <w:r w:rsidRPr="00A81A9B">
              <w:rPr>
                <w:rStyle w:val="Hyperlink"/>
                <w:rFonts w:ascii="Arial" w:hAnsi="Arial" w:cs="Arial"/>
                <w:noProof/>
                <w:sz w:val="22"/>
                <w:szCs w:val="22"/>
              </w:rPr>
              <w:t>Introduction</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_Toc216016230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2</w:t>
            </w:r>
            <w:r w:rsidRPr="00A81A9B">
              <w:rPr>
                <w:rFonts w:ascii="Arial" w:hAnsi="Arial" w:cs="Arial"/>
                <w:noProof/>
                <w:webHidden/>
                <w:sz w:val="22"/>
                <w:szCs w:val="22"/>
              </w:rPr>
              <w:fldChar w:fldCharType="end"/>
            </w:r>
          </w:hyperlink>
        </w:p>
        <w:p w14:paraId="2DE9C09E" w14:textId="0E907275" w:rsidR="00A22949" w:rsidRPr="00A81A9B" w:rsidRDefault="00A22949" w:rsidP="00604866">
          <w:pPr>
            <w:pStyle w:val="TOC2"/>
            <w:tabs>
              <w:tab w:val="right" w:leader="dot" w:pos="9016"/>
            </w:tabs>
            <w:spacing w:line="360" w:lineRule="auto"/>
            <w:rPr>
              <w:rFonts w:ascii="Arial" w:hAnsi="Arial" w:cs="Arial"/>
              <w:noProof/>
              <w:sz w:val="22"/>
              <w:szCs w:val="22"/>
            </w:rPr>
          </w:pPr>
          <w:hyperlink w:anchor="_Toc216016231" w:history="1">
            <w:r w:rsidRPr="00A81A9B">
              <w:rPr>
                <w:rStyle w:val="Hyperlink"/>
                <w:rFonts w:ascii="Arial" w:hAnsi="Arial" w:cs="Arial"/>
                <w:noProof/>
                <w:sz w:val="22"/>
                <w:szCs w:val="22"/>
              </w:rPr>
              <w:t>Reflective notes</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_Toc216016231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2</w:t>
            </w:r>
            <w:r w:rsidRPr="00A81A9B">
              <w:rPr>
                <w:rFonts w:ascii="Arial" w:hAnsi="Arial" w:cs="Arial"/>
                <w:noProof/>
                <w:webHidden/>
                <w:sz w:val="22"/>
                <w:szCs w:val="22"/>
              </w:rPr>
              <w:fldChar w:fldCharType="end"/>
            </w:r>
          </w:hyperlink>
        </w:p>
        <w:p w14:paraId="7B8F400B" w14:textId="11D43342"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2" w:history="1">
            <w:r w:rsidRPr="00A81A9B">
              <w:rPr>
                <w:rStyle w:val="Hyperlink"/>
                <w:rFonts w:ascii="Arial" w:hAnsi="Arial" w:cs="Arial"/>
                <w:noProof/>
                <w:sz w:val="22"/>
                <w:szCs w:val="22"/>
              </w:rPr>
              <w:t>Cultivating opportunity: The Serendipity Mindset</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_Toc216016232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2</w:t>
            </w:r>
            <w:r w:rsidRPr="00A81A9B">
              <w:rPr>
                <w:rFonts w:ascii="Arial" w:hAnsi="Arial" w:cs="Arial"/>
                <w:noProof/>
                <w:webHidden/>
                <w:sz w:val="22"/>
                <w:szCs w:val="22"/>
              </w:rPr>
              <w:fldChar w:fldCharType="end"/>
            </w:r>
          </w:hyperlink>
        </w:p>
        <w:p w14:paraId="4198CD3F" w14:textId="03959317"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3" w:history="1">
            <w:r w:rsidRPr="00A81A9B">
              <w:rPr>
                <w:rStyle w:val="Hyperlink"/>
                <w:rFonts w:ascii="Arial" w:hAnsi="Arial" w:cs="Arial"/>
                <w:noProof/>
                <w:sz w:val="22"/>
                <w:szCs w:val="22"/>
              </w:rPr>
              <w:t>The Digital Professional: Public Visibility and Blogging</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_Toc216016233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3</w:t>
            </w:r>
            <w:r w:rsidRPr="00A81A9B">
              <w:rPr>
                <w:rFonts w:ascii="Arial" w:hAnsi="Arial" w:cs="Arial"/>
                <w:noProof/>
                <w:webHidden/>
                <w:sz w:val="22"/>
                <w:szCs w:val="22"/>
              </w:rPr>
              <w:fldChar w:fldCharType="end"/>
            </w:r>
          </w:hyperlink>
        </w:p>
        <w:p w14:paraId="1E06CF6B" w14:textId="42CFBE69"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4" w:history="1">
            <w:r w:rsidRPr="00A81A9B">
              <w:rPr>
                <w:rStyle w:val="Hyperlink"/>
                <w:rFonts w:ascii="Arial" w:hAnsi="Arial" w:cs="Arial"/>
                <w:noProof/>
                <w:sz w:val="22"/>
                <w:szCs w:val="22"/>
              </w:rPr>
              <w:t>Future-Proofing: Mentoring and Antifragility</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_Toc216016234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3</w:t>
            </w:r>
            <w:r w:rsidRPr="00A81A9B">
              <w:rPr>
                <w:rFonts w:ascii="Arial" w:hAnsi="Arial" w:cs="Arial"/>
                <w:noProof/>
                <w:webHidden/>
                <w:sz w:val="22"/>
                <w:szCs w:val="22"/>
              </w:rPr>
              <w:fldChar w:fldCharType="end"/>
            </w:r>
          </w:hyperlink>
        </w:p>
        <w:p w14:paraId="064FF412" w14:textId="4845ED88" w:rsidR="00A22949" w:rsidRPr="00A81A9B" w:rsidRDefault="00A22949" w:rsidP="00604866">
          <w:pPr>
            <w:pStyle w:val="TOC2"/>
            <w:tabs>
              <w:tab w:val="right" w:leader="dot" w:pos="9016"/>
            </w:tabs>
            <w:spacing w:line="360" w:lineRule="auto"/>
            <w:rPr>
              <w:rFonts w:ascii="Arial" w:hAnsi="Arial" w:cs="Arial"/>
              <w:noProof/>
              <w:sz w:val="22"/>
              <w:szCs w:val="22"/>
            </w:rPr>
          </w:pPr>
          <w:hyperlink w:anchor="_Toc216016235" w:history="1">
            <w:r w:rsidRPr="00A81A9B">
              <w:rPr>
                <w:rStyle w:val="Hyperlink"/>
                <w:rFonts w:ascii="Arial" w:hAnsi="Arial" w:cs="Arial"/>
                <w:noProof/>
                <w:sz w:val="22"/>
                <w:szCs w:val="22"/>
              </w:rPr>
              <w:t>Evidence of Participation</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_Toc216016235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4</w:t>
            </w:r>
            <w:r w:rsidRPr="00A81A9B">
              <w:rPr>
                <w:rFonts w:ascii="Arial" w:hAnsi="Arial" w:cs="Arial"/>
                <w:noProof/>
                <w:webHidden/>
                <w:sz w:val="22"/>
                <w:szCs w:val="22"/>
              </w:rPr>
              <w:fldChar w:fldCharType="end"/>
            </w:r>
          </w:hyperlink>
        </w:p>
        <w:p w14:paraId="445312DB" w14:textId="153298ED"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6" w:history="1">
            <w:r w:rsidRPr="00A81A9B">
              <w:rPr>
                <w:rStyle w:val="Hyperlink"/>
                <w:rFonts w:ascii="Arial" w:hAnsi="Arial" w:cs="Arial"/>
                <w:noProof/>
                <w:sz w:val="22"/>
                <w:szCs w:val="22"/>
              </w:rPr>
              <w:t>Evidence 1: Week 5 Forum Post</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_Toc216016236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4</w:t>
            </w:r>
            <w:r w:rsidRPr="00A81A9B">
              <w:rPr>
                <w:rFonts w:ascii="Arial" w:hAnsi="Arial" w:cs="Arial"/>
                <w:noProof/>
                <w:webHidden/>
                <w:sz w:val="22"/>
                <w:szCs w:val="22"/>
              </w:rPr>
              <w:fldChar w:fldCharType="end"/>
            </w:r>
          </w:hyperlink>
        </w:p>
        <w:p w14:paraId="42073DDD" w14:textId="0C269C0B"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7" w:history="1">
            <w:r w:rsidRPr="00A81A9B">
              <w:rPr>
                <w:rStyle w:val="Hyperlink"/>
                <w:rFonts w:ascii="Arial" w:hAnsi="Arial" w:cs="Arial"/>
                <w:noProof/>
                <w:sz w:val="22"/>
                <w:szCs w:val="22"/>
              </w:rPr>
              <w:t>Evidence 2: Week 6 Forum Post</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_Toc216016237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5</w:t>
            </w:r>
            <w:r w:rsidRPr="00A81A9B">
              <w:rPr>
                <w:rFonts w:ascii="Arial" w:hAnsi="Arial" w:cs="Arial"/>
                <w:noProof/>
                <w:webHidden/>
                <w:sz w:val="22"/>
                <w:szCs w:val="22"/>
              </w:rPr>
              <w:fldChar w:fldCharType="end"/>
            </w:r>
          </w:hyperlink>
        </w:p>
        <w:p w14:paraId="2ADD2D1D" w14:textId="7E1F1A9C"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38" w:history="1">
            <w:r w:rsidRPr="00A81A9B">
              <w:rPr>
                <w:rStyle w:val="Hyperlink"/>
                <w:rFonts w:ascii="Arial" w:hAnsi="Arial" w:cs="Arial"/>
                <w:noProof/>
                <w:sz w:val="22"/>
                <w:szCs w:val="22"/>
              </w:rPr>
              <w:t>Evidence 3: Week 8 Forum Post</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_Toc216016238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5</w:t>
            </w:r>
            <w:r w:rsidRPr="00A81A9B">
              <w:rPr>
                <w:rFonts w:ascii="Arial" w:hAnsi="Arial" w:cs="Arial"/>
                <w:noProof/>
                <w:webHidden/>
                <w:sz w:val="22"/>
                <w:szCs w:val="22"/>
              </w:rPr>
              <w:fldChar w:fldCharType="end"/>
            </w:r>
          </w:hyperlink>
        </w:p>
        <w:p w14:paraId="0218859C" w14:textId="41B29C91" w:rsidR="00A22949" w:rsidRPr="00A81A9B" w:rsidRDefault="00A22949" w:rsidP="00604866">
          <w:pPr>
            <w:pStyle w:val="TOC2"/>
            <w:tabs>
              <w:tab w:val="right" w:leader="dot" w:pos="9016"/>
            </w:tabs>
            <w:spacing w:line="360" w:lineRule="auto"/>
            <w:rPr>
              <w:rFonts w:ascii="Arial" w:hAnsi="Arial" w:cs="Arial"/>
              <w:noProof/>
              <w:sz w:val="22"/>
              <w:szCs w:val="22"/>
            </w:rPr>
          </w:pPr>
          <w:hyperlink w:anchor="_Toc216016239" w:history="1">
            <w:r w:rsidRPr="00A81A9B">
              <w:rPr>
                <w:rStyle w:val="Hyperlink"/>
                <w:rFonts w:ascii="Arial" w:hAnsi="Arial" w:cs="Arial"/>
                <w:noProof/>
                <w:sz w:val="22"/>
                <w:szCs w:val="22"/>
              </w:rPr>
              <w:t>Conclusion</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_Toc216016239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6</w:t>
            </w:r>
            <w:r w:rsidRPr="00A81A9B">
              <w:rPr>
                <w:rFonts w:ascii="Arial" w:hAnsi="Arial" w:cs="Arial"/>
                <w:noProof/>
                <w:webHidden/>
                <w:sz w:val="22"/>
                <w:szCs w:val="22"/>
              </w:rPr>
              <w:fldChar w:fldCharType="end"/>
            </w:r>
          </w:hyperlink>
        </w:p>
        <w:p w14:paraId="01CA5D82" w14:textId="717ADDD1" w:rsidR="00A22949" w:rsidRPr="00A81A9B" w:rsidRDefault="00A22949" w:rsidP="00604866">
          <w:pPr>
            <w:pStyle w:val="TOC3"/>
            <w:tabs>
              <w:tab w:val="right" w:leader="dot" w:pos="9016"/>
            </w:tabs>
            <w:spacing w:line="360" w:lineRule="auto"/>
            <w:rPr>
              <w:rFonts w:ascii="Arial" w:hAnsi="Arial" w:cs="Arial"/>
              <w:noProof/>
              <w:sz w:val="22"/>
              <w:szCs w:val="22"/>
            </w:rPr>
          </w:pPr>
          <w:hyperlink w:anchor="_Toc216016240" w:history="1">
            <w:r w:rsidRPr="00A81A9B">
              <w:rPr>
                <w:rStyle w:val="Hyperlink"/>
                <w:rFonts w:ascii="Arial" w:hAnsi="Arial" w:cs="Arial"/>
                <w:noProof/>
                <w:sz w:val="22"/>
                <w:szCs w:val="22"/>
              </w:rPr>
              <w:t>References list</w:t>
            </w:r>
            <w:r w:rsidRPr="00A81A9B">
              <w:rPr>
                <w:rFonts w:ascii="Arial" w:hAnsi="Arial" w:cs="Arial"/>
                <w:noProof/>
                <w:webHidden/>
                <w:sz w:val="22"/>
                <w:szCs w:val="22"/>
              </w:rPr>
              <w:tab/>
            </w:r>
            <w:r w:rsidRPr="00A81A9B">
              <w:rPr>
                <w:rFonts w:ascii="Arial" w:hAnsi="Arial" w:cs="Arial"/>
                <w:noProof/>
                <w:webHidden/>
                <w:sz w:val="22"/>
                <w:szCs w:val="22"/>
              </w:rPr>
              <w:fldChar w:fldCharType="begin"/>
            </w:r>
            <w:r w:rsidRPr="00A81A9B">
              <w:rPr>
                <w:rFonts w:ascii="Arial" w:hAnsi="Arial" w:cs="Arial"/>
                <w:noProof/>
                <w:webHidden/>
                <w:sz w:val="22"/>
                <w:szCs w:val="22"/>
              </w:rPr>
              <w:instrText xml:space="preserve"> PAGEREF _Toc216016240 \h </w:instrText>
            </w:r>
            <w:r w:rsidRPr="00A81A9B">
              <w:rPr>
                <w:rFonts w:ascii="Arial" w:hAnsi="Arial" w:cs="Arial"/>
                <w:noProof/>
                <w:webHidden/>
                <w:sz w:val="22"/>
                <w:szCs w:val="22"/>
              </w:rPr>
            </w:r>
            <w:r w:rsidRPr="00A81A9B">
              <w:rPr>
                <w:rFonts w:ascii="Arial" w:hAnsi="Arial" w:cs="Arial"/>
                <w:noProof/>
                <w:webHidden/>
                <w:sz w:val="22"/>
                <w:szCs w:val="22"/>
              </w:rPr>
              <w:fldChar w:fldCharType="separate"/>
            </w:r>
            <w:r w:rsidRPr="00A81A9B">
              <w:rPr>
                <w:rFonts w:ascii="Arial" w:hAnsi="Arial" w:cs="Arial"/>
                <w:noProof/>
                <w:webHidden/>
                <w:sz w:val="22"/>
                <w:szCs w:val="22"/>
              </w:rPr>
              <w:t>7</w:t>
            </w:r>
            <w:r w:rsidRPr="00A81A9B">
              <w:rPr>
                <w:rFonts w:ascii="Arial" w:hAnsi="Arial" w:cs="Arial"/>
                <w:noProof/>
                <w:webHidden/>
                <w:sz w:val="22"/>
                <w:szCs w:val="22"/>
              </w:rPr>
              <w:fldChar w:fldCharType="end"/>
            </w:r>
          </w:hyperlink>
        </w:p>
        <w:p w14:paraId="18FEB76C" w14:textId="119C9716" w:rsidR="00A22949" w:rsidRPr="00A81A9B" w:rsidRDefault="00A22949" w:rsidP="00604866">
          <w:pPr>
            <w:spacing w:line="360" w:lineRule="auto"/>
            <w:rPr>
              <w:rFonts w:ascii="Arial" w:hAnsi="Arial" w:cs="Arial"/>
              <w:sz w:val="22"/>
              <w:szCs w:val="22"/>
            </w:rPr>
          </w:pPr>
          <w:r w:rsidRPr="00A81A9B">
            <w:rPr>
              <w:rFonts w:ascii="Arial" w:hAnsi="Arial" w:cs="Arial"/>
              <w:b/>
              <w:bCs/>
              <w:noProof/>
              <w:sz w:val="22"/>
              <w:szCs w:val="22"/>
            </w:rPr>
            <w:fldChar w:fldCharType="end"/>
          </w:r>
        </w:p>
      </w:sdtContent>
    </w:sdt>
    <w:p w14:paraId="75C2BA7B" w14:textId="77777777" w:rsidR="00A22949" w:rsidRPr="00A81A9B" w:rsidRDefault="00A22949" w:rsidP="00604866">
      <w:pPr>
        <w:spacing w:line="360" w:lineRule="auto"/>
        <w:rPr>
          <w:rFonts w:ascii="Arial" w:hAnsi="Arial" w:cs="Arial"/>
          <w:sz w:val="22"/>
          <w:szCs w:val="22"/>
        </w:rPr>
      </w:pPr>
    </w:p>
    <w:p w14:paraId="4C2514B5" w14:textId="336B1C90" w:rsidR="00D07530" w:rsidRPr="00A81A9B" w:rsidRDefault="00D07530" w:rsidP="00604866">
      <w:pPr>
        <w:pStyle w:val="Heading2"/>
        <w:spacing w:line="360" w:lineRule="auto"/>
        <w:rPr>
          <w:rFonts w:ascii="Arial" w:hAnsi="Arial" w:cs="Arial"/>
          <w:sz w:val="22"/>
          <w:szCs w:val="22"/>
        </w:rPr>
      </w:pPr>
      <w:bookmarkStart w:id="0" w:name="_Toc216016230"/>
      <w:r w:rsidRPr="00A81A9B">
        <w:rPr>
          <w:rFonts w:ascii="Arial" w:hAnsi="Arial" w:cs="Arial"/>
          <w:sz w:val="22"/>
          <w:szCs w:val="22"/>
        </w:rPr>
        <w:t>Introduction</w:t>
      </w:r>
      <w:bookmarkEnd w:id="0"/>
    </w:p>
    <w:p w14:paraId="459851D3" w14:textId="312B571B" w:rsidR="00D07530" w:rsidRPr="00BA4741" w:rsidRDefault="00D07530" w:rsidP="00604866">
      <w:pPr>
        <w:spacing w:line="360" w:lineRule="auto"/>
        <w:rPr>
          <w:rFonts w:ascii="Arial" w:hAnsi="Arial" w:cs="Arial"/>
          <w:sz w:val="22"/>
          <w:szCs w:val="22"/>
        </w:rPr>
      </w:pPr>
      <w:r w:rsidRPr="00BA4741">
        <w:rPr>
          <w:rFonts w:ascii="Arial" w:hAnsi="Arial" w:cs="Arial"/>
          <w:sz w:val="22"/>
          <w:szCs w:val="22"/>
        </w:rPr>
        <w:t xml:space="preserve">In the rapidly evolving landscape of Health </w:t>
      </w:r>
      <w:r w:rsidRPr="00A81A9B">
        <w:rPr>
          <w:rFonts w:ascii="Arial" w:hAnsi="Arial" w:cs="Arial"/>
          <w:sz w:val="22"/>
          <w:szCs w:val="22"/>
        </w:rPr>
        <w:t>care</w:t>
      </w:r>
      <w:r w:rsidRPr="00BA4741">
        <w:rPr>
          <w:rFonts w:ascii="Arial" w:hAnsi="Arial" w:cs="Arial"/>
          <w:sz w:val="22"/>
          <w:szCs w:val="22"/>
        </w:rPr>
        <w:t>, technical competence alone is no longer a guarantee of sustainable employment. This portfolio focus</w:t>
      </w:r>
      <w:r w:rsidRPr="00A81A9B">
        <w:rPr>
          <w:rFonts w:ascii="Arial" w:hAnsi="Arial" w:cs="Arial"/>
          <w:sz w:val="22"/>
          <w:szCs w:val="22"/>
        </w:rPr>
        <w:t>es</w:t>
      </w:r>
      <w:r w:rsidRPr="00BA4741">
        <w:rPr>
          <w:rFonts w:ascii="Arial" w:hAnsi="Arial" w:cs="Arial"/>
          <w:sz w:val="22"/>
          <w:szCs w:val="22"/>
        </w:rPr>
        <w:t xml:space="preserve"> on how to transition from a passive job-seeker to a</w:t>
      </w:r>
      <w:r w:rsidR="00A22949" w:rsidRPr="00A81A9B">
        <w:rPr>
          <w:rFonts w:ascii="Arial" w:hAnsi="Arial" w:cs="Arial"/>
          <w:sz w:val="22"/>
          <w:szCs w:val="22"/>
        </w:rPr>
        <w:t>n</w:t>
      </w:r>
      <w:r w:rsidRPr="00BA4741">
        <w:rPr>
          <w:rFonts w:ascii="Arial" w:hAnsi="Arial" w:cs="Arial"/>
          <w:sz w:val="22"/>
          <w:szCs w:val="22"/>
        </w:rPr>
        <w:t xml:space="preserve"> active </w:t>
      </w:r>
      <w:r w:rsidR="00A22949" w:rsidRPr="00A81A9B">
        <w:rPr>
          <w:rFonts w:ascii="Arial" w:hAnsi="Arial" w:cs="Arial"/>
          <w:sz w:val="22"/>
          <w:szCs w:val="22"/>
        </w:rPr>
        <w:t>designer</w:t>
      </w:r>
      <w:r w:rsidRPr="00BA4741">
        <w:rPr>
          <w:rFonts w:ascii="Arial" w:hAnsi="Arial" w:cs="Arial"/>
          <w:sz w:val="22"/>
          <w:szCs w:val="22"/>
        </w:rPr>
        <w:t xml:space="preserve"> of my own career. My primary objective is to demonstrate how building a robust personal brand can serve as a buffer against industry volatility and a catalyst for professional growth.</w:t>
      </w:r>
    </w:p>
    <w:p w14:paraId="7F87DEF8" w14:textId="4EEB3A60" w:rsidR="00D07530" w:rsidRPr="00A81A9B" w:rsidRDefault="00D07530" w:rsidP="00604866">
      <w:pPr>
        <w:spacing w:line="360" w:lineRule="auto"/>
        <w:rPr>
          <w:rFonts w:ascii="Arial" w:hAnsi="Arial" w:cs="Arial"/>
          <w:sz w:val="22"/>
          <w:szCs w:val="22"/>
        </w:rPr>
      </w:pPr>
      <w:r w:rsidRPr="00BA4741">
        <w:rPr>
          <w:rFonts w:ascii="Arial" w:hAnsi="Arial" w:cs="Arial"/>
          <w:sz w:val="22"/>
          <w:szCs w:val="22"/>
        </w:rPr>
        <w:t xml:space="preserve">The following reflective notes explore three critical dimensions of this professional evolution. </w:t>
      </w:r>
      <w:r w:rsidR="00A22949" w:rsidRPr="00A81A9B">
        <w:rPr>
          <w:rFonts w:ascii="Arial" w:hAnsi="Arial" w:cs="Arial"/>
          <w:sz w:val="22"/>
          <w:szCs w:val="22"/>
        </w:rPr>
        <w:t>I will</w:t>
      </w:r>
      <w:r w:rsidRPr="00BA4741">
        <w:rPr>
          <w:rFonts w:ascii="Arial" w:hAnsi="Arial" w:cs="Arial"/>
          <w:sz w:val="22"/>
          <w:szCs w:val="22"/>
        </w:rPr>
        <w:t xml:space="preserve"> examine the concept of the </w:t>
      </w:r>
      <w:r w:rsidR="00A22949" w:rsidRPr="00A81A9B">
        <w:rPr>
          <w:rFonts w:ascii="Arial" w:hAnsi="Arial" w:cs="Arial"/>
          <w:sz w:val="22"/>
          <w:szCs w:val="22"/>
        </w:rPr>
        <w:t>s</w:t>
      </w:r>
      <w:r w:rsidRPr="00BA4741">
        <w:rPr>
          <w:rFonts w:ascii="Arial" w:hAnsi="Arial" w:cs="Arial"/>
          <w:sz w:val="22"/>
          <w:szCs w:val="22"/>
        </w:rPr>
        <w:t xml:space="preserve">erendipity </w:t>
      </w:r>
      <w:r w:rsidR="00A22949" w:rsidRPr="00A81A9B">
        <w:rPr>
          <w:rFonts w:ascii="Arial" w:hAnsi="Arial" w:cs="Arial"/>
          <w:sz w:val="22"/>
          <w:szCs w:val="22"/>
        </w:rPr>
        <w:t>m</w:t>
      </w:r>
      <w:r w:rsidRPr="00BA4741">
        <w:rPr>
          <w:rFonts w:ascii="Arial" w:hAnsi="Arial" w:cs="Arial"/>
          <w:sz w:val="22"/>
          <w:szCs w:val="22"/>
        </w:rPr>
        <w:t xml:space="preserve">indset (Week 5), moving beyond the notion of "blind luck" to understand how active observation can uncover hidden opportunities in patient care and career advancement. </w:t>
      </w:r>
      <w:r w:rsidR="00A22949" w:rsidRPr="00A81A9B">
        <w:rPr>
          <w:rFonts w:ascii="Arial" w:hAnsi="Arial" w:cs="Arial"/>
          <w:sz w:val="22"/>
          <w:szCs w:val="22"/>
        </w:rPr>
        <w:t>Then</w:t>
      </w:r>
      <w:r w:rsidRPr="00BA4741">
        <w:rPr>
          <w:rFonts w:ascii="Arial" w:hAnsi="Arial" w:cs="Arial"/>
          <w:sz w:val="22"/>
          <w:szCs w:val="22"/>
        </w:rPr>
        <w:t xml:space="preserve"> I</w:t>
      </w:r>
      <w:r w:rsidR="00A22949" w:rsidRPr="00A81A9B">
        <w:rPr>
          <w:rFonts w:ascii="Arial" w:hAnsi="Arial" w:cs="Arial"/>
          <w:sz w:val="22"/>
          <w:szCs w:val="22"/>
        </w:rPr>
        <w:t xml:space="preserve"> will</w:t>
      </w:r>
      <w:r w:rsidRPr="00BA4741">
        <w:rPr>
          <w:rFonts w:ascii="Arial" w:hAnsi="Arial" w:cs="Arial"/>
          <w:sz w:val="22"/>
          <w:szCs w:val="22"/>
        </w:rPr>
        <w:t xml:space="preserve"> analyse the necessity of </w:t>
      </w:r>
      <w:r w:rsidR="00A22949" w:rsidRPr="00A81A9B">
        <w:rPr>
          <w:rFonts w:ascii="Arial" w:hAnsi="Arial" w:cs="Arial"/>
          <w:sz w:val="22"/>
          <w:szCs w:val="22"/>
        </w:rPr>
        <w:t>p</w:t>
      </w:r>
      <w:r w:rsidRPr="00BA4741">
        <w:rPr>
          <w:rFonts w:ascii="Arial" w:hAnsi="Arial" w:cs="Arial"/>
          <w:sz w:val="22"/>
          <w:szCs w:val="22"/>
        </w:rPr>
        <w:t xml:space="preserve">ublic </w:t>
      </w:r>
      <w:r w:rsidR="00A22949" w:rsidRPr="00A81A9B">
        <w:rPr>
          <w:rFonts w:ascii="Arial" w:hAnsi="Arial" w:cs="Arial"/>
          <w:sz w:val="22"/>
          <w:szCs w:val="22"/>
        </w:rPr>
        <w:t>v</w:t>
      </w:r>
      <w:r w:rsidRPr="00BA4741">
        <w:rPr>
          <w:rFonts w:ascii="Arial" w:hAnsi="Arial" w:cs="Arial"/>
          <w:sz w:val="22"/>
          <w:szCs w:val="22"/>
        </w:rPr>
        <w:t xml:space="preserve">isibility (Week 6), discussing how digital tools like blogging establish subject matter authority and "open doors" that traditional CVs cannot. Finally, I evaluate the role of </w:t>
      </w:r>
      <w:r w:rsidR="00A22949" w:rsidRPr="00A81A9B">
        <w:rPr>
          <w:rFonts w:ascii="Arial" w:hAnsi="Arial" w:cs="Arial"/>
          <w:sz w:val="22"/>
          <w:szCs w:val="22"/>
        </w:rPr>
        <w:t>m</w:t>
      </w:r>
      <w:r w:rsidRPr="00BA4741">
        <w:rPr>
          <w:rFonts w:ascii="Arial" w:hAnsi="Arial" w:cs="Arial"/>
          <w:sz w:val="22"/>
          <w:szCs w:val="22"/>
        </w:rPr>
        <w:t xml:space="preserve">entoring and </w:t>
      </w:r>
      <w:r w:rsidR="00A22949" w:rsidRPr="00A81A9B">
        <w:rPr>
          <w:rFonts w:ascii="Arial" w:hAnsi="Arial" w:cs="Arial"/>
          <w:sz w:val="22"/>
          <w:szCs w:val="22"/>
        </w:rPr>
        <w:t>a</w:t>
      </w:r>
      <w:r w:rsidRPr="00BA4741">
        <w:rPr>
          <w:rFonts w:ascii="Arial" w:hAnsi="Arial" w:cs="Arial"/>
          <w:sz w:val="22"/>
          <w:szCs w:val="22"/>
        </w:rPr>
        <w:t>ntifragility (Week 8) in future-proofing my career against technological disruption. By synthesising theoretical frameworks with my own active participation in module discussions, this portfolio evidences my readiness to navigate the complexities of the modern healthcare sector.</w:t>
      </w:r>
    </w:p>
    <w:p w14:paraId="18E94BF6" w14:textId="77777777" w:rsidR="00241559" w:rsidRPr="00BA4741" w:rsidRDefault="00241559" w:rsidP="00604866">
      <w:pPr>
        <w:spacing w:line="360" w:lineRule="auto"/>
        <w:rPr>
          <w:rFonts w:ascii="Arial" w:hAnsi="Arial" w:cs="Arial"/>
          <w:sz w:val="22"/>
          <w:szCs w:val="22"/>
        </w:rPr>
      </w:pPr>
    </w:p>
    <w:p w14:paraId="57F9955A" w14:textId="1D16809D" w:rsidR="00D07530" w:rsidRPr="00A81A9B" w:rsidRDefault="00D07530" w:rsidP="00604866">
      <w:pPr>
        <w:pStyle w:val="Heading2"/>
        <w:spacing w:line="360" w:lineRule="auto"/>
        <w:rPr>
          <w:rFonts w:ascii="Arial" w:hAnsi="Arial" w:cs="Arial"/>
          <w:sz w:val="22"/>
          <w:szCs w:val="22"/>
        </w:rPr>
      </w:pPr>
      <w:bookmarkStart w:id="1" w:name="_Toc216016231"/>
      <w:r w:rsidRPr="00A81A9B">
        <w:rPr>
          <w:rFonts w:ascii="Arial" w:hAnsi="Arial" w:cs="Arial"/>
          <w:sz w:val="22"/>
          <w:szCs w:val="22"/>
        </w:rPr>
        <w:lastRenderedPageBreak/>
        <w:t xml:space="preserve">Reflective </w:t>
      </w:r>
      <w:r w:rsidRPr="00A81A9B">
        <w:rPr>
          <w:rFonts w:ascii="Arial" w:hAnsi="Arial" w:cs="Arial"/>
          <w:sz w:val="22"/>
          <w:szCs w:val="22"/>
        </w:rPr>
        <w:t>n</w:t>
      </w:r>
      <w:r w:rsidRPr="00A81A9B">
        <w:rPr>
          <w:rFonts w:ascii="Arial" w:hAnsi="Arial" w:cs="Arial"/>
          <w:sz w:val="22"/>
          <w:szCs w:val="22"/>
        </w:rPr>
        <w:t>otes</w:t>
      </w:r>
      <w:bookmarkEnd w:id="1"/>
    </w:p>
    <w:p w14:paraId="1CE3919D" w14:textId="1B1B8BE9" w:rsidR="00D07530" w:rsidRPr="00A81A9B" w:rsidRDefault="00D07530" w:rsidP="00604866">
      <w:pPr>
        <w:pStyle w:val="Heading3"/>
        <w:spacing w:line="360" w:lineRule="auto"/>
        <w:rPr>
          <w:rFonts w:ascii="Arial" w:hAnsi="Arial" w:cs="Arial"/>
          <w:sz w:val="22"/>
          <w:szCs w:val="22"/>
        </w:rPr>
      </w:pPr>
      <w:bookmarkStart w:id="2" w:name="_Toc216016232"/>
      <w:r w:rsidRPr="00A81A9B">
        <w:rPr>
          <w:rFonts w:ascii="Arial" w:hAnsi="Arial" w:cs="Arial"/>
          <w:sz w:val="22"/>
          <w:szCs w:val="22"/>
        </w:rPr>
        <w:t xml:space="preserve">Cultivating </w:t>
      </w:r>
      <w:r w:rsidRPr="00A81A9B">
        <w:rPr>
          <w:rFonts w:ascii="Arial" w:hAnsi="Arial" w:cs="Arial"/>
          <w:sz w:val="22"/>
          <w:szCs w:val="22"/>
        </w:rPr>
        <w:t>o</w:t>
      </w:r>
      <w:r w:rsidRPr="00A81A9B">
        <w:rPr>
          <w:rFonts w:ascii="Arial" w:hAnsi="Arial" w:cs="Arial"/>
          <w:sz w:val="22"/>
          <w:szCs w:val="22"/>
        </w:rPr>
        <w:t>pportunity: The Serendipity Mindset</w:t>
      </w:r>
      <w:bookmarkEnd w:id="2"/>
    </w:p>
    <w:p w14:paraId="6155E76F" w14:textId="77777777" w:rsidR="00D07530" w:rsidRPr="00E20EEA" w:rsidRDefault="00D07530" w:rsidP="00604866">
      <w:pPr>
        <w:spacing w:line="360" w:lineRule="auto"/>
        <w:rPr>
          <w:rFonts w:ascii="Arial" w:hAnsi="Arial" w:cs="Arial"/>
          <w:sz w:val="22"/>
          <w:szCs w:val="22"/>
        </w:rPr>
      </w:pPr>
      <w:r w:rsidRPr="00E20EEA">
        <w:rPr>
          <w:rFonts w:ascii="Arial" w:hAnsi="Arial" w:cs="Arial"/>
          <w:sz w:val="22"/>
          <w:szCs w:val="22"/>
        </w:rPr>
        <w:t xml:space="preserve">Before engaging with the Week 5 materials, I viewed career progression in Health and Social Care (H&amp;SC) as a linear path: obtain qualifications, apply for a role, and wait for a response. However, the concept of the "Serendipity Mindset" has fundamentally challenged this passive approach. Drawing on the work of </w:t>
      </w:r>
      <w:proofErr w:type="spellStart"/>
      <w:r w:rsidRPr="00E20EEA">
        <w:rPr>
          <w:rFonts w:ascii="Arial" w:hAnsi="Arial" w:cs="Arial"/>
          <w:sz w:val="22"/>
          <w:szCs w:val="22"/>
        </w:rPr>
        <w:t>Heinström</w:t>
      </w:r>
      <w:proofErr w:type="spellEnd"/>
      <w:r w:rsidRPr="00E20EEA">
        <w:rPr>
          <w:rFonts w:ascii="Arial" w:hAnsi="Arial" w:cs="Arial"/>
          <w:sz w:val="22"/>
          <w:szCs w:val="22"/>
        </w:rPr>
        <w:t xml:space="preserve"> and Sormunen (2020), I now understand serendipity not merely as blind luck, but as an active competence—the ability to identify valuable opportunities in unexpected places. In the context of H&amp;SC, where the landscape is shifting towards digital innovation and population-based health (Bury, 2013), this mindset is not just a career tool, but a clinical necessity; noticing an anomaly in a patient's data or a gap in service provision requires the same "active noticing" as spotting a job opportunity.</w:t>
      </w:r>
    </w:p>
    <w:p w14:paraId="379C7E64" w14:textId="77777777" w:rsidR="00D07530" w:rsidRPr="00E20EEA" w:rsidRDefault="00D07530" w:rsidP="00604866">
      <w:pPr>
        <w:spacing w:line="360" w:lineRule="auto"/>
        <w:rPr>
          <w:rFonts w:ascii="Arial" w:hAnsi="Arial" w:cs="Arial"/>
          <w:sz w:val="22"/>
          <w:szCs w:val="22"/>
        </w:rPr>
      </w:pPr>
      <w:r w:rsidRPr="00E20EEA">
        <w:rPr>
          <w:rFonts w:ascii="Arial" w:hAnsi="Arial" w:cs="Arial"/>
          <w:sz w:val="22"/>
          <w:szCs w:val="22"/>
        </w:rPr>
        <w:t>In my Week 5 forum post (see Evidence 1), I articulated this realisation by defining the serendipity mindset as an "active approach to luck and opportunity." I argued that it involves "cultivating a high degree of observational awareness and mental openness." Upon reflection, this directly correlates with the module’s discussion on "horizon scanning"—the practice of looking beyond one’s immediate sector to anticipate changes. For instance, the integration of AI in healthcare might seem like a threat to job security, but with a serendipity mindset, I can view it as an opportunity to upskill in digital health literacy, thereby positioning myself in the "Sweet Spot" where my skills, interests, and market needs intersect.</w:t>
      </w:r>
    </w:p>
    <w:p w14:paraId="09A99FD8" w14:textId="77777777" w:rsidR="00D07530" w:rsidRPr="00A81A9B" w:rsidRDefault="00D07530" w:rsidP="00604866">
      <w:pPr>
        <w:spacing w:line="360" w:lineRule="auto"/>
        <w:rPr>
          <w:rFonts w:ascii="Arial" w:hAnsi="Arial" w:cs="Arial"/>
          <w:sz w:val="22"/>
          <w:szCs w:val="22"/>
        </w:rPr>
      </w:pPr>
      <w:r w:rsidRPr="00E20EEA">
        <w:rPr>
          <w:rFonts w:ascii="Arial" w:hAnsi="Arial" w:cs="Arial"/>
          <w:sz w:val="22"/>
          <w:szCs w:val="22"/>
        </w:rPr>
        <w:t>The module materials further highlighted that while "huge success" often contains an element of luck, we can "create our own luck" through preparation (</w:t>
      </w:r>
      <w:proofErr w:type="spellStart"/>
      <w:r w:rsidRPr="00E20EEA">
        <w:rPr>
          <w:rFonts w:ascii="Arial" w:hAnsi="Arial" w:cs="Arial"/>
          <w:sz w:val="22"/>
          <w:szCs w:val="22"/>
        </w:rPr>
        <w:t>Aicinena</w:t>
      </w:r>
      <w:proofErr w:type="spellEnd"/>
      <w:r w:rsidRPr="00E20EEA">
        <w:rPr>
          <w:rFonts w:ascii="Arial" w:hAnsi="Arial" w:cs="Arial"/>
          <w:sz w:val="22"/>
          <w:szCs w:val="22"/>
        </w:rPr>
        <w:t>, 2013). This distinction is critical. I used to believe that networking was purely transactional, but I now see it as a mechanism for increasing the surface area for serendipity to occur. By engaging in "career conversations" and stepping out of my comfort zone—or setting what Pina e Cunha et al. (2017) term "stretch goals"—I am actively constructing an environment where professional opportunities are more likely to collide with my readiness to seize them. Moving forward, I intend to apply this by not just waiting for advertised vacancies, but by actively "selling" my transferable skills to employers who may not yet know they need them, treating recruitment as a sales conversation rather than a rigid application process.</w:t>
      </w:r>
    </w:p>
    <w:p w14:paraId="2E397AA3" w14:textId="77777777" w:rsidR="00241559" w:rsidRPr="00E20EEA" w:rsidRDefault="00241559" w:rsidP="00604866">
      <w:pPr>
        <w:spacing w:line="360" w:lineRule="auto"/>
        <w:rPr>
          <w:rFonts w:ascii="Arial" w:hAnsi="Arial" w:cs="Arial"/>
          <w:sz w:val="22"/>
          <w:szCs w:val="22"/>
        </w:rPr>
      </w:pPr>
    </w:p>
    <w:p w14:paraId="294B53E3" w14:textId="4913D5B0" w:rsidR="00D07530" w:rsidRPr="00A81A9B" w:rsidRDefault="00D07530" w:rsidP="00604866">
      <w:pPr>
        <w:pStyle w:val="Heading3"/>
        <w:spacing w:line="360" w:lineRule="auto"/>
        <w:rPr>
          <w:rFonts w:ascii="Arial" w:hAnsi="Arial" w:cs="Arial"/>
          <w:sz w:val="22"/>
          <w:szCs w:val="22"/>
        </w:rPr>
      </w:pPr>
      <w:bookmarkStart w:id="3" w:name="_Toc216016233"/>
      <w:r w:rsidRPr="00A81A9B">
        <w:rPr>
          <w:rFonts w:ascii="Arial" w:hAnsi="Arial" w:cs="Arial"/>
          <w:sz w:val="22"/>
          <w:szCs w:val="22"/>
        </w:rPr>
        <w:t>The Digital Professional: Public Visibility and Blogging</w:t>
      </w:r>
      <w:bookmarkEnd w:id="3"/>
    </w:p>
    <w:p w14:paraId="49DDEB3B"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The Week 6 materials introduced a critical pivot in my understanding of professional reputation: the transition from a "static CV" to a dynamic, visible online presence. </w:t>
      </w:r>
      <w:r w:rsidRPr="00FF4A22">
        <w:rPr>
          <w:rFonts w:ascii="Arial" w:hAnsi="Arial" w:cs="Arial"/>
          <w:sz w:val="22"/>
          <w:szCs w:val="22"/>
        </w:rPr>
        <w:lastRenderedPageBreak/>
        <w:t>Historically, the Health and Social Care sector has been conservative regarding digital exposure, often citing privacy and professionalism. However, the module materials on "Opening Doors" (Stansky, 1996) clarify that in a modern recruitment landscape, invisibility is a risk. If potential employers or collaborators cannot find evidence of my expertise, my scope for influence is severely limited.</w:t>
      </w:r>
    </w:p>
    <w:p w14:paraId="61960003"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A key theoretical framework that resonated with me was the "Five Cs" of online presence—Communicating, Collaborating, Connecting, Completing, and Combining (Vuori &amp; Jussila, 2016). This framework dismantled my initial hesitation about "showing off" online. Instead, I now view digital tools as vehicles for </w:t>
      </w:r>
      <w:r w:rsidRPr="00FF4A22">
        <w:rPr>
          <w:rFonts w:ascii="Arial" w:hAnsi="Arial" w:cs="Arial"/>
          <w:i/>
          <w:iCs/>
          <w:sz w:val="22"/>
          <w:szCs w:val="22"/>
        </w:rPr>
        <w:t>Communicating</w:t>
      </w:r>
      <w:r w:rsidRPr="00FF4A22">
        <w:rPr>
          <w:rFonts w:ascii="Arial" w:hAnsi="Arial" w:cs="Arial"/>
          <w:sz w:val="22"/>
          <w:szCs w:val="22"/>
        </w:rPr>
        <w:t xml:space="preserve"> subject matter expertise and </w:t>
      </w:r>
      <w:r w:rsidRPr="00FF4A22">
        <w:rPr>
          <w:rFonts w:ascii="Arial" w:hAnsi="Arial" w:cs="Arial"/>
          <w:i/>
          <w:iCs/>
          <w:sz w:val="22"/>
          <w:szCs w:val="22"/>
        </w:rPr>
        <w:t>Connecting</w:t>
      </w:r>
      <w:r w:rsidRPr="00FF4A22">
        <w:rPr>
          <w:rFonts w:ascii="Arial" w:hAnsi="Arial" w:cs="Arial"/>
          <w:sz w:val="22"/>
          <w:szCs w:val="22"/>
        </w:rPr>
        <w:t xml:space="preserve"> with a broader community of practice. Blogging, specifically, emerged as a potent tool. As noted by Rains and Keating (2011), health blogging is not just about broadcasting; it serves a dual function of "knowledge sharing" and "professional development." Writing about a complex care issue forces me to research, synthesise, and articulate my thoughts clearly—skills that are directly transferable to leadership roles in social care.</w:t>
      </w:r>
    </w:p>
    <w:p w14:paraId="528B5B2A" w14:textId="77777777" w:rsidR="00D07530" w:rsidRPr="00A81A9B" w:rsidRDefault="00D07530" w:rsidP="00604866">
      <w:pPr>
        <w:spacing w:line="360" w:lineRule="auto"/>
        <w:rPr>
          <w:rFonts w:ascii="Arial" w:hAnsi="Arial" w:cs="Arial"/>
          <w:sz w:val="22"/>
          <w:szCs w:val="22"/>
        </w:rPr>
      </w:pPr>
      <w:r w:rsidRPr="00FF4A22">
        <w:rPr>
          <w:rFonts w:ascii="Arial" w:hAnsi="Arial" w:cs="Arial"/>
          <w:sz w:val="22"/>
          <w:szCs w:val="22"/>
        </w:rPr>
        <w:t>In my Week 6 forum contribution (see Evidence 2), I explored this by stating that a professional blog "serves as a powerful accelerator for your career" because it allows you to "establish immediate credibility and subject matter authority." Reflecting on this post, I realise that consistency is key. A single post demonstrates interest, but a consistent "professional narrative" demonstrates reliability and thought leadership. The module’s emphasis on "selling" oneself to employers (Carnevale &amp; Smith, 2013) reinforces this; a well-maintained blog acts as a living portfolio that "pre-sells" my competence before I even enter the interview room. Moving forward, I plan to utilise platforms like LinkedIn not just for job hunting, but to "complete" the cycle of the Five Cs—tagging relevant professionals and contributing to discussions to ensure my personal brand is synonymous with proactive engagement in the health sector.</w:t>
      </w:r>
    </w:p>
    <w:p w14:paraId="3D4E62AD" w14:textId="77777777" w:rsidR="00241559" w:rsidRPr="00FF4A22" w:rsidRDefault="00241559" w:rsidP="00604866">
      <w:pPr>
        <w:spacing w:line="360" w:lineRule="auto"/>
        <w:rPr>
          <w:rFonts w:ascii="Arial" w:hAnsi="Arial" w:cs="Arial"/>
          <w:sz w:val="22"/>
          <w:szCs w:val="22"/>
        </w:rPr>
      </w:pPr>
    </w:p>
    <w:p w14:paraId="6021B71C" w14:textId="3F0BE451" w:rsidR="00D07530" w:rsidRPr="00A81A9B" w:rsidRDefault="00D07530" w:rsidP="00604866">
      <w:pPr>
        <w:pStyle w:val="Heading3"/>
        <w:spacing w:line="360" w:lineRule="auto"/>
        <w:rPr>
          <w:rFonts w:ascii="Arial" w:hAnsi="Arial" w:cs="Arial"/>
          <w:sz w:val="22"/>
          <w:szCs w:val="22"/>
        </w:rPr>
      </w:pPr>
      <w:bookmarkStart w:id="4" w:name="_Toc216016234"/>
      <w:r w:rsidRPr="00A81A9B">
        <w:rPr>
          <w:rFonts w:ascii="Arial" w:hAnsi="Arial" w:cs="Arial"/>
          <w:sz w:val="22"/>
          <w:szCs w:val="22"/>
        </w:rPr>
        <w:t>Future-Proofing: Mentoring and Antifragility</w:t>
      </w:r>
      <w:bookmarkEnd w:id="4"/>
    </w:p>
    <w:p w14:paraId="087A9D91"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The final component of my personal brand development focuses on resilience and growth through relationships. Week 8 introduced the concept of "antifragility"—a term coined by Taleb (2013) to describe systems that not only survive shock and volatility but actually </w:t>
      </w:r>
      <w:r w:rsidRPr="00FF4A22">
        <w:rPr>
          <w:rFonts w:ascii="Arial" w:hAnsi="Arial" w:cs="Arial"/>
          <w:i/>
          <w:iCs/>
          <w:sz w:val="22"/>
          <w:szCs w:val="22"/>
        </w:rPr>
        <w:t>thrive</w:t>
      </w:r>
      <w:r w:rsidRPr="00FF4A22">
        <w:rPr>
          <w:rFonts w:ascii="Arial" w:hAnsi="Arial" w:cs="Arial"/>
          <w:sz w:val="22"/>
          <w:szCs w:val="22"/>
        </w:rPr>
        <w:t xml:space="preserve"> because of it. In the context of Health and Social Care, where "fragility" often stems from workforce constraints and rapid technological change (Sheikh et al., 2021), adopting an antifragile mindset is crucial. It suggests that instead of fearing the disruption caused by </w:t>
      </w:r>
      <w:r w:rsidRPr="00FF4A22">
        <w:rPr>
          <w:rFonts w:ascii="Arial" w:hAnsi="Arial" w:cs="Arial"/>
          <w:sz w:val="22"/>
          <w:szCs w:val="22"/>
        </w:rPr>
        <w:lastRenderedPageBreak/>
        <w:t>digital transformation or policy shifts, I should view these stressors as opportunities to adapt and become stronger.</w:t>
      </w:r>
    </w:p>
    <w:p w14:paraId="62FB88D5"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However, resilience is rarely a solo endeavour. The module strongly emphasised Social Learning Theory (Bandura, 1977), which posits that learning occurs through observing and modelling others. This is the theoretical bedrock of mentoring. I had previously underestimated the necessity of a mentor, assuming they were only for senior executives. The literature by Whiting and de </w:t>
      </w:r>
      <w:proofErr w:type="spellStart"/>
      <w:r w:rsidRPr="00FF4A22">
        <w:rPr>
          <w:rFonts w:ascii="Arial" w:hAnsi="Arial" w:cs="Arial"/>
          <w:sz w:val="22"/>
          <w:szCs w:val="22"/>
        </w:rPr>
        <w:t>Janasz</w:t>
      </w:r>
      <w:proofErr w:type="spellEnd"/>
      <w:r w:rsidRPr="00FF4A22">
        <w:rPr>
          <w:rFonts w:ascii="Arial" w:hAnsi="Arial" w:cs="Arial"/>
          <w:sz w:val="22"/>
          <w:szCs w:val="22"/>
        </w:rPr>
        <w:t xml:space="preserve"> (2004) corrected this, highlighting how mentoring boosts interpersonal skills and expands networks for professionals at </w:t>
      </w:r>
      <w:r w:rsidRPr="00FF4A22">
        <w:rPr>
          <w:rFonts w:ascii="Arial" w:hAnsi="Arial" w:cs="Arial"/>
          <w:i/>
          <w:iCs/>
          <w:sz w:val="22"/>
          <w:szCs w:val="22"/>
        </w:rPr>
        <w:t>all</w:t>
      </w:r>
      <w:r w:rsidRPr="00FF4A22">
        <w:rPr>
          <w:rFonts w:ascii="Arial" w:hAnsi="Arial" w:cs="Arial"/>
          <w:sz w:val="22"/>
          <w:szCs w:val="22"/>
        </w:rPr>
        <w:t xml:space="preserve"> levels. A mentor acts as a bridge between my current capabilities and the "future of employment" (Howard, 2019), helping me navigate the "uneven spread" of technology in the sector by sharing their experienced perspective.</w:t>
      </w:r>
    </w:p>
    <w:p w14:paraId="66BD4651" w14:textId="77777777" w:rsidR="00D07530" w:rsidRPr="00A81A9B" w:rsidRDefault="00D07530" w:rsidP="00604866">
      <w:pPr>
        <w:spacing w:line="360" w:lineRule="auto"/>
        <w:rPr>
          <w:rFonts w:ascii="Arial" w:hAnsi="Arial" w:cs="Arial"/>
          <w:sz w:val="22"/>
          <w:szCs w:val="22"/>
        </w:rPr>
      </w:pPr>
      <w:r w:rsidRPr="00FF4A22">
        <w:rPr>
          <w:rFonts w:ascii="Arial" w:hAnsi="Arial" w:cs="Arial"/>
          <w:sz w:val="22"/>
          <w:szCs w:val="22"/>
        </w:rPr>
        <w:t>In my Week 8 forum post (see Evidence 3), I reflected on this by stating that mentoring is "crucial for high-quality, person-</w:t>
      </w:r>
      <w:proofErr w:type="spellStart"/>
      <w:r w:rsidRPr="00FF4A22">
        <w:rPr>
          <w:rFonts w:ascii="Arial" w:hAnsi="Arial" w:cs="Arial"/>
          <w:sz w:val="22"/>
          <w:szCs w:val="22"/>
        </w:rPr>
        <w:t>centered</w:t>
      </w:r>
      <w:proofErr w:type="spellEnd"/>
      <w:r w:rsidRPr="00FF4A22">
        <w:rPr>
          <w:rFonts w:ascii="Arial" w:hAnsi="Arial" w:cs="Arial"/>
          <w:sz w:val="22"/>
          <w:szCs w:val="22"/>
        </w:rPr>
        <w:t xml:space="preserve"> services and workforce strength." I identified three key benefits: professional development, service quality, and staff support. Upon deeper reflection, I see that the "Staff Support" element is directly linked to antifragility. By having a mentor to guide me through high-pressure scenarios, I am better equipped to convert workplace stress into professional resilience. Furthermore, the advice to "find a mentor who matches your career expectations" (Hyams &amp; </w:t>
      </w:r>
      <w:proofErr w:type="spellStart"/>
      <w:r w:rsidRPr="00FF4A22">
        <w:rPr>
          <w:rFonts w:ascii="Arial" w:hAnsi="Arial" w:cs="Arial"/>
          <w:sz w:val="22"/>
          <w:szCs w:val="22"/>
        </w:rPr>
        <w:t>Ssekasi</w:t>
      </w:r>
      <w:proofErr w:type="spellEnd"/>
      <w:r w:rsidRPr="00FF4A22">
        <w:rPr>
          <w:rFonts w:ascii="Arial" w:hAnsi="Arial" w:cs="Arial"/>
          <w:sz w:val="22"/>
          <w:szCs w:val="22"/>
        </w:rPr>
        <w:t>, 2019) has pushed me to be more strategic. I now understand that to truly future-proof my career, I must proactively seek out role models who embody the digital adaptability and leadership qualities I aspire to, rather than waiting for a mentor to be assigned to me.</w:t>
      </w:r>
    </w:p>
    <w:p w14:paraId="587A9220" w14:textId="77777777" w:rsidR="00241559" w:rsidRPr="00A81A9B" w:rsidRDefault="00241559" w:rsidP="00604866">
      <w:pPr>
        <w:spacing w:line="360" w:lineRule="auto"/>
        <w:rPr>
          <w:rFonts w:ascii="Arial" w:hAnsi="Arial" w:cs="Arial"/>
          <w:sz w:val="22"/>
          <w:szCs w:val="22"/>
        </w:rPr>
      </w:pPr>
    </w:p>
    <w:p w14:paraId="7573753A" w14:textId="77777777" w:rsidR="00241559" w:rsidRPr="00FF4A22" w:rsidRDefault="00241559" w:rsidP="00604866">
      <w:pPr>
        <w:spacing w:line="360" w:lineRule="auto"/>
        <w:rPr>
          <w:rFonts w:ascii="Arial" w:hAnsi="Arial" w:cs="Arial"/>
          <w:sz w:val="22"/>
          <w:szCs w:val="22"/>
        </w:rPr>
      </w:pPr>
    </w:p>
    <w:p w14:paraId="4D719608" w14:textId="5B3AE4E2" w:rsidR="00D07530" w:rsidRPr="00A81A9B" w:rsidRDefault="00D07530" w:rsidP="00604866">
      <w:pPr>
        <w:pStyle w:val="Heading2"/>
        <w:spacing w:line="360" w:lineRule="auto"/>
        <w:rPr>
          <w:rFonts w:ascii="Arial" w:hAnsi="Arial" w:cs="Arial"/>
          <w:sz w:val="22"/>
          <w:szCs w:val="22"/>
        </w:rPr>
      </w:pPr>
      <w:bookmarkStart w:id="5" w:name="_Toc216016235"/>
      <w:r w:rsidRPr="00A81A9B">
        <w:rPr>
          <w:rFonts w:ascii="Arial" w:hAnsi="Arial" w:cs="Arial"/>
          <w:sz w:val="22"/>
          <w:szCs w:val="22"/>
        </w:rPr>
        <w:t>Evidence of Participation</w:t>
      </w:r>
      <w:bookmarkEnd w:id="5"/>
    </w:p>
    <w:p w14:paraId="3F9E379B" w14:textId="77777777" w:rsidR="00D07530" w:rsidRPr="00A81A9B" w:rsidRDefault="00D07530" w:rsidP="00604866">
      <w:pPr>
        <w:spacing w:line="360" w:lineRule="auto"/>
        <w:rPr>
          <w:rFonts w:ascii="Arial" w:hAnsi="Arial" w:cs="Arial"/>
          <w:sz w:val="22"/>
          <w:szCs w:val="22"/>
        </w:rPr>
      </w:pPr>
      <w:bookmarkStart w:id="6" w:name="_Toc216016236"/>
      <w:r w:rsidRPr="00FF4A22">
        <w:rPr>
          <w:rStyle w:val="Heading3Char"/>
          <w:rFonts w:ascii="Arial" w:hAnsi="Arial" w:cs="Arial"/>
          <w:sz w:val="22"/>
          <w:szCs w:val="22"/>
        </w:rPr>
        <w:t>Evidence 1: Week 5 Forum Post</w:t>
      </w:r>
      <w:bookmarkEnd w:id="6"/>
      <w:r w:rsidRPr="00FF4A22">
        <w:rPr>
          <w:rFonts w:ascii="Arial" w:hAnsi="Arial" w:cs="Arial"/>
          <w:sz w:val="22"/>
          <w:szCs w:val="22"/>
        </w:rPr>
        <w:br/>
        <w:t>Topic: What is a Serendipity Mindset?</w:t>
      </w:r>
    </w:p>
    <w:p w14:paraId="1BBC3915" w14:textId="11788A5C" w:rsidR="00241559" w:rsidRPr="00FF4A22" w:rsidRDefault="00241559" w:rsidP="00604866">
      <w:pPr>
        <w:spacing w:line="360" w:lineRule="auto"/>
        <w:rPr>
          <w:rFonts w:ascii="Arial" w:hAnsi="Arial" w:cs="Arial"/>
          <w:sz w:val="22"/>
          <w:szCs w:val="22"/>
        </w:rPr>
      </w:pPr>
      <w:r w:rsidRPr="00A81A9B">
        <w:rPr>
          <w:rFonts w:ascii="Arial" w:hAnsi="Arial" w:cs="Arial"/>
          <w:noProof/>
          <w:sz w:val="22"/>
          <w:szCs w:val="22"/>
        </w:rPr>
        <w:lastRenderedPageBreak/>
        <w:drawing>
          <wp:inline distT="0" distB="0" distL="0" distR="0" wp14:anchorId="5860984E" wp14:editId="3F9A8A00">
            <wp:extent cx="5731510" cy="2739390"/>
            <wp:effectExtent l="0" t="0" r="2540" b="3810"/>
            <wp:docPr id="1925918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18134" name="Picture 1925918134"/>
                    <pic:cNvPicPr/>
                  </pic:nvPicPr>
                  <pic:blipFill>
                    <a:blip r:embed="rId9">
                      <a:extLst>
                        <a:ext uri="{28A0092B-C50C-407E-A947-70E740481C1C}">
                          <a14:useLocalDpi xmlns:a14="http://schemas.microsoft.com/office/drawing/2010/main" val="0"/>
                        </a:ext>
                      </a:extLst>
                    </a:blip>
                    <a:stretch>
                      <a:fillRect/>
                    </a:stretch>
                  </pic:blipFill>
                  <pic:spPr>
                    <a:xfrm>
                      <a:off x="0" y="0"/>
                      <a:ext cx="5731510" cy="2739390"/>
                    </a:xfrm>
                    <a:prstGeom prst="rect">
                      <a:avLst/>
                    </a:prstGeom>
                  </pic:spPr>
                </pic:pic>
              </a:graphicData>
            </a:graphic>
          </wp:inline>
        </w:drawing>
      </w:r>
    </w:p>
    <w:p w14:paraId="33C801A9" w14:textId="27331096"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w:t>
      </w:r>
      <w:r w:rsidR="00A81A9B" w:rsidRPr="00FF4A22">
        <w:rPr>
          <w:rFonts w:ascii="Arial" w:hAnsi="Arial" w:cs="Arial"/>
          <w:sz w:val="22"/>
          <w:szCs w:val="22"/>
        </w:rPr>
        <w:t>Evidence 1</w:t>
      </w:r>
      <w:r w:rsidRPr="00FF4A22">
        <w:rPr>
          <w:rFonts w:ascii="Arial" w:hAnsi="Arial" w:cs="Arial"/>
          <w:sz w:val="22"/>
          <w:szCs w:val="22"/>
        </w:rPr>
        <w:t>)</w:t>
      </w:r>
    </w:p>
    <w:p w14:paraId="1AF48DC2" w14:textId="77777777" w:rsidR="00D07530" w:rsidRPr="00FF4A22" w:rsidRDefault="00D07530" w:rsidP="00604866">
      <w:pPr>
        <w:spacing w:line="360" w:lineRule="auto"/>
        <w:rPr>
          <w:rFonts w:ascii="Arial" w:hAnsi="Arial" w:cs="Arial"/>
          <w:sz w:val="22"/>
          <w:szCs w:val="22"/>
        </w:rPr>
      </w:pPr>
      <w:r w:rsidRPr="00FF4A22">
        <w:rPr>
          <w:rFonts w:ascii="Arial" w:hAnsi="Arial" w:cs="Arial"/>
          <w:b/>
          <w:bCs/>
          <w:sz w:val="22"/>
          <w:szCs w:val="22"/>
        </w:rPr>
        <w:t>Note on Evidence:</w:t>
      </w:r>
      <w:r w:rsidRPr="00FF4A22">
        <w:rPr>
          <w:rFonts w:ascii="Arial" w:hAnsi="Arial" w:cs="Arial"/>
          <w:sz w:val="22"/>
          <w:szCs w:val="22"/>
        </w:rPr>
        <w:br/>
        <w:t xml:space="preserve">In this forum contribution, I defined the "Serendipity Mindset" not as a passive occurrence but as an intentional </w:t>
      </w:r>
      <w:r w:rsidRPr="00A81A9B">
        <w:rPr>
          <w:rFonts w:ascii="Arial" w:hAnsi="Arial" w:cs="Arial"/>
          <w:sz w:val="22"/>
          <w:szCs w:val="22"/>
        </w:rPr>
        <w:t>behavioural</w:t>
      </w:r>
      <w:r w:rsidRPr="00FF4A22">
        <w:rPr>
          <w:rFonts w:ascii="Arial" w:hAnsi="Arial" w:cs="Arial"/>
          <w:sz w:val="22"/>
          <w:szCs w:val="22"/>
        </w:rPr>
        <w:t xml:space="preserve"> strategy. My post emphasizes that luck in a professional context often stems from "observational awareness" and "mental openness." I argued that by actively positioning oneself to recognize value in unexpected events—such as accidental discoveries or strange circumstances—health professionals can transform unforeseen occurrences into positive outcomes. This reflects my learning from the Week 5 material regarding "creating your own luck" and demonstrates my understanding that career resilience requires being receptive to overlooked chances rather than strictly adhering to a rigid plan.</w:t>
      </w:r>
    </w:p>
    <w:p w14:paraId="32EF0B64" w14:textId="69652947" w:rsidR="00D07530" w:rsidRPr="00FF4A22" w:rsidRDefault="00D07530" w:rsidP="00604866">
      <w:pPr>
        <w:spacing w:line="360" w:lineRule="auto"/>
        <w:rPr>
          <w:rFonts w:ascii="Arial" w:hAnsi="Arial" w:cs="Arial"/>
          <w:sz w:val="22"/>
          <w:szCs w:val="22"/>
        </w:rPr>
      </w:pPr>
    </w:p>
    <w:p w14:paraId="1794D2D9" w14:textId="77777777" w:rsidR="00D07530" w:rsidRPr="00A81A9B" w:rsidRDefault="00D07530" w:rsidP="00604866">
      <w:pPr>
        <w:spacing w:line="360" w:lineRule="auto"/>
        <w:rPr>
          <w:rFonts w:ascii="Arial" w:hAnsi="Arial" w:cs="Arial"/>
          <w:sz w:val="22"/>
          <w:szCs w:val="22"/>
        </w:rPr>
      </w:pPr>
      <w:bookmarkStart w:id="7" w:name="_Toc216016237"/>
      <w:r w:rsidRPr="00FF4A22">
        <w:rPr>
          <w:rStyle w:val="Heading3Char"/>
          <w:rFonts w:ascii="Arial" w:hAnsi="Arial" w:cs="Arial"/>
          <w:sz w:val="22"/>
          <w:szCs w:val="22"/>
        </w:rPr>
        <w:t>Evidence 2: Week 6 Forum Post</w:t>
      </w:r>
      <w:bookmarkEnd w:id="7"/>
      <w:r w:rsidRPr="00FF4A22">
        <w:rPr>
          <w:rFonts w:ascii="Arial" w:hAnsi="Arial" w:cs="Arial"/>
          <w:sz w:val="22"/>
          <w:szCs w:val="22"/>
        </w:rPr>
        <w:br/>
      </w:r>
      <w:r w:rsidRPr="00FF4A22">
        <w:rPr>
          <w:rFonts w:ascii="Arial" w:hAnsi="Arial" w:cs="Arial"/>
          <w:b/>
          <w:bCs/>
          <w:sz w:val="22"/>
          <w:szCs w:val="22"/>
        </w:rPr>
        <w:t>Topic:</w:t>
      </w:r>
      <w:r w:rsidRPr="00FF4A22">
        <w:rPr>
          <w:rFonts w:ascii="Arial" w:hAnsi="Arial" w:cs="Arial"/>
          <w:sz w:val="22"/>
          <w:szCs w:val="22"/>
        </w:rPr>
        <w:t xml:space="preserve"> Why is public visibility essential for Health and Social Care professionals?</w:t>
      </w:r>
    </w:p>
    <w:p w14:paraId="54B95F1D" w14:textId="40E7C4DD" w:rsidR="00241559" w:rsidRPr="00FF4A22" w:rsidRDefault="00241559" w:rsidP="00604866">
      <w:pPr>
        <w:spacing w:line="360" w:lineRule="auto"/>
        <w:rPr>
          <w:rFonts w:ascii="Arial" w:hAnsi="Arial" w:cs="Arial"/>
          <w:sz w:val="22"/>
          <w:szCs w:val="22"/>
        </w:rPr>
      </w:pPr>
      <w:r w:rsidRPr="00A81A9B">
        <w:rPr>
          <w:rFonts w:ascii="Arial" w:hAnsi="Arial" w:cs="Arial"/>
          <w:noProof/>
          <w:sz w:val="22"/>
          <w:szCs w:val="22"/>
        </w:rPr>
        <w:lastRenderedPageBreak/>
        <w:drawing>
          <wp:inline distT="0" distB="0" distL="0" distR="0" wp14:anchorId="16783126" wp14:editId="1C83EDE2">
            <wp:extent cx="5731510" cy="2703830"/>
            <wp:effectExtent l="0" t="0" r="2540" b="1270"/>
            <wp:docPr id="185250331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503314" name="Picture 2"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p>
    <w:p w14:paraId="4369884D" w14:textId="3A6D8614"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w:t>
      </w:r>
      <w:r w:rsidR="00A81A9B" w:rsidRPr="00FF4A22">
        <w:rPr>
          <w:rFonts w:ascii="Arial" w:hAnsi="Arial" w:cs="Arial"/>
          <w:sz w:val="22"/>
          <w:szCs w:val="22"/>
        </w:rPr>
        <w:t xml:space="preserve">Evidence </w:t>
      </w:r>
      <w:r w:rsidR="00A81A9B" w:rsidRPr="00A81A9B">
        <w:rPr>
          <w:rFonts w:ascii="Arial" w:hAnsi="Arial" w:cs="Arial"/>
          <w:sz w:val="22"/>
          <w:szCs w:val="22"/>
        </w:rPr>
        <w:t>2</w:t>
      </w:r>
      <w:r w:rsidRPr="00FF4A22">
        <w:rPr>
          <w:rFonts w:ascii="Arial" w:hAnsi="Arial" w:cs="Arial"/>
          <w:sz w:val="22"/>
          <w:szCs w:val="22"/>
        </w:rPr>
        <w:t>)</w:t>
      </w:r>
    </w:p>
    <w:p w14:paraId="429ED806" w14:textId="77777777" w:rsidR="00D07530" w:rsidRPr="00FF4A22" w:rsidRDefault="00D07530" w:rsidP="00604866">
      <w:pPr>
        <w:spacing w:line="360" w:lineRule="auto"/>
        <w:rPr>
          <w:rFonts w:ascii="Arial" w:hAnsi="Arial" w:cs="Arial"/>
          <w:sz w:val="22"/>
          <w:szCs w:val="22"/>
        </w:rPr>
      </w:pPr>
      <w:r w:rsidRPr="00FF4A22">
        <w:rPr>
          <w:rFonts w:ascii="Arial" w:hAnsi="Arial" w:cs="Arial"/>
          <w:b/>
          <w:bCs/>
          <w:sz w:val="22"/>
          <w:szCs w:val="22"/>
        </w:rPr>
        <w:t>Note on Evidence:</w:t>
      </w:r>
      <w:r w:rsidRPr="00FF4A22">
        <w:rPr>
          <w:rFonts w:ascii="Arial" w:hAnsi="Arial" w:cs="Arial"/>
          <w:sz w:val="22"/>
          <w:szCs w:val="22"/>
        </w:rPr>
        <w:br/>
        <w:t>This post explores the necessity of digital visibility in the modern health sector. I moved beyond the traditional view of the CV, arguing that a dynamic online presence—specifically through tools like professional blogging—allows a practitioner to establish "immediate credibility and subject matter authority." I highlighted that consistent content creation demonstrates a commitment to "continuous learning and thought leadership," traits highly valued by recruiters and policymakers. This evidence supports my portfolio's focus on the "Five Cs" (Communicating, Connecting, etc.) by showing how I view digital platforms as tools for shaping a professional narrative and expanding one's sphere of influence within the care community.</w:t>
      </w:r>
    </w:p>
    <w:p w14:paraId="62D24727" w14:textId="68ED88B2" w:rsidR="00D07530" w:rsidRPr="00FF4A22" w:rsidRDefault="00D07530" w:rsidP="00604866">
      <w:pPr>
        <w:spacing w:line="360" w:lineRule="auto"/>
        <w:rPr>
          <w:rFonts w:ascii="Arial" w:hAnsi="Arial" w:cs="Arial"/>
          <w:sz w:val="22"/>
          <w:szCs w:val="22"/>
        </w:rPr>
      </w:pPr>
    </w:p>
    <w:p w14:paraId="38008F5D" w14:textId="77777777" w:rsidR="00D07530" w:rsidRPr="00A81A9B" w:rsidRDefault="00D07530" w:rsidP="00604866">
      <w:pPr>
        <w:spacing w:line="360" w:lineRule="auto"/>
        <w:rPr>
          <w:rFonts w:ascii="Arial" w:hAnsi="Arial" w:cs="Arial"/>
          <w:sz w:val="22"/>
          <w:szCs w:val="22"/>
        </w:rPr>
      </w:pPr>
      <w:bookmarkStart w:id="8" w:name="_Toc216016238"/>
      <w:r w:rsidRPr="00FF4A22">
        <w:rPr>
          <w:rStyle w:val="Heading3Char"/>
          <w:rFonts w:ascii="Arial" w:hAnsi="Arial" w:cs="Arial"/>
          <w:sz w:val="22"/>
          <w:szCs w:val="22"/>
        </w:rPr>
        <w:t>Evidence 3: Week 8 Forum Post</w:t>
      </w:r>
      <w:bookmarkEnd w:id="8"/>
      <w:r w:rsidRPr="00FF4A22">
        <w:rPr>
          <w:rFonts w:ascii="Arial" w:hAnsi="Arial" w:cs="Arial"/>
          <w:sz w:val="22"/>
          <w:szCs w:val="22"/>
        </w:rPr>
        <w:br/>
      </w:r>
      <w:r w:rsidRPr="00FF4A22">
        <w:rPr>
          <w:rFonts w:ascii="Arial" w:hAnsi="Arial" w:cs="Arial"/>
          <w:b/>
          <w:bCs/>
          <w:sz w:val="22"/>
          <w:szCs w:val="22"/>
        </w:rPr>
        <w:t>Topic:</w:t>
      </w:r>
      <w:r w:rsidRPr="00FF4A22">
        <w:rPr>
          <w:rFonts w:ascii="Arial" w:hAnsi="Arial" w:cs="Arial"/>
          <w:sz w:val="22"/>
          <w:szCs w:val="22"/>
        </w:rPr>
        <w:t xml:space="preserve"> The power of mentoring in health &amp; social care.</w:t>
      </w:r>
    </w:p>
    <w:p w14:paraId="00E56428" w14:textId="639A9C3B" w:rsidR="00241559" w:rsidRPr="00FF4A22" w:rsidRDefault="00241559" w:rsidP="00604866">
      <w:pPr>
        <w:spacing w:line="360" w:lineRule="auto"/>
        <w:rPr>
          <w:rFonts w:ascii="Arial" w:hAnsi="Arial" w:cs="Arial"/>
          <w:sz w:val="22"/>
          <w:szCs w:val="22"/>
        </w:rPr>
      </w:pPr>
      <w:r w:rsidRPr="00A81A9B">
        <w:rPr>
          <w:rFonts w:ascii="Arial" w:hAnsi="Arial" w:cs="Arial"/>
          <w:noProof/>
          <w:sz w:val="22"/>
          <w:szCs w:val="22"/>
        </w:rPr>
        <w:lastRenderedPageBreak/>
        <w:drawing>
          <wp:inline distT="0" distB="0" distL="0" distR="0" wp14:anchorId="3D687E64" wp14:editId="355E9197">
            <wp:extent cx="5731510" cy="2626995"/>
            <wp:effectExtent l="0" t="0" r="2540" b="1905"/>
            <wp:docPr id="286802593"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02593" name="Picture 3" descr="A screenshot of a computer"/>
                    <pic:cNvPicPr/>
                  </pic:nvPicPr>
                  <pic:blipFill>
                    <a:blip r:embed="rId11">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inline>
        </w:drawing>
      </w:r>
    </w:p>
    <w:p w14:paraId="0888C7B8" w14:textId="2E456084"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w:t>
      </w:r>
      <w:r w:rsidR="00A81A9B" w:rsidRPr="00FF4A22">
        <w:rPr>
          <w:rFonts w:ascii="Arial" w:hAnsi="Arial" w:cs="Arial"/>
          <w:sz w:val="22"/>
          <w:szCs w:val="22"/>
        </w:rPr>
        <w:t xml:space="preserve">Evidence </w:t>
      </w:r>
      <w:r w:rsidR="00A81A9B" w:rsidRPr="00A81A9B">
        <w:rPr>
          <w:rFonts w:ascii="Arial" w:hAnsi="Arial" w:cs="Arial"/>
          <w:sz w:val="22"/>
          <w:szCs w:val="22"/>
        </w:rPr>
        <w:t>3</w:t>
      </w:r>
      <w:r w:rsidRPr="00FF4A22">
        <w:rPr>
          <w:rFonts w:ascii="Arial" w:hAnsi="Arial" w:cs="Arial"/>
          <w:sz w:val="22"/>
          <w:szCs w:val="22"/>
        </w:rPr>
        <w:t>)</w:t>
      </w:r>
    </w:p>
    <w:p w14:paraId="026284A9" w14:textId="7D9C5E4B" w:rsidR="00D07530" w:rsidRPr="00FF4A22" w:rsidRDefault="00D07530" w:rsidP="00604866">
      <w:pPr>
        <w:spacing w:line="360" w:lineRule="auto"/>
        <w:rPr>
          <w:rFonts w:ascii="Arial" w:hAnsi="Arial" w:cs="Arial"/>
          <w:sz w:val="22"/>
          <w:szCs w:val="22"/>
        </w:rPr>
      </w:pPr>
      <w:r w:rsidRPr="00FF4A22">
        <w:rPr>
          <w:rFonts w:ascii="Arial" w:hAnsi="Arial" w:cs="Arial"/>
          <w:b/>
          <w:bCs/>
          <w:sz w:val="22"/>
          <w:szCs w:val="22"/>
        </w:rPr>
        <w:t>Note on Evidence:</w:t>
      </w:r>
      <w:r w:rsidRPr="00FF4A22">
        <w:rPr>
          <w:rFonts w:ascii="Arial" w:hAnsi="Arial" w:cs="Arial"/>
          <w:sz w:val="22"/>
          <w:szCs w:val="22"/>
        </w:rPr>
        <w:br/>
        <w:t>My final piece of evidence addresses the critical role of mentoring in sustaining workforce strength and service quality. I categorized the benefits into three distinct pillars: Professional Development (skill transfer from experienced staff), Service Quality (enhancing reflective practice), and Staff Support (emotional resilience and retention). This post demonstrates a deep engagement with Social Learning Theory, acknowledging that high-quality, person-</w:t>
      </w:r>
      <w:r w:rsidR="00241559" w:rsidRPr="00A81A9B">
        <w:rPr>
          <w:rFonts w:ascii="Arial" w:hAnsi="Arial" w:cs="Arial"/>
          <w:sz w:val="22"/>
          <w:szCs w:val="22"/>
        </w:rPr>
        <w:t>centred</w:t>
      </w:r>
      <w:r w:rsidRPr="00FF4A22">
        <w:rPr>
          <w:rFonts w:ascii="Arial" w:hAnsi="Arial" w:cs="Arial"/>
          <w:sz w:val="22"/>
          <w:szCs w:val="22"/>
        </w:rPr>
        <w:t xml:space="preserve"> services rely on the support structures built between colleagues. It reflects my conclusion that "antifragility" in a demanding field like health and social care is best achieved through strong, supportive mentorship relationships.</w:t>
      </w:r>
    </w:p>
    <w:p w14:paraId="1887FE52" w14:textId="77777777" w:rsidR="00D07530" w:rsidRPr="00FF4A22" w:rsidRDefault="00D07530" w:rsidP="00604866">
      <w:pPr>
        <w:spacing w:line="360" w:lineRule="auto"/>
        <w:rPr>
          <w:rFonts w:ascii="Arial" w:hAnsi="Arial" w:cs="Arial"/>
          <w:sz w:val="22"/>
          <w:szCs w:val="22"/>
        </w:rPr>
      </w:pPr>
    </w:p>
    <w:p w14:paraId="343448BD" w14:textId="7BA1F0D3" w:rsidR="00D07530" w:rsidRPr="00FF4A22" w:rsidRDefault="00D07530" w:rsidP="00604866">
      <w:pPr>
        <w:spacing w:line="360" w:lineRule="auto"/>
        <w:rPr>
          <w:rFonts w:ascii="Arial" w:hAnsi="Arial" w:cs="Arial"/>
          <w:sz w:val="22"/>
          <w:szCs w:val="22"/>
        </w:rPr>
      </w:pPr>
    </w:p>
    <w:p w14:paraId="54D746F0" w14:textId="77777777" w:rsidR="00D07530" w:rsidRPr="00A81A9B" w:rsidRDefault="00D07530" w:rsidP="00604866">
      <w:pPr>
        <w:pStyle w:val="Heading2"/>
        <w:spacing w:line="360" w:lineRule="auto"/>
        <w:rPr>
          <w:rFonts w:ascii="Arial" w:hAnsi="Arial" w:cs="Arial"/>
          <w:sz w:val="22"/>
          <w:szCs w:val="22"/>
        </w:rPr>
      </w:pPr>
      <w:bookmarkStart w:id="9" w:name="_Toc216016239"/>
      <w:r w:rsidRPr="00A81A9B">
        <w:rPr>
          <w:rFonts w:ascii="Arial" w:hAnsi="Arial" w:cs="Arial"/>
          <w:sz w:val="22"/>
          <w:szCs w:val="22"/>
        </w:rPr>
        <w:t>Conclusion</w:t>
      </w:r>
      <w:bookmarkEnd w:id="9"/>
    </w:p>
    <w:p w14:paraId="61C93B94"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In conclusion, this portfolio has charted my development from a student of Health and Social Care to an emerging professional with a clear, sustainable brand strategy. By integrating the "Serendipity Mindset," I have shifted my focus from passive waiting to active opportunity creation, understanding that luck is often a product of preparation and observational awareness. The exploration of "Public Visibility" has equipped me with the digital tools to articulate this value proposition to a wider audience, ensuring that my expertise is discoverable and credible. Finally, the commitment to "Mentoring and Antifragility" provides the safety net and growth mechanism required to navigate a volatile sector.</w:t>
      </w:r>
    </w:p>
    <w:p w14:paraId="7FFF8729"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These three pillars—Mindset, Visibility, and Mentoring—form the foundation of a career that is not just resilient, but antifragile. I am now confident that by maintaining a "Sweet Spot" </w:t>
      </w:r>
      <w:r w:rsidRPr="00FF4A22">
        <w:rPr>
          <w:rFonts w:ascii="Arial" w:hAnsi="Arial" w:cs="Arial"/>
          <w:sz w:val="22"/>
          <w:szCs w:val="22"/>
        </w:rPr>
        <w:lastRenderedPageBreak/>
        <w:t>between my skills and market needs, and by consistently engaging with my professional community both online and offline, I can secure sustainable employment that evolves in tandem with the healthcare landscape.</w:t>
      </w:r>
    </w:p>
    <w:p w14:paraId="08F12D67" w14:textId="0EA0B888" w:rsidR="00D07530" w:rsidRPr="00FF4A22" w:rsidRDefault="00D07530" w:rsidP="00604866">
      <w:pPr>
        <w:spacing w:line="360" w:lineRule="auto"/>
        <w:rPr>
          <w:rFonts w:ascii="Arial" w:hAnsi="Arial" w:cs="Arial"/>
          <w:sz w:val="22"/>
          <w:szCs w:val="22"/>
        </w:rPr>
      </w:pPr>
    </w:p>
    <w:p w14:paraId="2767857D" w14:textId="493F4247" w:rsidR="00D07530" w:rsidRPr="00A81A9B" w:rsidRDefault="00D07530" w:rsidP="00604866">
      <w:pPr>
        <w:pStyle w:val="Heading3"/>
        <w:spacing w:line="360" w:lineRule="auto"/>
        <w:rPr>
          <w:rFonts w:ascii="Arial" w:hAnsi="Arial" w:cs="Arial"/>
          <w:sz w:val="22"/>
          <w:szCs w:val="22"/>
        </w:rPr>
      </w:pPr>
      <w:bookmarkStart w:id="10" w:name="_Toc216016240"/>
      <w:r w:rsidRPr="00A81A9B">
        <w:rPr>
          <w:rFonts w:ascii="Arial" w:hAnsi="Arial" w:cs="Arial"/>
          <w:sz w:val="22"/>
          <w:szCs w:val="22"/>
        </w:rPr>
        <w:t xml:space="preserve">References </w:t>
      </w:r>
      <w:r w:rsidR="00241559" w:rsidRPr="00A81A9B">
        <w:rPr>
          <w:rFonts w:ascii="Arial" w:hAnsi="Arial" w:cs="Arial"/>
          <w:sz w:val="22"/>
          <w:szCs w:val="22"/>
        </w:rPr>
        <w:t>l</w:t>
      </w:r>
      <w:r w:rsidRPr="00A81A9B">
        <w:rPr>
          <w:rFonts w:ascii="Arial" w:hAnsi="Arial" w:cs="Arial"/>
          <w:sz w:val="22"/>
          <w:szCs w:val="22"/>
        </w:rPr>
        <w:t>ist</w:t>
      </w:r>
      <w:bookmarkEnd w:id="10"/>
    </w:p>
    <w:p w14:paraId="4978C14F" w14:textId="77777777" w:rsidR="00D07530" w:rsidRPr="00FF4A22" w:rsidRDefault="00D07530" w:rsidP="00604866">
      <w:pPr>
        <w:spacing w:line="360" w:lineRule="auto"/>
        <w:rPr>
          <w:rFonts w:ascii="Arial" w:hAnsi="Arial" w:cs="Arial"/>
          <w:sz w:val="22"/>
          <w:szCs w:val="22"/>
        </w:rPr>
      </w:pPr>
      <w:proofErr w:type="spellStart"/>
      <w:r w:rsidRPr="00FF4A22">
        <w:rPr>
          <w:rFonts w:ascii="Arial" w:hAnsi="Arial" w:cs="Arial"/>
          <w:sz w:val="22"/>
          <w:szCs w:val="22"/>
        </w:rPr>
        <w:t>Aicinena</w:t>
      </w:r>
      <w:proofErr w:type="spellEnd"/>
      <w:r w:rsidRPr="00FF4A22">
        <w:rPr>
          <w:rFonts w:ascii="Arial" w:hAnsi="Arial" w:cs="Arial"/>
          <w:sz w:val="22"/>
          <w:szCs w:val="22"/>
        </w:rPr>
        <w:t xml:space="preserve">, S. (2013) </w:t>
      </w:r>
      <w:r w:rsidRPr="00FF4A22">
        <w:rPr>
          <w:rFonts w:ascii="Arial" w:hAnsi="Arial" w:cs="Arial"/>
          <w:i/>
          <w:iCs/>
          <w:sz w:val="22"/>
          <w:szCs w:val="22"/>
        </w:rPr>
        <w:t>Through the Grapevine: The Business of Social Media</w:t>
      </w:r>
      <w:r w:rsidRPr="00FF4A22">
        <w:rPr>
          <w:rFonts w:ascii="Arial" w:hAnsi="Arial" w:cs="Arial"/>
          <w:sz w:val="22"/>
          <w:szCs w:val="22"/>
        </w:rPr>
        <w:t>. New York: Workman Publishing.</w:t>
      </w:r>
    </w:p>
    <w:p w14:paraId="389CD6AE"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Bandura, A. (1977) </w:t>
      </w:r>
      <w:r w:rsidRPr="00FF4A22">
        <w:rPr>
          <w:rFonts w:ascii="Arial" w:hAnsi="Arial" w:cs="Arial"/>
          <w:i/>
          <w:iCs/>
          <w:sz w:val="22"/>
          <w:szCs w:val="22"/>
        </w:rPr>
        <w:t>Social Learning Theory</w:t>
      </w:r>
      <w:r w:rsidRPr="00FF4A22">
        <w:rPr>
          <w:rFonts w:ascii="Arial" w:hAnsi="Arial" w:cs="Arial"/>
          <w:sz w:val="22"/>
          <w:szCs w:val="22"/>
        </w:rPr>
        <w:t>. Englewood Cliffs, NJ: Prentice Hall.</w:t>
      </w:r>
    </w:p>
    <w:p w14:paraId="73E4A906"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Bury, M. (2013) </w:t>
      </w:r>
      <w:r w:rsidRPr="00FF4A22">
        <w:rPr>
          <w:rFonts w:ascii="Arial" w:hAnsi="Arial" w:cs="Arial"/>
          <w:i/>
          <w:iCs/>
          <w:sz w:val="22"/>
          <w:szCs w:val="22"/>
        </w:rPr>
        <w:t>Health and Illness in a Changing Society</w:t>
      </w:r>
      <w:r w:rsidRPr="00FF4A22">
        <w:rPr>
          <w:rFonts w:ascii="Arial" w:hAnsi="Arial" w:cs="Arial"/>
          <w:sz w:val="22"/>
          <w:szCs w:val="22"/>
        </w:rPr>
        <w:t>. London: Routledge.</w:t>
      </w:r>
    </w:p>
    <w:p w14:paraId="263546E3"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Carnevale, A.P. and Smith, N. (2013) 'Workplace basics: The skills employees need and employers want', </w:t>
      </w:r>
      <w:r w:rsidRPr="00FF4A22">
        <w:rPr>
          <w:rFonts w:ascii="Arial" w:hAnsi="Arial" w:cs="Arial"/>
          <w:i/>
          <w:iCs/>
          <w:sz w:val="22"/>
          <w:szCs w:val="22"/>
        </w:rPr>
        <w:t>Workforce Development</w:t>
      </w:r>
      <w:r w:rsidRPr="00FF4A22">
        <w:rPr>
          <w:rFonts w:ascii="Arial" w:hAnsi="Arial" w:cs="Arial"/>
          <w:sz w:val="22"/>
          <w:szCs w:val="22"/>
        </w:rPr>
        <w:t>, 12(3), pp. 22-34.</w:t>
      </w:r>
    </w:p>
    <w:p w14:paraId="64ED481B" w14:textId="77777777" w:rsidR="00D07530" w:rsidRPr="00FF4A22" w:rsidRDefault="00D07530" w:rsidP="00604866">
      <w:pPr>
        <w:spacing w:line="360" w:lineRule="auto"/>
        <w:rPr>
          <w:rFonts w:ascii="Arial" w:hAnsi="Arial" w:cs="Arial"/>
          <w:sz w:val="22"/>
          <w:szCs w:val="22"/>
        </w:rPr>
      </w:pPr>
      <w:proofErr w:type="spellStart"/>
      <w:r w:rsidRPr="00FF4A22">
        <w:rPr>
          <w:rFonts w:ascii="Arial" w:hAnsi="Arial" w:cs="Arial"/>
          <w:sz w:val="22"/>
          <w:szCs w:val="22"/>
        </w:rPr>
        <w:t>Heinström</w:t>
      </w:r>
      <w:proofErr w:type="spellEnd"/>
      <w:r w:rsidRPr="00FF4A22">
        <w:rPr>
          <w:rFonts w:ascii="Arial" w:hAnsi="Arial" w:cs="Arial"/>
          <w:sz w:val="22"/>
          <w:szCs w:val="22"/>
        </w:rPr>
        <w:t xml:space="preserve">, J. and Sormunen, E. (2020) 'Serendipity as chaos or discovery—exploring the role of personality and sense of coherence', </w:t>
      </w:r>
      <w:r w:rsidRPr="00FF4A22">
        <w:rPr>
          <w:rFonts w:ascii="Arial" w:hAnsi="Arial" w:cs="Arial"/>
          <w:i/>
          <w:iCs/>
          <w:sz w:val="22"/>
          <w:szCs w:val="22"/>
        </w:rPr>
        <w:t>Journal of Documentation</w:t>
      </w:r>
      <w:r w:rsidRPr="00FF4A22">
        <w:rPr>
          <w:rFonts w:ascii="Arial" w:hAnsi="Arial" w:cs="Arial"/>
          <w:sz w:val="22"/>
          <w:szCs w:val="22"/>
        </w:rPr>
        <w:t>, 76(4), pp. 883-899.</w:t>
      </w:r>
    </w:p>
    <w:p w14:paraId="7DF4253F"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Howard, J. (2019) 'Artificial intelligence: Implications for the future of work', </w:t>
      </w:r>
      <w:r w:rsidRPr="00FF4A22">
        <w:rPr>
          <w:rFonts w:ascii="Arial" w:hAnsi="Arial" w:cs="Arial"/>
          <w:i/>
          <w:iCs/>
          <w:sz w:val="22"/>
          <w:szCs w:val="22"/>
        </w:rPr>
        <w:t>American Journal of Industrial Medicine</w:t>
      </w:r>
      <w:r w:rsidRPr="00FF4A22">
        <w:rPr>
          <w:rFonts w:ascii="Arial" w:hAnsi="Arial" w:cs="Arial"/>
          <w:sz w:val="22"/>
          <w:szCs w:val="22"/>
        </w:rPr>
        <w:t>, 62(11), pp. 917-926.</w:t>
      </w:r>
    </w:p>
    <w:p w14:paraId="1A45E23E"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Hyams-</w:t>
      </w:r>
      <w:proofErr w:type="spellStart"/>
      <w:r w:rsidRPr="00FF4A22">
        <w:rPr>
          <w:rFonts w:ascii="Arial" w:hAnsi="Arial" w:cs="Arial"/>
          <w:sz w:val="22"/>
          <w:szCs w:val="22"/>
        </w:rPr>
        <w:t>Ssekasi</w:t>
      </w:r>
      <w:proofErr w:type="spellEnd"/>
      <w:r w:rsidRPr="00FF4A22">
        <w:rPr>
          <w:rFonts w:ascii="Arial" w:hAnsi="Arial" w:cs="Arial"/>
          <w:sz w:val="22"/>
          <w:szCs w:val="22"/>
        </w:rPr>
        <w:t xml:space="preserve">, D. and Caldwell, E. (eds.) (2019) </w:t>
      </w:r>
      <w:r w:rsidRPr="00FF4A22">
        <w:rPr>
          <w:rFonts w:ascii="Arial" w:hAnsi="Arial" w:cs="Arial"/>
          <w:i/>
          <w:iCs/>
          <w:sz w:val="22"/>
          <w:szCs w:val="22"/>
        </w:rPr>
        <w:t>Experiential Learning for Social Justice: Global Perspectives</w:t>
      </w:r>
      <w:r w:rsidRPr="00FF4A22">
        <w:rPr>
          <w:rFonts w:ascii="Arial" w:hAnsi="Arial" w:cs="Arial"/>
          <w:sz w:val="22"/>
          <w:szCs w:val="22"/>
        </w:rPr>
        <w:t>. Cham: Palgrave Macmillan.</w:t>
      </w:r>
    </w:p>
    <w:p w14:paraId="06051DD9"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Pina e Cunha, M., </w:t>
      </w:r>
      <w:proofErr w:type="spellStart"/>
      <w:r w:rsidRPr="00FF4A22">
        <w:rPr>
          <w:rFonts w:ascii="Arial" w:hAnsi="Arial" w:cs="Arial"/>
          <w:sz w:val="22"/>
          <w:szCs w:val="22"/>
        </w:rPr>
        <w:t>Giustiniano</w:t>
      </w:r>
      <w:proofErr w:type="spellEnd"/>
      <w:r w:rsidRPr="00FF4A22">
        <w:rPr>
          <w:rFonts w:ascii="Arial" w:hAnsi="Arial" w:cs="Arial"/>
          <w:sz w:val="22"/>
          <w:szCs w:val="22"/>
        </w:rPr>
        <w:t xml:space="preserve">, L., Rego, A. and Clegg, S. (2017) 'Mission impossible? The paradoxes of stretch goal setting', </w:t>
      </w:r>
      <w:r w:rsidRPr="00FF4A22">
        <w:rPr>
          <w:rFonts w:ascii="Arial" w:hAnsi="Arial" w:cs="Arial"/>
          <w:i/>
          <w:iCs/>
          <w:sz w:val="22"/>
          <w:szCs w:val="22"/>
        </w:rPr>
        <w:t>Management Learning</w:t>
      </w:r>
      <w:r w:rsidRPr="00FF4A22">
        <w:rPr>
          <w:rFonts w:ascii="Arial" w:hAnsi="Arial" w:cs="Arial"/>
          <w:sz w:val="22"/>
          <w:szCs w:val="22"/>
        </w:rPr>
        <w:t>, 48(2), pp. 140-157.</w:t>
      </w:r>
    </w:p>
    <w:p w14:paraId="0D56BF96"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Rains, S.A. and Keating, D.M. (2011) 'The social dimension of blogging about health: Health blogging, social support, and well-being', </w:t>
      </w:r>
      <w:r w:rsidRPr="00FF4A22">
        <w:rPr>
          <w:rFonts w:ascii="Arial" w:hAnsi="Arial" w:cs="Arial"/>
          <w:i/>
          <w:iCs/>
          <w:sz w:val="22"/>
          <w:szCs w:val="22"/>
        </w:rPr>
        <w:t>Communication Monographs</w:t>
      </w:r>
      <w:r w:rsidRPr="00FF4A22">
        <w:rPr>
          <w:rFonts w:ascii="Arial" w:hAnsi="Arial" w:cs="Arial"/>
          <w:sz w:val="22"/>
          <w:szCs w:val="22"/>
        </w:rPr>
        <w:t>, 78(4), pp. 511-534.</w:t>
      </w:r>
    </w:p>
    <w:p w14:paraId="5400A858"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Sheikh, A., Anderson, M., Albala, S., Casadei, B., Franklin, B.D., Richards, M., Taylor, D., Tibble, H. and </w:t>
      </w:r>
      <w:proofErr w:type="spellStart"/>
      <w:r w:rsidRPr="00FF4A22">
        <w:rPr>
          <w:rFonts w:ascii="Arial" w:hAnsi="Arial" w:cs="Arial"/>
          <w:sz w:val="22"/>
          <w:szCs w:val="22"/>
        </w:rPr>
        <w:t>Mossialos</w:t>
      </w:r>
      <w:proofErr w:type="spellEnd"/>
      <w:r w:rsidRPr="00FF4A22">
        <w:rPr>
          <w:rFonts w:ascii="Arial" w:hAnsi="Arial" w:cs="Arial"/>
          <w:sz w:val="22"/>
          <w:szCs w:val="22"/>
        </w:rPr>
        <w:t xml:space="preserve">, E. (2021) 'Health information technology and digital innovation for national learning health and care systems', </w:t>
      </w:r>
      <w:r w:rsidRPr="00FF4A22">
        <w:rPr>
          <w:rFonts w:ascii="Arial" w:hAnsi="Arial" w:cs="Arial"/>
          <w:i/>
          <w:iCs/>
          <w:sz w:val="22"/>
          <w:szCs w:val="22"/>
        </w:rPr>
        <w:t>The Lancet Digital Health</w:t>
      </w:r>
      <w:r w:rsidRPr="00FF4A22">
        <w:rPr>
          <w:rFonts w:ascii="Arial" w:hAnsi="Arial" w:cs="Arial"/>
          <w:sz w:val="22"/>
          <w:szCs w:val="22"/>
        </w:rPr>
        <w:t>, 3(6), pp. e383-e396.</w:t>
      </w:r>
    </w:p>
    <w:p w14:paraId="3847236B"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Stansky, L.J. (1996) 'Opening doors', </w:t>
      </w:r>
      <w:r w:rsidRPr="00FF4A22">
        <w:rPr>
          <w:rFonts w:ascii="Arial" w:hAnsi="Arial" w:cs="Arial"/>
          <w:i/>
          <w:iCs/>
          <w:sz w:val="22"/>
          <w:szCs w:val="22"/>
        </w:rPr>
        <w:t>ABA Journal</w:t>
      </w:r>
      <w:r w:rsidRPr="00FF4A22">
        <w:rPr>
          <w:rFonts w:ascii="Arial" w:hAnsi="Arial" w:cs="Arial"/>
          <w:sz w:val="22"/>
          <w:szCs w:val="22"/>
        </w:rPr>
        <w:t>, 82, p. 66.</w:t>
      </w:r>
    </w:p>
    <w:p w14:paraId="1C26857B"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Taleb, N.N. (2013) </w:t>
      </w:r>
      <w:r w:rsidRPr="00FF4A22">
        <w:rPr>
          <w:rFonts w:ascii="Arial" w:hAnsi="Arial" w:cs="Arial"/>
          <w:i/>
          <w:iCs/>
          <w:sz w:val="22"/>
          <w:szCs w:val="22"/>
        </w:rPr>
        <w:t>Antifragile: Things That Gain from Disorder</w:t>
      </w:r>
      <w:r w:rsidRPr="00FF4A22">
        <w:rPr>
          <w:rFonts w:ascii="Arial" w:hAnsi="Arial" w:cs="Arial"/>
          <w:sz w:val="22"/>
          <w:szCs w:val="22"/>
        </w:rPr>
        <w:t>. London: Penguin Books.</w:t>
      </w:r>
    </w:p>
    <w:p w14:paraId="0CDB8FB6" w14:textId="77777777" w:rsidR="00D07530" w:rsidRPr="00FF4A22" w:rsidRDefault="00D07530" w:rsidP="00604866">
      <w:pPr>
        <w:spacing w:line="360" w:lineRule="auto"/>
        <w:rPr>
          <w:rFonts w:ascii="Arial" w:hAnsi="Arial" w:cs="Arial"/>
          <w:sz w:val="22"/>
          <w:szCs w:val="22"/>
        </w:rPr>
      </w:pPr>
      <w:r w:rsidRPr="00FF4A22">
        <w:rPr>
          <w:rFonts w:ascii="Arial" w:hAnsi="Arial" w:cs="Arial"/>
          <w:sz w:val="22"/>
          <w:szCs w:val="22"/>
        </w:rPr>
        <w:t xml:space="preserve">Vuori, V. and Jussila, J. (2016) 'The 5C category of social media tools', in </w:t>
      </w:r>
      <w:r w:rsidRPr="00FF4A22">
        <w:rPr>
          <w:rFonts w:ascii="Arial" w:hAnsi="Arial" w:cs="Arial"/>
          <w:i/>
          <w:iCs/>
          <w:sz w:val="22"/>
          <w:szCs w:val="22"/>
        </w:rPr>
        <w:t xml:space="preserve">Proceedings of the 20th International Academic </w:t>
      </w:r>
      <w:proofErr w:type="spellStart"/>
      <w:r w:rsidRPr="00FF4A22">
        <w:rPr>
          <w:rFonts w:ascii="Arial" w:hAnsi="Arial" w:cs="Arial"/>
          <w:i/>
          <w:iCs/>
          <w:sz w:val="22"/>
          <w:szCs w:val="22"/>
        </w:rPr>
        <w:t>Mindtrek</w:t>
      </w:r>
      <w:proofErr w:type="spellEnd"/>
      <w:r w:rsidRPr="00FF4A22">
        <w:rPr>
          <w:rFonts w:ascii="Arial" w:hAnsi="Arial" w:cs="Arial"/>
          <w:i/>
          <w:iCs/>
          <w:sz w:val="22"/>
          <w:szCs w:val="22"/>
        </w:rPr>
        <w:t xml:space="preserve"> Conference</w:t>
      </w:r>
      <w:r w:rsidRPr="00FF4A22">
        <w:rPr>
          <w:rFonts w:ascii="Arial" w:hAnsi="Arial" w:cs="Arial"/>
          <w:sz w:val="22"/>
          <w:szCs w:val="22"/>
        </w:rPr>
        <w:t>. Tampere, Finland: ACM, pp. 26-33.</w:t>
      </w:r>
    </w:p>
    <w:p w14:paraId="19D359C3" w14:textId="1AE2F560" w:rsidR="00D07530" w:rsidRPr="00A81A9B" w:rsidRDefault="00D07530" w:rsidP="00604866">
      <w:pPr>
        <w:spacing w:line="360" w:lineRule="auto"/>
        <w:rPr>
          <w:rFonts w:ascii="Arial" w:hAnsi="Arial" w:cs="Arial"/>
          <w:sz w:val="22"/>
          <w:szCs w:val="22"/>
        </w:rPr>
      </w:pPr>
      <w:r w:rsidRPr="00FF4A22">
        <w:rPr>
          <w:rFonts w:ascii="Arial" w:hAnsi="Arial" w:cs="Arial"/>
          <w:sz w:val="22"/>
          <w:szCs w:val="22"/>
        </w:rPr>
        <w:t xml:space="preserve">Whiting, V.R. and de </w:t>
      </w:r>
      <w:proofErr w:type="spellStart"/>
      <w:r w:rsidRPr="00FF4A22">
        <w:rPr>
          <w:rFonts w:ascii="Arial" w:hAnsi="Arial" w:cs="Arial"/>
          <w:sz w:val="22"/>
          <w:szCs w:val="22"/>
        </w:rPr>
        <w:t>Janasz</w:t>
      </w:r>
      <w:proofErr w:type="spellEnd"/>
      <w:r w:rsidRPr="00FF4A22">
        <w:rPr>
          <w:rFonts w:ascii="Arial" w:hAnsi="Arial" w:cs="Arial"/>
          <w:sz w:val="22"/>
          <w:szCs w:val="22"/>
        </w:rPr>
        <w:t xml:space="preserve">, S.C. (2004) 'Mentoring in the 21st century: Using the internet to build skills and networks', </w:t>
      </w:r>
      <w:r w:rsidRPr="00FF4A22">
        <w:rPr>
          <w:rFonts w:ascii="Arial" w:hAnsi="Arial" w:cs="Arial"/>
          <w:i/>
          <w:iCs/>
          <w:sz w:val="22"/>
          <w:szCs w:val="22"/>
        </w:rPr>
        <w:t>Journal of Management Education</w:t>
      </w:r>
      <w:r w:rsidRPr="00FF4A22">
        <w:rPr>
          <w:rFonts w:ascii="Arial" w:hAnsi="Arial" w:cs="Arial"/>
          <w:sz w:val="22"/>
          <w:szCs w:val="22"/>
        </w:rPr>
        <w:t>, 28(3), pp. 275-293.</w:t>
      </w:r>
    </w:p>
    <w:p w14:paraId="343C321D" w14:textId="77777777" w:rsidR="00026207" w:rsidRPr="00A81A9B" w:rsidRDefault="00026207" w:rsidP="00604866">
      <w:pPr>
        <w:spacing w:line="360" w:lineRule="auto"/>
        <w:rPr>
          <w:rFonts w:ascii="Arial" w:hAnsi="Arial" w:cs="Arial"/>
          <w:sz w:val="22"/>
          <w:szCs w:val="22"/>
        </w:rPr>
      </w:pPr>
    </w:p>
    <w:sectPr w:rsidR="00026207" w:rsidRPr="00A81A9B" w:rsidSect="00C6636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DC482" w14:textId="77777777" w:rsidR="00C352FA" w:rsidRDefault="00C352FA" w:rsidP="00C66366">
      <w:pPr>
        <w:spacing w:after="0" w:line="240" w:lineRule="auto"/>
      </w:pPr>
      <w:r>
        <w:separator/>
      </w:r>
    </w:p>
  </w:endnote>
  <w:endnote w:type="continuationSeparator" w:id="0">
    <w:p w14:paraId="5E138CCF" w14:textId="77777777" w:rsidR="00C352FA" w:rsidRDefault="00C352FA" w:rsidP="00C66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767B9" w14:textId="77777777" w:rsidR="00C66366" w:rsidRDefault="00C663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B199B2" w14:textId="77777777" w:rsidR="00C66366" w:rsidRDefault="00C66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4F567" w14:textId="77777777" w:rsidR="00C352FA" w:rsidRDefault="00C352FA" w:rsidP="00C66366">
      <w:pPr>
        <w:spacing w:after="0" w:line="240" w:lineRule="auto"/>
      </w:pPr>
      <w:r>
        <w:separator/>
      </w:r>
    </w:p>
  </w:footnote>
  <w:footnote w:type="continuationSeparator" w:id="0">
    <w:p w14:paraId="436FD2AD" w14:textId="77777777" w:rsidR="00C352FA" w:rsidRDefault="00C352FA" w:rsidP="00C66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C424E"/>
    <w:multiLevelType w:val="multilevel"/>
    <w:tmpl w:val="FF3A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B44F67"/>
    <w:multiLevelType w:val="multilevel"/>
    <w:tmpl w:val="EEA0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97799D"/>
    <w:multiLevelType w:val="multilevel"/>
    <w:tmpl w:val="7CA6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0315C1"/>
    <w:multiLevelType w:val="multilevel"/>
    <w:tmpl w:val="77D4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816B02"/>
    <w:multiLevelType w:val="multilevel"/>
    <w:tmpl w:val="07E6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5C59EB"/>
    <w:multiLevelType w:val="multilevel"/>
    <w:tmpl w:val="B69C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5A144B"/>
    <w:multiLevelType w:val="multilevel"/>
    <w:tmpl w:val="64EE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9230661">
    <w:abstractNumId w:val="6"/>
  </w:num>
  <w:num w:numId="2" w16cid:durableId="371002473">
    <w:abstractNumId w:val="2"/>
  </w:num>
  <w:num w:numId="3" w16cid:durableId="203905648">
    <w:abstractNumId w:val="4"/>
  </w:num>
  <w:num w:numId="4" w16cid:durableId="26608239">
    <w:abstractNumId w:val="3"/>
  </w:num>
  <w:num w:numId="5" w16cid:durableId="78598701">
    <w:abstractNumId w:val="0"/>
  </w:num>
  <w:num w:numId="6" w16cid:durableId="375928342">
    <w:abstractNumId w:val="1"/>
  </w:num>
  <w:num w:numId="7" w16cid:durableId="4274306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BB"/>
    <w:rsid w:val="000112DD"/>
    <w:rsid w:val="00026207"/>
    <w:rsid w:val="000B651D"/>
    <w:rsid w:val="00241559"/>
    <w:rsid w:val="0026419D"/>
    <w:rsid w:val="00276B44"/>
    <w:rsid w:val="002A0A2F"/>
    <w:rsid w:val="002D28F3"/>
    <w:rsid w:val="00315DF6"/>
    <w:rsid w:val="00331441"/>
    <w:rsid w:val="00351888"/>
    <w:rsid w:val="003A3864"/>
    <w:rsid w:val="003A500B"/>
    <w:rsid w:val="0044153D"/>
    <w:rsid w:val="00465B92"/>
    <w:rsid w:val="00511766"/>
    <w:rsid w:val="005967AC"/>
    <w:rsid w:val="00604866"/>
    <w:rsid w:val="00642D7B"/>
    <w:rsid w:val="00684D02"/>
    <w:rsid w:val="0069025E"/>
    <w:rsid w:val="007A78CE"/>
    <w:rsid w:val="00922A5A"/>
    <w:rsid w:val="00934992"/>
    <w:rsid w:val="009850FB"/>
    <w:rsid w:val="00A22949"/>
    <w:rsid w:val="00A81A9B"/>
    <w:rsid w:val="00AC0FBF"/>
    <w:rsid w:val="00B32C55"/>
    <w:rsid w:val="00BD5E6B"/>
    <w:rsid w:val="00C352FA"/>
    <w:rsid w:val="00C61D31"/>
    <w:rsid w:val="00C66366"/>
    <w:rsid w:val="00C80967"/>
    <w:rsid w:val="00CB3B70"/>
    <w:rsid w:val="00CC104E"/>
    <w:rsid w:val="00CD16E7"/>
    <w:rsid w:val="00D07530"/>
    <w:rsid w:val="00D35CFC"/>
    <w:rsid w:val="00D82D9A"/>
    <w:rsid w:val="00DA510D"/>
    <w:rsid w:val="00DB2C2B"/>
    <w:rsid w:val="00E63843"/>
    <w:rsid w:val="00E861BB"/>
    <w:rsid w:val="00FD6688"/>
    <w:rsid w:val="00FE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8F25"/>
  <w15:chartTrackingRefBased/>
  <w15:docId w15:val="{F53AFC16-D102-41BD-ACDB-CDCE64DE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1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861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861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1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1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1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61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861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1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1BB"/>
    <w:rPr>
      <w:rFonts w:eastAsiaTheme="majorEastAsia" w:cstheme="majorBidi"/>
      <w:color w:val="272727" w:themeColor="text1" w:themeTint="D8"/>
    </w:rPr>
  </w:style>
  <w:style w:type="paragraph" w:styleId="Title">
    <w:name w:val="Title"/>
    <w:basedOn w:val="Normal"/>
    <w:next w:val="Normal"/>
    <w:link w:val="TitleChar"/>
    <w:uiPriority w:val="10"/>
    <w:qFormat/>
    <w:rsid w:val="00E8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1BB"/>
    <w:pPr>
      <w:spacing w:before="160"/>
      <w:jc w:val="center"/>
    </w:pPr>
    <w:rPr>
      <w:i/>
      <w:iCs/>
      <w:color w:val="404040" w:themeColor="text1" w:themeTint="BF"/>
    </w:rPr>
  </w:style>
  <w:style w:type="character" w:customStyle="1" w:styleId="QuoteChar">
    <w:name w:val="Quote Char"/>
    <w:basedOn w:val="DefaultParagraphFont"/>
    <w:link w:val="Quote"/>
    <w:uiPriority w:val="29"/>
    <w:rsid w:val="00E861BB"/>
    <w:rPr>
      <w:i/>
      <w:iCs/>
      <w:color w:val="404040" w:themeColor="text1" w:themeTint="BF"/>
    </w:rPr>
  </w:style>
  <w:style w:type="paragraph" w:styleId="ListParagraph">
    <w:name w:val="List Paragraph"/>
    <w:basedOn w:val="Normal"/>
    <w:uiPriority w:val="34"/>
    <w:qFormat/>
    <w:rsid w:val="00E861BB"/>
    <w:pPr>
      <w:ind w:left="720"/>
      <w:contextualSpacing/>
    </w:pPr>
  </w:style>
  <w:style w:type="character" w:styleId="IntenseEmphasis">
    <w:name w:val="Intense Emphasis"/>
    <w:basedOn w:val="DefaultParagraphFont"/>
    <w:uiPriority w:val="21"/>
    <w:qFormat/>
    <w:rsid w:val="00E861BB"/>
    <w:rPr>
      <w:i/>
      <w:iCs/>
      <w:color w:val="2F5496" w:themeColor="accent1" w:themeShade="BF"/>
    </w:rPr>
  </w:style>
  <w:style w:type="paragraph" w:styleId="IntenseQuote">
    <w:name w:val="Intense Quote"/>
    <w:basedOn w:val="Normal"/>
    <w:next w:val="Normal"/>
    <w:link w:val="IntenseQuoteChar"/>
    <w:uiPriority w:val="30"/>
    <w:qFormat/>
    <w:rsid w:val="00E861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1BB"/>
    <w:rPr>
      <w:i/>
      <w:iCs/>
      <w:color w:val="2F5496" w:themeColor="accent1" w:themeShade="BF"/>
    </w:rPr>
  </w:style>
  <w:style w:type="character" w:styleId="IntenseReference">
    <w:name w:val="Intense Reference"/>
    <w:basedOn w:val="DefaultParagraphFont"/>
    <w:uiPriority w:val="32"/>
    <w:qFormat/>
    <w:rsid w:val="00E861BB"/>
    <w:rPr>
      <w:b/>
      <w:bCs/>
      <w:smallCaps/>
      <w:color w:val="2F5496" w:themeColor="accent1" w:themeShade="BF"/>
      <w:spacing w:val="5"/>
    </w:rPr>
  </w:style>
  <w:style w:type="paragraph" w:styleId="NormalWeb">
    <w:name w:val="Normal (Web)"/>
    <w:basedOn w:val="Normal"/>
    <w:uiPriority w:val="99"/>
    <w:semiHidden/>
    <w:unhideWhenUsed/>
    <w:rsid w:val="00D35CFC"/>
    <w:rPr>
      <w:rFonts w:ascii="Times New Roman" w:hAnsi="Times New Roman" w:cs="Times New Roman"/>
    </w:rPr>
  </w:style>
  <w:style w:type="character" w:styleId="Hyperlink">
    <w:name w:val="Hyperlink"/>
    <w:basedOn w:val="DefaultParagraphFont"/>
    <w:uiPriority w:val="99"/>
    <w:unhideWhenUsed/>
    <w:rsid w:val="00351888"/>
    <w:rPr>
      <w:color w:val="0563C1" w:themeColor="hyperlink"/>
      <w:u w:val="single"/>
    </w:rPr>
  </w:style>
  <w:style w:type="character" w:styleId="UnresolvedMention">
    <w:name w:val="Unresolved Mention"/>
    <w:basedOn w:val="DefaultParagraphFont"/>
    <w:uiPriority w:val="99"/>
    <w:semiHidden/>
    <w:unhideWhenUsed/>
    <w:rsid w:val="00351888"/>
    <w:rPr>
      <w:color w:val="605E5C"/>
      <w:shd w:val="clear" w:color="auto" w:fill="E1DFDD"/>
    </w:rPr>
  </w:style>
  <w:style w:type="character" w:customStyle="1" w:styleId="fontstyle01">
    <w:name w:val="fontstyle01"/>
    <w:basedOn w:val="DefaultParagraphFont"/>
    <w:rsid w:val="00026207"/>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C66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366"/>
  </w:style>
  <w:style w:type="paragraph" w:styleId="Footer">
    <w:name w:val="footer"/>
    <w:basedOn w:val="Normal"/>
    <w:link w:val="FooterChar"/>
    <w:uiPriority w:val="99"/>
    <w:unhideWhenUsed/>
    <w:rsid w:val="00C66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366"/>
  </w:style>
  <w:style w:type="paragraph" w:styleId="TOCHeading">
    <w:name w:val="TOC Heading"/>
    <w:basedOn w:val="Heading1"/>
    <w:next w:val="Normal"/>
    <w:uiPriority w:val="39"/>
    <w:unhideWhenUsed/>
    <w:qFormat/>
    <w:rsid w:val="00A2294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22949"/>
    <w:pPr>
      <w:spacing w:after="100"/>
      <w:ind w:left="240"/>
    </w:pPr>
  </w:style>
  <w:style w:type="paragraph" w:styleId="TOC3">
    <w:name w:val="toc 3"/>
    <w:basedOn w:val="Normal"/>
    <w:next w:val="Normal"/>
    <w:autoRedefine/>
    <w:uiPriority w:val="39"/>
    <w:unhideWhenUsed/>
    <w:rsid w:val="00A2294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80921">
      <w:bodyDiv w:val="1"/>
      <w:marLeft w:val="0"/>
      <w:marRight w:val="0"/>
      <w:marTop w:val="0"/>
      <w:marBottom w:val="0"/>
      <w:divBdr>
        <w:top w:val="none" w:sz="0" w:space="0" w:color="auto"/>
        <w:left w:val="none" w:sz="0" w:space="0" w:color="auto"/>
        <w:bottom w:val="none" w:sz="0" w:space="0" w:color="auto"/>
        <w:right w:val="none" w:sz="0" w:space="0" w:color="auto"/>
      </w:divBdr>
    </w:div>
    <w:div w:id="144779309">
      <w:bodyDiv w:val="1"/>
      <w:marLeft w:val="0"/>
      <w:marRight w:val="0"/>
      <w:marTop w:val="0"/>
      <w:marBottom w:val="0"/>
      <w:divBdr>
        <w:top w:val="none" w:sz="0" w:space="0" w:color="auto"/>
        <w:left w:val="none" w:sz="0" w:space="0" w:color="auto"/>
        <w:bottom w:val="none" w:sz="0" w:space="0" w:color="auto"/>
        <w:right w:val="none" w:sz="0" w:space="0" w:color="auto"/>
      </w:divBdr>
    </w:div>
    <w:div w:id="150483166">
      <w:bodyDiv w:val="1"/>
      <w:marLeft w:val="0"/>
      <w:marRight w:val="0"/>
      <w:marTop w:val="0"/>
      <w:marBottom w:val="0"/>
      <w:divBdr>
        <w:top w:val="none" w:sz="0" w:space="0" w:color="auto"/>
        <w:left w:val="none" w:sz="0" w:space="0" w:color="auto"/>
        <w:bottom w:val="none" w:sz="0" w:space="0" w:color="auto"/>
        <w:right w:val="none" w:sz="0" w:space="0" w:color="auto"/>
      </w:divBdr>
    </w:div>
    <w:div w:id="182399651">
      <w:bodyDiv w:val="1"/>
      <w:marLeft w:val="0"/>
      <w:marRight w:val="0"/>
      <w:marTop w:val="0"/>
      <w:marBottom w:val="0"/>
      <w:divBdr>
        <w:top w:val="none" w:sz="0" w:space="0" w:color="auto"/>
        <w:left w:val="none" w:sz="0" w:space="0" w:color="auto"/>
        <w:bottom w:val="none" w:sz="0" w:space="0" w:color="auto"/>
        <w:right w:val="none" w:sz="0" w:space="0" w:color="auto"/>
      </w:divBdr>
    </w:div>
    <w:div w:id="203979576">
      <w:bodyDiv w:val="1"/>
      <w:marLeft w:val="0"/>
      <w:marRight w:val="0"/>
      <w:marTop w:val="0"/>
      <w:marBottom w:val="0"/>
      <w:divBdr>
        <w:top w:val="none" w:sz="0" w:space="0" w:color="auto"/>
        <w:left w:val="none" w:sz="0" w:space="0" w:color="auto"/>
        <w:bottom w:val="none" w:sz="0" w:space="0" w:color="auto"/>
        <w:right w:val="none" w:sz="0" w:space="0" w:color="auto"/>
      </w:divBdr>
      <w:divsChild>
        <w:div w:id="9400655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96423924">
      <w:bodyDiv w:val="1"/>
      <w:marLeft w:val="0"/>
      <w:marRight w:val="0"/>
      <w:marTop w:val="0"/>
      <w:marBottom w:val="0"/>
      <w:divBdr>
        <w:top w:val="none" w:sz="0" w:space="0" w:color="auto"/>
        <w:left w:val="none" w:sz="0" w:space="0" w:color="auto"/>
        <w:bottom w:val="none" w:sz="0" w:space="0" w:color="auto"/>
        <w:right w:val="none" w:sz="0" w:space="0" w:color="auto"/>
      </w:divBdr>
    </w:div>
    <w:div w:id="322396789">
      <w:bodyDiv w:val="1"/>
      <w:marLeft w:val="0"/>
      <w:marRight w:val="0"/>
      <w:marTop w:val="0"/>
      <w:marBottom w:val="0"/>
      <w:divBdr>
        <w:top w:val="none" w:sz="0" w:space="0" w:color="auto"/>
        <w:left w:val="none" w:sz="0" w:space="0" w:color="auto"/>
        <w:bottom w:val="none" w:sz="0" w:space="0" w:color="auto"/>
        <w:right w:val="none" w:sz="0" w:space="0" w:color="auto"/>
      </w:divBdr>
    </w:div>
    <w:div w:id="325088037">
      <w:bodyDiv w:val="1"/>
      <w:marLeft w:val="0"/>
      <w:marRight w:val="0"/>
      <w:marTop w:val="0"/>
      <w:marBottom w:val="0"/>
      <w:divBdr>
        <w:top w:val="none" w:sz="0" w:space="0" w:color="auto"/>
        <w:left w:val="none" w:sz="0" w:space="0" w:color="auto"/>
        <w:bottom w:val="none" w:sz="0" w:space="0" w:color="auto"/>
        <w:right w:val="none" w:sz="0" w:space="0" w:color="auto"/>
      </w:divBdr>
    </w:div>
    <w:div w:id="364142753">
      <w:bodyDiv w:val="1"/>
      <w:marLeft w:val="0"/>
      <w:marRight w:val="0"/>
      <w:marTop w:val="0"/>
      <w:marBottom w:val="0"/>
      <w:divBdr>
        <w:top w:val="none" w:sz="0" w:space="0" w:color="auto"/>
        <w:left w:val="none" w:sz="0" w:space="0" w:color="auto"/>
        <w:bottom w:val="none" w:sz="0" w:space="0" w:color="auto"/>
        <w:right w:val="none" w:sz="0" w:space="0" w:color="auto"/>
      </w:divBdr>
    </w:div>
    <w:div w:id="378627087">
      <w:bodyDiv w:val="1"/>
      <w:marLeft w:val="0"/>
      <w:marRight w:val="0"/>
      <w:marTop w:val="0"/>
      <w:marBottom w:val="0"/>
      <w:divBdr>
        <w:top w:val="none" w:sz="0" w:space="0" w:color="auto"/>
        <w:left w:val="none" w:sz="0" w:space="0" w:color="auto"/>
        <w:bottom w:val="none" w:sz="0" w:space="0" w:color="auto"/>
        <w:right w:val="none" w:sz="0" w:space="0" w:color="auto"/>
      </w:divBdr>
    </w:div>
    <w:div w:id="509879986">
      <w:bodyDiv w:val="1"/>
      <w:marLeft w:val="0"/>
      <w:marRight w:val="0"/>
      <w:marTop w:val="0"/>
      <w:marBottom w:val="0"/>
      <w:divBdr>
        <w:top w:val="none" w:sz="0" w:space="0" w:color="auto"/>
        <w:left w:val="none" w:sz="0" w:space="0" w:color="auto"/>
        <w:bottom w:val="none" w:sz="0" w:space="0" w:color="auto"/>
        <w:right w:val="none" w:sz="0" w:space="0" w:color="auto"/>
      </w:divBdr>
    </w:div>
    <w:div w:id="551503852">
      <w:bodyDiv w:val="1"/>
      <w:marLeft w:val="0"/>
      <w:marRight w:val="0"/>
      <w:marTop w:val="0"/>
      <w:marBottom w:val="0"/>
      <w:divBdr>
        <w:top w:val="none" w:sz="0" w:space="0" w:color="auto"/>
        <w:left w:val="none" w:sz="0" w:space="0" w:color="auto"/>
        <w:bottom w:val="none" w:sz="0" w:space="0" w:color="auto"/>
        <w:right w:val="none" w:sz="0" w:space="0" w:color="auto"/>
      </w:divBdr>
    </w:div>
    <w:div w:id="596594626">
      <w:bodyDiv w:val="1"/>
      <w:marLeft w:val="0"/>
      <w:marRight w:val="0"/>
      <w:marTop w:val="0"/>
      <w:marBottom w:val="0"/>
      <w:divBdr>
        <w:top w:val="none" w:sz="0" w:space="0" w:color="auto"/>
        <w:left w:val="none" w:sz="0" w:space="0" w:color="auto"/>
        <w:bottom w:val="none" w:sz="0" w:space="0" w:color="auto"/>
        <w:right w:val="none" w:sz="0" w:space="0" w:color="auto"/>
      </w:divBdr>
    </w:div>
    <w:div w:id="625159950">
      <w:bodyDiv w:val="1"/>
      <w:marLeft w:val="0"/>
      <w:marRight w:val="0"/>
      <w:marTop w:val="0"/>
      <w:marBottom w:val="0"/>
      <w:divBdr>
        <w:top w:val="none" w:sz="0" w:space="0" w:color="auto"/>
        <w:left w:val="none" w:sz="0" w:space="0" w:color="auto"/>
        <w:bottom w:val="none" w:sz="0" w:space="0" w:color="auto"/>
        <w:right w:val="none" w:sz="0" w:space="0" w:color="auto"/>
      </w:divBdr>
    </w:div>
    <w:div w:id="634454780">
      <w:bodyDiv w:val="1"/>
      <w:marLeft w:val="0"/>
      <w:marRight w:val="0"/>
      <w:marTop w:val="0"/>
      <w:marBottom w:val="0"/>
      <w:divBdr>
        <w:top w:val="none" w:sz="0" w:space="0" w:color="auto"/>
        <w:left w:val="none" w:sz="0" w:space="0" w:color="auto"/>
        <w:bottom w:val="none" w:sz="0" w:space="0" w:color="auto"/>
        <w:right w:val="none" w:sz="0" w:space="0" w:color="auto"/>
      </w:divBdr>
    </w:div>
    <w:div w:id="701326204">
      <w:bodyDiv w:val="1"/>
      <w:marLeft w:val="0"/>
      <w:marRight w:val="0"/>
      <w:marTop w:val="0"/>
      <w:marBottom w:val="0"/>
      <w:divBdr>
        <w:top w:val="none" w:sz="0" w:space="0" w:color="auto"/>
        <w:left w:val="none" w:sz="0" w:space="0" w:color="auto"/>
        <w:bottom w:val="none" w:sz="0" w:space="0" w:color="auto"/>
        <w:right w:val="none" w:sz="0" w:space="0" w:color="auto"/>
      </w:divBdr>
    </w:div>
    <w:div w:id="797770591">
      <w:bodyDiv w:val="1"/>
      <w:marLeft w:val="0"/>
      <w:marRight w:val="0"/>
      <w:marTop w:val="0"/>
      <w:marBottom w:val="0"/>
      <w:divBdr>
        <w:top w:val="none" w:sz="0" w:space="0" w:color="auto"/>
        <w:left w:val="none" w:sz="0" w:space="0" w:color="auto"/>
        <w:bottom w:val="none" w:sz="0" w:space="0" w:color="auto"/>
        <w:right w:val="none" w:sz="0" w:space="0" w:color="auto"/>
      </w:divBdr>
    </w:div>
    <w:div w:id="831718306">
      <w:bodyDiv w:val="1"/>
      <w:marLeft w:val="0"/>
      <w:marRight w:val="0"/>
      <w:marTop w:val="0"/>
      <w:marBottom w:val="0"/>
      <w:divBdr>
        <w:top w:val="none" w:sz="0" w:space="0" w:color="auto"/>
        <w:left w:val="none" w:sz="0" w:space="0" w:color="auto"/>
        <w:bottom w:val="none" w:sz="0" w:space="0" w:color="auto"/>
        <w:right w:val="none" w:sz="0" w:space="0" w:color="auto"/>
      </w:divBdr>
    </w:div>
    <w:div w:id="943221199">
      <w:bodyDiv w:val="1"/>
      <w:marLeft w:val="0"/>
      <w:marRight w:val="0"/>
      <w:marTop w:val="0"/>
      <w:marBottom w:val="0"/>
      <w:divBdr>
        <w:top w:val="none" w:sz="0" w:space="0" w:color="auto"/>
        <w:left w:val="none" w:sz="0" w:space="0" w:color="auto"/>
        <w:bottom w:val="none" w:sz="0" w:space="0" w:color="auto"/>
        <w:right w:val="none" w:sz="0" w:space="0" w:color="auto"/>
      </w:divBdr>
    </w:div>
    <w:div w:id="950353639">
      <w:bodyDiv w:val="1"/>
      <w:marLeft w:val="0"/>
      <w:marRight w:val="0"/>
      <w:marTop w:val="0"/>
      <w:marBottom w:val="0"/>
      <w:divBdr>
        <w:top w:val="none" w:sz="0" w:space="0" w:color="auto"/>
        <w:left w:val="none" w:sz="0" w:space="0" w:color="auto"/>
        <w:bottom w:val="none" w:sz="0" w:space="0" w:color="auto"/>
        <w:right w:val="none" w:sz="0" w:space="0" w:color="auto"/>
      </w:divBdr>
    </w:div>
    <w:div w:id="1059400646">
      <w:bodyDiv w:val="1"/>
      <w:marLeft w:val="0"/>
      <w:marRight w:val="0"/>
      <w:marTop w:val="0"/>
      <w:marBottom w:val="0"/>
      <w:divBdr>
        <w:top w:val="none" w:sz="0" w:space="0" w:color="auto"/>
        <w:left w:val="none" w:sz="0" w:space="0" w:color="auto"/>
        <w:bottom w:val="none" w:sz="0" w:space="0" w:color="auto"/>
        <w:right w:val="none" w:sz="0" w:space="0" w:color="auto"/>
      </w:divBdr>
    </w:div>
    <w:div w:id="1062947470">
      <w:bodyDiv w:val="1"/>
      <w:marLeft w:val="0"/>
      <w:marRight w:val="0"/>
      <w:marTop w:val="0"/>
      <w:marBottom w:val="0"/>
      <w:divBdr>
        <w:top w:val="none" w:sz="0" w:space="0" w:color="auto"/>
        <w:left w:val="none" w:sz="0" w:space="0" w:color="auto"/>
        <w:bottom w:val="none" w:sz="0" w:space="0" w:color="auto"/>
        <w:right w:val="none" w:sz="0" w:space="0" w:color="auto"/>
      </w:divBdr>
    </w:div>
    <w:div w:id="1076828430">
      <w:bodyDiv w:val="1"/>
      <w:marLeft w:val="0"/>
      <w:marRight w:val="0"/>
      <w:marTop w:val="0"/>
      <w:marBottom w:val="0"/>
      <w:divBdr>
        <w:top w:val="none" w:sz="0" w:space="0" w:color="auto"/>
        <w:left w:val="none" w:sz="0" w:space="0" w:color="auto"/>
        <w:bottom w:val="none" w:sz="0" w:space="0" w:color="auto"/>
        <w:right w:val="none" w:sz="0" w:space="0" w:color="auto"/>
      </w:divBdr>
      <w:divsChild>
        <w:div w:id="111136284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20497220">
      <w:bodyDiv w:val="1"/>
      <w:marLeft w:val="0"/>
      <w:marRight w:val="0"/>
      <w:marTop w:val="0"/>
      <w:marBottom w:val="0"/>
      <w:divBdr>
        <w:top w:val="none" w:sz="0" w:space="0" w:color="auto"/>
        <w:left w:val="none" w:sz="0" w:space="0" w:color="auto"/>
        <w:bottom w:val="none" w:sz="0" w:space="0" w:color="auto"/>
        <w:right w:val="none" w:sz="0" w:space="0" w:color="auto"/>
      </w:divBdr>
    </w:div>
    <w:div w:id="1124349242">
      <w:bodyDiv w:val="1"/>
      <w:marLeft w:val="0"/>
      <w:marRight w:val="0"/>
      <w:marTop w:val="0"/>
      <w:marBottom w:val="0"/>
      <w:divBdr>
        <w:top w:val="none" w:sz="0" w:space="0" w:color="auto"/>
        <w:left w:val="none" w:sz="0" w:space="0" w:color="auto"/>
        <w:bottom w:val="none" w:sz="0" w:space="0" w:color="auto"/>
        <w:right w:val="none" w:sz="0" w:space="0" w:color="auto"/>
      </w:divBdr>
    </w:div>
    <w:div w:id="1180856109">
      <w:bodyDiv w:val="1"/>
      <w:marLeft w:val="0"/>
      <w:marRight w:val="0"/>
      <w:marTop w:val="0"/>
      <w:marBottom w:val="0"/>
      <w:divBdr>
        <w:top w:val="none" w:sz="0" w:space="0" w:color="auto"/>
        <w:left w:val="none" w:sz="0" w:space="0" w:color="auto"/>
        <w:bottom w:val="none" w:sz="0" w:space="0" w:color="auto"/>
        <w:right w:val="none" w:sz="0" w:space="0" w:color="auto"/>
      </w:divBdr>
      <w:divsChild>
        <w:div w:id="2550963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24875851">
      <w:bodyDiv w:val="1"/>
      <w:marLeft w:val="0"/>
      <w:marRight w:val="0"/>
      <w:marTop w:val="0"/>
      <w:marBottom w:val="0"/>
      <w:divBdr>
        <w:top w:val="none" w:sz="0" w:space="0" w:color="auto"/>
        <w:left w:val="none" w:sz="0" w:space="0" w:color="auto"/>
        <w:bottom w:val="none" w:sz="0" w:space="0" w:color="auto"/>
        <w:right w:val="none" w:sz="0" w:space="0" w:color="auto"/>
      </w:divBdr>
    </w:div>
    <w:div w:id="1285651693">
      <w:bodyDiv w:val="1"/>
      <w:marLeft w:val="0"/>
      <w:marRight w:val="0"/>
      <w:marTop w:val="0"/>
      <w:marBottom w:val="0"/>
      <w:divBdr>
        <w:top w:val="none" w:sz="0" w:space="0" w:color="auto"/>
        <w:left w:val="none" w:sz="0" w:space="0" w:color="auto"/>
        <w:bottom w:val="none" w:sz="0" w:space="0" w:color="auto"/>
        <w:right w:val="none" w:sz="0" w:space="0" w:color="auto"/>
      </w:divBdr>
    </w:div>
    <w:div w:id="1302736439">
      <w:bodyDiv w:val="1"/>
      <w:marLeft w:val="0"/>
      <w:marRight w:val="0"/>
      <w:marTop w:val="0"/>
      <w:marBottom w:val="0"/>
      <w:divBdr>
        <w:top w:val="none" w:sz="0" w:space="0" w:color="auto"/>
        <w:left w:val="none" w:sz="0" w:space="0" w:color="auto"/>
        <w:bottom w:val="none" w:sz="0" w:space="0" w:color="auto"/>
        <w:right w:val="none" w:sz="0" w:space="0" w:color="auto"/>
      </w:divBdr>
      <w:divsChild>
        <w:div w:id="4792275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43702623">
      <w:bodyDiv w:val="1"/>
      <w:marLeft w:val="0"/>
      <w:marRight w:val="0"/>
      <w:marTop w:val="0"/>
      <w:marBottom w:val="0"/>
      <w:divBdr>
        <w:top w:val="none" w:sz="0" w:space="0" w:color="auto"/>
        <w:left w:val="none" w:sz="0" w:space="0" w:color="auto"/>
        <w:bottom w:val="none" w:sz="0" w:space="0" w:color="auto"/>
        <w:right w:val="none" w:sz="0" w:space="0" w:color="auto"/>
      </w:divBdr>
    </w:div>
    <w:div w:id="1363287044">
      <w:bodyDiv w:val="1"/>
      <w:marLeft w:val="0"/>
      <w:marRight w:val="0"/>
      <w:marTop w:val="0"/>
      <w:marBottom w:val="0"/>
      <w:divBdr>
        <w:top w:val="none" w:sz="0" w:space="0" w:color="auto"/>
        <w:left w:val="none" w:sz="0" w:space="0" w:color="auto"/>
        <w:bottom w:val="none" w:sz="0" w:space="0" w:color="auto"/>
        <w:right w:val="none" w:sz="0" w:space="0" w:color="auto"/>
      </w:divBdr>
    </w:div>
    <w:div w:id="1372923024">
      <w:bodyDiv w:val="1"/>
      <w:marLeft w:val="0"/>
      <w:marRight w:val="0"/>
      <w:marTop w:val="0"/>
      <w:marBottom w:val="0"/>
      <w:divBdr>
        <w:top w:val="none" w:sz="0" w:space="0" w:color="auto"/>
        <w:left w:val="none" w:sz="0" w:space="0" w:color="auto"/>
        <w:bottom w:val="none" w:sz="0" w:space="0" w:color="auto"/>
        <w:right w:val="none" w:sz="0" w:space="0" w:color="auto"/>
      </w:divBdr>
    </w:div>
    <w:div w:id="1397237067">
      <w:bodyDiv w:val="1"/>
      <w:marLeft w:val="0"/>
      <w:marRight w:val="0"/>
      <w:marTop w:val="0"/>
      <w:marBottom w:val="0"/>
      <w:divBdr>
        <w:top w:val="none" w:sz="0" w:space="0" w:color="auto"/>
        <w:left w:val="none" w:sz="0" w:space="0" w:color="auto"/>
        <w:bottom w:val="none" w:sz="0" w:space="0" w:color="auto"/>
        <w:right w:val="none" w:sz="0" w:space="0" w:color="auto"/>
      </w:divBdr>
    </w:div>
    <w:div w:id="1432361575">
      <w:bodyDiv w:val="1"/>
      <w:marLeft w:val="0"/>
      <w:marRight w:val="0"/>
      <w:marTop w:val="0"/>
      <w:marBottom w:val="0"/>
      <w:divBdr>
        <w:top w:val="none" w:sz="0" w:space="0" w:color="auto"/>
        <w:left w:val="none" w:sz="0" w:space="0" w:color="auto"/>
        <w:bottom w:val="none" w:sz="0" w:space="0" w:color="auto"/>
        <w:right w:val="none" w:sz="0" w:space="0" w:color="auto"/>
      </w:divBdr>
    </w:div>
    <w:div w:id="1462532216">
      <w:bodyDiv w:val="1"/>
      <w:marLeft w:val="0"/>
      <w:marRight w:val="0"/>
      <w:marTop w:val="0"/>
      <w:marBottom w:val="0"/>
      <w:divBdr>
        <w:top w:val="none" w:sz="0" w:space="0" w:color="auto"/>
        <w:left w:val="none" w:sz="0" w:space="0" w:color="auto"/>
        <w:bottom w:val="none" w:sz="0" w:space="0" w:color="auto"/>
        <w:right w:val="none" w:sz="0" w:space="0" w:color="auto"/>
      </w:divBdr>
    </w:div>
    <w:div w:id="1469592797">
      <w:bodyDiv w:val="1"/>
      <w:marLeft w:val="0"/>
      <w:marRight w:val="0"/>
      <w:marTop w:val="0"/>
      <w:marBottom w:val="0"/>
      <w:divBdr>
        <w:top w:val="none" w:sz="0" w:space="0" w:color="auto"/>
        <w:left w:val="none" w:sz="0" w:space="0" w:color="auto"/>
        <w:bottom w:val="none" w:sz="0" w:space="0" w:color="auto"/>
        <w:right w:val="none" w:sz="0" w:space="0" w:color="auto"/>
      </w:divBdr>
      <w:divsChild>
        <w:div w:id="5292195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71627893">
      <w:bodyDiv w:val="1"/>
      <w:marLeft w:val="0"/>
      <w:marRight w:val="0"/>
      <w:marTop w:val="0"/>
      <w:marBottom w:val="0"/>
      <w:divBdr>
        <w:top w:val="none" w:sz="0" w:space="0" w:color="auto"/>
        <w:left w:val="none" w:sz="0" w:space="0" w:color="auto"/>
        <w:bottom w:val="none" w:sz="0" w:space="0" w:color="auto"/>
        <w:right w:val="none" w:sz="0" w:space="0" w:color="auto"/>
      </w:divBdr>
    </w:div>
    <w:div w:id="1522235111">
      <w:bodyDiv w:val="1"/>
      <w:marLeft w:val="0"/>
      <w:marRight w:val="0"/>
      <w:marTop w:val="0"/>
      <w:marBottom w:val="0"/>
      <w:divBdr>
        <w:top w:val="none" w:sz="0" w:space="0" w:color="auto"/>
        <w:left w:val="none" w:sz="0" w:space="0" w:color="auto"/>
        <w:bottom w:val="none" w:sz="0" w:space="0" w:color="auto"/>
        <w:right w:val="none" w:sz="0" w:space="0" w:color="auto"/>
      </w:divBdr>
      <w:divsChild>
        <w:div w:id="94642250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53619082">
      <w:bodyDiv w:val="1"/>
      <w:marLeft w:val="0"/>
      <w:marRight w:val="0"/>
      <w:marTop w:val="0"/>
      <w:marBottom w:val="0"/>
      <w:divBdr>
        <w:top w:val="none" w:sz="0" w:space="0" w:color="auto"/>
        <w:left w:val="none" w:sz="0" w:space="0" w:color="auto"/>
        <w:bottom w:val="none" w:sz="0" w:space="0" w:color="auto"/>
        <w:right w:val="none" w:sz="0" w:space="0" w:color="auto"/>
      </w:divBdr>
    </w:div>
    <w:div w:id="1579170294">
      <w:bodyDiv w:val="1"/>
      <w:marLeft w:val="0"/>
      <w:marRight w:val="0"/>
      <w:marTop w:val="0"/>
      <w:marBottom w:val="0"/>
      <w:divBdr>
        <w:top w:val="none" w:sz="0" w:space="0" w:color="auto"/>
        <w:left w:val="none" w:sz="0" w:space="0" w:color="auto"/>
        <w:bottom w:val="none" w:sz="0" w:space="0" w:color="auto"/>
        <w:right w:val="none" w:sz="0" w:space="0" w:color="auto"/>
      </w:divBdr>
    </w:div>
    <w:div w:id="1698773630">
      <w:bodyDiv w:val="1"/>
      <w:marLeft w:val="0"/>
      <w:marRight w:val="0"/>
      <w:marTop w:val="0"/>
      <w:marBottom w:val="0"/>
      <w:divBdr>
        <w:top w:val="none" w:sz="0" w:space="0" w:color="auto"/>
        <w:left w:val="none" w:sz="0" w:space="0" w:color="auto"/>
        <w:bottom w:val="none" w:sz="0" w:space="0" w:color="auto"/>
        <w:right w:val="none" w:sz="0" w:space="0" w:color="auto"/>
      </w:divBdr>
    </w:div>
    <w:div w:id="1870100243">
      <w:bodyDiv w:val="1"/>
      <w:marLeft w:val="0"/>
      <w:marRight w:val="0"/>
      <w:marTop w:val="0"/>
      <w:marBottom w:val="0"/>
      <w:divBdr>
        <w:top w:val="none" w:sz="0" w:space="0" w:color="auto"/>
        <w:left w:val="none" w:sz="0" w:space="0" w:color="auto"/>
        <w:bottom w:val="none" w:sz="0" w:space="0" w:color="auto"/>
        <w:right w:val="none" w:sz="0" w:space="0" w:color="auto"/>
      </w:divBdr>
    </w:div>
    <w:div w:id="1897231721">
      <w:bodyDiv w:val="1"/>
      <w:marLeft w:val="0"/>
      <w:marRight w:val="0"/>
      <w:marTop w:val="0"/>
      <w:marBottom w:val="0"/>
      <w:divBdr>
        <w:top w:val="none" w:sz="0" w:space="0" w:color="auto"/>
        <w:left w:val="none" w:sz="0" w:space="0" w:color="auto"/>
        <w:bottom w:val="none" w:sz="0" w:space="0" w:color="auto"/>
        <w:right w:val="none" w:sz="0" w:space="0" w:color="auto"/>
      </w:divBdr>
    </w:div>
    <w:div w:id="193312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326B1D-759E-43D0-9E98-FF32710208FC}">
  <we:reference id="wa200004996" version="1.0.0.0" store="en-US" storeType="OMEX"/>
  <we:alternateReferences>
    <we:reference id="wa200004996" version="1.0.0.0" store="WA200004996" storeType="OMEX"/>
  </we:alternateReferences>
  <we:properties>
    <we:property name="bibcitation-word-citation-list" value="{&quot;id&quot;:&quot;e86016f1-91fd-4860-be17-9422ca9f5ddc&quot;,&quot;citations&quot;:[{&quot;citationType&quot;:&quot;website&quot;,&quot;data&quot;:{&quot;id&quot;:&quot;6381a392-0a0c-44c3-9da6-e5fa5b4ee1c4&quot;,&quot;type&quot;:&quot;webpage&quot;,&quot;container-title&quot;:&quot;Bing&quot;,&quot;URL&quot;:&quot;https://www.bing.com/search?q=Munro%2C+E.+(2011).+*The+Munro+Review+of+Child+Protection*.+The+Stationery+Office&amp;cvid=de52ab15489c42e281f85c699e9bd8eb&amp;gs_lcrp=EgRlZGdlKgYIABBFGDkyBggAEEUYOdIBCDEyODFqMGoxqAIAsAIA&amp;FORM=ANAB01&amp;ucpdpc=UCPD&amp;PC=W191&quot;,&quot;title&quot;:&quot;Munro, E. (2011). *The Munro Review of Child Protection*. The Stationery Office&quot;,&quot;favicon&quot;:&quot;https://www.bing.com/sa/simg/favicon-trans-bg-blue-mg.ico&quot;,&quot;regularType&quot;:&quot;website&quot;,&quot;accessed&quot;:{&quot;date-parts&quot;:[[2025,7,19]]},&quot;author&quot;:[{&quot;given&quot;:&quot;&quot;,&quot;family&quot;:&quot;Monro, E.&quot;,&quot;suffix&quot;:&quot;&quot;,&quot;backups&quot;:{&quot;given&quot;:&quot;&quot;,&quot;family&quot;:&quot;Monro, E.&quot;,&quot;suffix&quot;:&quot;&quot;}}],&quot;issued&quot;:{&quot;date-parts&quot;:[[2011,&quot;&quot;,&quot;&quot;]]}},&quot;requiredFieldsMetadata&quot;:{&quot;ignoredFields&quot;:{},&quot;missingFields&quot;:{}}},{&quot;citationType&quot;:&quot;newsArticle&quot;,&quot;data&quot;:{&quot;id&quot;:&quot;3b2b2813-59fb-431b-873f-b0e703496dd1&quot;,&quot;type&quot;:&quot;article-newspaper&quot;,&quot;container-title&quot;:&quot;GOV.UK&quot;,&quot;URL&quot;:&quot;https://www.gov.uk/government/publications/early-help-concepts-policy-directions-and-multi-agency-perspectives&quot;,&quot;author&quot;:[{&quot;literal&quot;:&quot;Ofsted&quot;}],&quot;title&quot;:&quot;Early help: concepts, policy directions and multi-agency perspectives&quot;,&quot;favicon&quot;:&quot;https://www.gov.uk/assets/static/govuk-icon-180-d45a306f0549414cfa5085f16e4a3816a77558b139e5bc226f23162d1d0decb0.png&quot;,&quot;issued&quot;:{&quot;date-parts&quot;:[[2022,2,10]]},&quot;regularType&quot;:&quot;newsArticle&quot;,&quot;accessed&quot;:{&quot;date-parts&quot;:[[2025,7,20]]}},&quot;requiredFieldsMetadata&quot;:{&quot;ignoredFields&quot;:{},&quot;missingFields&quot;:{}}},{&quot;citationType&quot;:&quot;website&quot;,&quot;data&quot;:{&quot;id&quot;:&quot;2913de73-1d71-462c-8566-2c771ade8107&quot;,&quot;type&quot;:&quot;webpage&quot;,&quot;container-title&quot;:&quot;Action for Children&quot;,&quot;URL&quot;:&quot;https://www.actionforchildren.org.uk/our-work-and-impact/children-and-families/early-years/&quot;,&quot;title&quot;:&quot;Early years&quot;,&quot;favicon&quot;:&quot;https://www.actionforchildren.org.uk/static/images/favicons/apple-touch-icon.60fb5abfbf2d.png&quot;,&quot;regularType&quot;:&quot;website&quot;,&quot;accessed&quot;:{&quot;date-parts&quot;:[[2025,7,20]]}},&quot;requiredFieldsMetadata&quot;:{&quot;ignoredFields&quot;:{},&quot;missingFields&quot;:{&quot;Author&quot;:&quot;author&quot;,&quot;Date&quot;:&quot;issued&quot;}}},{&quot;citationType&quot;:&quot;website&quot;,&quot;data&quot;:{&quot;id&quot;:&quot;3c79e8cd-9af7-4bfd-aa18-95dc50b48e7a&quot;,&quot;type&quot;:&quot;webpage&quot;,&quot;container-title&quot;:&quot;NSPCC Learning&quot;,&quot;URL&quot;:&quot;https://learning.nspcc.org.uk/safeguarding-child-protection/early-help-and-early-intervention&quot;,&quot;title&quot;:&quot;Early help and early intervention&quot;,&quot;favicon&quot;:&quot;https://learning.nspcc.org.uk/assets/images/favicon.ico&quot;,&quot;regularType&quot;:&quot;website&quot;},&quot;requiredFieldsMetadata&quot;:{&quot;ignoredFields&quot;:{},&quot;missingFields&quot;:{&quot;Author&quot;:&quot;author&quot;,&quot;Date&quot;:&quot;issued&quot;}}},{&quot;citationType&quot;:&quot;website&quot;,&quot;data&quot;:{&quot;id&quot;:&quot;0b0a25b3-126b-42fa-99ce-470cc204e2d9&quot;,&quot;type&quot;:&quot;webpage&quot;,&quot;container-title&quot;:&quot;Local Government Association&quot;,&quot;URL&quot;:&quot;https://www.local.gov.uk/publications/early-help-resource-pack&quot;,&quot;title&quot;:&quot;Early Help Resource Pack&quot;,&quot;favicon&quot;:&quot;https://www.local.gov.uk/themes/lga/img/favicon/favicon-196x196.png&quot;,&quot;regularType&quot;:&quot;website&quot;,&quot;accessed&quot;:{&quot;date-parts&quot;:[[2025,7,20]]}},&quot;requiredFieldsMetadata&quot;:{&quot;ignoredFields&quot;:{},&quot;missingFields&quot;:{&quot;Author&quot;:&quot;author&quot;,&quot;Date&quot;:&quot;issued&quot;}}},{&quot;citationType&quot;:&quot;journalArticle&quot;,&quot;data&quot;:{&quot;id&quot;:&quot;474bdd23-a7c4-4c34-b8a7-13a827e3b414&quot;,&quot;type&quot;:&quot;article-journal&quot;,&quot;container-title&quot;:&quot;Journal of Integrated Care&quot;,&quot;URL&quot;:&quot;https://www.emerald.com/insight/content/doi/10.1108/jica-09-2023-0073/full/html&quot;,&quot;author&quot;:[{&quot;family&quot;:&quot;Cantrell&quot;,&quot;given&quot;:&quot;Anna&quot;},{&quot;family&quot;:&quot;Booth&quot;,&quot;given&quot;:&quot;Andrew&quot;},{&quot;family&quot;:&quot;Chambers&quot;,&quot;given&quot;:&quot;Duncan&quot;}],&quot;title&quot;:&quot;Signposting services in the UK: enhanced support or service diversion for people with health and social care needs: a rapid realist synthesis&quot;,&quot;favicon&quot;:&quot;https://www.emerald.com/favicon.ico&quot;,&quot;issued&quot;:{&quot;date-parts&quot;:[[2024,8,23]]},&quot;regularType&quot;:&quot;journalArticle&quot;,&quot;DOI&quot;:&quot;10.1108/JICA-09-2023-0073&quot;,&quot;volume&quot;:&quot;32&quot;,&quot;issue&quot;:&quot;5&quot;,&quot;page&quot;:&quot;99-108&quot;,&quot;accessed&quot;:{&quot;date-parts&quot;:[[2025,7,20]]}},&quot;requiredFieldsMetadata&quot;:{&quot;ignoredFields&quot;:{},&quot;missingFields&quot;:{}}},{&quot;citationType&quot;:&quot;newsArticle&quot;,&quot;data&quot;:{&quot;id&quot;:&quot;55a90912-e294-45c9-b1d1-38f450fd1cfb&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citationType&quot;:&quot;newsArticle&quot;,&quot;data&quot;:{&quot;id&quot;:&quot;21ff016c-8591-44e0-950d-f465e0f310fa&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style&quot;:{&quot;name&quot;:&quot;Harvard reference format 1 (deprecated)&quot;,&quot;xml&quot;:&quot;&lt;?xml version=\&quot;1.0\&quot; encoding=\&quot;utf-8\&quot;?&gt;\n&lt;style xmlns=\&quot;http://purl.org/net/xbiblio/csl\&quot; class=\&quot;in-text\&quot; version=\&quot;1.0\&quot; demote-non-dropping-particle=\&quot;sort-only\&quot; default-locale=\&quot;en-GB\&quot;&gt;\n  &lt;info&gt;\n    &lt;title&gt;Cite Them Right 12th edition - Harvard&lt;/title&gt;\n    &lt;id&gt;http://www.zotero.org/styles/harvard-cite-them-right&lt;/id&gt;\n    &lt;link href=\&quot;http://www.zotero.org/styles/harvard-cite-them-right\&quot; rel=\&quot;self\&quot;/&gt;\n    &lt;link href=\&quot;http://www.zotero.org/styles/harvard-cite-them-right-11th-edition\&quot; rel=\&quot;template\&quot;/&gt;\n    &lt;link href=\&quot;http://www.citethemrightonline.com/\&quot; rel=\&quot;documentation\&quot;/&gt;\n    &lt;author&gt;\n      &lt;name&gt;Patrick O'Brien&lt;/name&gt;\n    &lt;/author&gt;\n    &lt;category citation-format=\&quot;author-date\&quot;/&gt;\n    &lt;category field=\&quot;generic-base\&quot;/&gt;\n    &lt;summary&gt;Harvard according to Cite Them Right, 11th edition.&lt;/summary&gt;\n    &lt;updated&gt;2022-06-27T11:10:37+00:00&lt;/updated&gt;\n    &lt;rights license=\&quot;http://creativecommons.org/licenses/by-sa/3.0/\&quot;&gt;This work is licensed under a Creative Commons Attribution-ShareAlike 3.0 License&lt;/rights&gt;\n  &lt;/info&gt;\n  &lt;locale xml:lang=\&quot;en-GB\&quot;&gt;\n    &lt;terms&gt;\n      &lt;term name=\&quot;editor\&quot; form=\&quot;short\&quot;&gt;\n        &lt;single&gt;ed.&lt;/single&gt;\n        &lt;multiple&gt;eds&lt;/multiple&gt;\n      &lt;/term&gt;\n      &lt;term name=\&quot;editortranslator\&quot; form=\&quot;verb\&quot;&gt;edited and translated by&lt;/term&gt;\n      &lt;term name=\&quot;edition\&quot; form=\&quot;short\&quot;&gt;edn.&lt;/term&gt;\n    &lt;/terms&gt;\n  &lt;/locale&gt;\n  &lt;macro name=\&quot;editor\&quot;&gt;\n    &lt;choose&gt;\n      &lt;if type=\&quot;chapter paper-conference\&quot; match=\&quot;any\&quot;&gt;\n        &lt;names variable=\&quot;container-author\&quot; delimiter=\&quot;, \&quot; suffix=\&quot;, \&quot;&gt;\n          &lt;name and=\&quot;text\&quot; initialize-with=\&quot;. \&quot; delimiter=\&quot;, \&quot; sort-separator=\&quot;, \&quot; name-as-sort-order=\&quot;all\&quot;/&gt;\n        &lt;/names&gt;\n        &lt;choose&gt;\n          &lt;if variable=\&quot;container-author\&quot; match=\&quot;none\&quot;&gt;\n            &lt;names variable=\&quot;editor translator\&quot; delimiter=\&quot;, \&quot;&gt;\n              &lt;name and=\&quot;text\&quot; initialize-with=\&quot;.\&quot;/&gt;\n              &lt;label form=\&quot;short\&quot; prefix=\&quot; (\&quot; suffix=\&quot;)\&quot;/&gt;\n            &lt;/names&gt;\n          &lt;/if&gt;\n        &lt;/choose&gt;\n      &lt;/if&gt;\n    &lt;/choose&gt;\n  &lt;/macro&gt;\n  &lt;macro name=\&quot;secondary-contributors\&quot;&gt;\n    &lt;choose&gt;\n      &lt;if type=\&quot;chapter paper-conference\&quot; match=\&quot;none\&quot;&gt;\n        &lt;names variable=\&quot;editor translator\&quot; delimiter=\&quot;. \&quot;&gt;\n          &lt;label form=\&quot;verb\&quot; text-case=\&quot;capitalize-first\&quot; suffix=\&quot; \&quot;/&gt;\n          &lt;name and=\&quot;text\&quot; initialize-with=\&quot;.\&quot;/&gt;\n        &lt;/names&gt;\n      &lt;/if&gt;\n      &lt;else-if variable=\&quot;container-author\&quot; match=\&quot;any\&quot;&gt;\n        &lt;names variable=\&quot;editor translator\&quot; delimiter=\&quot;. \&quot;&gt;\n          &lt;label form=\&quot;verb\&quot; text-case=\&quot;capitalize-first\&quot; suffix=\&quot; \&quot;/&gt;\n          &lt;name and=\&quot;text\&quot; initialize-with=\&quot;. \&quot; delimiter=\&quot;, \&quot;/&gt;\n        &lt;/names&gt;\n      &lt;/else-if&gt;\n    &lt;/choose&gt;\n  &lt;/macro&gt;\n  &lt;macro name=\&quot;author\&quot;&gt;\n    &lt;names variable=\&quot;author\&quot;&gt;\n      &lt;name and=\&quot;text\&quot; delimiter-precedes-last=\&quot;never\&quot; initialize-with=\&quot;.\&quot; name-as-sort-order=\&quot;all\&quot;/&gt;\n      &lt;label form=\&quot;short\&quot; prefix=\&quot; (\&quot; suffix=\&quot;)\&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DOI\&quot;&gt;\n        &lt;group delimiter=\&quot;: \&quot;&gt;\n          &lt;text term=\&quot;available at\&quot; text-case=\&quot;capitalize-first\&quot;/&gt;\n          &lt;text variable=\&quot;DOI\&quot; prefix=\&quot;https://doi.org/\&quot;/&gt;\n        &lt;/group&gt;\n      &lt;/if&gt;\n      &lt;else-if variable=\&quot;URL\&quot;&gt;\n        &lt;text term=\&quot;available at\&quot; suffix=\&quot;: \&quot; text-case=\&quot;capitalize-first\&quot;/&gt;\n        &lt;text variable=\&quot;URL\&quot;/&gt;\n        &lt;group prefix=\&quot; (\&quot; delimiter=\&quot;: \&quot; suffix=\&quot;)\&quot;&gt;\n          &lt;text term=\&quot;accessed\&quot; text-case=\&quot;capitalize-first\&quot;/&gt;\n          &lt;date form=\&quot;text\&quot; variable=\&quot;accessed\&quot;&gt;\n            &lt;date-part name=\&quot;day\&quot;/&gt;\n            &lt;date-part name=\&quot;month\&quot;/&gt;\n            &lt;date-part name=\&quot;year\&quot;/&gt;\n          &lt;/date&gt;\n        &lt;/group&gt;\n      &lt;/else-if&gt;\n    &lt;/choose&gt;\n  &lt;/macro&gt;\n  &lt;macro name=\&quot;number-volumes\&quot;&gt;\n    &lt;choose&gt;\n      &lt;if variable=\&quot;volume\&quot; match=\&quot;none\&quot;&gt;\n        &lt;group delimiter=\&quot; \&quot; prefix=\&quot;(\&quot; suffix=\&quot;)\&quot;&gt;\n          &lt;text variable=\&quot;number-of-volumes\&quot;/&gt;\n          &lt;label variable=\&quot;volume\&quot; form=\&quot;short\&quot; strip-periods=\&quot;true\&quot;/&gt;\n        &lt;/group&gt;\n      &lt;/if&gt;\n    &lt;/choose&gt;\n  &lt;/macro&gt;\n  &lt;macro name=\&quot;title\&quot;&gt;\n    &lt;choose&gt;\n      &lt;if type=\&quot;bill book legal_case legislation motion_picture report song thesis webpage graphic\&quot; match=\&quot;any\&quot;&gt;\n        &lt;group delimiter=\&quot;. \&quot;&gt;\n          &lt;group delimiter=\&quot; \&quot;&gt;\n            &lt;group delimiter=\&quot; \&quot;&gt;\n              &lt;text variable=\&quot;title\&quot; font-style=\&quot;italic\&quot;/&gt;\n              &lt;text variable=\&quot;medium\&quot; prefix=\&quot;[\&quot; suffix=\&quot;]\&quot;/&gt;\n            &lt;/group&gt;\n            &lt;text macro=\&quot;number-volumes\&quot;/&gt;\n          &lt;/group&gt;\n          &lt;text macro=\&quot;edition\&quot;/&gt;\n        &lt;/group&gt;\n      &lt;/if&gt;\n      &lt;else&gt;\n        &lt;text variable=\&quot;title\&quot; form=\&quot;long\&quot; quotes=\&quot;true\&quot;/&gt;\n      &lt;/else&gt;\n    &lt;/choose&gt;\n  &lt;/macro&gt;\n  &lt;macro name=\&quot;publisher\&quot;&gt;\n    &lt;choose&gt;\n      &lt;if type=\&quot;thesis\&quot;&gt;\n        &lt;group delimiter=\&quot;. \&quot;&gt;\n          &lt;text variable=\&quot;genre\&quot;/&gt;\n          &lt;text variable=\&quot;publisher\&quot;/&gt;\n        &lt;/group&gt;\n      &lt;/if&gt;\n      &lt;else-if type=\&quot;report\&quot;&gt;\n        &lt;group delimiter=\&quot;. \&quot;&gt;\n          &lt;group delimiter=\&quot; \&quot;&gt;\n            &lt;text variable=\&quot;genre\&quot;/&gt;\n            &lt;text variable=\&quot;number\&quot;/&gt;\n          &lt;/group&gt;\n          &lt;group delimiter=\&quot;: \&quot;&gt;\n            &lt;text variable=\&quot;publisher-place\&quot;/&gt;\n            &lt;text variable=\&quot;publisher\&quot;/&gt;\n          &lt;/group&gt;\n        &lt;/group&gt;\n      &lt;/else-if&gt;\n      &lt;else-if type=\&quot;article-journal article-newspaper article-magazine\&quot; match=\&quot;none\&quot;&gt;\n        &lt;group delimiter=\&quot; \&quot;&gt;\n          &lt;group delimiter=\&quot;, \&quot;&gt;\n            &lt;choose&gt;\n              &lt;if type=\&quot;speech\&quot; variable=\&quot;event\&quot; match=\&quot;any\&quot;&gt;\n                &lt;text variable=\&quot;event\&quot; font-style=\&quot;italic\&quot;/&gt;\n              &lt;/if&gt;\n            &lt;/choose&gt;\n            &lt;group delimiter=\&quot;: \&quot;&gt;\n              &lt;text variable=\&quot;publisher-place\&quot;/&gt;\n              &lt;text variable=\&quot;publisher\&quot;/&gt;\n            &lt;/group&gt;\n          &lt;/group&gt;\n          &lt;group prefix=\&quot;(\&quot; suffix=\&quot;)\&quot; delimiter=\&quot;, \&quot;&gt;\n            &lt;text variable=\&quot;collection-title\&quot;/&gt;\n            &lt;text variable=\&quot;collection-number\&quot;/&gt;\n          &lt;/group&gt;\n        &lt;/group&gt;\n      &lt;/else-if&gt;\n    &lt;/choose&gt;\n  &lt;/macro&gt;\n  &lt;macro name=\&quot;year-date\&quot;&gt;\n    &lt;choose&gt;\n      &lt;if variable=\&quot;issued\&quot;&gt;\n        &lt;date variable=\&quot;issued\&quot;&gt;\n          &lt;date-part name=\&quot;year\&quot;/&gt;\n        &lt;/date&gt;\n        &lt;text variable=\&quot;year-suffix\&quot;/&gt;\n      &lt;/if&gt;\n      &lt;else&gt;\n        &lt;text term=\&quot;no date\&quot;/&gt;\n        &lt;text variable=\&quot;year-suffix\&quot; prefix=\&quot; \&quot;/&gt;\n      &lt;/else&gt;\n    &lt;/choose&gt;\n  &lt;/macro&gt;\n  &lt;macro name=\&quot;locator\&quot;&gt;\n    &lt;choose&gt;\n      &lt;if type=\&quot;article-journal\&quot;&gt;\n        &lt;text variable=\&quot;volume\&quot;/&gt;\n        &lt;text variable=\&quot;issue\&quot; prefix=\&quot;(\&quot; suffix=\&quot;)\&quot;/&gt;\n      &lt;/if&gt;\n    &lt;/choose&gt;\n  &lt;/macro&gt;\n  &lt;macro name=\&quot;published-date\&quot;&gt;\n    &lt;choose&gt;\n      &lt;if type=\&quot;article-newspaper article-magazine post-weblog speech\&quot; match=\&quot;any\&quot;&gt;\n        &lt;date variable=\&quot;issued\&quot;&gt;\n          &lt;date-part name=\&quot;day\&quot; suffix=\&quot; \&quot;/&gt;\n          &lt;date-part name=\&quot;month\&quot; form=\&quot;long\&quot;/&gt;\n        &lt;/date&gt;\n      &lt;/if&gt;\n    &lt;/choose&gt;\n  &lt;/macro&gt;\n  &lt;macro name=\&quot;pages\&quot;&gt;\n    &lt;choose&gt;\n      &lt;if type=\&quot;chapter paper-conference article-journal article article-magazine article-newspaper book review review-book report\&quot; match=\&quot;any\&quot;&gt;\n        &lt;group delimiter=\&quot; \&quot;&gt;\n          &lt;label variable=\&quot;page\&quot; form=\&quot;short\&quot;/&gt;\n          &lt;text variable=\&quot;page\&quot;/&gt;\n        &lt;/group&gt;\n      &lt;/if&gt;\n    &lt;/choose&gt;\n  &lt;/macro&gt;\n  &lt;macro name=\&quot;container-title\&quot;&gt;\n    &lt;choose&gt;\n      &lt;if variable=\&quot;container-title\&quot;&gt;\n        &lt;group delimiter=\&quot;. \&quot;&gt;\n          &lt;group delimiter=\&quot; \&quot;&gt;\n            &lt;text variable=\&quot;container-title\&quot; font-style=\&quot;italic\&quot;/&gt;\n            &lt;choose&gt;\n              &lt;if type=\&quot;article article-journal\&quot; match=\&quot;any\&quot;&gt;\n                &lt;choose&gt;\n                  &lt;if match=\&quot;none\&quot; variable=\&quot;page volume\&quot;&gt;\n                    &lt;text value=\&quot;Preprint\&quot; prefix=\&quot;[\&quot; suffix=\&quot;]\&quot;/&gt;\n                  &lt;/if&gt;\n                &lt;/choose&gt;\n              &lt;/if&gt;\n            &lt;/choose&gt;\n          &lt;/group&gt;\n          &lt;text macro=\&quot;edition\&quot;/&gt;\n        &lt;/group&gt;\n      &lt;/if&gt;\n    &lt;/choose&gt;\n  &lt;/macro&gt;\n  &lt;macro name=\&quot;edition\&quot;&gt;\n    &lt;choose&gt;\n      &lt;if is-numeric=\&quot;edition\&quot;&gt;\n        &lt;group delimiter=\&quot; \&quot;&gt;\n          &lt;number variable=\&quot;edition\&quot; form=\&quot;ordinal\&quot;/&gt;\n          &lt;text term=\&quot;edition\&quot; form=\&quot;short\&quot; strip-periods=\&quot;true\&quot;/&gt;\n        &lt;/group&gt;\n      &lt;/if&gt;\n      &lt;else&gt;\n        &lt;text variable=\&quot;edition\&quot;/&gt;\n      &lt;/else&gt;\n    &lt;/choose&gt;\n  &lt;/macro&gt;\n  &lt;macro name=\&quot;container-prefix\&quot;&gt;\n    &lt;choose&gt;\n      &lt;if type=\&quot;chapter paper-conference\&quot; match=\&quot;any\&quot;&gt;\n        &lt;text term=\&quot;in\&quot;/&gt;\n      &lt;/if&gt;\n    &lt;/choose&gt;\n  &lt;/macro&gt;\n  &lt;citation et-al-min=\&quot;4\&quot; et-al-use-first=\&quot;1\&quot; disambiguate-add-year-suffix=\&quot;true\&quot; disambiguate-add-names=\&quot;true\&quot; disambiguate-add-givenname=\&quot;true\&quot; collapse=\&quot;year\&quot;&gt;\n    &lt;sort&gt;\n      &lt;key macro=\&quot;year-date\&quot;/&gt;\n    &lt;/sort&gt;\n    &lt;layout prefix=\&quot;(\&quot; suffix=\&quot;)\&quot; delimiter=\&quot;; \&quot;&gt;\n      &lt;group delimiter=\&quot;, \&quot;&gt;\n        &lt;group delimiter=\&quot;, \&quot;&gt;\n          &lt;text macro=\&quot;author-short\&quot;/&gt;\n          &lt;text macro=\&quot;year-date\&quot;/&gt;\n        &lt;/group&gt;\n        &lt;group&gt;\n          &lt;label variable=\&quot;locator\&quot; form=\&quot;short\&quot; suffix=\&quot; \&quot;/&gt;\n          &lt;text variable=\&quot;locator\&quot;/&gt;\n        &lt;/group&gt;\n      &lt;/group&gt;\n    &lt;/layout&gt;\n  &lt;/citation&gt;\n  &lt;bibliography and=\&quot;text\&quot; et-al-min=\&quot;4\&quot; et-al-use-first=\&quot;1\&quot;&gt;\n    &lt;sort&gt;\n      &lt;key macro=\&quot;author\&quot;/&gt;\n      &lt;key macro=\&quot;year-date\&quot;/&gt;\n      &lt;key variable=\&quot;title\&quot;/&gt;\n    &lt;/sort&gt;\n    &lt;layout suffix=\&quot;.\&quot;&gt;\n      &lt;group delimiter=\&quot;. \&quot;&gt;\n        &lt;group delimiter=\&quot; \&quot;&gt;\n          &lt;text macro=\&quot;author\&quot;/&gt;\n          &lt;text macro=\&quot;year-date\&quot; prefix=\&quot;(\&quot; suffix=\&quot;)\&quot;/&gt;\n          &lt;group delimiter=\&quot;, \&quot;&gt;\n            &lt;text macro=\&quot;title\&quot;/&gt;\n            &lt;group delimiter=\&quot; \&quot;&gt;\n              &lt;text macro=\&quot;container-prefix\&quot;/&gt;\n              &lt;text macro=\&quot;editor\&quot;/&gt;\n              &lt;text macro=\&quot;container-title\&quot;/&gt;\n            &lt;/group&gt;\n          &lt;/group&gt;\n        &lt;/group&gt;\n        &lt;text macro=\&quot;secondary-contributors\&quot;/&gt;\n        &lt;text macro=\&quot;publisher\&quot;/&gt;\n      &lt;/group&gt;\n      &lt;group delimiter=\&quot;, \&quot; prefix=\&quot;, \&quot;&gt;\n        &lt;text macro=\&quot;locator\&quot;/&gt;\n        &lt;text macro=\&quot;published-date\&quot;/&gt;\n        &lt;text macro=\&quot;pages\&quot;/&gt;\n      &lt;/group&gt;\n      &lt;text macro=\&quot;access\&quot; prefix=\&quot;. \&quot;/&gt;\n    &lt;/layout&gt;\n  &lt;/bibliography&gt;\n&lt;/style&gt;\n&quot;}}"/>
    <we:property name="bibcitation-word-document-id" value="&quot;6235febc-27ea-434b-b00a-d6a4b908da3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Mon11</b:Tag>
    <b:SourceType>InternetSite</b:SourceType>
    <b:Guid>{4AE1C6F0-38A8-4A1D-B5D3-9800E71CFF89}</b:Guid>
    <b:Title>Monro, E. (2011) Munro, E. (2011). *The Munro Review of Child Protection*. The Stationery Office, Bing. Available at: https://www.bing.com/search?q=Munro%2C+E.+(2011).+*The+Munro+Review+of+Child+Protection*.</b:Title>
    <b:Year>2011</b:Year>
    <b:Author>
      <b:Author>
        <b:NameList>
          <b:Person>
            <b:Last>Monro</b:Last>
            <b:First>E.</b:First>
          </b:Person>
        </b:NameList>
      </b:Author>
    </b:Author>
    <b:YearAccessed>2025</b:YearAccessed>
    <b:MonthAccessed>07</b:MonthAccessed>
    <b:DayAccessed>17</b:DayAccessed>
    <b:URL>https://www.bing.com/search?q=Munro%2C+E.+(2011).+*The+Munro+Review+of+Child+Protection*.+The+Stationery+Office&amp;cvid=de52ab15489c42e281f8</b:URL>
    <b:RefOrder>1</b:RefOrder>
  </b:Source>
</b:Sources>
</file>

<file path=customXml/itemProps1.xml><?xml version="1.0" encoding="utf-8"?>
<ds:datastoreItem xmlns:ds="http://schemas.openxmlformats.org/officeDocument/2006/customXml" ds:itemID="{7A774377-C9E5-4753-B416-5DCF02E6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10</Pages>
  <Words>2303</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Artemis Vyudantrome</dc:creator>
  <cp:keywords/>
  <dc:description/>
  <cp:lastModifiedBy>Artemis Vyudantrome</cp:lastModifiedBy>
  <cp:revision>19</cp:revision>
  <dcterms:created xsi:type="dcterms:W3CDTF">2025-07-19T18:16:00Z</dcterms:created>
  <dcterms:modified xsi:type="dcterms:W3CDTF">2025-12-07T13:52:00Z</dcterms:modified>
</cp:coreProperties>
</file>