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9CE132E" w14:textId="6F8F411B" w:rsidR="00A974F1" w:rsidRDefault="00A974F1">
      <w:r>
        <w:t>Louise Blanche</w:t>
      </w:r>
    </w:p>
    <w:p w14:paraId="4EA0AABD" w14:textId="1C391AC2" w:rsidR="00A974F1" w:rsidRDefault="00A974F1">
      <w:r>
        <w:t>2236192</w:t>
      </w:r>
    </w:p>
    <w:p w14:paraId="540FE694" w14:textId="77777777" w:rsidR="00A974F1" w:rsidRDefault="00A974F1"/>
    <w:p w14:paraId="0CE68FF7" w14:textId="4410D032" w:rsidR="0081107B" w:rsidRDefault="0049661D">
      <w:r>
        <w:t xml:space="preserve">Students are required to complete a 4000 word submission in the form of four 1000-word essays (4 x 1000 words, +/- 10% per essay). You must submit the assignment in a Word document titled with your name and student number. </w:t>
      </w:r>
    </w:p>
    <w:p w14:paraId="042D9CDF" w14:textId="77777777" w:rsidR="0081107B" w:rsidRDefault="0049661D">
      <w:r>
        <w:t xml:space="preserve">All of your answers must be based academic research, not personal experience. Choose four titles from the list below: </w:t>
      </w:r>
    </w:p>
    <w:p w14:paraId="64E7DBF2" w14:textId="77777777" w:rsidR="0081107B" w:rsidRDefault="0081107B"/>
    <w:p w14:paraId="2DEDB0F3" w14:textId="77777777" w:rsidR="0081107B" w:rsidRDefault="0049661D">
      <w:pPr>
        <w:rPr>
          <w:b/>
          <w:bCs/>
        </w:rPr>
      </w:pPr>
      <w:r>
        <w:rPr>
          <w:b/>
          <w:bCs/>
        </w:rPr>
        <w:t>Essay one: How effectively has the police service adapted to accommodate diversity within the UK? Consider the police force itself and/or the way police engage with diverse communities. Your answer must be based on academic research. Word limit: 1000 words.</w:t>
      </w:r>
    </w:p>
    <w:p w14:paraId="12AA328C" w14:textId="33857FD3" w:rsidR="0081107B" w:rsidRDefault="00C06822">
      <w:pPr>
        <w:spacing w:line="360" w:lineRule="auto"/>
        <w:rPr>
          <w:b/>
          <w:bCs/>
        </w:rPr>
      </w:pPr>
      <w:r>
        <w:rPr>
          <w:b/>
          <w:bCs/>
        </w:rPr>
        <w:t xml:space="preserve">Word Count: </w:t>
      </w:r>
      <w:r w:rsidR="009163F5">
        <w:rPr>
          <w:b/>
          <w:bCs/>
        </w:rPr>
        <w:t>10</w:t>
      </w:r>
      <w:r w:rsidR="00A974F1">
        <w:rPr>
          <w:b/>
          <w:bCs/>
        </w:rPr>
        <w:t>4</w:t>
      </w:r>
      <w:r w:rsidR="009163F5">
        <w:rPr>
          <w:b/>
          <w:bCs/>
        </w:rPr>
        <w:t>9</w:t>
      </w:r>
    </w:p>
    <w:p w14:paraId="2661D74A" w14:textId="50686868" w:rsidR="0081107B" w:rsidRPr="006C1109" w:rsidRDefault="0049661D" w:rsidP="006C1109">
      <w:pPr>
        <w:spacing w:line="480" w:lineRule="auto"/>
        <w:jc w:val="both"/>
        <w:rPr>
          <w:rFonts w:ascii="Verdana" w:hAnsi="Verdana" w:cs="Arial"/>
        </w:rPr>
      </w:pPr>
      <w:r w:rsidRPr="006C1109">
        <w:rPr>
          <w:rFonts w:ascii="Verdana" w:hAnsi="Verdana" w:cs="Arial"/>
        </w:rPr>
        <w:t xml:space="preserve">Diversity and inclusion have become critical issues in modern societies and how the police service in the United Kingdom has adapted to accommodate this is a pivotal debate within current academic research. Given the multifaceted nature of British society, the police must represent and engage with a population characterised by a wide range of ethnicities, </w:t>
      </w:r>
      <w:r w:rsidR="00A974F1" w:rsidRPr="006C1109">
        <w:rPr>
          <w:rFonts w:ascii="Verdana" w:hAnsi="Verdana" w:cs="Arial"/>
        </w:rPr>
        <w:t xml:space="preserve">social backgrounds </w:t>
      </w:r>
      <w:r w:rsidRPr="006C1109">
        <w:rPr>
          <w:rFonts w:ascii="Verdana" w:hAnsi="Verdana" w:cs="Arial"/>
        </w:rPr>
        <w:t xml:space="preserve">cultures, </w:t>
      </w:r>
      <w:r w:rsidR="00A974F1" w:rsidRPr="006C1109">
        <w:rPr>
          <w:rFonts w:ascii="Verdana" w:hAnsi="Verdana" w:cs="Arial"/>
        </w:rPr>
        <w:t xml:space="preserve">and </w:t>
      </w:r>
      <w:r w:rsidRPr="006C1109">
        <w:rPr>
          <w:rFonts w:ascii="Verdana" w:hAnsi="Verdana" w:cs="Arial"/>
        </w:rPr>
        <w:t xml:space="preserve">religions. This essay will explore how effectively the police service has adapted to accommodate diversity within the UK and how Police officers engage with diverse communities. This essay will be based on academic research. </w:t>
      </w:r>
    </w:p>
    <w:p w14:paraId="128CEEBA" w14:textId="40724730" w:rsidR="0081107B" w:rsidRPr="006C1109" w:rsidRDefault="0049661D" w:rsidP="006C1109">
      <w:pPr>
        <w:spacing w:line="480" w:lineRule="auto"/>
        <w:jc w:val="both"/>
        <w:rPr>
          <w:rFonts w:ascii="Verdana" w:hAnsi="Verdana" w:cs="Arial"/>
        </w:rPr>
      </w:pPr>
      <w:r w:rsidRPr="006C1109">
        <w:rPr>
          <w:rFonts w:ascii="Verdana" w:hAnsi="Verdana" w:cs="Arial"/>
        </w:rPr>
        <w:t xml:space="preserve">The historical relationship between the police and diverse communities in the UK has </w:t>
      </w:r>
      <w:r w:rsidR="000F2972" w:rsidRPr="006C1109">
        <w:rPr>
          <w:rFonts w:ascii="Verdana" w:hAnsi="Verdana" w:cs="Arial"/>
        </w:rPr>
        <w:t>led to many political debates and many research studies have been conducted on how effective the Police service in the UK has been to accommodate diversity</w:t>
      </w:r>
      <w:r w:rsidRPr="006C1109">
        <w:rPr>
          <w:rFonts w:ascii="Verdana" w:hAnsi="Verdana" w:cs="Arial"/>
        </w:rPr>
        <w:t xml:space="preserve">. </w:t>
      </w:r>
      <w:r w:rsidR="000F2972" w:rsidRPr="006C1109">
        <w:rPr>
          <w:rFonts w:ascii="Verdana" w:hAnsi="Verdana" w:cs="Arial"/>
        </w:rPr>
        <w:t>For example; i</w:t>
      </w:r>
      <w:r w:rsidRPr="006C1109">
        <w:rPr>
          <w:rFonts w:ascii="Verdana" w:hAnsi="Verdana" w:cs="Arial"/>
        </w:rPr>
        <w:t>nstances such as the Brixton riots in 1981 and the Stephen Lawrence case in 1993</w:t>
      </w:r>
      <w:r w:rsidR="000F2972" w:rsidRPr="006C1109">
        <w:rPr>
          <w:rFonts w:ascii="Verdana" w:hAnsi="Verdana" w:cs="Arial"/>
        </w:rPr>
        <w:t xml:space="preserve">, research studies </w:t>
      </w:r>
      <w:r w:rsidRPr="006C1109">
        <w:rPr>
          <w:rFonts w:ascii="Verdana" w:hAnsi="Verdana" w:cs="Arial"/>
        </w:rPr>
        <w:t>highlighted deep-seated issues of racism and discrimination within the police service</w:t>
      </w:r>
      <w:r w:rsidR="00A974F1" w:rsidRPr="006C1109">
        <w:rPr>
          <w:rFonts w:ascii="Verdana" w:hAnsi="Verdana" w:cs="Arial"/>
        </w:rPr>
        <w:t xml:space="preserve"> (</w:t>
      </w:r>
      <w:r w:rsidR="00A974F1" w:rsidRPr="006C1109">
        <w:rPr>
          <w:rFonts w:ascii="Verdana" w:hAnsi="Verdana"/>
        </w:rPr>
        <w:t>Pickles, 2022</w:t>
      </w:r>
      <w:r w:rsidR="00A974F1" w:rsidRPr="006C1109">
        <w:rPr>
          <w:rFonts w:ascii="Verdana" w:hAnsi="Verdana"/>
        </w:rPr>
        <w:t>)</w:t>
      </w:r>
      <w:r w:rsidRPr="006C1109">
        <w:rPr>
          <w:rFonts w:ascii="Verdana" w:hAnsi="Verdana" w:cs="Arial"/>
        </w:rPr>
        <w:t xml:space="preserve">. </w:t>
      </w:r>
      <w:r w:rsidR="00A974F1" w:rsidRPr="006C1109">
        <w:rPr>
          <w:rFonts w:ascii="Verdana" w:hAnsi="Verdana" w:cs="Arial"/>
        </w:rPr>
        <w:t>Research suggests that t</w:t>
      </w:r>
      <w:r w:rsidRPr="006C1109">
        <w:rPr>
          <w:rFonts w:ascii="Verdana" w:hAnsi="Verdana" w:cs="Arial"/>
        </w:rPr>
        <w:t>hese</w:t>
      </w:r>
      <w:r w:rsidR="00A974F1" w:rsidRPr="006C1109">
        <w:rPr>
          <w:rFonts w:ascii="Verdana" w:hAnsi="Verdana" w:cs="Arial"/>
        </w:rPr>
        <w:t xml:space="preserve"> historical cases</w:t>
      </w:r>
      <w:r w:rsidRPr="006C1109">
        <w:rPr>
          <w:rFonts w:ascii="Verdana" w:hAnsi="Verdana" w:cs="Arial"/>
        </w:rPr>
        <w:t xml:space="preserve"> not only eroded trust between minority communities and the police but also prompted widespread calls for reform</w:t>
      </w:r>
      <w:r w:rsidR="00A974F1" w:rsidRPr="006C1109">
        <w:rPr>
          <w:rFonts w:ascii="Verdana" w:hAnsi="Verdana" w:cs="Arial"/>
        </w:rPr>
        <w:t xml:space="preserve"> </w:t>
      </w:r>
      <w:r w:rsidR="00A974F1" w:rsidRPr="006C1109">
        <w:rPr>
          <w:rFonts w:ascii="Verdana" w:hAnsi="Verdana" w:cs="Arial"/>
        </w:rPr>
        <w:t>(</w:t>
      </w:r>
      <w:r w:rsidR="00A974F1" w:rsidRPr="006C1109">
        <w:rPr>
          <w:rFonts w:ascii="Verdana" w:hAnsi="Verdana"/>
        </w:rPr>
        <w:t>Pickles, 2022)</w:t>
      </w:r>
      <w:r w:rsidRPr="006C1109">
        <w:rPr>
          <w:rFonts w:ascii="Verdana" w:hAnsi="Verdana" w:cs="Arial"/>
        </w:rPr>
        <w:t>.</w:t>
      </w:r>
    </w:p>
    <w:p w14:paraId="43AF1BEE" w14:textId="0F46B443" w:rsidR="0081107B" w:rsidRPr="006C1109" w:rsidRDefault="0049661D" w:rsidP="006C1109">
      <w:pPr>
        <w:spacing w:line="480" w:lineRule="auto"/>
        <w:jc w:val="both"/>
        <w:rPr>
          <w:rFonts w:ascii="Verdana" w:hAnsi="Verdana"/>
        </w:rPr>
      </w:pPr>
      <w:r w:rsidRPr="006C1109">
        <w:rPr>
          <w:rFonts w:ascii="Verdana" w:hAnsi="Verdana" w:cs="Arial"/>
        </w:rPr>
        <w:lastRenderedPageBreak/>
        <w:t>The Equality Act (2010) combined and replaced numerous individualised equality legislation and streamlined these into a single Act. This reform of legalisation had the aim to protect minority groups and those who may suffer discrimination</w:t>
      </w:r>
      <w:r w:rsidR="00A974F1" w:rsidRPr="006C1109">
        <w:rPr>
          <w:rFonts w:ascii="Verdana" w:hAnsi="Verdana" w:cs="Arial"/>
        </w:rPr>
        <w:t xml:space="preserve"> within society</w:t>
      </w:r>
      <w:r w:rsidRPr="006C1109">
        <w:rPr>
          <w:rFonts w:ascii="Verdana" w:hAnsi="Verdana" w:cs="Arial"/>
        </w:rPr>
        <w:t xml:space="preserve"> (</w:t>
      </w:r>
      <w:r w:rsidRPr="006C1109">
        <w:rPr>
          <w:rFonts w:ascii="Verdana" w:hAnsi="Verdana"/>
        </w:rPr>
        <w:t>Gold, 2022)</w:t>
      </w:r>
      <w:r w:rsidRPr="006C1109">
        <w:rPr>
          <w:rFonts w:ascii="Verdana" w:hAnsi="Verdana" w:cs="Arial"/>
        </w:rPr>
        <w:t>. The Act established nine protected characteristics: age, disability, race, religion or belief, sex, sexual orientation, gender reassignment, marriage and civil partnership, and pregnancy and maternity</w:t>
      </w:r>
      <w:r w:rsidR="00A974F1" w:rsidRPr="006C1109">
        <w:rPr>
          <w:rFonts w:ascii="Verdana" w:hAnsi="Verdana" w:cs="Arial"/>
        </w:rPr>
        <w:t xml:space="preserve">, </w:t>
      </w:r>
      <w:r w:rsidRPr="006C1109">
        <w:rPr>
          <w:rFonts w:ascii="Verdana" w:hAnsi="Verdana" w:cs="Arial"/>
        </w:rPr>
        <w:t>criminalising discrimination against them. Throughout this act there are seven types of discrimination identified as direct, associative, indirect, harassment, harassment by a third party, victimisation, and discrimination by perception (</w:t>
      </w:r>
      <w:r w:rsidRPr="006C1109">
        <w:rPr>
          <w:rFonts w:ascii="Verdana" w:hAnsi="Verdana"/>
        </w:rPr>
        <w:t>Gold, 2022)</w:t>
      </w:r>
      <w:r w:rsidRPr="006C1109">
        <w:rPr>
          <w:rFonts w:ascii="Verdana" w:hAnsi="Verdana" w:cs="Arial"/>
        </w:rPr>
        <w:t xml:space="preserve">. </w:t>
      </w:r>
      <w:r w:rsidR="000F2972" w:rsidRPr="006C1109">
        <w:rPr>
          <w:rFonts w:ascii="Verdana" w:hAnsi="Verdana" w:cs="Arial"/>
        </w:rPr>
        <w:t>Under the public sector equality duty (PSED), this act states that Police officers should take active steps to prevent discrimination, advance equality, and promote good relations between different groups and communities (</w:t>
      </w:r>
      <w:r w:rsidR="00A96959" w:rsidRPr="006C1109">
        <w:rPr>
          <w:rFonts w:ascii="Verdana" w:hAnsi="Verdana"/>
        </w:rPr>
        <w:t>EHRC, 2022).</w:t>
      </w:r>
    </w:p>
    <w:p w14:paraId="2FCF4271" w14:textId="77777777" w:rsidR="0081107B" w:rsidRPr="006C1109" w:rsidRDefault="0081107B" w:rsidP="006C1109">
      <w:pPr>
        <w:spacing w:line="480" w:lineRule="auto"/>
        <w:jc w:val="both"/>
        <w:rPr>
          <w:rFonts w:ascii="Verdana" w:hAnsi="Verdana" w:cs="Arial"/>
        </w:rPr>
      </w:pPr>
    </w:p>
    <w:p w14:paraId="12C0614B" w14:textId="1262F582" w:rsidR="00FA02F0" w:rsidRPr="006C1109" w:rsidRDefault="0049661D" w:rsidP="006C1109">
      <w:pPr>
        <w:spacing w:line="480" w:lineRule="auto"/>
        <w:jc w:val="both"/>
        <w:rPr>
          <w:rFonts w:ascii="Verdana" w:hAnsi="Verdana" w:cs="Arial"/>
        </w:rPr>
      </w:pPr>
      <w:r w:rsidRPr="006C1109">
        <w:rPr>
          <w:rFonts w:ascii="Verdana" w:hAnsi="Verdana" w:cs="Arial"/>
        </w:rPr>
        <w:t>Over the past few decades, one of the primary ways the UK police service has sought to accommodate diversity is through reforms in recruitment</w:t>
      </w:r>
      <w:r w:rsidR="00A96959" w:rsidRPr="006C1109">
        <w:rPr>
          <w:rFonts w:ascii="Verdana" w:hAnsi="Verdana" w:cs="Arial"/>
        </w:rPr>
        <w:t xml:space="preserve"> (</w:t>
      </w:r>
      <w:r w:rsidR="00A96959" w:rsidRPr="006C1109">
        <w:rPr>
          <w:rFonts w:ascii="Verdana" w:hAnsi="Verdana"/>
        </w:rPr>
        <w:t>EHRC, 2022)</w:t>
      </w:r>
      <w:r w:rsidRPr="006C1109">
        <w:rPr>
          <w:rFonts w:ascii="Verdana" w:hAnsi="Verdana" w:cs="Arial"/>
        </w:rPr>
        <w:t xml:space="preserve">. For example, research demonstrates that efforts have been made to increase the representation of minority groups within UK police forces. The introduction of initiatives such as the Positive Action programme under the Equality Act (2010) has aimed to address the imbalance by encouraging individuals from underrepresented groups to pursue careers in policing. These efforts have shown some progress; for instance, the proportion of Black, Asian, and Minority Ethnic (BAME) officers in the UK police force has increased from 3.9% in 2007 to 7.8% in 2022 </w:t>
      </w:r>
      <w:bookmarkStart w:id="0" w:name="_Hlk176435221"/>
      <w:r w:rsidRPr="006C1109">
        <w:rPr>
          <w:rFonts w:ascii="Verdana" w:hAnsi="Verdana" w:cs="Arial"/>
        </w:rPr>
        <w:t>(</w:t>
      </w:r>
      <w:r w:rsidRPr="006C1109">
        <w:rPr>
          <w:rFonts w:ascii="Verdana" w:hAnsi="Verdana"/>
        </w:rPr>
        <w:t>GOV.UK, 2023)</w:t>
      </w:r>
      <w:bookmarkEnd w:id="0"/>
      <w:r w:rsidRPr="006C1109">
        <w:rPr>
          <w:rFonts w:ascii="Verdana" w:hAnsi="Verdana" w:cs="Arial"/>
        </w:rPr>
        <w:t xml:space="preserve">.  Despite these improvements, significant challenges remain. </w:t>
      </w:r>
      <w:r w:rsidR="00FA02F0" w:rsidRPr="006C1109">
        <w:rPr>
          <w:rFonts w:ascii="Verdana" w:hAnsi="Verdana" w:cs="Arial"/>
        </w:rPr>
        <w:t xml:space="preserve">Within 2021, a report carried out by the National Police Chiefs’ Council named ‘The Macpherson Report’ was published, which included a statistical report on how the police force in the UK accommodate diversity within the forces itself </w:t>
      </w:r>
      <w:r w:rsidR="00FA02F0" w:rsidRPr="006C1109">
        <w:rPr>
          <w:rFonts w:ascii="Verdana" w:hAnsi="Verdana" w:cs="Arial"/>
        </w:rPr>
        <w:lastRenderedPageBreak/>
        <w:t>and the community</w:t>
      </w:r>
      <w:r w:rsidR="009163F5" w:rsidRPr="006C1109">
        <w:rPr>
          <w:rFonts w:ascii="Verdana" w:hAnsi="Verdana" w:cs="Arial"/>
        </w:rPr>
        <w:t xml:space="preserve"> (</w:t>
      </w:r>
      <w:r w:rsidR="009163F5" w:rsidRPr="006C1109">
        <w:rPr>
          <w:rFonts w:ascii="Verdana" w:hAnsi="Verdana"/>
        </w:rPr>
        <w:t>UK Parliament, 2021)</w:t>
      </w:r>
      <w:r w:rsidR="00FA02F0" w:rsidRPr="006C1109">
        <w:rPr>
          <w:rFonts w:ascii="Verdana" w:hAnsi="Verdana" w:cs="Arial"/>
        </w:rPr>
        <w:t>. This report found that t</w:t>
      </w:r>
      <w:r w:rsidRPr="006C1109">
        <w:rPr>
          <w:rFonts w:ascii="Verdana" w:hAnsi="Verdana" w:cs="Arial"/>
        </w:rPr>
        <w:t xml:space="preserve">he police force is still predominantly white, particularly in senior positions. </w:t>
      </w:r>
      <w:r w:rsidR="00FA02F0" w:rsidRPr="006C1109">
        <w:rPr>
          <w:rFonts w:ascii="Verdana" w:hAnsi="Verdana" w:cs="Arial"/>
        </w:rPr>
        <w:t xml:space="preserve">The data from this report </w:t>
      </w:r>
      <w:r w:rsidRPr="006C1109">
        <w:rPr>
          <w:rFonts w:ascii="Verdana" w:hAnsi="Verdana" w:cs="Arial"/>
        </w:rPr>
        <w:t xml:space="preserve">highlighted that only 4% of chief officers were from BAME backgrounds. This lack of representation at higher levels can undermine trust and confidence in the police among minority communities. </w:t>
      </w:r>
    </w:p>
    <w:p w14:paraId="36F7A80D" w14:textId="5241822C" w:rsidR="00FA02F0" w:rsidRPr="006C1109" w:rsidRDefault="00FA02F0" w:rsidP="006C1109">
      <w:pPr>
        <w:spacing w:line="480" w:lineRule="auto"/>
        <w:jc w:val="both"/>
        <w:rPr>
          <w:rFonts w:ascii="Verdana" w:hAnsi="Verdana" w:cs="Arial"/>
        </w:rPr>
      </w:pPr>
      <w:r w:rsidRPr="006C1109">
        <w:rPr>
          <w:rFonts w:ascii="Verdana" w:hAnsi="Verdana" w:cs="Arial"/>
        </w:rPr>
        <w:t>Government statistics at the end of March 2020, demonstrated that the number of BAME officers across England and Wales has continued to increase over the years. However as acknowledged by the Home Office, “the proportion of BAME officers remains considerably lower than the 14% of the population in England and Wales that identify as BAME”</w:t>
      </w:r>
      <w:r w:rsidR="009163F5" w:rsidRPr="006C1109">
        <w:rPr>
          <w:rFonts w:ascii="Verdana" w:hAnsi="Verdana" w:cs="Arial"/>
        </w:rPr>
        <w:t xml:space="preserve"> (</w:t>
      </w:r>
      <w:r w:rsidR="009163F5" w:rsidRPr="006C1109">
        <w:rPr>
          <w:rFonts w:ascii="Verdana" w:hAnsi="Verdana"/>
        </w:rPr>
        <w:t>UK Parliament, pp. 1, 2021)</w:t>
      </w:r>
      <w:r w:rsidR="009163F5" w:rsidRPr="006C1109">
        <w:rPr>
          <w:rFonts w:ascii="Verdana" w:hAnsi="Verdana" w:cs="Arial"/>
        </w:rPr>
        <w:t xml:space="preserve">. </w:t>
      </w:r>
      <w:r w:rsidRPr="006C1109">
        <w:rPr>
          <w:rFonts w:ascii="Verdana" w:hAnsi="Verdana" w:cs="Arial"/>
        </w:rPr>
        <w:t>Statistics showed that the proportion of BAME police officers in England and Wales increased from 4.8% in 2011 to 7.3% in 2020. However, during this time, the BAME population in England and Wales also increased from 14% in 2011 to 15.6% in 2019</w:t>
      </w:r>
      <w:r w:rsidR="009163F5" w:rsidRPr="006C1109">
        <w:rPr>
          <w:rFonts w:ascii="Verdana" w:hAnsi="Verdana" w:cs="Arial"/>
        </w:rPr>
        <w:t xml:space="preserve"> (</w:t>
      </w:r>
      <w:r w:rsidR="009163F5" w:rsidRPr="006C1109">
        <w:rPr>
          <w:rFonts w:ascii="Verdana" w:hAnsi="Verdana"/>
        </w:rPr>
        <w:t>UK Parliament, 2021)</w:t>
      </w:r>
      <w:r w:rsidRPr="006C1109">
        <w:rPr>
          <w:rFonts w:ascii="Verdana" w:hAnsi="Verdana" w:cs="Arial"/>
        </w:rPr>
        <w:t>. This data may suggest that part of the rise in the proportion of BAME police officers may be representative of population growth and not necessarily as a consequence of active recruitment policies by respective police forces</w:t>
      </w:r>
      <w:r w:rsidR="009163F5" w:rsidRPr="006C1109">
        <w:rPr>
          <w:rFonts w:ascii="Verdana" w:hAnsi="Verdana" w:cs="Arial"/>
        </w:rPr>
        <w:t xml:space="preserve">. </w:t>
      </w:r>
    </w:p>
    <w:p w14:paraId="1CB2867C" w14:textId="417301B9" w:rsidR="0081107B" w:rsidRPr="006C1109" w:rsidRDefault="00355076" w:rsidP="006C1109">
      <w:pPr>
        <w:spacing w:line="480" w:lineRule="auto"/>
        <w:jc w:val="both"/>
        <w:rPr>
          <w:rFonts w:ascii="Verdana" w:hAnsi="Verdana" w:cs="Arial"/>
        </w:rPr>
      </w:pPr>
      <w:r w:rsidRPr="006C1109">
        <w:rPr>
          <w:rFonts w:ascii="Verdana" w:hAnsi="Verdana" w:cs="Arial"/>
        </w:rPr>
        <w:t xml:space="preserve">Nevertheless, </w:t>
      </w:r>
      <w:r w:rsidR="009163F5" w:rsidRPr="006C1109">
        <w:rPr>
          <w:rFonts w:ascii="Verdana" w:hAnsi="Verdana" w:cs="Arial"/>
        </w:rPr>
        <w:t xml:space="preserve">research from this study demonstrates that </w:t>
      </w:r>
      <w:r w:rsidRPr="006C1109">
        <w:rPr>
          <w:rFonts w:ascii="Verdana" w:hAnsi="Verdana" w:cs="Arial"/>
        </w:rPr>
        <w:t>t</w:t>
      </w:r>
      <w:r w:rsidR="0049661D" w:rsidRPr="006C1109">
        <w:rPr>
          <w:rFonts w:ascii="Verdana" w:hAnsi="Verdana" w:cs="Arial"/>
        </w:rPr>
        <w:t>he UK police service has made notable strides in adapting to accommodate diversity within its ranks and in its engagement with diverse communities. Initiatives aimed at increasing minority representation and improving cultural competence are steps in the right direction</w:t>
      </w:r>
      <w:r w:rsidR="009163F5" w:rsidRPr="006C1109">
        <w:rPr>
          <w:rFonts w:ascii="Verdana" w:hAnsi="Verdana" w:cs="Arial"/>
        </w:rPr>
        <w:t xml:space="preserve"> (</w:t>
      </w:r>
      <w:r w:rsidR="009163F5" w:rsidRPr="006C1109">
        <w:rPr>
          <w:rFonts w:ascii="Verdana" w:hAnsi="Verdana"/>
        </w:rPr>
        <w:t>UK Parliament, 2021)</w:t>
      </w:r>
      <w:r w:rsidR="0049661D" w:rsidRPr="006C1109">
        <w:rPr>
          <w:rFonts w:ascii="Verdana" w:hAnsi="Verdana" w:cs="Arial"/>
        </w:rPr>
        <w:t>. However, challenges such as underrepresentation in senior roles, ongoing discrimination, and the need for more effective community engagement persist.</w:t>
      </w:r>
      <w:r w:rsidRPr="006C1109">
        <w:rPr>
          <w:rFonts w:ascii="Verdana" w:hAnsi="Verdana" w:cs="Arial"/>
        </w:rPr>
        <w:t xml:space="preserve"> </w:t>
      </w:r>
      <w:r w:rsidR="0049661D" w:rsidRPr="006C1109">
        <w:rPr>
          <w:rFonts w:ascii="Verdana" w:hAnsi="Verdana" w:cs="Arial"/>
        </w:rPr>
        <w:t xml:space="preserve">Addressing these issues requires a multifaceted approach, combining recruitment and training with genuine efforts to build trust and understanding between the police and the communities they serve. </w:t>
      </w:r>
      <w:r w:rsidRPr="006C1109">
        <w:rPr>
          <w:rFonts w:ascii="Verdana" w:hAnsi="Verdana" w:cs="Arial"/>
        </w:rPr>
        <w:t xml:space="preserve">Research </w:t>
      </w:r>
      <w:r w:rsidRPr="006C1109">
        <w:rPr>
          <w:rFonts w:ascii="Verdana" w:hAnsi="Verdana" w:cs="Arial"/>
        </w:rPr>
        <w:lastRenderedPageBreak/>
        <w:t>suggests that c</w:t>
      </w:r>
      <w:r w:rsidR="0049661D" w:rsidRPr="006C1109">
        <w:rPr>
          <w:rFonts w:ascii="Verdana" w:hAnsi="Verdana" w:cs="Arial"/>
        </w:rPr>
        <w:t xml:space="preserve">ontinuous evaluation and adaptation of policies and practices are crucial to ensure that the police service not only reflects the diversity of the population but also acts as a fair and impartial guardian of all communities. </w:t>
      </w:r>
    </w:p>
    <w:p w14:paraId="6823A28C" w14:textId="6F12FCF4" w:rsidR="009163F5" w:rsidRPr="006C1109" w:rsidRDefault="009163F5" w:rsidP="006C1109">
      <w:pPr>
        <w:spacing w:line="480" w:lineRule="auto"/>
        <w:jc w:val="both"/>
        <w:rPr>
          <w:rFonts w:ascii="Verdana" w:hAnsi="Verdana" w:cs="Arial"/>
        </w:rPr>
      </w:pPr>
      <w:r w:rsidRPr="006C1109">
        <w:rPr>
          <w:rFonts w:ascii="Verdana" w:hAnsi="Verdana" w:cs="Arial"/>
        </w:rPr>
        <w:t>The effectiveness of the police in accommodating diversity is not solely determined by the composition of the workforce. Equally important is how the police engage with diverse communities. Policing a multi-ethnic society requires understanding and sensitivity to cultural differences, as well as strategies to foster trust and cooperation between the police and marginalized groups. Research has suggested that one of the key strategies for improving police-community relations has been the introduction of community policing initiatives. Community policing has been a cornerstone of the strategy to enhance engagement with diverse communities. By fostering relationships between the police and community members, the aim is to build trust and cooperation.</w:t>
      </w:r>
    </w:p>
    <w:p w14:paraId="07DE018A" w14:textId="11608BD0" w:rsidR="0081107B" w:rsidRPr="006C1109" w:rsidRDefault="0049661D" w:rsidP="006C1109">
      <w:pPr>
        <w:spacing w:line="480" w:lineRule="auto"/>
        <w:jc w:val="both"/>
        <w:rPr>
          <w:rFonts w:ascii="Verdana" w:hAnsi="Verdana"/>
        </w:rPr>
      </w:pPr>
      <w:r w:rsidRPr="006C1109">
        <w:rPr>
          <w:rFonts w:ascii="Verdana" w:hAnsi="Verdana" w:cs="Arial"/>
        </w:rPr>
        <w:t>However, challenges remain in the implementation of these strategies. The persistence of stop-and-search practices, particularly their disproportionate use against Black and Asian individuals, continues to be a source of tension</w:t>
      </w:r>
      <w:r w:rsidR="009163F5" w:rsidRPr="006C1109">
        <w:rPr>
          <w:rFonts w:ascii="Verdana" w:hAnsi="Verdana" w:cs="Arial"/>
        </w:rPr>
        <w:t xml:space="preserve"> and lack of trust within diverse communities</w:t>
      </w:r>
      <w:r w:rsidRPr="006C1109">
        <w:rPr>
          <w:rFonts w:ascii="Verdana" w:hAnsi="Verdana" w:cs="Arial"/>
        </w:rPr>
        <w:t>. Despite reforms intended to make these practices more transparent and accountable, they have often reinforced perceptions of bias and discrimination within policing. The lack of consistency in how community engagement strategies are applied across different regions</w:t>
      </w:r>
      <w:r w:rsidR="009163F5" w:rsidRPr="006C1109">
        <w:rPr>
          <w:rFonts w:ascii="Verdana" w:hAnsi="Verdana" w:cs="Arial"/>
        </w:rPr>
        <w:t xml:space="preserve"> and forces and how the media present cases cause</w:t>
      </w:r>
      <w:r w:rsidRPr="006C1109">
        <w:rPr>
          <w:rFonts w:ascii="Verdana" w:hAnsi="Verdana" w:cs="Arial"/>
        </w:rPr>
        <w:t xml:space="preserve"> further complicates</w:t>
      </w:r>
      <w:r w:rsidR="009163F5" w:rsidRPr="006C1109">
        <w:rPr>
          <w:rFonts w:ascii="Verdana" w:hAnsi="Verdana" w:cs="Arial"/>
        </w:rPr>
        <w:t xml:space="preserve"> for</w:t>
      </w:r>
      <w:r w:rsidRPr="006C1109">
        <w:rPr>
          <w:rFonts w:ascii="Verdana" w:hAnsi="Verdana" w:cs="Arial"/>
        </w:rPr>
        <w:t xml:space="preserve"> the effectiveness of these initiatives.</w:t>
      </w:r>
    </w:p>
    <w:p w14:paraId="4084D803" w14:textId="77777777" w:rsidR="0081107B" w:rsidRPr="006C1109" w:rsidRDefault="0049661D" w:rsidP="006C1109">
      <w:pPr>
        <w:spacing w:line="480" w:lineRule="auto"/>
        <w:jc w:val="both"/>
        <w:rPr>
          <w:rFonts w:ascii="Verdana" w:hAnsi="Verdana"/>
        </w:rPr>
      </w:pPr>
      <w:r w:rsidRPr="006C1109">
        <w:rPr>
          <w:rFonts w:ascii="Verdana" w:hAnsi="Verdana"/>
        </w:rPr>
        <w:t xml:space="preserve">Overall, the adaptation of the UK police service to diversity has been a complex and ongoing process. While significant progress has been made in terms of recruitment, community engagement, and policy reforms, challenges such as </w:t>
      </w:r>
      <w:r w:rsidRPr="006C1109">
        <w:rPr>
          <w:rFonts w:ascii="Verdana" w:hAnsi="Verdana"/>
        </w:rPr>
        <w:lastRenderedPageBreak/>
        <w:t xml:space="preserve">institutional culture, retention of minority officers, and persistent biases in policing practices remain. </w:t>
      </w:r>
    </w:p>
    <w:p w14:paraId="59588EF1" w14:textId="77777777" w:rsidR="00E97ECC" w:rsidRPr="006C1109" w:rsidRDefault="00E97ECC" w:rsidP="006C1109">
      <w:pPr>
        <w:spacing w:line="480" w:lineRule="auto"/>
        <w:rPr>
          <w:rFonts w:ascii="Verdana" w:hAnsi="Verdana"/>
        </w:rPr>
      </w:pPr>
    </w:p>
    <w:p w14:paraId="3D4E4013" w14:textId="77777777" w:rsidR="00E97ECC" w:rsidRPr="006C1109" w:rsidRDefault="00E97ECC" w:rsidP="006C1109">
      <w:pPr>
        <w:spacing w:line="480" w:lineRule="auto"/>
        <w:rPr>
          <w:rFonts w:ascii="Verdana" w:hAnsi="Verdana"/>
        </w:rPr>
      </w:pPr>
    </w:p>
    <w:p w14:paraId="69FC6B95" w14:textId="77777777" w:rsidR="00E97ECC" w:rsidRPr="006C1109" w:rsidRDefault="00E97ECC" w:rsidP="006C1109">
      <w:pPr>
        <w:spacing w:line="480" w:lineRule="auto"/>
        <w:rPr>
          <w:rFonts w:ascii="Verdana" w:hAnsi="Verdana"/>
        </w:rPr>
      </w:pPr>
    </w:p>
    <w:p w14:paraId="1C9BD54B" w14:textId="77777777" w:rsidR="00E97ECC" w:rsidRDefault="00E97ECC">
      <w:pPr>
        <w:rPr>
          <w:b/>
          <w:bCs/>
        </w:rPr>
      </w:pPr>
    </w:p>
    <w:p w14:paraId="728844AA" w14:textId="77777777" w:rsidR="00E97ECC" w:rsidRDefault="00E97ECC">
      <w:pPr>
        <w:rPr>
          <w:b/>
          <w:bCs/>
        </w:rPr>
      </w:pPr>
    </w:p>
    <w:p w14:paraId="33ED5E00" w14:textId="77777777" w:rsidR="006C1109" w:rsidRDefault="006C1109">
      <w:pPr>
        <w:rPr>
          <w:b/>
          <w:bCs/>
        </w:rPr>
      </w:pPr>
    </w:p>
    <w:p w14:paraId="7A93C6A4" w14:textId="77777777" w:rsidR="006C1109" w:rsidRDefault="006C1109">
      <w:pPr>
        <w:rPr>
          <w:b/>
          <w:bCs/>
        </w:rPr>
      </w:pPr>
    </w:p>
    <w:p w14:paraId="19CF8A53" w14:textId="77777777" w:rsidR="006C1109" w:rsidRDefault="006C1109">
      <w:pPr>
        <w:rPr>
          <w:b/>
          <w:bCs/>
        </w:rPr>
      </w:pPr>
    </w:p>
    <w:p w14:paraId="224DD7A7" w14:textId="77777777" w:rsidR="006C1109" w:rsidRDefault="006C1109">
      <w:pPr>
        <w:rPr>
          <w:b/>
          <w:bCs/>
        </w:rPr>
      </w:pPr>
    </w:p>
    <w:p w14:paraId="63B141CA" w14:textId="77777777" w:rsidR="006C1109" w:rsidRDefault="006C1109">
      <w:pPr>
        <w:rPr>
          <w:b/>
          <w:bCs/>
        </w:rPr>
      </w:pPr>
    </w:p>
    <w:p w14:paraId="052BE9BC" w14:textId="77777777" w:rsidR="006C1109" w:rsidRDefault="006C1109">
      <w:pPr>
        <w:rPr>
          <w:b/>
          <w:bCs/>
        </w:rPr>
      </w:pPr>
    </w:p>
    <w:p w14:paraId="58E7B0C5" w14:textId="77777777" w:rsidR="006C1109" w:rsidRDefault="006C1109">
      <w:pPr>
        <w:rPr>
          <w:b/>
          <w:bCs/>
        </w:rPr>
      </w:pPr>
    </w:p>
    <w:p w14:paraId="6DBF0E10" w14:textId="77777777" w:rsidR="006C1109" w:rsidRDefault="006C1109">
      <w:pPr>
        <w:rPr>
          <w:b/>
          <w:bCs/>
        </w:rPr>
      </w:pPr>
    </w:p>
    <w:p w14:paraId="60869534" w14:textId="77777777" w:rsidR="006C1109" w:rsidRDefault="006C1109">
      <w:pPr>
        <w:rPr>
          <w:b/>
          <w:bCs/>
        </w:rPr>
      </w:pPr>
    </w:p>
    <w:p w14:paraId="53338287" w14:textId="77777777" w:rsidR="006C1109" w:rsidRDefault="006C1109">
      <w:pPr>
        <w:rPr>
          <w:b/>
          <w:bCs/>
        </w:rPr>
      </w:pPr>
    </w:p>
    <w:p w14:paraId="373CE9C9" w14:textId="77777777" w:rsidR="006C1109" w:rsidRDefault="006C1109">
      <w:pPr>
        <w:rPr>
          <w:b/>
          <w:bCs/>
        </w:rPr>
      </w:pPr>
    </w:p>
    <w:p w14:paraId="04897F9A" w14:textId="77777777" w:rsidR="006C1109" w:rsidRDefault="006C1109">
      <w:pPr>
        <w:rPr>
          <w:b/>
          <w:bCs/>
        </w:rPr>
      </w:pPr>
    </w:p>
    <w:p w14:paraId="1C802A56" w14:textId="77777777" w:rsidR="006C1109" w:rsidRDefault="006C1109">
      <w:pPr>
        <w:rPr>
          <w:b/>
          <w:bCs/>
        </w:rPr>
      </w:pPr>
    </w:p>
    <w:p w14:paraId="18ADB63D" w14:textId="77777777" w:rsidR="006C1109" w:rsidRDefault="006C1109">
      <w:pPr>
        <w:rPr>
          <w:b/>
          <w:bCs/>
        </w:rPr>
      </w:pPr>
    </w:p>
    <w:p w14:paraId="1ADFB2F5" w14:textId="77777777" w:rsidR="006C1109" w:rsidRDefault="006C1109">
      <w:pPr>
        <w:rPr>
          <w:b/>
          <w:bCs/>
        </w:rPr>
      </w:pPr>
    </w:p>
    <w:p w14:paraId="6145B40F" w14:textId="77777777" w:rsidR="006C1109" w:rsidRDefault="006C1109">
      <w:pPr>
        <w:rPr>
          <w:b/>
          <w:bCs/>
        </w:rPr>
      </w:pPr>
    </w:p>
    <w:p w14:paraId="5183338D" w14:textId="77777777" w:rsidR="006C1109" w:rsidRDefault="006C1109">
      <w:pPr>
        <w:rPr>
          <w:b/>
          <w:bCs/>
        </w:rPr>
      </w:pPr>
    </w:p>
    <w:p w14:paraId="6BB52D16" w14:textId="77777777" w:rsidR="006C1109" w:rsidRDefault="006C1109">
      <w:pPr>
        <w:rPr>
          <w:b/>
          <w:bCs/>
        </w:rPr>
      </w:pPr>
    </w:p>
    <w:p w14:paraId="3DEFECE2" w14:textId="77777777" w:rsidR="006C1109" w:rsidRDefault="006C1109">
      <w:pPr>
        <w:rPr>
          <w:b/>
          <w:bCs/>
        </w:rPr>
      </w:pPr>
    </w:p>
    <w:p w14:paraId="6E286C95" w14:textId="77777777" w:rsidR="00E97ECC" w:rsidRDefault="00E97ECC">
      <w:pPr>
        <w:rPr>
          <w:b/>
          <w:bCs/>
        </w:rPr>
      </w:pPr>
    </w:p>
    <w:p w14:paraId="1BCC4210" w14:textId="77777777" w:rsidR="00E97ECC" w:rsidRDefault="00E97ECC">
      <w:pPr>
        <w:rPr>
          <w:b/>
          <w:bCs/>
        </w:rPr>
      </w:pPr>
    </w:p>
    <w:p w14:paraId="363E1737" w14:textId="77777777" w:rsidR="0081107B" w:rsidRDefault="0081107B">
      <w:pPr>
        <w:rPr>
          <w:b/>
          <w:bCs/>
        </w:rPr>
      </w:pPr>
    </w:p>
    <w:p w14:paraId="070D6ACE" w14:textId="77777777" w:rsidR="0081107B" w:rsidRDefault="0049661D">
      <w:pPr>
        <w:rPr>
          <w:b/>
          <w:bCs/>
        </w:rPr>
      </w:pPr>
      <w:r>
        <w:rPr>
          <w:b/>
          <w:bCs/>
        </w:rPr>
        <w:lastRenderedPageBreak/>
        <w:t xml:space="preserve">Essay two: </w:t>
      </w:r>
    </w:p>
    <w:p w14:paraId="28C721CD" w14:textId="77777777" w:rsidR="0081107B" w:rsidRDefault="0049661D">
      <w:pPr>
        <w:rPr>
          <w:b/>
          <w:bCs/>
        </w:rPr>
      </w:pPr>
      <w:r>
        <w:rPr>
          <w:b/>
          <w:bCs/>
        </w:rPr>
        <w:t>Response policing – Why is it important to manage mental wellbeing in policing? What can be the consequences if mental wellbeing is not managed appropriately? Your answer must be based on academic research rather than personal experience. Word limit: 1000 words.</w:t>
      </w:r>
    </w:p>
    <w:p w14:paraId="7A687B74" w14:textId="74348ED1" w:rsidR="0081107B" w:rsidRDefault="00C06822">
      <w:pPr>
        <w:rPr>
          <w:b/>
          <w:bCs/>
        </w:rPr>
      </w:pPr>
      <w:r>
        <w:rPr>
          <w:b/>
          <w:bCs/>
        </w:rPr>
        <w:t xml:space="preserve">Word Count: </w:t>
      </w:r>
      <w:r w:rsidR="00CB6937">
        <w:rPr>
          <w:b/>
          <w:bCs/>
        </w:rPr>
        <w:t>9</w:t>
      </w:r>
      <w:r w:rsidR="008037AB">
        <w:rPr>
          <w:b/>
          <w:bCs/>
        </w:rPr>
        <w:t>95</w:t>
      </w:r>
    </w:p>
    <w:p w14:paraId="647FA69B" w14:textId="77777777" w:rsidR="003B553A" w:rsidRDefault="003B553A">
      <w:pPr>
        <w:spacing w:line="360" w:lineRule="auto"/>
        <w:jc w:val="both"/>
      </w:pPr>
    </w:p>
    <w:p w14:paraId="15550402" w14:textId="7FF49185" w:rsidR="0081107B" w:rsidRPr="006C1109" w:rsidRDefault="0049661D" w:rsidP="006C1109">
      <w:pPr>
        <w:spacing w:line="480" w:lineRule="auto"/>
        <w:jc w:val="both"/>
        <w:rPr>
          <w:rFonts w:ascii="Verdana" w:hAnsi="Verdana"/>
        </w:rPr>
      </w:pPr>
      <w:r w:rsidRPr="006C1109">
        <w:rPr>
          <w:rFonts w:ascii="Verdana" w:hAnsi="Verdana"/>
        </w:rPr>
        <w:t xml:space="preserve">Policing is a profession that exposes individuals to high levels of stress, trauma, and pressure, making mental wellbeing management essential. The mental wellbeing of police officers is crucial to their ability to perform their duties effectively and safely. When mental wellbeing is not appropriately managed, the consequences can be severe, affecting not only the officers themselves but also their colleagues, the organisation and the community. This essay will explore the importance of managing mental wellbeing within policing and what can be the consequences if mental wellbeing is not managed properly. There is currently a lot of research surrounding mental wellbeing within policing, therefore, this essay will be based on academic research. </w:t>
      </w:r>
    </w:p>
    <w:p w14:paraId="798785BB" w14:textId="77777777" w:rsidR="0081107B" w:rsidRPr="006C1109" w:rsidRDefault="0081107B" w:rsidP="006C1109">
      <w:pPr>
        <w:spacing w:line="480" w:lineRule="auto"/>
        <w:jc w:val="both"/>
        <w:rPr>
          <w:rFonts w:ascii="Verdana" w:hAnsi="Verdana"/>
        </w:rPr>
      </w:pPr>
    </w:p>
    <w:p w14:paraId="5F22624C" w14:textId="77777777" w:rsidR="0081107B" w:rsidRPr="006C1109" w:rsidRDefault="0049661D" w:rsidP="006C1109">
      <w:pPr>
        <w:spacing w:line="480" w:lineRule="auto"/>
        <w:jc w:val="both"/>
        <w:rPr>
          <w:rFonts w:ascii="Verdana" w:hAnsi="Verdana"/>
        </w:rPr>
      </w:pPr>
      <w:r w:rsidRPr="006C1109">
        <w:rPr>
          <w:rFonts w:ascii="Verdana" w:hAnsi="Verdana"/>
        </w:rPr>
        <w:t xml:space="preserve">Extensive academic research has documented the need for deeper understanding of the complex stressors and traumas that affect police officers; this is necessary not only to protect the personal and professional welfare of officers and forces, but also because it is an urgent public health issue that has to be addressed (Miller, </w:t>
      </w:r>
      <w:r w:rsidRPr="006C1109">
        <w:rPr>
          <w:rFonts w:ascii="Verdana" w:hAnsi="Verdana"/>
          <w:i/>
          <w:iCs/>
        </w:rPr>
        <w:t>et al</w:t>
      </w:r>
      <w:r w:rsidRPr="006C1109">
        <w:rPr>
          <w:rFonts w:ascii="Verdana" w:hAnsi="Verdana"/>
        </w:rPr>
        <w:t xml:space="preserve">. 2020). </w:t>
      </w:r>
    </w:p>
    <w:p w14:paraId="4521F81E" w14:textId="44DB8413" w:rsidR="0081107B" w:rsidRPr="006C1109" w:rsidRDefault="0049661D" w:rsidP="006C1109">
      <w:pPr>
        <w:spacing w:line="480" w:lineRule="auto"/>
        <w:jc w:val="both"/>
        <w:rPr>
          <w:rFonts w:ascii="Verdana" w:hAnsi="Verdana"/>
        </w:rPr>
      </w:pPr>
      <w:r w:rsidRPr="006C1109">
        <w:rPr>
          <w:rFonts w:ascii="Verdana" w:hAnsi="Verdana"/>
        </w:rPr>
        <w:t>As part of a Police officer’s role in effective policing in reducing crime and ensuring public safety, police officers are regularly exposed to traumatic and stressful incidents</w:t>
      </w:r>
      <w:r w:rsidR="008037AB" w:rsidRPr="006C1109">
        <w:rPr>
          <w:rFonts w:ascii="Verdana" w:hAnsi="Verdana"/>
        </w:rPr>
        <w:t xml:space="preserve"> (Miller, </w:t>
      </w:r>
      <w:r w:rsidR="008037AB" w:rsidRPr="006C1109">
        <w:rPr>
          <w:rFonts w:ascii="Verdana" w:hAnsi="Verdana"/>
          <w:i/>
          <w:iCs/>
        </w:rPr>
        <w:t>et al</w:t>
      </w:r>
      <w:r w:rsidR="008037AB" w:rsidRPr="006C1109">
        <w:rPr>
          <w:rFonts w:ascii="Verdana" w:hAnsi="Verdana"/>
        </w:rPr>
        <w:t>. 2020)</w:t>
      </w:r>
      <w:r w:rsidRPr="006C1109">
        <w:rPr>
          <w:rFonts w:ascii="Verdana" w:hAnsi="Verdana"/>
        </w:rPr>
        <w:t xml:space="preserve">. Without the adequate support, prolonged exposure to traumatic incidents can result in the deterioration of an officer’s mental wellbeing. In order to investigate the frequency of trauma exposure in operational </w:t>
      </w:r>
      <w:r w:rsidRPr="006C1109">
        <w:rPr>
          <w:rFonts w:ascii="Verdana" w:hAnsi="Verdana"/>
        </w:rPr>
        <w:lastRenderedPageBreak/>
        <w:t xml:space="preserve">policing and identify strategies for facilitating trauma processing and preserving resilience, the Trauma Resilience in the UK Policing study (2019) </w:t>
      </w:r>
      <w:r w:rsidR="00CB6937" w:rsidRPr="006C1109">
        <w:rPr>
          <w:rFonts w:ascii="Verdana" w:hAnsi="Verdana"/>
        </w:rPr>
        <w:t>used</w:t>
      </w:r>
      <w:r w:rsidRPr="006C1109">
        <w:rPr>
          <w:rFonts w:ascii="Verdana" w:hAnsi="Verdana"/>
        </w:rPr>
        <w:t xml:space="preserve"> a number of qualitative and quantitative approaches</w:t>
      </w:r>
      <w:r w:rsidR="00CB6937" w:rsidRPr="006C1109">
        <w:rPr>
          <w:rFonts w:ascii="Verdana" w:hAnsi="Verdana"/>
        </w:rPr>
        <w:t xml:space="preserve"> for research data gathering</w:t>
      </w:r>
      <w:r w:rsidRPr="006C1109">
        <w:rPr>
          <w:rFonts w:ascii="Verdana" w:hAnsi="Verdana"/>
        </w:rPr>
        <w:t xml:space="preserve">. According to preliminary results from their 2018 online survey of 16,857 officers and operational staff, 20 percent of those who had suffered trauma also had symptoms of post-traumatic stress disorder (PTSD). Moreover, 66 percent of all respondents reported having a mental health or psychological problem that they believed was directly related to their work within the police (Police care, 2019). </w:t>
      </w:r>
    </w:p>
    <w:p w14:paraId="43387010" w14:textId="1CC6BE1C" w:rsidR="0081107B" w:rsidRPr="006C1109" w:rsidRDefault="0049661D" w:rsidP="006C1109">
      <w:pPr>
        <w:spacing w:line="480" w:lineRule="auto"/>
        <w:jc w:val="both"/>
        <w:rPr>
          <w:rFonts w:ascii="Verdana" w:hAnsi="Verdana"/>
        </w:rPr>
      </w:pPr>
      <w:r w:rsidRPr="006C1109">
        <w:rPr>
          <w:rFonts w:ascii="Verdana" w:hAnsi="Verdana"/>
        </w:rPr>
        <w:t>The above results, demonstrate that one of the most direct consequences of not managing mental wellbeing in policing is the increased risk of developing serious mental health conditions. Due to Police officers frequently being exposed to traumatic events such as violent crimes, accidents, and the suffering of others, without adequate mental health support, these experiences can lead to conditions like post-traumatic stress disorder (PTSD), depression, anxiety, and burnout</w:t>
      </w:r>
      <w:r w:rsidR="008037AB" w:rsidRPr="006C1109">
        <w:rPr>
          <w:rFonts w:ascii="Verdana" w:hAnsi="Verdana"/>
        </w:rPr>
        <w:t xml:space="preserve"> (Miller, </w:t>
      </w:r>
      <w:r w:rsidR="008037AB" w:rsidRPr="006C1109">
        <w:rPr>
          <w:rFonts w:ascii="Verdana" w:hAnsi="Verdana"/>
          <w:i/>
          <w:iCs/>
        </w:rPr>
        <w:t>et al</w:t>
      </w:r>
      <w:r w:rsidR="008037AB" w:rsidRPr="006C1109">
        <w:rPr>
          <w:rFonts w:ascii="Verdana" w:hAnsi="Verdana"/>
        </w:rPr>
        <w:t>. 2020)</w:t>
      </w:r>
      <w:r w:rsidRPr="006C1109">
        <w:rPr>
          <w:rFonts w:ascii="Verdana" w:hAnsi="Verdana"/>
        </w:rPr>
        <w:t>. Over time, these issues can worsen, making it difficult for officers to cope with the demands of their job and potentially leading to a decline in their overall quality of life</w:t>
      </w:r>
      <w:r w:rsidR="00C06822" w:rsidRPr="006C1109">
        <w:rPr>
          <w:rFonts w:ascii="Verdana" w:hAnsi="Verdana"/>
        </w:rPr>
        <w:t xml:space="preserve">. A study carried out by Violanti </w:t>
      </w:r>
      <w:r w:rsidR="00C06822" w:rsidRPr="006C1109">
        <w:rPr>
          <w:rFonts w:ascii="Verdana" w:hAnsi="Verdana"/>
          <w:i/>
          <w:iCs/>
        </w:rPr>
        <w:t>et al.</w:t>
      </w:r>
      <w:r w:rsidR="00C06822" w:rsidRPr="006C1109">
        <w:rPr>
          <w:rFonts w:ascii="Verdana" w:hAnsi="Verdana"/>
        </w:rPr>
        <w:t xml:space="preserve"> (2018) indicated that police officers face higher rates of PTSD, </w:t>
      </w:r>
      <w:r w:rsidR="00B35396" w:rsidRPr="006C1109">
        <w:rPr>
          <w:rFonts w:ascii="Verdana" w:hAnsi="Verdana"/>
        </w:rPr>
        <w:t xml:space="preserve">anxiety and </w:t>
      </w:r>
      <w:r w:rsidR="00C06822" w:rsidRPr="006C1109">
        <w:rPr>
          <w:rFonts w:ascii="Verdana" w:hAnsi="Verdana"/>
        </w:rPr>
        <w:t>depression</w:t>
      </w:r>
      <w:r w:rsidR="00B35396" w:rsidRPr="006C1109">
        <w:rPr>
          <w:rFonts w:ascii="Verdana" w:hAnsi="Verdana"/>
        </w:rPr>
        <w:t xml:space="preserve"> </w:t>
      </w:r>
      <w:r w:rsidR="00C06822" w:rsidRPr="006C1109">
        <w:rPr>
          <w:rFonts w:ascii="Verdana" w:hAnsi="Verdana"/>
        </w:rPr>
        <w:t xml:space="preserve">compared to the general population. </w:t>
      </w:r>
      <w:r w:rsidR="00B35396" w:rsidRPr="006C1109">
        <w:rPr>
          <w:rFonts w:ascii="Verdana" w:hAnsi="Verdana"/>
        </w:rPr>
        <w:t>This is due to the r</w:t>
      </w:r>
      <w:r w:rsidR="00C06822" w:rsidRPr="006C1109">
        <w:rPr>
          <w:rFonts w:ascii="Verdana" w:hAnsi="Verdana"/>
        </w:rPr>
        <w:t>egular exposure to violent crime, accidents</w:t>
      </w:r>
      <w:r w:rsidR="00B35396" w:rsidRPr="006C1109">
        <w:rPr>
          <w:rFonts w:ascii="Verdana" w:hAnsi="Verdana"/>
        </w:rPr>
        <w:t xml:space="preserve"> </w:t>
      </w:r>
      <w:r w:rsidR="00C06822" w:rsidRPr="006C1109">
        <w:rPr>
          <w:rFonts w:ascii="Verdana" w:hAnsi="Verdana"/>
        </w:rPr>
        <w:t>and death</w:t>
      </w:r>
      <w:r w:rsidR="00B35396" w:rsidRPr="006C1109">
        <w:rPr>
          <w:rFonts w:ascii="Verdana" w:hAnsi="Verdana"/>
        </w:rPr>
        <w:t>,</w:t>
      </w:r>
      <w:r w:rsidR="00C06822" w:rsidRPr="006C1109">
        <w:rPr>
          <w:rFonts w:ascii="Verdana" w:hAnsi="Verdana"/>
        </w:rPr>
        <w:t xml:space="preserve"> </w:t>
      </w:r>
      <w:r w:rsidR="00B35396" w:rsidRPr="006C1109">
        <w:rPr>
          <w:rFonts w:ascii="Verdana" w:hAnsi="Verdana"/>
        </w:rPr>
        <w:t xml:space="preserve">which </w:t>
      </w:r>
      <w:r w:rsidR="00C06822" w:rsidRPr="006C1109">
        <w:rPr>
          <w:rFonts w:ascii="Verdana" w:hAnsi="Verdana"/>
        </w:rPr>
        <w:t>places officers at an elevated risk of psychological trauma, often resulting in cumulative stress that can impair their mental health over time</w:t>
      </w:r>
      <w:r w:rsidR="00B35396" w:rsidRPr="006C1109">
        <w:rPr>
          <w:rFonts w:ascii="Verdana" w:hAnsi="Verdana"/>
        </w:rPr>
        <w:t xml:space="preserve"> (Violanti, </w:t>
      </w:r>
      <w:r w:rsidR="00B35396" w:rsidRPr="006C1109">
        <w:rPr>
          <w:rFonts w:ascii="Verdana" w:hAnsi="Verdana"/>
          <w:i/>
          <w:iCs/>
        </w:rPr>
        <w:t>et al</w:t>
      </w:r>
      <w:r w:rsidR="00C06822" w:rsidRPr="006C1109">
        <w:rPr>
          <w:rFonts w:ascii="Verdana" w:hAnsi="Verdana"/>
        </w:rPr>
        <w:t>.</w:t>
      </w:r>
      <w:r w:rsidR="00B35396" w:rsidRPr="006C1109">
        <w:rPr>
          <w:rFonts w:ascii="Verdana" w:hAnsi="Verdana"/>
        </w:rPr>
        <w:t xml:space="preserve"> 2022). </w:t>
      </w:r>
    </w:p>
    <w:p w14:paraId="672FF57E" w14:textId="77777777" w:rsidR="0081107B" w:rsidRPr="006C1109" w:rsidRDefault="0049661D" w:rsidP="006C1109">
      <w:pPr>
        <w:spacing w:line="480" w:lineRule="auto"/>
        <w:jc w:val="both"/>
        <w:rPr>
          <w:rFonts w:ascii="Verdana" w:hAnsi="Verdana"/>
        </w:rPr>
      </w:pPr>
      <w:r w:rsidRPr="006C1109">
        <w:rPr>
          <w:rFonts w:ascii="Verdana" w:hAnsi="Verdana"/>
        </w:rPr>
        <w:t xml:space="preserve">According to the Police Federation of England and Wales (PFEW) Welfare Survey, data shown that a third of police staff had taken one of their sick days due to anxiety, stress or depression (Phythian, </w:t>
      </w:r>
      <w:r w:rsidRPr="006C1109">
        <w:rPr>
          <w:rFonts w:ascii="Verdana" w:hAnsi="Verdana"/>
          <w:i/>
          <w:iCs/>
        </w:rPr>
        <w:t>et al.</w:t>
      </w:r>
      <w:r w:rsidRPr="006C1109">
        <w:rPr>
          <w:rFonts w:ascii="Verdana" w:hAnsi="Verdana"/>
        </w:rPr>
        <w:t xml:space="preserve"> 2022). Furthermore, the Home Office (2020) reported that approximately 17,000 officers across England and </w:t>
      </w:r>
      <w:r w:rsidRPr="006C1109">
        <w:rPr>
          <w:rFonts w:ascii="Verdana" w:hAnsi="Verdana"/>
        </w:rPr>
        <w:lastRenderedPageBreak/>
        <w:t xml:space="preserve">Wales were on long-term absence or sickness, on recuperative duties or in adjusted posts, in comparison to 10,000 officers in 2017. This high increase is argued to be as a result of poor mental well-being of officers. </w:t>
      </w:r>
    </w:p>
    <w:p w14:paraId="1D7FA4E1" w14:textId="385F682D" w:rsidR="00CB6937" w:rsidRPr="006C1109" w:rsidRDefault="00CB6937" w:rsidP="006C1109">
      <w:pPr>
        <w:spacing w:line="480" w:lineRule="auto"/>
        <w:jc w:val="both"/>
        <w:rPr>
          <w:rFonts w:ascii="Verdana" w:hAnsi="Verdana"/>
        </w:rPr>
      </w:pPr>
      <w:r w:rsidRPr="006C1109">
        <w:rPr>
          <w:rFonts w:ascii="Verdana" w:hAnsi="Verdana"/>
        </w:rPr>
        <w:t>Like any other employer, the UK police forces have a responsibility and duty of care to protect the physical and emotional health of an individual. Legal frameworks like the Health and Safety at Work Act (1974) and the Equality Act (2010) formalise this obligation by requiring organisations to offer reasonable accommodations for officers who are experiencing mental health issues. Consequences in failing to manage mental wellbeing can result in legal consequences for police forces, including claims of negligence or breaches of employment law. Moreover, police forces have a moral and ethical responsibility to provide a supportive working environment that prioritises both physical and psychological safety</w:t>
      </w:r>
      <w:r w:rsidR="00F93EEF" w:rsidRPr="006C1109">
        <w:rPr>
          <w:rFonts w:ascii="Verdana" w:hAnsi="Verdana"/>
        </w:rPr>
        <w:t xml:space="preserve"> (Phythian </w:t>
      </w:r>
      <w:r w:rsidR="00F93EEF" w:rsidRPr="006C1109">
        <w:rPr>
          <w:rFonts w:ascii="Verdana" w:hAnsi="Verdana"/>
          <w:i/>
          <w:iCs/>
        </w:rPr>
        <w:t>et al</w:t>
      </w:r>
      <w:r w:rsidRPr="006C1109">
        <w:rPr>
          <w:rFonts w:ascii="Verdana" w:hAnsi="Verdana"/>
          <w:i/>
          <w:iCs/>
        </w:rPr>
        <w:t>.</w:t>
      </w:r>
      <w:r w:rsidR="00F93EEF" w:rsidRPr="006C1109">
        <w:rPr>
          <w:rFonts w:ascii="Verdana" w:hAnsi="Verdana"/>
          <w:i/>
          <w:iCs/>
        </w:rPr>
        <w:t xml:space="preserve"> </w:t>
      </w:r>
      <w:r w:rsidR="00F93EEF" w:rsidRPr="006C1109">
        <w:rPr>
          <w:rFonts w:ascii="Verdana" w:hAnsi="Verdana"/>
        </w:rPr>
        <w:t xml:space="preserve">2023). </w:t>
      </w:r>
      <w:r w:rsidRPr="006C1109">
        <w:rPr>
          <w:rFonts w:ascii="Verdana" w:hAnsi="Verdana"/>
        </w:rPr>
        <w:t>Implementing comprehensive mental health support systems demonstrates the organisation's commitment to its workforce and upholds the standards of professional care expected in the public sector.</w:t>
      </w:r>
    </w:p>
    <w:p w14:paraId="35E9E141" w14:textId="3A84EE3C" w:rsidR="0081107B" w:rsidRPr="006C1109" w:rsidRDefault="00CB6937" w:rsidP="006C1109">
      <w:pPr>
        <w:spacing w:line="480" w:lineRule="auto"/>
        <w:jc w:val="both"/>
        <w:rPr>
          <w:rFonts w:ascii="Verdana" w:hAnsi="Verdana"/>
        </w:rPr>
      </w:pPr>
      <w:r w:rsidRPr="006C1109">
        <w:rPr>
          <w:rFonts w:ascii="Verdana" w:hAnsi="Verdana"/>
        </w:rPr>
        <w:t xml:space="preserve">In reflection to the above, </w:t>
      </w:r>
      <w:r w:rsidR="0049661D" w:rsidRPr="006C1109">
        <w:rPr>
          <w:rFonts w:ascii="Verdana" w:hAnsi="Verdana"/>
        </w:rPr>
        <w:t>The blue light wellbeing framework (BLWF) is a comprehensive approach developed to support the mental and physical health of emergency services, particularly those in policing. This framework has been developed by the college of policing and is based on data from the police service, academia and Public Health, to provide forces with a self-assessment tool for well-being provision (HMICFRS, 2022). Recognising the unique challenges faced by individuals in these high-pressure roles, the framework aims to provide a structured, holistic method for promoting wellbeing and resilience within the workforce.</w:t>
      </w:r>
    </w:p>
    <w:p w14:paraId="68734577" w14:textId="77777777" w:rsidR="0081107B" w:rsidRPr="006C1109" w:rsidRDefault="0081107B" w:rsidP="006C1109">
      <w:pPr>
        <w:spacing w:line="480" w:lineRule="auto"/>
        <w:jc w:val="both"/>
        <w:rPr>
          <w:rFonts w:ascii="Verdana" w:hAnsi="Verdana"/>
        </w:rPr>
      </w:pPr>
    </w:p>
    <w:p w14:paraId="293CD1AE" w14:textId="0668E7A8" w:rsidR="0081107B" w:rsidRPr="006C1109" w:rsidRDefault="0049661D" w:rsidP="006C1109">
      <w:pPr>
        <w:spacing w:line="480" w:lineRule="auto"/>
        <w:jc w:val="both"/>
        <w:rPr>
          <w:rFonts w:ascii="Verdana" w:hAnsi="Verdana"/>
        </w:rPr>
      </w:pPr>
      <w:r w:rsidRPr="006C1109">
        <w:rPr>
          <w:rFonts w:ascii="Verdana" w:hAnsi="Verdana"/>
        </w:rPr>
        <w:t xml:space="preserve">Recent studies and research data has documented that a prevailing barrier to police wellbeing within organisations is police culture associated with mental health stigmas (Phythian, </w:t>
      </w:r>
      <w:r w:rsidRPr="006C1109">
        <w:rPr>
          <w:rFonts w:ascii="Verdana" w:hAnsi="Verdana"/>
          <w:i/>
          <w:iCs/>
        </w:rPr>
        <w:t>et al.</w:t>
      </w:r>
      <w:r w:rsidRPr="006C1109">
        <w:rPr>
          <w:rFonts w:ascii="Verdana" w:hAnsi="Verdana"/>
        </w:rPr>
        <w:t xml:space="preserve"> 2022). </w:t>
      </w:r>
      <w:r w:rsidR="00886081" w:rsidRPr="006C1109">
        <w:rPr>
          <w:rFonts w:ascii="Verdana" w:hAnsi="Verdana"/>
        </w:rPr>
        <w:t xml:space="preserve"> Research demonstrates that Police officers may not want to talk about their mental health due to organisational culture and stigmas surrounding weaknesses. Research shows that addressing these issues requires a cultural shift within police departments, emphasising the importance of mental health care and fostering an environment where seeking help is normalised and supported (Phythian, </w:t>
      </w:r>
      <w:r w:rsidR="00886081" w:rsidRPr="006C1109">
        <w:rPr>
          <w:rFonts w:ascii="Verdana" w:hAnsi="Verdana"/>
          <w:i/>
          <w:iCs/>
        </w:rPr>
        <w:t>et al.</w:t>
      </w:r>
      <w:r w:rsidR="00886081" w:rsidRPr="006C1109">
        <w:rPr>
          <w:rFonts w:ascii="Verdana" w:hAnsi="Verdana"/>
        </w:rPr>
        <w:t xml:space="preserve"> 2022).</w:t>
      </w:r>
    </w:p>
    <w:p w14:paraId="1C692871" w14:textId="660DB15E" w:rsidR="00B35396" w:rsidRPr="006C1109" w:rsidRDefault="00B35396" w:rsidP="006C1109">
      <w:pPr>
        <w:spacing w:line="480" w:lineRule="auto"/>
        <w:jc w:val="both"/>
        <w:rPr>
          <w:rFonts w:ascii="Verdana" w:hAnsi="Verdana"/>
        </w:rPr>
      </w:pPr>
      <w:r w:rsidRPr="006C1109">
        <w:rPr>
          <w:rFonts w:ascii="Verdana" w:hAnsi="Verdana"/>
        </w:rPr>
        <w:t>To conclude, research has clearly demonstrated that managing mental wellbeing in policing is not only important for the health and safety of individual officers but also for the effectiveness of police organisations and the quality of law enforcement outcomes. The consequences of failing to address mental health in policing are severe, ranging from psychological disorders and burnout to increased rates of suicide, substance abuse, and public mistrust. To avoid these outcomes, research has demonstrated that police forces must prioritise mental health through training, counselling, peer support, and stress management programmes. By doing so, they can enhance officer resilience, improve decision-making, and foster a healthier, more effective police force.</w:t>
      </w:r>
    </w:p>
    <w:p w14:paraId="6E809E2C" w14:textId="77777777" w:rsidR="0081107B" w:rsidRPr="006C1109" w:rsidRDefault="0081107B" w:rsidP="006C1109">
      <w:pPr>
        <w:spacing w:line="480" w:lineRule="auto"/>
        <w:rPr>
          <w:rFonts w:ascii="Verdana" w:hAnsi="Verdana"/>
        </w:rPr>
      </w:pPr>
    </w:p>
    <w:p w14:paraId="26E8853F" w14:textId="77777777" w:rsidR="00C06822" w:rsidRDefault="00C06822" w:rsidP="006C1109">
      <w:pPr>
        <w:spacing w:line="480" w:lineRule="auto"/>
        <w:rPr>
          <w:rFonts w:ascii="Verdana" w:hAnsi="Verdana"/>
        </w:rPr>
      </w:pPr>
    </w:p>
    <w:p w14:paraId="25FF9144" w14:textId="77777777" w:rsidR="006C1109" w:rsidRDefault="006C1109" w:rsidP="006C1109">
      <w:pPr>
        <w:spacing w:line="480" w:lineRule="auto"/>
        <w:rPr>
          <w:rFonts w:ascii="Verdana" w:hAnsi="Verdana"/>
        </w:rPr>
      </w:pPr>
    </w:p>
    <w:p w14:paraId="07D45289" w14:textId="77777777" w:rsidR="006C1109" w:rsidRPr="006C1109" w:rsidRDefault="006C1109" w:rsidP="006C1109">
      <w:pPr>
        <w:spacing w:line="480" w:lineRule="auto"/>
        <w:rPr>
          <w:rFonts w:ascii="Verdana" w:hAnsi="Verdana"/>
        </w:rPr>
      </w:pPr>
    </w:p>
    <w:p w14:paraId="307D0316" w14:textId="77777777" w:rsidR="0081107B" w:rsidRDefault="0049661D">
      <w:pPr>
        <w:rPr>
          <w:b/>
          <w:bCs/>
        </w:rPr>
      </w:pPr>
      <w:r>
        <w:rPr>
          <w:b/>
          <w:bCs/>
        </w:rPr>
        <w:lastRenderedPageBreak/>
        <w:t xml:space="preserve">Essay four: Outline potential links between serious and organised crime and public protection issues. What characteristics make some people more vulnerable to exploitation by serious and organised crime gangs? Your answer must be based on academic research. Word limit: 1000 words. </w:t>
      </w:r>
    </w:p>
    <w:p w14:paraId="32FF003E" w14:textId="417E13A8" w:rsidR="00C06822" w:rsidRDefault="00C06822">
      <w:pPr>
        <w:rPr>
          <w:b/>
          <w:bCs/>
        </w:rPr>
      </w:pPr>
      <w:r>
        <w:rPr>
          <w:b/>
          <w:bCs/>
        </w:rPr>
        <w:t xml:space="preserve">Word Count: </w:t>
      </w:r>
      <w:r w:rsidR="00FB2B24">
        <w:rPr>
          <w:b/>
          <w:bCs/>
        </w:rPr>
        <w:t>900</w:t>
      </w:r>
    </w:p>
    <w:p w14:paraId="46EC2142" w14:textId="77777777" w:rsidR="0081107B" w:rsidRPr="006C1109" w:rsidRDefault="0049661D" w:rsidP="006C1109">
      <w:pPr>
        <w:spacing w:line="480" w:lineRule="auto"/>
        <w:jc w:val="both"/>
        <w:rPr>
          <w:rFonts w:ascii="Verdana" w:hAnsi="Verdana"/>
        </w:rPr>
      </w:pPr>
      <w:r w:rsidRPr="006C1109">
        <w:rPr>
          <w:rFonts w:ascii="Verdana" w:hAnsi="Verdana"/>
        </w:rPr>
        <w:t>Serious and organised crime (SOC) poses a significant threat to public protection, with its impacts resonating across various aspects of society. Serious and organised crime encompasses a wide range of criminal activities, including drug trafficking, human trafficking, cybercrime, and financial fraud, which are often orchestrated by well-organised groups operating on both national and international levels. A critical aspect of the public protection challenge lies in the exploitation of vulnerable individuals by these criminal organisations. This essay explores the potential links between serious and organised crime and public protection issues, focusing on the characteristics that render certain individuals more susceptible to exploitation by serious and organised crime gangs.</w:t>
      </w:r>
    </w:p>
    <w:p w14:paraId="75311865" w14:textId="77777777" w:rsidR="008A23BD" w:rsidRPr="006C1109" w:rsidRDefault="008A23BD" w:rsidP="006C1109">
      <w:pPr>
        <w:spacing w:line="480" w:lineRule="auto"/>
        <w:jc w:val="both"/>
        <w:rPr>
          <w:rFonts w:ascii="Verdana" w:hAnsi="Verdana" w:cs="Arial"/>
          <w:i/>
          <w:iCs/>
        </w:rPr>
      </w:pPr>
    </w:p>
    <w:p w14:paraId="4BBA34BC" w14:textId="0ABF8315" w:rsidR="008A23BD" w:rsidRPr="006C1109" w:rsidRDefault="008A23BD" w:rsidP="006C1109">
      <w:pPr>
        <w:spacing w:line="480" w:lineRule="auto"/>
        <w:jc w:val="both"/>
        <w:rPr>
          <w:rFonts w:ascii="Verdana" w:hAnsi="Verdana" w:cs="Arial"/>
        </w:rPr>
      </w:pPr>
      <w:r w:rsidRPr="006C1109">
        <w:rPr>
          <w:rFonts w:ascii="Verdana" w:hAnsi="Verdana" w:cs="Arial"/>
        </w:rPr>
        <w:t xml:space="preserve">Understanding the characteristics that make some individuals more vulnerable to exploitation is critical for recognising potential links between serious and organised crime and public protection issues. </w:t>
      </w:r>
    </w:p>
    <w:p w14:paraId="585850E5" w14:textId="772CFF66" w:rsidR="005E12B2" w:rsidRPr="006C1109" w:rsidRDefault="00F228D9" w:rsidP="006C1109">
      <w:pPr>
        <w:spacing w:line="480" w:lineRule="auto"/>
        <w:jc w:val="both"/>
        <w:rPr>
          <w:rFonts w:ascii="Verdana" w:hAnsi="Verdana" w:cs="Arial"/>
        </w:rPr>
      </w:pPr>
      <w:r w:rsidRPr="006C1109">
        <w:rPr>
          <w:rFonts w:ascii="Verdana" w:hAnsi="Verdana" w:cs="Arial"/>
        </w:rPr>
        <w:t>A key link between organised crime and public protection issues is the exploitation of vulnerable individuals</w:t>
      </w:r>
      <w:r w:rsidR="00916560" w:rsidRPr="006C1109">
        <w:rPr>
          <w:rFonts w:ascii="Verdana" w:hAnsi="Verdana" w:cs="Arial"/>
        </w:rPr>
        <w:t xml:space="preserve"> within society</w:t>
      </w:r>
      <w:r w:rsidRPr="006C1109">
        <w:rPr>
          <w:rFonts w:ascii="Verdana" w:hAnsi="Verdana" w:cs="Arial"/>
        </w:rPr>
        <w:t>.</w:t>
      </w:r>
      <w:r w:rsidR="00916560" w:rsidRPr="006C1109">
        <w:rPr>
          <w:rFonts w:ascii="Verdana" w:hAnsi="Verdana" w:cs="Arial"/>
        </w:rPr>
        <w:t xml:space="preserve"> </w:t>
      </w:r>
      <w:r w:rsidR="005E12B2" w:rsidRPr="006C1109">
        <w:rPr>
          <w:rFonts w:ascii="Verdana" w:hAnsi="Verdana" w:cs="Arial"/>
          <w:i/>
          <w:iCs/>
        </w:rPr>
        <w:t>‘A person is vulnerable if, as a result of their situation or circumstances, they are unable to take care of or protect themselves or others from harm or exploitation’</w:t>
      </w:r>
      <w:r w:rsidR="005E12B2" w:rsidRPr="006C1109">
        <w:rPr>
          <w:rFonts w:ascii="Verdana" w:hAnsi="Verdana" w:cs="Arial"/>
        </w:rPr>
        <w:t xml:space="preserve"> (COP, P.1, 2021). This can be built up of many different personal factors, which could include an individual’s protected characteristics, set out in the Equality Act 2010.</w:t>
      </w:r>
      <w:r w:rsidR="008037AB" w:rsidRPr="006C1109">
        <w:rPr>
          <w:rFonts w:ascii="Verdana" w:hAnsi="Verdana" w:cs="Arial"/>
        </w:rPr>
        <w:t xml:space="preserve"> Vulnerability is one of the key aspects of public protection issues linked with serious and organised crime gangs. An individual may be considered vulnerable due to many different aspects such </w:t>
      </w:r>
      <w:r w:rsidR="008037AB" w:rsidRPr="006C1109">
        <w:rPr>
          <w:rFonts w:ascii="Verdana" w:hAnsi="Verdana" w:cs="Arial"/>
        </w:rPr>
        <w:lastRenderedPageBreak/>
        <w:t>as, their age, gender, disability and more. A significant aspect which research has shown is that the protection of vulnerable individuals needs to be prioritised, otherwise they may be subject to victimisation and criminalised by serious and organised gangs</w:t>
      </w:r>
      <w:r w:rsidR="00FB2B24" w:rsidRPr="006C1109">
        <w:rPr>
          <w:rFonts w:ascii="Verdana" w:hAnsi="Verdana" w:cs="Arial"/>
        </w:rPr>
        <w:t xml:space="preserve"> (COP, 2021).</w:t>
      </w:r>
    </w:p>
    <w:p w14:paraId="51047A62" w14:textId="237E5C16" w:rsidR="00065308" w:rsidRPr="006C1109" w:rsidRDefault="0049661D" w:rsidP="006C1109">
      <w:pPr>
        <w:pStyle w:val="paragraph"/>
        <w:spacing w:line="480" w:lineRule="auto"/>
        <w:jc w:val="both"/>
        <w:rPr>
          <w:rFonts w:ascii="Verdana" w:hAnsi="Verdana" w:cs="Arial"/>
          <w:sz w:val="22"/>
          <w:szCs w:val="22"/>
        </w:rPr>
      </w:pPr>
      <w:r w:rsidRPr="006C1109">
        <w:rPr>
          <w:rFonts w:ascii="Verdana" w:hAnsi="Verdana" w:cs="Arial"/>
          <w:sz w:val="22"/>
          <w:szCs w:val="22"/>
        </w:rPr>
        <w:t xml:space="preserve">Research suggests that a key characteristic which places individuals at risk of being exploited by serious and organised crime is </w:t>
      </w:r>
      <w:r w:rsidR="00065308" w:rsidRPr="006C1109">
        <w:rPr>
          <w:rFonts w:ascii="Verdana" w:hAnsi="Verdana" w:cs="Arial"/>
          <w:sz w:val="22"/>
          <w:szCs w:val="22"/>
        </w:rPr>
        <w:t>Mental health issues and cognitive impairments</w:t>
      </w:r>
      <w:r w:rsidRPr="006C1109">
        <w:rPr>
          <w:rFonts w:ascii="Verdana" w:hAnsi="Verdana" w:cs="Arial"/>
          <w:sz w:val="22"/>
          <w:szCs w:val="22"/>
        </w:rPr>
        <w:t>.</w:t>
      </w:r>
      <w:r w:rsidR="00065308" w:rsidRPr="006C1109">
        <w:rPr>
          <w:rFonts w:ascii="Verdana" w:hAnsi="Verdana" w:cs="Arial"/>
          <w:sz w:val="22"/>
          <w:szCs w:val="22"/>
        </w:rPr>
        <w:t xml:space="preserve"> Individuals suffering from mental illness, such </w:t>
      </w:r>
      <w:r w:rsidRPr="006C1109">
        <w:rPr>
          <w:rFonts w:ascii="Verdana" w:hAnsi="Verdana" w:cs="Arial"/>
          <w:sz w:val="22"/>
          <w:szCs w:val="22"/>
        </w:rPr>
        <w:t>as anxiety,</w:t>
      </w:r>
      <w:r w:rsidR="00065308" w:rsidRPr="006C1109">
        <w:rPr>
          <w:rFonts w:ascii="Verdana" w:hAnsi="Verdana" w:cs="Arial"/>
          <w:sz w:val="22"/>
          <w:szCs w:val="22"/>
        </w:rPr>
        <w:t xml:space="preserve"> depr</w:t>
      </w:r>
      <w:r w:rsidRPr="006C1109">
        <w:rPr>
          <w:rFonts w:ascii="Verdana" w:hAnsi="Verdana" w:cs="Arial"/>
          <w:sz w:val="22"/>
          <w:szCs w:val="22"/>
        </w:rPr>
        <w:t>es</w:t>
      </w:r>
      <w:r w:rsidR="00065308" w:rsidRPr="006C1109">
        <w:rPr>
          <w:rFonts w:ascii="Verdana" w:hAnsi="Verdana" w:cs="Arial"/>
          <w:sz w:val="22"/>
          <w:szCs w:val="22"/>
        </w:rPr>
        <w:t>sion</w:t>
      </w:r>
      <w:r w:rsidRPr="006C1109">
        <w:rPr>
          <w:rFonts w:ascii="Verdana" w:hAnsi="Verdana" w:cs="Arial"/>
          <w:sz w:val="22"/>
          <w:szCs w:val="22"/>
        </w:rPr>
        <w:t xml:space="preserve"> </w:t>
      </w:r>
      <w:r w:rsidR="00065308" w:rsidRPr="006C1109">
        <w:rPr>
          <w:rFonts w:ascii="Verdana" w:hAnsi="Verdana" w:cs="Arial"/>
          <w:sz w:val="22"/>
          <w:szCs w:val="22"/>
        </w:rPr>
        <w:t xml:space="preserve">or post-traumatic stress disorder (PTSD), are often more susceptible to manipulation and coercion. A research study conducted by the MH charity MIND, found that people with mental health factors were more likely to be a victim of crime (MIND, 2024). </w:t>
      </w:r>
      <w:r w:rsidRPr="006C1109">
        <w:rPr>
          <w:rFonts w:ascii="Verdana" w:hAnsi="Verdana" w:cs="Arial"/>
          <w:sz w:val="22"/>
          <w:szCs w:val="22"/>
        </w:rPr>
        <w:t xml:space="preserve">Serious and organised criminals </w:t>
      </w:r>
      <w:r w:rsidR="00065308" w:rsidRPr="006C1109">
        <w:rPr>
          <w:rFonts w:ascii="Verdana" w:hAnsi="Verdana" w:cs="Arial"/>
          <w:sz w:val="22"/>
          <w:szCs w:val="22"/>
        </w:rPr>
        <w:t xml:space="preserve">may take advantage of these conditions, offering support or understanding while covertly grooming </w:t>
      </w:r>
      <w:r w:rsidRPr="006C1109">
        <w:rPr>
          <w:rFonts w:ascii="Verdana" w:hAnsi="Verdana" w:cs="Arial"/>
          <w:sz w:val="22"/>
          <w:szCs w:val="22"/>
        </w:rPr>
        <w:t xml:space="preserve">and exploiting </w:t>
      </w:r>
      <w:r w:rsidR="00065308" w:rsidRPr="006C1109">
        <w:rPr>
          <w:rFonts w:ascii="Verdana" w:hAnsi="Verdana" w:cs="Arial"/>
          <w:sz w:val="22"/>
          <w:szCs w:val="22"/>
        </w:rPr>
        <w:t>individuals for criminal activities. For example, people with mental health challenges may be manipulated into drug mule work, prostitution, or other illegal activities without fully comprehending the risks involved (Browne, 2015).</w:t>
      </w:r>
    </w:p>
    <w:p w14:paraId="74AA11A4" w14:textId="77777777" w:rsidR="00296910" w:rsidRPr="006C1109" w:rsidRDefault="00065308" w:rsidP="006C1109">
      <w:pPr>
        <w:spacing w:line="480" w:lineRule="auto"/>
        <w:jc w:val="both"/>
        <w:rPr>
          <w:rFonts w:ascii="Verdana" w:hAnsi="Verdana" w:cs="Arial"/>
        </w:rPr>
      </w:pPr>
      <w:r w:rsidRPr="006C1109">
        <w:rPr>
          <w:rFonts w:ascii="Verdana" w:hAnsi="Verdana" w:cs="Arial"/>
        </w:rPr>
        <w:t>Additionally, cognitive impairments or learning disabilities can make individuals less aware of their rights or the legal implications of their actions. Organi</w:t>
      </w:r>
      <w:r w:rsidR="00296910" w:rsidRPr="006C1109">
        <w:rPr>
          <w:rFonts w:ascii="Verdana" w:hAnsi="Verdana" w:cs="Arial"/>
        </w:rPr>
        <w:t>s</w:t>
      </w:r>
      <w:r w:rsidRPr="006C1109">
        <w:rPr>
          <w:rFonts w:ascii="Verdana" w:hAnsi="Verdana" w:cs="Arial"/>
        </w:rPr>
        <w:t xml:space="preserve">ed crime gangs often exploit these individuals' diminished capacity to make informed decisions. Research suggests that people with cognitive impairments are more likely to be coerced into criminal activities because they are less able to resist pressure or identify exploitation tactics (McKibbin et al., 2010). </w:t>
      </w:r>
    </w:p>
    <w:p w14:paraId="3A7547AA" w14:textId="446A3102" w:rsidR="00916560" w:rsidRPr="006C1109" w:rsidRDefault="00916560" w:rsidP="006C1109">
      <w:pPr>
        <w:spacing w:line="480" w:lineRule="auto"/>
        <w:jc w:val="both"/>
        <w:rPr>
          <w:rFonts w:ascii="Verdana" w:hAnsi="Verdana" w:cs="Arial"/>
        </w:rPr>
      </w:pPr>
      <w:r w:rsidRPr="006C1109">
        <w:rPr>
          <w:rFonts w:ascii="Verdana" w:hAnsi="Verdana" w:cs="Arial"/>
        </w:rPr>
        <w:t xml:space="preserve">The exploitation of vulnerable groups has significant public protection implications, as it increases the demand on a variety of agencies, such as social services, healthcare systems, and Police tasked with supporting victims. Moreover, the criminalisation of vulnerable victims of organised crime, can complicate efforts to </w:t>
      </w:r>
      <w:r w:rsidRPr="006C1109">
        <w:rPr>
          <w:rFonts w:ascii="Verdana" w:hAnsi="Verdana" w:cs="Arial"/>
        </w:rPr>
        <w:lastRenderedPageBreak/>
        <w:t xml:space="preserve">provide protection and rehabilitation, further deepening their vulnerability to re-exploitation. </w:t>
      </w:r>
    </w:p>
    <w:p w14:paraId="613975DD" w14:textId="21DDEBB8" w:rsidR="0049661D" w:rsidRPr="006C1109" w:rsidRDefault="0049661D" w:rsidP="006C1109">
      <w:pPr>
        <w:spacing w:line="480" w:lineRule="auto"/>
        <w:jc w:val="both"/>
        <w:rPr>
          <w:rFonts w:ascii="Verdana" w:hAnsi="Verdana" w:cs="Arial"/>
        </w:rPr>
      </w:pPr>
      <w:r w:rsidRPr="006C1109">
        <w:rPr>
          <w:rFonts w:ascii="Verdana" w:hAnsi="Verdana" w:cs="Arial"/>
        </w:rPr>
        <w:t>Another characteristic which research suggests makes an individual vulnerable and places them at significant risk to exploitation by serious and organised crimes is substance and addiction abuse</w:t>
      </w:r>
      <w:r w:rsidR="00FB2B24" w:rsidRPr="006C1109">
        <w:rPr>
          <w:rFonts w:ascii="Verdana" w:hAnsi="Verdana" w:cs="Arial"/>
        </w:rPr>
        <w:t xml:space="preserve"> (Bouchard &amp; Tremblay, 2005)</w:t>
      </w:r>
      <w:r w:rsidRPr="006C1109">
        <w:rPr>
          <w:rFonts w:ascii="Verdana" w:hAnsi="Verdana" w:cs="Arial"/>
        </w:rPr>
        <w:t xml:space="preserve">. </w:t>
      </w:r>
      <w:r w:rsidR="00916560" w:rsidRPr="006C1109">
        <w:rPr>
          <w:rFonts w:ascii="Verdana" w:hAnsi="Verdana" w:cs="Arial"/>
        </w:rPr>
        <w:t xml:space="preserve">Research shows that drug trafficking is one of the most prevalent forms of organised crime and is closely linked to public protection issues, particularly regarding public health (United Nations, 2020). The distribution and abuse of illegal drugs contribute to a wide range of social harms, including addiction, overdoses, and the spread of diseases. </w:t>
      </w:r>
      <w:r w:rsidRPr="006C1109">
        <w:rPr>
          <w:rFonts w:ascii="Verdana" w:hAnsi="Verdana" w:cs="Arial"/>
        </w:rPr>
        <w:t xml:space="preserve">People suffering from drug or alcohol addiction often find themselves trapped in cycles of dependency, which can be easily manipulated by criminal organisations. Gangs exploit addicts by providing drugs in exchange for involvement in criminal activities such as trafficking, theft, or prostitution (Bouchard &amp; Tremblay, 2005). </w:t>
      </w:r>
      <w:r w:rsidR="00296910" w:rsidRPr="006C1109">
        <w:rPr>
          <w:rFonts w:ascii="Verdana" w:hAnsi="Verdana" w:cs="Arial"/>
        </w:rPr>
        <w:t>Therefore, a</w:t>
      </w:r>
      <w:r w:rsidRPr="006C1109">
        <w:rPr>
          <w:rFonts w:ascii="Verdana" w:hAnsi="Verdana" w:cs="Arial"/>
        </w:rPr>
        <w:t xml:space="preserve">ddiction can render </w:t>
      </w:r>
      <w:r w:rsidR="00296910" w:rsidRPr="006C1109">
        <w:rPr>
          <w:rFonts w:ascii="Verdana" w:hAnsi="Verdana" w:cs="Arial"/>
        </w:rPr>
        <w:t>individuals’</w:t>
      </w:r>
      <w:r w:rsidRPr="006C1109">
        <w:rPr>
          <w:rFonts w:ascii="Verdana" w:hAnsi="Verdana" w:cs="Arial"/>
        </w:rPr>
        <w:t xml:space="preserve"> vulnerab</w:t>
      </w:r>
      <w:r w:rsidR="00296910" w:rsidRPr="006C1109">
        <w:rPr>
          <w:rFonts w:ascii="Verdana" w:hAnsi="Verdana" w:cs="Arial"/>
        </w:rPr>
        <w:t xml:space="preserve">ility </w:t>
      </w:r>
      <w:r w:rsidRPr="006C1109">
        <w:rPr>
          <w:rFonts w:ascii="Verdana" w:hAnsi="Verdana" w:cs="Arial"/>
        </w:rPr>
        <w:t>because their dependency on substances makes them more willing to engage in illegal activities to secure access to their drug of choice.</w:t>
      </w:r>
      <w:r w:rsidR="00916560" w:rsidRPr="006C1109">
        <w:rPr>
          <w:rFonts w:ascii="Verdana" w:hAnsi="Verdana" w:cs="Arial"/>
        </w:rPr>
        <w:t xml:space="preserve"> The criminalisation of drug users also raises public protection concerns, as it complicates efforts to provide rehabilitation and support services to those affected by addiction</w:t>
      </w:r>
      <w:r w:rsidR="005E2E20" w:rsidRPr="006C1109">
        <w:rPr>
          <w:rFonts w:ascii="Verdana" w:hAnsi="Verdana" w:cs="Arial"/>
        </w:rPr>
        <w:t xml:space="preserve"> (Youngers &amp; Rosin, 2005).</w:t>
      </w:r>
    </w:p>
    <w:p w14:paraId="5DF43628" w14:textId="59A8B667" w:rsidR="00296910" w:rsidRPr="006C1109" w:rsidRDefault="0049661D" w:rsidP="006C1109">
      <w:pPr>
        <w:spacing w:line="480" w:lineRule="auto"/>
        <w:jc w:val="both"/>
        <w:rPr>
          <w:rFonts w:ascii="Verdana" w:hAnsi="Verdana" w:cs="Arial"/>
        </w:rPr>
      </w:pPr>
      <w:r w:rsidRPr="006C1109">
        <w:rPr>
          <w:rFonts w:ascii="Verdana" w:hAnsi="Verdana" w:cs="Arial"/>
        </w:rPr>
        <w:t>Moreover, criminal organi</w:t>
      </w:r>
      <w:r w:rsidR="00296910" w:rsidRPr="006C1109">
        <w:rPr>
          <w:rFonts w:ascii="Verdana" w:hAnsi="Verdana" w:cs="Arial"/>
        </w:rPr>
        <w:t>s</w:t>
      </w:r>
      <w:r w:rsidRPr="006C1109">
        <w:rPr>
          <w:rFonts w:ascii="Verdana" w:hAnsi="Verdana" w:cs="Arial"/>
        </w:rPr>
        <w:t>ations use addiction as a form of control. By fostering dependency, they ensure a steady stream of compliant workers who are unable to escape due to their reliance on drugs or alcohol. This is particularly prevalent in human trafficking, where victims may be forcibly addicted to drugs to make them more malleable and less likely to seek help (Shelley, 2010). Substance abuse, therefore, serves both as a lure and as a mechanism of control in the exploitation of vulnerable individuals by organi</w:t>
      </w:r>
      <w:r w:rsidR="00296910" w:rsidRPr="006C1109">
        <w:rPr>
          <w:rFonts w:ascii="Verdana" w:hAnsi="Verdana" w:cs="Arial"/>
        </w:rPr>
        <w:t>s</w:t>
      </w:r>
      <w:r w:rsidRPr="006C1109">
        <w:rPr>
          <w:rFonts w:ascii="Verdana" w:hAnsi="Verdana" w:cs="Arial"/>
        </w:rPr>
        <w:t>ed crime gangs.</w:t>
      </w:r>
    </w:p>
    <w:p w14:paraId="5C39AFFA" w14:textId="6CB342C5" w:rsidR="00186BAC" w:rsidRPr="006C1109" w:rsidRDefault="00186BAC" w:rsidP="006C1109">
      <w:pPr>
        <w:spacing w:line="480" w:lineRule="auto"/>
        <w:jc w:val="both"/>
        <w:rPr>
          <w:rFonts w:ascii="Verdana" w:hAnsi="Verdana"/>
        </w:rPr>
      </w:pPr>
      <w:r w:rsidRPr="006C1109">
        <w:rPr>
          <w:rFonts w:ascii="Verdana" w:hAnsi="Verdana"/>
        </w:rPr>
        <w:lastRenderedPageBreak/>
        <w:t xml:space="preserve">In conclusion, various characteristics make individuals more vulnerable to exploitation by serious and organised crime gangs. For example; social isolation, economic </w:t>
      </w:r>
      <w:r w:rsidR="003135FD" w:rsidRPr="006C1109">
        <w:rPr>
          <w:rFonts w:ascii="Verdana" w:hAnsi="Verdana"/>
        </w:rPr>
        <w:t>hardship, addiction</w:t>
      </w:r>
      <w:r w:rsidRPr="006C1109">
        <w:rPr>
          <w:rFonts w:ascii="Verdana" w:hAnsi="Verdana"/>
        </w:rPr>
        <w:t xml:space="preserve">, mental health issues, and environmental factors all contribute to the susceptibility of individuals to criminal exploitation. Organised and serious crime </w:t>
      </w:r>
      <w:r w:rsidR="003135FD" w:rsidRPr="006C1109">
        <w:rPr>
          <w:rFonts w:ascii="Verdana" w:hAnsi="Verdana"/>
        </w:rPr>
        <w:t>gangs’</w:t>
      </w:r>
      <w:r w:rsidRPr="006C1109">
        <w:rPr>
          <w:rFonts w:ascii="Verdana" w:hAnsi="Verdana"/>
        </w:rPr>
        <w:t xml:space="preserve"> prey on these vulnerabilities, using coercion, manipulation</w:t>
      </w:r>
      <w:r w:rsidR="003135FD" w:rsidRPr="006C1109">
        <w:rPr>
          <w:rFonts w:ascii="Verdana" w:hAnsi="Verdana"/>
        </w:rPr>
        <w:t xml:space="preserve"> </w:t>
      </w:r>
      <w:r w:rsidRPr="006C1109">
        <w:rPr>
          <w:rFonts w:ascii="Verdana" w:hAnsi="Verdana"/>
        </w:rPr>
        <w:t xml:space="preserve">and control to recruit individuals into illegal activities. Understanding these risk factors is essential for developing targeted interventions and policies aimed at reducing vulnerability and preventing exploitation. </w:t>
      </w:r>
      <w:r w:rsidR="003135FD" w:rsidRPr="006C1109">
        <w:rPr>
          <w:rFonts w:ascii="Verdana" w:hAnsi="Verdana"/>
        </w:rPr>
        <w:t>Therefore, b</w:t>
      </w:r>
      <w:r w:rsidRPr="006C1109">
        <w:rPr>
          <w:rFonts w:ascii="Verdana" w:hAnsi="Verdana"/>
        </w:rPr>
        <w:t xml:space="preserve">y addressing the root causes of social and economic vulnerability, </w:t>
      </w:r>
      <w:r w:rsidR="00C76D52" w:rsidRPr="006C1109">
        <w:rPr>
          <w:rFonts w:ascii="Verdana" w:hAnsi="Verdana"/>
        </w:rPr>
        <w:t xml:space="preserve">public protection measures </w:t>
      </w:r>
      <w:r w:rsidRPr="006C1109">
        <w:rPr>
          <w:rFonts w:ascii="Verdana" w:hAnsi="Verdana"/>
        </w:rPr>
        <w:t>can better protect individuals from falling victim to organi</w:t>
      </w:r>
      <w:r w:rsidR="001819E9" w:rsidRPr="006C1109">
        <w:rPr>
          <w:rFonts w:ascii="Verdana" w:hAnsi="Verdana"/>
        </w:rPr>
        <w:t>s</w:t>
      </w:r>
      <w:r w:rsidRPr="006C1109">
        <w:rPr>
          <w:rFonts w:ascii="Verdana" w:hAnsi="Verdana"/>
        </w:rPr>
        <w:t>ed crime gangs.</w:t>
      </w:r>
    </w:p>
    <w:p w14:paraId="58BD45D1" w14:textId="77777777" w:rsidR="00BF134B" w:rsidRPr="006C1109" w:rsidRDefault="00BF134B" w:rsidP="006C1109">
      <w:pPr>
        <w:spacing w:line="480" w:lineRule="auto"/>
        <w:rPr>
          <w:rFonts w:ascii="Verdana" w:hAnsi="Verdana"/>
        </w:rPr>
      </w:pPr>
    </w:p>
    <w:p w14:paraId="6F265A37" w14:textId="77777777" w:rsidR="00BF134B" w:rsidRDefault="00BF134B" w:rsidP="006C1109">
      <w:pPr>
        <w:spacing w:line="480" w:lineRule="auto"/>
        <w:rPr>
          <w:rFonts w:ascii="Verdana" w:hAnsi="Verdana"/>
        </w:rPr>
      </w:pPr>
    </w:p>
    <w:p w14:paraId="5AD0C8F9" w14:textId="77777777" w:rsidR="00882DB5" w:rsidRDefault="00882DB5" w:rsidP="006C1109">
      <w:pPr>
        <w:spacing w:line="480" w:lineRule="auto"/>
        <w:rPr>
          <w:rFonts w:ascii="Verdana" w:hAnsi="Verdana"/>
        </w:rPr>
      </w:pPr>
    </w:p>
    <w:p w14:paraId="1CE82852" w14:textId="77777777" w:rsidR="00882DB5" w:rsidRDefault="00882DB5" w:rsidP="006C1109">
      <w:pPr>
        <w:spacing w:line="480" w:lineRule="auto"/>
        <w:rPr>
          <w:rFonts w:ascii="Verdana" w:hAnsi="Verdana"/>
        </w:rPr>
      </w:pPr>
    </w:p>
    <w:p w14:paraId="1A73DD43" w14:textId="77777777" w:rsidR="00882DB5" w:rsidRDefault="00882DB5" w:rsidP="006C1109">
      <w:pPr>
        <w:spacing w:line="480" w:lineRule="auto"/>
        <w:rPr>
          <w:rFonts w:ascii="Verdana" w:hAnsi="Verdana"/>
        </w:rPr>
      </w:pPr>
    </w:p>
    <w:p w14:paraId="082D889B" w14:textId="77777777" w:rsidR="00882DB5" w:rsidRDefault="00882DB5" w:rsidP="006C1109">
      <w:pPr>
        <w:spacing w:line="480" w:lineRule="auto"/>
        <w:rPr>
          <w:rFonts w:ascii="Verdana" w:hAnsi="Verdana"/>
        </w:rPr>
      </w:pPr>
    </w:p>
    <w:p w14:paraId="4D2EF5F5" w14:textId="77777777" w:rsidR="00882DB5" w:rsidRDefault="00882DB5" w:rsidP="006C1109">
      <w:pPr>
        <w:spacing w:line="480" w:lineRule="auto"/>
        <w:rPr>
          <w:rFonts w:ascii="Verdana" w:hAnsi="Verdana"/>
        </w:rPr>
      </w:pPr>
    </w:p>
    <w:p w14:paraId="6A5E99D5" w14:textId="77777777" w:rsidR="00882DB5" w:rsidRDefault="00882DB5" w:rsidP="006C1109">
      <w:pPr>
        <w:spacing w:line="480" w:lineRule="auto"/>
        <w:rPr>
          <w:rFonts w:ascii="Verdana" w:hAnsi="Verdana"/>
        </w:rPr>
      </w:pPr>
    </w:p>
    <w:p w14:paraId="25A05C2D" w14:textId="77777777" w:rsidR="00882DB5" w:rsidRPr="006C1109" w:rsidRDefault="00882DB5" w:rsidP="006C1109">
      <w:pPr>
        <w:spacing w:line="480" w:lineRule="auto"/>
        <w:rPr>
          <w:rFonts w:ascii="Verdana" w:hAnsi="Verdana"/>
        </w:rPr>
      </w:pPr>
    </w:p>
    <w:p w14:paraId="4FF94196" w14:textId="77777777" w:rsidR="00BF134B" w:rsidRPr="006C1109" w:rsidRDefault="00BF134B" w:rsidP="006C1109">
      <w:pPr>
        <w:spacing w:line="480" w:lineRule="auto"/>
        <w:rPr>
          <w:rFonts w:ascii="Verdana" w:hAnsi="Verdana"/>
        </w:rPr>
      </w:pPr>
    </w:p>
    <w:p w14:paraId="2B3A2B73" w14:textId="77777777" w:rsidR="00BF134B" w:rsidRPr="006C1109" w:rsidRDefault="00BF134B" w:rsidP="006C1109">
      <w:pPr>
        <w:spacing w:line="480" w:lineRule="auto"/>
        <w:rPr>
          <w:rFonts w:ascii="Verdana" w:hAnsi="Verdana"/>
        </w:rPr>
      </w:pPr>
    </w:p>
    <w:p w14:paraId="2A2C8938" w14:textId="64C66C6B" w:rsidR="0081107B" w:rsidRDefault="0049661D">
      <w:pPr>
        <w:rPr>
          <w:b/>
          <w:bCs/>
        </w:rPr>
      </w:pPr>
      <w:r>
        <w:rPr>
          <w:b/>
          <w:bCs/>
        </w:rPr>
        <w:lastRenderedPageBreak/>
        <w:t>Essay five: How effective is early intervention an effective means of preventing young people from offending or re-offending? Your answer must be based on academic research, but you may make reference to relevant case studies. Word limit: 1000 words</w:t>
      </w:r>
    </w:p>
    <w:p w14:paraId="75328E62" w14:textId="20AE4CE5" w:rsidR="00C06822" w:rsidRDefault="00C06822" w:rsidP="00DD124B">
      <w:pPr>
        <w:spacing w:line="360" w:lineRule="auto"/>
        <w:jc w:val="both"/>
      </w:pPr>
      <w:r>
        <w:rPr>
          <w:b/>
          <w:bCs/>
        </w:rPr>
        <w:t xml:space="preserve">Word Count: </w:t>
      </w:r>
      <w:r w:rsidR="00047954">
        <w:rPr>
          <w:b/>
          <w:bCs/>
        </w:rPr>
        <w:t>8</w:t>
      </w:r>
      <w:r w:rsidR="004B71C9">
        <w:rPr>
          <w:b/>
          <w:bCs/>
        </w:rPr>
        <w:t>9</w:t>
      </w:r>
      <w:r w:rsidR="006876D5">
        <w:rPr>
          <w:b/>
          <w:bCs/>
        </w:rPr>
        <w:t>8</w:t>
      </w:r>
    </w:p>
    <w:p w14:paraId="4007FEBF" w14:textId="4984C311" w:rsidR="0022040A" w:rsidRPr="00882DB5" w:rsidRDefault="0022040A" w:rsidP="00882DB5">
      <w:pPr>
        <w:spacing w:line="480" w:lineRule="auto"/>
        <w:jc w:val="both"/>
        <w:rPr>
          <w:rFonts w:ascii="Verdana" w:hAnsi="Verdana"/>
        </w:rPr>
      </w:pPr>
      <w:r w:rsidRPr="00882DB5">
        <w:rPr>
          <w:rFonts w:ascii="Verdana" w:hAnsi="Verdana"/>
        </w:rPr>
        <w:t>Youth offending and re-offending have been persistent concerns in the United Kingdom, prompting ongoing efforts to develop and implement strategies to address these issues. In response to rising concerns about crime among young people, early intervention has emerged, which involves the identification and support of at-risk children and young people before they engage in criminal behaviour or after their initial involvement with the criminal justice system. The rationale behind early intervention lies in the assumption that timely, targeted support can alter the trajectory of a young person’s life, preventing them from becoming entrenched in a cycle of offending. However, the effectiveness of these interventions remains the subject of ongoing debate. This essay aims to evaluate the effectiveness of early intervention program</w:t>
      </w:r>
      <w:r w:rsidR="00204F9B" w:rsidRPr="00882DB5">
        <w:rPr>
          <w:rFonts w:ascii="Verdana" w:hAnsi="Verdana"/>
        </w:rPr>
        <w:t>me</w:t>
      </w:r>
      <w:r w:rsidRPr="00882DB5">
        <w:rPr>
          <w:rFonts w:ascii="Verdana" w:hAnsi="Verdana"/>
        </w:rPr>
        <w:t>s in preventing offending and re-offending among young people in the UK, drawing on empirical evidence and theoretical perspectives.</w:t>
      </w:r>
    </w:p>
    <w:p w14:paraId="221F3396" w14:textId="56299D1E" w:rsidR="00E42552" w:rsidRPr="00882DB5" w:rsidRDefault="00E42552" w:rsidP="00882DB5">
      <w:pPr>
        <w:spacing w:line="480" w:lineRule="auto"/>
        <w:jc w:val="both"/>
        <w:rPr>
          <w:rFonts w:ascii="Verdana" w:hAnsi="Verdana"/>
        </w:rPr>
      </w:pPr>
      <w:r w:rsidRPr="00882DB5">
        <w:rPr>
          <w:rFonts w:ascii="Verdana" w:hAnsi="Verdana"/>
        </w:rPr>
        <w:t>The foundation of early intervention lies in developmental criminology, which emphasises the role of early life experiences in shaping future behaviour</w:t>
      </w:r>
      <w:r w:rsidR="004B71C9" w:rsidRPr="00882DB5">
        <w:rPr>
          <w:rFonts w:ascii="Verdana" w:hAnsi="Verdana"/>
        </w:rPr>
        <w:t xml:space="preserve"> (Rumjaun &amp; Narod, 2020).</w:t>
      </w:r>
      <w:r w:rsidRPr="00882DB5">
        <w:rPr>
          <w:rFonts w:ascii="Verdana" w:hAnsi="Verdana"/>
        </w:rPr>
        <w:t xml:space="preserve"> </w:t>
      </w:r>
      <w:r w:rsidR="00BF134B" w:rsidRPr="00882DB5">
        <w:rPr>
          <w:rFonts w:ascii="Verdana" w:hAnsi="Verdana"/>
        </w:rPr>
        <w:t xml:space="preserve">The rationale for early intervention is rooted in various criminological theories. For example; </w:t>
      </w:r>
      <w:r w:rsidRPr="00882DB5">
        <w:rPr>
          <w:rFonts w:ascii="Verdana" w:hAnsi="Verdana"/>
        </w:rPr>
        <w:t>The ‘Life Course Theory</w:t>
      </w:r>
      <w:r w:rsidR="00DD124B" w:rsidRPr="00882DB5">
        <w:rPr>
          <w:rFonts w:ascii="Verdana" w:hAnsi="Verdana"/>
        </w:rPr>
        <w:t xml:space="preserve">’ (Hutchison, 2011) </w:t>
      </w:r>
      <w:r w:rsidRPr="00882DB5">
        <w:rPr>
          <w:rFonts w:ascii="Verdana" w:hAnsi="Verdana"/>
        </w:rPr>
        <w:t xml:space="preserve">suggests that risk factors during childhood, such as exposure to violence, lack of parental supervision, and socio-economic deprivation, increase the likelihood of delinquency later in </w:t>
      </w:r>
      <w:r w:rsidR="004B71C9" w:rsidRPr="00882DB5">
        <w:rPr>
          <w:rFonts w:ascii="Verdana" w:hAnsi="Verdana"/>
        </w:rPr>
        <w:t xml:space="preserve">an individual’s </w:t>
      </w:r>
      <w:r w:rsidRPr="00882DB5">
        <w:rPr>
          <w:rFonts w:ascii="Verdana" w:hAnsi="Verdana"/>
        </w:rPr>
        <w:t>life</w:t>
      </w:r>
      <w:r w:rsidR="00204F9B" w:rsidRPr="00882DB5">
        <w:rPr>
          <w:rFonts w:ascii="Verdana" w:hAnsi="Verdana"/>
        </w:rPr>
        <w:t xml:space="preserve"> (Hutchison, 2011)</w:t>
      </w:r>
      <w:r w:rsidRPr="00882DB5">
        <w:rPr>
          <w:rFonts w:ascii="Verdana" w:hAnsi="Verdana"/>
        </w:rPr>
        <w:t xml:space="preserve">. In this context, early intervention strategies aim to mitigate these risks by targeting the underlying causes of criminal </w:t>
      </w:r>
      <w:r w:rsidR="00DD124B" w:rsidRPr="00882DB5">
        <w:rPr>
          <w:rFonts w:ascii="Verdana" w:hAnsi="Verdana"/>
        </w:rPr>
        <w:t>behaviour</w:t>
      </w:r>
      <w:r w:rsidRPr="00882DB5">
        <w:rPr>
          <w:rFonts w:ascii="Verdana" w:hAnsi="Verdana"/>
        </w:rPr>
        <w:t xml:space="preserve"> before they solidify.</w:t>
      </w:r>
      <w:r w:rsidR="00DD124B" w:rsidRPr="00882DB5">
        <w:rPr>
          <w:rFonts w:ascii="Verdana" w:hAnsi="Verdana"/>
        </w:rPr>
        <w:t xml:space="preserve"> </w:t>
      </w:r>
      <w:r w:rsidRPr="00882DB5">
        <w:rPr>
          <w:rFonts w:ascii="Verdana" w:hAnsi="Verdana"/>
        </w:rPr>
        <w:t xml:space="preserve">Additionally, the </w:t>
      </w:r>
      <w:r w:rsidR="00DD124B" w:rsidRPr="00882DB5">
        <w:rPr>
          <w:rFonts w:ascii="Verdana" w:hAnsi="Verdana"/>
        </w:rPr>
        <w:t>‘S</w:t>
      </w:r>
      <w:r w:rsidRPr="00882DB5">
        <w:rPr>
          <w:rFonts w:ascii="Verdana" w:hAnsi="Verdana"/>
        </w:rPr>
        <w:t xml:space="preserve">ocial learning </w:t>
      </w:r>
      <w:r w:rsidR="00DD124B" w:rsidRPr="00882DB5">
        <w:rPr>
          <w:rFonts w:ascii="Verdana" w:hAnsi="Verdana"/>
        </w:rPr>
        <w:t>T</w:t>
      </w:r>
      <w:r w:rsidRPr="00882DB5">
        <w:rPr>
          <w:rFonts w:ascii="Verdana" w:hAnsi="Verdana"/>
        </w:rPr>
        <w:t>heory</w:t>
      </w:r>
      <w:r w:rsidR="00DD124B" w:rsidRPr="00882DB5">
        <w:rPr>
          <w:rFonts w:ascii="Verdana" w:hAnsi="Verdana"/>
        </w:rPr>
        <w:t>’</w:t>
      </w:r>
      <w:r w:rsidR="004B71C9" w:rsidRPr="00882DB5">
        <w:rPr>
          <w:rFonts w:ascii="Verdana" w:hAnsi="Verdana"/>
        </w:rPr>
        <w:t xml:space="preserve"> </w:t>
      </w:r>
      <w:r w:rsidR="00DD124B" w:rsidRPr="00882DB5">
        <w:rPr>
          <w:rFonts w:ascii="Verdana" w:hAnsi="Verdana"/>
        </w:rPr>
        <w:t>(Bandura, 1977) states that</w:t>
      </w:r>
      <w:r w:rsidRPr="00882DB5">
        <w:rPr>
          <w:rFonts w:ascii="Verdana" w:hAnsi="Verdana"/>
        </w:rPr>
        <w:t xml:space="preserve"> individuals, particularly youth, learn </w:t>
      </w:r>
      <w:r w:rsidR="00DD124B" w:rsidRPr="00882DB5">
        <w:rPr>
          <w:rFonts w:ascii="Verdana" w:hAnsi="Verdana"/>
        </w:rPr>
        <w:lastRenderedPageBreak/>
        <w:t>behaviours</w:t>
      </w:r>
      <w:r w:rsidRPr="00882DB5">
        <w:rPr>
          <w:rFonts w:ascii="Verdana" w:hAnsi="Verdana"/>
        </w:rPr>
        <w:t xml:space="preserve"> by observing and imitating those around them. </w:t>
      </w:r>
      <w:r w:rsidR="00DD124B" w:rsidRPr="00882DB5">
        <w:rPr>
          <w:rFonts w:ascii="Verdana" w:hAnsi="Verdana"/>
        </w:rPr>
        <w:t>Therefore, the theory argues that i</w:t>
      </w:r>
      <w:r w:rsidRPr="00882DB5">
        <w:rPr>
          <w:rFonts w:ascii="Verdana" w:hAnsi="Verdana"/>
        </w:rPr>
        <w:t>f young people are exposed to environments characteri</w:t>
      </w:r>
      <w:r w:rsidR="00DD124B" w:rsidRPr="00882DB5">
        <w:rPr>
          <w:rFonts w:ascii="Verdana" w:hAnsi="Verdana"/>
        </w:rPr>
        <w:t>s</w:t>
      </w:r>
      <w:r w:rsidRPr="00882DB5">
        <w:rPr>
          <w:rFonts w:ascii="Verdana" w:hAnsi="Verdana"/>
        </w:rPr>
        <w:t xml:space="preserve">ed by crime or deviant </w:t>
      </w:r>
      <w:r w:rsidR="00DD124B" w:rsidRPr="00882DB5">
        <w:rPr>
          <w:rFonts w:ascii="Verdana" w:hAnsi="Verdana"/>
        </w:rPr>
        <w:t>behaviour</w:t>
      </w:r>
      <w:r w:rsidRPr="00882DB5">
        <w:rPr>
          <w:rFonts w:ascii="Verdana" w:hAnsi="Verdana"/>
        </w:rPr>
        <w:t xml:space="preserve">, they are more likely to engage in similar </w:t>
      </w:r>
      <w:r w:rsidR="00DD124B" w:rsidRPr="00882DB5">
        <w:rPr>
          <w:rFonts w:ascii="Verdana" w:hAnsi="Verdana"/>
        </w:rPr>
        <w:t>behaviours (Rumjaun &amp; Narod, 2020)</w:t>
      </w:r>
      <w:r w:rsidRPr="00882DB5">
        <w:rPr>
          <w:rFonts w:ascii="Verdana" w:hAnsi="Verdana"/>
        </w:rPr>
        <w:t xml:space="preserve">. Thus, early intervention efforts also focus on reshaping the social environment and providing positive role models to prevent young people from adopting criminal </w:t>
      </w:r>
      <w:r w:rsidR="00DD124B" w:rsidRPr="00882DB5">
        <w:rPr>
          <w:rFonts w:ascii="Verdana" w:hAnsi="Verdana"/>
        </w:rPr>
        <w:t>behaviours</w:t>
      </w:r>
      <w:r w:rsidR="00BF134B" w:rsidRPr="00882DB5">
        <w:rPr>
          <w:rFonts w:ascii="Verdana" w:hAnsi="Verdana"/>
        </w:rPr>
        <w:t xml:space="preserve"> and promotes pro-social behaviour. </w:t>
      </w:r>
    </w:p>
    <w:p w14:paraId="26924C49" w14:textId="37F8D589" w:rsidR="0022040A" w:rsidRPr="00882DB5" w:rsidRDefault="00E97ECC" w:rsidP="00882DB5">
      <w:pPr>
        <w:spacing w:line="480" w:lineRule="auto"/>
        <w:jc w:val="both"/>
        <w:rPr>
          <w:rFonts w:ascii="Verdana" w:hAnsi="Verdana"/>
        </w:rPr>
      </w:pPr>
      <w:r w:rsidRPr="00882DB5">
        <w:rPr>
          <w:rFonts w:ascii="Verdana" w:hAnsi="Verdana"/>
        </w:rPr>
        <w:t>Early intervention can occur at different stages, prior to any engagement with the criminal justice system (prevention) or following an initial offence (early criminal justice interventions)</w:t>
      </w:r>
      <w:r w:rsidR="007E77E1" w:rsidRPr="00882DB5">
        <w:rPr>
          <w:rFonts w:ascii="Verdana" w:hAnsi="Verdana"/>
        </w:rPr>
        <w:t xml:space="preserve"> (Smith &amp; Gray, 2019)</w:t>
      </w:r>
      <w:r w:rsidRPr="00882DB5">
        <w:rPr>
          <w:rFonts w:ascii="Verdana" w:hAnsi="Verdana"/>
        </w:rPr>
        <w:t>. Examples of early intervention initiatives include the Troubled Families Programme, Youth Offending Teams (YOTs), and diversion schemes such as restorative justice</w:t>
      </w:r>
      <w:r w:rsidR="0022040A" w:rsidRPr="00882DB5">
        <w:rPr>
          <w:rFonts w:ascii="Verdana" w:hAnsi="Verdana"/>
        </w:rPr>
        <w:t xml:space="preserve"> (Smith &amp; Gray, 2019).</w:t>
      </w:r>
    </w:p>
    <w:p w14:paraId="02926D7C" w14:textId="2CF479B4" w:rsidR="00BF134B" w:rsidRPr="00882DB5" w:rsidRDefault="00BF134B" w:rsidP="00882DB5">
      <w:pPr>
        <w:spacing w:line="480" w:lineRule="auto"/>
        <w:jc w:val="both"/>
        <w:rPr>
          <w:rFonts w:ascii="Verdana" w:hAnsi="Verdana"/>
        </w:rPr>
      </w:pPr>
      <w:r w:rsidRPr="00882DB5">
        <w:rPr>
          <w:rFonts w:ascii="Verdana" w:hAnsi="Verdana"/>
        </w:rPr>
        <w:t>Based on the above theories, it can be argued that e</w:t>
      </w:r>
      <w:r w:rsidR="0049661D" w:rsidRPr="00882DB5">
        <w:rPr>
          <w:rFonts w:ascii="Verdana" w:hAnsi="Verdana"/>
        </w:rPr>
        <w:t>arly intervention is a highly effective means of preventing youth offending and re-offending, as it addresses the root causes of criminal behaviour before they become deeply ingrained</w:t>
      </w:r>
      <w:r w:rsidR="004B71C9" w:rsidRPr="00882DB5">
        <w:rPr>
          <w:rFonts w:ascii="Verdana" w:hAnsi="Verdana"/>
        </w:rPr>
        <w:t xml:space="preserve"> (Smith &amp; Gray, 2019)</w:t>
      </w:r>
      <w:r w:rsidR="0049661D" w:rsidRPr="00882DB5">
        <w:rPr>
          <w:rFonts w:ascii="Verdana" w:hAnsi="Verdana"/>
        </w:rPr>
        <w:t xml:space="preserve">. </w:t>
      </w:r>
      <w:r w:rsidR="00C06822" w:rsidRPr="00882DB5">
        <w:rPr>
          <w:rFonts w:ascii="Verdana" w:hAnsi="Verdana"/>
        </w:rPr>
        <w:t>Therefore, Early intervention refers to the range of strategies aimed at identifying and addressing the risk factors that may lead to youth offending before they manifest as criminal behaviour</w:t>
      </w:r>
      <w:r w:rsidR="0056759B" w:rsidRPr="00882DB5">
        <w:rPr>
          <w:rFonts w:ascii="Verdana" w:hAnsi="Verdana"/>
        </w:rPr>
        <w:t xml:space="preserve"> (Smith &amp; Gray, 2019)</w:t>
      </w:r>
      <w:r w:rsidR="00C06822" w:rsidRPr="00882DB5">
        <w:rPr>
          <w:rFonts w:ascii="Verdana" w:hAnsi="Verdana"/>
        </w:rPr>
        <w:t>. These interventions can occur at different levels: within families, schools, communities, and through the juvenile justice system. They typically involve support in education, mental health services, mentoring, family support programs, and skills development</w:t>
      </w:r>
      <w:r w:rsidR="0056759B" w:rsidRPr="00882DB5">
        <w:rPr>
          <w:rFonts w:ascii="Verdana" w:hAnsi="Verdana"/>
        </w:rPr>
        <w:t xml:space="preserve"> (College of Policing, 2022)</w:t>
      </w:r>
      <w:r w:rsidR="00C06822" w:rsidRPr="00882DB5">
        <w:rPr>
          <w:rFonts w:ascii="Verdana" w:hAnsi="Verdana"/>
        </w:rPr>
        <w:t>. The goal is to address the root causes of offending behaviour, such as poverty, family breakdown, substance abuse, and mental health issues, rather than merely punishing the criminal act.</w:t>
      </w:r>
    </w:p>
    <w:p w14:paraId="05D58CD7" w14:textId="2B720F66" w:rsidR="00B64EE3" w:rsidRPr="00882DB5" w:rsidRDefault="00BF134B" w:rsidP="00882DB5">
      <w:pPr>
        <w:spacing w:line="480" w:lineRule="auto"/>
        <w:jc w:val="both"/>
        <w:rPr>
          <w:rFonts w:ascii="Verdana" w:hAnsi="Verdana"/>
        </w:rPr>
      </w:pPr>
      <w:r w:rsidRPr="00882DB5">
        <w:rPr>
          <w:rFonts w:ascii="Verdana" w:hAnsi="Verdana"/>
        </w:rPr>
        <w:t xml:space="preserve">In relation to early intervention, research suggests that </w:t>
      </w:r>
      <w:r w:rsidR="0049661D" w:rsidRPr="00882DB5">
        <w:rPr>
          <w:rFonts w:ascii="Verdana" w:hAnsi="Verdana"/>
        </w:rPr>
        <w:t xml:space="preserve">Family-based programs, school-based interventions, and tailored support for young offenders have all </w:t>
      </w:r>
      <w:r w:rsidR="0049661D" w:rsidRPr="00882DB5">
        <w:rPr>
          <w:rFonts w:ascii="Verdana" w:hAnsi="Verdana"/>
        </w:rPr>
        <w:lastRenderedPageBreak/>
        <w:t>shown success in reducing both initial offending and re-offending rates</w:t>
      </w:r>
      <w:r w:rsidR="0056759B" w:rsidRPr="00882DB5">
        <w:rPr>
          <w:rFonts w:ascii="Verdana" w:hAnsi="Verdana"/>
        </w:rPr>
        <w:t xml:space="preserve"> (Smith &amp; Gray, 2019)</w:t>
      </w:r>
      <w:r w:rsidR="0049661D" w:rsidRPr="00882DB5">
        <w:rPr>
          <w:rFonts w:ascii="Verdana" w:hAnsi="Verdana"/>
        </w:rPr>
        <w:t xml:space="preserve">. </w:t>
      </w:r>
      <w:r w:rsidR="00B64EE3" w:rsidRPr="00882DB5">
        <w:rPr>
          <w:rFonts w:ascii="Verdana" w:hAnsi="Verdana"/>
        </w:rPr>
        <w:t>However, the effectiveness of early intervention depends on accurate identification of at-risk youth, quality implementation of programs, and the availability of adequate resources. While challenges and limitations exist, the potential benefits of early intervention in reducing youth crime and its associated social costs make it a crucial component of any comprehensive strategy to address youth offending</w:t>
      </w:r>
      <w:r w:rsidR="0056759B" w:rsidRPr="00882DB5">
        <w:rPr>
          <w:rFonts w:ascii="Verdana" w:hAnsi="Verdana"/>
        </w:rPr>
        <w:t xml:space="preserve"> (Smith &amp; Gray, 2019)</w:t>
      </w:r>
      <w:r w:rsidR="00B64EE3" w:rsidRPr="00882DB5">
        <w:rPr>
          <w:rFonts w:ascii="Verdana" w:hAnsi="Verdana"/>
        </w:rPr>
        <w:t>.</w:t>
      </w:r>
    </w:p>
    <w:p w14:paraId="0B3C360A" w14:textId="4DA4AAEF" w:rsidR="00B64EE3" w:rsidRPr="00882DB5" w:rsidRDefault="00B64EE3" w:rsidP="00882DB5">
      <w:pPr>
        <w:spacing w:line="480" w:lineRule="auto"/>
        <w:jc w:val="both"/>
        <w:rPr>
          <w:rFonts w:ascii="Verdana" w:hAnsi="Verdana"/>
        </w:rPr>
      </w:pPr>
      <w:r w:rsidRPr="00882DB5">
        <w:rPr>
          <w:rFonts w:ascii="Verdana" w:hAnsi="Verdana"/>
        </w:rPr>
        <w:t>This limitation is supported by A study carried out by the University of Oxford’s Centre for Criminology</w:t>
      </w:r>
      <w:r w:rsidR="004B1E9C" w:rsidRPr="00882DB5">
        <w:rPr>
          <w:rFonts w:ascii="Verdana" w:hAnsi="Verdana"/>
        </w:rPr>
        <w:t xml:space="preserve"> (2019)</w:t>
      </w:r>
      <w:r w:rsidRPr="00882DB5">
        <w:rPr>
          <w:rFonts w:ascii="Verdana" w:hAnsi="Verdana"/>
        </w:rPr>
        <w:t>. This study raised concerns about the variability in the implementation of early intervention programs across different local authorities. The study found that while some areas had robust early intervention systems in place, others lacked the resources and infrastructure to deliver these services effectively, resulting in uneven outcomes for young people</w:t>
      </w:r>
      <w:r w:rsidR="004B1E9C" w:rsidRPr="00882DB5">
        <w:rPr>
          <w:rFonts w:ascii="Verdana" w:hAnsi="Verdana"/>
        </w:rPr>
        <w:t xml:space="preserve"> (University of Oxford, 2019)</w:t>
      </w:r>
      <w:r w:rsidRPr="00882DB5">
        <w:rPr>
          <w:rFonts w:ascii="Verdana" w:hAnsi="Verdana"/>
        </w:rPr>
        <w:t>. Moreover, to support this argument further, a review carried out by the UK House of Commons Justice Committee in 2021, highlighted that the long-term success of early intervention is often hindered by funding cuts and inconsistent service provision, particularly in economically deprived areas</w:t>
      </w:r>
      <w:r w:rsidR="0056759B" w:rsidRPr="00882DB5">
        <w:rPr>
          <w:rFonts w:ascii="Verdana" w:hAnsi="Verdana"/>
        </w:rPr>
        <w:t xml:space="preserve"> (Justice Committee, 2022)</w:t>
      </w:r>
      <w:r w:rsidRPr="00882DB5">
        <w:rPr>
          <w:rFonts w:ascii="Verdana" w:hAnsi="Verdana"/>
        </w:rPr>
        <w:t>.</w:t>
      </w:r>
      <w:r w:rsidR="007E77E1" w:rsidRPr="00882DB5">
        <w:rPr>
          <w:rFonts w:ascii="Verdana" w:hAnsi="Verdana"/>
        </w:rPr>
        <w:t xml:space="preserve"> Therefore, this particular research has demonstrated that the concept of early intervention as a means for reducing youths offending and reoffending is an effective strategy, however, when put into practice the effectiveness of it highly depends on the resources available and funding.</w:t>
      </w:r>
    </w:p>
    <w:p w14:paraId="4888962B" w14:textId="00F8A030" w:rsidR="00B3289A" w:rsidRPr="00882DB5" w:rsidRDefault="00B3289A" w:rsidP="00882DB5">
      <w:pPr>
        <w:spacing w:line="480" w:lineRule="auto"/>
        <w:jc w:val="both"/>
        <w:rPr>
          <w:rFonts w:ascii="Verdana" w:hAnsi="Verdana"/>
        </w:rPr>
      </w:pPr>
      <w:r w:rsidRPr="00882DB5">
        <w:rPr>
          <w:rFonts w:ascii="Verdana" w:hAnsi="Verdana"/>
        </w:rPr>
        <w:t xml:space="preserve">In conclusion, early intervention has proven to be an effective means of preventing young people from offending or re-offending, particularly when it addresses the root causes of </w:t>
      </w:r>
      <w:r w:rsidR="00882DB5">
        <w:rPr>
          <w:rFonts w:ascii="Verdana" w:hAnsi="Verdana"/>
        </w:rPr>
        <w:t>crime being committed</w:t>
      </w:r>
      <w:r w:rsidRPr="00882DB5">
        <w:rPr>
          <w:rFonts w:ascii="Verdana" w:hAnsi="Verdana"/>
        </w:rPr>
        <w:t xml:space="preserve">, such as family dysfunction, school disengagement, and negative community influences. Family-based, school-based, and community-based interventions have all demonstrated success in reducing </w:t>
      </w:r>
      <w:r w:rsidRPr="00882DB5">
        <w:rPr>
          <w:rFonts w:ascii="Verdana" w:hAnsi="Verdana"/>
        </w:rPr>
        <w:lastRenderedPageBreak/>
        <w:t>offending behaviours and promoting positive development among at-risk youth. However, research has demonstrated that the effectiveness of these interventions depends on their ability to meet the specific needs of individuals and provide long-term support.</w:t>
      </w:r>
      <w:r w:rsidR="00882DB5">
        <w:rPr>
          <w:rFonts w:ascii="Verdana" w:hAnsi="Verdana"/>
        </w:rPr>
        <w:t xml:space="preserve"> Therefore,</w:t>
      </w:r>
      <w:r w:rsidRPr="00882DB5">
        <w:rPr>
          <w:rFonts w:ascii="Verdana" w:hAnsi="Verdana"/>
        </w:rPr>
        <w:t xml:space="preserve"> </w:t>
      </w:r>
      <w:r w:rsidR="00882DB5">
        <w:rPr>
          <w:rFonts w:ascii="Verdana" w:hAnsi="Verdana"/>
        </w:rPr>
        <w:t>t</w:t>
      </w:r>
      <w:r w:rsidRPr="00882DB5">
        <w:rPr>
          <w:rFonts w:ascii="Verdana" w:hAnsi="Verdana"/>
        </w:rPr>
        <w:t>o maximi</w:t>
      </w:r>
      <w:r w:rsidR="007D373E" w:rsidRPr="00882DB5">
        <w:rPr>
          <w:rFonts w:ascii="Verdana" w:hAnsi="Verdana"/>
        </w:rPr>
        <w:t>s</w:t>
      </w:r>
      <w:r w:rsidRPr="00882DB5">
        <w:rPr>
          <w:rFonts w:ascii="Verdana" w:hAnsi="Verdana"/>
        </w:rPr>
        <w:t xml:space="preserve">e the impact of early intervention, </w:t>
      </w:r>
      <w:r w:rsidR="00882DB5">
        <w:rPr>
          <w:rFonts w:ascii="Verdana" w:hAnsi="Verdana"/>
        </w:rPr>
        <w:t xml:space="preserve">practitioners and </w:t>
      </w:r>
      <w:r w:rsidRPr="00882DB5">
        <w:rPr>
          <w:rFonts w:ascii="Verdana" w:hAnsi="Verdana"/>
        </w:rPr>
        <w:t>policymakers must ensure that programs are accessible, adequately funded, and tailored to the unique circumstances of each young person. Ultimately, early intervention offers a promising approach to breaking the cycle of youth offending and fostering a more just and supportive society.</w:t>
      </w:r>
    </w:p>
    <w:p w14:paraId="7F12E804" w14:textId="77777777" w:rsidR="0081107B" w:rsidRDefault="0081107B"/>
    <w:p w14:paraId="16F072AD" w14:textId="77777777" w:rsidR="00882DB5" w:rsidRDefault="00882DB5"/>
    <w:p w14:paraId="4895A6AB" w14:textId="77777777" w:rsidR="00882DB5" w:rsidRDefault="00882DB5"/>
    <w:p w14:paraId="033462C4" w14:textId="77777777" w:rsidR="00882DB5" w:rsidRDefault="00882DB5"/>
    <w:p w14:paraId="0496B7E9" w14:textId="77777777" w:rsidR="00882DB5" w:rsidRDefault="00882DB5"/>
    <w:p w14:paraId="7395E337" w14:textId="77777777" w:rsidR="00882DB5" w:rsidRDefault="00882DB5"/>
    <w:p w14:paraId="60091506" w14:textId="77777777" w:rsidR="00882DB5" w:rsidRDefault="00882DB5"/>
    <w:p w14:paraId="45283532" w14:textId="77777777" w:rsidR="00882DB5" w:rsidRDefault="00882DB5"/>
    <w:p w14:paraId="7F80D285" w14:textId="77777777" w:rsidR="00882DB5" w:rsidRDefault="00882DB5"/>
    <w:p w14:paraId="3E693A56" w14:textId="77777777" w:rsidR="00882DB5" w:rsidRDefault="00882DB5"/>
    <w:p w14:paraId="3CEDBE88" w14:textId="77777777" w:rsidR="00882DB5" w:rsidRDefault="00882DB5"/>
    <w:p w14:paraId="04143177" w14:textId="77777777" w:rsidR="00882DB5" w:rsidRDefault="00882DB5"/>
    <w:p w14:paraId="2A11DFEF" w14:textId="77777777" w:rsidR="00882DB5" w:rsidRDefault="00882DB5"/>
    <w:p w14:paraId="4D961D21" w14:textId="77777777" w:rsidR="00882DB5" w:rsidRDefault="00882DB5"/>
    <w:p w14:paraId="78F39930" w14:textId="77777777" w:rsidR="00882DB5" w:rsidRDefault="00882DB5"/>
    <w:p w14:paraId="67EDA841" w14:textId="77777777" w:rsidR="00882DB5" w:rsidRDefault="00882DB5"/>
    <w:p w14:paraId="384BDE0A" w14:textId="77777777" w:rsidR="00882DB5" w:rsidRDefault="00882DB5"/>
    <w:p w14:paraId="680881E1" w14:textId="77777777" w:rsidR="00882DB5" w:rsidRDefault="00882DB5"/>
    <w:p w14:paraId="1B697F53" w14:textId="77777777" w:rsidR="00882DB5" w:rsidRDefault="00882DB5"/>
    <w:p w14:paraId="5B9F972A" w14:textId="77777777" w:rsidR="00882DB5" w:rsidRDefault="00882DB5"/>
    <w:p w14:paraId="33ECB506" w14:textId="77777777" w:rsidR="00882DB5" w:rsidRDefault="00882DB5"/>
    <w:p w14:paraId="7A06E058" w14:textId="77777777" w:rsidR="00A974F1" w:rsidRDefault="00A974F1"/>
    <w:p w14:paraId="149247E3" w14:textId="29BB1E30" w:rsidR="00A974F1" w:rsidRPr="00A974F1" w:rsidRDefault="00A974F1">
      <w:pPr>
        <w:rPr>
          <w:b/>
          <w:bCs/>
        </w:rPr>
      </w:pPr>
      <w:r>
        <w:rPr>
          <w:b/>
          <w:bCs/>
        </w:rPr>
        <w:lastRenderedPageBreak/>
        <w:t>Bibliography:</w:t>
      </w:r>
    </w:p>
    <w:p w14:paraId="4ADC8D5B" w14:textId="77777777" w:rsidR="00A974F1" w:rsidRDefault="00A974F1">
      <w:r w:rsidRPr="00DD124B">
        <w:t>Bandura, Albert. "Social learning theory." </w:t>
      </w:r>
      <w:r w:rsidRPr="00DD124B">
        <w:rPr>
          <w:i/>
          <w:iCs/>
        </w:rPr>
        <w:t>Englewood Cliffs</w:t>
      </w:r>
      <w:r w:rsidRPr="00DD124B">
        <w:t> (1977).</w:t>
      </w:r>
    </w:p>
    <w:p w14:paraId="0A27B740" w14:textId="77777777" w:rsidR="00A974F1" w:rsidRDefault="00A974F1" w:rsidP="00A974F1">
      <w:pPr>
        <w:spacing w:line="360" w:lineRule="auto"/>
        <w:jc w:val="both"/>
      </w:pPr>
      <w:r>
        <w:t>Benyon, J., 1984. The riots: perceptions and distortions. In </w:t>
      </w:r>
      <w:r>
        <w:rPr>
          <w:i/>
          <w:iCs/>
        </w:rPr>
        <w:t>Scarman and after</w:t>
      </w:r>
      <w:r>
        <w:t> (pp. 37-45). Pergamon.</w:t>
      </w:r>
    </w:p>
    <w:p w14:paraId="30ADC7E6" w14:textId="77777777" w:rsidR="00A974F1" w:rsidRDefault="00A974F1" w:rsidP="00A974F1">
      <w:pPr>
        <w:spacing w:line="360" w:lineRule="auto"/>
        <w:jc w:val="both"/>
      </w:pPr>
      <w:r w:rsidRPr="0049661D">
        <w:t xml:space="preserve">Bouchard, M., &amp; Tremblay, P. (2005). Risks of arrest across criminal careers: A longitudinal study of street gang members. </w:t>
      </w:r>
      <w:r w:rsidRPr="0049661D">
        <w:rPr>
          <w:i/>
          <w:iCs/>
        </w:rPr>
        <w:t>Criminology</w:t>
      </w:r>
      <w:r w:rsidRPr="0049661D">
        <w:t>, 43(2), 317-353.</w:t>
      </w:r>
    </w:p>
    <w:p w14:paraId="15DA9E7F" w14:textId="77777777" w:rsidR="00A974F1" w:rsidRDefault="00A974F1" w:rsidP="00A974F1">
      <w:pPr>
        <w:spacing w:line="360" w:lineRule="auto"/>
        <w:jc w:val="both"/>
      </w:pPr>
      <w:r w:rsidRPr="00065308">
        <w:t xml:space="preserve">Browne, A. (2015). </w:t>
      </w:r>
      <w:r w:rsidRPr="00065308">
        <w:rPr>
          <w:i/>
          <w:iCs/>
        </w:rPr>
        <w:t>Exploitation and Mental Health: The Impact of Organized Crime on Vulnerable Populations</w:t>
      </w:r>
      <w:r w:rsidRPr="00065308">
        <w:t>. Oxford University Press.</w:t>
      </w:r>
    </w:p>
    <w:p w14:paraId="7EFF1CBD" w14:textId="77777777" w:rsidR="00A974F1" w:rsidRDefault="00A974F1" w:rsidP="00A974F1">
      <w:pPr>
        <w:spacing w:line="360" w:lineRule="auto"/>
        <w:jc w:val="both"/>
      </w:pPr>
      <w:r>
        <w:t>College of Policing (2020) Positive Action</w:t>
      </w:r>
      <w:r>
        <w:rPr>
          <w:i/>
          <w:iCs/>
        </w:rPr>
        <w:t>. A guide for Police recruitment</w:t>
      </w:r>
      <w:r>
        <w:t xml:space="preserve"> [online] Available from: </w:t>
      </w:r>
      <w:hyperlink r:id="rId6" w:history="1">
        <w:r>
          <w:rPr>
            <w:rStyle w:val="Hyperlink"/>
          </w:rPr>
          <w:t>Positive-Action-Guidance-2020.pdf (college.police.uk)</w:t>
        </w:r>
      </w:hyperlink>
      <w:r>
        <w:t xml:space="preserve"> (Last accessed 30/08/24)</w:t>
      </w:r>
    </w:p>
    <w:p w14:paraId="1BFE7E1E" w14:textId="77777777" w:rsidR="00A974F1" w:rsidRDefault="00A974F1">
      <w:r>
        <w:t xml:space="preserve">College of Policing (2022) Prevention and Early Intervention [online] Available from: </w:t>
      </w:r>
      <w:hyperlink r:id="rId7" w:history="1">
        <w:r>
          <w:rPr>
            <w:rStyle w:val="Hyperlink"/>
          </w:rPr>
          <w:t>Prevention and early intervention | College of Policing</w:t>
        </w:r>
      </w:hyperlink>
      <w:r>
        <w:t xml:space="preserve"> (Last accessed 05/09/24)</w:t>
      </w:r>
    </w:p>
    <w:p w14:paraId="0D38F754" w14:textId="77777777" w:rsidR="00A974F1" w:rsidRDefault="00A974F1" w:rsidP="00A974F1">
      <w:pPr>
        <w:spacing w:line="360" w:lineRule="auto"/>
        <w:jc w:val="both"/>
      </w:pPr>
      <w:r>
        <w:t xml:space="preserve">College of Policing (2024) Diversity and inclusion [online] Available from: </w:t>
      </w:r>
      <w:hyperlink r:id="rId8" w:history="1">
        <w:r>
          <w:rPr>
            <w:rStyle w:val="Hyperlink"/>
          </w:rPr>
          <w:t>Diversity and inclusion | College of Policing</w:t>
        </w:r>
      </w:hyperlink>
      <w:r>
        <w:t xml:space="preserve"> (Last accessed 01/09/24)</w:t>
      </w:r>
    </w:p>
    <w:p w14:paraId="5D750E5B" w14:textId="77777777" w:rsidR="00A974F1" w:rsidRDefault="00A974F1" w:rsidP="00A974F1">
      <w:pPr>
        <w:spacing w:line="360" w:lineRule="auto"/>
        <w:jc w:val="both"/>
      </w:pPr>
      <w:r>
        <w:t>Drew, J.M. and Williamson, H., 2024. Trauma, Critical Incidents, Organizational and Operational Stressors: The Relationship Between Harms and Psychological Outcomes for Police. </w:t>
      </w:r>
      <w:r>
        <w:rPr>
          <w:i/>
          <w:iCs/>
        </w:rPr>
        <w:t>Police Quarterly</w:t>
      </w:r>
      <w:r>
        <w:t>, p.10986111241275048.z</w:t>
      </w:r>
    </w:p>
    <w:p w14:paraId="6EB4A5C7" w14:textId="77777777" w:rsidR="00A974F1" w:rsidRPr="00A96959" w:rsidRDefault="00A974F1" w:rsidP="00A974F1">
      <w:pPr>
        <w:spacing w:line="360" w:lineRule="auto"/>
        <w:jc w:val="both"/>
      </w:pPr>
      <w:r>
        <w:t xml:space="preserve">Equality and Human Rights Commission (2022) </w:t>
      </w:r>
      <w:r w:rsidRPr="00A96959">
        <w:t>The Public Sector Equality Duty (PSED)</w:t>
      </w:r>
      <w:r>
        <w:t xml:space="preserve"> [online] Available from: </w:t>
      </w:r>
      <w:hyperlink r:id="rId9" w:history="1">
        <w:r w:rsidRPr="00A96959">
          <w:rPr>
            <w:rStyle w:val="Hyperlink"/>
          </w:rPr>
          <w:t>The Public Sector Equality Duty (PSED) | EHRC (equalityhumanrights.com)</w:t>
        </w:r>
      </w:hyperlink>
      <w:r>
        <w:t xml:space="preserve"> (last accessed 15/08/24</w:t>
      </w:r>
    </w:p>
    <w:p w14:paraId="2348B2A3" w14:textId="77777777" w:rsidR="00A974F1" w:rsidRDefault="00A974F1" w:rsidP="00A974F1">
      <w:pPr>
        <w:spacing w:line="360" w:lineRule="auto"/>
        <w:jc w:val="both"/>
      </w:pPr>
      <w:r>
        <w:t>Gold, J. (2022) ‘Improving community relations in the police through procedural justice – an action learning initiative’, </w:t>
      </w:r>
      <w:r>
        <w:rPr>
          <w:i/>
          <w:iCs/>
        </w:rPr>
        <w:t>Action Learning: Research and Practice</w:t>
      </w:r>
      <w:r>
        <w:t>, 19(3), pp. 230–247. doi: 10.1080/14767333.2022.2129586.</w:t>
      </w:r>
    </w:p>
    <w:p w14:paraId="36F9EE0F" w14:textId="77777777" w:rsidR="00A974F1" w:rsidRDefault="00A974F1" w:rsidP="00A974F1">
      <w:pPr>
        <w:spacing w:line="360" w:lineRule="auto"/>
        <w:jc w:val="both"/>
      </w:pPr>
      <w:r>
        <w:t xml:space="preserve">GOV.UK (2023) Police Workforce [online] Available from: </w:t>
      </w:r>
      <w:hyperlink r:id="rId10" w:history="1">
        <w:r>
          <w:rPr>
            <w:rStyle w:val="Hyperlink"/>
          </w:rPr>
          <w:t>Police workforce - GOV.UK Ethnicity facts and figures (ethnicity-facts-figures.service.gov.uk)</w:t>
        </w:r>
      </w:hyperlink>
      <w:r>
        <w:t xml:space="preserve"> (Last accessed 19/08/24)</w:t>
      </w:r>
    </w:p>
    <w:p w14:paraId="2D2E7CEF" w14:textId="77777777" w:rsidR="00A974F1" w:rsidRDefault="00A974F1" w:rsidP="00A974F1">
      <w:pPr>
        <w:spacing w:line="360" w:lineRule="auto"/>
        <w:jc w:val="both"/>
      </w:pPr>
      <w:r>
        <w:t>Hamerton, C., 2024. The Equality Act 2010: evaluating the evolution and development of organisational strategy and professional practice. </w:t>
      </w:r>
      <w:r>
        <w:rPr>
          <w:i/>
          <w:iCs/>
        </w:rPr>
        <w:t>Strategic HR Review</w:t>
      </w:r>
      <w:r>
        <w:t>.</w:t>
      </w:r>
    </w:p>
    <w:p w14:paraId="6B7B9B3D" w14:textId="77777777" w:rsidR="00A974F1" w:rsidRDefault="00A974F1" w:rsidP="00A974F1">
      <w:r>
        <w:t xml:space="preserve">HMICFRS (2022) Blue Light Wellbeing Framework (BLWF) [Online] Available from: </w:t>
      </w:r>
      <w:hyperlink r:id="rId11" w:history="1">
        <w:r>
          <w:rPr>
            <w:rStyle w:val="Hyperlink"/>
          </w:rPr>
          <w:t>Blue Light Wellbeing Framework (BLWF) - His Majesty’s Inspectorate of Constabulary and Fire &amp; Rescue Services (justiceinspectorates.gov.uk)</w:t>
        </w:r>
      </w:hyperlink>
      <w:r>
        <w:t xml:space="preserve"> (Last accessed 28/08/24)</w:t>
      </w:r>
    </w:p>
    <w:p w14:paraId="7FFF58C2" w14:textId="35AC3006" w:rsidR="00A974F1" w:rsidRDefault="00A974F1" w:rsidP="00A974F1">
      <w:pPr>
        <w:spacing w:line="360" w:lineRule="auto"/>
        <w:jc w:val="both"/>
      </w:pPr>
      <w:r>
        <w:lastRenderedPageBreak/>
        <w:t>Home Office (2020) Police Workforce England and Wales as at 31 March 2020 second edition [online]Available at: </w:t>
      </w:r>
      <w:hyperlink r:id="rId12" w:history="1">
        <w:r>
          <w:rPr>
            <w:rStyle w:val="Hyperlink"/>
          </w:rPr>
          <w:t>https://assetspublishingservicegovuk/government/uploads/system/uploads/attachment_data/file/955182/police-workforce-mar20-hosb2020pdf</w:t>
        </w:r>
      </w:hyperlink>
      <w:r>
        <w:t xml:space="preserve"> (Last accessed 04/08/2024)</w:t>
      </w:r>
    </w:p>
    <w:p w14:paraId="01FD165F" w14:textId="77777777" w:rsidR="00A974F1" w:rsidRDefault="00A974F1">
      <w:r w:rsidRPr="00B3289A">
        <w:t xml:space="preserve">Hutchison, E.D. (2011). Life Course Theory. In: Levesque, R.J.R. (eds) Encyclopaedia of Adolescence. Springer, New York, NY. </w:t>
      </w:r>
      <w:hyperlink r:id="rId13" w:history="1">
        <w:r w:rsidRPr="00EC3BA8">
          <w:rPr>
            <w:rStyle w:val="Hyperlink"/>
          </w:rPr>
          <w:t>https://doi.org/10.1007/978-1-4419-1695-2_13</w:t>
        </w:r>
      </w:hyperlink>
    </w:p>
    <w:p w14:paraId="654FF2C8" w14:textId="77777777" w:rsidR="00A974F1" w:rsidRDefault="00A974F1">
      <w:r>
        <w:t xml:space="preserve">Justice Committee (2022) Court Capacity. </w:t>
      </w:r>
      <w:r>
        <w:rPr>
          <w:i/>
          <w:iCs/>
        </w:rPr>
        <w:t xml:space="preserve">Sixth report of session 2021-22 </w:t>
      </w:r>
      <w:r>
        <w:t xml:space="preserve">[online] Available from: </w:t>
      </w:r>
      <w:hyperlink r:id="rId14" w:history="1">
        <w:r w:rsidRPr="004B1E9C">
          <w:rPr>
            <w:rStyle w:val="Hyperlink"/>
          </w:rPr>
          <w:t>Court Capacity (parliament.uk)</w:t>
        </w:r>
      </w:hyperlink>
      <w:r>
        <w:t xml:space="preserve"> (Last accessed 05/09/24)</w:t>
      </w:r>
    </w:p>
    <w:p w14:paraId="4721CC4F" w14:textId="77777777" w:rsidR="00A974F1" w:rsidRDefault="00A974F1" w:rsidP="00A974F1">
      <w:r w:rsidRPr="00BF770E">
        <w:t>Lewis, N., 1975. Health and Safety at Work Act 1974. </w:t>
      </w:r>
      <w:r w:rsidRPr="00BF770E">
        <w:rPr>
          <w:i/>
          <w:iCs/>
        </w:rPr>
        <w:t>The Modern Law Review</w:t>
      </w:r>
      <w:r w:rsidRPr="00BF770E">
        <w:t>, </w:t>
      </w:r>
      <w:r w:rsidRPr="00BF770E">
        <w:rPr>
          <w:i/>
          <w:iCs/>
        </w:rPr>
        <w:t>38</w:t>
      </w:r>
      <w:r w:rsidRPr="00BF770E">
        <w:t>(4), pp.442-448.</w:t>
      </w:r>
    </w:p>
    <w:p w14:paraId="76A7C185" w14:textId="77777777" w:rsidR="00A974F1" w:rsidRDefault="00A974F1" w:rsidP="00A974F1">
      <w:pPr>
        <w:spacing w:line="360" w:lineRule="auto"/>
        <w:jc w:val="both"/>
      </w:pPr>
      <w:r w:rsidRPr="00065308">
        <w:t xml:space="preserve">McKibbin, C., et al. (2010). Vulnerability to exploitation in adults with cognitive impairments. </w:t>
      </w:r>
      <w:r w:rsidRPr="00065308">
        <w:rPr>
          <w:i/>
          <w:iCs/>
        </w:rPr>
        <w:t>Psychiatry, Psychology, and Law</w:t>
      </w:r>
      <w:r w:rsidRPr="00065308">
        <w:t>, 17(3), 431-442.</w:t>
      </w:r>
    </w:p>
    <w:p w14:paraId="1CB80ED1" w14:textId="77777777" w:rsidR="00A974F1" w:rsidRDefault="00A974F1" w:rsidP="00A974F1">
      <w:pPr>
        <w:spacing w:line="360" w:lineRule="auto"/>
        <w:jc w:val="both"/>
      </w:pPr>
      <w:r>
        <w:t>Miller, J.K., Peart, A. and Soffia, M., 2020. Can police be trained in trauma processing to minimise PTSD symptoms? Feasibility and proof of concept with a newly recruited UK police population. </w:t>
      </w:r>
      <w:r>
        <w:rPr>
          <w:i/>
          <w:iCs/>
        </w:rPr>
        <w:t>The Police Journal</w:t>
      </w:r>
      <w:r>
        <w:t>, </w:t>
      </w:r>
      <w:r>
        <w:rPr>
          <w:i/>
          <w:iCs/>
        </w:rPr>
        <w:t>93</w:t>
      </w:r>
      <w:r>
        <w:t>(4), pp.310-331.</w:t>
      </w:r>
    </w:p>
    <w:p w14:paraId="5C1D395F" w14:textId="77777777" w:rsidR="00A974F1" w:rsidRDefault="00A974F1" w:rsidP="00A974F1">
      <w:pPr>
        <w:spacing w:line="360" w:lineRule="auto"/>
        <w:jc w:val="both"/>
      </w:pPr>
      <w:r>
        <w:t>Phythian, R., Birdsall, N., Kirby, S., Cooper, E., Posner, Z. and Boulton, L., 2022. Developments in UK police wellbeing: A review of blue light wellbeing frameworks. The Police Journal, 95(1), pp.24-49.</w:t>
      </w:r>
    </w:p>
    <w:p w14:paraId="682EDC5B" w14:textId="77777777" w:rsidR="00A974F1" w:rsidRDefault="00A974F1" w:rsidP="00A974F1">
      <w:pPr>
        <w:spacing w:line="360" w:lineRule="auto"/>
        <w:jc w:val="both"/>
      </w:pPr>
      <w:r>
        <w:t>Phythian, R., Birdsall, N., Kirby, S., Cooper, E., Posner, Z. and Boulton, L., 2023. Organisational and individual perspectives of police wellbeing in England and Wales. </w:t>
      </w:r>
      <w:r>
        <w:rPr>
          <w:i/>
          <w:iCs/>
        </w:rPr>
        <w:t>The Police Journal</w:t>
      </w:r>
      <w:r>
        <w:t>, </w:t>
      </w:r>
      <w:r>
        <w:rPr>
          <w:i/>
          <w:iCs/>
        </w:rPr>
        <w:t>96</w:t>
      </w:r>
      <w:r>
        <w:t>(1), pp.128-152.</w:t>
      </w:r>
    </w:p>
    <w:p w14:paraId="68C89002" w14:textId="77777777" w:rsidR="00A974F1" w:rsidRDefault="00A974F1" w:rsidP="00A974F1">
      <w:pPr>
        <w:spacing w:line="360" w:lineRule="auto"/>
        <w:jc w:val="both"/>
      </w:pPr>
      <w:r>
        <w:t>Pickles, J., 2022. Diversity in the criminal justice system. In </w:t>
      </w:r>
      <w:r>
        <w:rPr>
          <w:i/>
          <w:iCs/>
        </w:rPr>
        <w:t>Challenges in Criminal Justice</w:t>
      </w:r>
      <w:r>
        <w:t> (pp. 121-140). Routledge.</w:t>
      </w:r>
    </w:p>
    <w:p w14:paraId="71498DB7" w14:textId="77777777" w:rsidR="00A974F1" w:rsidRDefault="00A974F1" w:rsidP="00A974F1">
      <w:pPr>
        <w:spacing w:line="360" w:lineRule="auto"/>
        <w:jc w:val="both"/>
      </w:pPr>
      <w:r>
        <w:t>Police Care, U.K., 2019. Policing: the job &amp; the life.</w:t>
      </w:r>
    </w:p>
    <w:p w14:paraId="2DCEA263" w14:textId="77777777" w:rsidR="00A974F1" w:rsidRDefault="00A974F1" w:rsidP="00A974F1">
      <w:pPr>
        <w:spacing w:line="360" w:lineRule="auto"/>
        <w:jc w:val="both"/>
      </w:pPr>
      <w:r>
        <w:t>Rowe, M., 2002. Policing diversity: Themes and concerns from the recent British experience. </w:t>
      </w:r>
      <w:r>
        <w:rPr>
          <w:i/>
          <w:iCs/>
        </w:rPr>
        <w:t>Police Quarterly</w:t>
      </w:r>
      <w:r>
        <w:t>, </w:t>
      </w:r>
      <w:r>
        <w:rPr>
          <w:i/>
          <w:iCs/>
        </w:rPr>
        <w:t>5</w:t>
      </w:r>
      <w:r>
        <w:t>(4), pp.424-446.</w:t>
      </w:r>
    </w:p>
    <w:p w14:paraId="6B388202" w14:textId="77777777" w:rsidR="00A974F1" w:rsidRDefault="00A974F1">
      <w:r w:rsidRPr="00B3289A">
        <w:t xml:space="preserve">Rumjaun, A., Narod, F. (2020). Social Learning Theory—Albert Bandura. In: Akpan, B., Kennedy, T.J. (eds) Science Education in Theory and Practice. Springer Texts in Education. Springer, Cham. </w:t>
      </w:r>
      <w:hyperlink r:id="rId15" w:history="1">
        <w:r w:rsidRPr="00EC3BA8">
          <w:rPr>
            <w:rStyle w:val="Hyperlink"/>
          </w:rPr>
          <w:t>https://doi.org/10.1007/978-3-030-43620-9_7</w:t>
        </w:r>
      </w:hyperlink>
      <w:r>
        <w:t xml:space="preserve"> </w:t>
      </w:r>
    </w:p>
    <w:p w14:paraId="71E082F4" w14:textId="77777777" w:rsidR="00A974F1" w:rsidRDefault="00A974F1" w:rsidP="00A974F1">
      <w:pPr>
        <w:spacing w:line="360" w:lineRule="auto"/>
        <w:jc w:val="both"/>
      </w:pPr>
      <w:r w:rsidRPr="0049661D">
        <w:t xml:space="preserve">Shelley, L. (2010). </w:t>
      </w:r>
      <w:r w:rsidRPr="0049661D">
        <w:rPr>
          <w:i/>
          <w:iCs/>
        </w:rPr>
        <w:t>Human Trafficking: A Global Perspective</w:t>
      </w:r>
      <w:r w:rsidRPr="0049661D">
        <w:t>. Cambridge University Press.</w:t>
      </w:r>
    </w:p>
    <w:p w14:paraId="4D0CD123" w14:textId="77777777" w:rsidR="00A974F1" w:rsidRDefault="00A974F1">
      <w:r w:rsidRPr="0056759B">
        <w:t>Smith, R. and Gray, P., 2019. The changing shape of youth justice: Models of practice. </w:t>
      </w:r>
      <w:r w:rsidRPr="0056759B">
        <w:rPr>
          <w:i/>
          <w:iCs/>
        </w:rPr>
        <w:t>Criminology &amp; Criminal Justice</w:t>
      </w:r>
      <w:r w:rsidRPr="0056759B">
        <w:t>, </w:t>
      </w:r>
      <w:r w:rsidRPr="0056759B">
        <w:rPr>
          <w:i/>
          <w:iCs/>
        </w:rPr>
        <w:t>19</w:t>
      </w:r>
      <w:r w:rsidRPr="0056759B">
        <w:t>(5), pp.554-571.</w:t>
      </w:r>
    </w:p>
    <w:p w14:paraId="7FC00759" w14:textId="77777777" w:rsidR="00A974F1" w:rsidRDefault="00A974F1" w:rsidP="00A974F1">
      <w:pPr>
        <w:spacing w:line="360" w:lineRule="auto"/>
        <w:jc w:val="both"/>
      </w:pPr>
      <w:r>
        <w:lastRenderedPageBreak/>
        <w:t>Souhami, A., 2013. Understanding institutional racism: The Stephen Lawrence Inquiry and the police service reaction. In </w:t>
      </w:r>
      <w:r>
        <w:rPr>
          <w:i/>
          <w:iCs/>
        </w:rPr>
        <w:t>Policing Beyond Macpherson</w:t>
      </w:r>
      <w:r>
        <w:t> (pp. 66-87). Willan.</w:t>
      </w:r>
    </w:p>
    <w:p w14:paraId="04E6E728" w14:textId="77777777" w:rsidR="00A974F1" w:rsidRDefault="00A974F1" w:rsidP="00A974F1">
      <w:pPr>
        <w:spacing w:line="360" w:lineRule="auto"/>
        <w:jc w:val="both"/>
      </w:pPr>
      <w:r>
        <w:t xml:space="preserve">UK Parliament (2021) </w:t>
      </w:r>
      <w:r w:rsidRPr="00A96959">
        <w:t>The Macpherson Report: Twenty-two years on</w:t>
      </w:r>
      <w:r>
        <w:t xml:space="preserve"> [online] Available from: </w:t>
      </w:r>
      <w:hyperlink r:id="rId16" w:history="1">
        <w:r w:rsidRPr="00FA02F0">
          <w:rPr>
            <w:rStyle w:val="Hyperlink"/>
          </w:rPr>
          <w:t>The Macpherson Report: Twenty-two years on - Home Affairs Committee - House of Commons (parliament.uk)</w:t>
        </w:r>
      </w:hyperlink>
      <w:r>
        <w:t xml:space="preserve"> (Last accessed 15/08/24)</w:t>
      </w:r>
    </w:p>
    <w:p w14:paraId="293EACE5" w14:textId="77777777" w:rsidR="00A974F1" w:rsidRDefault="00A974F1">
      <w:r w:rsidRPr="004B1E9C">
        <w:t xml:space="preserve">University of Oxford, Centre for Criminology. (2019). </w:t>
      </w:r>
      <w:r w:rsidRPr="004B1E9C">
        <w:rPr>
          <w:i/>
          <w:iCs/>
        </w:rPr>
        <w:t>Early Intervention and Youth Offending: A Review of the Evidence</w:t>
      </w:r>
      <w:r w:rsidRPr="004B1E9C">
        <w:t>.</w:t>
      </w:r>
    </w:p>
    <w:p w14:paraId="647B8BFB" w14:textId="77777777" w:rsidR="00A974F1" w:rsidRDefault="00A974F1" w:rsidP="00A974F1">
      <w:r w:rsidRPr="005E2E20">
        <w:t xml:space="preserve">UNODC. (2020). </w:t>
      </w:r>
      <w:r w:rsidRPr="005E2E20">
        <w:rPr>
          <w:i/>
          <w:iCs/>
        </w:rPr>
        <w:t>Global Report on Trafficking in Persons</w:t>
      </w:r>
      <w:r w:rsidRPr="005E2E20">
        <w:t>. United Nations Office on Drugs and Crime.</w:t>
      </w:r>
    </w:p>
    <w:p w14:paraId="72B5FE43" w14:textId="77777777" w:rsidR="00A974F1" w:rsidRDefault="00A974F1" w:rsidP="00A974F1">
      <w:r w:rsidRPr="00B35396">
        <w:t xml:space="preserve">Violanti, J. (2022). Police Suicide: The Hidden Danger. In: Johnson, O., Papazoglou, K., Violanti, J., Pascarella, J. (eds) Practical Considerations for Preventing Police Suicide. Springer, Cham. </w:t>
      </w:r>
      <w:hyperlink r:id="rId17" w:history="1">
        <w:r w:rsidRPr="00EC3BA8">
          <w:rPr>
            <w:rStyle w:val="Hyperlink"/>
          </w:rPr>
          <w:t>https://doi.org/10.1007/978-3-030-83974-1_3</w:t>
        </w:r>
      </w:hyperlink>
      <w:r>
        <w:t xml:space="preserve"> </w:t>
      </w:r>
    </w:p>
    <w:p w14:paraId="4AE847A0" w14:textId="77777777" w:rsidR="00A974F1" w:rsidRDefault="00A974F1" w:rsidP="00A974F1">
      <w:r w:rsidRPr="005E2E20">
        <w:t xml:space="preserve">Youngers, C. A., &amp; Rosin, E. (2005). </w:t>
      </w:r>
      <w:r w:rsidRPr="005E2E20">
        <w:rPr>
          <w:i/>
          <w:iCs/>
        </w:rPr>
        <w:t>Drugs and Democracy in Latin America: The Impact of U.S. Policy</w:t>
      </w:r>
      <w:r w:rsidRPr="005E2E20">
        <w:t>. Lynne Rienner Publishers</w:t>
      </w:r>
    </w:p>
    <w:sectPr w:rsidR="00A974F1">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BD5835C" w14:textId="77777777" w:rsidR="0049661D" w:rsidRDefault="0049661D">
      <w:pPr>
        <w:spacing w:after="0" w:line="240" w:lineRule="auto"/>
      </w:pPr>
      <w:r>
        <w:separator/>
      </w:r>
    </w:p>
  </w:endnote>
  <w:endnote w:type="continuationSeparator" w:id="0">
    <w:p w14:paraId="0C8B44FB" w14:textId="77777777" w:rsidR="0049661D" w:rsidRDefault="004966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D9450F1" w14:textId="77777777" w:rsidR="0049661D" w:rsidRDefault="0049661D">
      <w:pPr>
        <w:spacing w:after="0" w:line="240" w:lineRule="auto"/>
      </w:pPr>
      <w:r>
        <w:rPr>
          <w:color w:val="000000"/>
        </w:rPr>
        <w:separator/>
      </w:r>
    </w:p>
  </w:footnote>
  <w:footnote w:type="continuationSeparator" w:id="0">
    <w:p w14:paraId="7A1DACF8" w14:textId="77777777" w:rsidR="0049661D" w:rsidRDefault="0049661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3"/>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1107B"/>
    <w:rsid w:val="000416F9"/>
    <w:rsid w:val="00047954"/>
    <w:rsid w:val="00065308"/>
    <w:rsid w:val="000F2972"/>
    <w:rsid w:val="00104903"/>
    <w:rsid w:val="001819E9"/>
    <w:rsid w:val="00186BAC"/>
    <w:rsid w:val="00204F9B"/>
    <w:rsid w:val="0022040A"/>
    <w:rsid w:val="00296910"/>
    <w:rsid w:val="003135FD"/>
    <w:rsid w:val="00355076"/>
    <w:rsid w:val="003B553A"/>
    <w:rsid w:val="003E11DC"/>
    <w:rsid w:val="00491198"/>
    <w:rsid w:val="0049661D"/>
    <w:rsid w:val="004B1E9C"/>
    <w:rsid w:val="004B71C9"/>
    <w:rsid w:val="0056759B"/>
    <w:rsid w:val="00573D8B"/>
    <w:rsid w:val="005E12B2"/>
    <w:rsid w:val="005E2E20"/>
    <w:rsid w:val="006876D5"/>
    <w:rsid w:val="006C1109"/>
    <w:rsid w:val="007D373E"/>
    <w:rsid w:val="007D78D9"/>
    <w:rsid w:val="007E77E1"/>
    <w:rsid w:val="008037AB"/>
    <w:rsid w:val="0081107B"/>
    <w:rsid w:val="00846E8D"/>
    <w:rsid w:val="0087519F"/>
    <w:rsid w:val="00882DB5"/>
    <w:rsid w:val="00886081"/>
    <w:rsid w:val="008A23BD"/>
    <w:rsid w:val="009163F5"/>
    <w:rsid w:val="00916560"/>
    <w:rsid w:val="0093128F"/>
    <w:rsid w:val="00A96959"/>
    <w:rsid w:val="00A974F1"/>
    <w:rsid w:val="00B3289A"/>
    <w:rsid w:val="00B35396"/>
    <w:rsid w:val="00B64EE3"/>
    <w:rsid w:val="00BF134B"/>
    <w:rsid w:val="00BF770E"/>
    <w:rsid w:val="00C06822"/>
    <w:rsid w:val="00C76D52"/>
    <w:rsid w:val="00CB6937"/>
    <w:rsid w:val="00D2197C"/>
    <w:rsid w:val="00DD124B"/>
    <w:rsid w:val="00E007BF"/>
    <w:rsid w:val="00E30519"/>
    <w:rsid w:val="00E41012"/>
    <w:rsid w:val="00E42552"/>
    <w:rsid w:val="00E97ECC"/>
    <w:rsid w:val="00F228D9"/>
    <w:rsid w:val="00F93EEF"/>
    <w:rsid w:val="00FA02F0"/>
    <w:rsid w:val="00FB2B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F905CB"/>
  <w15:docId w15:val="{0648B3F0-783B-48AF-823E-63B2131A74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ptos" w:eastAsia="Aptos" w:hAnsi="Aptos" w:cs="Times New Roman"/>
        <w:kern w:val="3"/>
        <w:sz w:val="22"/>
        <w:szCs w:val="22"/>
        <w:lang w:val="en-GB" w:eastAsia="en-US" w:bidi="ar-SA"/>
      </w:rPr>
    </w:rPrDefault>
    <w:pPrDefault>
      <w:pPr>
        <w:autoSpaceDN w:val="0"/>
        <w:spacing w:after="160" w:line="24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character" w:styleId="Hyperlink">
    <w:name w:val="Hyperlink"/>
    <w:basedOn w:val="DefaultParagraphFont"/>
    <w:rPr>
      <w:color w:val="467886"/>
      <w:u w:val="single"/>
    </w:rPr>
  </w:style>
  <w:style w:type="character" w:styleId="UnresolvedMention">
    <w:name w:val="Unresolved Mention"/>
    <w:basedOn w:val="DefaultParagraphFont"/>
    <w:rPr>
      <w:color w:val="605E5C"/>
      <w:shd w:val="clear" w:color="auto" w:fill="E1DFDD"/>
    </w:rPr>
  </w:style>
  <w:style w:type="paragraph" w:customStyle="1" w:styleId="paragraph">
    <w:name w:val="paragraph"/>
    <w:basedOn w:val="Normal"/>
    <w:rsid w:val="00065308"/>
    <w:pPr>
      <w:suppressAutoHyphens w:val="0"/>
      <w:autoSpaceDN/>
      <w:spacing w:before="100" w:beforeAutospacing="1" w:after="100" w:afterAutospacing="1" w:line="240" w:lineRule="auto"/>
    </w:pPr>
    <w:rPr>
      <w:rFonts w:ascii="Times New Roman" w:eastAsia="Times New Roman" w:hAnsi="Times New Roman"/>
      <w:kern w:val="0"/>
      <w:sz w:val="24"/>
      <w:szCs w:val="24"/>
      <w:lang w:eastAsia="zh-TW"/>
    </w:rPr>
  </w:style>
  <w:style w:type="paragraph" w:styleId="NormalWeb">
    <w:name w:val="Normal (Web)"/>
    <w:basedOn w:val="Normal"/>
    <w:uiPriority w:val="99"/>
    <w:semiHidden/>
    <w:unhideWhenUsed/>
    <w:rsid w:val="0049661D"/>
    <w:rPr>
      <w:rFonts w:ascii="Times New Roman" w:hAnsi="Times New Roman"/>
      <w:sz w:val="24"/>
      <w:szCs w:val="24"/>
    </w:rPr>
  </w:style>
  <w:style w:type="paragraph" w:styleId="Header">
    <w:name w:val="header"/>
    <w:basedOn w:val="Normal"/>
    <w:link w:val="HeaderChar"/>
    <w:uiPriority w:val="99"/>
    <w:unhideWhenUsed/>
    <w:rsid w:val="00B353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5396"/>
  </w:style>
  <w:style w:type="paragraph" w:styleId="Footer">
    <w:name w:val="footer"/>
    <w:basedOn w:val="Normal"/>
    <w:link w:val="FooterChar"/>
    <w:uiPriority w:val="99"/>
    <w:unhideWhenUsed/>
    <w:rsid w:val="00B353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53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9089489">
      <w:bodyDiv w:val="1"/>
      <w:marLeft w:val="0"/>
      <w:marRight w:val="0"/>
      <w:marTop w:val="0"/>
      <w:marBottom w:val="0"/>
      <w:divBdr>
        <w:top w:val="none" w:sz="0" w:space="0" w:color="auto"/>
        <w:left w:val="none" w:sz="0" w:space="0" w:color="auto"/>
        <w:bottom w:val="none" w:sz="0" w:space="0" w:color="auto"/>
        <w:right w:val="none" w:sz="0" w:space="0" w:color="auto"/>
      </w:divBdr>
    </w:div>
    <w:div w:id="130826512">
      <w:bodyDiv w:val="1"/>
      <w:marLeft w:val="0"/>
      <w:marRight w:val="0"/>
      <w:marTop w:val="0"/>
      <w:marBottom w:val="0"/>
      <w:divBdr>
        <w:top w:val="none" w:sz="0" w:space="0" w:color="auto"/>
        <w:left w:val="none" w:sz="0" w:space="0" w:color="auto"/>
        <w:bottom w:val="none" w:sz="0" w:space="0" w:color="auto"/>
        <w:right w:val="none" w:sz="0" w:space="0" w:color="auto"/>
      </w:divBdr>
    </w:div>
    <w:div w:id="292444724">
      <w:bodyDiv w:val="1"/>
      <w:marLeft w:val="0"/>
      <w:marRight w:val="0"/>
      <w:marTop w:val="0"/>
      <w:marBottom w:val="0"/>
      <w:divBdr>
        <w:top w:val="none" w:sz="0" w:space="0" w:color="auto"/>
        <w:left w:val="none" w:sz="0" w:space="0" w:color="auto"/>
        <w:bottom w:val="none" w:sz="0" w:space="0" w:color="auto"/>
        <w:right w:val="none" w:sz="0" w:space="0" w:color="auto"/>
      </w:divBdr>
    </w:div>
    <w:div w:id="899439013">
      <w:bodyDiv w:val="1"/>
      <w:marLeft w:val="0"/>
      <w:marRight w:val="0"/>
      <w:marTop w:val="0"/>
      <w:marBottom w:val="0"/>
      <w:divBdr>
        <w:top w:val="none" w:sz="0" w:space="0" w:color="auto"/>
        <w:left w:val="none" w:sz="0" w:space="0" w:color="auto"/>
        <w:bottom w:val="none" w:sz="0" w:space="0" w:color="auto"/>
        <w:right w:val="none" w:sz="0" w:space="0" w:color="auto"/>
      </w:divBdr>
    </w:div>
    <w:div w:id="1017391069">
      <w:bodyDiv w:val="1"/>
      <w:marLeft w:val="0"/>
      <w:marRight w:val="0"/>
      <w:marTop w:val="0"/>
      <w:marBottom w:val="0"/>
      <w:divBdr>
        <w:top w:val="none" w:sz="0" w:space="0" w:color="auto"/>
        <w:left w:val="none" w:sz="0" w:space="0" w:color="auto"/>
        <w:bottom w:val="none" w:sz="0" w:space="0" w:color="auto"/>
        <w:right w:val="none" w:sz="0" w:space="0" w:color="auto"/>
      </w:divBdr>
    </w:div>
    <w:div w:id="1173186833">
      <w:bodyDiv w:val="1"/>
      <w:marLeft w:val="0"/>
      <w:marRight w:val="0"/>
      <w:marTop w:val="0"/>
      <w:marBottom w:val="0"/>
      <w:divBdr>
        <w:top w:val="none" w:sz="0" w:space="0" w:color="auto"/>
        <w:left w:val="none" w:sz="0" w:space="0" w:color="auto"/>
        <w:bottom w:val="none" w:sz="0" w:space="0" w:color="auto"/>
        <w:right w:val="none" w:sz="0" w:space="0" w:color="auto"/>
      </w:divBdr>
    </w:div>
    <w:div w:id="1321696968">
      <w:bodyDiv w:val="1"/>
      <w:marLeft w:val="0"/>
      <w:marRight w:val="0"/>
      <w:marTop w:val="0"/>
      <w:marBottom w:val="0"/>
      <w:divBdr>
        <w:top w:val="none" w:sz="0" w:space="0" w:color="auto"/>
        <w:left w:val="none" w:sz="0" w:space="0" w:color="auto"/>
        <w:bottom w:val="none" w:sz="0" w:space="0" w:color="auto"/>
        <w:right w:val="none" w:sz="0" w:space="0" w:color="auto"/>
      </w:divBdr>
    </w:div>
    <w:div w:id="1354265471">
      <w:bodyDiv w:val="1"/>
      <w:marLeft w:val="0"/>
      <w:marRight w:val="0"/>
      <w:marTop w:val="0"/>
      <w:marBottom w:val="0"/>
      <w:divBdr>
        <w:top w:val="none" w:sz="0" w:space="0" w:color="auto"/>
        <w:left w:val="none" w:sz="0" w:space="0" w:color="auto"/>
        <w:bottom w:val="none" w:sz="0" w:space="0" w:color="auto"/>
        <w:right w:val="none" w:sz="0" w:space="0" w:color="auto"/>
      </w:divBdr>
    </w:div>
    <w:div w:id="1443459545">
      <w:bodyDiv w:val="1"/>
      <w:marLeft w:val="0"/>
      <w:marRight w:val="0"/>
      <w:marTop w:val="0"/>
      <w:marBottom w:val="0"/>
      <w:divBdr>
        <w:top w:val="none" w:sz="0" w:space="0" w:color="auto"/>
        <w:left w:val="none" w:sz="0" w:space="0" w:color="auto"/>
        <w:bottom w:val="none" w:sz="0" w:space="0" w:color="auto"/>
        <w:right w:val="none" w:sz="0" w:space="0" w:color="auto"/>
      </w:divBdr>
    </w:div>
    <w:div w:id="206408818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support-forces/diversity-and-inclusion" TargetMode="External"/><Relationship Id="rId13" Type="http://schemas.openxmlformats.org/officeDocument/2006/relationships/hyperlink" Target="https://doi.org/10.1007/978-1-4419-1695-2_13"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college.police.uk/guidance/drug-crimes-evidence-briefing/prevention-and-early-intervention" TargetMode="External"/><Relationship Id="rId12" Type="http://schemas.openxmlformats.org/officeDocument/2006/relationships/hyperlink" Target="https://assetspublishingservicegovuk/government/uploads/system/uploads/attachment_data/file/955182/police-workforce-mar20-hosb2020pdf" TargetMode="External"/><Relationship Id="rId17" Type="http://schemas.openxmlformats.org/officeDocument/2006/relationships/hyperlink" Target="https://doi.org/10.1007/978-3-030-83974-1_3" TargetMode="External"/><Relationship Id="rId2" Type="http://schemas.openxmlformats.org/officeDocument/2006/relationships/settings" Target="settings.xml"/><Relationship Id="rId16" Type="http://schemas.openxmlformats.org/officeDocument/2006/relationships/hyperlink" Target="https://publications.parliament.uk/pa/cm5802/cmselect/cmhaff/139/13903.htm" TargetMode="External"/><Relationship Id="rId1" Type="http://schemas.openxmlformats.org/officeDocument/2006/relationships/styles" Target="styles.xml"/><Relationship Id="rId6" Type="http://schemas.openxmlformats.org/officeDocument/2006/relationships/hyperlink" Target="https://library.college.police.uk/docs/college-of-policing/Positive-Action-Guidance-2020.pdf" TargetMode="External"/><Relationship Id="rId11" Type="http://schemas.openxmlformats.org/officeDocument/2006/relationships/hyperlink" Target="https://hmicfrs.justiceinspectorates.gov.uk/glossary/blue-light-wellbeing-framework/:~:text=A%20framework%20for%20the%20emergency%20services%2C%20which%20has,meet%20the%20specialist%20needs%20of%20emergency%20se" TargetMode="External"/><Relationship Id="rId5" Type="http://schemas.openxmlformats.org/officeDocument/2006/relationships/endnotes" Target="endnotes.xml"/><Relationship Id="rId15" Type="http://schemas.openxmlformats.org/officeDocument/2006/relationships/hyperlink" Target="https://doi.org/10.1007/978-3-030-43620-9_7" TargetMode="External"/><Relationship Id="rId10" Type="http://schemas.openxmlformats.org/officeDocument/2006/relationships/hyperlink" Target="https://www.ethnicity-facts-figures.service.gov.uk/workforce-and-business/workforce-diversity/police-workforce/latest/"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www.equalityhumanrights.com/guidance/public-sector-equality-duty-psed" TargetMode="External"/><Relationship Id="rId14" Type="http://schemas.openxmlformats.org/officeDocument/2006/relationships/hyperlink" Target="https://committees.parliament.uk/publications/21999/documents/163783/defaul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271</TotalTime>
  <Pages>20</Pages>
  <Words>5198</Words>
  <Characters>29631</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34760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Blanche,Louise swp8570</dc:creator>
  <dc:description/>
  <cp:lastModifiedBy>Blanche,Louise swp8570</cp:lastModifiedBy>
  <cp:revision>33</cp:revision>
  <dcterms:created xsi:type="dcterms:W3CDTF">2024-09-06T16:12:00Z</dcterms:created>
  <dcterms:modified xsi:type="dcterms:W3CDTF">2024-09-09T12:28:00Z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2024-08-05T10:10:30Z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b4d4a8a6-ad3c-4e0c-9ac7-e5b25f6dbde1</vt:lpwstr>
  </property>
  <property fmtid="{D5CDD505-2E9C-101B-9397-08002B2CF9AE}" pid="8" name="MSIP_Label_66cf8fe5-b7b7-4df7-b38d-1c61ac2f6639_ContentBits">
    <vt:lpwstr>0</vt:lpwstr>
  </property>
</Properties>
</file>