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rPr>
          <w:rFonts w:hint="default" w:ascii="Arial" w:hAnsi="Arial" w:eastAsia="宋体" w:cs="Arial"/>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HYPERLINK "https://uowtsd.sharepoint.com/:v:/r/teams/tesla_GRP/Shared Documents/General/Recordings/%E6%96%B0%E9%A2%91%E9%81%93%E4%BC%9A%E8%AE%AE-20230430_004301-Meeting Recording.mp4?csf=1&amp;web=1&amp;e=RiHez1" </w:instrText>
      </w:r>
      <w:r>
        <w:rPr>
          <w:rFonts w:ascii="宋体" w:hAnsi="宋体" w:eastAsia="宋体" w:cs="宋体"/>
          <w:sz w:val="24"/>
          <w:szCs w:val="24"/>
        </w:rPr>
        <w:fldChar w:fldCharType="separate"/>
      </w:r>
      <w:r>
        <w:rPr>
          <w:rStyle w:val="4"/>
          <w:rFonts w:ascii="宋体" w:hAnsi="宋体" w:eastAsia="宋体" w:cs="宋体"/>
          <w:sz w:val="24"/>
          <w:szCs w:val="24"/>
        </w:rPr>
        <w:t>新频道会议-20230430_004301-Meeting Recording.mp4</w:t>
      </w:r>
      <w:r>
        <w:rPr>
          <w:rFonts w:ascii="宋体" w:hAnsi="宋体" w:eastAsia="宋体" w:cs="宋体"/>
          <w:sz w:val="24"/>
          <w:szCs w:val="24"/>
        </w:rPr>
        <w:fldChar w:fldCharType="end"/>
      </w:r>
      <w:r>
        <w:rPr>
          <w:rFonts w:hint="eastAsia" w:ascii="宋体" w:hAnsi="宋体" w:eastAsia="宋体" w:cs="宋体"/>
          <w:sz w:val="24"/>
          <w:szCs w:val="24"/>
          <w:lang w:val="en-US" w:eastAsia="zh-CN"/>
        </w:rPr>
        <w:t xml:space="preserve">  Meeting Presentation Link</w:t>
      </w:r>
      <w:bookmarkStart w:id="1" w:name="_GoBack"/>
      <w:bookmarkEnd w:id="1"/>
    </w:p>
    <w:p>
      <w:pPr>
        <w:spacing w:line="480" w:lineRule="auto"/>
        <w:rPr>
          <w:rFonts w:hint="default" w:ascii="Arial" w:hAnsi="Arial" w:eastAsia="宋体" w:cs="Arial"/>
          <w:sz w:val="24"/>
          <w:szCs w:val="24"/>
        </w:rPr>
      </w:pPr>
    </w:p>
    <w:p>
      <w:pPr>
        <w:spacing w:line="480" w:lineRule="auto"/>
        <w:rPr>
          <w:rFonts w:hint="default" w:ascii="Arial" w:hAnsi="Arial" w:eastAsia="宋体" w:cs="Arial"/>
          <w:sz w:val="24"/>
          <w:szCs w:val="24"/>
        </w:rPr>
      </w:pPr>
      <w:r>
        <w:rPr>
          <w:rFonts w:hint="default" w:ascii="Arial" w:hAnsi="Arial" w:eastAsia="宋体" w:cs="Arial"/>
          <w:sz w:val="24"/>
          <w:szCs w:val="24"/>
        </w:rPr>
        <w:t>As part of its commitment to enhancing workforce competencies, expertise, and capability , Tesla has established a culture of innovative problem-solving within its organization, which has motivated employees to provide innovative solutions to market problems currently and in the future. In accordance with Musk’s transformational leadership style, the organization has created a culture encompassing six underlying principles: moving fast, achieving the impossible, continually innovating, reasoning from the ground up, thinking like an owner, and being all in is the key, in order to assist his employees in reaching unimaginable heights (Rigby,</w:t>
      </w:r>
      <w:r>
        <w:rPr>
          <w:rFonts w:hint="default" w:ascii="Arial" w:hAnsi="Arial" w:eastAsia="宋体" w:cs="Arial"/>
          <w:sz w:val="24"/>
          <w:szCs w:val="24"/>
          <w:lang w:val="en-US" w:eastAsia="zh-CN"/>
        </w:rPr>
        <w:t xml:space="preserve"> </w:t>
      </w:r>
      <w:r>
        <w:rPr>
          <w:rFonts w:hint="default" w:ascii="Arial" w:hAnsi="Arial" w:eastAsia="宋体" w:cs="Arial"/>
          <w:sz w:val="24"/>
          <w:szCs w:val="24"/>
        </w:rPr>
        <w:t>Elk, &amp; Berez, 2020).</w:t>
      </w:r>
    </w:p>
    <w:p>
      <w:pPr>
        <w:spacing w:line="480" w:lineRule="auto"/>
        <w:rPr>
          <w:rFonts w:hint="default" w:ascii="Arial" w:hAnsi="Arial" w:eastAsia="宋体" w:cs="Arial"/>
          <w:sz w:val="24"/>
          <w:szCs w:val="24"/>
        </w:rPr>
      </w:pPr>
    </w:p>
    <w:p>
      <w:pPr>
        <w:spacing w:line="480" w:lineRule="auto"/>
        <w:rPr>
          <w:rFonts w:hint="default" w:ascii="Arial" w:hAnsi="Arial" w:eastAsia="宋体" w:cs="Arial"/>
          <w:sz w:val="24"/>
          <w:szCs w:val="24"/>
        </w:rPr>
      </w:pPr>
      <w:r>
        <w:rPr>
          <w:rFonts w:hint="default" w:ascii="Arial" w:hAnsi="Arial" w:eastAsia="宋体" w:cs="Arial"/>
          <w:sz w:val="24"/>
          <w:szCs w:val="24"/>
        </w:rPr>
        <w:t>Tesla, however, has several requirements for enhancing organizational learning and development to maintain a competitive advantage in the long run. As Tesla aligns its organizational culture with social responsibilities and sustainability, there appears to be a lack of connection between its most important asset, the employees. As a result of Tesla's current culture, the company has seen a high rate of executive turnover and a 9 percent layoff of employees (Le</w:t>
      </w:r>
      <w:r>
        <w:rPr>
          <w:rFonts w:hint="default" w:ascii="Arial" w:hAnsi="Arial" w:eastAsia="宋体" w:cs="Arial"/>
          <w:sz w:val="24"/>
          <w:szCs w:val="24"/>
          <w:lang w:val="en-US" w:eastAsia="zh-CN"/>
        </w:rPr>
        <w:t xml:space="preserve"> </w:t>
      </w:r>
      <w:r>
        <w:rPr>
          <w:rFonts w:hint="default" w:ascii="Arial" w:hAnsi="Arial" w:eastAsia="宋体" w:cs="Arial"/>
          <w:sz w:val="24"/>
          <w:szCs w:val="24"/>
        </w:rPr>
        <w:t>&amp; Ho</w:t>
      </w:r>
      <w:r>
        <w:rPr>
          <w:rFonts w:hint="default" w:ascii="Arial" w:hAnsi="Arial" w:eastAsia="宋体" w:cs="Arial"/>
          <w:sz w:val="24"/>
          <w:szCs w:val="24"/>
          <w:lang w:val="en-US" w:eastAsia="zh-CN"/>
        </w:rPr>
        <w:t xml:space="preserve">, </w:t>
      </w:r>
      <w:r>
        <w:rPr>
          <w:rFonts w:hint="default" w:ascii="Arial" w:hAnsi="Arial" w:eastAsia="宋体" w:cs="Arial"/>
          <w:sz w:val="24"/>
          <w:szCs w:val="24"/>
        </w:rPr>
        <w:t>2021). Turnover among Tesla executives who report to CEO Elon Musk is much higher than turnover among executives who report to the CEOs of seven other leading technology companies</w:t>
      </w:r>
      <w:r>
        <w:rPr>
          <w:rFonts w:hint="default" w:ascii="Arial" w:hAnsi="Arial" w:eastAsia="宋体"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Sull, Sull, &amp; Zweig, 2022</w:t>
      </w:r>
      <w:r>
        <w:rPr>
          <w:rFonts w:hint="default" w:ascii="Arial" w:hAnsi="Arial" w:eastAsia="宋体" w:cs="Arial"/>
          <w:sz w:val="24"/>
          <w:szCs w:val="24"/>
          <w:lang w:val="en-US" w:eastAsia="zh-CN"/>
        </w:rPr>
        <w:t>)</w:t>
      </w:r>
      <w:r>
        <w:rPr>
          <w:rFonts w:hint="default" w:ascii="Arial" w:hAnsi="Arial" w:eastAsia="宋体" w:cs="Arial"/>
          <w:sz w:val="24"/>
          <w:szCs w:val="24"/>
        </w:rPr>
        <w:t>. The company is also concerned about internal sabotage, as its IT and information security teams were alerted when the employee in question attempted to damage company equipment</w:t>
      </w:r>
      <w:r>
        <w:rPr>
          <w:rFonts w:hint="default" w:ascii="Arial" w:hAnsi="Arial" w:eastAsia="宋体"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Miller</w:t>
      </w:r>
      <w:r>
        <w:rPr>
          <w:rFonts w:hint="default" w:ascii="Arial" w:hAnsi="Arial" w:eastAsia="宋体" w:cs="Arial"/>
          <w:i w:val="0"/>
          <w:iCs w:val="0"/>
          <w:caps w:val="0"/>
          <w:color w:val="222222"/>
          <w:spacing w:val="0"/>
          <w:sz w:val="24"/>
          <w:szCs w:val="24"/>
          <w:shd w:val="clear" w:fill="FFFFFF"/>
          <w:lang w:val="en-US" w:eastAsia="zh-CN"/>
        </w:rPr>
        <w:t xml:space="preserve"> et al., 2021</w:t>
      </w:r>
      <w:r>
        <w:rPr>
          <w:rFonts w:hint="default" w:ascii="Arial" w:hAnsi="Arial" w:eastAsia="宋体" w:cs="Arial"/>
          <w:sz w:val="24"/>
          <w:szCs w:val="24"/>
          <w:lang w:val="en-US" w:eastAsia="zh-CN"/>
        </w:rPr>
        <w:t>)</w:t>
      </w:r>
      <w:r>
        <w:rPr>
          <w:rFonts w:hint="default" w:ascii="Arial" w:hAnsi="Arial" w:eastAsia="宋体" w:cs="Arial"/>
          <w:sz w:val="24"/>
          <w:szCs w:val="24"/>
        </w:rPr>
        <w:t>. As a means of concealing their actions, the unidentified individual attempted to blame a colleague. Additionally, Tesla was still lagging behind in Europe and other regions, resulting in the need for international expansion, even though it had developed strong markets in the United States and China. As part of Tesla's aggressive entry into the Indian market in 2021, a new factory was planned for Berlin</w:t>
      </w:r>
      <w:r>
        <w:rPr>
          <w:rFonts w:hint="default" w:ascii="Arial" w:hAnsi="Arial" w:eastAsia="宋体"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Saxena &amp; Vibhandik, 2021</w:t>
      </w:r>
      <w:r>
        <w:rPr>
          <w:rFonts w:hint="default" w:ascii="Arial" w:hAnsi="Arial" w:eastAsia="宋体" w:cs="Arial"/>
          <w:sz w:val="24"/>
          <w:szCs w:val="24"/>
          <w:lang w:val="en-US" w:eastAsia="zh-CN"/>
        </w:rPr>
        <w:t>)</w:t>
      </w:r>
      <w:r>
        <w:rPr>
          <w:rFonts w:hint="default" w:ascii="Arial" w:hAnsi="Arial" w:eastAsia="宋体" w:cs="Arial"/>
          <w:sz w:val="24"/>
          <w:szCs w:val="24"/>
        </w:rPr>
        <w:t>. Tesla may face a variety of obstacles to maintaining its global leadership in the highly uncertain and volatile business environment, including unpredictable factors that may interfere with effective decision-making, challenges in interacting with local governments, and cultural differences during the management of human resources and market operations. Due to the importance of absorbing local market knowledge, internationalization becomes a complex process of organizational learning and development, requiring increased commitments to continuous learning</w:t>
      </w:r>
      <w:r>
        <w:rPr>
          <w:rFonts w:hint="default" w:ascii="Arial" w:hAnsi="Arial" w:eastAsia="宋体"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Prashantham &amp; Young, 2011</w:t>
      </w:r>
      <w:r>
        <w:rPr>
          <w:rFonts w:hint="default" w:ascii="Arial" w:hAnsi="Arial" w:eastAsia="宋体" w:cs="Arial"/>
          <w:sz w:val="24"/>
          <w:szCs w:val="24"/>
          <w:lang w:val="en-US" w:eastAsia="zh-CN"/>
        </w:rPr>
        <w:t>)</w:t>
      </w:r>
      <w:r>
        <w:rPr>
          <w:rFonts w:hint="default" w:ascii="Arial" w:hAnsi="Arial" w:eastAsia="宋体" w:cs="Arial"/>
          <w:sz w:val="24"/>
          <w:szCs w:val="24"/>
        </w:rPr>
        <w:t>. Moreover, Consumer Reports no longer recommends the Tesla Model 3 electric sedan as it has identified a number of issues with its body hardware and paint. A significant number of production delays plagued the Model 3 rollout, as well as a long wait time for customers who placed their orders more than a year in advance</w:t>
      </w:r>
      <w:r>
        <w:rPr>
          <w:rFonts w:hint="default" w:ascii="Arial" w:hAnsi="Arial" w:eastAsia="宋体"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Buberger</w:t>
      </w:r>
      <w:r>
        <w:rPr>
          <w:rFonts w:hint="default" w:ascii="Arial" w:hAnsi="Arial" w:eastAsia="宋体" w:cs="Arial"/>
          <w:i w:val="0"/>
          <w:iCs w:val="0"/>
          <w:caps w:val="0"/>
          <w:color w:val="222222"/>
          <w:spacing w:val="0"/>
          <w:sz w:val="24"/>
          <w:szCs w:val="24"/>
          <w:shd w:val="clear" w:fill="FFFFFF"/>
          <w:lang w:val="en-US" w:eastAsia="zh-CN"/>
        </w:rPr>
        <w:t xml:space="preserve"> et al., 2022</w:t>
      </w:r>
      <w:r>
        <w:rPr>
          <w:rFonts w:hint="default" w:ascii="Arial" w:hAnsi="Arial" w:eastAsia="宋体" w:cs="Arial"/>
          <w:sz w:val="24"/>
          <w:szCs w:val="24"/>
          <w:lang w:val="en-US" w:eastAsia="zh-CN"/>
        </w:rPr>
        <w:t>)</w:t>
      </w:r>
      <w:r>
        <w:rPr>
          <w:rFonts w:hint="default" w:ascii="Arial" w:hAnsi="Arial" w:eastAsia="宋体" w:cs="Arial"/>
          <w:sz w:val="24"/>
          <w:szCs w:val="24"/>
        </w:rPr>
        <w:t>. It is essential to utilize analytical tools and standardized procedures to increase work efficiency, which leads to a commitment to quality improvement due to the fact that learning facilitates organizations' abilities to identify customers' needs and to create products/services that are unique and difficult to duplicate (Chiles &amp; Choi, 2000).</w:t>
      </w:r>
    </w:p>
    <w:p>
      <w:pPr>
        <w:spacing w:line="480" w:lineRule="auto"/>
        <w:rPr>
          <w:rFonts w:hint="default" w:ascii="Arial" w:hAnsi="Arial" w:eastAsia="宋体" w:cs="Arial"/>
          <w:sz w:val="24"/>
          <w:szCs w:val="24"/>
          <w:lang w:val="en-US" w:eastAsia="zh-CN"/>
        </w:rPr>
      </w:pPr>
    </w:p>
    <w:p>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By aligning the proposed L&amp;D framework with Tesla's business goals, strategies, and talent composition, the proposed framework provides Tesla with a strong foundation for meeting its current and future needs. In a timely and cost-effective manner, the company's talents can develop their skills and capabilities in order to support their professional development. Business and HR leaders share responsibility and ownership for capability-building initiatives by assessing their organization's current capabilities in a systematic and deliberate manner; facilitating continuous learning that takes place over time through various forms such as digital learning and on-the-job mentoring; engaging stakeholders throughout execution; utilizing relevant and specific metrics for measurement, including priorities and needs; integrating L&amp;D interventions into human resources processes; facilitating 70:20:10 learning frameworks; and implementing advanced and appropriate learning technology applications and systems. </w:t>
      </w:r>
    </w:p>
    <w:p>
      <w:pPr>
        <w:spacing w:line="480" w:lineRule="auto"/>
        <w:rPr>
          <w:rFonts w:hint="default" w:ascii="Arial" w:hAnsi="Arial" w:cs="Arial"/>
          <w:sz w:val="24"/>
          <w:szCs w:val="24"/>
          <w:lang w:val="en-US" w:eastAsia="zh-CN"/>
        </w:rPr>
      </w:pPr>
    </w:p>
    <w:p>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 xml:space="preserve">To effectively produce, deliver, and expand Tesla products globally, a different business strategy is required than that which has allowed Tesla to deliver innovation to the world. </w:t>
      </w:r>
      <w:bookmarkStart w:id="0" w:name="OLE_LINK1"/>
      <w:r>
        <w:rPr>
          <w:rFonts w:hint="default" w:ascii="Arial" w:hAnsi="Arial" w:cs="Arial"/>
          <w:sz w:val="24"/>
          <w:szCs w:val="24"/>
          <w:lang w:val="en-US" w:eastAsia="zh-CN"/>
        </w:rPr>
        <w:t>As part of achieving alignment with this sentiment, senior leadership must examine the strengths and weaknesses of the current set of leaders to identify how well they are positioned to accomplish strategic goals (</w:t>
      </w:r>
      <w:r>
        <w:rPr>
          <w:rFonts w:hint="default" w:ascii="Arial" w:hAnsi="Arial" w:eastAsia="宋体" w:cs="Arial"/>
          <w:i w:val="0"/>
          <w:iCs w:val="0"/>
          <w:caps w:val="0"/>
          <w:color w:val="222222"/>
          <w:spacing w:val="0"/>
          <w:sz w:val="24"/>
          <w:szCs w:val="24"/>
          <w:shd w:val="clear" w:fill="FFFFFF"/>
        </w:rPr>
        <w:t>Yukl</w:t>
      </w:r>
      <w:r>
        <w:rPr>
          <w:rFonts w:hint="default" w:ascii="Arial" w:hAnsi="Arial" w:eastAsia="宋体"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&amp; Mahsud, 2010</w:t>
      </w:r>
      <w:r>
        <w:rPr>
          <w:rFonts w:hint="default" w:ascii="Arial" w:hAnsi="Arial" w:cs="Arial"/>
          <w:sz w:val="24"/>
          <w:szCs w:val="24"/>
          <w:lang w:val="en-US" w:eastAsia="zh-CN"/>
        </w:rPr>
        <w:t xml:space="preserve">). Personality-based behavioral assessments can be useful in identifying how team members conduct themselves at work, make decisions, and communicate. Having access to such data can help Tesla's senior leadership team become more self-aware, which will facilitate cooperation, communication, and relationships. Tesla can identify gaps in its innovation and its need for greater discipline, a better process, and a more stable organization by utilizing a 360-degree assessment or self-competency assessment. Tesla has few senior leaders left, so hiring top talent to improve its performance is a priority through the use of a more formal needs analysis that provides a thorough understanding of the skills, expertise, and values that are necessary to be successful. </w:t>
      </w:r>
    </w:p>
    <w:p>
      <w:pPr>
        <w:spacing w:line="480" w:lineRule="auto"/>
        <w:rPr>
          <w:rFonts w:hint="default" w:ascii="Arial" w:hAnsi="Arial" w:cs="Arial"/>
          <w:sz w:val="24"/>
          <w:szCs w:val="24"/>
          <w:lang w:val="en-US" w:eastAsia="zh-CN"/>
        </w:rPr>
      </w:pPr>
    </w:p>
    <w:p>
      <w:pPr>
        <w:spacing w:line="480" w:lineRule="auto"/>
        <w:rPr>
          <w:rFonts w:hint="default" w:ascii="Arial" w:hAnsi="Arial" w:eastAsia="宋体" w:cs="Arial"/>
          <w:sz w:val="24"/>
          <w:szCs w:val="24"/>
        </w:rPr>
      </w:pPr>
      <w:r>
        <w:rPr>
          <w:rFonts w:hint="default" w:ascii="Arial" w:hAnsi="Arial" w:eastAsia="宋体" w:cs="Arial"/>
          <w:sz w:val="24"/>
          <w:szCs w:val="24"/>
        </w:rPr>
        <w:t>Furthermore, the implementation of a survey that focuses on critical issues can reveal long-term issue that are reducing productivity and resulting in employee turnover</w:t>
      </w:r>
      <w:r>
        <w:rPr>
          <w:rFonts w:hint="default" w:ascii="Arial" w:hAnsi="Arial" w:eastAsia="宋体"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Holland &amp; Collins</w:t>
      </w:r>
      <w:r>
        <w:rPr>
          <w:rFonts w:hint="default" w:ascii="Arial" w:hAnsi="Arial" w:eastAsia="宋体"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2018</w:t>
      </w:r>
      <w:r>
        <w:rPr>
          <w:rFonts w:hint="default" w:ascii="Arial" w:hAnsi="Arial" w:eastAsia="宋体" w:cs="Arial"/>
          <w:sz w:val="24"/>
          <w:szCs w:val="24"/>
          <w:lang w:val="en-US" w:eastAsia="zh-CN"/>
        </w:rPr>
        <w:t>)</w:t>
      </w:r>
      <w:r>
        <w:rPr>
          <w:rFonts w:hint="default" w:ascii="Arial" w:hAnsi="Arial" w:eastAsia="宋体" w:cs="Arial"/>
          <w:sz w:val="24"/>
          <w:szCs w:val="24"/>
        </w:rPr>
        <w:t>. In addition, it will provide insight into any acute issues such as unsatisfactory environmental conditions in the plant, poor management that negatively impacts a large number of employees, as well as the quality of products. In addition, through the creation of an organizational culture of communication, openness, and a better exchange of ideas, Tesla can improve employee engagement and morale by diagnosing and continually optimizing the issues and continually improving them by managers and employees who can review the results of engagement diagnostics, identify root challenges, and identify root challenges. The manager who is more attentive to employees' career development and learning needs benefits both the employee and the organization primarily by allowing employees to feel that they are growing and learning, as well as benefiting from their efforts, which can assist the organization in addressing quality and delivery concerns. With the "talent first" philosophy, Tesla offers employees and managers tools to make their work easier, communicate more effectively, and execute more productively</w:t>
      </w:r>
      <w:r>
        <w:rPr>
          <w:rFonts w:hint="default" w:ascii="Arial" w:hAnsi="Arial" w:eastAsia="宋体"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Bawany</w:t>
      </w:r>
      <w:r>
        <w:rPr>
          <w:rFonts w:hint="default" w:ascii="Arial" w:hAnsi="Arial" w:eastAsia="宋体"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2019</w:t>
      </w:r>
      <w:r>
        <w:rPr>
          <w:rFonts w:hint="default" w:ascii="Arial" w:hAnsi="Arial" w:eastAsia="宋体" w:cs="Arial"/>
          <w:sz w:val="24"/>
          <w:szCs w:val="24"/>
          <w:lang w:val="en-US" w:eastAsia="zh-CN"/>
        </w:rPr>
        <w:t>)</w:t>
      </w:r>
      <w:r>
        <w:rPr>
          <w:rFonts w:hint="default" w:ascii="Arial" w:hAnsi="Arial" w:eastAsia="宋体" w:cs="Arial"/>
          <w:sz w:val="24"/>
          <w:szCs w:val="24"/>
        </w:rPr>
        <w:t>.</w:t>
      </w:r>
    </w:p>
    <w:bookmarkEnd w:id="0"/>
    <w:p>
      <w:pPr>
        <w:spacing w:line="480" w:lineRule="auto"/>
        <w:rPr>
          <w:rFonts w:hint="default" w:ascii="Arial" w:hAnsi="Arial" w:eastAsia="宋体" w:cs="Arial"/>
          <w:sz w:val="24"/>
          <w:szCs w:val="24"/>
          <w:lang w:val="en-US" w:eastAsia="zh-CN"/>
        </w:rPr>
      </w:pPr>
    </w:p>
    <w:p>
      <w:pPr>
        <w:spacing w:line="480" w:lineRule="auto"/>
        <w:rPr>
          <w:rFonts w:hint="default" w:ascii="Arial" w:hAnsi="Arial" w:eastAsia="宋体" w:cs="Arial"/>
          <w:sz w:val="24"/>
          <w:szCs w:val="24"/>
        </w:rPr>
      </w:pPr>
      <w:r>
        <w:rPr>
          <w:rFonts w:hint="default" w:ascii="Arial" w:hAnsi="Arial" w:eastAsia="宋体" w:cs="Arial"/>
          <w:sz w:val="24"/>
          <w:szCs w:val="24"/>
        </w:rPr>
        <w:t>However, this framework does have some limitations in addition to its advantages in meeting Tesla's needs. In Tesla, for example, a functional organizational structure characterized by elements of a hierarchical structure limits employees' capacity to respond, counteracting some of the effects of the corporate culture by facilitating the speedy resolution of automotive business concerns through decision-making and action. Also, the framework lacks a comprehensive strategy for dealing with the interface between organizational and social culture, as well as organizational citizenship behaviors. To help ensure proper communication between various cultures, it needs to incorporate more skills in intercultural communication to improve Tesla's understanding of other cultures and consolidate its own cultural identity, in order to develop a greater sense of cultural awareness.</w:t>
      </w:r>
    </w:p>
    <w:p>
      <w:pPr>
        <w:spacing w:line="480" w:lineRule="auto"/>
        <w:rPr>
          <w:rFonts w:hint="default" w:ascii="Arial" w:hAnsi="Arial" w:eastAsia="宋体" w:cs="Arial"/>
          <w:sz w:val="24"/>
          <w:szCs w:val="24"/>
        </w:rPr>
      </w:pPr>
    </w:p>
    <w:p>
      <w:pPr>
        <w:spacing w:line="480" w:lineRule="auto"/>
        <w:rPr>
          <w:rFonts w:hint="default" w:ascii="Arial" w:hAnsi="Arial" w:eastAsia="宋体" w:cs="Arial"/>
          <w:sz w:val="24"/>
          <w:szCs w:val="24"/>
          <w:lang w:val="en-US" w:eastAsia="zh-CN"/>
        </w:rPr>
      </w:pPr>
      <w:r>
        <w:rPr>
          <w:rFonts w:hint="default" w:ascii="Arial" w:hAnsi="Arial" w:eastAsia="宋体" w:cs="Arial"/>
          <w:i w:val="0"/>
          <w:iCs w:val="0"/>
          <w:caps w:val="0"/>
          <w:color w:val="222222"/>
          <w:spacing w:val="0"/>
          <w:sz w:val="24"/>
          <w:szCs w:val="24"/>
          <w:shd w:val="clear" w:fill="FFFFFF"/>
        </w:rPr>
        <w:t>Saxena, N., &amp; Vibhandik, S. (2021). Tesla's Compe</w:t>
      </w:r>
      <w:r>
        <w:rPr>
          <w:rFonts w:hint="default" w:ascii="Arial" w:hAnsi="Arial" w:eastAsia="宋体" w:cs="Arial"/>
          <w:sz w:val="24"/>
          <w:szCs w:val="24"/>
          <w:lang w:val="en-US" w:eastAsia="zh-CN"/>
        </w:rPr>
        <w:t>References</w:t>
      </w:r>
    </w:p>
    <w:p>
      <w:pPr>
        <w:spacing w:line="480" w:lineRule="auto"/>
        <w:rPr>
          <w:rFonts w:hint="default" w:ascii="Arial" w:hAnsi="Arial" w:eastAsia="宋体" w:cs="Arial"/>
          <w:sz w:val="24"/>
          <w:szCs w:val="24"/>
          <w:lang w:val="en-US" w:eastAsia="zh-CN"/>
        </w:rPr>
      </w:pPr>
    </w:p>
    <w:p>
      <w:pPr>
        <w:spacing w:line="480" w:lineRule="auto"/>
        <w:rPr>
          <w:rFonts w:hint="default" w:ascii="Arial" w:hAnsi="Arial" w:cs="Arial"/>
          <w:sz w:val="24"/>
          <w:szCs w:val="24"/>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Bawany, S. (2019). </w:t>
      </w:r>
      <w:r>
        <w:rPr>
          <w:rFonts w:hint="default" w:ascii="Arial" w:hAnsi="Arial" w:eastAsia="宋体" w:cs="Arial"/>
          <w:i/>
          <w:iCs/>
          <w:caps w:val="0"/>
          <w:color w:val="222222"/>
          <w:spacing w:val="0"/>
          <w:sz w:val="24"/>
          <w:szCs w:val="24"/>
          <w:shd w:val="clear" w:fill="FFFFFF"/>
        </w:rPr>
        <w:t>Transforming the next generation leaders: Developing future leaders for a disruptive, digital-driven era of the fourth industrial revolution (industry 4.0)</w:t>
      </w:r>
      <w:r>
        <w:rPr>
          <w:rFonts w:hint="default" w:ascii="Arial" w:hAnsi="Arial" w:eastAsia="宋体" w:cs="Arial"/>
          <w:i w:val="0"/>
          <w:iCs w:val="0"/>
          <w:caps w:val="0"/>
          <w:color w:val="222222"/>
          <w:spacing w:val="0"/>
          <w:sz w:val="24"/>
          <w:szCs w:val="24"/>
          <w:shd w:val="clear" w:fill="FFFFFF"/>
        </w:rPr>
        <w:t>. Business Expert Press.</w:t>
      </w:r>
    </w:p>
    <w:p>
      <w:pPr>
        <w:spacing w:line="480" w:lineRule="auto"/>
        <w:rPr>
          <w:rFonts w:hint="default" w:ascii="Arial" w:hAnsi="Arial" w:eastAsia="宋体" w:cs="Arial"/>
          <w:i w:val="0"/>
          <w:iCs w:val="0"/>
          <w:caps w:val="0"/>
          <w:color w:val="222222"/>
          <w:spacing w:val="0"/>
          <w:sz w:val="24"/>
          <w:szCs w:val="24"/>
          <w:shd w:val="clear" w:fill="FFFFFF"/>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Buberger, J., Kersten, A., Kuder, M., Eckerle, R., Weyh, T., &amp; Thiringer, T. (2022). Total CO2-equivalent life-cycle emissions from commercially available passenger cars. </w:t>
      </w:r>
      <w:r>
        <w:rPr>
          <w:rFonts w:hint="default" w:ascii="Arial" w:hAnsi="Arial" w:eastAsia="宋体" w:cs="Arial"/>
          <w:i/>
          <w:iCs/>
          <w:caps w:val="0"/>
          <w:color w:val="222222"/>
          <w:spacing w:val="0"/>
          <w:sz w:val="24"/>
          <w:szCs w:val="24"/>
          <w:shd w:val="clear" w:fill="FFFFFF"/>
        </w:rPr>
        <w:t>Renewable and Sustainable Energy Reviews</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159</w:t>
      </w:r>
      <w:r>
        <w:rPr>
          <w:rFonts w:hint="default" w:ascii="Arial" w:hAnsi="Arial" w:eastAsia="宋体" w:cs="Arial"/>
          <w:i w:val="0"/>
          <w:iCs w:val="0"/>
          <w:caps w:val="0"/>
          <w:color w:val="222222"/>
          <w:spacing w:val="0"/>
          <w:sz w:val="24"/>
          <w:szCs w:val="24"/>
          <w:shd w:val="clear" w:fill="FFFFFF"/>
        </w:rPr>
        <w:t>, 112158.</w:t>
      </w:r>
    </w:p>
    <w:p>
      <w:pPr>
        <w:spacing w:line="480" w:lineRule="auto"/>
        <w:rPr>
          <w:rFonts w:hint="default" w:ascii="Arial" w:hAnsi="Arial" w:eastAsia="宋体" w:cs="Arial"/>
          <w:i w:val="0"/>
          <w:iCs w:val="0"/>
          <w:caps w:val="0"/>
          <w:color w:val="222222"/>
          <w:spacing w:val="0"/>
          <w:sz w:val="24"/>
          <w:szCs w:val="24"/>
          <w:shd w:val="clear" w:fill="FFFFFF"/>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Chiles, T. H., &amp; Choi, T. Y. (2000). Theorizing TQM: An Austrian and evolutionary economics interpretation. </w:t>
      </w:r>
      <w:r>
        <w:rPr>
          <w:rFonts w:hint="default" w:ascii="Arial" w:hAnsi="Arial" w:eastAsia="宋体" w:cs="Arial"/>
          <w:i/>
          <w:iCs/>
          <w:caps w:val="0"/>
          <w:color w:val="222222"/>
          <w:spacing w:val="0"/>
          <w:sz w:val="24"/>
          <w:szCs w:val="24"/>
          <w:shd w:val="clear" w:fill="FFFFFF"/>
        </w:rPr>
        <w:t>Journal of Management Studies</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37</w:t>
      </w:r>
      <w:r>
        <w:rPr>
          <w:rFonts w:hint="default" w:ascii="Arial" w:hAnsi="Arial" w:eastAsia="宋体" w:cs="Arial"/>
          <w:i w:val="0"/>
          <w:iCs w:val="0"/>
          <w:caps w:val="0"/>
          <w:color w:val="222222"/>
          <w:spacing w:val="0"/>
          <w:sz w:val="24"/>
          <w:szCs w:val="24"/>
          <w:shd w:val="clear" w:fill="FFFFFF"/>
        </w:rPr>
        <w:t>(2), 185-212.</w:t>
      </w:r>
    </w:p>
    <w:p>
      <w:pPr>
        <w:spacing w:line="480" w:lineRule="auto"/>
        <w:rPr>
          <w:rFonts w:hint="default" w:ascii="Arial" w:hAnsi="Arial" w:cs="Arial"/>
          <w:sz w:val="24"/>
          <w:szCs w:val="24"/>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Holland, P., &amp; Collins, A. M. (2018). “Whenever I can I push myself to go to work”: a qualitative study of experiences of sickness presenteeism among workers with rheumatoid arthritis. </w:t>
      </w:r>
      <w:r>
        <w:rPr>
          <w:rFonts w:hint="default" w:ascii="Arial" w:hAnsi="Arial" w:eastAsia="宋体" w:cs="Arial"/>
          <w:i/>
          <w:iCs/>
          <w:caps w:val="0"/>
          <w:color w:val="222222"/>
          <w:spacing w:val="0"/>
          <w:sz w:val="24"/>
          <w:szCs w:val="24"/>
          <w:shd w:val="clear" w:fill="FFFFFF"/>
        </w:rPr>
        <w:t>Disability and rehabilitation</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40</w:t>
      </w:r>
      <w:r>
        <w:rPr>
          <w:rFonts w:hint="default" w:ascii="Arial" w:hAnsi="Arial" w:eastAsia="宋体" w:cs="Arial"/>
          <w:i w:val="0"/>
          <w:iCs w:val="0"/>
          <w:caps w:val="0"/>
          <w:color w:val="222222"/>
          <w:spacing w:val="0"/>
          <w:sz w:val="24"/>
          <w:szCs w:val="24"/>
          <w:shd w:val="clear" w:fill="FFFFFF"/>
        </w:rPr>
        <w:t>(4), 404-413.</w:t>
      </w:r>
    </w:p>
    <w:p>
      <w:pPr>
        <w:spacing w:line="480" w:lineRule="auto"/>
        <w:rPr>
          <w:rFonts w:hint="default" w:ascii="Arial" w:hAnsi="Arial" w:eastAsia="宋体" w:cs="Arial"/>
          <w:i w:val="0"/>
          <w:iCs w:val="0"/>
          <w:caps w:val="0"/>
          <w:color w:val="222222"/>
          <w:spacing w:val="0"/>
          <w:sz w:val="24"/>
          <w:szCs w:val="24"/>
          <w:shd w:val="clear" w:fill="FFFFFF"/>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Le, L., &amp; Ho, Q. (2021). Factors affecting the valuation of electric vehicle company in 2020: case Tesla Inc.</w:t>
      </w:r>
    </w:p>
    <w:p>
      <w:pPr>
        <w:spacing w:line="480" w:lineRule="auto"/>
        <w:rPr>
          <w:rFonts w:hint="default" w:ascii="Arial" w:hAnsi="Arial" w:eastAsia="宋体" w:cs="Arial"/>
          <w:i w:val="0"/>
          <w:iCs w:val="0"/>
          <w:caps w:val="0"/>
          <w:color w:val="222222"/>
          <w:spacing w:val="0"/>
          <w:sz w:val="24"/>
          <w:szCs w:val="24"/>
          <w:shd w:val="clear" w:fill="FFFFFF"/>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Miller, T., Staves, A., Maesschalck, S., Sturdee, M., &amp; Green, B. (2021). Looking back to look forward: Lessons learnt from cyber-attacks on industrial control systems. </w:t>
      </w:r>
      <w:r>
        <w:rPr>
          <w:rFonts w:hint="default" w:ascii="Arial" w:hAnsi="Arial" w:eastAsia="宋体" w:cs="Arial"/>
          <w:i/>
          <w:iCs/>
          <w:caps w:val="0"/>
          <w:color w:val="222222"/>
          <w:spacing w:val="0"/>
          <w:sz w:val="24"/>
          <w:szCs w:val="24"/>
          <w:shd w:val="clear" w:fill="FFFFFF"/>
        </w:rPr>
        <w:t>International Journal of Critical Infrastructure Protection</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35</w:t>
      </w:r>
      <w:r>
        <w:rPr>
          <w:rFonts w:hint="default" w:ascii="Arial" w:hAnsi="Arial" w:eastAsia="宋体" w:cs="Arial"/>
          <w:i w:val="0"/>
          <w:iCs w:val="0"/>
          <w:caps w:val="0"/>
          <w:color w:val="222222"/>
          <w:spacing w:val="0"/>
          <w:sz w:val="24"/>
          <w:szCs w:val="24"/>
          <w:shd w:val="clear" w:fill="FFFFFF"/>
        </w:rPr>
        <w:t>, 100464.</w:t>
      </w:r>
    </w:p>
    <w:p>
      <w:pPr>
        <w:spacing w:line="480" w:lineRule="auto"/>
        <w:rPr>
          <w:rFonts w:hint="default" w:ascii="Arial" w:hAnsi="Arial" w:eastAsia="宋体" w:cs="Arial"/>
          <w:i w:val="0"/>
          <w:iCs w:val="0"/>
          <w:caps w:val="0"/>
          <w:color w:val="222222"/>
          <w:spacing w:val="0"/>
          <w:sz w:val="24"/>
          <w:szCs w:val="24"/>
          <w:shd w:val="clear" w:fill="FFFFFF"/>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Prashantham, S., &amp; Young, S. (2011). Post–entry speed of international new ventures. </w:t>
      </w:r>
      <w:r>
        <w:rPr>
          <w:rFonts w:hint="default" w:ascii="Arial" w:hAnsi="Arial" w:eastAsia="宋体" w:cs="Arial"/>
          <w:i/>
          <w:iCs/>
          <w:caps w:val="0"/>
          <w:color w:val="222222"/>
          <w:spacing w:val="0"/>
          <w:sz w:val="24"/>
          <w:szCs w:val="24"/>
          <w:shd w:val="clear" w:fill="FFFFFF"/>
        </w:rPr>
        <w:t>Entrepreneurship Theory and Practice</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35</w:t>
      </w:r>
      <w:r>
        <w:rPr>
          <w:rFonts w:hint="default" w:ascii="Arial" w:hAnsi="Arial" w:eastAsia="宋体" w:cs="Arial"/>
          <w:i w:val="0"/>
          <w:iCs w:val="0"/>
          <w:caps w:val="0"/>
          <w:color w:val="222222"/>
          <w:spacing w:val="0"/>
          <w:sz w:val="24"/>
          <w:szCs w:val="24"/>
          <w:shd w:val="clear" w:fill="FFFFFF"/>
        </w:rPr>
        <w:t>(2), 275-292.</w:t>
      </w:r>
    </w:p>
    <w:p>
      <w:pPr>
        <w:spacing w:line="480" w:lineRule="auto"/>
        <w:rPr>
          <w:rFonts w:hint="default" w:ascii="Arial" w:hAnsi="Arial" w:eastAsia="宋体" w:cs="Arial"/>
          <w:i w:val="0"/>
          <w:iCs w:val="0"/>
          <w:caps w:val="0"/>
          <w:color w:val="222222"/>
          <w:spacing w:val="0"/>
          <w:sz w:val="24"/>
          <w:szCs w:val="24"/>
          <w:shd w:val="clear" w:fill="FFFFFF"/>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Rigby, D., Elk, S., &amp; Berez, S. (2020). </w:t>
      </w:r>
      <w:r>
        <w:rPr>
          <w:rFonts w:hint="default" w:ascii="Arial" w:hAnsi="Arial" w:eastAsia="宋体" w:cs="Arial"/>
          <w:i/>
          <w:iCs/>
          <w:caps w:val="0"/>
          <w:color w:val="222222"/>
          <w:spacing w:val="0"/>
          <w:sz w:val="24"/>
          <w:szCs w:val="24"/>
          <w:shd w:val="clear" w:fill="FFFFFF"/>
        </w:rPr>
        <w:t>Doing agile right: Transformation without chaos</w:t>
      </w:r>
      <w:r>
        <w:rPr>
          <w:rFonts w:hint="default" w:ascii="Arial" w:hAnsi="Arial" w:eastAsia="宋体" w:cs="Arial"/>
          <w:i w:val="0"/>
          <w:iCs w:val="0"/>
          <w:caps w:val="0"/>
          <w:color w:val="222222"/>
          <w:spacing w:val="0"/>
          <w:sz w:val="24"/>
          <w:szCs w:val="24"/>
          <w:shd w:val="clear" w:fill="FFFFFF"/>
        </w:rPr>
        <w:t>. Harvard Business Press.</w:t>
      </w:r>
    </w:p>
    <w:p>
      <w:pPr>
        <w:spacing w:line="480" w:lineRule="auto"/>
        <w:rPr>
          <w:rFonts w:hint="default" w:ascii="Arial" w:hAnsi="Arial" w:eastAsia="宋体" w:cs="Arial"/>
          <w:i w:val="0"/>
          <w:iCs w:val="0"/>
          <w:caps w:val="0"/>
          <w:color w:val="222222"/>
          <w:spacing w:val="0"/>
          <w:sz w:val="24"/>
          <w:szCs w:val="24"/>
          <w:shd w:val="clear" w:fill="FFFFFF"/>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titive Strategies and Emerging Markets Challenges. </w:t>
      </w:r>
      <w:r>
        <w:rPr>
          <w:rFonts w:hint="default" w:ascii="Arial" w:hAnsi="Arial" w:eastAsia="宋体" w:cs="Arial"/>
          <w:i/>
          <w:iCs/>
          <w:caps w:val="0"/>
          <w:color w:val="222222"/>
          <w:spacing w:val="0"/>
          <w:sz w:val="24"/>
          <w:szCs w:val="24"/>
          <w:shd w:val="clear" w:fill="FFFFFF"/>
        </w:rPr>
        <w:t>IUP Journal of Brand Management</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18</w:t>
      </w:r>
      <w:r>
        <w:rPr>
          <w:rFonts w:hint="default" w:ascii="Arial" w:hAnsi="Arial" w:eastAsia="宋体" w:cs="Arial"/>
          <w:i w:val="0"/>
          <w:iCs w:val="0"/>
          <w:caps w:val="0"/>
          <w:color w:val="222222"/>
          <w:spacing w:val="0"/>
          <w:sz w:val="24"/>
          <w:szCs w:val="24"/>
          <w:shd w:val="clear" w:fill="FFFFFF"/>
        </w:rPr>
        <w:t>(3).</w:t>
      </w:r>
    </w:p>
    <w:p>
      <w:pPr>
        <w:spacing w:line="480" w:lineRule="auto"/>
        <w:rPr>
          <w:rFonts w:hint="default" w:ascii="Arial" w:hAnsi="Arial" w:eastAsia="宋体" w:cs="Arial"/>
          <w:i w:val="0"/>
          <w:iCs w:val="0"/>
          <w:caps w:val="0"/>
          <w:color w:val="222222"/>
          <w:spacing w:val="0"/>
          <w:sz w:val="24"/>
          <w:szCs w:val="24"/>
          <w:shd w:val="clear" w:fill="FFFFFF"/>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Sull, D., Sull, C., &amp; Zweig, B. (2022). Toxic culture is driving the great resignation. </w:t>
      </w:r>
      <w:r>
        <w:rPr>
          <w:rFonts w:hint="default" w:ascii="Arial" w:hAnsi="Arial" w:eastAsia="宋体" w:cs="Arial"/>
          <w:i/>
          <w:iCs/>
          <w:caps w:val="0"/>
          <w:color w:val="222222"/>
          <w:spacing w:val="0"/>
          <w:sz w:val="24"/>
          <w:szCs w:val="24"/>
          <w:shd w:val="clear" w:fill="FFFFFF"/>
        </w:rPr>
        <w:t>MIT Sloan Management Review</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63</w:t>
      </w:r>
      <w:r>
        <w:rPr>
          <w:rFonts w:hint="default" w:ascii="Arial" w:hAnsi="Arial" w:eastAsia="宋体" w:cs="Arial"/>
          <w:i w:val="0"/>
          <w:iCs w:val="0"/>
          <w:caps w:val="0"/>
          <w:color w:val="222222"/>
          <w:spacing w:val="0"/>
          <w:sz w:val="24"/>
          <w:szCs w:val="24"/>
          <w:shd w:val="clear" w:fill="FFFFFF"/>
        </w:rPr>
        <w:t>(2), 1-9.</w:t>
      </w:r>
    </w:p>
    <w:p>
      <w:pPr>
        <w:spacing w:line="480" w:lineRule="auto"/>
        <w:rPr>
          <w:rFonts w:hint="default" w:ascii="Arial" w:hAnsi="Arial" w:eastAsia="宋体" w:cs="Arial"/>
          <w:i w:val="0"/>
          <w:iCs w:val="0"/>
          <w:caps w:val="0"/>
          <w:color w:val="222222"/>
          <w:spacing w:val="0"/>
          <w:sz w:val="24"/>
          <w:szCs w:val="24"/>
          <w:shd w:val="clear" w:fill="FFFFFF"/>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Yukl, G., &amp; Mahsud, R. (2010). Why flexible and adaptive leadership is essential. </w:t>
      </w:r>
      <w:r>
        <w:rPr>
          <w:rFonts w:hint="default" w:ascii="Arial" w:hAnsi="Arial" w:eastAsia="宋体" w:cs="Arial"/>
          <w:i/>
          <w:iCs/>
          <w:caps w:val="0"/>
          <w:color w:val="222222"/>
          <w:spacing w:val="0"/>
          <w:sz w:val="24"/>
          <w:szCs w:val="24"/>
          <w:shd w:val="clear" w:fill="FFFFFF"/>
        </w:rPr>
        <w:t>Consulting Psychology Journal: practice and research</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62</w:t>
      </w:r>
      <w:r>
        <w:rPr>
          <w:rFonts w:hint="default" w:ascii="Arial" w:hAnsi="Arial" w:eastAsia="宋体" w:cs="Arial"/>
          <w:i w:val="0"/>
          <w:iCs w:val="0"/>
          <w:caps w:val="0"/>
          <w:color w:val="222222"/>
          <w:spacing w:val="0"/>
          <w:sz w:val="24"/>
          <w:szCs w:val="24"/>
          <w:shd w:val="clear" w:fill="FFFFFF"/>
        </w:rPr>
        <w:t>(2), 81.</w:t>
      </w:r>
    </w:p>
    <w:p>
      <w:pPr>
        <w:spacing w:line="480" w:lineRule="auto"/>
        <w:rPr>
          <w:rFonts w:hint="default" w:ascii="Arial" w:hAnsi="Arial" w:eastAsia="宋体" w:cs="Arial"/>
          <w:sz w:val="24"/>
          <w:szCs w:val="24"/>
          <w:lang w:val="en-US" w:eastAsia="zh-CN"/>
        </w:rPr>
      </w:pPr>
    </w:p>
    <w:p>
      <w:pPr>
        <w:spacing w:line="480" w:lineRule="auto"/>
        <w:rPr>
          <w:rFonts w:hint="default" w:ascii="Arial" w:hAnsi="Arial" w:eastAsia="宋体" w:cs="Arial"/>
          <w:sz w:val="24"/>
          <w:szCs w:val="24"/>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wM2E1ODIyZTk0ZGRhMTk3NGU1OWIzYzkzZjQ4MGQifQ=="/>
  </w:docVars>
  <w:rsids>
    <w:rsidRoot w:val="00000000"/>
    <w:rsid w:val="028B3541"/>
    <w:rsid w:val="17197E07"/>
    <w:rsid w:val="6038081C"/>
    <w:rsid w:val="77C654CD"/>
    <w:rsid w:val="7BC631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FollowedHyperlink"/>
    <w:basedOn w:val="3"/>
    <w:uiPriority w:val="0"/>
    <w:rPr>
      <w:color w:val="800080"/>
      <w:u w:val="single"/>
    </w:rPr>
  </w:style>
  <w:style w:type="character" w:styleId="5">
    <w:name w:val="Hyperlink"/>
    <w:basedOn w:val="3"/>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1379</Words>
  <Characters>8201</Characters>
  <Lines>0</Lines>
  <Paragraphs>0</Paragraphs>
  <TotalTime>0</TotalTime>
  <ScaleCrop>false</ScaleCrop>
  <LinksUpToDate>false</LinksUpToDate>
  <CharactersWithSpaces>9559</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2023-04-15T15:24:00Z</dcterms:created>
  <dc:creator>Xiaotong Feng</dc:creator>
  <cp:lastModifiedBy>我想要的仅此而已</cp:lastModifiedBy>
  <dcterms:modified xsi:type="dcterms:W3CDTF">2023-05-02T05:15:12Z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6BF4440241B54FD8B09A6DD2E3982263</vt:lpwstr>
  </property>
</Properties>
</file>