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EEA14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67673">
              <w:rPr>
                <w:b/>
                <w:color w:val="auto"/>
                <w:sz w:val="32"/>
              </w:rPr>
              <w:t xml:space="preserve">Carys Mason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7582D3" w:rsidR="005A1BA3" w:rsidRDefault="00367673" w:rsidP="00340E9A">
            <w:pPr>
              <w:overflowPunct/>
              <w:autoSpaceDE/>
              <w:autoSpaceDN/>
              <w:adjustRightInd/>
              <w:ind w:right="237"/>
              <w:textAlignment w:val="auto"/>
              <w:rPr>
                <w:b/>
                <w:color w:val="auto"/>
                <w:sz w:val="32"/>
              </w:rPr>
            </w:pPr>
            <w:r>
              <w:rPr>
                <w:b/>
                <w:color w:val="auto"/>
                <w:sz w:val="32"/>
              </w:rPr>
              <w:t>1800707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32E4825" w14:textId="200319E8" w:rsidR="001E7592" w:rsidRDefault="1DD1DFEA" w:rsidP="00396054">
      <w:pPr>
        <w:ind w:right="237"/>
        <w:rPr>
          <w:b/>
          <w:sz w:val="24"/>
          <w:szCs w:val="24"/>
        </w:rPr>
      </w:pPr>
      <w:r w:rsidRPr="1DD1DFEA">
        <w:rPr>
          <w:rFonts w:eastAsia="Arial"/>
          <w:b/>
          <w:bCs/>
          <w:i/>
          <w:iCs/>
          <w:color w:val="000000" w:themeColor="text1"/>
          <w:sz w:val="24"/>
          <w:szCs w:val="24"/>
        </w:rPr>
        <w:t xml:space="preserve"> </w:t>
      </w: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EECB07D" w14:textId="77777777" w:rsidR="00367673" w:rsidRDefault="00367673" w:rsidP="00367673">
      <w:pPr>
        <w:pStyle w:val="NoSpacing"/>
      </w:pPr>
      <w:r>
        <w:t>This essay will consider and reflect on the impact of organisational justice on myself as a member of the police service. It will also consider the steps that the police organisation is taking to raise ethical standards.</w:t>
      </w:r>
    </w:p>
    <w:p w14:paraId="02C03FDB" w14:textId="419A3286" w:rsidR="00367673" w:rsidRDefault="00367673" w:rsidP="00367673">
      <w:pPr>
        <w:pStyle w:val="NoSpacing"/>
      </w:pPr>
    </w:p>
    <w:p w14:paraId="245E62DE" w14:textId="6088A572" w:rsidR="00367673" w:rsidRDefault="00367673" w:rsidP="00367673">
      <w:pPr>
        <w:pStyle w:val="NoSpacing"/>
      </w:pPr>
      <w:r>
        <w:t>According to HMICFRS organisational justice is the “</w:t>
      </w:r>
      <w:r w:rsidRPr="00AA0852">
        <w:t xml:space="preserve">Degree to which police officers and staff perceive the decisions that affect them as fair. Officers and staff are more likely to treat the public fairly and respectfully if they feel that they are being treated this way, </w:t>
      </w:r>
      <w:r>
        <w:t>particularly by their own force” (HMICFRS, 2019). Organisational justice can affect the employee’s performance whilst at work. There are three types of justice that make up organisational justice and these are distributive justice, procedural justice and interactional justice. Distributive justice refers to the outputs being proportional to the inputs. This is also recognised as the ‘equity principle’. Procedural justice is the fairness of the decision/outcome process. Interactional justice refers to interpersonal interactions and treatment of everyone within the workplace and their perceptions of it. (Susan Baldwin, 2006).</w:t>
      </w:r>
    </w:p>
    <w:p w14:paraId="753FE56C" w14:textId="3B656CCE" w:rsidR="00066A74" w:rsidRDefault="00066A74" w:rsidP="00367673">
      <w:pPr>
        <w:pStyle w:val="NoSpacing"/>
      </w:pPr>
    </w:p>
    <w:p w14:paraId="3D0BEFBB" w14:textId="312A64AE" w:rsidR="00066A74" w:rsidRDefault="00066A74" w:rsidP="00367673">
      <w:pPr>
        <w:pStyle w:val="NoSpacing"/>
      </w:pPr>
      <w:r>
        <w:t>An example of how this has affected me is</w:t>
      </w:r>
      <w:r w:rsidR="00BB747D">
        <w:t>,</w:t>
      </w:r>
      <w:r>
        <w:t xml:space="preserve"> in March 2020 I was told by an inspector that I needed to work from home due to Coronavirus. The inspector stated that I needed to shield as I am Type 1 diabetic. I felt that no one consider</w:t>
      </w:r>
      <w:r w:rsidR="00BB747D">
        <w:t>ed</w:t>
      </w:r>
      <w:r>
        <w:t xml:space="preserve"> my mental health when this decision was made. I felt that the </w:t>
      </w:r>
      <w:r w:rsidR="00BB747D">
        <w:t>in</w:t>
      </w:r>
      <w:r>
        <w:t xml:space="preserve">puts were not proportional to </w:t>
      </w:r>
      <w:r w:rsidR="00BB747D">
        <w:t>the out</w:t>
      </w:r>
      <w:r>
        <w:t xml:space="preserve">puts as </w:t>
      </w:r>
      <w:r w:rsidR="00BB747D">
        <w:t xml:space="preserve">the inspector wanted me to </w:t>
      </w:r>
      <w:r w:rsidR="00017E39">
        <w:t xml:space="preserve">take statements </w:t>
      </w:r>
      <w:r w:rsidR="00BB747D">
        <w:t>over the phone and update all police logs but with no support in place.</w:t>
      </w:r>
    </w:p>
    <w:p w14:paraId="54039BDE" w14:textId="77777777" w:rsidR="00367673" w:rsidRDefault="00367673" w:rsidP="00367673">
      <w:pPr>
        <w:pStyle w:val="NoSpacing"/>
      </w:pPr>
    </w:p>
    <w:p w14:paraId="297F6D7D" w14:textId="6771E938" w:rsidR="00367673" w:rsidRDefault="00367673" w:rsidP="00367673">
      <w:pPr>
        <w:pStyle w:val="NoSpacing"/>
      </w:pPr>
      <w:r>
        <w:t xml:space="preserve">I am required to follow the Code of Ethics by South Wales Police organisation. According to the College of Policing (2014) the Code of Ethics aim is “to support each member of the policing profession to deliver the highest professional standard in their service to the public”. In order to achieve this aim there are nine policing principles and ten standards of professional behaviour they all members of the service must follow. The nine policing principles are accountability, fairness, honesty, integrity, leadership, objectivity, openness, respect and selflessness. The ten standards of professional behaviour are honesty and integrity, authority, respect and courtesy, equality and diversity, use of force, orders and instructions, duties and responsibilities, confidentially, fitness for work, conduct and challenging and reporting improper behaviour. </w:t>
      </w:r>
    </w:p>
    <w:p w14:paraId="18982616" w14:textId="77777777" w:rsidR="00367673" w:rsidRDefault="00367673" w:rsidP="00367673">
      <w:pPr>
        <w:pStyle w:val="NoSpacing"/>
      </w:pPr>
    </w:p>
    <w:p w14:paraId="1FF9CD05" w14:textId="099966D9" w:rsidR="00367673" w:rsidRDefault="00367673" w:rsidP="00367673">
      <w:pPr>
        <w:pStyle w:val="NoSpacing"/>
      </w:pPr>
      <w:r>
        <w:lastRenderedPageBreak/>
        <w:t>I find that if I work in a happy environment whereby I am treated fair</w:t>
      </w:r>
      <w:r w:rsidR="0098309F">
        <w:t>ly</w:t>
      </w:r>
      <w:r>
        <w:t xml:space="preserve"> and with respect I work </w:t>
      </w:r>
      <w:r w:rsidR="00BB747D">
        <w:t>more efficiently</w:t>
      </w:r>
      <w:r>
        <w:t xml:space="preserve">. If the senior ranking officer puts your best interests at the heart of the decision, I find that it makes me want to provide the best level of service to the communities because I am being ‘looked after’ within my workplace. I feel like I am more than just a ‘number’. However, that is not always the case and sometimes decisions can be made whereby it leaves me feeling frustrated and like I have been treated unfairly. </w:t>
      </w:r>
      <w:r w:rsidR="00003B77">
        <w:t>An example of this is a SWP employee wished to attend a re</w:t>
      </w:r>
      <w:r w:rsidR="004356B7">
        <w:t>ligious ceremony however, she was refused the day off due to staffing issues</w:t>
      </w:r>
      <w:r w:rsidR="00066A74">
        <w:t xml:space="preserve"> by her supervisor</w:t>
      </w:r>
      <w:r w:rsidR="004356B7">
        <w:t xml:space="preserve">. </w:t>
      </w:r>
      <w:r w:rsidR="00066A74">
        <w:t xml:space="preserve">The officer felt that she had been treated unfairly so she challenged and reported the improper behaviour to senior ranking officers. This case was then looked at by senior officer and the decision was made that the officer was allowed the day off to attend the religiously ceremony. The officer felt that they were more than just a number and that they were treated as an individual. </w:t>
      </w:r>
      <w:r>
        <w:t xml:space="preserve">Sometimes the way I have been treated makes me feel like I don’t want to give my best to the communities I police however, I do not let this happen. I always remind myself of the nine policing principles and the ten standards of professional behaviour and follow them regardless how I am feeling. John Stacy Adams (1963 &amp; 1965) Equity Theory would also agree. Adams theory believes that the inputs should be equal to the outputs in order for the employee to feel valued. </w:t>
      </w:r>
    </w:p>
    <w:p w14:paraId="4D3B070B" w14:textId="77777777" w:rsidR="00367673" w:rsidRDefault="00367673" w:rsidP="00367673">
      <w:pPr>
        <w:pStyle w:val="NoSpacing"/>
      </w:pPr>
    </w:p>
    <w:p w14:paraId="6C89FCBF" w14:textId="77777777" w:rsidR="00367673" w:rsidRDefault="00367673" w:rsidP="00367673">
      <w:pPr>
        <w:pStyle w:val="NoSpacing"/>
      </w:pPr>
      <w:r>
        <w:t>Being a female officer can have a negative side as I feel that the organisation is still adapting to the change in some specialist departments. There are some job titles within the police services that I feel are more male predominant and are looked at to be a ‘male job’. This can make female officers feel like they are being treated unfairly and like they are being treated with a lack of respect. South Wales Police organisation are definitely taking steps in order to tackle this and raise ethical standards regarding fairness, respect, openness, authority, respect and courtesy and equality and diversity. For example, a photo got tweeted on SWP’s twitter of the very first all-female ARV. This tweet received a tremendous amount of support and I feel that it is the organisations way of showing that they are changing/adapting and they are trying to encourage females to take interest in the more male predominant roles. According to Central Test (2016) there are six ways in which an organisation can create an ethical culture. These are establish ethical stance, know your employees, train for discretion, make ethics visible, welcome concerns and lastly reward ethical behaviour. I think that out of these six South Wales Police organisation hit four out of the six. South Wales Police have definitely established their ethical standards as police organisation has created nine policing principle and ten standards of professional behaviour which make up the police code of ethics. South Wales Police train for discretion and make their ethics visible by senior ranking officers leading by example and encourage officers to do the same. South Wales Police hold sergeant meetings whereby all feedback is shared, this gives officers to express any concerns they have via their sergeants. However, the organisation does not know all their employees as the organisation has thousands of people with in and the also do no reward ethical behaviour as it is not an option it is mandatory. By creating an ethical culture the organisation is improving and taking steps to raise ethical standards.</w:t>
      </w:r>
    </w:p>
    <w:p w14:paraId="04B21DBB" w14:textId="77777777" w:rsidR="00367673" w:rsidRDefault="00367673" w:rsidP="00367673">
      <w:pPr>
        <w:pStyle w:val="NoSpacing"/>
      </w:pPr>
    </w:p>
    <w:p w14:paraId="402B499A" w14:textId="63D75744" w:rsidR="00367673" w:rsidRDefault="00367673" w:rsidP="00367673">
      <w:pPr>
        <w:pStyle w:val="NoSpacing"/>
      </w:pPr>
      <w:r>
        <w:t>To conclude, organisational justice is how officers perceive the decisions that affect them as fair. There are three types of justice that makes up organisational justice and they are distributive, procedural and interactional justice</w:t>
      </w:r>
      <w:r w:rsidR="00017E39">
        <w:t xml:space="preserve">. </w:t>
      </w:r>
      <w:r>
        <w:t>Organisational justice within SWP has a big impact on me as if I feel that I am being treated fairly and with respect then that is how I treat the community. The organisation is not perfect in every way but they recognise that and are making changes. They even display this through the use of social media.</w:t>
      </w:r>
    </w:p>
    <w:p w14:paraId="0590AAF8" w14:textId="77777777" w:rsidR="00FF7784" w:rsidRPr="00270EEB" w:rsidRDefault="00FF7784" w:rsidP="00340E9A">
      <w:pPr>
        <w:ind w:right="237"/>
        <w:jc w:val="both"/>
        <w:rPr>
          <w:sz w:val="24"/>
          <w:szCs w:val="24"/>
        </w:rPr>
      </w:pPr>
    </w:p>
    <w:p w14:paraId="19FBAC4F" w14:textId="6449E6A8" w:rsidR="00FF7784" w:rsidRPr="00367673" w:rsidRDefault="0090716F" w:rsidP="00367673">
      <w:pPr>
        <w:ind w:right="237"/>
        <w:jc w:val="right"/>
        <w:rPr>
          <w:rFonts w:asciiTheme="minorHAnsi" w:hAnsiTheme="minorHAnsi" w:cstheme="minorHAnsi"/>
          <w:sz w:val="22"/>
          <w:szCs w:val="24"/>
        </w:rPr>
      </w:pPr>
      <w:r>
        <w:rPr>
          <w:rFonts w:asciiTheme="minorHAnsi" w:hAnsiTheme="minorHAnsi" w:cstheme="minorHAnsi"/>
          <w:sz w:val="22"/>
          <w:szCs w:val="24"/>
        </w:rPr>
        <w:t>(1094</w:t>
      </w:r>
      <w:r w:rsidR="00367673" w:rsidRPr="00367673">
        <w:rPr>
          <w:rFonts w:asciiTheme="minorHAnsi" w:hAnsiTheme="minorHAnsi" w:cstheme="minorHAnsi"/>
          <w:sz w:val="22"/>
          <w:szCs w:val="24"/>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3D4900DE" w14:textId="2F120AA8" w:rsidR="000F7ECD" w:rsidRPr="00270EEB" w:rsidRDefault="000F7ECD" w:rsidP="00340E9A">
      <w:pPr>
        <w:ind w:right="237"/>
        <w:jc w:val="both"/>
        <w:rPr>
          <w:sz w:val="24"/>
          <w:szCs w:val="24"/>
        </w:rPr>
        <w:sectPr w:rsidR="000F7ECD" w:rsidRPr="00270EEB" w:rsidSect="002D5C2F">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27D6D76"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This essay will discuss a policing incident involving a partnership approach with a victim which I played a significant role in. It will discuss what options I considered when adopting a multi-agency approach. This essay will consider how I decided on the most appropriate option to resolve the problem and how I evaluated the available evidence. Lastly, this essay will justify my intervention and it will highlight any potential consequences. </w:t>
      </w:r>
    </w:p>
    <w:p w14:paraId="50DD2C0C" w14:textId="77777777" w:rsidR="00367673" w:rsidRPr="00367673" w:rsidRDefault="00367673" w:rsidP="00367673">
      <w:pPr>
        <w:rPr>
          <w:rFonts w:asciiTheme="minorHAnsi" w:hAnsiTheme="minorHAnsi" w:cstheme="minorHAnsi"/>
          <w:sz w:val="22"/>
        </w:rPr>
      </w:pPr>
    </w:p>
    <w:p w14:paraId="4FEF9CA7"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The incident I’ll use for this essay is a suicidal female who was found on the wrong side of a bridge and tried to end her own life by jumping from the bridge. The call come out for a suicidal female, so I headed straight to the bridge to assist other colleagues who were also on route. When I arrived on scene, I knew the female from previous incidents and I had a good working relationship with her. Based on that, I decided that I would be the main officers talking to her as she knew who I was. I continued to build a greater report with the female and kept her talking whilst I waited for a negotiator. I asked further traffic units to attend the scene and close the road that ran under the bridge to avoid any further complications. I slowly made my way closer to the female with another colleague whilst continuing to talk to her. The female edged herself closer to the edge and made a significant comment that she was going to jump. My colleague and I reached over the barrier taking hold of the female and bringing her back to the correct side of the bridge. Once the female was on the correct side of the bridge and safe, she was sectioned under Section 136 Mental Health Act 1983. Section 136 of the Mental Health Act allows any police constable to section any person that they feel is suffering from a mental health disorder in order to protect the person or any other surrounding people if the police constable feels it is necessary to do so. Once the person has been sectioned under this act, the police constable must take the person to a place of safety whereby an </w:t>
      </w:r>
      <w:r w:rsidRPr="00367673">
        <w:rPr>
          <w:rFonts w:asciiTheme="minorHAnsi" w:hAnsiTheme="minorHAnsi" w:cstheme="minorHAnsi"/>
          <w:sz w:val="22"/>
        </w:rPr>
        <w:lastRenderedPageBreak/>
        <w:t>assessment will take place. Once the person is at a place of safety, a police constable has the power to keep the person there under this act. (Legislation.gov, 2020).</w:t>
      </w:r>
    </w:p>
    <w:p w14:paraId="365999C5" w14:textId="77777777" w:rsidR="00367673" w:rsidRPr="00367673" w:rsidRDefault="00367673" w:rsidP="00367673">
      <w:pPr>
        <w:rPr>
          <w:rFonts w:asciiTheme="minorHAnsi" w:hAnsiTheme="minorHAnsi" w:cstheme="minorHAnsi"/>
          <w:sz w:val="22"/>
        </w:rPr>
      </w:pPr>
    </w:p>
    <w:p w14:paraId="266CF202"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In order to reflect on this incident I will use Gibbs Model (1988).</w:t>
      </w:r>
    </w:p>
    <w:p w14:paraId="3C8D0F98" w14:textId="77777777" w:rsidR="00367673" w:rsidRPr="00367673" w:rsidRDefault="00367673" w:rsidP="00367673">
      <w:pPr>
        <w:rPr>
          <w:rFonts w:asciiTheme="minorHAnsi" w:hAnsiTheme="minorHAnsi" w:cstheme="minorHAnsi"/>
          <w:sz w:val="22"/>
        </w:rPr>
      </w:pPr>
    </w:p>
    <w:p w14:paraId="0A9BFE08"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Prior to attending and whilst at the scene of the incident I needed to consider what other agencies needed to be involved in order to get the female the best support. I had to prioritise what agencies would be best at the time of the incident in order to get the female to safety before thinking of long term agencies. The agencies I considered were an ambulance, a negotiator, more units and my bronze inspector. Although some of these options are not considered as multi-agency, they were crucial to this incident as it unfolded. Once the female had been sectioned, the other agencies I considered were crisis team, adult/social services, mental health team and public protection unit. In the police service any safeguarding concerns we have, we send a public protection notification report to the public protection unit. In the public protection unit there is a department called MASH (multi agency support hub). Overall I think that MASH has many benefits however, sometimes I feel that there are challenges. Sue Metcalfe, 2015 would agree that there are benefits and challenges within MASH. Metcalfe will say that the benefits to MASH are “faster, more coordinated and consistent response to safeguarding concerns, more accurate assessment of rules and needs, more thorough and focused management of all cases, better understanding between professionals and greater efficiencies in process and resources”. Metcalfe will also day that the challenges to MASH are “misunderstanding amongst professionals about information required and mechanisms required and adult safeguarding is different to safeguarding children and it is more complex”. (Sue Metcalfe, 2015). </w:t>
      </w:r>
    </w:p>
    <w:p w14:paraId="1D6D3B25" w14:textId="77777777" w:rsidR="00367673" w:rsidRPr="00367673" w:rsidRDefault="00367673" w:rsidP="00367673">
      <w:pPr>
        <w:rPr>
          <w:rFonts w:asciiTheme="minorHAnsi" w:hAnsiTheme="minorHAnsi" w:cstheme="minorHAnsi"/>
          <w:sz w:val="22"/>
        </w:rPr>
      </w:pPr>
    </w:p>
    <w:p w14:paraId="0282C3CD"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To assist me in making the decisions and come up with the more appropriate option, I used the national decision model. This model is made up of five different elements with the police code of ethics in the centre of the model. The five elements are “gather information and intelligence, assess threat and risk and develop a working strategy, consider powers and policies, identify options and contingencies and lastly, take action and review what happened”. (College of Policing, 2013). When I arrived at the incident I gave the police control room the name and date of birth for the female, so they were able to pass any warning markers for the female’s mental health and also pass details of previous mental health incidents. This was gathering information and intelligence. I assessed the threat and risk and it was clear that the risk of this incident was high. Due to the incident being high risk, I had to pass all information from scene to an inspector in the control room so they could advice units and give instructions via the radio. I then considered all possible options that I had and it was decided that the most appropriate option would be to section the female under section 136. I came to this decision as I felt that it had the best safeguarding qualities and it was imminent action. </w:t>
      </w:r>
    </w:p>
    <w:p w14:paraId="6D9E3C47" w14:textId="77777777" w:rsidR="00367673" w:rsidRPr="00367673" w:rsidRDefault="00367673" w:rsidP="00367673">
      <w:pPr>
        <w:rPr>
          <w:rFonts w:asciiTheme="minorHAnsi" w:hAnsiTheme="minorHAnsi" w:cstheme="minorHAnsi"/>
          <w:sz w:val="22"/>
        </w:rPr>
      </w:pPr>
    </w:p>
    <w:p w14:paraId="6A7B6176"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In order to make this decision I had to evaluate all the available evidence I had. I did this by taking a ‘step back’ and looking at the wider picture. I replayed the incident in my head, making sure that I included everything. By doing this, it allowed me to gather all evidence from different parts of the incident and allowed me to make decisions or consider different contingencies based on the evidence. This is called evidence based policing. According to CIPD “Evidence-based practice is about making better decisions, informing action that has the desired impact. An evidence-based approach to decision-making is based on a combination of using critical thinking and the best available evidence” (CIPD, 2019). This is exactly what I did.</w:t>
      </w:r>
    </w:p>
    <w:p w14:paraId="1A56CB67" w14:textId="77777777" w:rsidR="00367673" w:rsidRPr="00367673" w:rsidRDefault="00367673" w:rsidP="00367673">
      <w:pPr>
        <w:rPr>
          <w:rFonts w:asciiTheme="minorHAnsi" w:hAnsiTheme="minorHAnsi" w:cstheme="minorHAnsi"/>
          <w:sz w:val="22"/>
        </w:rPr>
      </w:pPr>
    </w:p>
    <w:p w14:paraId="0EC5F89A"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I can justify all my interventions as I used the NDM. I also looked at the situation as a whole and I can justify my interventions because I evaluated all possible evidence, I discussed my interventions with my colleagues and sometimes even my bronze inspector. If I did not make the decision to get closer to the female, then she would have jumped without no one being able to get hold of her and bring </w:t>
      </w:r>
      <w:r w:rsidRPr="00367673">
        <w:rPr>
          <w:rFonts w:asciiTheme="minorHAnsi" w:hAnsiTheme="minorHAnsi" w:cstheme="minorHAnsi"/>
          <w:sz w:val="22"/>
        </w:rPr>
        <w:lastRenderedPageBreak/>
        <w:t xml:space="preserve">her back to safety. However, there were times during this incident that something could have gone wrong meaning that there were potential consequences. Potential consequences of this incident were, the female could have jumped from the bridge as my colleagues and I got closer to her, if the decision was not made to section the female then she could have returned home and tried to commit suicide again and as all colleagues main priorities were the female the surrounding people’s safety was compromised. That being said I think that this incident was dealt with in an expeditious manner and all colleagues, the female and surrounding people were safe and no harm occurred to any individuals during this incident. </w:t>
      </w:r>
    </w:p>
    <w:p w14:paraId="5BDED8AD" w14:textId="77777777" w:rsidR="00367673" w:rsidRPr="00367673" w:rsidRDefault="00367673" w:rsidP="00367673">
      <w:pPr>
        <w:rPr>
          <w:rFonts w:asciiTheme="minorHAnsi" w:hAnsiTheme="minorHAnsi" w:cstheme="minorHAnsi"/>
          <w:sz w:val="22"/>
        </w:rPr>
      </w:pPr>
    </w:p>
    <w:p w14:paraId="0F2B4F8D"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I feel that I considered all options available and tried my best to cover all safeguarding aspects for the female whilst present at the incident and after the incident. I feel that I made on the most appropriate decision to resolve this incident and I evaluated all the available evidence by making sure I took all evidence into consideration. When evaluating this incident I think that I did a good job considering all options and if I was to do it again I do not feel that I would consider any further agencies. I can fully justice my interventions and I have highlighted the potential consequences. </w:t>
      </w:r>
    </w:p>
    <w:p w14:paraId="79C6F38B" w14:textId="4AFCAE21" w:rsidR="00AA666E" w:rsidRDefault="00AA666E" w:rsidP="00340E9A">
      <w:pPr>
        <w:ind w:right="237"/>
        <w:jc w:val="both"/>
        <w:rPr>
          <w:sz w:val="24"/>
          <w:szCs w:val="24"/>
        </w:rPr>
      </w:pPr>
    </w:p>
    <w:p w14:paraId="35C86475" w14:textId="1EB07BB3" w:rsidR="00367673" w:rsidRDefault="00367673" w:rsidP="00367673">
      <w:pPr>
        <w:pStyle w:val="NoSpacing"/>
        <w:jc w:val="right"/>
      </w:pPr>
      <w:r>
        <w:t xml:space="preserve"> (1318)</w:t>
      </w:r>
    </w:p>
    <w:p w14:paraId="5AB0FAA2" w14:textId="77777777" w:rsidR="00367673" w:rsidRPr="00270EEB" w:rsidRDefault="00367673"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66A18F59"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This essay will have a brief description of a policing incident whereby I played a significant role with a victim of crime and reflect on said incident. This essay will evaluate the appropriateness of different approaches by professionals and the police in supporting vulnerable people or people at risk of harm. This essay will also evaluate what works in relation to tackling repeat victimisation and repeat offending.</w:t>
      </w:r>
    </w:p>
    <w:p w14:paraId="5F053CF2" w14:textId="77777777" w:rsidR="00367673" w:rsidRPr="00367673" w:rsidRDefault="00367673" w:rsidP="00367673">
      <w:pPr>
        <w:rPr>
          <w:rFonts w:asciiTheme="minorHAnsi" w:hAnsiTheme="minorHAnsi" w:cstheme="minorHAnsi"/>
          <w:sz w:val="22"/>
        </w:rPr>
      </w:pPr>
    </w:p>
    <w:p w14:paraId="66FFF42B"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The policing incident I will use for this essay will be a domestic related harassment. Domestic related harassment is normal harassment which is “A person must not pursue a course of conduct which amounts to harassment of another and which he knows or ought to know amounts to harassment of another” (Pocket Sergeant, 2020) however, the harassment is between two parties who have a relationship of some sort or have been in any type of relationship. This incident refers to a repeat victim of DV harassment from their ex-partner. The offender sent multiple unwanted text messages and multiple unwanted voicemails to the victim on different occasions. The offender also attended the victim’s home address causing the victim to feel harassed, alarmed or distressed as the offender looked through the front windows and climbed into the rear of the property to look through the rear windows. Once the victim contacted police in relation to this matter, the offender continued to carry out this course of conduct until he was later arrested and dealt with. </w:t>
      </w:r>
    </w:p>
    <w:p w14:paraId="0446F0D0" w14:textId="77777777" w:rsidR="00367673" w:rsidRPr="00367673" w:rsidRDefault="00367673" w:rsidP="00367673">
      <w:pPr>
        <w:rPr>
          <w:rFonts w:asciiTheme="minorHAnsi" w:hAnsiTheme="minorHAnsi" w:cstheme="minorHAnsi"/>
          <w:sz w:val="22"/>
        </w:rPr>
      </w:pPr>
    </w:p>
    <w:p w14:paraId="30911136"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In order to reflect on this incident I will use Gibbs Model (Gibbs, 1988). Gibbs reflective model is a model that is designed to help you reflect on anything. Gibbs model is broken down into five separate components. The five separate components are description, feelings, evaluation, conclusion and action.</w:t>
      </w:r>
    </w:p>
    <w:p w14:paraId="484E208E" w14:textId="77777777" w:rsidR="00367673" w:rsidRPr="00367673" w:rsidRDefault="00367673" w:rsidP="00367673">
      <w:pPr>
        <w:rPr>
          <w:rFonts w:asciiTheme="minorHAnsi" w:hAnsiTheme="minorHAnsi" w:cstheme="minorHAnsi"/>
          <w:sz w:val="22"/>
        </w:rPr>
      </w:pPr>
    </w:p>
    <w:p w14:paraId="7843BC8D"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When attending the original incident I felt that I gave the victim very good level of service. I was apprehensive about this incident as I was dealing with it alone. I attended the victim’s home address and took a first account on my body worn video. I personally feel that it is important to capture a domestic related incident on body worn video as it captures the demeanour of the victim and it is good evidence if the victim decides that they no longer support police action later on in the </w:t>
      </w:r>
      <w:r w:rsidRPr="00367673">
        <w:rPr>
          <w:rFonts w:asciiTheme="minorHAnsi" w:hAnsiTheme="minorHAnsi" w:cstheme="minorHAnsi"/>
          <w:sz w:val="22"/>
        </w:rPr>
        <w:lastRenderedPageBreak/>
        <w:t xml:space="preserve">investigation. According to (CDS, Office Technologies, 2020) there are five benefits to police officers using their body cameras. These are “Increased officer safety, Increased public confidence in police, Body camera footage is great for training, Disprove unwarranted complaints and Reduced paperwork time for officers”. I agree with the first four however, I disagree with the last one. I also feel that I dealt with this incident in an expeditiously manner. I sat down with the victim for a long period of time and took a full detailed statement from her. Whilst taking a statement, the victim showed me the text messages and voicemails. I arranged for the victims phone to be downloaded so the messages and voicemails could be exhibited. I provided her with reassurance and I offered her all safeguarding measures that I could put in place. If I was to do this again I would try to be involved in this incident from start to finish. I understand that this is not always possible however, it would have been nice to watch the case progress. Overall, I think that I handled this incident very well on my own and I did not need any help from other officers as I was confident in all the decisions I was making. </w:t>
      </w:r>
    </w:p>
    <w:p w14:paraId="59A56CAD" w14:textId="77777777" w:rsidR="00367673" w:rsidRPr="00367673" w:rsidRDefault="00367673" w:rsidP="00367673">
      <w:pPr>
        <w:rPr>
          <w:rFonts w:asciiTheme="minorHAnsi" w:hAnsiTheme="minorHAnsi" w:cstheme="minorHAnsi"/>
          <w:sz w:val="22"/>
        </w:rPr>
      </w:pPr>
    </w:p>
    <w:p w14:paraId="3A4701A3"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Police support vulnerable people and people at risk by safeguarding them by putting support in place and sharing it with different agencies. If any police officers feels that anyone is at risk they must do everything they can to remove that risk. How do police approach people at risk or support vulnerable people? From personal experience, I feel that it is important to listen to the victim and try to accommodate to their needs however, if I felt that they required more I would be honest, take the time to explain and then continue to get that person additional support for example, submitting PPN and graded them as I deem appropriate. In 2015 South Wales police had an inspection of police effectiveness in vulnerability. Figures show that in South Wales there were 62 arrests for every 100 domestic incidents (HMIC, 2015). These figures show that police in South Wales are taking a form of positive action and arresting suspects for DV related incidents. I feel that this is a very appropriate approaches by the police in supporting people at risk of domestic violence. Police can place critical markers on vulnerable people or people at risk of harm address. This means that of someone within the property phones 999 requesting police, it will show on the police system that there is a critical marker on the address and it’s more likely that this person requesting police is vulnerable or at risk of harm. As well as the police, social services and the housing association play a significant role in supporting and managing vulnerable people or people at risk of harm. Social services can provide extra safeguarding and housing association can accommodate safer housing for victims.</w:t>
      </w:r>
    </w:p>
    <w:p w14:paraId="5116AD6B" w14:textId="77777777" w:rsidR="00367673" w:rsidRPr="00367673" w:rsidRDefault="00367673" w:rsidP="00367673">
      <w:pPr>
        <w:rPr>
          <w:rFonts w:asciiTheme="minorHAnsi" w:hAnsiTheme="minorHAnsi" w:cstheme="minorHAnsi"/>
          <w:sz w:val="22"/>
        </w:rPr>
      </w:pPr>
    </w:p>
    <w:p w14:paraId="6E07CE97"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Repeat victimisation is a victim of crime who has been targeted more than once in the same crime and/or by the same person or persons. In order to tackle repeat victimisation of crime, England and Wales carried out a Crime Survey. The survey figures were split into three different categories which were too many to remember, don’t know and refused. This means that there are victims of crime that have reported too many of the same crime to remember and the other end of which they refused to provide details. From looking at these figures I can see that the numbers are genuinely increasing which tells me that the number of repeat victims has risen and is continuing to rise (Flatley, 2017). The most important thing to remember is why are they repeat victims of crime? What did not work and what needs changing? Police must always take positive action.  Providing victims of crime with reassurance visits from police will help build the confidence in police and will allow the police to provide safeguarding measures from the victim. In order to provide safeguarding measures for the victim it is important to gain the victims trust. Crime prevention surveys and target hardening can be provided for anyone within the community. However, police resources are very low and not every officer has time to sit down with victims of crime and complete crime prevention surveys and provide target hardening advice. South Wales police have created a victim focus form for victims of crime. Officers will complete this form and send it to the relevant department who then get in contact with the victim and talk through safeguarding and target hardening in detail. This is a key department in tacking repeat victims.</w:t>
      </w:r>
    </w:p>
    <w:p w14:paraId="3C8D6633" w14:textId="77777777" w:rsidR="00367673" w:rsidRPr="00367673" w:rsidRDefault="00367673" w:rsidP="00367673">
      <w:pPr>
        <w:rPr>
          <w:rFonts w:asciiTheme="minorHAnsi" w:hAnsiTheme="minorHAnsi" w:cstheme="minorHAnsi"/>
          <w:sz w:val="22"/>
        </w:rPr>
      </w:pPr>
    </w:p>
    <w:p w14:paraId="1796895F"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Repeat offending is similar to repeat victimisation however, it’s someone who carries out criminal activity on more than one occasion. In order to stop an offender being a repeat offender, it’s important to find out why that person is committing crime. Is it because they have a drink or drug problem? Is it because they have suffer with mental health or is it because they think it is a normal way of life? According to (Community Justice Scotland, 2016) there is a joined up approach in tackling repeat offending. Amongst the joined up approach is breaking the ice and getting connected, a new approach, targeting schools, managing stigma, promoting change and addressing complex needs. I think that Community Justice Scotland have covered every aspect in relation to tackling crime. Within the joined up approach there is education, change, addressing issues, community engagement and breaking down an issue and getting to know the problem. All these topics combined will tackle a repeat offender and hopefully set them on a new path. However, that being said when dealing with an offender it is important to offer out of court disposals. </w:t>
      </w:r>
    </w:p>
    <w:p w14:paraId="0520C8FF" w14:textId="77777777" w:rsidR="00367673" w:rsidRPr="00367673" w:rsidRDefault="00367673" w:rsidP="00367673">
      <w:pPr>
        <w:rPr>
          <w:rFonts w:asciiTheme="minorHAnsi" w:hAnsiTheme="minorHAnsi" w:cstheme="minorHAnsi"/>
          <w:sz w:val="22"/>
        </w:rPr>
      </w:pPr>
    </w:p>
    <w:p w14:paraId="55CB9D0D"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The link between the two is, a low number of offenders are responsible for a large number of crimes which corresponds with victims as low numbers of victims are victims of a large amount of offences.</w:t>
      </w:r>
    </w:p>
    <w:p w14:paraId="7F54E152" w14:textId="77777777" w:rsidR="00367673" w:rsidRPr="00367673" w:rsidRDefault="00367673" w:rsidP="00367673">
      <w:pPr>
        <w:rPr>
          <w:rFonts w:asciiTheme="minorHAnsi" w:hAnsiTheme="minorHAnsi" w:cstheme="minorHAnsi"/>
          <w:sz w:val="22"/>
        </w:rPr>
      </w:pPr>
    </w:p>
    <w:p w14:paraId="765512AD" w14:textId="59C6E632" w:rsidR="00367673" w:rsidRDefault="00367673" w:rsidP="00367673">
      <w:pPr>
        <w:rPr>
          <w:rFonts w:asciiTheme="minorHAnsi" w:hAnsiTheme="minorHAnsi" w:cstheme="minorHAnsi"/>
          <w:sz w:val="22"/>
        </w:rPr>
      </w:pPr>
      <w:r w:rsidRPr="00367673">
        <w:rPr>
          <w:rFonts w:asciiTheme="minorHAnsi" w:hAnsiTheme="minorHAnsi" w:cstheme="minorHAnsi"/>
          <w:sz w:val="22"/>
        </w:rPr>
        <w:t>In conclusion, I feel that I dealt with this incident well considering it was one of the very first incidents I have attended on my own. I provided reassurance and support for the victim by sharing her details with different agencies and I am confident with all the decisions I made as I have safeguarded the victim as best I could by submitting a PPN and a Victim Focus form. The police approach in supporting vulnerable people and people at risk of harm is very well as they are victim focused and always do what is right for the victim. The victim’s needs and safety is always at the heart of the decisions. Repeat victims of crime and repeat offenders are similar in terms of, you need to take a ‘step back’ and look at the whole picture and ask why are they repeat victims or offenders ad what needs to change.</w:t>
      </w:r>
    </w:p>
    <w:p w14:paraId="3E79EE05" w14:textId="28DDB209" w:rsidR="00367673" w:rsidRDefault="00367673" w:rsidP="00367673">
      <w:pPr>
        <w:rPr>
          <w:rFonts w:asciiTheme="minorHAnsi" w:hAnsiTheme="minorHAnsi" w:cstheme="minorHAnsi"/>
          <w:sz w:val="22"/>
        </w:rPr>
      </w:pPr>
    </w:p>
    <w:p w14:paraId="5C03C7E7" w14:textId="11D395FF" w:rsidR="00367673" w:rsidRPr="00367673" w:rsidRDefault="00367673" w:rsidP="00367673">
      <w:pPr>
        <w:jc w:val="right"/>
        <w:rPr>
          <w:rFonts w:asciiTheme="minorHAnsi" w:hAnsiTheme="minorHAnsi" w:cstheme="minorHAnsi"/>
          <w:sz w:val="22"/>
        </w:rPr>
      </w:pPr>
      <w:r>
        <w:rPr>
          <w:rFonts w:asciiTheme="minorHAnsi" w:hAnsiTheme="minorHAnsi" w:cstheme="minorHAnsi"/>
          <w:sz w:val="22"/>
        </w:rPr>
        <w:t>(1540)</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72590E2"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This essay will discuss a brief description of a policing incident which is of a serious and complex nature. This essay will consider how I gathered, analysed and evaluated relevant information and intelligence from a range of sources as appropriate to the policing incident. This essay will identify how I have developed the information and intelligence for the purpose of informing the tasking and co-ordination process. This essay will focus on how I made use of the additional sources of intelligence obtained through this complex investigation. This essay will explain how I have applied learning from previous serious and complex investigations. This essay will illustrate my understanding and application of the core principles of ethics.</w:t>
      </w:r>
    </w:p>
    <w:p w14:paraId="6733F8F4" w14:textId="77777777" w:rsidR="00367673" w:rsidRPr="00367673" w:rsidRDefault="00367673" w:rsidP="00367673">
      <w:pPr>
        <w:rPr>
          <w:rFonts w:asciiTheme="minorHAnsi" w:hAnsiTheme="minorHAnsi" w:cstheme="minorHAnsi"/>
          <w:sz w:val="22"/>
        </w:rPr>
      </w:pPr>
    </w:p>
    <w:p w14:paraId="4FE29416"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The incident that I am going to use for this essay is DV related assault, Coercive and controlling behaviour and DV related threats to kill. An explanation of these offences are:</w:t>
      </w:r>
    </w:p>
    <w:p w14:paraId="4257FBF7"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Common Assault – “A person is guilty of common assault if they either inflict violence on another person – however slight this might be – or make that person think they are about to be attacked” (Sentencing Council, 2018).</w:t>
      </w:r>
    </w:p>
    <w:p w14:paraId="446A02C1"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Coercive Behaviour – “an act or pattern of acts of assault, threats, humiliation and intimidation or other abuse that is used to harm, punish, or frighten their victim” (College of Policing, 2016).</w:t>
      </w:r>
    </w:p>
    <w:p w14:paraId="31F87FA7"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Controlling Behaviour – “a range of acts designed to make a person subordinate and/or dependent by isolating them from sources of support, exploiting their resources and capacities for personal </w:t>
      </w:r>
      <w:r w:rsidRPr="00367673">
        <w:rPr>
          <w:rFonts w:asciiTheme="minorHAnsi" w:hAnsiTheme="minorHAnsi" w:cstheme="minorHAnsi"/>
          <w:sz w:val="22"/>
        </w:rPr>
        <w:lastRenderedPageBreak/>
        <w:t>gain, depriving them of the means needed for independence, resistance and escape and regulating their everyday behaviour” (College of Policing, 2016).</w:t>
      </w:r>
    </w:p>
    <w:p w14:paraId="254605D5"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Threats to kill - “A person who without lawful excuse makes to another a threat, intending that that other would fear it would be carried out, to kill that other or a third person shall be guilty of an offence” (legislation.gov, 2020).</w:t>
      </w:r>
    </w:p>
    <w:p w14:paraId="0A5A7FE5" w14:textId="77777777" w:rsidR="00367673" w:rsidRPr="00367673" w:rsidRDefault="00367673" w:rsidP="00367673">
      <w:pPr>
        <w:rPr>
          <w:rFonts w:asciiTheme="minorHAnsi" w:hAnsiTheme="minorHAnsi" w:cstheme="minorHAnsi"/>
          <w:sz w:val="22"/>
        </w:rPr>
      </w:pPr>
    </w:p>
    <w:p w14:paraId="4CE91A8E"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I was on mobile patrol when I heard a call come over the radio for an abandoned 999 call. Prior to attending the incident, the only information I had was that a female could be heard saying “please help, please, please”. A male could then be heard shouting in the background of the call in a foreign language. The female made no direct request for police assistance however, due to the nature of the phone call, this call was graded as a Grade 1. The female provided no address on the phone so a small ELSEC was determined was passed over the radio. The phone number and ELSEC was also sent to the intelligence officer to see if they could provide any further information. My colleague and I attended the area of the call and found that a door was unlocked and opened, I activated my body worn video and I shouted “police” and gained access via the front door. Upon arrival of the call, I located a female crouched down beside the bed and a male at the top of the stairs. The female was crying and looked distressed and dishevelled. The female spoken little to no English however, the male could understand and speak English. Both parties were kept separate whilst I spoke to the female in order to establish what had occurred at the address. After a short while of trying to establish details of the incident I contacted language line so they could translate the conversation from English to Punjabi. Whilst on the phone to language line the female disclosed that she had been assaulted by her partner, he had threatened to kill her and that he had been coercive and controlling her for five years. Based on that information I arrested the male for the above offences. </w:t>
      </w:r>
    </w:p>
    <w:p w14:paraId="25AC936D" w14:textId="77777777" w:rsidR="00367673" w:rsidRPr="00367673" w:rsidRDefault="00367673" w:rsidP="00367673">
      <w:pPr>
        <w:rPr>
          <w:rFonts w:asciiTheme="minorHAnsi" w:hAnsiTheme="minorHAnsi" w:cstheme="minorHAnsi"/>
          <w:sz w:val="22"/>
        </w:rPr>
      </w:pPr>
    </w:p>
    <w:p w14:paraId="68A08E44"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In order to reflect on this incident I will use Gibbs Reflective Model (Gibbs, 1988).</w:t>
      </w:r>
    </w:p>
    <w:p w14:paraId="727EC674" w14:textId="77777777" w:rsidR="00367673" w:rsidRPr="00367673" w:rsidRDefault="00367673" w:rsidP="00367673">
      <w:pPr>
        <w:rPr>
          <w:rFonts w:asciiTheme="minorHAnsi" w:hAnsiTheme="minorHAnsi" w:cstheme="minorHAnsi"/>
          <w:sz w:val="22"/>
        </w:rPr>
      </w:pPr>
    </w:p>
    <w:p w14:paraId="049044BC"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Whilst dealing with this incident I felt slightly apprehensive as it was difficult due to the language barrier between myself and the victim. I found it difficult to provide reassurance for the victim when I initially arrived on scene. It was also difficult as whilst I was on the phone to language line the victim tended to drift off topic and not answer the questions that I had asked, this meant that I had reign the conversation back and adjust my questions to help me get the answers that I needed. The victim was extremely vulnerable and isolated as she did not have any family or friends in the UK and she could not speak English. Once the suspect had been arrested and conveyed to custody it was extremely important that I provided as much safeguarding as possible for the victim due to how vulnerable she was. The victim was asked if she had any injuries and required medical treatment. A high priority PPN was completed and tasked to PPU department to allow them to put safeguarding measures in place. The victim disclosed that the suspect would not let her leave the house, he would not give her any money, she was allowed very limited access to her phone and that she was not allowed to speak to her family or friends. I was very much aware of the Punjabi culture in that the ‘normal’ house hold consists of the male who dominates and provides the money and the female who stays at home and looks after the children however, there were clear criminal offences. According to (Richia Jain, 2018) “every member of the family has unique duties and responsibilities”. It was important that I remained equal throughout this incident and that I was culturally sensitive. If I was to do this again the only thing I would change is I would contact language line sooner so I could understand what was going on earlier. </w:t>
      </w:r>
    </w:p>
    <w:p w14:paraId="2DA985B0" w14:textId="77777777" w:rsidR="00367673" w:rsidRPr="00367673" w:rsidRDefault="00367673" w:rsidP="00367673">
      <w:pPr>
        <w:rPr>
          <w:rFonts w:asciiTheme="minorHAnsi" w:hAnsiTheme="minorHAnsi" w:cstheme="minorHAnsi"/>
          <w:sz w:val="22"/>
        </w:rPr>
      </w:pPr>
    </w:p>
    <w:p w14:paraId="5B7A7CEA"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I needed to gather as much intelligence as I could to assist me with this case. I gathered the intelligence by attending the address, viewing the surrounds at the scene and witnessing the demeanour of the persons within. Once I returned to the station I viewed the suspect on Niche to see what other incidents he had been involved in. I also conducted a PNC check of the suspect to gather further intelligence. Once I knew what sources to gather the information and intelligence </w:t>
      </w:r>
      <w:r w:rsidRPr="00367673">
        <w:rPr>
          <w:rFonts w:asciiTheme="minorHAnsi" w:hAnsiTheme="minorHAnsi" w:cstheme="minorHAnsi"/>
          <w:sz w:val="22"/>
        </w:rPr>
        <w:lastRenderedPageBreak/>
        <w:t>from I then analysed it methodically and in detail into what I believed to be relevant or not. I then evaluated the intelligence in order to see what was useful in my investigation for example, the victim was a repeat victim from the suspect. I considered the use of an intelligence analyst to assist with these enquires. According to (College of Policing, 2019) there are four theories they can use and these are rational choice theory, routine activity theory, problem analysis triangle and SARA. Once all relevant intelligence had been gathered, analysed and evaluated I update the log to that affect and made sure that it was included in the Daily Document meeting by tasking my supervisor. From gathering that new intelligence I was able to see the wider picture and see previous incidents which allowed me to get a further understanding of what was going on. As this was a complex case it needed to go to CPS for a charging decision, all the further information and intelligence that I gathered helped build the whole situation and helped in the process for the CPS to make the decision.</w:t>
      </w:r>
    </w:p>
    <w:p w14:paraId="0516FDE5" w14:textId="77777777" w:rsidR="00367673" w:rsidRPr="00367673" w:rsidRDefault="00367673" w:rsidP="00367673">
      <w:pPr>
        <w:rPr>
          <w:rFonts w:asciiTheme="minorHAnsi" w:hAnsiTheme="minorHAnsi" w:cstheme="minorHAnsi"/>
          <w:sz w:val="22"/>
        </w:rPr>
      </w:pPr>
    </w:p>
    <w:p w14:paraId="5E16E859"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This was not the first time that I had gone to an incident whereby someone does not speak English. As I had previous experience I felt that I was a lot more relax and understood the process better this time around. I felt that I was in control of the incident as I knew what to expect and I was prepared for what I needed to do.</w:t>
      </w:r>
    </w:p>
    <w:p w14:paraId="2FDC73FA" w14:textId="77777777" w:rsidR="00367673" w:rsidRPr="00367673" w:rsidRDefault="00367673" w:rsidP="00367673">
      <w:pPr>
        <w:rPr>
          <w:rFonts w:asciiTheme="minorHAnsi" w:hAnsiTheme="minorHAnsi" w:cstheme="minorHAnsi"/>
          <w:sz w:val="22"/>
        </w:rPr>
      </w:pPr>
    </w:p>
    <w:p w14:paraId="375A08E6"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To conclude, I think that I handled this incident well and there is only one minor thing that I would change next time. I gathered, analysed and evaluated further information and intelligence from different sources and used them to assist me in the complex investigation. I benefitted from similar previous incidents and this allowed me to be confident at this incident.</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13741844" w:rsidR="00025650" w:rsidRPr="00367673" w:rsidRDefault="00367673" w:rsidP="00367673">
      <w:pPr>
        <w:ind w:right="237"/>
        <w:jc w:val="right"/>
        <w:rPr>
          <w:rFonts w:asciiTheme="minorHAnsi" w:hAnsiTheme="minorHAnsi" w:cstheme="minorHAnsi"/>
          <w:sz w:val="22"/>
          <w:szCs w:val="24"/>
        </w:rPr>
      </w:pPr>
      <w:r w:rsidRPr="00367673">
        <w:rPr>
          <w:rFonts w:asciiTheme="minorHAnsi" w:hAnsiTheme="minorHAnsi" w:cstheme="minorHAnsi"/>
          <w:sz w:val="22"/>
          <w:szCs w:val="24"/>
        </w:rPr>
        <w:t>(1347)</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BB711AE"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This essay will have a brief description of a police incident involving digital technologies and reflect on how I provided an appropriate initial police response. This essay will explain the immediate actions that I took to reduce the risk of harm caused by the incident. This essay will detail who may be more vulnerable in this type of incident.</w:t>
      </w:r>
    </w:p>
    <w:p w14:paraId="192E16D5" w14:textId="77777777" w:rsidR="00367673" w:rsidRPr="00367673" w:rsidRDefault="00367673" w:rsidP="00367673">
      <w:pPr>
        <w:rPr>
          <w:rFonts w:asciiTheme="minorHAnsi" w:hAnsiTheme="minorHAnsi" w:cstheme="minorHAnsi"/>
          <w:sz w:val="22"/>
        </w:rPr>
      </w:pPr>
    </w:p>
    <w:p w14:paraId="182E9BF5"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The incident I will use for this essay involves a 15 year old boy who is the victim and an unknown suspect. The victim had a friend request on a social media platform from who he believed to be a girl of roughly the same age so he accepted the friend requested. The victim began talking to the suspect via text which later progressed onto a video call. Whilst on the video call, the suspect asked to see the victim’s penis. The victim began to carry out an act of a sexual nature and the suspect video recorded it without the victim’s knowledge. After the video call ended the suspect messaged the victim and stated that he needed to send her 150 euros otherwise she would send the video to his friends and family. The suspect named which friends and family members she would send it to from his friends list. The victim was concerned and told family members who then contact police. </w:t>
      </w:r>
    </w:p>
    <w:p w14:paraId="4F21D0C8" w14:textId="77777777" w:rsidR="00367673" w:rsidRPr="00367673" w:rsidRDefault="00367673" w:rsidP="00367673">
      <w:pPr>
        <w:rPr>
          <w:rFonts w:asciiTheme="minorHAnsi" w:hAnsiTheme="minorHAnsi" w:cstheme="minorHAnsi"/>
          <w:sz w:val="22"/>
        </w:rPr>
      </w:pPr>
    </w:p>
    <w:p w14:paraId="5F536D22"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There were a few offences that I considered from the incident which were harassment however, I felt that Blackmail, Section 21 Theft Act 1968 was the most appropriate offence. According to (Agostino Von Hassell, 2015) the definition of blackmail is “The crime of making an unwarranted demand with menaces for the purpose of financial gain for oneself or someone else or financial loss to the person threatened. The menaces may include a threat of violence or of detrimental action”.</w:t>
      </w:r>
    </w:p>
    <w:p w14:paraId="1E8EA172" w14:textId="77777777" w:rsidR="00367673" w:rsidRPr="00367673" w:rsidRDefault="00367673" w:rsidP="00367673">
      <w:pPr>
        <w:rPr>
          <w:rFonts w:asciiTheme="minorHAnsi" w:hAnsiTheme="minorHAnsi" w:cstheme="minorHAnsi"/>
          <w:sz w:val="22"/>
        </w:rPr>
      </w:pPr>
    </w:p>
    <w:p w14:paraId="60D46210"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In order to reflect on the incident I will use Gibbs Reflective Model (Gibbs, 1988). Gibbs Reflective Model is broken down into five categories which are description, feelings, evaluation, conclusion and action.</w:t>
      </w:r>
    </w:p>
    <w:p w14:paraId="4EC2DCDF" w14:textId="77777777" w:rsidR="00367673" w:rsidRPr="00367673" w:rsidRDefault="00367673" w:rsidP="00367673">
      <w:pPr>
        <w:rPr>
          <w:rFonts w:asciiTheme="minorHAnsi" w:hAnsiTheme="minorHAnsi" w:cstheme="minorHAnsi"/>
          <w:sz w:val="22"/>
        </w:rPr>
      </w:pPr>
    </w:p>
    <w:p w14:paraId="24A047C8"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Upon arrival of this incident, the victim and one of his parents were present. I firstly introduced myself to the victim and immediately tried to build a report with him so he would feel comfortable talking to a police officer regarding this matter. According to (Mind Tools, date unknown) building a report is about establishing two way connections. They stated that there are six points to building a good report with someone and these are “check your appearance, remember the basics of good communication, find common ground, create shared experiences, be empathic and mirror and match mannerisms and speech appropriately”. Although not all six of these points were appropriate I would say that I hit at least four out of six of these. Due to the victim’s age it deemed it appropriate and necessary for a parent to stay present whilst I spoke with him. The victim had already confided </w:t>
      </w:r>
      <w:r w:rsidRPr="00367673">
        <w:rPr>
          <w:rFonts w:asciiTheme="minorHAnsi" w:hAnsiTheme="minorHAnsi" w:cstheme="minorHAnsi"/>
          <w:sz w:val="22"/>
        </w:rPr>
        <w:lastRenderedPageBreak/>
        <w:t>in his parents so he was also comfortable for one of them to stay. Prior to attending the incident I was apprehensive as to whether the victim would disclose any information to a person who they did not know however, after building that report with him that worry soon disappeared.</w:t>
      </w:r>
    </w:p>
    <w:p w14:paraId="33EE854B" w14:textId="77777777" w:rsidR="00367673" w:rsidRPr="00367673" w:rsidRDefault="00367673" w:rsidP="00367673">
      <w:pPr>
        <w:rPr>
          <w:rFonts w:asciiTheme="minorHAnsi" w:hAnsiTheme="minorHAnsi" w:cstheme="minorHAnsi"/>
          <w:sz w:val="22"/>
        </w:rPr>
      </w:pPr>
    </w:p>
    <w:p w14:paraId="607C6C94"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The immediate actions I took at the incident were, safeguard the victim, manage the victim’s expectations and explain the process of what would happen. I safeguarded the victim by submitting a PPN and a Victim Focus referral with the consent of the victim. I also explained to the victim why he should never send money in any incident of this type. I did this as the victim was vulnerable due to his age and that type of offence he was victim of. In order to manage the victim’s expectations I was honest and explained that these types of incident are extremely difficult to find the suspect responsible however, I would take his phone to download the content of the messages exchanged. I did this as it is important that the victim understands what is going on through the investigation process and they are fully aware that the police may never identify a suspect. Before leaving the incident I took the opportunity to educate the victim on these types of incident. I explain why he should not engage in any sexual act on social media as he was putting himself at risk and increasing his vulnerability risk. I did this as the victim was young and it appeared that this was an educational matter in order to provide further safeguarding so it wouldn’t happen again in the future. </w:t>
      </w:r>
    </w:p>
    <w:p w14:paraId="205E5DE8" w14:textId="77777777" w:rsidR="00367673" w:rsidRPr="00367673" w:rsidRDefault="00367673" w:rsidP="00367673">
      <w:pPr>
        <w:rPr>
          <w:rFonts w:asciiTheme="minorHAnsi" w:hAnsiTheme="minorHAnsi" w:cstheme="minorHAnsi"/>
          <w:sz w:val="22"/>
        </w:rPr>
      </w:pPr>
    </w:p>
    <w:p w14:paraId="5F455596"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I did consider a communication data application however, I had to look at all the evidence I had and the decision was made that it would not be authorised. Communication data application is a digital investigatory tool used to investigate crime. Communication data does not tell you the content of the data, it tells you who sent it, where it was sent from, when it was sent and how it was sent. Communication data does not always get these four results it depends on what internet platform it was sent on. (Home Office, 2015). This would have been a really useful tool to use however, due to the circumstances of the incident it was not authorised. The reason why I considered this tool was that I felt that I could have possibly identified a suspect. </w:t>
      </w:r>
    </w:p>
    <w:p w14:paraId="01F14033" w14:textId="77777777" w:rsidR="00367673" w:rsidRPr="00367673" w:rsidRDefault="00367673" w:rsidP="00367673">
      <w:pPr>
        <w:rPr>
          <w:rFonts w:asciiTheme="minorHAnsi" w:hAnsiTheme="minorHAnsi" w:cstheme="minorHAnsi"/>
          <w:sz w:val="22"/>
        </w:rPr>
      </w:pPr>
    </w:p>
    <w:p w14:paraId="1F389CCD"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The younger generation ranging from early teens to early twenties are more vulnerable to this type of incident as they lack in education of the risk of harm they are putting themselves in. I have dealt with a few incidents of this nature and I can say that from my experience within the police, it has been the younger generation who are victims of this type of incident. The definition of vulnerable is “A person is vulnerable if, as a result of their situation or circumstances, they are unable to take care of or protect themselves or others from harm or exploitation” (College of Policing, 2020). The victim of this incident was vulnerable as he fitted the definition of vulnerability. According to (BBC, 2016) the most vulnerable are men aged 21-30 however, there is substantial proportion in the age group of 11-20. In 2016 there was victims as young as 14 who were victims of the same type of incident. During the year of 2016 there were 864 reports of webcam blackmail. Again I feel that the reason this age group is more vulnerable to this type of crime is due to the lack of education around this topic.</w:t>
      </w:r>
    </w:p>
    <w:p w14:paraId="59E427C2" w14:textId="77777777" w:rsidR="00367673" w:rsidRPr="00367673" w:rsidRDefault="00367673" w:rsidP="00367673">
      <w:pPr>
        <w:rPr>
          <w:rFonts w:asciiTheme="minorHAnsi" w:hAnsiTheme="minorHAnsi" w:cstheme="minorHAnsi"/>
          <w:sz w:val="22"/>
        </w:rPr>
      </w:pPr>
    </w:p>
    <w:p w14:paraId="20D632AB" w14:textId="77777777" w:rsidR="00367673" w:rsidRPr="00367673" w:rsidRDefault="00367673" w:rsidP="00367673">
      <w:pPr>
        <w:rPr>
          <w:rFonts w:asciiTheme="minorHAnsi" w:hAnsiTheme="minorHAnsi" w:cstheme="minorHAnsi"/>
          <w:sz w:val="22"/>
        </w:rPr>
      </w:pPr>
      <w:r w:rsidRPr="00367673">
        <w:rPr>
          <w:rFonts w:asciiTheme="minorHAnsi" w:hAnsiTheme="minorHAnsi" w:cstheme="minorHAnsi"/>
          <w:sz w:val="22"/>
        </w:rPr>
        <w:t xml:space="preserve">In conclusion, the victim of this incident was a victim of blackmail via online webcam. The victim was aged 15 and he was amongst the most vulnerable age group of 11-30. In order to reduce the risk of harm caused by the incident the immediate actions I took were safeguard the victim, manage the victim’s expectations and explain the process of what would happen. In order to make the victim feel comfortable I built a rapport with him before talking about the incident. If I was to do this again I would not change anything as I felt that I provided the victim with a level of reassurance, education, support and understanding during this incident. </w:t>
      </w:r>
    </w:p>
    <w:p w14:paraId="4C50E184" w14:textId="285783EE" w:rsidR="00025650" w:rsidRDefault="00025650" w:rsidP="00340E9A">
      <w:pPr>
        <w:ind w:right="237"/>
        <w:jc w:val="both"/>
        <w:rPr>
          <w:sz w:val="24"/>
          <w:szCs w:val="24"/>
        </w:rPr>
      </w:pPr>
    </w:p>
    <w:p w14:paraId="406D1322" w14:textId="7456B255" w:rsidR="00367673" w:rsidRPr="00367673" w:rsidRDefault="00367673" w:rsidP="00367673">
      <w:pPr>
        <w:ind w:right="237"/>
        <w:jc w:val="right"/>
        <w:rPr>
          <w:rFonts w:asciiTheme="minorHAnsi" w:hAnsiTheme="minorHAnsi" w:cstheme="minorHAnsi"/>
          <w:sz w:val="22"/>
          <w:szCs w:val="24"/>
        </w:rPr>
      </w:pPr>
      <w:r w:rsidRPr="00367673">
        <w:rPr>
          <w:rFonts w:asciiTheme="minorHAnsi" w:hAnsiTheme="minorHAnsi" w:cstheme="minorHAnsi"/>
          <w:sz w:val="22"/>
          <w:szCs w:val="24"/>
        </w:rPr>
        <w:t>(1209)</w:t>
      </w:r>
    </w:p>
    <w:p w14:paraId="55E8513B" w14:textId="77777777" w:rsidR="00025650" w:rsidRPr="00270EEB" w:rsidRDefault="00025650" w:rsidP="00340E9A">
      <w:pPr>
        <w:ind w:right="237"/>
        <w:jc w:val="both"/>
        <w:rPr>
          <w:sz w:val="24"/>
          <w:szCs w:val="24"/>
        </w:rPr>
      </w:pPr>
    </w:p>
    <w:p w14:paraId="592CAEBA" w14:textId="06E84946" w:rsidR="000F7ECD" w:rsidRPr="00270EEB" w:rsidRDefault="000F7ECD" w:rsidP="5B63D80E">
      <w:pPr>
        <w:ind w:right="237"/>
        <w:jc w:val="both"/>
        <w:rPr>
          <w:sz w:val="24"/>
          <w:szCs w:val="24"/>
        </w:rPr>
        <w:sectPr w:rsidR="000F7ECD" w:rsidRPr="00270EEB" w:rsidSect="002D5C2F">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62165D1A" w14:textId="4F01842C" w:rsidR="6E85A413" w:rsidRDefault="00367673" w:rsidP="00367673">
      <w:pPr>
        <w:keepNext/>
        <w:spacing w:before="240" w:after="60"/>
        <w:ind w:right="237"/>
        <w:jc w:val="both"/>
        <w:rPr>
          <w:b/>
          <w:sz w:val="24"/>
          <w:szCs w:val="24"/>
        </w:rPr>
      </w:pPr>
      <w:r>
        <w:rPr>
          <w:b/>
          <w:sz w:val="24"/>
          <w:szCs w:val="24"/>
        </w:rPr>
        <w:lastRenderedPageBreak/>
        <w:t>Reference List</w:t>
      </w:r>
    </w:p>
    <w:p w14:paraId="08385EC9" w14:textId="77777777" w:rsidR="00367673" w:rsidRDefault="00367673" w:rsidP="00367673">
      <w:pPr>
        <w:keepNext/>
        <w:spacing w:before="240" w:after="60"/>
        <w:ind w:right="237"/>
        <w:jc w:val="both"/>
        <w:rPr>
          <w:b/>
          <w:sz w:val="24"/>
          <w:szCs w:val="24"/>
        </w:rPr>
      </w:pPr>
    </w:p>
    <w:p w14:paraId="22C4A346" w14:textId="77777777" w:rsidR="00367673" w:rsidRDefault="00367673" w:rsidP="00367673">
      <w:pPr>
        <w:pStyle w:val="NoSpacing"/>
      </w:pPr>
      <w:r>
        <w:t>Baldwin, S. (2006) Organisational Justice</w:t>
      </w:r>
    </w:p>
    <w:p w14:paraId="6CB881E7" w14:textId="77777777" w:rsidR="00367673" w:rsidRDefault="00367673" w:rsidP="00367673">
      <w:pPr>
        <w:pStyle w:val="NoSpacing"/>
      </w:pPr>
      <w:r>
        <w:t xml:space="preserve">Available at: </w:t>
      </w:r>
      <w:hyperlink r:id="rId24" w:history="1">
        <w:r w:rsidRPr="00027E10">
          <w:rPr>
            <w:rStyle w:val="Hyperlink"/>
          </w:rPr>
          <w:t>https://www.employment-studies.co.uk/system/files/resources/files/mp73.pdf</w:t>
        </w:r>
      </w:hyperlink>
    </w:p>
    <w:p w14:paraId="7D5C7413" w14:textId="5B149112" w:rsidR="00367673" w:rsidRDefault="00367673" w:rsidP="00396054">
      <w:pPr>
        <w:pStyle w:val="NoSpacing"/>
        <w:tabs>
          <w:tab w:val="left" w:pos="3330"/>
        </w:tabs>
      </w:pPr>
      <w:r>
        <w:t>(Accessed: 6 November 2020).</w:t>
      </w:r>
      <w:r w:rsidR="00396054">
        <w:tab/>
      </w:r>
    </w:p>
    <w:p w14:paraId="3F0E4152" w14:textId="62ED2E77" w:rsidR="00396054" w:rsidRDefault="00396054" w:rsidP="00396054">
      <w:pPr>
        <w:pStyle w:val="NoSpacing"/>
        <w:tabs>
          <w:tab w:val="left" w:pos="3330"/>
        </w:tabs>
      </w:pPr>
    </w:p>
    <w:p w14:paraId="1D94F511" w14:textId="77777777" w:rsidR="00396054" w:rsidRDefault="00396054" w:rsidP="00396054">
      <w:pPr>
        <w:pStyle w:val="NoSpacing"/>
      </w:pPr>
      <w:r>
        <w:t xml:space="preserve">BBC (2016) </w:t>
      </w:r>
      <w:r w:rsidRPr="00CC0A14">
        <w:rPr>
          <w:i/>
        </w:rPr>
        <w:t>Tips on how to deal with webcam blackmail, or sextortion, if you're a victim.</w:t>
      </w:r>
    </w:p>
    <w:p w14:paraId="768A5E05" w14:textId="77777777" w:rsidR="00396054" w:rsidRDefault="00396054" w:rsidP="00396054">
      <w:pPr>
        <w:pStyle w:val="NoSpacing"/>
      </w:pPr>
      <w:r>
        <w:t xml:space="preserve">Available at: </w:t>
      </w:r>
      <w:hyperlink r:id="rId25" w:history="1">
        <w:r w:rsidRPr="00B645E4">
          <w:rPr>
            <w:rStyle w:val="Hyperlink"/>
          </w:rPr>
          <w:t>https://www.bbc.co.uk/news/newsbeat-38150192</w:t>
        </w:r>
      </w:hyperlink>
    </w:p>
    <w:p w14:paraId="401C8597" w14:textId="6E14058B" w:rsidR="00396054" w:rsidRDefault="00396054" w:rsidP="00396054">
      <w:pPr>
        <w:pStyle w:val="NoSpacing"/>
      </w:pPr>
      <w:r>
        <w:t>(Accessed: 12 December 2020).</w:t>
      </w:r>
    </w:p>
    <w:p w14:paraId="5EDDF22A" w14:textId="77777777" w:rsidR="00367673" w:rsidRDefault="00367673" w:rsidP="00367673">
      <w:pPr>
        <w:pStyle w:val="NoSpacing"/>
      </w:pPr>
    </w:p>
    <w:p w14:paraId="03A01971" w14:textId="77777777" w:rsidR="00367673" w:rsidRDefault="00367673" w:rsidP="00367673">
      <w:pPr>
        <w:pStyle w:val="NoSpacing"/>
      </w:pPr>
      <w:r>
        <w:t xml:space="preserve">Belton, V (2018) </w:t>
      </w:r>
      <w:r w:rsidRPr="00314DCE">
        <w:t>What is equity theory and why should I be applying it?</w:t>
      </w:r>
    </w:p>
    <w:p w14:paraId="2FFCB1E9" w14:textId="77777777" w:rsidR="00367673" w:rsidRDefault="00367673" w:rsidP="00367673">
      <w:pPr>
        <w:pStyle w:val="NoSpacing"/>
      </w:pPr>
      <w:r>
        <w:t xml:space="preserve">Available at: </w:t>
      </w:r>
      <w:hyperlink r:id="rId26" w:history="1">
        <w:r w:rsidRPr="00007203">
          <w:rPr>
            <w:rStyle w:val="Hyperlink"/>
          </w:rPr>
          <w:t>https://www.perkbox.com/uk/resources/blog/what-is-equity-theory-and-why-should-i-be-applying-it</w:t>
        </w:r>
      </w:hyperlink>
    </w:p>
    <w:p w14:paraId="0C41F16B" w14:textId="77777777" w:rsidR="00367673" w:rsidRDefault="00367673" w:rsidP="00367673">
      <w:pPr>
        <w:pStyle w:val="NoSpacing"/>
      </w:pPr>
      <w:r>
        <w:t>(Accessed: 11 November 2020).</w:t>
      </w:r>
    </w:p>
    <w:p w14:paraId="58D74B12" w14:textId="77777777" w:rsidR="00367673" w:rsidRDefault="00367673" w:rsidP="00367673">
      <w:pPr>
        <w:pStyle w:val="NoSpacing"/>
      </w:pPr>
    </w:p>
    <w:p w14:paraId="5667CA07" w14:textId="77777777" w:rsidR="00367673" w:rsidRPr="00514AB5" w:rsidRDefault="00367673" w:rsidP="00367673">
      <w:pPr>
        <w:pStyle w:val="NoSpacing"/>
        <w:rPr>
          <w:i/>
        </w:rPr>
      </w:pPr>
      <w:r>
        <w:t xml:space="preserve">Central Test (2016) </w:t>
      </w:r>
      <w:r w:rsidRPr="00514AB5">
        <w:rPr>
          <w:i/>
        </w:rPr>
        <w:t>Six ways organisations can create an ethical culture</w:t>
      </w:r>
    </w:p>
    <w:p w14:paraId="66BE5C3C" w14:textId="77777777" w:rsidR="00367673" w:rsidRDefault="00367673" w:rsidP="00367673">
      <w:pPr>
        <w:pStyle w:val="NoSpacing"/>
      </w:pPr>
      <w:r>
        <w:t xml:space="preserve">Available at: </w:t>
      </w:r>
      <w:hyperlink r:id="rId27" w:history="1">
        <w:r w:rsidRPr="00007203">
          <w:rPr>
            <w:rStyle w:val="Hyperlink"/>
          </w:rPr>
          <w:t>https://www.personneltoday.com/hr/six-ways-organisations-can-create-ethical-culture/</w:t>
        </w:r>
      </w:hyperlink>
    </w:p>
    <w:p w14:paraId="2FE56701" w14:textId="6812BCD4" w:rsidR="00367673" w:rsidRDefault="00367673" w:rsidP="00367673">
      <w:pPr>
        <w:pStyle w:val="NoSpacing"/>
      </w:pPr>
      <w:r>
        <w:t>(Accessed: 11 November 2020).</w:t>
      </w:r>
    </w:p>
    <w:p w14:paraId="31E3059B" w14:textId="0FB05508" w:rsidR="00395DE2" w:rsidRDefault="00395DE2" w:rsidP="00367673">
      <w:pPr>
        <w:pStyle w:val="NoSpacing"/>
      </w:pPr>
    </w:p>
    <w:p w14:paraId="76FFD306" w14:textId="77777777" w:rsidR="00395DE2" w:rsidRDefault="00395DE2" w:rsidP="00395DE2">
      <w:pPr>
        <w:pStyle w:val="NoSpacing"/>
      </w:pPr>
      <w:r>
        <w:t xml:space="preserve">CDS Office Technologies (2020) </w:t>
      </w:r>
      <w:r w:rsidRPr="0001198E">
        <w:t>The Importance of Body Cameras for Police Officers.</w:t>
      </w:r>
    </w:p>
    <w:p w14:paraId="4F4F8AE9" w14:textId="77777777" w:rsidR="00395DE2" w:rsidRDefault="00395DE2" w:rsidP="00395DE2">
      <w:pPr>
        <w:pStyle w:val="NoSpacing"/>
      </w:pPr>
      <w:r>
        <w:t xml:space="preserve">Available at: </w:t>
      </w:r>
      <w:hyperlink r:id="rId28" w:anchor=":~:text=5%20Ways%20Body%20Cameras%20Benefit%20Police%20Officers.%201,5%205.%20Reduced%20Paperwork%20Time%20for%20Officers.%20" w:history="1">
        <w:r w:rsidRPr="00DB3F3D">
          <w:rPr>
            <w:rStyle w:val="Hyperlink"/>
          </w:rPr>
          <w:t>https://www.cdsofficetech.com/the-importance-of-body-cameras-for-police-officers/#:~:text=5%20Ways%20Body%20Cameras%20Benefit%20Police%20Officers.%201,5%205.%20Reduced%20Paperwork%20Time%20for%20Officers.%20</w:t>
        </w:r>
      </w:hyperlink>
    </w:p>
    <w:p w14:paraId="7ABAC056" w14:textId="648EF82D" w:rsidR="00395DE2" w:rsidRDefault="00395DE2" w:rsidP="00367673">
      <w:pPr>
        <w:pStyle w:val="NoSpacing"/>
      </w:pPr>
      <w:r>
        <w:t>(Accessed: 7 December 2020).</w:t>
      </w:r>
    </w:p>
    <w:p w14:paraId="5BD3CE15" w14:textId="77777777" w:rsidR="00395DE2" w:rsidRDefault="00395DE2" w:rsidP="00367673">
      <w:pPr>
        <w:pStyle w:val="NoSpacing"/>
      </w:pPr>
    </w:p>
    <w:p w14:paraId="375C939F" w14:textId="77777777" w:rsidR="00395DE2" w:rsidRDefault="00395DE2" w:rsidP="00395DE2">
      <w:pPr>
        <w:pStyle w:val="NoSpacing"/>
        <w:rPr>
          <w:i/>
        </w:rPr>
      </w:pPr>
      <w:r>
        <w:t xml:space="preserve">CIPD (2019) </w:t>
      </w:r>
      <w:r w:rsidRPr="003944E5">
        <w:rPr>
          <w:i/>
        </w:rPr>
        <w:t>Evidence-based practice for effective decision-making.</w:t>
      </w:r>
    </w:p>
    <w:p w14:paraId="759809CF" w14:textId="77777777" w:rsidR="00395DE2" w:rsidRDefault="00395DE2" w:rsidP="00395DE2">
      <w:pPr>
        <w:pStyle w:val="NoSpacing"/>
      </w:pPr>
      <w:r>
        <w:t xml:space="preserve">Available at: </w:t>
      </w:r>
      <w:hyperlink r:id="rId29" w:history="1">
        <w:r w:rsidRPr="00D6427A">
          <w:rPr>
            <w:rStyle w:val="Hyperlink"/>
          </w:rPr>
          <w:t>https://www.cipd.co.uk/knowledge/strategy/analytics/evidence-based-practice-factsheet</w:t>
        </w:r>
      </w:hyperlink>
    </w:p>
    <w:p w14:paraId="64BD3C3D" w14:textId="77777777" w:rsidR="00395DE2" w:rsidRDefault="00395DE2" w:rsidP="00395DE2">
      <w:pPr>
        <w:pStyle w:val="NoSpacing"/>
        <w:tabs>
          <w:tab w:val="left" w:pos="3420"/>
        </w:tabs>
      </w:pPr>
      <w:r>
        <w:t>(Accessed: 03 December 2020).</w:t>
      </w:r>
      <w:r>
        <w:tab/>
      </w:r>
    </w:p>
    <w:p w14:paraId="0EAD58D9" w14:textId="0E40E4E0" w:rsidR="00367673" w:rsidRPr="00514AB5" w:rsidRDefault="00367673" w:rsidP="00367673">
      <w:pPr>
        <w:pStyle w:val="NoSpacing"/>
      </w:pPr>
    </w:p>
    <w:p w14:paraId="2B363B40" w14:textId="77777777" w:rsidR="00367673" w:rsidRDefault="00367673" w:rsidP="00367673">
      <w:pPr>
        <w:pStyle w:val="NoSpacing"/>
        <w:rPr>
          <w:i/>
        </w:rPr>
      </w:pPr>
      <w:r>
        <w:t xml:space="preserve">College of Policing (2014) </w:t>
      </w:r>
      <w:r>
        <w:rPr>
          <w:i/>
        </w:rPr>
        <w:t>Code of Ethics</w:t>
      </w:r>
    </w:p>
    <w:p w14:paraId="5A8BC57D" w14:textId="77777777" w:rsidR="00367673" w:rsidRDefault="00367673" w:rsidP="00367673">
      <w:pPr>
        <w:pStyle w:val="NoSpacing"/>
      </w:pPr>
      <w:r>
        <w:t xml:space="preserve">Available at: </w:t>
      </w:r>
      <w:hyperlink r:id="rId30" w:history="1">
        <w:r w:rsidRPr="001441AE">
          <w:rPr>
            <w:rStyle w:val="Hyperlink"/>
          </w:rPr>
          <w:t>https://www.college.police.uk/What-we-do/Ethics/Documents/Code_of_Ethics.pdf</w:t>
        </w:r>
      </w:hyperlink>
    </w:p>
    <w:p w14:paraId="3F2431F0" w14:textId="12CE4FB0" w:rsidR="00367673" w:rsidRDefault="00367673" w:rsidP="00367673">
      <w:pPr>
        <w:pStyle w:val="NoSpacing"/>
      </w:pPr>
      <w:r>
        <w:t>(Accessed: 10 November 2020)</w:t>
      </w:r>
    </w:p>
    <w:p w14:paraId="0FD3C37F" w14:textId="35C4AC94" w:rsidR="00395DE2" w:rsidRDefault="00395DE2" w:rsidP="00367673">
      <w:pPr>
        <w:pStyle w:val="NoSpacing"/>
      </w:pPr>
    </w:p>
    <w:p w14:paraId="7400AFC5" w14:textId="77777777" w:rsidR="00395DE2" w:rsidRDefault="00395DE2" w:rsidP="00395DE2">
      <w:pPr>
        <w:pStyle w:val="NoSpacing"/>
      </w:pPr>
      <w:r>
        <w:t xml:space="preserve">College of Policing (2016) </w:t>
      </w:r>
      <w:r w:rsidRPr="0001343B">
        <w:t>Coercive control in domestic abuse cases.</w:t>
      </w:r>
    </w:p>
    <w:p w14:paraId="59640D61" w14:textId="77777777" w:rsidR="00395DE2" w:rsidRDefault="00395DE2" w:rsidP="00395DE2">
      <w:pPr>
        <w:pStyle w:val="NoSpacing"/>
      </w:pPr>
      <w:r>
        <w:t xml:space="preserve">Available at: </w:t>
      </w:r>
      <w:hyperlink r:id="rId31" w:history="1">
        <w:r w:rsidRPr="00AD534B">
          <w:rPr>
            <w:rStyle w:val="Hyperlink"/>
          </w:rPr>
          <w:t>https://whatworks.college.police.uk/About/News/Pages/Coercive_Control.aspx</w:t>
        </w:r>
      </w:hyperlink>
    </w:p>
    <w:p w14:paraId="6E6222F8" w14:textId="77777777" w:rsidR="00395DE2" w:rsidRDefault="00395DE2" w:rsidP="00395DE2">
      <w:pPr>
        <w:pStyle w:val="NoSpacing"/>
      </w:pPr>
      <w:r>
        <w:t>(Accessed: 10 December 2020).</w:t>
      </w:r>
    </w:p>
    <w:p w14:paraId="551D7D9C" w14:textId="3F70CD80" w:rsidR="00395DE2" w:rsidRDefault="00395DE2" w:rsidP="00367673">
      <w:pPr>
        <w:pStyle w:val="NoSpacing"/>
      </w:pPr>
    </w:p>
    <w:p w14:paraId="7AFC6D81" w14:textId="77777777" w:rsidR="00395DE2" w:rsidRDefault="00395DE2" w:rsidP="00395DE2">
      <w:pPr>
        <w:pStyle w:val="NoSpacing"/>
      </w:pPr>
      <w:r>
        <w:t xml:space="preserve">College of Policing (2019) </w:t>
      </w:r>
      <w:r w:rsidRPr="00FE45C1">
        <w:rPr>
          <w:i/>
        </w:rPr>
        <w:t>Intelligence management.</w:t>
      </w:r>
    </w:p>
    <w:p w14:paraId="4101EBF8" w14:textId="77777777" w:rsidR="00395DE2" w:rsidRDefault="00395DE2" w:rsidP="00395DE2">
      <w:pPr>
        <w:pStyle w:val="NoSpacing"/>
      </w:pPr>
      <w:r>
        <w:t xml:space="preserve">Available at: </w:t>
      </w:r>
      <w:hyperlink r:id="rId32" w:history="1">
        <w:r w:rsidRPr="00AD534B">
          <w:rPr>
            <w:rStyle w:val="Hyperlink"/>
          </w:rPr>
          <w:t>https://www.app.college.police.uk/app-content/intelligence-management/analysis/</w:t>
        </w:r>
      </w:hyperlink>
    </w:p>
    <w:p w14:paraId="01C6578C" w14:textId="77777777" w:rsidR="00395DE2" w:rsidRPr="00FE45C1" w:rsidRDefault="00395DE2" w:rsidP="00395DE2">
      <w:pPr>
        <w:pStyle w:val="NoSpacing"/>
      </w:pPr>
      <w:r>
        <w:t>(Accessed: 10 December 2020).</w:t>
      </w:r>
    </w:p>
    <w:p w14:paraId="65888A2E" w14:textId="77777777" w:rsidR="00395DE2" w:rsidRDefault="00395DE2" w:rsidP="00367673">
      <w:pPr>
        <w:pStyle w:val="NoSpacing"/>
      </w:pPr>
    </w:p>
    <w:p w14:paraId="1B6C4839" w14:textId="77777777" w:rsidR="00395DE2" w:rsidRDefault="00395DE2" w:rsidP="00395DE2">
      <w:pPr>
        <w:pStyle w:val="NoSpacing"/>
        <w:rPr>
          <w:i/>
        </w:rPr>
      </w:pPr>
      <w:r>
        <w:t xml:space="preserve">College of Policing (2013) </w:t>
      </w:r>
      <w:r>
        <w:rPr>
          <w:i/>
        </w:rPr>
        <w:t>National Decision Model.</w:t>
      </w:r>
    </w:p>
    <w:p w14:paraId="241B78C4" w14:textId="77777777" w:rsidR="00395DE2" w:rsidRDefault="00395DE2" w:rsidP="00395DE2">
      <w:pPr>
        <w:pStyle w:val="NoSpacing"/>
      </w:pPr>
      <w:r>
        <w:t xml:space="preserve">Available at: </w:t>
      </w:r>
      <w:hyperlink r:id="rId33" w:history="1">
        <w:r w:rsidRPr="005F15B0">
          <w:rPr>
            <w:rStyle w:val="Hyperlink"/>
          </w:rPr>
          <w:t>https://www.app.college.police.uk/app-content/national-decision-model/the-national-decision-model/</w:t>
        </w:r>
      </w:hyperlink>
    </w:p>
    <w:p w14:paraId="03E6AC78" w14:textId="3213951E" w:rsidR="00395DE2" w:rsidRDefault="00395DE2" w:rsidP="00367673">
      <w:pPr>
        <w:pStyle w:val="NoSpacing"/>
      </w:pPr>
      <w:r>
        <w:t>(Accessed: 29 November 2020).</w:t>
      </w:r>
    </w:p>
    <w:p w14:paraId="344C70AC" w14:textId="74AFD54C" w:rsidR="00396054" w:rsidRDefault="00396054" w:rsidP="00367673">
      <w:pPr>
        <w:pStyle w:val="NoSpacing"/>
      </w:pPr>
    </w:p>
    <w:p w14:paraId="33D1CBA2" w14:textId="77777777" w:rsidR="00396054" w:rsidRDefault="00396054" w:rsidP="00396054">
      <w:pPr>
        <w:pStyle w:val="NoSpacing"/>
        <w:rPr>
          <w:i/>
        </w:rPr>
      </w:pPr>
      <w:r>
        <w:lastRenderedPageBreak/>
        <w:t xml:space="preserve">College of Policing (2020) </w:t>
      </w:r>
      <w:r>
        <w:rPr>
          <w:i/>
        </w:rPr>
        <w:t>Vulnerability.</w:t>
      </w:r>
    </w:p>
    <w:p w14:paraId="127DC41F" w14:textId="77777777" w:rsidR="00396054" w:rsidRDefault="00396054" w:rsidP="00396054">
      <w:pPr>
        <w:pStyle w:val="NoSpacing"/>
      </w:pPr>
      <w:r>
        <w:t xml:space="preserve">Available at: </w:t>
      </w:r>
      <w:hyperlink r:id="rId34" w:history="1">
        <w:r w:rsidRPr="00B645E4">
          <w:rPr>
            <w:rStyle w:val="Hyperlink"/>
          </w:rPr>
          <w:t>https://www.college.police.uk/What-we-do/Development/Vulnerability/Pages/Vulnerability.aspx</w:t>
        </w:r>
      </w:hyperlink>
    </w:p>
    <w:p w14:paraId="1896A904" w14:textId="150E14F4" w:rsidR="00396054" w:rsidRDefault="00396054" w:rsidP="00367673">
      <w:pPr>
        <w:pStyle w:val="NoSpacing"/>
      </w:pPr>
      <w:r>
        <w:t>(Accessed: 12 December 2020).</w:t>
      </w:r>
    </w:p>
    <w:p w14:paraId="790BE8F5" w14:textId="03F47B6B" w:rsidR="00395DE2" w:rsidRDefault="00395DE2" w:rsidP="00367673">
      <w:pPr>
        <w:pStyle w:val="NoSpacing"/>
      </w:pPr>
    </w:p>
    <w:p w14:paraId="71F011AD" w14:textId="77777777" w:rsidR="00395DE2" w:rsidRPr="00CC64F2" w:rsidRDefault="00395DE2" w:rsidP="00395DE2">
      <w:pPr>
        <w:pStyle w:val="NoSpacing"/>
        <w:rPr>
          <w:i/>
        </w:rPr>
      </w:pPr>
      <w:r>
        <w:t xml:space="preserve">Community Justice Scotland (2016) </w:t>
      </w:r>
      <w:r w:rsidRPr="00CC64F2">
        <w:rPr>
          <w:i/>
        </w:rPr>
        <w:t>A joined-up approach to tackling repeat offending.</w:t>
      </w:r>
    </w:p>
    <w:p w14:paraId="21E30838" w14:textId="77777777" w:rsidR="00395DE2" w:rsidRDefault="00395DE2" w:rsidP="00395DE2">
      <w:pPr>
        <w:pStyle w:val="NoSpacing"/>
      </w:pPr>
      <w:r>
        <w:t xml:space="preserve">Available at: </w:t>
      </w:r>
      <w:hyperlink r:id="rId35" w:anchor=":~:text=%20A%20joined-up%20approach%20to%20tackling%20repeat%20offending,vital%20and%20that%20every%20opportunity%20should...%20More%20" w:history="1">
        <w:r w:rsidRPr="00AF7A42">
          <w:rPr>
            <w:rStyle w:val="Hyperlink"/>
          </w:rPr>
          <w:t>https://communityjustice.scot/case-studies/a-joined-up-approach-to-tackling-repeat-offending/#:~:text=%20A%20joined-up%20approach%20to%20tackling%20repeat%20offending,vital%20and%20that%20every%20opportunity%20should...%20More%20</w:t>
        </w:r>
      </w:hyperlink>
    </w:p>
    <w:p w14:paraId="552F5C23" w14:textId="56168949" w:rsidR="00395DE2" w:rsidRDefault="00395DE2" w:rsidP="00367673">
      <w:pPr>
        <w:pStyle w:val="NoSpacing"/>
      </w:pPr>
      <w:r>
        <w:t>(Accessed: 9 December 2020).</w:t>
      </w:r>
    </w:p>
    <w:p w14:paraId="719AAB69" w14:textId="444BEA47" w:rsidR="00395DE2" w:rsidRDefault="00395DE2" w:rsidP="00395DE2">
      <w:pPr>
        <w:pStyle w:val="NoSpacing"/>
        <w:tabs>
          <w:tab w:val="left" w:pos="3420"/>
        </w:tabs>
      </w:pPr>
    </w:p>
    <w:p w14:paraId="522D9887" w14:textId="77777777" w:rsidR="00395DE2" w:rsidRDefault="00395DE2" w:rsidP="00395DE2">
      <w:pPr>
        <w:pStyle w:val="NoSpacing"/>
      </w:pPr>
      <w:r>
        <w:t xml:space="preserve">Flatley, J (2017) </w:t>
      </w:r>
      <w:r w:rsidRPr="00564A80">
        <w:rPr>
          <w:i/>
        </w:rPr>
        <w:t>Improving estimates of repeat victimisation derived from the Crime Survey for England and Wales</w:t>
      </w:r>
      <w:r w:rsidRPr="00031C44">
        <w:t>.</w:t>
      </w:r>
    </w:p>
    <w:p w14:paraId="3A414EE8" w14:textId="77777777" w:rsidR="00395DE2" w:rsidRDefault="00395DE2" w:rsidP="00395DE2">
      <w:pPr>
        <w:pStyle w:val="NoSpacing"/>
      </w:pPr>
      <w:r>
        <w:t xml:space="preserve">Available at: </w:t>
      </w:r>
      <w:hyperlink r:id="rId36" w:history="1">
        <w:r w:rsidRPr="00AF7A42">
          <w:rPr>
            <w:rStyle w:val="Hyperlink"/>
          </w:rPr>
          <w:t>https://www.ons.gov.uk/peoplepopulationandcommunity/crimeandjustice/methodologies/improvingestimatesofrepeatvictimisationderivedfromthecrimesurveyforenglandandwales</w:t>
        </w:r>
      </w:hyperlink>
    </w:p>
    <w:p w14:paraId="7170A03F" w14:textId="2331A2F9" w:rsidR="00395DE2" w:rsidRDefault="00395DE2" w:rsidP="00395DE2">
      <w:pPr>
        <w:pStyle w:val="NoSpacing"/>
      </w:pPr>
      <w:r>
        <w:t>(Accessed: 8 December 2020)</w:t>
      </w:r>
      <w:r w:rsidR="00396054">
        <w:t>.</w:t>
      </w:r>
    </w:p>
    <w:p w14:paraId="4245DF5B" w14:textId="54698180" w:rsidR="00396054" w:rsidRDefault="00396054" w:rsidP="00395DE2">
      <w:pPr>
        <w:pStyle w:val="NoSpacing"/>
      </w:pPr>
    </w:p>
    <w:p w14:paraId="745BFE24" w14:textId="77777777" w:rsidR="00396054" w:rsidRDefault="00396054" w:rsidP="00396054">
      <w:pPr>
        <w:pStyle w:val="NoSpacing"/>
        <w:rPr>
          <w:i/>
        </w:rPr>
      </w:pPr>
      <w:r>
        <w:t xml:space="preserve">Hassell, A.V (2015) </w:t>
      </w:r>
      <w:r>
        <w:rPr>
          <w:i/>
        </w:rPr>
        <w:t>Blackmail.</w:t>
      </w:r>
    </w:p>
    <w:p w14:paraId="08319C99" w14:textId="77777777" w:rsidR="00396054" w:rsidRDefault="00396054" w:rsidP="00396054">
      <w:pPr>
        <w:pStyle w:val="NoSpacing"/>
      </w:pPr>
      <w:r>
        <w:t xml:space="preserve">Available at: </w:t>
      </w:r>
      <w:hyperlink r:id="rId37" w:history="1">
        <w:r w:rsidRPr="008A74B5">
          <w:rPr>
            <w:rStyle w:val="Hyperlink"/>
          </w:rPr>
          <w:t>https://lawi.org.uk/blackmail/</w:t>
        </w:r>
      </w:hyperlink>
    </w:p>
    <w:p w14:paraId="6E99F18D" w14:textId="4424E6B3" w:rsidR="00396054" w:rsidRDefault="00396054" w:rsidP="00395DE2">
      <w:pPr>
        <w:pStyle w:val="NoSpacing"/>
      </w:pPr>
      <w:r>
        <w:t>(Accessed: 11 December 2020).</w:t>
      </w:r>
    </w:p>
    <w:p w14:paraId="6A9CA2BF" w14:textId="77777777" w:rsidR="00367673" w:rsidRPr="003E437D" w:rsidRDefault="00367673" w:rsidP="00367673">
      <w:pPr>
        <w:pStyle w:val="NoSpacing"/>
      </w:pPr>
    </w:p>
    <w:p w14:paraId="161C5C12" w14:textId="77777777" w:rsidR="00367673" w:rsidRDefault="00367673" w:rsidP="00367673">
      <w:pPr>
        <w:pStyle w:val="NoSpacing"/>
      </w:pPr>
      <w:r>
        <w:t xml:space="preserve">HMICFRS (2019) </w:t>
      </w:r>
      <w:r w:rsidRPr="00B76926">
        <w:rPr>
          <w:i/>
        </w:rPr>
        <w:t>Organisational Justice</w:t>
      </w:r>
    </w:p>
    <w:p w14:paraId="5904DA7B" w14:textId="77777777" w:rsidR="00367673" w:rsidRDefault="00367673" w:rsidP="00367673">
      <w:pPr>
        <w:pStyle w:val="NoSpacing"/>
      </w:pPr>
      <w:r>
        <w:t xml:space="preserve">Available at: </w:t>
      </w:r>
      <w:hyperlink r:id="rId38" w:history="1">
        <w:r w:rsidRPr="00027E10">
          <w:rPr>
            <w:rStyle w:val="Hyperlink"/>
          </w:rPr>
          <w:t>https://www.justiceinspectorates.gov.uk/hmicfrs/glossary/organisational-justice/</w:t>
        </w:r>
      </w:hyperlink>
    </w:p>
    <w:p w14:paraId="2A3E8683" w14:textId="67D4230D" w:rsidR="00367673" w:rsidRDefault="00367673" w:rsidP="00367673">
      <w:pPr>
        <w:pStyle w:val="NoSpacing"/>
      </w:pPr>
      <w:r>
        <w:t>(Accessed: 6 November 2020).</w:t>
      </w:r>
    </w:p>
    <w:p w14:paraId="5051A67A" w14:textId="5B764BB8" w:rsidR="00395DE2" w:rsidRDefault="00395DE2" w:rsidP="00367673">
      <w:pPr>
        <w:pStyle w:val="NoSpacing"/>
      </w:pPr>
    </w:p>
    <w:p w14:paraId="75400D15" w14:textId="77777777" w:rsidR="00395DE2" w:rsidRDefault="00395DE2" w:rsidP="00395DE2">
      <w:pPr>
        <w:pStyle w:val="NoSpacing"/>
      </w:pPr>
      <w:r>
        <w:t xml:space="preserve">HMIC (2015) </w:t>
      </w:r>
      <w:r w:rsidRPr="00CC64F2">
        <w:rPr>
          <w:i/>
        </w:rPr>
        <w:t>PEEL: Police effectiveness 2015 (Vulnerability).</w:t>
      </w:r>
    </w:p>
    <w:p w14:paraId="3542D744" w14:textId="77777777" w:rsidR="00395DE2" w:rsidRDefault="00395DE2" w:rsidP="00395DE2">
      <w:pPr>
        <w:pStyle w:val="NoSpacing"/>
      </w:pPr>
      <w:r>
        <w:t xml:space="preserve">Available at: </w:t>
      </w:r>
      <w:hyperlink r:id="rId39" w:history="1">
        <w:r w:rsidRPr="00AF7A42">
          <w:rPr>
            <w:rStyle w:val="Hyperlink"/>
          </w:rPr>
          <w:t>https://www.justiceinspectorates.gov.uk/hmicfrs/wp-content/uploads/police-effectiveness-vulnerability-2015-south-wales.pdf</w:t>
        </w:r>
      </w:hyperlink>
    </w:p>
    <w:p w14:paraId="6443A948" w14:textId="36F7D041" w:rsidR="00395DE2" w:rsidRDefault="00395DE2" w:rsidP="00367673">
      <w:pPr>
        <w:pStyle w:val="NoSpacing"/>
      </w:pPr>
      <w:r>
        <w:t>(Accessed: 9 December 2020).</w:t>
      </w:r>
    </w:p>
    <w:p w14:paraId="5BFD292D" w14:textId="3DE2D740" w:rsidR="00396054" w:rsidRDefault="00396054" w:rsidP="00367673">
      <w:pPr>
        <w:pStyle w:val="NoSpacing"/>
      </w:pPr>
    </w:p>
    <w:p w14:paraId="379AA5A1" w14:textId="77777777" w:rsidR="00396054" w:rsidRDefault="00396054" w:rsidP="00396054">
      <w:pPr>
        <w:pStyle w:val="NoSpacing"/>
      </w:pPr>
      <w:r>
        <w:t xml:space="preserve">Home Office (2015) </w:t>
      </w:r>
      <w:r w:rsidRPr="004F1902">
        <w:rPr>
          <w:i/>
        </w:rPr>
        <w:t>Communications data.</w:t>
      </w:r>
    </w:p>
    <w:p w14:paraId="42D0DEF7" w14:textId="77777777" w:rsidR="00396054" w:rsidRDefault="00396054" w:rsidP="00396054">
      <w:pPr>
        <w:pStyle w:val="NoSpacing"/>
      </w:pPr>
      <w:r>
        <w:t xml:space="preserve">Available at: </w:t>
      </w:r>
      <w:hyperlink r:id="rId40" w:history="1">
        <w:r w:rsidRPr="008A74B5">
          <w:rPr>
            <w:rStyle w:val="Hyperlink"/>
          </w:rPr>
          <w:t>https://www.gov.uk/government/collections/communications-data</w:t>
        </w:r>
      </w:hyperlink>
    </w:p>
    <w:p w14:paraId="4268948E" w14:textId="7B46DAF9" w:rsidR="00396054" w:rsidRDefault="00396054" w:rsidP="00367673">
      <w:pPr>
        <w:pStyle w:val="NoSpacing"/>
      </w:pPr>
      <w:r>
        <w:t>(Accessed: 12 December 2020).</w:t>
      </w:r>
    </w:p>
    <w:p w14:paraId="09BB6D69" w14:textId="676D690D" w:rsidR="00396054" w:rsidRDefault="00396054" w:rsidP="00367673">
      <w:pPr>
        <w:pStyle w:val="NoSpacing"/>
      </w:pPr>
    </w:p>
    <w:p w14:paraId="66B6B5B4" w14:textId="77777777" w:rsidR="00396054" w:rsidRDefault="00396054" w:rsidP="00396054">
      <w:pPr>
        <w:pStyle w:val="NoSpacing"/>
      </w:pPr>
      <w:r>
        <w:t xml:space="preserve">Jain, R. (2018) </w:t>
      </w:r>
      <w:r w:rsidRPr="0074517E">
        <w:rPr>
          <w:i/>
        </w:rPr>
        <w:t>How to Experience Punjabi Culture in India.</w:t>
      </w:r>
    </w:p>
    <w:p w14:paraId="0A65956F" w14:textId="77777777" w:rsidR="00396054" w:rsidRDefault="00396054" w:rsidP="00396054">
      <w:pPr>
        <w:pStyle w:val="NoSpacing"/>
      </w:pPr>
      <w:r>
        <w:t xml:space="preserve">Available at: </w:t>
      </w:r>
      <w:hyperlink r:id="rId41" w:history="1">
        <w:r w:rsidRPr="00AD534B">
          <w:rPr>
            <w:rStyle w:val="Hyperlink"/>
          </w:rPr>
          <w:t>https://theculturetrip.com/asia/india/articles/how-to-experience-punjabi-culture-in-india/</w:t>
        </w:r>
      </w:hyperlink>
    </w:p>
    <w:p w14:paraId="6B64129A" w14:textId="18FAB297" w:rsidR="00396054" w:rsidRDefault="00396054" w:rsidP="00367673">
      <w:pPr>
        <w:pStyle w:val="NoSpacing"/>
      </w:pPr>
      <w:r>
        <w:t>(Accessed: 10 December 2020).</w:t>
      </w:r>
    </w:p>
    <w:p w14:paraId="475BFB3C" w14:textId="71B9F8C7" w:rsidR="00395DE2" w:rsidRDefault="00395DE2" w:rsidP="00367673">
      <w:pPr>
        <w:pStyle w:val="NoSpacing"/>
      </w:pPr>
    </w:p>
    <w:p w14:paraId="5C68D654" w14:textId="77777777" w:rsidR="00395DE2" w:rsidRDefault="00395DE2" w:rsidP="00395DE2">
      <w:pPr>
        <w:pStyle w:val="NoSpacing"/>
        <w:rPr>
          <w:i/>
        </w:rPr>
      </w:pPr>
      <w:r>
        <w:t xml:space="preserve">Legislation.gov.uk (2020) </w:t>
      </w:r>
      <w:r>
        <w:rPr>
          <w:i/>
        </w:rPr>
        <w:t>Mental Health Act 1983.</w:t>
      </w:r>
    </w:p>
    <w:p w14:paraId="3CF33A92" w14:textId="77777777" w:rsidR="00395DE2" w:rsidRDefault="00395DE2" w:rsidP="00395DE2">
      <w:pPr>
        <w:pStyle w:val="NoSpacing"/>
      </w:pPr>
      <w:r>
        <w:t xml:space="preserve">Available at: </w:t>
      </w:r>
      <w:hyperlink r:id="rId42" w:history="1">
        <w:r w:rsidRPr="005F15B0">
          <w:rPr>
            <w:rStyle w:val="Hyperlink"/>
          </w:rPr>
          <w:t>https://www.legislation.gov.uk/ukpga/1983/20/section/136</w:t>
        </w:r>
      </w:hyperlink>
    </w:p>
    <w:p w14:paraId="0689E5A1" w14:textId="19DA4166" w:rsidR="00395DE2" w:rsidRDefault="00395DE2" w:rsidP="00367673">
      <w:pPr>
        <w:pStyle w:val="NoSpacing"/>
      </w:pPr>
      <w:r>
        <w:t>(Accessed: 29 November 2020).</w:t>
      </w:r>
    </w:p>
    <w:p w14:paraId="650B9721" w14:textId="43809AE8" w:rsidR="00395DE2" w:rsidRDefault="00395DE2" w:rsidP="00367673">
      <w:pPr>
        <w:pStyle w:val="NoSpacing"/>
      </w:pPr>
    </w:p>
    <w:p w14:paraId="11D271EF" w14:textId="77777777" w:rsidR="00395DE2" w:rsidRDefault="00395DE2" w:rsidP="00395DE2">
      <w:pPr>
        <w:pStyle w:val="NoSpacing"/>
      </w:pPr>
      <w:r>
        <w:t xml:space="preserve">Legislation. Gov.uk (2020) </w:t>
      </w:r>
      <w:r w:rsidRPr="0001343B">
        <w:rPr>
          <w:i/>
        </w:rPr>
        <w:t>Offences against the Person Act 1861.</w:t>
      </w:r>
    </w:p>
    <w:p w14:paraId="51698D2E" w14:textId="77777777" w:rsidR="00395DE2" w:rsidRDefault="00395DE2" w:rsidP="00395DE2">
      <w:pPr>
        <w:pStyle w:val="NoSpacing"/>
      </w:pPr>
      <w:r>
        <w:t xml:space="preserve">Available at: </w:t>
      </w:r>
      <w:hyperlink r:id="rId43" w:history="1">
        <w:r w:rsidRPr="00AD534B">
          <w:rPr>
            <w:rStyle w:val="Hyperlink"/>
          </w:rPr>
          <w:t>https://www.legislation.gov.uk/ukpga/Vict/24-25/100/section/16</w:t>
        </w:r>
      </w:hyperlink>
    </w:p>
    <w:p w14:paraId="37C38196" w14:textId="45C3BE9A" w:rsidR="00395DE2" w:rsidRDefault="00395DE2" w:rsidP="00367673">
      <w:pPr>
        <w:pStyle w:val="NoSpacing"/>
      </w:pPr>
      <w:r>
        <w:t>(Accessed: 10 December 2020).</w:t>
      </w:r>
    </w:p>
    <w:p w14:paraId="3BBB23A9" w14:textId="0208C8F3" w:rsidR="00367673" w:rsidRDefault="00367673" w:rsidP="00367673">
      <w:pPr>
        <w:pStyle w:val="NoSpacing"/>
      </w:pPr>
    </w:p>
    <w:p w14:paraId="2F716AD0" w14:textId="77777777" w:rsidR="00395DE2" w:rsidRDefault="00395DE2" w:rsidP="00395DE2">
      <w:pPr>
        <w:pStyle w:val="NoSpacing"/>
        <w:rPr>
          <w:i/>
        </w:rPr>
      </w:pPr>
      <w:r>
        <w:t xml:space="preserve">Metcalfe, S. (2015) </w:t>
      </w:r>
      <w:r w:rsidRPr="00D369D3">
        <w:rPr>
          <w:i/>
        </w:rPr>
        <w:t>The benefits and challenges of the Multi Agency Safeguarding.</w:t>
      </w:r>
    </w:p>
    <w:p w14:paraId="2D1B6F33" w14:textId="77777777" w:rsidR="00395DE2" w:rsidRDefault="00395DE2" w:rsidP="00395DE2">
      <w:pPr>
        <w:pStyle w:val="NoSpacing"/>
      </w:pPr>
      <w:r>
        <w:lastRenderedPageBreak/>
        <w:t xml:space="preserve">Available at: </w:t>
      </w:r>
      <w:hyperlink r:id="rId44" w:history="1">
        <w:r w:rsidRPr="005F15B0">
          <w:rPr>
            <w:rStyle w:val="Hyperlink"/>
          </w:rPr>
          <w:t>https://prezi.com/wknnep29ynwj/the-benefits-and-challenges-of-the-multi-agency-safeguarding/</w:t>
        </w:r>
      </w:hyperlink>
    </w:p>
    <w:p w14:paraId="1085D5DE" w14:textId="14658B99" w:rsidR="00395DE2" w:rsidRDefault="00395DE2" w:rsidP="00395DE2">
      <w:pPr>
        <w:pStyle w:val="NoSpacing"/>
      </w:pPr>
      <w:r>
        <w:t>(Accessed: 29 November 2020).</w:t>
      </w:r>
    </w:p>
    <w:p w14:paraId="16A926A8" w14:textId="77777777" w:rsidR="00396054" w:rsidRDefault="00396054" w:rsidP="00395DE2">
      <w:pPr>
        <w:pStyle w:val="NoSpacing"/>
      </w:pPr>
    </w:p>
    <w:p w14:paraId="7C9242A4" w14:textId="77777777" w:rsidR="00396054" w:rsidRDefault="00396054" w:rsidP="00396054">
      <w:pPr>
        <w:pStyle w:val="NoSpacing"/>
      </w:pPr>
      <w:r>
        <w:t xml:space="preserve">Mind Tools Content Team (date of publication unknown) </w:t>
      </w:r>
      <w:r w:rsidRPr="0035630D">
        <w:rPr>
          <w:i/>
        </w:rPr>
        <w:t>Building Rapport. Establishing Strong Two-Way Connections</w:t>
      </w:r>
      <w:r>
        <w:rPr>
          <w:i/>
        </w:rPr>
        <w:t>.</w:t>
      </w:r>
    </w:p>
    <w:p w14:paraId="121396A0" w14:textId="77777777" w:rsidR="00396054" w:rsidRDefault="00396054" w:rsidP="00396054">
      <w:pPr>
        <w:pStyle w:val="NoSpacing"/>
      </w:pPr>
      <w:r>
        <w:t xml:space="preserve">Available at: </w:t>
      </w:r>
      <w:hyperlink r:id="rId45" w:history="1">
        <w:r w:rsidRPr="008A74B5">
          <w:rPr>
            <w:rStyle w:val="Hyperlink"/>
          </w:rPr>
          <w:t>https://www.mindtools.com/pages/article/building-rapport.htm</w:t>
        </w:r>
      </w:hyperlink>
    </w:p>
    <w:p w14:paraId="12F28FF8" w14:textId="4767D872" w:rsidR="00396054" w:rsidRDefault="00396054" w:rsidP="00395DE2">
      <w:pPr>
        <w:pStyle w:val="NoSpacing"/>
      </w:pPr>
      <w:r>
        <w:t>(Accessed 11 December 2020).</w:t>
      </w:r>
    </w:p>
    <w:p w14:paraId="2611B6B2" w14:textId="77777777" w:rsidR="00395DE2" w:rsidRPr="00B76926" w:rsidRDefault="00395DE2" w:rsidP="00367673">
      <w:pPr>
        <w:pStyle w:val="NoSpacing"/>
      </w:pPr>
    </w:p>
    <w:p w14:paraId="1553DC98" w14:textId="77777777" w:rsidR="00367673" w:rsidRDefault="00367673" w:rsidP="00367673">
      <w:pPr>
        <w:pStyle w:val="NoSpacing"/>
        <w:rPr>
          <w:i/>
        </w:rPr>
      </w:pPr>
      <w:r>
        <w:t xml:space="preserve">Mind Tool Content Team (date of publication unknown) </w:t>
      </w:r>
      <w:r w:rsidRPr="007D6FB0">
        <w:rPr>
          <w:i/>
        </w:rPr>
        <w:t>Gibbs’ Reflective Cycle</w:t>
      </w:r>
    </w:p>
    <w:p w14:paraId="4D4270A9" w14:textId="77777777" w:rsidR="00367673" w:rsidRDefault="00367673" w:rsidP="00367673">
      <w:pPr>
        <w:pStyle w:val="NoSpacing"/>
      </w:pPr>
      <w:r>
        <w:t xml:space="preserve">Available at: </w:t>
      </w:r>
      <w:hyperlink r:id="rId46" w:history="1">
        <w:r w:rsidRPr="00351CB3">
          <w:rPr>
            <w:rStyle w:val="Hyperlink"/>
          </w:rPr>
          <w:t>https://www.mindtools.com/pages/article/reflective-cycle.htm</w:t>
        </w:r>
      </w:hyperlink>
    </w:p>
    <w:p w14:paraId="08E8DB24" w14:textId="0053EDA1" w:rsidR="00367673" w:rsidRDefault="00367673" w:rsidP="00367673">
      <w:pPr>
        <w:pStyle w:val="NoSpacing"/>
      </w:pPr>
      <w:r>
        <w:t>(Accessed: 6 November 2020).</w:t>
      </w:r>
    </w:p>
    <w:p w14:paraId="73EBADD8" w14:textId="2E8F3846" w:rsidR="00395DE2" w:rsidRDefault="00395DE2" w:rsidP="00395DE2">
      <w:pPr>
        <w:pStyle w:val="NoSpacing"/>
      </w:pPr>
    </w:p>
    <w:p w14:paraId="14AEF95A" w14:textId="77777777" w:rsidR="00395DE2" w:rsidRDefault="00395DE2" w:rsidP="00395DE2">
      <w:pPr>
        <w:pStyle w:val="NoSpacing"/>
        <w:rPr>
          <w:i/>
        </w:rPr>
      </w:pPr>
      <w:r>
        <w:t xml:space="preserve">Mind Tool Content Team (date of publication unknown) </w:t>
      </w:r>
      <w:r w:rsidRPr="007D6FB0">
        <w:rPr>
          <w:i/>
        </w:rPr>
        <w:t>Gibbs’ Reflective Cycle</w:t>
      </w:r>
    </w:p>
    <w:p w14:paraId="17A0B7D5" w14:textId="77777777" w:rsidR="00395DE2" w:rsidRDefault="00395DE2" w:rsidP="00395DE2">
      <w:pPr>
        <w:pStyle w:val="NoSpacing"/>
      </w:pPr>
      <w:r>
        <w:t xml:space="preserve">Available at: </w:t>
      </w:r>
      <w:hyperlink r:id="rId47" w:history="1">
        <w:r w:rsidRPr="00351CB3">
          <w:rPr>
            <w:rStyle w:val="Hyperlink"/>
          </w:rPr>
          <w:t>https://www.mindtools.com/pages/article/reflective-cycle.htm</w:t>
        </w:r>
      </w:hyperlink>
    </w:p>
    <w:p w14:paraId="0BB91A75" w14:textId="41950572" w:rsidR="00395DE2" w:rsidRDefault="00395DE2" w:rsidP="00395DE2">
      <w:pPr>
        <w:pStyle w:val="NoSpacing"/>
      </w:pPr>
      <w:r>
        <w:t>(Accessed: 3 December 2020).</w:t>
      </w:r>
    </w:p>
    <w:p w14:paraId="0CFEC101" w14:textId="3D92946F" w:rsidR="00396054" w:rsidRDefault="00396054" w:rsidP="00395DE2">
      <w:pPr>
        <w:pStyle w:val="NoSpacing"/>
      </w:pPr>
    </w:p>
    <w:p w14:paraId="60B5261D" w14:textId="77777777" w:rsidR="00396054" w:rsidRDefault="00396054" w:rsidP="00396054">
      <w:pPr>
        <w:pStyle w:val="NoSpacing"/>
        <w:rPr>
          <w:i/>
        </w:rPr>
      </w:pPr>
      <w:r>
        <w:t xml:space="preserve">Mind Tool Content Team (date of publication unknown) </w:t>
      </w:r>
      <w:r w:rsidRPr="007D6FB0">
        <w:rPr>
          <w:i/>
        </w:rPr>
        <w:t>Gibbs’ Reflective Cycle</w:t>
      </w:r>
    </w:p>
    <w:p w14:paraId="2083FF67" w14:textId="77777777" w:rsidR="00396054" w:rsidRDefault="00396054" w:rsidP="00396054">
      <w:pPr>
        <w:pStyle w:val="NoSpacing"/>
      </w:pPr>
      <w:r>
        <w:t xml:space="preserve">Available at: </w:t>
      </w:r>
      <w:hyperlink r:id="rId48" w:history="1">
        <w:r w:rsidRPr="00351CB3">
          <w:rPr>
            <w:rStyle w:val="Hyperlink"/>
          </w:rPr>
          <w:t>https://www.mindtools.com/pages/article/reflective-cycle.htm</w:t>
        </w:r>
      </w:hyperlink>
    </w:p>
    <w:p w14:paraId="3B552A5C" w14:textId="6EBEE051" w:rsidR="00396054" w:rsidRDefault="00396054" w:rsidP="00395DE2">
      <w:pPr>
        <w:pStyle w:val="NoSpacing"/>
      </w:pPr>
      <w:r>
        <w:t>(Accessed: 10 December 2020).</w:t>
      </w:r>
    </w:p>
    <w:p w14:paraId="1C29A4ED" w14:textId="53FB5841" w:rsidR="00395DE2" w:rsidRDefault="00395DE2" w:rsidP="00395DE2">
      <w:pPr>
        <w:pStyle w:val="NoSpacing"/>
      </w:pPr>
    </w:p>
    <w:p w14:paraId="0B2E01F4" w14:textId="77777777" w:rsidR="00396054" w:rsidRDefault="00396054" w:rsidP="00396054">
      <w:pPr>
        <w:pStyle w:val="NoSpacing"/>
        <w:rPr>
          <w:i/>
        </w:rPr>
      </w:pPr>
      <w:r>
        <w:t xml:space="preserve">Mind Tool Content Team (date of publication unknown) </w:t>
      </w:r>
      <w:r w:rsidRPr="007D6FB0">
        <w:rPr>
          <w:i/>
        </w:rPr>
        <w:t>Gibbs’ Reflective Cycle</w:t>
      </w:r>
    </w:p>
    <w:p w14:paraId="7F0DAC80" w14:textId="77777777" w:rsidR="00396054" w:rsidRDefault="00396054" w:rsidP="00396054">
      <w:pPr>
        <w:pStyle w:val="NoSpacing"/>
      </w:pPr>
      <w:r>
        <w:t xml:space="preserve">Available at: </w:t>
      </w:r>
      <w:hyperlink r:id="rId49" w:history="1">
        <w:r w:rsidRPr="00351CB3">
          <w:rPr>
            <w:rStyle w:val="Hyperlink"/>
          </w:rPr>
          <w:t>https://www.mindtools.com/pages/article/reflective-cycle.htm</w:t>
        </w:r>
      </w:hyperlink>
    </w:p>
    <w:p w14:paraId="4A9FB9EA" w14:textId="77777777" w:rsidR="00396054" w:rsidRDefault="00396054" w:rsidP="00396054">
      <w:pPr>
        <w:pStyle w:val="NoSpacing"/>
      </w:pPr>
      <w:r>
        <w:t>(Accessed: 11 December 2020).</w:t>
      </w:r>
    </w:p>
    <w:p w14:paraId="6C758CAD" w14:textId="77777777" w:rsidR="00396054" w:rsidRDefault="00396054" w:rsidP="00395DE2">
      <w:pPr>
        <w:pStyle w:val="NoSpacing"/>
      </w:pPr>
    </w:p>
    <w:p w14:paraId="7B8E9521" w14:textId="218ADDB3" w:rsidR="00D9257C" w:rsidRDefault="00395DE2" w:rsidP="00395DE2">
      <w:pPr>
        <w:pStyle w:val="NoSpacing"/>
      </w:pPr>
      <w:r>
        <w:t xml:space="preserve">Pocket Sergeant (2020) </w:t>
      </w:r>
      <w:r w:rsidRPr="003D3B2C">
        <w:rPr>
          <w:i/>
        </w:rPr>
        <w:t>Harassment.</w:t>
      </w:r>
      <w:bookmarkStart w:id="12" w:name="_GoBack"/>
      <w:bookmarkEnd w:id="12"/>
    </w:p>
    <w:p w14:paraId="1E9C7FAE" w14:textId="764C37BB" w:rsidR="00395DE2" w:rsidRDefault="00395DE2" w:rsidP="00395DE2">
      <w:pPr>
        <w:pStyle w:val="NoSpacing"/>
      </w:pPr>
      <w:r>
        <w:t>(Accessed: 3 December 2020).</w:t>
      </w:r>
    </w:p>
    <w:p w14:paraId="6502E82F" w14:textId="4F1EBEF7" w:rsidR="00396054" w:rsidRDefault="00396054" w:rsidP="00395DE2">
      <w:pPr>
        <w:pStyle w:val="NoSpacing"/>
      </w:pPr>
    </w:p>
    <w:p w14:paraId="6390E5CF" w14:textId="77777777" w:rsidR="00396054" w:rsidRDefault="00396054" w:rsidP="00396054">
      <w:pPr>
        <w:pStyle w:val="NoSpacing"/>
      </w:pPr>
      <w:r>
        <w:t xml:space="preserve">Sentencing Council (2018) </w:t>
      </w:r>
      <w:r w:rsidRPr="00E60456">
        <w:rPr>
          <w:i/>
        </w:rPr>
        <w:t>Assault offences explained.</w:t>
      </w:r>
    </w:p>
    <w:p w14:paraId="48CD31E8" w14:textId="77777777" w:rsidR="00396054" w:rsidRDefault="00396054" w:rsidP="00396054">
      <w:pPr>
        <w:pStyle w:val="NoSpacing"/>
      </w:pPr>
      <w:r>
        <w:t xml:space="preserve">Available at: </w:t>
      </w:r>
      <w:hyperlink r:id="rId50" w:history="1">
        <w:r w:rsidRPr="00AD534B">
          <w:rPr>
            <w:rStyle w:val="Hyperlink"/>
          </w:rPr>
          <w:t>https://www.sentencingcouncil.org.uk/news/item/assault-offences-explained/</w:t>
        </w:r>
      </w:hyperlink>
    </w:p>
    <w:p w14:paraId="030066DA" w14:textId="77777777" w:rsidR="00396054" w:rsidRDefault="00396054" w:rsidP="00396054">
      <w:pPr>
        <w:pStyle w:val="NoSpacing"/>
      </w:pPr>
      <w:r>
        <w:t>(Accessed: 10 December 2020).</w:t>
      </w:r>
    </w:p>
    <w:p w14:paraId="6990FC25" w14:textId="77777777" w:rsidR="00396054" w:rsidRDefault="00396054" w:rsidP="00395DE2">
      <w:pPr>
        <w:pStyle w:val="NoSpacing"/>
      </w:pPr>
    </w:p>
    <w:p w14:paraId="76783787" w14:textId="77777777" w:rsidR="00395DE2" w:rsidRDefault="00395DE2" w:rsidP="00395DE2">
      <w:pPr>
        <w:pStyle w:val="NoSpacing"/>
      </w:pPr>
    </w:p>
    <w:p w14:paraId="623FF671" w14:textId="77777777" w:rsidR="00367673" w:rsidRPr="00367673" w:rsidRDefault="00367673" w:rsidP="00367673">
      <w:pPr>
        <w:keepNext/>
        <w:spacing w:before="240" w:after="60"/>
        <w:ind w:right="237"/>
        <w:jc w:val="both"/>
        <w:rPr>
          <w:sz w:val="24"/>
          <w:szCs w:val="24"/>
        </w:rPr>
      </w:pPr>
    </w:p>
    <w:sectPr w:rsidR="00367673" w:rsidRPr="00367673" w:rsidSect="002D5C2F">
      <w:headerReference w:type="even" r:id="rId51"/>
      <w:headerReference w:type="default" r:id="rId52"/>
      <w:footerReference w:type="even" r:id="rId53"/>
      <w:footerReference w:type="default" r:id="rId54"/>
      <w:headerReference w:type="first" r:id="rId55"/>
      <w:footerReference w:type="first" r:id="rId5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21E60" w14:textId="57E3AA36" w:rsidR="002D5C2F" w:rsidRDefault="00522D81" w:rsidP="00522D81">
    <w:pPr>
      <w:pStyle w:val="Footer"/>
      <w:rPr>
        <w:sz w:val="17"/>
      </w:rPr>
    </w:pPr>
    <w:bookmarkStart w:id="2" w:name="TITUS1FooterEvenPages"/>
    <w:r>
      <w:rPr>
        <w:sz w:val="17"/>
      </w:rPr>
      <w:t> </w:t>
    </w:r>
  </w:p>
  <w:bookmarkEnd w:id="2"/>
  <w:p w14:paraId="11F55EA9" w14:textId="5870EB44" w:rsidR="002D5C2F" w:rsidRDefault="002D5C2F" w:rsidP="002D5C2F">
    <w:pPr>
      <w:pStyle w:val="Footer"/>
      <w:jc w:val="right"/>
    </w:pPr>
    <w:r>
      <w:fldChar w:fldCharType="begin"/>
    </w:r>
    <w:r>
      <w:instrText xml:space="preserve"> PAGE   \* MERGEFORMAT </w:instrText>
    </w:r>
    <w:r>
      <w:fldChar w:fldCharType="separate"/>
    </w:r>
    <w:r w:rsidR="00522D81">
      <w:rPr>
        <w:noProof/>
      </w:rPr>
      <w:t>2</w:t>
    </w:r>
    <w:r>
      <w:rPr>
        <w:noProof/>
      </w:rPr>
      <w:fldChar w:fldCharType="end"/>
    </w:r>
  </w:p>
  <w:p w14:paraId="0D3D41A1" w14:textId="77777777" w:rsidR="002D5C2F" w:rsidRPr="00BB5EAA" w:rsidRDefault="002D5C2F" w:rsidP="002D5C2F">
    <w:pPr>
      <w:pStyle w:val="Footer"/>
      <w:ind w:right="360"/>
      <w:jc w:val="center"/>
    </w:pPr>
  </w:p>
  <w:p w14:paraId="665C5B28" w14:textId="77777777" w:rsidR="002D5C2F" w:rsidRDefault="002D5C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1D7A93" w14:textId="6127ACD8" w:rsidR="002D5C2F" w:rsidRDefault="00522D81" w:rsidP="00522D81">
    <w:pPr>
      <w:pStyle w:val="Footer"/>
      <w:rPr>
        <w:sz w:val="17"/>
      </w:rPr>
    </w:pPr>
    <w:bookmarkStart w:id="3" w:name="TITUS1FooterPrimary"/>
    <w:r>
      <w:rPr>
        <w:sz w:val="17"/>
      </w:rPr>
      <w:t> </w:t>
    </w:r>
  </w:p>
  <w:bookmarkEnd w:id="3"/>
  <w:p w14:paraId="50521BFA" w14:textId="42077B15" w:rsidR="00F6513F" w:rsidRDefault="00F6513F">
    <w:pPr>
      <w:pStyle w:val="Footer"/>
      <w:jc w:val="right"/>
    </w:pPr>
    <w:r>
      <w:fldChar w:fldCharType="begin"/>
    </w:r>
    <w:r>
      <w:instrText xml:space="preserve"> PAGE   \* MERGEFORMAT </w:instrText>
    </w:r>
    <w:r>
      <w:fldChar w:fldCharType="separate"/>
    </w:r>
    <w:r w:rsidR="00522D81">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D3A42" w14:textId="607F8DA7" w:rsidR="002D5C2F" w:rsidRDefault="00522D81" w:rsidP="00522D81">
    <w:pPr>
      <w:pStyle w:val="Footer"/>
      <w:rPr>
        <w:sz w:val="17"/>
      </w:rPr>
    </w:pPr>
    <w:bookmarkStart w:id="5" w:name="TITUS1FooterFirstPage"/>
    <w:r>
      <w:rPr>
        <w:sz w:val="17"/>
      </w:rPr>
      <w:t> </w:t>
    </w:r>
  </w:p>
  <w:bookmarkEnd w:id="5"/>
  <w:p w14:paraId="6345393F" w14:textId="4BC28F07" w:rsidR="002D5C2F" w:rsidRDefault="002D5C2F" w:rsidP="002D5C2F">
    <w:pPr>
      <w:pStyle w:val="Footer"/>
      <w:jc w:val="right"/>
    </w:pPr>
    <w:r>
      <w:fldChar w:fldCharType="begin"/>
    </w:r>
    <w:r>
      <w:instrText xml:space="preserve"> PAGE   \* MERGEFORMAT </w:instrText>
    </w:r>
    <w:r>
      <w:fldChar w:fldCharType="separate"/>
    </w:r>
    <w:r w:rsidR="00522D81">
      <w:rPr>
        <w:noProof/>
      </w:rPr>
      <w:t>1</w:t>
    </w:r>
    <w:r>
      <w:rPr>
        <w:noProof/>
      </w:rPr>
      <w:fldChar w:fldCharType="end"/>
    </w:r>
  </w:p>
  <w:p w14:paraId="71B1FEE6" w14:textId="77777777" w:rsidR="002D5C2F" w:rsidRPr="00BB5EAA" w:rsidRDefault="002D5C2F" w:rsidP="002D5C2F">
    <w:pPr>
      <w:pStyle w:val="Footer"/>
      <w:ind w:right="360"/>
      <w:jc w:val="center"/>
    </w:pPr>
  </w:p>
  <w:p w14:paraId="7E071E61" w14:textId="77777777" w:rsidR="002D5C2F" w:rsidRDefault="002D5C2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ABCE8" w14:textId="00E31447" w:rsidR="002D5C2F" w:rsidRDefault="00522D81" w:rsidP="00522D81">
    <w:pPr>
      <w:pStyle w:val="Footer"/>
      <w:rPr>
        <w:sz w:val="17"/>
      </w:rPr>
    </w:pPr>
    <w:bookmarkStart w:id="8" w:name="TITUS2FooterEvenPages"/>
    <w:r>
      <w:rPr>
        <w:sz w:val="17"/>
      </w:rPr>
      <w:t> </w:t>
    </w:r>
  </w:p>
  <w:bookmarkEnd w:id="8"/>
  <w:p w14:paraId="68FCB22A" w14:textId="77777777" w:rsidR="002D5C2F" w:rsidRDefault="002D5C2F" w:rsidP="002D5C2F">
    <w:pPr>
      <w:pStyle w:val="Footer"/>
      <w:jc w:val="right"/>
    </w:pPr>
  </w:p>
  <w:p w14:paraId="51AE058B" w14:textId="6C81F394" w:rsidR="002D5C2F" w:rsidRDefault="002D5C2F" w:rsidP="002D5C2F">
    <w:pPr>
      <w:pStyle w:val="Footer"/>
      <w:jc w:val="right"/>
    </w:pPr>
    <w:r>
      <w:fldChar w:fldCharType="begin"/>
    </w:r>
    <w:r>
      <w:instrText xml:space="preserve"> PAGE   \* MERGEFORMAT </w:instrText>
    </w:r>
    <w:r>
      <w:fldChar w:fldCharType="separate"/>
    </w:r>
    <w:r w:rsidR="00522D81">
      <w:rPr>
        <w:noProof/>
      </w:rPr>
      <w:t>14</w:t>
    </w:r>
    <w:r>
      <w:rPr>
        <w:noProof/>
      </w:rPr>
      <w:fldChar w:fldCharType="end"/>
    </w:r>
  </w:p>
  <w:p w14:paraId="1C1789AE" w14:textId="77777777" w:rsidR="002D5C2F" w:rsidRPr="00BB5EAA" w:rsidRDefault="002D5C2F" w:rsidP="002D5C2F">
    <w:pPr>
      <w:pStyle w:val="Footer"/>
      <w:ind w:right="360"/>
      <w:jc w:val="center"/>
    </w:pPr>
  </w:p>
  <w:p w14:paraId="4E098611" w14:textId="77777777" w:rsidR="002D5C2F" w:rsidRDefault="002D5C2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9524A" w14:textId="7A0C3F0D" w:rsidR="002D5C2F" w:rsidRDefault="00522D81" w:rsidP="00522D81">
    <w:pPr>
      <w:pStyle w:val="Footer"/>
      <w:rPr>
        <w:sz w:val="17"/>
      </w:rPr>
    </w:pPr>
    <w:bookmarkStart w:id="9" w:name="TITUS2FooterPrimary"/>
    <w:r>
      <w:rPr>
        <w:sz w:val="17"/>
      </w:rPr>
      <w:t> </w:t>
    </w:r>
  </w:p>
  <w:bookmarkEnd w:id="9"/>
  <w:p w14:paraId="1381C20B" w14:textId="77777777" w:rsidR="002D5C2F" w:rsidRDefault="002D5C2F">
    <w:pPr>
      <w:pStyle w:val="Footer"/>
      <w:jc w:val="right"/>
    </w:pPr>
  </w:p>
  <w:p w14:paraId="1B36A239" w14:textId="44BF0E20" w:rsidR="002D5C2F" w:rsidRDefault="002D5C2F">
    <w:pPr>
      <w:pStyle w:val="Footer"/>
      <w:jc w:val="right"/>
    </w:pPr>
    <w:r>
      <w:fldChar w:fldCharType="begin"/>
    </w:r>
    <w:r>
      <w:instrText xml:space="preserve"> PAGE   \* MERGEFORMAT </w:instrText>
    </w:r>
    <w:r>
      <w:fldChar w:fldCharType="separate"/>
    </w:r>
    <w:r w:rsidR="00522D81">
      <w:rPr>
        <w:noProof/>
      </w:rPr>
      <w:t>13</w:t>
    </w:r>
    <w:r>
      <w:rPr>
        <w:noProof/>
      </w:rPr>
      <w:fldChar w:fldCharType="end"/>
    </w:r>
  </w:p>
  <w:p w14:paraId="19FA272C" w14:textId="77777777" w:rsidR="002D5C2F" w:rsidRPr="00BB5EAA" w:rsidRDefault="002D5C2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F1494" w14:textId="7B4B6FDA" w:rsidR="002D5C2F" w:rsidRDefault="00522D81" w:rsidP="00522D81">
    <w:pPr>
      <w:pStyle w:val="Footer"/>
      <w:rPr>
        <w:sz w:val="17"/>
      </w:rPr>
    </w:pPr>
    <w:bookmarkStart w:id="11" w:name="TITUS2FooterFirstPage"/>
    <w:r>
      <w:rPr>
        <w:sz w:val="17"/>
      </w:rPr>
      <w:t> </w:t>
    </w:r>
  </w:p>
  <w:bookmarkEnd w:id="11"/>
  <w:p w14:paraId="2C4BE4C7" w14:textId="77777777" w:rsidR="002D5C2F" w:rsidRDefault="002D5C2F" w:rsidP="002D5C2F">
    <w:pPr>
      <w:pStyle w:val="Footer"/>
      <w:jc w:val="right"/>
    </w:pPr>
  </w:p>
  <w:p w14:paraId="40652518" w14:textId="4D0D6088" w:rsidR="002D5C2F" w:rsidRDefault="002D5C2F" w:rsidP="002D5C2F">
    <w:pPr>
      <w:pStyle w:val="Footer"/>
      <w:jc w:val="right"/>
    </w:pPr>
    <w:r>
      <w:fldChar w:fldCharType="begin"/>
    </w:r>
    <w:r>
      <w:instrText xml:space="preserve"> PAGE   \* MERGEFORMAT </w:instrText>
    </w:r>
    <w:r>
      <w:fldChar w:fldCharType="separate"/>
    </w:r>
    <w:r w:rsidR="00522D81">
      <w:rPr>
        <w:noProof/>
      </w:rPr>
      <w:t>4</w:t>
    </w:r>
    <w:r>
      <w:rPr>
        <w:noProof/>
      </w:rPr>
      <w:fldChar w:fldCharType="end"/>
    </w:r>
  </w:p>
  <w:p w14:paraId="034CCD75" w14:textId="77777777" w:rsidR="002D5C2F" w:rsidRPr="00BB5EAA" w:rsidRDefault="002D5C2F" w:rsidP="002D5C2F">
    <w:pPr>
      <w:pStyle w:val="Footer"/>
      <w:ind w:right="360"/>
      <w:jc w:val="center"/>
    </w:pPr>
  </w:p>
  <w:p w14:paraId="533EF362" w14:textId="77777777" w:rsidR="002D5C2F" w:rsidRDefault="002D5C2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3CB73" w14:textId="623E046D" w:rsidR="002D5C2F" w:rsidRDefault="00522D81" w:rsidP="00522D81">
    <w:pPr>
      <w:pStyle w:val="Footer"/>
      <w:rPr>
        <w:sz w:val="17"/>
      </w:rPr>
    </w:pPr>
    <w:bookmarkStart w:id="15" w:name="TITUS3FooterEvenPages"/>
    <w:r>
      <w:rPr>
        <w:sz w:val="17"/>
      </w:rPr>
      <w:t> </w:t>
    </w:r>
  </w:p>
  <w:bookmarkEnd w:id="15"/>
  <w:p w14:paraId="315BC0A9" w14:textId="77777777" w:rsidR="002D5C2F" w:rsidRDefault="002D5C2F" w:rsidP="002D5C2F">
    <w:pPr>
      <w:pStyle w:val="Footer"/>
      <w:jc w:val="right"/>
    </w:pPr>
  </w:p>
  <w:p w14:paraId="58E0AE07" w14:textId="412D144E" w:rsidR="002D5C2F" w:rsidRDefault="002D5C2F" w:rsidP="002D5C2F">
    <w:pPr>
      <w:pStyle w:val="Footer"/>
      <w:jc w:val="right"/>
    </w:pPr>
    <w:r>
      <w:fldChar w:fldCharType="begin"/>
    </w:r>
    <w:r>
      <w:instrText xml:space="preserve"> PAGE   \* MERGEFORMAT </w:instrText>
    </w:r>
    <w:r>
      <w:fldChar w:fldCharType="separate"/>
    </w:r>
    <w:r w:rsidR="00522D81">
      <w:rPr>
        <w:noProof/>
      </w:rPr>
      <w:t>16</w:t>
    </w:r>
    <w:r>
      <w:rPr>
        <w:noProof/>
      </w:rPr>
      <w:fldChar w:fldCharType="end"/>
    </w:r>
  </w:p>
  <w:p w14:paraId="3E8125AC" w14:textId="77777777" w:rsidR="002D5C2F" w:rsidRPr="00BB5EAA" w:rsidRDefault="002D5C2F" w:rsidP="002D5C2F">
    <w:pPr>
      <w:pStyle w:val="Footer"/>
      <w:ind w:right="360"/>
      <w:jc w:val="center"/>
    </w:pPr>
  </w:p>
  <w:p w14:paraId="7B8F1D3C" w14:textId="77777777" w:rsidR="002D5C2F" w:rsidRDefault="002D5C2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102499" w14:textId="61A4FF96" w:rsidR="002D5C2F" w:rsidRDefault="00522D81" w:rsidP="00522D81">
    <w:pPr>
      <w:pStyle w:val="Footer"/>
      <w:rPr>
        <w:sz w:val="17"/>
      </w:rPr>
    </w:pPr>
    <w:bookmarkStart w:id="16" w:name="TITUS3FooterPrimary"/>
    <w:r>
      <w:rPr>
        <w:sz w:val="17"/>
      </w:rPr>
      <w:t> </w:t>
    </w:r>
  </w:p>
  <w:bookmarkEnd w:id="16"/>
  <w:p w14:paraId="619CEC99" w14:textId="77777777" w:rsidR="002D5C2F" w:rsidRDefault="002D5C2F">
    <w:pPr>
      <w:pStyle w:val="Footer"/>
      <w:jc w:val="right"/>
    </w:pPr>
  </w:p>
  <w:p w14:paraId="2F58D5A7" w14:textId="7C9103F4" w:rsidR="002D5C2F" w:rsidRDefault="002D5C2F">
    <w:pPr>
      <w:pStyle w:val="Footer"/>
      <w:jc w:val="right"/>
    </w:pPr>
    <w:r>
      <w:fldChar w:fldCharType="begin"/>
    </w:r>
    <w:r>
      <w:instrText xml:space="preserve"> PAGE   \* MERGEFORMAT </w:instrText>
    </w:r>
    <w:r>
      <w:fldChar w:fldCharType="separate"/>
    </w:r>
    <w:r w:rsidR="00522D81">
      <w:rPr>
        <w:noProof/>
      </w:rPr>
      <w:t>17</w:t>
    </w:r>
    <w:r>
      <w:rPr>
        <w:noProof/>
      </w:rPr>
      <w:fldChar w:fldCharType="end"/>
    </w:r>
  </w:p>
  <w:p w14:paraId="7E0939DC" w14:textId="77777777" w:rsidR="002D5C2F" w:rsidRPr="00BB5EAA" w:rsidRDefault="002D5C2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2B7D77" w14:textId="13F9DB65" w:rsidR="002D5C2F" w:rsidRDefault="00522D81" w:rsidP="00522D81">
    <w:pPr>
      <w:pStyle w:val="Footer"/>
      <w:rPr>
        <w:sz w:val="17"/>
      </w:rPr>
    </w:pPr>
    <w:bookmarkStart w:id="18" w:name="TITUS3FooterFirstPage"/>
    <w:r>
      <w:rPr>
        <w:sz w:val="17"/>
      </w:rPr>
      <w:t> </w:t>
    </w:r>
  </w:p>
  <w:bookmarkEnd w:id="18"/>
  <w:p w14:paraId="6DCDFB40" w14:textId="77777777" w:rsidR="002D5C2F" w:rsidRDefault="002D5C2F" w:rsidP="002D5C2F">
    <w:pPr>
      <w:pStyle w:val="Footer"/>
      <w:jc w:val="right"/>
    </w:pPr>
  </w:p>
  <w:p w14:paraId="42793BE3" w14:textId="7D206D85" w:rsidR="002D5C2F" w:rsidRDefault="002D5C2F" w:rsidP="002D5C2F">
    <w:pPr>
      <w:pStyle w:val="Footer"/>
      <w:jc w:val="right"/>
    </w:pPr>
    <w:r>
      <w:fldChar w:fldCharType="begin"/>
    </w:r>
    <w:r>
      <w:instrText xml:space="preserve"> PAGE   \* MERGEFORMAT </w:instrText>
    </w:r>
    <w:r>
      <w:fldChar w:fldCharType="separate"/>
    </w:r>
    <w:r w:rsidR="00522D81">
      <w:rPr>
        <w:noProof/>
      </w:rPr>
      <w:t>15</w:t>
    </w:r>
    <w:r>
      <w:rPr>
        <w:noProof/>
      </w:rPr>
      <w:fldChar w:fldCharType="end"/>
    </w:r>
  </w:p>
  <w:p w14:paraId="3FFB3E78" w14:textId="77777777" w:rsidR="002D5C2F" w:rsidRPr="00BB5EAA" w:rsidRDefault="002D5C2F" w:rsidP="002D5C2F">
    <w:pPr>
      <w:pStyle w:val="Footer"/>
      <w:ind w:right="360"/>
      <w:jc w:val="center"/>
    </w:pPr>
  </w:p>
  <w:p w14:paraId="0734C93E" w14:textId="77777777" w:rsidR="002D5C2F" w:rsidRDefault="002D5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B6DC1B" w14:textId="2E321799" w:rsidR="00396054" w:rsidRDefault="00522D81" w:rsidP="00522D81">
    <w:pPr>
      <w:pStyle w:val="Header"/>
      <w:rPr>
        <w:sz w:val="17"/>
      </w:rPr>
    </w:pPr>
    <w:bookmarkStart w:id="0" w:name="TITUS1HeaderEvenPages"/>
    <w:r>
      <w:rPr>
        <w:sz w:val="17"/>
      </w:rPr>
      <w:t> </w:t>
    </w:r>
  </w:p>
  <w:bookmarkEnd w:id="0"/>
  <w:p w14:paraId="50A439F8" w14:textId="77777777" w:rsidR="00396054" w:rsidRDefault="00396054" w:rsidP="00396054">
    <w:pPr>
      <w:pStyle w:val="Header"/>
    </w:pPr>
  </w:p>
  <w:p w14:paraId="300AC1EC" w14:textId="77777777" w:rsidR="002D5C2F" w:rsidRDefault="002D5C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265D0" w14:textId="685C3F9F" w:rsidR="002D5C2F" w:rsidRDefault="00522D81" w:rsidP="00522D81">
    <w:pPr>
      <w:pStyle w:val="Header"/>
      <w:rPr>
        <w:sz w:val="17"/>
      </w:rPr>
    </w:pPr>
    <w:bookmarkStart w:id="1" w:name="TITUS1HeaderPrimary"/>
    <w:r>
      <w:rPr>
        <w:sz w:val="17"/>
      </w:rPr>
      <w:t> </w:t>
    </w:r>
  </w:p>
  <w:bookmarkEnd w:id="1"/>
  <w:p w14:paraId="624655FE" w14:textId="77777777" w:rsidR="002D5C2F" w:rsidRDefault="002D5C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E67FF7" w14:textId="5A5525DF" w:rsidR="002D5C2F" w:rsidRDefault="00522D81" w:rsidP="00522D81">
    <w:pPr>
      <w:pStyle w:val="Header"/>
      <w:rPr>
        <w:sz w:val="17"/>
      </w:rPr>
    </w:pPr>
    <w:bookmarkStart w:id="4" w:name="TITUS1HeaderFirstPage"/>
    <w:r>
      <w:rPr>
        <w:sz w:val="17"/>
      </w:rPr>
      <w:t> </w:t>
    </w:r>
  </w:p>
  <w:bookmarkEnd w:id="4"/>
  <w:p w14:paraId="2560BBBE" w14:textId="77777777" w:rsidR="002D5C2F" w:rsidRDefault="002D5C2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F37C8" w14:textId="66329F56" w:rsidR="002D5C2F" w:rsidRDefault="00522D81" w:rsidP="00522D81">
    <w:pPr>
      <w:pStyle w:val="Header"/>
      <w:rPr>
        <w:sz w:val="17"/>
      </w:rPr>
    </w:pPr>
    <w:bookmarkStart w:id="6" w:name="TITUS2HeaderEvenPages"/>
    <w:r>
      <w:rPr>
        <w:sz w:val="17"/>
      </w:rPr>
      <w:t> </w:t>
    </w:r>
  </w:p>
  <w:bookmarkEnd w:id="6"/>
  <w:p w14:paraId="1F34EE86" w14:textId="77777777" w:rsidR="002D5C2F" w:rsidRDefault="002D5C2F" w:rsidP="002D5C2F">
    <w:pPr>
      <w:pStyle w:val="Header"/>
    </w:pPr>
  </w:p>
  <w:p w14:paraId="35132541" w14:textId="77777777" w:rsidR="002D5C2F" w:rsidRDefault="002D5C2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CEB167" w14:textId="3DEB4B58" w:rsidR="002D5C2F" w:rsidRDefault="00522D81" w:rsidP="00522D81">
    <w:pPr>
      <w:pStyle w:val="Header"/>
      <w:rPr>
        <w:sz w:val="17"/>
      </w:rPr>
    </w:pPr>
    <w:bookmarkStart w:id="7" w:name="TITUS2HeaderPrimary"/>
    <w:r>
      <w:rPr>
        <w:sz w:val="17"/>
      </w:rPr>
      <w:t> </w:t>
    </w:r>
  </w:p>
  <w:bookmarkEnd w:id="7"/>
  <w:p w14:paraId="638E2B4A" w14:textId="77777777" w:rsidR="002D5C2F" w:rsidRDefault="002D5C2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15478" w14:textId="6506D6B9" w:rsidR="002D5C2F" w:rsidRDefault="00522D81" w:rsidP="00522D81">
    <w:pPr>
      <w:pStyle w:val="Header"/>
      <w:rPr>
        <w:sz w:val="17"/>
      </w:rPr>
    </w:pPr>
    <w:bookmarkStart w:id="10" w:name="TITUS2HeaderFirstPage"/>
    <w:r>
      <w:rPr>
        <w:sz w:val="17"/>
      </w:rPr>
      <w:t> </w:t>
    </w:r>
  </w:p>
  <w:bookmarkEnd w:id="10"/>
  <w:p w14:paraId="4618FC91" w14:textId="77777777" w:rsidR="002D5C2F" w:rsidRDefault="002D5C2F" w:rsidP="002D5C2F">
    <w:pPr>
      <w:pStyle w:val="Header"/>
    </w:pPr>
  </w:p>
  <w:p w14:paraId="0C251CA3" w14:textId="77777777" w:rsidR="002D5C2F" w:rsidRDefault="002D5C2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6AE1E6" w14:textId="59CFBF30" w:rsidR="002D5C2F" w:rsidRDefault="00522D81" w:rsidP="00522D81">
    <w:pPr>
      <w:pStyle w:val="Header"/>
      <w:rPr>
        <w:sz w:val="17"/>
      </w:rPr>
    </w:pPr>
    <w:bookmarkStart w:id="13" w:name="TITUS3HeaderEvenPages"/>
    <w:r>
      <w:rPr>
        <w:sz w:val="17"/>
      </w:rPr>
      <w:t> </w:t>
    </w:r>
  </w:p>
  <w:bookmarkEnd w:id="13"/>
  <w:p w14:paraId="6755B40C" w14:textId="77777777" w:rsidR="002D5C2F" w:rsidRDefault="002D5C2F" w:rsidP="002D5C2F">
    <w:pPr>
      <w:pStyle w:val="Header"/>
    </w:pPr>
  </w:p>
  <w:p w14:paraId="2C6927F2" w14:textId="77777777" w:rsidR="002D5C2F" w:rsidRDefault="002D5C2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8969" w14:textId="1260D12F" w:rsidR="002D5C2F" w:rsidRDefault="00522D81" w:rsidP="00522D81">
    <w:pPr>
      <w:pStyle w:val="Header"/>
      <w:rPr>
        <w:sz w:val="17"/>
      </w:rPr>
    </w:pPr>
    <w:bookmarkStart w:id="14" w:name="TITUS3HeaderPrimary"/>
    <w:r>
      <w:rPr>
        <w:sz w:val="17"/>
      </w:rPr>
      <w:t> </w:t>
    </w:r>
  </w:p>
  <w:bookmarkEnd w:id="14"/>
  <w:p w14:paraId="6EF57FDB" w14:textId="77777777" w:rsidR="002D5C2F" w:rsidRDefault="002D5C2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EB642" w14:textId="1A03ACF7" w:rsidR="002D5C2F" w:rsidRDefault="00522D81" w:rsidP="00522D81">
    <w:pPr>
      <w:pStyle w:val="Header"/>
      <w:rPr>
        <w:sz w:val="17"/>
      </w:rPr>
    </w:pPr>
    <w:bookmarkStart w:id="17" w:name="TITUS3HeaderFirstPage"/>
    <w:r>
      <w:rPr>
        <w:sz w:val="17"/>
      </w:rPr>
      <w:t> </w:t>
    </w:r>
  </w:p>
  <w:bookmarkEnd w:id="17"/>
  <w:p w14:paraId="6ED7C2FA" w14:textId="77777777" w:rsidR="002D5C2F" w:rsidRDefault="002D5C2F" w:rsidP="002D5C2F">
    <w:pPr>
      <w:pStyle w:val="Header"/>
    </w:pPr>
  </w:p>
  <w:p w14:paraId="22E3599E" w14:textId="77777777" w:rsidR="002D5C2F" w:rsidRDefault="002D5C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B77"/>
    <w:rsid w:val="000045B8"/>
    <w:rsid w:val="00017E3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6A74"/>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5C2F"/>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67673"/>
    <w:rsid w:val="00372DB4"/>
    <w:rsid w:val="0037490C"/>
    <w:rsid w:val="00375AF5"/>
    <w:rsid w:val="003761BD"/>
    <w:rsid w:val="003769F6"/>
    <w:rsid w:val="00385414"/>
    <w:rsid w:val="00390074"/>
    <w:rsid w:val="00395DE2"/>
    <w:rsid w:val="00396054"/>
    <w:rsid w:val="0039762B"/>
    <w:rsid w:val="003A0C37"/>
    <w:rsid w:val="003A1B6B"/>
    <w:rsid w:val="003A2F82"/>
    <w:rsid w:val="003A46C0"/>
    <w:rsid w:val="003A600E"/>
    <w:rsid w:val="003A6513"/>
    <w:rsid w:val="003B16C7"/>
    <w:rsid w:val="003B190F"/>
    <w:rsid w:val="003C19F1"/>
    <w:rsid w:val="003C4186"/>
    <w:rsid w:val="003C458C"/>
    <w:rsid w:val="003C6185"/>
    <w:rsid w:val="003D0D2D"/>
    <w:rsid w:val="003D34AC"/>
    <w:rsid w:val="003D4710"/>
    <w:rsid w:val="003E16D7"/>
    <w:rsid w:val="003E197E"/>
    <w:rsid w:val="004046F0"/>
    <w:rsid w:val="0040668F"/>
    <w:rsid w:val="00412677"/>
    <w:rsid w:val="004168DB"/>
    <w:rsid w:val="00417925"/>
    <w:rsid w:val="004348AE"/>
    <w:rsid w:val="004356B7"/>
    <w:rsid w:val="004376C0"/>
    <w:rsid w:val="0044115F"/>
    <w:rsid w:val="0044223A"/>
    <w:rsid w:val="00446792"/>
    <w:rsid w:val="00446F80"/>
    <w:rsid w:val="00450C83"/>
    <w:rsid w:val="00451851"/>
    <w:rsid w:val="00453343"/>
    <w:rsid w:val="004608B9"/>
    <w:rsid w:val="00460ADB"/>
    <w:rsid w:val="00464F82"/>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22D8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16F"/>
    <w:rsid w:val="009079BD"/>
    <w:rsid w:val="00912BD9"/>
    <w:rsid w:val="00920E5B"/>
    <w:rsid w:val="00926436"/>
    <w:rsid w:val="0093018C"/>
    <w:rsid w:val="00932CCA"/>
    <w:rsid w:val="00953E15"/>
    <w:rsid w:val="009544C0"/>
    <w:rsid w:val="00954FA4"/>
    <w:rsid w:val="00956AE9"/>
    <w:rsid w:val="0096106E"/>
    <w:rsid w:val="00964CC6"/>
    <w:rsid w:val="0098309F"/>
    <w:rsid w:val="00987EFE"/>
    <w:rsid w:val="00991FDA"/>
    <w:rsid w:val="009927A1"/>
    <w:rsid w:val="0099774D"/>
    <w:rsid w:val="009A5F3B"/>
    <w:rsid w:val="009B0B61"/>
    <w:rsid w:val="009B28C0"/>
    <w:rsid w:val="009B7136"/>
    <w:rsid w:val="009B7806"/>
    <w:rsid w:val="009C3AC2"/>
    <w:rsid w:val="009D2A4A"/>
    <w:rsid w:val="009D4365"/>
    <w:rsid w:val="009D4E3B"/>
    <w:rsid w:val="009D7BC9"/>
    <w:rsid w:val="009E0C5A"/>
    <w:rsid w:val="009E1982"/>
    <w:rsid w:val="009E4D2C"/>
    <w:rsid w:val="009F0978"/>
    <w:rsid w:val="009F0A44"/>
    <w:rsid w:val="009F25CF"/>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747D"/>
    <w:rsid w:val="00BC0401"/>
    <w:rsid w:val="00BC04FA"/>
    <w:rsid w:val="00BC1C22"/>
    <w:rsid w:val="00BC31B1"/>
    <w:rsid w:val="00BC460B"/>
    <w:rsid w:val="00BC5725"/>
    <w:rsid w:val="00BD30B1"/>
    <w:rsid w:val="00BE0F7B"/>
    <w:rsid w:val="00BE10C2"/>
    <w:rsid w:val="00BE4E31"/>
    <w:rsid w:val="00BE5895"/>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257C"/>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0EC0"/>
    <w:rsid w:val="00EC45F4"/>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5B2"/>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367673"/>
    <w:rPr>
      <w:rFonts w:asciiTheme="minorHAnsi" w:hAnsi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perkbox.com/uk/resources/blog/what-is-equity-theory-and-why-should-i-be-applying-it" TargetMode="External"/><Relationship Id="rId39" Type="http://schemas.openxmlformats.org/officeDocument/2006/relationships/hyperlink" Target="https://www.justiceinspectorates.gov.uk/hmicfrs/wp-content/uploads/police-effectiveness-vulnerability-2015-south-wales.pdf" TargetMode="External"/><Relationship Id="rId21" Type="http://schemas.openxmlformats.org/officeDocument/2006/relationships/footer" Target="footer5.xml"/><Relationship Id="rId34" Type="http://schemas.openxmlformats.org/officeDocument/2006/relationships/hyperlink" Target="https://www.college.police.uk/What-we-do/Development/Vulnerability/Pages/Vulnerability.aspx" TargetMode="External"/><Relationship Id="rId42" Type="http://schemas.openxmlformats.org/officeDocument/2006/relationships/hyperlink" Target="https://www.legislation.gov.uk/ukpga/1983/20/section/136" TargetMode="External"/><Relationship Id="rId47" Type="http://schemas.openxmlformats.org/officeDocument/2006/relationships/hyperlink" Target="https://www.mindtools.com/pages/article/reflective-cycle.htm" TargetMode="External"/><Relationship Id="rId50" Type="http://schemas.openxmlformats.org/officeDocument/2006/relationships/hyperlink" Target="https://www.sentencingcouncil.org.uk/news/item/assault-offences-explained/" TargetMode="External"/><Relationship Id="rId55"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bbc.co.uk/news/newsbeat-38150192" TargetMode="Externa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www.justiceinspectorates.gov.uk/hmicfrs/glossary/organisational-justice/" TargetMode="External"/><Relationship Id="rId46" Type="http://schemas.openxmlformats.org/officeDocument/2006/relationships/hyperlink" Target="https://www.mindtools.com/pages/article/reflective-cycle.htm"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cipd.co.uk/knowledge/strategy/analytics/evidence-based-practice-factsheet" TargetMode="External"/><Relationship Id="rId41" Type="http://schemas.openxmlformats.org/officeDocument/2006/relationships/hyperlink" Target="https://theculturetrip.com/asia/india/articles/how-to-experience-punjabi-culture-in-india/" TargetMode="External"/><Relationship Id="rId54"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mployment-studies.co.uk/system/files/resources/files/mp73.pdf" TargetMode="External"/><Relationship Id="rId32" Type="http://schemas.openxmlformats.org/officeDocument/2006/relationships/hyperlink" Target="https://www.app.college.police.uk/app-content/intelligence-management/analysis/" TargetMode="External"/><Relationship Id="rId37" Type="http://schemas.openxmlformats.org/officeDocument/2006/relationships/hyperlink" Target="https://lawi.org.uk/blackmail/" TargetMode="External"/><Relationship Id="rId40" Type="http://schemas.openxmlformats.org/officeDocument/2006/relationships/hyperlink" Target="https://www.gov.uk/government/collections/communications-data" TargetMode="External"/><Relationship Id="rId45" Type="http://schemas.openxmlformats.org/officeDocument/2006/relationships/hyperlink" Target="https://www.mindtools.com/pages/article/building-rapport.htm" TargetMode="External"/><Relationship Id="rId53" Type="http://schemas.openxmlformats.org/officeDocument/2006/relationships/footer" Target="footer7.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cdsofficetech.com/the-importance-of-body-cameras-for-police-officers/" TargetMode="External"/><Relationship Id="rId36" Type="http://schemas.openxmlformats.org/officeDocument/2006/relationships/hyperlink" Target="https://www.ons.gov.uk/peoplepopulationandcommunity/crimeandjustice/methodologies/improvingestimatesofrepeatvictimisationderivedfromthecrimesurveyforenglandandwales" TargetMode="External"/><Relationship Id="rId49" Type="http://schemas.openxmlformats.org/officeDocument/2006/relationships/hyperlink" Target="https://www.mindtools.com/pages/article/reflective-cycle.htm"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hatworks.college.police.uk/About/News/Pages/Coercive_Control.aspx" TargetMode="External"/><Relationship Id="rId44" Type="http://schemas.openxmlformats.org/officeDocument/2006/relationships/hyperlink" Target="https://prezi.com/wknnep29ynwj/the-benefits-and-challenges-of-the-multi-agency-safeguarding/" TargetMode="External"/><Relationship Id="rId52"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personneltoday.com/hr/six-ways-organisations-can-create-ethical-culture/" TargetMode="External"/><Relationship Id="rId30" Type="http://schemas.openxmlformats.org/officeDocument/2006/relationships/hyperlink" Target="https://www.college.police.uk/What-we-do/Ethics/Documents/Code_of_Ethics.pdf" TargetMode="External"/><Relationship Id="rId35" Type="http://schemas.openxmlformats.org/officeDocument/2006/relationships/hyperlink" Target="https://communityjustice.scot/case-studies/a-joined-up-approach-to-tackling-repeat-offending/" TargetMode="External"/><Relationship Id="rId43" Type="http://schemas.openxmlformats.org/officeDocument/2006/relationships/hyperlink" Target="https://www.legislation.gov.uk/ukpga/Vict/24-25/100/section/16" TargetMode="External"/><Relationship Id="rId48" Type="http://schemas.openxmlformats.org/officeDocument/2006/relationships/hyperlink" Target="https://www.mindtools.com/pages/article/reflective-cycle.htm" TargetMode="External"/><Relationship Id="rId56" Type="http://schemas.openxmlformats.org/officeDocument/2006/relationships/footer" Target="footer9.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1ecf5648-3750-43f5-867d-bfaa16e6e17e"/>
    <ds:schemaRef ds:uri="http://www.w3.org/XML/1998/namespac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E21FDE9-0F05-4017-B19B-AAAC006FC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17</Pages>
  <Words>7565</Words>
  <Characters>43031</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Mason,Carys swp6455</cp:lastModifiedBy>
  <cp:revision>13</cp:revision>
  <cp:lastPrinted>2020-12-13T19:24:00Z</cp:lastPrinted>
  <dcterms:created xsi:type="dcterms:W3CDTF">2020-10-04T21:08:00Z</dcterms:created>
  <dcterms:modified xsi:type="dcterms:W3CDTF">2020-12-13T22:29:00Z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b6756caa-2ae7-4c7c-96b7-4d2564df63cd</vt:lpwstr>
  </property>
  <property fmtid="{D5CDD505-2E9C-101B-9397-08002B2CF9AE}" pid="4" name="Classification">
    <vt:lpwstr>OFFICIAL</vt:lpwstr>
  </property>
  <property fmtid="{D5CDD505-2E9C-101B-9397-08002B2CF9AE}" pid="5" name="Visibility">
    <vt:lpwstr>NOT VISIBLE</vt:lpwstr>
  </property>
</Properties>
</file>