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2912403" w14:textId="2A01F47D" w:rsidR="005B5FE3" w:rsidRDefault="00226AFA">
      <w:pPr>
        <w:jc w:val="center"/>
        <w:rPr>
          <w:b/>
          <w:sz w:val="32"/>
        </w:rPr>
      </w:pPr>
      <w:r w:rsidRPr="00A406E5">
        <w:rPr>
          <w:rFonts w:cs="Arial"/>
          <w:noProof/>
        </w:rPr>
        <w:drawing>
          <wp:anchor distT="0" distB="0" distL="114300" distR="114300" simplePos="0" relativeHeight="251658240" behindDoc="0" locked="0" layoutInCell="1" allowOverlap="1" wp14:anchorId="280D3894" wp14:editId="72D5E4AB">
            <wp:simplePos x="0" y="0"/>
            <wp:positionH relativeFrom="column">
              <wp:posOffset>-236220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7423EF0" w14:textId="77777777" w:rsidR="005B5FE3" w:rsidRDefault="005B5FE3">
      <w:pPr>
        <w:jc w:val="center"/>
        <w:rPr>
          <w:b/>
          <w:sz w:val="32"/>
        </w:rPr>
      </w:pPr>
    </w:p>
    <w:p w14:paraId="6B16897D" w14:textId="151F27B0" w:rsidR="002A1252" w:rsidRDefault="00022B0B">
      <w:pPr>
        <w:jc w:val="center"/>
      </w:pPr>
      <w:r>
        <w:rPr>
          <w:b/>
          <w:sz w:val="32"/>
        </w:rPr>
        <w:t>BA (Hons) Business Management</w:t>
      </w:r>
    </w:p>
    <w:p w14:paraId="5AA56CE8" w14:textId="77777777" w:rsidR="002A1252" w:rsidRDefault="00022B0B">
      <w:pPr>
        <w:jc w:val="center"/>
      </w:pPr>
      <w:r>
        <w:rPr>
          <w:b/>
          <w:sz w:val="30"/>
        </w:rPr>
        <w:t>LCBB5010 - Management Accounting for Managers</w:t>
      </w:r>
    </w:p>
    <w:p w14:paraId="174FDAB9" w14:textId="77777777" w:rsidR="002A1252" w:rsidRDefault="002A1252"/>
    <w:p w14:paraId="6D86A7E6" w14:textId="77777777" w:rsidR="002A1252" w:rsidRDefault="00022B0B">
      <w:pPr>
        <w:jc w:val="center"/>
      </w:pPr>
      <w:r>
        <w:rPr>
          <w:b/>
          <w:sz w:val="36"/>
        </w:rPr>
        <w:t>Component 1: Individual Report</w:t>
      </w:r>
    </w:p>
    <w:p w14:paraId="61E40156" w14:textId="77777777" w:rsidR="002A1252" w:rsidRDefault="00022B0B">
      <w:pPr>
        <w:jc w:val="center"/>
      </w:pPr>
      <w:r>
        <w:rPr>
          <w:b/>
          <w:sz w:val="32"/>
        </w:rPr>
        <w:t>Management Accounting and Financial Decision-Making at Toyota Motor Corporation</w:t>
      </w:r>
    </w:p>
    <w:p w14:paraId="031437E8" w14:textId="77777777" w:rsidR="002A1252" w:rsidRDefault="002A1252"/>
    <w:p w14:paraId="39B175D4" w14:textId="77777777" w:rsidR="002A1252" w:rsidRPr="004E6931" w:rsidRDefault="00022B0B">
      <w:pPr>
        <w:jc w:val="center"/>
        <w:rPr>
          <w:b/>
          <w:bCs/>
          <w:sz w:val="28"/>
          <w:szCs w:val="28"/>
        </w:rPr>
      </w:pPr>
      <w:r w:rsidRPr="004E6931">
        <w:rPr>
          <w:b/>
          <w:bCs/>
          <w:sz w:val="28"/>
          <w:szCs w:val="28"/>
        </w:rPr>
        <w:t xml:space="preserve">Student Name: </w:t>
      </w:r>
      <w:r w:rsidR="006D0574" w:rsidRPr="004E6931">
        <w:rPr>
          <w:b/>
          <w:bCs/>
          <w:sz w:val="28"/>
          <w:szCs w:val="28"/>
        </w:rPr>
        <w:t xml:space="preserve">Ioan </w:t>
      </w:r>
      <w:r w:rsidR="00B12287" w:rsidRPr="004E6931">
        <w:rPr>
          <w:b/>
          <w:bCs/>
          <w:sz w:val="28"/>
          <w:szCs w:val="28"/>
        </w:rPr>
        <w:t>Saibel</w:t>
      </w:r>
    </w:p>
    <w:p w14:paraId="680228D9" w14:textId="77777777" w:rsidR="002A1252" w:rsidRPr="004E6931" w:rsidRDefault="00022B0B">
      <w:pPr>
        <w:jc w:val="center"/>
        <w:rPr>
          <w:b/>
          <w:bCs/>
          <w:sz w:val="28"/>
          <w:szCs w:val="28"/>
        </w:rPr>
      </w:pPr>
      <w:r w:rsidRPr="004E6931">
        <w:rPr>
          <w:b/>
          <w:bCs/>
          <w:sz w:val="28"/>
          <w:szCs w:val="28"/>
        </w:rPr>
        <w:t xml:space="preserve">Student ID: </w:t>
      </w:r>
      <w:r w:rsidR="0028366C" w:rsidRPr="004E6931">
        <w:rPr>
          <w:b/>
          <w:bCs/>
          <w:sz w:val="28"/>
          <w:szCs w:val="28"/>
        </w:rPr>
        <w:t>242</w:t>
      </w:r>
      <w:r w:rsidR="00A834E7" w:rsidRPr="004E6931">
        <w:rPr>
          <w:b/>
          <w:bCs/>
          <w:sz w:val="28"/>
          <w:szCs w:val="28"/>
        </w:rPr>
        <w:t>04</w:t>
      </w:r>
      <w:r w:rsidR="00960B09" w:rsidRPr="004E6931">
        <w:rPr>
          <w:b/>
          <w:bCs/>
          <w:sz w:val="28"/>
          <w:szCs w:val="28"/>
        </w:rPr>
        <w:t>27</w:t>
      </w:r>
    </w:p>
    <w:p w14:paraId="35E5EDB7" w14:textId="77777777" w:rsidR="002A1252" w:rsidRPr="004E6931" w:rsidRDefault="00022B0B">
      <w:pPr>
        <w:jc w:val="center"/>
        <w:rPr>
          <w:b/>
          <w:bCs/>
          <w:sz w:val="28"/>
          <w:szCs w:val="28"/>
        </w:rPr>
      </w:pPr>
      <w:r w:rsidRPr="004E6931">
        <w:rPr>
          <w:b/>
          <w:bCs/>
          <w:sz w:val="28"/>
          <w:szCs w:val="28"/>
        </w:rPr>
        <w:t xml:space="preserve">Lecturer: </w:t>
      </w:r>
      <w:r w:rsidR="001568D2" w:rsidRPr="004E6931">
        <w:rPr>
          <w:b/>
          <w:bCs/>
          <w:sz w:val="28"/>
          <w:szCs w:val="28"/>
        </w:rPr>
        <w:t>Ba</w:t>
      </w:r>
      <w:r w:rsidR="00B12287" w:rsidRPr="004E6931">
        <w:rPr>
          <w:b/>
          <w:bCs/>
          <w:sz w:val="28"/>
          <w:szCs w:val="28"/>
        </w:rPr>
        <w:t>bar Syed</w:t>
      </w:r>
    </w:p>
    <w:p w14:paraId="50DD5A00" w14:textId="77777777" w:rsidR="002A1252" w:rsidRDefault="00022B0B">
      <w:r>
        <w:br w:type="page"/>
      </w:r>
    </w:p>
    <w:p w14:paraId="56D287A4" w14:textId="77777777" w:rsidR="002A1252" w:rsidRPr="00E278C7" w:rsidRDefault="00022B0B">
      <w:pPr>
        <w:pStyle w:val="Heading1"/>
        <w:rPr>
          <w:sz w:val="28"/>
        </w:rPr>
      </w:pPr>
      <w:r w:rsidRPr="00E278C7">
        <w:rPr>
          <w:sz w:val="28"/>
        </w:rPr>
        <w:lastRenderedPageBreak/>
        <w:t>Table of Contents</w:t>
      </w:r>
    </w:p>
    <w:p w14:paraId="65AA9005" w14:textId="77777777" w:rsidR="002A1252" w:rsidRPr="00E278C7" w:rsidRDefault="00022B0B">
      <w:pPr>
        <w:rPr>
          <w:sz w:val="28"/>
          <w:szCs w:val="28"/>
        </w:rPr>
      </w:pPr>
      <w:r w:rsidRPr="00E278C7">
        <w:rPr>
          <w:sz w:val="28"/>
          <w:szCs w:val="28"/>
        </w:rPr>
        <w:t>1. Introduction</w:t>
      </w:r>
    </w:p>
    <w:p w14:paraId="5B63E9CE" w14:textId="77777777" w:rsidR="002A1252" w:rsidRPr="00E278C7" w:rsidRDefault="00022B0B">
      <w:pPr>
        <w:rPr>
          <w:sz w:val="28"/>
          <w:szCs w:val="28"/>
        </w:rPr>
      </w:pPr>
      <w:r w:rsidRPr="00E278C7">
        <w:rPr>
          <w:sz w:val="28"/>
          <w:szCs w:val="28"/>
        </w:rPr>
        <w:t>2. Cost Analysis and Business Model</w:t>
      </w:r>
    </w:p>
    <w:p w14:paraId="230D6372" w14:textId="77777777" w:rsidR="002A1252" w:rsidRPr="00E278C7" w:rsidRDefault="00022B0B">
      <w:pPr>
        <w:rPr>
          <w:sz w:val="28"/>
          <w:szCs w:val="28"/>
        </w:rPr>
      </w:pPr>
      <w:r w:rsidRPr="00E278C7">
        <w:rPr>
          <w:sz w:val="28"/>
          <w:szCs w:val="28"/>
        </w:rPr>
        <w:t>3. Budgeting and Financial Planning</w:t>
      </w:r>
    </w:p>
    <w:p w14:paraId="53ACDD8F" w14:textId="77777777" w:rsidR="002A1252" w:rsidRPr="00E278C7" w:rsidRDefault="00022B0B">
      <w:pPr>
        <w:rPr>
          <w:sz w:val="28"/>
          <w:szCs w:val="28"/>
        </w:rPr>
      </w:pPr>
      <w:r w:rsidRPr="00E278C7">
        <w:rPr>
          <w:sz w:val="28"/>
          <w:szCs w:val="28"/>
        </w:rPr>
        <w:t>4. Performance Measurement and Decision-Making</w:t>
      </w:r>
    </w:p>
    <w:p w14:paraId="29BCAC4A" w14:textId="77777777" w:rsidR="002A1252" w:rsidRPr="00E278C7" w:rsidRDefault="00022B0B">
      <w:pPr>
        <w:rPr>
          <w:sz w:val="28"/>
          <w:szCs w:val="28"/>
        </w:rPr>
      </w:pPr>
      <w:r w:rsidRPr="00E278C7">
        <w:rPr>
          <w:sz w:val="28"/>
          <w:szCs w:val="28"/>
        </w:rPr>
        <w:t>5. Sustainability and Ethical Considerations</w:t>
      </w:r>
    </w:p>
    <w:p w14:paraId="462A5798" w14:textId="77777777" w:rsidR="002A1252" w:rsidRPr="00E278C7" w:rsidRDefault="00022B0B">
      <w:pPr>
        <w:rPr>
          <w:sz w:val="28"/>
          <w:szCs w:val="28"/>
        </w:rPr>
      </w:pPr>
      <w:r w:rsidRPr="00E278C7">
        <w:rPr>
          <w:sz w:val="28"/>
          <w:szCs w:val="28"/>
        </w:rPr>
        <w:t>6. Conclusion and Recommendations</w:t>
      </w:r>
    </w:p>
    <w:p w14:paraId="616F2B59" w14:textId="77777777" w:rsidR="002A1252" w:rsidRPr="00E278C7" w:rsidRDefault="00022B0B">
      <w:pPr>
        <w:rPr>
          <w:sz w:val="28"/>
          <w:szCs w:val="28"/>
        </w:rPr>
      </w:pPr>
      <w:r w:rsidRPr="00E278C7">
        <w:rPr>
          <w:sz w:val="28"/>
          <w:szCs w:val="28"/>
        </w:rPr>
        <w:t>Reference List</w:t>
      </w:r>
    </w:p>
    <w:p w14:paraId="00DED9F7" w14:textId="77777777" w:rsidR="002A1252" w:rsidRPr="00E278C7" w:rsidRDefault="00022B0B">
      <w:pPr>
        <w:rPr>
          <w:sz w:val="28"/>
          <w:szCs w:val="28"/>
        </w:rPr>
      </w:pPr>
      <w:r w:rsidRPr="00E278C7">
        <w:rPr>
          <w:sz w:val="28"/>
          <w:szCs w:val="28"/>
        </w:rPr>
        <w:br w:type="page"/>
      </w:r>
    </w:p>
    <w:p w14:paraId="005C8A0A" w14:textId="77777777" w:rsidR="002A1252" w:rsidRPr="00E278C7" w:rsidRDefault="00022B0B" w:rsidP="00E278C7">
      <w:pPr>
        <w:pStyle w:val="Heading1"/>
        <w:rPr>
          <w:szCs w:val="32"/>
        </w:rPr>
      </w:pPr>
      <w:r w:rsidRPr="00E278C7">
        <w:rPr>
          <w:szCs w:val="32"/>
        </w:rPr>
        <w:lastRenderedPageBreak/>
        <w:t>1. Introduction</w:t>
      </w:r>
    </w:p>
    <w:p w14:paraId="792842AD" w14:textId="77777777" w:rsidR="002A1252" w:rsidRPr="00E278C7" w:rsidRDefault="00022B0B">
      <w:pPr>
        <w:jc w:val="both"/>
        <w:rPr>
          <w:sz w:val="28"/>
          <w:szCs w:val="28"/>
        </w:rPr>
      </w:pPr>
      <w:r w:rsidRPr="00E278C7">
        <w:rPr>
          <w:sz w:val="28"/>
          <w:szCs w:val="28"/>
        </w:rPr>
        <w:t>Toyota Motor Corporation is a leading global automotive manufacturer founded in Japan in 1937. Its principal activities include the manufacture and sale of motor vehicles, together with financial services and mobility-related businesses. Toyota operates across major global markets and offers a diversified portfolio of internal-combustion vehicles, hybrid electric vehicles (HEVs), plug-in hybrids (PHEVs), battery electric vehicles (BEVs) and fuel-cell vehicles. In FY2026, consolidated vehicle sales reached 9.595 million units and sales revenues were ¥50.685 trillion (Toyota Motor Corporation, 2026a).</w:t>
      </w:r>
    </w:p>
    <w:p w14:paraId="1892D029" w14:textId="77777777" w:rsidR="002A1252" w:rsidRPr="00E278C7" w:rsidRDefault="00022B0B">
      <w:pPr>
        <w:jc w:val="both"/>
        <w:rPr>
          <w:sz w:val="28"/>
          <w:szCs w:val="28"/>
        </w:rPr>
      </w:pPr>
      <w:r w:rsidRPr="00E278C7">
        <w:rPr>
          <w:sz w:val="28"/>
          <w:szCs w:val="28"/>
        </w:rPr>
        <w:t>Management accounting is important in a complex multinational manufacturer because it converts financial and non-financial information into evidence for planning, cost control, performance evaluation and strategic decisions. Contemporary management control research also stresses that control practices interact with organisational tasks and risks rather than operating in isolation (Mouritsen, Pedraza-Acosta and Thrane, 2022). For Toyota, this information is particularly important when allocating resources across global production, technology investment and a changing electrified-vehicle portfolio.</w:t>
      </w:r>
    </w:p>
    <w:p w14:paraId="534872B6" w14:textId="77777777" w:rsidR="002A1252" w:rsidRPr="00E278C7" w:rsidRDefault="00022B0B" w:rsidP="005B5FE3">
      <w:pPr>
        <w:pStyle w:val="Heading1"/>
      </w:pPr>
      <w:r w:rsidRPr="00E278C7">
        <w:t>2. Cost Analysis and Business Model</w:t>
      </w:r>
    </w:p>
    <w:p w14:paraId="1D658457" w14:textId="77777777" w:rsidR="002A1252" w:rsidRPr="00E278C7" w:rsidRDefault="00022B0B">
      <w:pPr>
        <w:jc w:val="both"/>
        <w:rPr>
          <w:sz w:val="28"/>
          <w:szCs w:val="28"/>
        </w:rPr>
      </w:pPr>
      <w:r w:rsidRPr="00E278C7">
        <w:rPr>
          <w:sz w:val="28"/>
          <w:szCs w:val="28"/>
        </w:rPr>
        <w:t xml:space="preserve">Toyota operates a diversified business model in which the principal revenue stream is automotive manufacturing and sales, supplemented by financial services and other activities. In FY2026, automotive sales revenues rose 5.1% to ¥45.418 trillion, while financial-services revenues rose 8.4% to ¥4.857 trillion (Toyota Motor Corporation, 2026a). Financial services therefore diversify income beyond vehicle sales and can support </w:t>
      </w:r>
      <w:r w:rsidRPr="00E278C7">
        <w:rPr>
          <w:sz w:val="28"/>
          <w:szCs w:val="28"/>
        </w:rPr>
        <w:lastRenderedPageBreak/>
        <w:t>customer access through financing and leasing. However, the automotive segment remains dominant, making manufacturing cost behaviour central to profitability.</w:t>
      </w:r>
    </w:p>
    <w:p w14:paraId="5A92B760" w14:textId="77777777" w:rsidR="002A1252" w:rsidRPr="00E278C7" w:rsidRDefault="00022B0B">
      <w:pPr>
        <w:jc w:val="both"/>
        <w:rPr>
          <w:sz w:val="28"/>
          <w:szCs w:val="28"/>
        </w:rPr>
      </w:pPr>
      <w:r w:rsidRPr="00E278C7">
        <w:rPr>
          <w:sz w:val="28"/>
          <w:szCs w:val="28"/>
        </w:rPr>
        <w:t>Management accounting commonly distinguishes fixed costs, which do not change immediately with activity within a relevant range, from variable costs, which move more directly with output (Datar and Rajan, 2021). For Toyota, relatively fixed commitments include manufacturing facilities, production equipment and depreciation, salaried personnel, and parts of research and development. These commitments create operating leverage: when output rises, fixed costs can be spread across more units, but under-utilised capacity can increase unit costs. Variable or volume-sensitive costs include raw materials, purchased components, freight and logistics, and production inputs. The distinction supports budgeting, pricing, contribution analysis and production decisions.</w:t>
      </w:r>
    </w:p>
    <w:p w14:paraId="4991B970" w14:textId="77777777" w:rsidR="002A1252" w:rsidRPr="00E278C7" w:rsidRDefault="00022B0B">
      <w:pPr>
        <w:jc w:val="both"/>
        <w:rPr>
          <w:sz w:val="28"/>
          <w:szCs w:val="28"/>
        </w:rPr>
      </w:pPr>
      <w:r w:rsidRPr="00E278C7">
        <w:rPr>
          <w:sz w:val="28"/>
          <w:szCs w:val="28"/>
        </w:rPr>
        <w:t>Nevertheless, a purely fixed-variable model is an approximation. Research on cost stickiness shows that costs may respond asymmetrically to increases and decreases in activity because managers face adjustment costs and make deliberate resource-retention decisions (Ibrahim, Ali and Aboelkheir, 2022). Economic-policy uncertainty can also change the extent of cost stickiness as managers revise expectations and operating resources (Lee et al., 2021). This is highly relevant to an international manufacturer exposed to tariffs, exchange rates and supply-chain disruption.</w:t>
      </w:r>
    </w:p>
    <w:p w14:paraId="7683D62D" w14:textId="77777777" w:rsidR="002A1252" w:rsidRPr="00E278C7" w:rsidRDefault="00022B0B">
      <w:pPr>
        <w:jc w:val="both"/>
        <w:rPr>
          <w:sz w:val="28"/>
          <w:szCs w:val="28"/>
        </w:rPr>
      </w:pPr>
      <w:r w:rsidRPr="00E278C7">
        <w:rPr>
          <w:sz w:val="28"/>
          <w:szCs w:val="28"/>
        </w:rPr>
        <w:t xml:space="preserve">Toyota's FY2026 results demonstrate why cost analysis must go beyond sales growth. Automotive revenue increased, but automotive operating income fell 29.5% to ¥2.777 trillion (Toyota Motor Corporation, 2026a). At group level, revenue increased 5.5%, while operating income declined </w:t>
      </w:r>
      <w:r w:rsidRPr="00E278C7">
        <w:rPr>
          <w:sz w:val="28"/>
          <w:szCs w:val="28"/>
        </w:rPr>
        <w:lastRenderedPageBreak/>
        <w:t>21.5% to ¥3.766 trillion. The result indicates that stronger volumes and pricing did not fully offset cost pressures. Toyota should therefore combine conventional cost behaviour analysis with activity-based costing (ABC), which traces overheads to activities and cost drivers. Recent automotive research shows that ABC remains useful for operational cost management, although detailed cost-driver systems can be complex and data intensive (Bodendorf and Franke, 2024). For Toyota, ABC could improve comparisons across vehicle technologies, but management should avoid assuming that all costs vary linearly with production volume.</w:t>
      </w:r>
    </w:p>
    <w:p w14:paraId="3ABC6A0B" w14:textId="77777777" w:rsidR="002A1252" w:rsidRPr="00E278C7" w:rsidRDefault="00022B0B">
      <w:pPr>
        <w:rPr>
          <w:sz w:val="28"/>
          <w:szCs w:val="28"/>
        </w:rPr>
      </w:pPr>
      <w:r w:rsidRPr="00E278C7">
        <w:rPr>
          <w:sz w:val="28"/>
          <w:szCs w:val="28"/>
        </w:rPr>
        <w:t>A further limitation is that ABC can create a false impression of precision when cost drivers are unstable or shared across products. Toyota’s common platforms, global supply network and joint production resources mean that some overhead allocations inevitably depend on managerial judgement. Management should therefore test cost-driver assumptions regularly and combine ABC information with contribution analysis and strategic considerations rather than treating allocated product costs as objective facts. This is especially important when comparing newer BEV programmes with mature hybrid models, where scale and capacity utilisation differ substantially.</w:t>
      </w:r>
    </w:p>
    <w:p w14:paraId="693CFED6" w14:textId="77777777" w:rsidR="002A1252" w:rsidRPr="00E278C7" w:rsidRDefault="00022B0B">
      <w:pPr>
        <w:pStyle w:val="Heading1"/>
        <w:rPr>
          <w:szCs w:val="32"/>
        </w:rPr>
      </w:pPr>
      <w:r w:rsidRPr="00E278C7">
        <w:rPr>
          <w:szCs w:val="32"/>
        </w:rPr>
        <w:t>3. Budgeting and Financial Planning</w:t>
      </w:r>
    </w:p>
    <w:p w14:paraId="64094596" w14:textId="77777777" w:rsidR="002A1252" w:rsidRPr="00E278C7" w:rsidRDefault="00022B0B">
      <w:pPr>
        <w:jc w:val="both"/>
        <w:rPr>
          <w:sz w:val="28"/>
          <w:szCs w:val="28"/>
        </w:rPr>
      </w:pPr>
      <w:r w:rsidRPr="00E278C7">
        <w:rPr>
          <w:sz w:val="28"/>
          <w:szCs w:val="28"/>
        </w:rPr>
        <w:t xml:space="preserve">Budgeting translates strategic priorities into financial and operational targets and provides a benchmark against which actual performance can be compared. It supports planning, coordination, resource allocation and control (Atrill and McLaney, 2021). For Toyota, this is important because capital, labour and research resources must be allocated across regions, manufacturing programmes and technologies. However, annual budgets can become less informative in volatile environments. Rolling forecasts can </w:t>
      </w:r>
      <w:r w:rsidRPr="00E278C7">
        <w:rPr>
          <w:sz w:val="28"/>
          <w:szCs w:val="28"/>
        </w:rPr>
        <w:lastRenderedPageBreak/>
        <w:t>complement budgets by updating expectations as conditions change, while variance analysis helps managers distinguish between deviations requiring action and those caused by external conditions (Henttu-Aho, 2018). Penno (2022) similarly shows how budget thresholds and management-by-exception can preserve effective control without requiring managers to revisit every detail continuously.</w:t>
      </w:r>
    </w:p>
    <w:p w14:paraId="52BF7045" w14:textId="77777777" w:rsidR="002A1252" w:rsidRPr="00E278C7" w:rsidRDefault="00022B0B">
      <w:pPr>
        <w:jc w:val="both"/>
        <w:rPr>
          <w:sz w:val="28"/>
          <w:szCs w:val="28"/>
        </w:rPr>
      </w:pPr>
      <w:r w:rsidRPr="00E278C7">
        <w:rPr>
          <w:sz w:val="28"/>
          <w:szCs w:val="28"/>
        </w:rPr>
        <w:t>Toyota's FY2026 results illustrate the need for this adaptive approach. Sales revenues increased from ¥48.037 trillion to ¥50.685 trillion, but operating income fell from ¥4.796 trillion to ¥3.766 trillion and the operating margin declined from 10.0% to 7.4% (Toyota Motor Corporation, 2026a; Toyota Motor Corporation, 2026b). The company's results presentation attributes a major part of the pressure to U.S. tariffs, with an estimated negative impact of about ¥1.4 trillion. Toyota nevertheless reported that higher vehicle volumes, price revisions and accumulated improvement efforts, including value-chain revenues, helped to mitigate the effect (Toyota Motor Corporation, 2026b).</w:t>
      </w:r>
    </w:p>
    <w:p w14:paraId="1542ECAC" w14:textId="77777777" w:rsidR="002A1252" w:rsidRPr="00E278C7" w:rsidRDefault="00022B0B">
      <w:pPr>
        <w:jc w:val="both"/>
        <w:rPr>
          <w:sz w:val="28"/>
          <w:szCs w:val="28"/>
        </w:rPr>
      </w:pPr>
      <w:r w:rsidRPr="00E278C7">
        <w:rPr>
          <w:sz w:val="28"/>
          <w:szCs w:val="28"/>
        </w:rPr>
        <w:t>These movements contain both controllable and largely uncontrollable variances. Internally, management can influence product mix, pricing, process efficiency, sourcing decisions and the timing or scale of discretionary expenditure. Toyota also needs to protect investment in technology and capability even when current margins are under pressure; indiscriminate cost cutting could weaken future competitiveness. Externally, tariffs, exchange-rate movements, commodity prices and macroeconomic uncertainty can move actual costs away from an original budget without necessarily indicating poor operational management. Research finds that uncertainty can alter managerial resource-adjustment behaviour and therefore cost patterns (Lee et al., 2021).</w:t>
      </w:r>
    </w:p>
    <w:p w14:paraId="437E41A6" w14:textId="77777777" w:rsidR="002A1252" w:rsidRPr="00E278C7" w:rsidRDefault="00022B0B">
      <w:pPr>
        <w:jc w:val="both"/>
        <w:rPr>
          <w:sz w:val="28"/>
          <w:szCs w:val="28"/>
        </w:rPr>
      </w:pPr>
      <w:r w:rsidRPr="00E278C7">
        <w:rPr>
          <w:sz w:val="28"/>
          <w:szCs w:val="28"/>
        </w:rPr>
        <w:lastRenderedPageBreak/>
        <w:t>Consequently, Toyota should use flexible budgets that adjust expected costs for actual activity levels, supported by rolling forecasts and variance investigation. This would help managers avoid interpreting a volume-driven cost increase as inefficiency while still identifying adverse price, usage or spending variances. Budget control should therefore operate as a learning and decision-support process, not merely as a fixed annual spending constraint. This approach is more appropriate for Toyota's global scale and volatile operating environment.</w:t>
      </w:r>
    </w:p>
    <w:p w14:paraId="5DA95BDD" w14:textId="77777777" w:rsidR="002A1252" w:rsidRPr="00E278C7" w:rsidRDefault="00022B0B">
      <w:pPr>
        <w:rPr>
          <w:sz w:val="28"/>
          <w:szCs w:val="28"/>
        </w:rPr>
      </w:pPr>
      <w:r w:rsidRPr="00E278C7">
        <w:rPr>
          <w:sz w:val="28"/>
          <w:szCs w:val="28"/>
        </w:rPr>
        <w:t>However, greater forecasting flexibility also carries a control risk. Frequent revisions can weaken accountability if managers simply adjust targets whenever performance deteriorates. Toyota should therefore retain clear annual strategic targets while using rolling forecasts to update expected outcomes. Material variances should be classified by cause and responsibility, allowing management to distinguish operational underperformance from genuine changes in tariffs, currencies or market demand. This preserves accountability while making the planning system responsive to uncertainty.</w:t>
      </w:r>
    </w:p>
    <w:p w14:paraId="45360FF7" w14:textId="77777777" w:rsidR="002A1252" w:rsidRPr="00E278C7" w:rsidRDefault="00022B0B">
      <w:pPr>
        <w:pStyle w:val="Heading1"/>
        <w:rPr>
          <w:szCs w:val="32"/>
        </w:rPr>
      </w:pPr>
      <w:r w:rsidRPr="00E278C7">
        <w:rPr>
          <w:szCs w:val="32"/>
        </w:rPr>
        <w:t>4. Performance Measurement and Decision-Making</w:t>
      </w:r>
    </w:p>
    <w:p w14:paraId="460F5909" w14:textId="77777777" w:rsidR="002A1252" w:rsidRPr="00E278C7" w:rsidRDefault="00022B0B">
      <w:pPr>
        <w:jc w:val="both"/>
        <w:rPr>
          <w:sz w:val="28"/>
          <w:szCs w:val="28"/>
        </w:rPr>
      </w:pPr>
      <w:r w:rsidRPr="00E278C7">
        <w:rPr>
          <w:sz w:val="28"/>
          <w:szCs w:val="28"/>
        </w:rPr>
        <w:t>Performance measurement should combine financial and non-financial indicators because a single measure can produce an incomplete view of organisational success (Datar and Rajan, 2021). Research on performance measurement systems suggests that broad-scope measures can support innovation and strategic decision-making when they are appropriately designed and interpreted (Bedford, Bisbe and Sweeney, 2022). For Toyota, five useful KPIs are sales revenue, operating income, operating margin, consolidated vehicle sales and the share of Toyota and Lexus sales represented by electrified vehicles.</w:t>
      </w:r>
    </w:p>
    <w:p w14:paraId="55D79419" w14:textId="77777777" w:rsidR="002A1252" w:rsidRPr="00E278C7" w:rsidRDefault="00022B0B">
      <w:pPr>
        <w:jc w:val="both"/>
        <w:rPr>
          <w:sz w:val="28"/>
          <w:szCs w:val="28"/>
        </w:rPr>
      </w:pPr>
      <w:r w:rsidRPr="00E278C7">
        <w:rPr>
          <w:sz w:val="28"/>
          <w:szCs w:val="28"/>
        </w:rPr>
        <w:lastRenderedPageBreak/>
        <w:t>Table 1 summarises these measures. Sales revenue reached ¥50.685 trillion in FY2026, up 5.5%, while operating income fell to ¥3.766 trillion, down 21.5%. Operating margin therefore declined from 10.0% to 7.4% (Toyota Motor Corporation, 2026a; Toyota Motor Corporation, 2026c). Consolidated vehicle sales increased 2.5% to 9.595 million units. At retail level, Toyota and Lexus sold 10.477 million vehicles, of which 5.040 million were electrified; the electrified share increased from 46.1% to 48.1%. BEV sales rose from 145,000 to 243,000 units (Toyota Motor Corporation, 2026b).</w:t>
      </w:r>
    </w:p>
    <w:tbl>
      <w:tblPr>
        <w:tblStyle w:val="TableGrid"/>
        <w:tblW w:w="0" w:type="auto"/>
        <w:jc w:val="center"/>
        <w:tblLook w:val="04A0" w:firstRow="1" w:lastRow="0" w:firstColumn="1" w:lastColumn="0" w:noHBand="0" w:noVBand="1"/>
      </w:tblPr>
      <w:tblGrid>
        <w:gridCol w:w="2340"/>
        <w:gridCol w:w="2340"/>
        <w:gridCol w:w="2340"/>
        <w:gridCol w:w="2340"/>
      </w:tblGrid>
      <w:tr w:rsidR="002A1252" w:rsidRPr="00E278C7" w14:paraId="7CCB5807" w14:textId="77777777">
        <w:trPr>
          <w:jc w:val="center"/>
        </w:trPr>
        <w:tc>
          <w:tcPr>
            <w:tcW w:w="2340" w:type="dxa"/>
            <w:vAlign w:val="center"/>
          </w:tcPr>
          <w:p w14:paraId="4A595727" w14:textId="77777777" w:rsidR="002A1252" w:rsidRPr="00E278C7" w:rsidRDefault="00022B0B">
            <w:pPr>
              <w:rPr>
                <w:sz w:val="28"/>
                <w:szCs w:val="28"/>
              </w:rPr>
            </w:pPr>
            <w:r w:rsidRPr="00E278C7">
              <w:rPr>
                <w:b/>
                <w:sz w:val="28"/>
                <w:szCs w:val="28"/>
              </w:rPr>
              <w:t>KPI</w:t>
            </w:r>
          </w:p>
        </w:tc>
        <w:tc>
          <w:tcPr>
            <w:tcW w:w="2340" w:type="dxa"/>
            <w:vAlign w:val="center"/>
          </w:tcPr>
          <w:p w14:paraId="6071455D" w14:textId="77777777" w:rsidR="002A1252" w:rsidRPr="00E278C7" w:rsidRDefault="00022B0B">
            <w:pPr>
              <w:rPr>
                <w:sz w:val="28"/>
                <w:szCs w:val="28"/>
              </w:rPr>
            </w:pPr>
            <w:r w:rsidRPr="00E278C7">
              <w:rPr>
                <w:b/>
                <w:sz w:val="28"/>
                <w:szCs w:val="28"/>
              </w:rPr>
              <w:t>FY2025</w:t>
            </w:r>
          </w:p>
        </w:tc>
        <w:tc>
          <w:tcPr>
            <w:tcW w:w="2340" w:type="dxa"/>
            <w:vAlign w:val="center"/>
          </w:tcPr>
          <w:p w14:paraId="747EE496" w14:textId="77777777" w:rsidR="002A1252" w:rsidRPr="00E278C7" w:rsidRDefault="00022B0B">
            <w:pPr>
              <w:rPr>
                <w:sz w:val="28"/>
                <w:szCs w:val="28"/>
              </w:rPr>
            </w:pPr>
            <w:r w:rsidRPr="00E278C7">
              <w:rPr>
                <w:b/>
                <w:sz w:val="28"/>
                <w:szCs w:val="28"/>
              </w:rPr>
              <w:t>FY2026</w:t>
            </w:r>
          </w:p>
        </w:tc>
        <w:tc>
          <w:tcPr>
            <w:tcW w:w="2340" w:type="dxa"/>
            <w:vAlign w:val="center"/>
          </w:tcPr>
          <w:p w14:paraId="43144C99" w14:textId="77777777" w:rsidR="002A1252" w:rsidRPr="00E278C7" w:rsidRDefault="00022B0B">
            <w:pPr>
              <w:rPr>
                <w:sz w:val="28"/>
                <w:szCs w:val="28"/>
              </w:rPr>
            </w:pPr>
            <w:r w:rsidRPr="00E278C7">
              <w:rPr>
                <w:b/>
                <w:sz w:val="28"/>
                <w:szCs w:val="28"/>
              </w:rPr>
              <w:t>Change / interpretation</w:t>
            </w:r>
          </w:p>
        </w:tc>
      </w:tr>
      <w:tr w:rsidR="002A1252" w:rsidRPr="00E278C7" w14:paraId="455A9636" w14:textId="77777777">
        <w:trPr>
          <w:jc w:val="center"/>
        </w:trPr>
        <w:tc>
          <w:tcPr>
            <w:tcW w:w="2340" w:type="dxa"/>
          </w:tcPr>
          <w:p w14:paraId="1FFD0B91" w14:textId="77777777" w:rsidR="002A1252" w:rsidRPr="00E278C7" w:rsidRDefault="00022B0B">
            <w:pPr>
              <w:rPr>
                <w:sz w:val="28"/>
                <w:szCs w:val="28"/>
              </w:rPr>
            </w:pPr>
            <w:r w:rsidRPr="00E278C7">
              <w:rPr>
                <w:sz w:val="28"/>
                <w:szCs w:val="28"/>
              </w:rPr>
              <w:t>Sales revenue</w:t>
            </w:r>
          </w:p>
        </w:tc>
        <w:tc>
          <w:tcPr>
            <w:tcW w:w="2340" w:type="dxa"/>
          </w:tcPr>
          <w:p w14:paraId="49B1794A" w14:textId="77777777" w:rsidR="002A1252" w:rsidRPr="00E278C7" w:rsidRDefault="00022B0B">
            <w:pPr>
              <w:rPr>
                <w:sz w:val="28"/>
                <w:szCs w:val="28"/>
              </w:rPr>
            </w:pPr>
            <w:r w:rsidRPr="00E278C7">
              <w:rPr>
                <w:sz w:val="28"/>
                <w:szCs w:val="28"/>
              </w:rPr>
              <w:t>¥48.037tn</w:t>
            </w:r>
          </w:p>
        </w:tc>
        <w:tc>
          <w:tcPr>
            <w:tcW w:w="2340" w:type="dxa"/>
          </w:tcPr>
          <w:p w14:paraId="3886EDE4" w14:textId="77777777" w:rsidR="002A1252" w:rsidRPr="00E278C7" w:rsidRDefault="00022B0B">
            <w:pPr>
              <w:rPr>
                <w:sz w:val="28"/>
                <w:szCs w:val="28"/>
              </w:rPr>
            </w:pPr>
            <w:r w:rsidRPr="00E278C7">
              <w:rPr>
                <w:sz w:val="28"/>
                <w:szCs w:val="28"/>
              </w:rPr>
              <w:t>¥50.685tn</w:t>
            </w:r>
          </w:p>
        </w:tc>
        <w:tc>
          <w:tcPr>
            <w:tcW w:w="2340" w:type="dxa"/>
          </w:tcPr>
          <w:p w14:paraId="2B610DC9" w14:textId="77777777" w:rsidR="002A1252" w:rsidRPr="00E278C7" w:rsidRDefault="00022B0B">
            <w:pPr>
              <w:rPr>
                <w:sz w:val="28"/>
                <w:szCs w:val="28"/>
              </w:rPr>
            </w:pPr>
            <w:r w:rsidRPr="00E278C7">
              <w:rPr>
                <w:sz w:val="28"/>
                <w:szCs w:val="28"/>
              </w:rPr>
              <w:t>+5.5%</w:t>
            </w:r>
          </w:p>
        </w:tc>
      </w:tr>
      <w:tr w:rsidR="002A1252" w:rsidRPr="00E278C7" w14:paraId="1111BD34" w14:textId="77777777">
        <w:trPr>
          <w:jc w:val="center"/>
        </w:trPr>
        <w:tc>
          <w:tcPr>
            <w:tcW w:w="2340" w:type="dxa"/>
          </w:tcPr>
          <w:p w14:paraId="3F416651" w14:textId="77777777" w:rsidR="002A1252" w:rsidRPr="00E278C7" w:rsidRDefault="00022B0B">
            <w:pPr>
              <w:rPr>
                <w:sz w:val="28"/>
                <w:szCs w:val="28"/>
              </w:rPr>
            </w:pPr>
            <w:r w:rsidRPr="00E278C7">
              <w:rPr>
                <w:sz w:val="28"/>
                <w:szCs w:val="28"/>
              </w:rPr>
              <w:t>Operating income</w:t>
            </w:r>
          </w:p>
        </w:tc>
        <w:tc>
          <w:tcPr>
            <w:tcW w:w="2340" w:type="dxa"/>
          </w:tcPr>
          <w:p w14:paraId="4AFEFCF4" w14:textId="77777777" w:rsidR="002A1252" w:rsidRPr="00E278C7" w:rsidRDefault="00022B0B">
            <w:pPr>
              <w:rPr>
                <w:sz w:val="28"/>
                <w:szCs w:val="28"/>
              </w:rPr>
            </w:pPr>
            <w:r w:rsidRPr="00E278C7">
              <w:rPr>
                <w:sz w:val="28"/>
                <w:szCs w:val="28"/>
              </w:rPr>
              <w:t>¥4.796tn</w:t>
            </w:r>
          </w:p>
        </w:tc>
        <w:tc>
          <w:tcPr>
            <w:tcW w:w="2340" w:type="dxa"/>
          </w:tcPr>
          <w:p w14:paraId="333AFA14" w14:textId="77777777" w:rsidR="002A1252" w:rsidRPr="00E278C7" w:rsidRDefault="00022B0B">
            <w:pPr>
              <w:rPr>
                <w:sz w:val="28"/>
                <w:szCs w:val="28"/>
              </w:rPr>
            </w:pPr>
            <w:r w:rsidRPr="00E278C7">
              <w:rPr>
                <w:sz w:val="28"/>
                <w:szCs w:val="28"/>
              </w:rPr>
              <w:t>¥3.766tn</w:t>
            </w:r>
          </w:p>
        </w:tc>
        <w:tc>
          <w:tcPr>
            <w:tcW w:w="2340" w:type="dxa"/>
          </w:tcPr>
          <w:p w14:paraId="78989825" w14:textId="77777777" w:rsidR="002A1252" w:rsidRPr="00E278C7" w:rsidRDefault="00022B0B">
            <w:pPr>
              <w:rPr>
                <w:sz w:val="28"/>
                <w:szCs w:val="28"/>
              </w:rPr>
            </w:pPr>
            <w:r w:rsidRPr="00E278C7">
              <w:rPr>
                <w:sz w:val="28"/>
                <w:szCs w:val="28"/>
              </w:rPr>
              <w:t>-21.5%</w:t>
            </w:r>
          </w:p>
        </w:tc>
      </w:tr>
      <w:tr w:rsidR="002A1252" w:rsidRPr="00E278C7" w14:paraId="49EA7E0B" w14:textId="77777777">
        <w:trPr>
          <w:jc w:val="center"/>
        </w:trPr>
        <w:tc>
          <w:tcPr>
            <w:tcW w:w="2340" w:type="dxa"/>
          </w:tcPr>
          <w:p w14:paraId="70942DCF" w14:textId="77777777" w:rsidR="002A1252" w:rsidRPr="00E278C7" w:rsidRDefault="00022B0B">
            <w:pPr>
              <w:rPr>
                <w:sz w:val="28"/>
                <w:szCs w:val="28"/>
              </w:rPr>
            </w:pPr>
            <w:r w:rsidRPr="00E278C7">
              <w:rPr>
                <w:sz w:val="28"/>
                <w:szCs w:val="28"/>
              </w:rPr>
              <w:t>Operating margin</w:t>
            </w:r>
          </w:p>
        </w:tc>
        <w:tc>
          <w:tcPr>
            <w:tcW w:w="2340" w:type="dxa"/>
          </w:tcPr>
          <w:p w14:paraId="7FAE47B2" w14:textId="77777777" w:rsidR="002A1252" w:rsidRPr="00E278C7" w:rsidRDefault="00022B0B">
            <w:pPr>
              <w:rPr>
                <w:sz w:val="28"/>
                <w:szCs w:val="28"/>
              </w:rPr>
            </w:pPr>
            <w:r w:rsidRPr="00E278C7">
              <w:rPr>
                <w:sz w:val="28"/>
                <w:szCs w:val="28"/>
              </w:rPr>
              <w:t>10.0%</w:t>
            </w:r>
          </w:p>
        </w:tc>
        <w:tc>
          <w:tcPr>
            <w:tcW w:w="2340" w:type="dxa"/>
          </w:tcPr>
          <w:p w14:paraId="5C016E46" w14:textId="77777777" w:rsidR="002A1252" w:rsidRPr="00E278C7" w:rsidRDefault="00022B0B">
            <w:pPr>
              <w:rPr>
                <w:sz w:val="28"/>
                <w:szCs w:val="28"/>
              </w:rPr>
            </w:pPr>
            <w:r w:rsidRPr="00E278C7">
              <w:rPr>
                <w:sz w:val="28"/>
                <w:szCs w:val="28"/>
              </w:rPr>
              <w:t>7.4%</w:t>
            </w:r>
          </w:p>
        </w:tc>
        <w:tc>
          <w:tcPr>
            <w:tcW w:w="2340" w:type="dxa"/>
          </w:tcPr>
          <w:p w14:paraId="3DF061F3" w14:textId="77777777" w:rsidR="002A1252" w:rsidRPr="00E278C7" w:rsidRDefault="00022B0B">
            <w:pPr>
              <w:rPr>
                <w:sz w:val="28"/>
                <w:szCs w:val="28"/>
              </w:rPr>
            </w:pPr>
            <w:r w:rsidRPr="00E278C7">
              <w:rPr>
                <w:sz w:val="28"/>
                <w:szCs w:val="28"/>
              </w:rPr>
              <w:t>-2.6 percentage points</w:t>
            </w:r>
          </w:p>
        </w:tc>
      </w:tr>
      <w:tr w:rsidR="002A1252" w:rsidRPr="00E278C7" w14:paraId="4A4ACE9D" w14:textId="77777777">
        <w:trPr>
          <w:jc w:val="center"/>
        </w:trPr>
        <w:tc>
          <w:tcPr>
            <w:tcW w:w="2340" w:type="dxa"/>
          </w:tcPr>
          <w:p w14:paraId="43F252DF" w14:textId="77777777" w:rsidR="002A1252" w:rsidRPr="00E278C7" w:rsidRDefault="00022B0B">
            <w:pPr>
              <w:rPr>
                <w:sz w:val="28"/>
                <w:szCs w:val="28"/>
              </w:rPr>
            </w:pPr>
            <w:r w:rsidRPr="00E278C7">
              <w:rPr>
                <w:sz w:val="28"/>
                <w:szCs w:val="28"/>
              </w:rPr>
              <w:t>Consolidated vehicle sales</w:t>
            </w:r>
          </w:p>
        </w:tc>
        <w:tc>
          <w:tcPr>
            <w:tcW w:w="2340" w:type="dxa"/>
          </w:tcPr>
          <w:p w14:paraId="42621DE9" w14:textId="77777777" w:rsidR="002A1252" w:rsidRPr="00E278C7" w:rsidRDefault="00022B0B">
            <w:pPr>
              <w:rPr>
                <w:sz w:val="28"/>
                <w:szCs w:val="28"/>
              </w:rPr>
            </w:pPr>
            <w:r w:rsidRPr="00E278C7">
              <w:rPr>
                <w:sz w:val="28"/>
                <w:szCs w:val="28"/>
              </w:rPr>
              <w:t>9.362m</w:t>
            </w:r>
          </w:p>
        </w:tc>
        <w:tc>
          <w:tcPr>
            <w:tcW w:w="2340" w:type="dxa"/>
          </w:tcPr>
          <w:p w14:paraId="492258DF" w14:textId="77777777" w:rsidR="002A1252" w:rsidRPr="00E278C7" w:rsidRDefault="00022B0B">
            <w:pPr>
              <w:rPr>
                <w:sz w:val="28"/>
                <w:szCs w:val="28"/>
              </w:rPr>
            </w:pPr>
            <w:r w:rsidRPr="00E278C7">
              <w:rPr>
                <w:sz w:val="28"/>
                <w:szCs w:val="28"/>
              </w:rPr>
              <w:t>9.595m</w:t>
            </w:r>
          </w:p>
        </w:tc>
        <w:tc>
          <w:tcPr>
            <w:tcW w:w="2340" w:type="dxa"/>
          </w:tcPr>
          <w:p w14:paraId="45B84C10" w14:textId="77777777" w:rsidR="002A1252" w:rsidRPr="00E278C7" w:rsidRDefault="00022B0B">
            <w:pPr>
              <w:rPr>
                <w:sz w:val="28"/>
                <w:szCs w:val="28"/>
              </w:rPr>
            </w:pPr>
            <w:r w:rsidRPr="00E278C7">
              <w:rPr>
                <w:sz w:val="28"/>
                <w:szCs w:val="28"/>
              </w:rPr>
              <w:t>+2.5%</w:t>
            </w:r>
          </w:p>
        </w:tc>
      </w:tr>
      <w:tr w:rsidR="002A1252" w:rsidRPr="00E278C7" w14:paraId="1AF878E4" w14:textId="77777777">
        <w:trPr>
          <w:jc w:val="center"/>
        </w:trPr>
        <w:tc>
          <w:tcPr>
            <w:tcW w:w="2340" w:type="dxa"/>
          </w:tcPr>
          <w:p w14:paraId="32E53DD8" w14:textId="77777777" w:rsidR="002A1252" w:rsidRPr="00E278C7" w:rsidRDefault="00022B0B">
            <w:pPr>
              <w:rPr>
                <w:sz w:val="28"/>
                <w:szCs w:val="28"/>
              </w:rPr>
            </w:pPr>
            <w:r w:rsidRPr="00E278C7">
              <w:rPr>
                <w:sz w:val="28"/>
                <w:szCs w:val="28"/>
              </w:rPr>
              <w:t>Electrified share (Toyota/Lexus)</w:t>
            </w:r>
          </w:p>
        </w:tc>
        <w:tc>
          <w:tcPr>
            <w:tcW w:w="2340" w:type="dxa"/>
          </w:tcPr>
          <w:p w14:paraId="1F825506" w14:textId="77777777" w:rsidR="002A1252" w:rsidRPr="00E278C7" w:rsidRDefault="00022B0B">
            <w:pPr>
              <w:rPr>
                <w:sz w:val="28"/>
                <w:szCs w:val="28"/>
              </w:rPr>
            </w:pPr>
            <w:r w:rsidRPr="00E278C7">
              <w:rPr>
                <w:sz w:val="28"/>
                <w:szCs w:val="28"/>
              </w:rPr>
              <w:t>46.1%</w:t>
            </w:r>
          </w:p>
        </w:tc>
        <w:tc>
          <w:tcPr>
            <w:tcW w:w="2340" w:type="dxa"/>
          </w:tcPr>
          <w:p w14:paraId="66047A94" w14:textId="77777777" w:rsidR="002A1252" w:rsidRPr="00E278C7" w:rsidRDefault="00022B0B">
            <w:pPr>
              <w:rPr>
                <w:sz w:val="28"/>
                <w:szCs w:val="28"/>
              </w:rPr>
            </w:pPr>
            <w:r w:rsidRPr="00E278C7">
              <w:rPr>
                <w:sz w:val="28"/>
                <w:szCs w:val="28"/>
              </w:rPr>
              <w:t>48.1%</w:t>
            </w:r>
          </w:p>
        </w:tc>
        <w:tc>
          <w:tcPr>
            <w:tcW w:w="2340" w:type="dxa"/>
          </w:tcPr>
          <w:p w14:paraId="54DF70D5" w14:textId="77777777" w:rsidR="002A1252" w:rsidRPr="00E278C7" w:rsidRDefault="00022B0B">
            <w:pPr>
              <w:rPr>
                <w:sz w:val="28"/>
                <w:szCs w:val="28"/>
              </w:rPr>
            </w:pPr>
            <w:r w:rsidRPr="00E278C7">
              <w:rPr>
                <w:sz w:val="28"/>
                <w:szCs w:val="28"/>
              </w:rPr>
              <w:t>+2.0 percentage points</w:t>
            </w:r>
          </w:p>
        </w:tc>
      </w:tr>
    </w:tbl>
    <w:p w14:paraId="494290AE" w14:textId="77777777" w:rsidR="002A1252" w:rsidRPr="00E278C7" w:rsidRDefault="00022B0B">
      <w:pPr>
        <w:jc w:val="center"/>
        <w:rPr>
          <w:sz w:val="28"/>
          <w:szCs w:val="28"/>
        </w:rPr>
      </w:pPr>
      <w:r w:rsidRPr="00E278C7">
        <w:rPr>
          <w:i/>
          <w:sz w:val="28"/>
          <w:szCs w:val="28"/>
        </w:rPr>
        <w:t>Table 1. Selected Toyota performance indicators, FY2025-FY2026. Source: Toyota Motor Corporation (2026a; 2026b; 2026c).</w:t>
      </w:r>
    </w:p>
    <w:p w14:paraId="19B5327D" w14:textId="77777777" w:rsidR="002A1252" w:rsidRPr="00E278C7" w:rsidRDefault="00022B0B">
      <w:pPr>
        <w:jc w:val="both"/>
        <w:rPr>
          <w:sz w:val="28"/>
          <w:szCs w:val="28"/>
        </w:rPr>
      </w:pPr>
      <w:r w:rsidRPr="00E278C7">
        <w:rPr>
          <w:sz w:val="28"/>
          <w:szCs w:val="28"/>
        </w:rPr>
        <w:t xml:space="preserve">The combined picture is more informative than revenue alone. Higher revenue and unit sales show robust demand, particularly when Toyota reported strength in Japan and North America, yet the lower margin demonstrates that sales growth did not translate proportionately into </w:t>
      </w:r>
      <w:r w:rsidRPr="00E278C7">
        <w:rPr>
          <w:sz w:val="28"/>
          <w:szCs w:val="28"/>
        </w:rPr>
        <w:lastRenderedPageBreak/>
        <w:t>operating profit. Management can therefore use the financial KPIs to intensify cost and pricing analysis while using vehicle-volume data to guide production capacity and regional resource allocation.</w:t>
      </w:r>
    </w:p>
    <w:p w14:paraId="575E9FA1" w14:textId="77777777" w:rsidR="002A1252" w:rsidRPr="00E278C7" w:rsidRDefault="00022B0B">
      <w:pPr>
        <w:jc w:val="both"/>
        <w:rPr>
          <w:sz w:val="28"/>
          <w:szCs w:val="28"/>
        </w:rPr>
      </w:pPr>
      <w:r w:rsidRPr="00E278C7">
        <w:rPr>
          <w:sz w:val="28"/>
          <w:szCs w:val="28"/>
        </w:rPr>
        <w:t>The electrified-vehicle share is strategically important because it provides a forward-looking indication of customer adoption and the evolution of Toyota's product mix. Its growth supports continued investment across HEVs, PHEVs and BEVs rather than evaluating technology programmes solely through short-term profit. Sustainability-oriented performance research similarly argues for combining economic measures with environmental and strategic indicators rather than treating them separately (Trisyulianti, 2023; Dağıdır and Özkan, 2024).</w:t>
      </w:r>
    </w:p>
    <w:p w14:paraId="641EC27F" w14:textId="77777777" w:rsidR="002A1252" w:rsidRPr="00E278C7" w:rsidRDefault="00022B0B">
      <w:pPr>
        <w:jc w:val="both"/>
        <w:rPr>
          <w:sz w:val="28"/>
          <w:szCs w:val="28"/>
        </w:rPr>
      </w:pPr>
      <w:r w:rsidRPr="00E278C7">
        <w:rPr>
          <w:sz w:val="28"/>
          <w:szCs w:val="28"/>
        </w:rPr>
        <w:t>KPI systems nevertheless have limitations. Financial indicators are mainly backward-looking, and non-financial indicators can encourage dysfunctional behaviour if targets are poorly specified. For example, increasing BEV volume would not by itself prove that the programme creates acceptable lifetime returns. Toyota should therefore interpret KPIs as a balanced set and connect them to forecasts, variance analysis, customer demand, quality and investment appraisal rather than managing each measure independently.</w:t>
      </w:r>
    </w:p>
    <w:p w14:paraId="0B186844" w14:textId="77777777" w:rsidR="002A1252" w:rsidRPr="00E278C7" w:rsidRDefault="00022B0B">
      <w:pPr>
        <w:rPr>
          <w:sz w:val="28"/>
          <w:szCs w:val="28"/>
        </w:rPr>
      </w:pPr>
      <w:r w:rsidRPr="00E278C7">
        <w:rPr>
          <w:sz w:val="28"/>
          <w:szCs w:val="28"/>
        </w:rPr>
        <w:t xml:space="preserve">A balanced approach also requires attention to relationships between measures. For example, aggressive price increases may protect operating margin but weaken future sales volumes or customer value, while rapid electrified-vehicle expansion may improve strategic positioning but initially depress returns because of development and capacity costs. Management should therefore examine leading and lagging indicators together and investigate trade-offs rather than maximising a single KPI. This strengthens </w:t>
      </w:r>
      <w:r w:rsidRPr="00E278C7">
        <w:rPr>
          <w:sz w:val="28"/>
          <w:szCs w:val="28"/>
        </w:rPr>
        <w:lastRenderedPageBreak/>
        <w:t>the connection between performance measurement and strategic decision-making.</w:t>
      </w:r>
    </w:p>
    <w:p w14:paraId="4264C248" w14:textId="77777777" w:rsidR="002A1252" w:rsidRPr="00577ADB" w:rsidRDefault="00022B0B" w:rsidP="00577ADB">
      <w:pPr>
        <w:pStyle w:val="Heading1"/>
      </w:pPr>
      <w:r w:rsidRPr="00577ADB">
        <w:t>5. Sustainability and Ethical Considerations</w:t>
      </w:r>
    </w:p>
    <w:p w14:paraId="2E7E2C3C" w14:textId="77777777" w:rsidR="002A1252" w:rsidRPr="00E278C7" w:rsidRDefault="00022B0B">
      <w:pPr>
        <w:jc w:val="both"/>
        <w:rPr>
          <w:sz w:val="28"/>
          <w:szCs w:val="28"/>
        </w:rPr>
      </w:pPr>
      <w:r w:rsidRPr="00E278C7">
        <w:rPr>
          <w:sz w:val="28"/>
          <w:szCs w:val="28"/>
        </w:rPr>
        <w:t>Sustainability increasingly affects Toyota's capital allocation, product planning and cost management. The Toyota Environmental Challenge 2050 includes long-term objectives for life-cycle emissions, new-vehicle emissions, corporate activities and production plants. Toyota's current environmental plan also sets 2030 targets across carbon neutrality, circular economy and nature-positive priorities, including greater use of renewable electricity and recycled materials (Toyota Motor Corporation, 2026d). These commitments mean that environmental outcomes cannot be treated solely as external reporting matters; they influence investment choices and future cost structures.</w:t>
      </w:r>
    </w:p>
    <w:p w14:paraId="3973B8BD" w14:textId="77777777" w:rsidR="002A1252" w:rsidRPr="00E278C7" w:rsidRDefault="00022B0B">
      <w:pPr>
        <w:jc w:val="both"/>
        <w:rPr>
          <w:sz w:val="28"/>
          <w:szCs w:val="28"/>
        </w:rPr>
      </w:pPr>
      <w:r w:rsidRPr="00E278C7">
        <w:rPr>
          <w:sz w:val="28"/>
          <w:szCs w:val="28"/>
        </w:rPr>
        <w:t>Environmental management accounting (EMA) provides a relevant framework because it combines monetary and physical environmental information for managerial decisions. Burritt (2023) argues that EMA has developed beyond conventional environmental cost measurement toward broader sustainability measures and supply-chain applications. Empirical research also indicates that EMA can mediate the relationship between environmental strategies and environmental performance (Appannan et al., 2023). For Toyota, this supports the use of life-cycle costing when comparing HEV, PHEV, BEV and other technology programmes, because costs and environmental effects occur across design, manufacturing, use and end-of-life stages.</w:t>
      </w:r>
    </w:p>
    <w:p w14:paraId="2782F451" w14:textId="77777777" w:rsidR="002A1252" w:rsidRPr="00E278C7" w:rsidRDefault="00022B0B">
      <w:pPr>
        <w:jc w:val="both"/>
        <w:rPr>
          <w:sz w:val="28"/>
          <w:szCs w:val="28"/>
        </w:rPr>
      </w:pPr>
      <w:r w:rsidRPr="00E278C7">
        <w:rPr>
          <w:sz w:val="28"/>
          <w:szCs w:val="28"/>
        </w:rPr>
        <w:t xml:space="preserve">There are also ethical implications. Pressure to protect margins should not lead to cost reductions that undermine safety, product quality, employee </w:t>
      </w:r>
      <w:r w:rsidRPr="00E278C7">
        <w:rPr>
          <w:sz w:val="28"/>
          <w:szCs w:val="28"/>
        </w:rPr>
        <w:lastRenderedPageBreak/>
        <w:t>welfare, responsible sourcing or environmental standards. Ethical pricing likewise requires management to consider customer value and transparency when responding to tariff or input-cost pressures rather than automatically transferring every adverse variance to customers. Toyota's sustainability framework places safety, quality, people and responsible stakeholder relationships within its wider corporate responsibilities (Toyota Motor Corporation, 2026e).</w:t>
      </w:r>
    </w:p>
    <w:p w14:paraId="65E3901B" w14:textId="77777777" w:rsidR="002A1252" w:rsidRPr="00E278C7" w:rsidRDefault="00022B0B">
      <w:pPr>
        <w:jc w:val="both"/>
        <w:rPr>
          <w:sz w:val="28"/>
          <w:szCs w:val="28"/>
        </w:rPr>
      </w:pPr>
      <w:r w:rsidRPr="00E278C7">
        <w:rPr>
          <w:sz w:val="28"/>
          <w:szCs w:val="28"/>
        </w:rPr>
        <w:t>However, integrating sustainability into management accounting is not straightforward. Environmental benefits may be difficult to monetise, occur over long time horizons and depend on uncertain regulation and technology adoption. Conventional discounted financial measures can therefore understate strategic or environmental value. Toyota should combine financial appraisal with physical environmental indicators and a sustainability-oriented performance scorecard. Such an approach can make trade-offs explicit and reduce the risk that short-term cost targets displace long-term environmental and stakeholder value (Burritt, 2023; Dağıdır and Özkan, 2024).</w:t>
      </w:r>
    </w:p>
    <w:p w14:paraId="661C3CFD" w14:textId="77777777" w:rsidR="002A1252" w:rsidRPr="005B5FE3" w:rsidRDefault="00022B0B" w:rsidP="005B5FE3">
      <w:pPr>
        <w:pStyle w:val="Heading1"/>
      </w:pPr>
      <w:r w:rsidRPr="00E278C7">
        <w:t>6. Conclusion and Recommendations</w:t>
      </w:r>
    </w:p>
    <w:p w14:paraId="645CA64D" w14:textId="77777777" w:rsidR="002A1252" w:rsidRPr="00E278C7" w:rsidRDefault="00022B0B">
      <w:pPr>
        <w:jc w:val="both"/>
        <w:rPr>
          <w:sz w:val="28"/>
          <w:szCs w:val="28"/>
        </w:rPr>
      </w:pPr>
      <w:r w:rsidRPr="00E278C7">
        <w:rPr>
          <w:sz w:val="28"/>
          <w:szCs w:val="28"/>
        </w:rPr>
        <w:t>This report finds that management accounting is central to Toyota's ability to convert strong demand into sustainable financial performance. FY2026 revenue and vehicle volumes increased, but operating income and margin declined, showing why revenue growth must be assessed alongside cost behaviour, budgeting and performance measures. External pressures, particularly tariffs, also demonstrate the limitations of static plans.</w:t>
      </w:r>
    </w:p>
    <w:p w14:paraId="5164C37E" w14:textId="77777777" w:rsidR="002A1252" w:rsidRDefault="00022B0B">
      <w:pPr>
        <w:jc w:val="both"/>
        <w:rPr>
          <w:sz w:val="28"/>
          <w:szCs w:val="28"/>
        </w:rPr>
      </w:pPr>
      <w:r w:rsidRPr="00E278C7">
        <w:rPr>
          <w:sz w:val="28"/>
          <w:szCs w:val="28"/>
        </w:rPr>
        <w:t xml:space="preserve">Three recommendations follow. First, Toyota should strengthen flexible budgeting and rolling forecasts so that managers can separate activity, </w:t>
      </w:r>
      <w:r w:rsidRPr="00E278C7">
        <w:rPr>
          <w:sz w:val="28"/>
          <w:szCs w:val="28"/>
        </w:rPr>
        <w:lastRenderedPageBreak/>
        <w:t>efficiency and external-price effects more quickly. Second, it should expand activity-based and life-cycle costing across competing vehicle technologies to improve product, pricing and investment decisions while recognising non-linear cost behaviour. Third, Toyota should integrate financial, operational and environmental KPIs in a sustainability-oriented scorecard. Together, these measures would improve resource allocation, preserve strategically important investment and help Toyota balance profitability, resilience and long-term stakeholder value.</w:t>
      </w:r>
    </w:p>
    <w:p w14:paraId="6EE55179" w14:textId="77777777" w:rsidR="00BC31A4" w:rsidRDefault="00BC31A4">
      <w:pPr>
        <w:jc w:val="both"/>
        <w:rPr>
          <w:sz w:val="28"/>
          <w:szCs w:val="28"/>
        </w:rPr>
      </w:pPr>
    </w:p>
    <w:p w14:paraId="5F178E5E" w14:textId="77777777" w:rsidR="00BC31A4" w:rsidRDefault="00BC31A4">
      <w:pPr>
        <w:jc w:val="both"/>
        <w:rPr>
          <w:sz w:val="28"/>
          <w:szCs w:val="28"/>
        </w:rPr>
      </w:pPr>
    </w:p>
    <w:p w14:paraId="76B25F93" w14:textId="77777777" w:rsidR="00BC31A4" w:rsidRDefault="00BC31A4">
      <w:pPr>
        <w:jc w:val="both"/>
        <w:rPr>
          <w:sz w:val="28"/>
          <w:szCs w:val="28"/>
        </w:rPr>
      </w:pPr>
    </w:p>
    <w:p w14:paraId="6AD2882D" w14:textId="77777777" w:rsidR="00BC31A4" w:rsidRDefault="00BC31A4">
      <w:pPr>
        <w:jc w:val="both"/>
        <w:rPr>
          <w:sz w:val="28"/>
          <w:szCs w:val="28"/>
        </w:rPr>
      </w:pPr>
    </w:p>
    <w:p w14:paraId="24762990" w14:textId="77777777" w:rsidR="00BC31A4" w:rsidRDefault="00BC31A4">
      <w:pPr>
        <w:jc w:val="both"/>
        <w:rPr>
          <w:sz w:val="28"/>
          <w:szCs w:val="28"/>
        </w:rPr>
      </w:pPr>
    </w:p>
    <w:p w14:paraId="024526C6" w14:textId="77777777" w:rsidR="00BC31A4" w:rsidRDefault="00BC31A4">
      <w:pPr>
        <w:jc w:val="both"/>
        <w:rPr>
          <w:sz w:val="28"/>
          <w:szCs w:val="28"/>
        </w:rPr>
      </w:pPr>
    </w:p>
    <w:p w14:paraId="71B4AECF" w14:textId="77777777" w:rsidR="00BC31A4" w:rsidRDefault="00BC31A4">
      <w:pPr>
        <w:jc w:val="both"/>
        <w:rPr>
          <w:sz w:val="28"/>
          <w:szCs w:val="28"/>
        </w:rPr>
      </w:pPr>
    </w:p>
    <w:p w14:paraId="7D5C107E" w14:textId="77777777" w:rsidR="00BC31A4" w:rsidRDefault="00BC31A4">
      <w:pPr>
        <w:jc w:val="both"/>
        <w:rPr>
          <w:sz w:val="28"/>
          <w:szCs w:val="28"/>
        </w:rPr>
      </w:pPr>
    </w:p>
    <w:p w14:paraId="066AF3D1" w14:textId="77777777" w:rsidR="00BC31A4" w:rsidRDefault="00BC31A4">
      <w:pPr>
        <w:jc w:val="both"/>
        <w:rPr>
          <w:sz w:val="28"/>
          <w:szCs w:val="28"/>
        </w:rPr>
      </w:pPr>
    </w:p>
    <w:p w14:paraId="4CDF181E" w14:textId="77777777" w:rsidR="00BC31A4" w:rsidRDefault="00BC31A4">
      <w:pPr>
        <w:jc w:val="both"/>
        <w:rPr>
          <w:sz w:val="28"/>
          <w:szCs w:val="28"/>
        </w:rPr>
      </w:pPr>
    </w:p>
    <w:p w14:paraId="7DEEB73B" w14:textId="77777777" w:rsidR="00BC31A4" w:rsidRDefault="00BC31A4">
      <w:pPr>
        <w:jc w:val="both"/>
        <w:rPr>
          <w:sz w:val="28"/>
          <w:szCs w:val="28"/>
        </w:rPr>
      </w:pPr>
    </w:p>
    <w:p w14:paraId="557BB510" w14:textId="77777777" w:rsidR="00BC31A4" w:rsidRDefault="00BC31A4">
      <w:pPr>
        <w:jc w:val="both"/>
        <w:rPr>
          <w:sz w:val="28"/>
          <w:szCs w:val="28"/>
        </w:rPr>
      </w:pPr>
    </w:p>
    <w:p w14:paraId="32C2E1B5" w14:textId="77777777" w:rsidR="00BC31A4" w:rsidRDefault="00BC31A4">
      <w:pPr>
        <w:jc w:val="both"/>
        <w:rPr>
          <w:sz w:val="28"/>
          <w:szCs w:val="28"/>
        </w:rPr>
      </w:pPr>
    </w:p>
    <w:p w14:paraId="02D58A5A" w14:textId="77777777" w:rsidR="00BC31A4" w:rsidRPr="00E278C7" w:rsidRDefault="00BC31A4">
      <w:pPr>
        <w:jc w:val="both"/>
        <w:rPr>
          <w:sz w:val="28"/>
          <w:szCs w:val="28"/>
        </w:rPr>
      </w:pPr>
    </w:p>
    <w:p w14:paraId="21ACABB7" w14:textId="77777777" w:rsidR="00272381" w:rsidRDefault="00272381" w:rsidP="00272381">
      <w:pPr>
        <w:pStyle w:val="Heading1"/>
      </w:pPr>
      <w:r>
        <w:lastRenderedPageBreak/>
        <w:t>Reference List</w:t>
      </w:r>
    </w:p>
    <w:p w14:paraId="78445761" w14:textId="77777777" w:rsidR="00272381" w:rsidRPr="00272381" w:rsidRDefault="00272381" w:rsidP="00272381">
      <w:pPr>
        <w:spacing w:line="240" w:lineRule="auto"/>
        <w:ind w:left="360" w:hanging="360"/>
        <w:rPr>
          <w:sz w:val="28"/>
          <w:szCs w:val="28"/>
        </w:rPr>
      </w:pPr>
      <w:r w:rsidRPr="00272381">
        <w:rPr>
          <w:sz w:val="28"/>
          <w:szCs w:val="28"/>
        </w:rPr>
        <w:t>Appannan, J.S., Mohd Said, R., Ong, T.S. and Senik, R. (2023) 'Promoting sustainable development through strategies, environmental management accounting and environmental performance', Business Strategy and the Environment, 32(4), pp. 1914-1930. doi: 10.1002/bse.3227.</w:t>
      </w:r>
    </w:p>
    <w:p w14:paraId="555AB498" w14:textId="77777777" w:rsidR="00272381" w:rsidRPr="00272381" w:rsidRDefault="00272381" w:rsidP="00272381">
      <w:pPr>
        <w:spacing w:line="240" w:lineRule="auto"/>
        <w:ind w:left="360" w:hanging="360"/>
        <w:rPr>
          <w:sz w:val="28"/>
          <w:szCs w:val="28"/>
        </w:rPr>
      </w:pPr>
      <w:bookmarkStart w:id="0" w:name="_Int_qJNCSn3f"/>
      <w:r w:rsidRPr="00272381">
        <w:rPr>
          <w:sz w:val="28"/>
          <w:szCs w:val="28"/>
        </w:rPr>
        <w:t>Bedford, D.S., Bisbe, J. and Sweeney, B. (2022) 'The joint effects of performance measurement system design and TMT cognitive conflict on innovation ambidexterity', Management Accounting Research, 57, 100805.</w:t>
      </w:r>
      <w:bookmarkEnd w:id="0"/>
      <w:r w:rsidRPr="00272381">
        <w:rPr>
          <w:sz w:val="28"/>
          <w:szCs w:val="28"/>
        </w:rPr>
        <w:t xml:space="preserve"> doi: 10.1016/j.mar.2022.100805.</w:t>
      </w:r>
    </w:p>
    <w:p w14:paraId="13CF0091" w14:textId="79338070" w:rsidR="00272381" w:rsidRPr="00272381" w:rsidRDefault="00272381" w:rsidP="00272381">
      <w:pPr>
        <w:spacing w:line="240" w:lineRule="auto"/>
        <w:ind w:left="360" w:hanging="360"/>
        <w:rPr>
          <w:sz w:val="28"/>
          <w:szCs w:val="28"/>
        </w:rPr>
      </w:pPr>
      <w:bookmarkStart w:id="1" w:name="_Int_ewUrVY8m"/>
      <w:r w:rsidRPr="00272381">
        <w:rPr>
          <w:sz w:val="28"/>
          <w:szCs w:val="28"/>
        </w:rPr>
        <w:t>Bodendorf, F. and Franke, J. (2024) 'Synthesis of activity-based costing and deep learning to support cost management: A case study in the automotive industry', Computers &amp; Industrial Engineering, 196, 110449.</w:t>
      </w:r>
      <w:bookmarkEnd w:id="1"/>
      <w:r w:rsidR="00C0270E" w:rsidRPr="00272381">
        <w:rPr>
          <w:sz w:val="28"/>
          <w:szCs w:val="28"/>
        </w:rPr>
        <w:t xml:space="preserve"> (“Synthesis of activity-based costing and deep learning to support cost ...”)</w:t>
      </w:r>
      <w:r w:rsidRPr="00272381">
        <w:rPr>
          <w:sz w:val="28"/>
          <w:szCs w:val="28"/>
        </w:rPr>
        <w:t xml:space="preserve"> doi: 10.1016/j.cie.2024.110449.</w:t>
      </w:r>
    </w:p>
    <w:p w14:paraId="075569E2" w14:textId="77777777" w:rsidR="00272381" w:rsidRPr="00272381" w:rsidRDefault="00272381" w:rsidP="00272381">
      <w:pPr>
        <w:spacing w:line="240" w:lineRule="auto"/>
        <w:ind w:left="360" w:hanging="360"/>
        <w:rPr>
          <w:sz w:val="28"/>
          <w:szCs w:val="28"/>
        </w:rPr>
      </w:pPr>
      <w:r w:rsidRPr="00272381">
        <w:rPr>
          <w:sz w:val="28"/>
          <w:szCs w:val="28"/>
        </w:rPr>
        <w:t>Burritt, R.L. (2023) 'Environmental Management Accounting - Developments Over the Last 20 Years from a Framework Perspective', Australian Accounting Review, 33(4), pp. 336-351. doi: 10.1111/auar.12407.</w:t>
      </w:r>
    </w:p>
    <w:p w14:paraId="72CBC735" w14:textId="77777777" w:rsidR="00272381" w:rsidRPr="00272381" w:rsidRDefault="00272381" w:rsidP="00272381">
      <w:pPr>
        <w:spacing w:line="240" w:lineRule="auto"/>
        <w:ind w:left="360" w:hanging="360"/>
        <w:rPr>
          <w:sz w:val="28"/>
          <w:szCs w:val="28"/>
        </w:rPr>
      </w:pPr>
      <w:r w:rsidRPr="00272381">
        <w:rPr>
          <w:sz w:val="28"/>
          <w:szCs w:val="28"/>
        </w:rPr>
        <w:t>Dağıdır, B.D. and Özkan, B. (2024) 'A comprehensive evaluation of a company performance using sustainability balanced scorecard based on picture fuzzy AHP', Journal of Cleaner Production, 435, 140519. doi: 10.1016/j.jclepro.2023.140519.</w:t>
      </w:r>
    </w:p>
    <w:p w14:paraId="1B0DFECF" w14:textId="77777777" w:rsidR="00272381" w:rsidRPr="00272381" w:rsidRDefault="00272381" w:rsidP="00272381">
      <w:pPr>
        <w:spacing w:line="240" w:lineRule="auto"/>
        <w:ind w:left="360" w:hanging="360"/>
        <w:rPr>
          <w:sz w:val="28"/>
          <w:szCs w:val="28"/>
        </w:rPr>
      </w:pPr>
      <w:r w:rsidRPr="00272381">
        <w:rPr>
          <w:sz w:val="28"/>
          <w:szCs w:val="28"/>
        </w:rPr>
        <w:t>Henttu-Aho, T. (2018) 'The role of rolling forecasting in budgetary control systems: reactive and proactive types of planning', Journal of Management Control, 29, pp. 327-360. doi: 10.1007/s00187-018-00273-6.</w:t>
      </w:r>
    </w:p>
    <w:p w14:paraId="02F4F982" w14:textId="77777777" w:rsidR="00272381" w:rsidRPr="00272381" w:rsidRDefault="00272381" w:rsidP="00272381">
      <w:pPr>
        <w:spacing w:line="240" w:lineRule="auto"/>
        <w:ind w:left="360" w:hanging="360"/>
        <w:rPr>
          <w:sz w:val="28"/>
          <w:szCs w:val="28"/>
        </w:rPr>
      </w:pPr>
      <w:r w:rsidRPr="00272381">
        <w:rPr>
          <w:sz w:val="28"/>
          <w:szCs w:val="28"/>
        </w:rPr>
        <w:t>Ibrahim, A.E.A., Ali, H. and Aboelkheir, H.N.E.R. (2022) 'Cost stickiness: a systematic literature review of 27 years of research and a future research agenda', Journal of International Accounting, Auditing and Taxation, 46, 100439. doi: 10.1016/j.intaccaudtax.2021.100439.</w:t>
      </w:r>
    </w:p>
    <w:p w14:paraId="0B14AD72" w14:textId="77777777" w:rsidR="00272381" w:rsidRPr="00272381" w:rsidRDefault="00272381" w:rsidP="00272381">
      <w:pPr>
        <w:spacing w:line="240" w:lineRule="auto"/>
        <w:ind w:left="360" w:hanging="360"/>
        <w:rPr>
          <w:sz w:val="28"/>
          <w:szCs w:val="28"/>
        </w:rPr>
      </w:pPr>
      <w:r w:rsidRPr="00272381">
        <w:rPr>
          <w:sz w:val="28"/>
          <w:szCs w:val="28"/>
        </w:rPr>
        <w:t>Lee, W.J., Pittman, J. and Saffar, W. (2021) 'Economic policy uncertainty and cost stickiness', Management Accounting Research, 52, 100750. doi: 10.1016/j.mar.2021.100750.</w:t>
      </w:r>
    </w:p>
    <w:p w14:paraId="2FE16C30" w14:textId="77777777" w:rsidR="00272381" w:rsidRPr="00272381" w:rsidRDefault="00272381" w:rsidP="00272381">
      <w:pPr>
        <w:spacing w:line="240" w:lineRule="auto"/>
        <w:ind w:left="360" w:hanging="360"/>
        <w:rPr>
          <w:sz w:val="28"/>
          <w:szCs w:val="28"/>
        </w:rPr>
      </w:pPr>
      <w:r w:rsidRPr="00272381">
        <w:rPr>
          <w:sz w:val="28"/>
          <w:szCs w:val="28"/>
        </w:rPr>
        <w:t xml:space="preserve">Medeckytė, K. and Tamulevičienė, D. (2023) 'Development of environmental management accounting system: a conceptual approach', </w:t>
      </w:r>
      <w:r w:rsidRPr="00272381">
        <w:rPr>
          <w:sz w:val="28"/>
          <w:szCs w:val="28"/>
        </w:rPr>
        <w:lastRenderedPageBreak/>
        <w:t>Buhalterinės apskaitos teorija ir praktika, 27, pp. 1-21. doi: 10.15388/batp.2023.51.</w:t>
      </w:r>
    </w:p>
    <w:p w14:paraId="334EB141" w14:textId="77777777" w:rsidR="00272381" w:rsidRPr="00272381" w:rsidRDefault="00272381" w:rsidP="00272381">
      <w:pPr>
        <w:spacing w:line="240" w:lineRule="auto"/>
        <w:ind w:left="360" w:hanging="360"/>
        <w:rPr>
          <w:sz w:val="28"/>
          <w:szCs w:val="28"/>
        </w:rPr>
      </w:pPr>
      <w:r w:rsidRPr="00272381">
        <w:rPr>
          <w:sz w:val="28"/>
          <w:szCs w:val="28"/>
        </w:rPr>
        <w:t>Mouritsen, J., Pedraza-Acosta, I. and Thrane, S. (2022) 'Performance, risk, and overflows: When are multiple management control practices related?', Management Accounting Research, 55, 100796. doi: 10.1016/j.mar.2022.100796.</w:t>
      </w:r>
    </w:p>
    <w:p w14:paraId="6CF2D5FB" w14:textId="77777777" w:rsidR="00272381" w:rsidRPr="00272381" w:rsidRDefault="00272381" w:rsidP="00272381">
      <w:pPr>
        <w:spacing w:line="240" w:lineRule="auto"/>
        <w:ind w:left="360" w:hanging="360"/>
        <w:rPr>
          <w:sz w:val="28"/>
          <w:szCs w:val="28"/>
        </w:rPr>
      </w:pPr>
      <w:r w:rsidRPr="00272381">
        <w:rPr>
          <w:sz w:val="28"/>
          <w:szCs w:val="28"/>
        </w:rPr>
        <w:t>Penno, M.C. (2022) 'A Positive Theory of Accounting-Based Management by Exception', Journal of Management Accounting Research, 34(3), pp. 161-177. doi: 10.2308/JMAR-2021-014.</w:t>
      </w:r>
    </w:p>
    <w:p w14:paraId="3B07E4CC" w14:textId="77777777" w:rsidR="00272381" w:rsidRPr="00272381" w:rsidRDefault="00272381" w:rsidP="00272381">
      <w:pPr>
        <w:spacing w:line="240" w:lineRule="auto"/>
        <w:ind w:left="360" w:hanging="360"/>
        <w:rPr>
          <w:sz w:val="28"/>
          <w:szCs w:val="28"/>
        </w:rPr>
      </w:pPr>
      <w:r w:rsidRPr="00272381">
        <w:rPr>
          <w:sz w:val="28"/>
          <w:szCs w:val="28"/>
        </w:rPr>
        <w:t>Trisyulianti, E. (2023) 'A conceptual framework for a value-based sustainability balanced scorecard', Sustainable Development. doi: 10.1002/sd.2465.</w:t>
      </w:r>
    </w:p>
    <w:p w14:paraId="38E149D7" w14:textId="00298A25" w:rsidR="00272381" w:rsidRPr="00272381" w:rsidRDefault="00272381" w:rsidP="00272381">
      <w:pPr>
        <w:spacing w:line="240" w:lineRule="auto"/>
        <w:ind w:left="360" w:hanging="360"/>
        <w:rPr>
          <w:sz w:val="28"/>
          <w:szCs w:val="28"/>
        </w:rPr>
      </w:pPr>
      <w:r w:rsidRPr="00272381">
        <w:rPr>
          <w:sz w:val="28"/>
          <w:szCs w:val="28"/>
        </w:rPr>
        <w:t>Toyota Motor Corporation (2026a) Financial Summary FY2026. Available at</w:t>
      </w:r>
      <w:hyperlink r:id="rId10" w:history="1">
        <w:r w:rsidRPr="009951F7">
          <w:rPr>
            <w:rStyle w:val="Hyperlink"/>
            <w:sz w:val="28"/>
            <w:szCs w:val="28"/>
          </w:rPr>
          <w:t>: https://global.toyota/pages/global_toyota/ir/financial-results/2026_4q_summary_en.pdf</w:t>
        </w:r>
      </w:hyperlink>
      <w:r w:rsidRPr="00272381">
        <w:rPr>
          <w:sz w:val="28"/>
          <w:szCs w:val="28"/>
        </w:rPr>
        <w:t xml:space="preserve"> (Accessed: 13 September 2026).</w:t>
      </w:r>
    </w:p>
    <w:p w14:paraId="7A3AE83B" w14:textId="2E1EA4DC" w:rsidR="00272381" w:rsidRPr="00272381" w:rsidRDefault="00272381" w:rsidP="00272381">
      <w:pPr>
        <w:spacing w:line="240" w:lineRule="auto"/>
        <w:ind w:left="360" w:hanging="360"/>
        <w:rPr>
          <w:sz w:val="28"/>
          <w:szCs w:val="28"/>
        </w:rPr>
      </w:pPr>
      <w:r w:rsidRPr="00272381">
        <w:rPr>
          <w:sz w:val="28"/>
          <w:szCs w:val="28"/>
        </w:rPr>
        <w:t xml:space="preserve">Toyota Motor Corporation (2026b) FY2026 Financial Results. Available at: </w:t>
      </w:r>
      <w:hyperlink r:id="rId11" w:history="1">
        <w:r w:rsidRPr="00C913B3">
          <w:rPr>
            <w:rStyle w:val="Hyperlink"/>
            <w:sz w:val="28"/>
            <w:szCs w:val="28"/>
          </w:rPr>
          <w:t>https://global.toyota/pages/global_toyota/ir/financial-results/2026_4q_presentation_en.pdf</w:t>
        </w:r>
      </w:hyperlink>
      <w:r w:rsidRPr="00272381">
        <w:rPr>
          <w:sz w:val="28"/>
          <w:szCs w:val="28"/>
        </w:rPr>
        <w:t xml:space="preserve"> (Accessed: 13 September 2026).</w:t>
      </w:r>
    </w:p>
    <w:p w14:paraId="40EC0BC8" w14:textId="16D27D47" w:rsidR="00272381" w:rsidRPr="00272381" w:rsidRDefault="00272381" w:rsidP="00272381">
      <w:pPr>
        <w:spacing w:line="240" w:lineRule="auto"/>
        <w:ind w:left="360" w:hanging="360"/>
        <w:rPr>
          <w:sz w:val="28"/>
          <w:szCs w:val="28"/>
        </w:rPr>
      </w:pPr>
      <w:r w:rsidRPr="00272381">
        <w:rPr>
          <w:sz w:val="28"/>
          <w:szCs w:val="28"/>
        </w:rPr>
        <w:t xml:space="preserve">Toyota Motor Corporation (2026c) Financial Highlights &amp; Financial Performance. Available at: </w:t>
      </w:r>
      <w:hyperlink r:id="rId12" w:history="1">
        <w:r w:rsidRPr="009A7287">
          <w:rPr>
            <w:rStyle w:val="Hyperlink"/>
            <w:sz w:val="28"/>
            <w:szCs w:val="28"/>
          </w:rPr>
          <w:t>https://global.toyota/en/ir/finance/</w:t>
        </w:r>
      </w:hyperlink>
      <w:r w:rsidRPr="00272381">
        <w:rPr>
          <w:sz w:val="28"/>
          <w:szCs w:val="28"/>
        </w:rPr>
        <w:t xml:space="preserve"> (Accessed: 13 September 2026).</w:t>
      </w:r>
    </w:p>
    <w:p w14:paraId="3A8CC44F" w14:textId="2A070A51" w:rsidR="00272381" w:rsidRPr="00272381" w:rsidRDefault="00272381" w:rsidP="00272381">
      <w:pPr>
        <w:spacing w:line="240" w:lineRule="auto"/>
        <w:ind w:left="360" w:hanging="360"/>
        <w:rPr>
          <w:sz w:val="28"/>
          <w:szCs w:val="28"/>
        </w:rPr>
      </w:pPr>
      <w:r w:rsidRPr="00272381">
        <w:rPr>
          <w:sz w:val="28"/>
          <w:szCs w:val="28"/>
        </w:rPr>
        <w:t xml:space="preserve">Toyota Motor Corporation (2026d) Sustainability Data Book. Available at: </w:t>
      </w:r>
      <w:hyperlink r:id="rId13" w:history="1">
        <w:r w:rsidRPr="006E49FD">
          <w:rPr>
            <w:rStyle w:val="Hyperlink"/>
            <w:sz w:val="28"/>
            <w:szCs w:val="28"/>
          </w:rPr>
          <w:t>https://global.toyota/en/sustainability/report/sdb/</w:t>
        </w:r>
      </w:hyperlink>
      <w:r w:rsidRPr="00272381">
        <w:rPr>
          <w:sz w:val="28"/>
          <w:szCs w:val="28"/>
        </w:rPr>
        <w:t xml:space="preserve"> (Accessed: 13 September 2026).</w:t>
      </w:r>
    </w:p>
    <w:p w14:paraId="4553DD92" w14:textId="452AD0BB" w:rsidR="00272381" w:rsidRPr="00272381" w:rsidRDefault="00272381" w:rsidP="00272381">
      <w:pPr>
        <w:spacing w:line="240" w:lineRule="auto"/>
        <w:ind w:left="360" w:hanging="360"/>
        <w:rPr>
          <w:sz w:val="28"/>
          <w:szCs w:val="28"/>
        </w:rPr>
      </w:pPr>
      <w:r w:rsidRPr="00272381">
        <w:rPr>
          <w:sz w:val="28"/>
          <w:szCs w:val="28"/>
        </w:rPr>
        <w:t xml:space="preserve">Toyota Motor Corporation (2026e) Sustainability. Available at: </w:t>
      </w:r>
      <w:hyperlink r:id="rId14" w:history="1">
        <w:r w:rsidRPr="00A165F0">
          <w:rPr>
            <w:rStyle w:val="Hyperlink"/>
            <w:sz w:val="28"/>
            <w:szCs w:val="28"/>
          </w:rPr>
          <w:t>https://global.toyota/en/sustainability/</w:t>
        </w:r>
      </w:hyperlink>
      <w:r w:rsidRPr="00272381">
        <w:rPr>
          <w:sz w:val="28"/>
          <w:szCs w:val="28"/>
        </w:rPr>
        <w:t xml:space="preserve"> (Accessed: 13 September 2026).</w:t>
      </w:r>
    </w:p>
    <w:p w14:paraId="5BC355CA" w14:textId="665CB623" w:rsidR="002A1252" w:rsidRPr="00272AF8" w:rsidRDefault="002A1252">
      <w:pPr>
        <w:spacing w:line="240" w:lineRule="auto"/>
        <w:ind w:left="360" w:hanging="360"/>
        <w:rPr>
          <w:sz w:val="28"/>
          <w:szCs w:val="28"/>
        </w:rPr>
      </w:pPr>
    </w:p>
    <w:sectPr w:rsidR="002A1252" w:rsidRPr="00272AF8" w:rsidSect="00034616">
      <w:footerReference w:type="default" r:id="rId15"/>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D34037" w14:textId="77777777" w:rsidR="000C2B0A" w:rsidRDefault="000C2B0A">
      <w:pPr>
        <w:spacing w:after="0" w:line="240" w:lineRule="auto"/>
      </w:pPr>
      <w:r>
        <w:separator/>
      </w:r>
    </w:p>
  </w:endnote>
  <w:endnote w:type="continuationSeparator" w:id="0">
    <w:p w14:paraId="74F2074A" w14:textId="77777777" w:rsidR="000C2B0A" w:rsidRDefault="000C2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71429E" w14:textId="77777777" w:rsidR="002A1252" w:rsidRDefault="00022B0B">
    <w:pPr>
      <w:pStyle w:val="Footer"/>
      <w:jc w:val="center"/>
    </w:pPr>
    <w:r>
      <w:t xml:space="preserve">Page </w:t>
    </w:r>
    <w:r>
      <w:fldChar w:fldCharType="begin"/>
    </w:r>
    <w:r>
      <w:instrText>PAGE</w:instrText>
    </w:r>
    <w:r>
      <w:fldChar w:fldCharType="separate"/>
    </w:r>
    <w:r w:rsidR="005D044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952E93" w14:textId="77777777" w:rsidR="000C2B0A" w:rsidRDefault="000C2B0A">
      <w:pPr>
        <w:spacing w:after="0" w:line="240" w:lineRule="auto"/>
      </w:pPr>
      <w:r>
        <w:separator/>
      </w:r>
    </w:p>
  </w:footnote>
  <w:footnote w:type="continuationSeparator" w:id="0">
    <w:p w14:paraId="3844B6F0" w14:textId="77777777" w:rsidR="000C2B0A" w:rsidRDefault="000C2B0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qJNCSn3f" int2:invalidationBookmarkName="" int2:hashCode="444G4BujNtut5j" int2:id="sziJliiq">
      <int2:state int2:value="Reviewed" int2:type="similarity"/>
    </int2:bookmark>
    <int2:bookmark int2:bookmarkName="_Int_ewUrVY8m" int2:invalidationBookmarkName="" int2:hashCode="lgl3nKmxJ6L8ty" int2:id="NktB0SUn">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18820545">
    <w:abstractNumId w:val="8"/>
  </w:num>
  <w:num w:numId="2" w16cid:durableId="872039101">
    <w:abstractNumId w:val="6"/>
  </w:num>
  <w:num w:numId="3" w16cid:durableId="1808473391">
    <w:abstractNumId w:val="5"/>
  </w:num>
  <w:num w:numId="4" w16cid:durableId="1751345136">
    <w:abstractNumId w:val="4"/>
  </w:num>
  <w:num w:numId="5" w16cid:durableId="1753965052">
    <w:abstractNumId w:val="7"/>
  </w:num>
  <w:num w:numId="6" w16cid:durableId="187254092">
    <w:abstractNumId w:val="3"/>
  </w:num>
  <w:num w:numId="7" w16cid:durableId="2005812396">
    <w:abstractNumId w:val="2"/>
  </w:num>
  <w:num w:numId="8" w16cid:durableId="1475289759">
    <w:abstractNumId w:val="1"/>
  </w:num>
  <w:num w:numId="9" w16cid:durableId="168054622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2B0B"/>
    <w:rsid w:val="00034616"/>
    <w:rsid w:val="0006063C"/>
    <w:rsid w:val="00061846"/>
    <w:rsid w:val="000A11E4"/>
    <w:rsid w:val="000A62C2"/>
    <w:rsid w:val="000C2B0A"/>
    <w:rsid w:val="0015074B"/>
    <w:rsid w:val="001568D2"/>
    <w:rsid w:val="00184044"/>
    <w:rsid w:val="001A4003"/>
    <w:rsid w:val="001E6FC6"/>
    <w:rsid w:val="00226AFA"/>
    <w:rsid w:val="00241B9A"/>
    <w:rsid w:val="002616BB"/>
    <w:rsid w:val="00261E7F"/>
    <w:rsid w:val="00272381"/>
    <w:rsid w:val="00272AF8"/>
    <w:rsid w:val="0028366C"/>
    <w:rsid w:val="0029639D"/>
    <w:rsid w:val="002A1252"/>
    <w:rsid w:val="002A6730"/>
    <w:rsid w:val="002C60EE"/>
    <w:rsid w:val="002E5F72"/>
    <w:rsid w:val="0030777C"/>
    <w:rsid w:val="00320559"/>
    <w:rsid w:val="00323C30"/>
    <w:rsid w:val="00326F90"/>
    <w:rsid w:val="0039257F"/>
    <w:rsid w:val="003B2539"/>
    <w:rsid w:val="003F2EBA"/>
    <w:rsid w:val="00432244"/>
    <w:rsid w:val="004704B9"/>
    <w:rsid w:val="004A4197"/>
    <w:rsid w:val="004B4E7E"/>
    <w:rsid w:val="004E6931"/>
    <w:rsid w:val="0050080E"/>
    <w:rsid w:val="00577ADB"/>
    <w:rsid w:val="005812AC"/>
    <w:rsid w:val="00591735"/>
    <w:rsid w:val="005B5FE3"/>
    <w:rsid w:val="005D044C"/>
    <w:rsid w:val="0062550C"/>
    <w:rsid w:val="006D0574"/>
    <w:rsid w:val="006E49FD"/>
    <w:rsid w:val="006F7239"/>
    <w:rsid w:val="007561B9"/>
    <w:rsid w:val="007A6CDB"/>
    <w:rsid w:val="007C4AF6"/>
    <w:rsid w:val="008E1EA3"/>
    <w:rsid w:val="008F323F"/>
    <w:rsid w:val="0092241B"/>
    <w:rsid w:val="00960B09"/>
    <w:rsid w:val="009951F7"/>
    <w:rsid w:val="009A7287"/>
    <w:rsid w:val="009C0C33"/>
    <w:rsid w:val="009D0955"/>
    <w:rsid w:val="009F6A3F"/>
    <w:rsid w:val="00A165F0"/>
    <w:rsid w:val="00A3381C"/>
    <w:rsid w:val="00A834E7"/>
    <w:rsid w:val="00AA1D8D"/>
    <w:rsid w:val="00AC6579"/>
    <w:rsid w:val="00AF27FB"/>
    <w:rsid w:val="00B12287"/>
    <w:rsid w:val="00B47730"/>
    <w:rsid w:val="00BB342B"/>
    <w:rsid w:val="00BC31A4"/>
    <w:rsid w:val="00C0270E"/>
    <w:rsid w:val="00C17B0C"/>
    <w:rsid w:val="00C913B3"/>
    <w:rsid w:val="00CB0664"/>
    <w:rsid w:val="00D300E2"/>
    <w:rsid w:val="00E278C7"/>
    <w:rsid w:val="00E3472C"/>
    <w:rsid w:val="00EA6CFB"/>
    <w:rsid w:val="00F76B98"/>
    <w:rsid w:val="00FB750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B7DFC7"/>
  <w14:defaultImageDpi w14:val="300"/>
  <w15:docId w15:val="{D2F9ECA4-0B67-42C2-A311-093E94BA2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rPr>
  </w:style>
  <w:style w:type="paragraph" w:styleId="Heading1">
    <w:name w:val="heading 1"/>
    <w:basedOn w:val="Normal"/>
    <w:next w:val="Normal"/>
    <w:link w:val="Heading1Char"/>
    <w:uiPriority w:val="9"/>
    <w:qFormat/>
    <w:rsid w:val="005B5FE3"/>
    <w:pPr>
      <w:keepNext/>
      <w:keepLines/>
      <w:spacing w:before="240"/>
      <w:outlineLvl w:val="0"/>
    </w:pPr>
    <w:rPr>
      <w:rFonts w:asciiTheme="majorHAnsi" w:eastAsiaTheme="majorEastAsia" w:hAnsiTheme="majorHAnsi" w:cstheme="majorBidi"/>
      <w:b/>
      <w:bCs/>
      <w:color w:val="000000" w:themeColor="text1"/>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5B5FE3"/>
    <w:rPr>
      <w:rFonts w:asciiTheme="majorHAnsi" w:eastAsiaTheme="majorEastAsia" w:hAnsiTheme="majorHAnsi" w:cstheme="majorBidi"/>
      <w:b/>
      <w:bCs/>
      <w:color w:val="000000" w:themeColor="text1"/>
      <w:sz w:val="3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951F7"/>
    <w:rPr>
      <w:color w:val="0000FF" w:themeColor="hyperlink"/>
      <w:u w:val="single"/>
    </w:rPr>
  </w:style>
  <w:style w:type="character" w:styleId="UnresolvedMention">
    <w:name w:val="Unresolved Mention"/>
    <w:basedOn w:val="DefaultParagraphFont"/>
    <w:uiPriority w:val="99"/>
    <w:semiHidden/>
    <w:unhideWhenUsed/>
    <w:rsid w:val="009951F7"/>
    <w:rPr>
      <w:color w:val="605E5C"/>
      <w:shd w:val="clear" w:color="auto" w:fill="E1DFDD"/>
    </w:rPr>
  </w:style>
  <w:style w:type="character" w:styleId="FollowedHyperlink">
    <w:name w:val="FollowedHyperlink"/>
    <w:basedOn w:val="DefaultParagraphFont"/>
    <w:uiPriority w:val="99"/>
    <w:semiHidden/>
    <w:unhideWhenUsed/>
    <w:rsid w:val="009951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al.toyota/en/sustainability/report/sdb/" TargetMode="Externa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al.toyota/en/ir/finance/%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obal.toyota/pages/global_toyota/ir/financial-results/2026_4q_presentation_en.pdf%2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20https:/global.toyota/pages/global_toyota/ir/financial-results/2026_4q_summary_en.pdf%2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global.toyota/en/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3034</Words>
  <Characters>17295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20289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 and Financial Decision-Making at Toyota Motor Corporation</dc:title>
  <dc:subject>LCBB5010 Component 1 Individual Report</dc:subject>
  <dc:creator>python-docx</dc:creator>
  <cp:keywords/>
  <dc:description>generated by python-docx</dc:description>
  <cp:lastModifiedBy>Ioan Saibel (2420427)</cp:lastModifiedBy>
  <cp:revision>2</cp:revision>
  <dcterms:created xsi:type="dcterms:W3CDTF">2026-09-23T19:52:00Z</dcterms:created>
  <dcterms:modified xsi:type="dcterms:W3CDTF">2026-09-23T19:52:00Z</dcterms:modified>
  <cp:category/>
</cp:coreProperties>
</file>