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19A4FFAA" w:rsidR="00B438EF" w:rsidRPr="00951289" w:rsidRDefault="00951289" w:rsidP="000A2161">
      <w:pPr>
        <w:pStyle w:val="Heading1"/>
        <w:spacing w:line="360" w:lineRule="auto"/>
        <w:rPr>
          <w:rFonts w:ascii="Times New Roman" w:eastAsia="Times New Roman" w:hAnsi="Times New Roman" w:cs="Times New Roman"/>
          <w:b/>
          <w:bCs/>
        </w:rPr>
      </w:pPr>
      <w:r w:rsidRPr="00951289">
        <w:rPr>
          <w:rFonts w:ascii="Times New Roman" w:eastAsia="Times New Roman" w:hAnsi="Times New Roman" w:cs="Times New Roman"/>
          <w:b/>
          <w:bCs/>
        </w:rPr>
        <w:t>Kristina Spasova</w:t>
      </w:r>
      <w:r>
        <w:rPr>
          <w:rFonts w:ascii="Times New Roman" w:eastAsia="Times New Roman" w:hAnsi="Times New Roman" w:cs="Times New Roman"/>
          <w:b/>
          <w:bCs/>
        </w:rPr>
        <w:t xml:space="preserve">            ID: 2014059                LCBB4002</w:t>
      </w:r>
    </w:p>
    <w:p w14:paraId="0689554B" w14:textId="15335341" w:rsidR="00951289" w:rsidRDefault="000A2161">
      <w:pPr>
        <w:rPr>
          <w:rFonts w:ascii="Times New Roman" w:eastAsia="Times New Roman" w:hAnsi="Times New Roman" w:cs="Times New Roman"/>
          <w:color w:val="2F5496"/>
          <w:sz w:val="24"/>
          <w:szCs w:val="24"/>
        </w:rPr>
      </w:pPr>
      <w:r>
        <w:rPr>
          <w:rFonts w:ascii="Times New Roman" w:eastAsia="Times New Roman" w:hAnsi="Times New Roman" w:cs="Times New Roman"/>
          <w:color w:val="2F5496"/>
          <w:sz w:val="24"/>
          <w:szCs w:val="24"/>
        </w:rPr>
        <w:t xml:space="preserve">                                                                                                                                                                                                                                  </w:t>
      </w:r>
    </w:p>
    <w:p w14:paraId="6FCD865C" w14:textId="77777777" w:rsidR="00951289" w:rsidRDefault="00951289">
      <w:pPr>
        <w:rPr>
          <w:rFonts w:ascii="Times New Roman" w:eastAsia="Times New Roman" w:hAnsi="Times New Roman" w:cs="Times New Roman"/>
          <w:color w:val="2F5496"/>
          <w:sz w:val="24"/>
          <w:szCs w:val="24"/>
        </w:rPr>
      </w:pPr>
    </w:p>
    <w:p w14:paraId="6C1EC593" w14:textId="79C5534B" w:rsidR="00951289" w:rsidRPr="00951289" w:rsidRDefault="00951289" w:rsidP="00951289">
      <w:pPr>
        <w:jc w:val="center"/>
        <w:rPr>
          <w:rFonts w:ascii="Times New Roman" w:eastAsia="Times New Roman" w:hAnsi="Times New Roman" w:cs="Times New Roman"/>
          <w:color w:val="2F5496"/>
          <w:sz w:val="48"/>
          <w:szCs w:val="48"/>
        </w:rPr>
      </w:pPr>
      <w:r w:rsidRPr="00951289">
        <w:rPr>
          <w:rFonts w:ascii="Times New Roman" w:eastAsia="Times New Roman" w:hAnsi="Times New Roman" w:cs="Times New Roman"/>
          <w:color w:val="2F5496"/>
          <w:sz w:val="48"/>
          <w:szCs w:val="48"/>
        </w:rPr>
        <w:t>Community engagement</w:t>
      </w:r>
    </w:p>
    <w:p w14:paraId="410E1DA5" w14:textId="0ED75AF7" w:rsidR="00951289" w:rsidRPr="006A192D" w:rsidRDefault="00951289">
      <w:pPr>
        <w:rPr>
          <w:rFonts w:ascii="Times New Roman" w:eastAsia="Times New Roman" w:hAnsi="Times New Roman" w:cs="Times New Roman"/>
          <w:color w:val="2F5496"/>
          <w:sz w:val="32"/>
          <w:szCs w:val="32"/>
        </w:rPr>
      </w:pPr>
      <w:r w:rsidRPr="006A192D">
        <w:rPr>
          <w:rFonts w:ascii="Times New Roman" w:eastAsia="Times New Roman" w:hAnsi="Times New Roman" w:cs="Times New Roman"/>
          <w:color w:val="2F5496"/>
          <w:sz w:val="32"/>
          <w:szCs w:val="32"/>
        </w:rPr>
        <w:t xml:space="preserve">                                              Assessment 1</w:t>
      </w:r>
    </w:p>
    <w:p w14:paraId="4C594BB8" w14:textId="77777777" w:rsidR="00951289" w:rsidRPr="006A192D" w:rsidRDefault="00951289" w:rsidP="00951289">
      <w:pPr>
        <w:jc w:val="center"/>
        <w:rPr>
          <w:rFonts w:ascii="Times New Roman" w:eastAsia="Times New Roman" w:hAnsi="Times New Roman" w:cs="Times New Roman"/>
          <w:color w:val="2F5496"/>
          <w:sz w:val="32"/>
          <w:szCs w:val="32"/>
        </w:rPr>
      </w:pPr>
      <w:r w:rsidRPr="006A192D">
        <w:rPr>
          <w:rFonts w:ascii="Times New Roman" w:eastAsia="Times New Roman" w:hAnsi="Times New Roman" w:cs="Times New Roman"/>
          <w:color w:val="2F5496"/>
          <w:sz w:val="32"/>
          <w:szCs w:val="32"/>
        </w:rPr>
        <w:t>Lecturer: Dr. Gregory Cowan</w:t>
      </w:r>
    </w:p>
    <w:p w14:paraId="4C92A7A9" w14:textId="77777777" w:rsidR="00E04915" w:rsidRDefault="00E04915" w:rsidP="00951289">
      <w:pPr>
        <w:jc w:val="center"/>
        <w:rPr>
          <w:rFonts w:ascii="Times New Roman" w:eastAsia="Times New Roman" w:hAnsi="Times New Roman" w:cs="Times New Roman"/>
          <w:color w:val="2F5496"/>
          <w:sz w:val="28"/>
          <w:szCs w:val="28"/>
        </w:rPr>
      </w:pPr>
    </w:p>
    <w:p w14:paraId="1F269213" w14:textId="77777777" w:rsidR="00E04915" w:rsidRDefault="00E04915" w:rsidP="00951289">
      <w:pPr>
        <w:jc w:val="center"/>
        <w:rPr>
          <w:rFonts w:ascii="Times New Roman" w:eastAsia="Times New Roman" w:hAnsi="Times New Roman" w:cs="Times New Roman"/>
          <w:color w:val="2F5496"/>
          <w:sz w:val="28"/>
          <w:szCs w:val="28"/>
        </w:rPr>
      </w:pPr>
    </w:p>
    <w:p w14:paraId="2030A426" w14:textId="77777777" w:rsidR="00E04915" w:rsidRDefault="00E04915" w:rsidP="00951289">
      <w:pPr>
        <w:jc w:val="center"/>
        <w:rPr>
          <w:rFonts w:ascii="Times New Roman" w:eastAsia="Times New Roman" w:hAnsi="Times New Roman" w:cs="Times New Roman"/>
          <w:color w:val="2F5496"/>
          <w:sz w:val="28"/>
          <w:szCs w:val="28"/>
        </w:rPr>
      </w:pPr>
    </w:p>
    <w:p w14:paraId="00000005" w14:textId="0631CA7C" w:rsidR="00E04915" w:rsidRPr="000A2161" w:rsidRDefault="00E04915" w:rsidP="00951289">
      <w:pPr>
        <w:jc w:val="center"/>
        <w:rPr>
          <w:rFonts w:ascii="Times New Roman" w:eastAsia="Times New Roman" w:hAnsi="Times New Roman" w:cs="Times New Roman"/>
          <w:color w:val="2F5496"/>
          <w:sz w:val="44"/>
          <w:szCs w:val="44"/>
        </w:rPr>
        <w:sectPr w:rsidR="00E04915" w:rsidRPr="000A2161">
          <w:pgSz w:w="12240" w:h="15840"/>
          <w:pgMar w:top="1440" w:right="1440" w:bottom="1440" w:left="1440" w:header="720" w:footer="720" w:gutter="0"/>
          <w:pgNumType w:start="1"/>
          <w:cols w:space="720"/>
        </w:sectPr>
      </w:pPr>
      <w:r w:rsidRPr="000A2161">
        <w:rPr>
          <w:rFonts w:ascii="Times New Roman" w:eastAsia="Times New Roman" w:hAnsi="Times New Roman" w:cs="Times New Roman"/>
          <w:color w:val="2F5496"/>
          <w:sz w:val="44"/>
          <w:szCs w:val="44"/>
        </w:rPr>
        <w:t>California air resources board’s   community engagement summit</w:t>
      </w:r>
    </w:p>
    <w:p w14:paraId="00000006" w14:textId="77777777" w:rsidR="00B438EF" w:rsidRDefault="00B438EF">
      <w:pPr>
        <w:rPr>
          <w:rFonts w:ascii="Times New Roman" w:eastAsia="Times New Roman" w:hAnsi="Times New Roman" w:cs="Times New Roman"/>
          <w:color w:val="2F5496"/>
          <w:sz w:val="24"/>
          <w:szCs w:val="24"/>
        </w:rPr>
      </w:pPr>
    </w:p>
    <w:p w14:paraId="00000007" w14:textId="77777777" w:rsidR="00B438EF" w:rsidRDefault="00B438EF">
      <w:pPr>
        <w:rPr>
          <w:rFonts w:ascii="Times New Roman" w:eastAsia="Times New Roman" w:hAnsi="Times New Roman" w:cs="Times New Roman"/>
          <w:color w:val="2F5496"/>
          <w:sz w:val="24"/>
          <w:szCs w:val="24"/>
        </w:rPr>
      </w:pPr>
    </w:p>
    <w:p w14:paraId="00000008" w14:textId="77777777" w:rsidR="00B438EF" w:rsidRDefault="008073F8">
      <w:pPr>
        <w:keepNext/>
        <w:keepLines/>
        <w:pBdr>
          <w:top w:val="nil"/>
          <w:left w:val="nil"/>
          <w:bottom w:val="nil"/>
          <w:right w:val="nil"/>
          <w:between w:val="nil"/>
        </w:pBdr>
        <w:spacing w:before="240" w:after="0"/>
        <w:rPr>
          <w:color w:val="2F5496"/>
          <w:sz w:val="32"/>
          <w:szCs w:val="32"/>
        </w:rPr>
      </w:pPr>
      <w:r>
        <w:rPr>
          <w:color w:val="2F5496"/>
          <w:sz w:val="32"/>
          <w:szCs w:val="32"/>
        </w:rPr>
        <w:t>Contents</w:t>
      </w:r>
    </w:p>
    <w:sdt>
      <w:sdtPr>
        <w:id w:val="-152843124"/>
        <w:docPartObj>
          <w:docPartGallery w:val="Table of Contents"/>
          <w:docPartUnique/>
        </w:docPartObj>
      </w:sdtPr>
      <w:sdtEndPr/>
      <w:sdtContent>
        <w:p w14:paraId="00000009" w14:textId="77777777" w:rsidR="00B438EF" w:rsidRDefault="008073F8">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rPr>
              <w:t>Introduction</w:t>
            </w:r>
          </w:hyperlink>
          <w:hyperlink w:anchor="_gjdgxs">
            <w:r>
              <w:rPr>
                <w:color w:val="000000"/>
              </w:rPr>
              <w:tab/>
              <w:t>1</w:t>
            </w:r>
          </w:hyperlink>
        </w:p>
        <w:p w14:paraId="0000000A" w14:textId="77777777" w:rsidR="00B438EF" w:rsidRDefault="00DA611C">
          <w:pPr>
            <w:pBdr>
              <w:top w:val="nil"/>
              <w:left w:val="nil"/>
              <w:bottom w:val="nil"/>
              <w:right w:val="nil"/>
              <w:between w:val="nil"/>
            </w:pBdr>
            <w:tabs>
              <w:tab w:val="right" w:pos="9350"/>
            </w:tabs>
            <w:spacing w:after="100"/>
            <w:rPr>
              <w:color w:val="000000"/>
            </w:rPr>
          </w:pPr>
          <w:hyperlink w:anchor="_30j0zll">
            <w:r w:rsidR="008073F8">
              <w:rPr>
                <w:rFonts w:ascii="Times New Roman" w:eastAsia="Times New Roman" w:hAnsi="Times New Roman" w:cs="Times New Roman"/>
                <w:color w:val="000000"/>
              </w:rPr>
              <w:t>Community engagement</w:t>
            </w:r>
          </w:hyperlink>
          <w:hyperlink w:anchor="_30j0zll">
            <w:r w:rsidR="008073F8">
              <w:rPr>
                <w:color w:val="000000"/>
              </w:rPr>
              <w:tab/>
              <w:t>1</w:t>
            </w:r>
          </w:hyperlink>
        </w:p>
        <w:p w14:paraId="0000000B" w14:textId="77777777" w:rsidR="00B438EF" w:rsidRDefault="00DA611C">
          <w:pPr>
            <w:pBdr>
              <w:top w:val="nil"/>
              <w:left w:val="nil"/>
              <w:bottom w:val="nil"/>
              <w:right w:val="nil"/>
              <w:between w:val="nil"/>
            </w:pBdr>
            <w:tabs>
              <w:tab w:val="right" w:pos="9350"/>
            </w:tabs>
            <w:spacing w:after="100"/>
            <w:rPr>
              <w:color w:val="000000"/>
            </w:rPr>
          </w:pPr>
          <w:hyperlink w:anchor="_1fob9te">
            <w:r w:rsidR="008073F8">
              <w:rPr>
                <w:rFonts w:ascii="Times New Roman" w:eastAsia="Times New Roman" w:hAnsi="Times New Roman" w:cs="Times New Roman"/>
                <w:color w:val="000000"/>
              </w:rPr>
              <w:t>Organi</w:t>
            </w:r>
          </w:hyperlink>
          <w:hyperlink w:anchor="_1fob9te">
            <w:r w:rsidR="008073F8">
              <w:rPr>
                <w:rFonts w:ascii="Times New Roman" w:eastAsia="Times New Roman" w:hAnsi="Times New Roman" w:cs="Times New Roman"/>
              </w:rPr>
              <w:t>sation</w:t>
            </w:r>
          </w:hyperlink>
          <w:hyperlink w:anchor="_1fob9te">
            <w:r w:rsidR="008073F8">
              <w:rPr>
                <w:rFonts w:ascii="Times New Roman" w:eastAsia="Times New Roman" w:hAnsi="Times New Roman" w:cs="Times New Roman"/>
                <w:color w:val="000000"/>
              </w:rPr>
              <w:t>s best practices</w:t>
            </w:r>
          </w:hyperlink>
          <w:hyperlink w:anchor="_1fob9te">
            <w:r w:rsidR="008073F8">
              <w:rPr>
                <w:color w:val="000000"/>
              </w:rPr>
              <w:tab/>
              <w:t>2</w:t>
            </w:r>
          </w:hyperlink>
        </w:p>
        <w:p w14:paraId="0000000C" w14:textId="77777777" w:rsidR="00B438EF" w:rsidRDefault="00DA611C">
          <w:pPr>
            <w:pBdr>
              <w:top w:val="nil"/>
              <w:left w:val="nil"/>
              <w:bottom w:val="nil"/>
              <w:right w:val="nil"/>
              <w:between w:val="nil"/>
            </w:pBdr>
            <w:tabs>
              <w:tab w:val="right" w:pos="9350"/>
            </w:tabs>
            <w:spacing w:after="100"/>
            <w:ind w:left="220"/>
            <w:rPr>
              <w:color w:val="000000"/>
            </w:rPr>
          </w:pPr>
          <w:hyperlink w:anchor="_3znysh7">
            <w:r w:rsidR="008073F8">
              <w:rPr>
                <w:rFonts w:ascii="Times New Roman" w:eastAsia="Times New Roman" w:hAnsi="Times New Roman" w:cs="Times New Roman"/>
                <w:color w:val="000000"/>
              </w:rPr>
              <w:t>Sustaining relationships</w:t>
            </w:r>
          </w:hyperlink>
          <w:hyperlink w:anchor="_3znysh7">
            <w:r w:rsidR="008073F8">
              <w:rPr>
                <w:color w:val="000000"/>
              </w:rPr>
              <w:tab/>
              <w:t>2</w:t>
            </w:r>
          </w:hyperlink>
        </w:p>
        <w:p w14:paraId="0000000D" w14:textId="77777777" w:rsidR="00B438EF" w:rsidRDefault="00DA611C">
          <w:pPr>
            <w:pBdr>
              <w:top w:val="nil"/>
              <w:left w:val="nil"/>
              <w:bottom w:val="nil"/>
              <w:right w:val="nil"/>
              <w:between w:val="nil"/>
            </w:pBdr>
            <w:tabs>
              <w:tab w:val="right" w:pos="9350"/>
            </w:tabs>
            <w:spacing w:after="100"/>
            <w:ind w:left="440"/>
            <w:rPr>
              <w:color w:val="000000"/>
            </w:rPr>
          </w:pPr>
          <w:hyperlink w:anchor="_2et92p0">
            <w:r w:rsidR="008073F8">
              <w:rPr>
                <w:rFonts w:ascii="Times New Roman" w:eastAsia="Times New Roman" w:hAnsi="Times New Roman" w:cs="Times New Roman"/>
                <w:color w:val="000000"/>
              </w:rPr>
              <w:t>Interconnected problems</w:t>
            </w:r>
          </w:hyperlink>
          <w:hyperlink w:anchor="_2et92p0">
            <w:r w:rsidR="008073F8">
              <w:rPr>
                <w:color w:val="000000"/>
              </w:rPr>
              <w:tab/>
              <w:t>2</w:t>
            </w:r>
          </w:hyperlink>
        </w:p>
        <w:p w14:paraId="0000000E" w14:textId="77777777" w:rsidR="00B438EF" w:rsidRDefault="00DA611C">
          <w:pPr>
            <w:pBdr>
              <w:top w:val="nil"/>
              <w:left w:val="nil"/>
              <w:bottom w:val="nil"/>
              <w:right w:val="nil"/>
              <w:between w:val="nil"/>
            </w:pBdr>
            <w:tabs>
              <w:tab w:val="right" w:pos="9350"/>
            </w:tabs>
            <w:spacing w:after="100"/>
            <w:ind w:left="440"/>
            <w:rPr>
              <w:color w:val="000000"/>
            </w:rPr>
          </w:pPr>
          <w:hyperlink w:anchor="_tyjcwt">
            <w:r w:rsidR="008073F8">
              <w:rPr>
                <w:rFonts w:ascii="Times New Roman" w:eastAsia="Times New Roman" w:hAnsi="Times New Roman" w:cs="Times New Roman"/>
                <w:color w:val="000000"/>
              </w:rPr>
              <w:t>Response</w:t>
            </w:r>
          </w:hyperlink>
          <w:hyperlink w:anchor="_tyjcwt">
            <w:r w:rsidR="008073F8">
              <w:rPr>
                <w:color w:val="000000"/>
              </w:rPr>
              <w:tab/>
              <w:t>2</w:t>
            </w:r>
          </w:hyperlink>
        </w:p>
        <w:p w14:paraId="0000000F" w14:textId="77777777" w:rsidR="00B438EF" w:rsidRDefault="00DA611C">
          <w:pPr>
            <w:pBdr>
              <w:top w:val="nil"/>
              <w:left w:val="nil"/>
              <w:bottom w:val="nil"/>
              <w:right w:val="nil"/>
              <w:between w:val="nil"/>
            </w:pBdr>
            <w:tabs>
              <w:tab w:val="right" w:pos="9350"/>
            </w:tabs>
            <w:spacing w:after="100"/>
            <w:ind w:left="440"/>
            <w:rPr>
              <w:color w:val="000000"/>
            </w:rPr>
          </w:pPr>
          <w:hyperlink w:anchor="_3dy6vkm">
            <w:r w:rsidR="008073F8">
              <w:rPr>
                <w:rFonts w:ascii="Times New Roman" w:eastAsia="Times New Roman" w:hAnsi="Times New Roman" w:cs="Times New Roman"/>
                <w:color w:val="000000"/>
              </w:rPr>
              <w:t>Asset-based solution</w:t>
            </w:r>
          </w:hyperlink>
          <w:hyperlink w:anchor="_3dy6vkm">
            <w:r w:rsidR="008073F8">
              <w:rPr>
                <w:color w:val="000000"/>
              </w:rPr>
              <w:tab/>
              <w:t>2</w:t>
            </w:r>
          </w:hyperlink>
        </w:p>
        <w:p w14:paraId="00000010" w14:textId="77777777" w:rsidR="00B438EF" w:rsidRDefault="00DA611C">
          <w:pPr>
            <w:pBdr>
              <w:top w:val="nil"/>
              <w:left w:val="nil"/>
              <w:bottom w:val="nil"/>
              <w:right w:val="nil"/>
              <w:between w:val="nil"/>
            </w:pBdr>
            <w:tabs>
              <w:tab w:val="right" w:pos="9350"/>
            </w:tabs>
            <w:spacing w:after="100"/>
            <w:ind w:left="440"/>
            <w:rPr>
              <w:color w:val="000000"/>
            </w:rPr>
          </w:pPr>
          <w:hyperlink w:anchor="_1t3h5sf">
            <w:r w:rsidR="008073F8">
              <w:rPr>
                <w:rFonts w:ascii="Times New Roman" w:eastAsia="Times New Roman" w:hAnsi="Times New Roman" w:cs="Times New Roman"/>
                <w:color w:val="000000"/>
              </w:rPr>
              <w:t>Participation</w:t>
            </w:r>
          </w:hyperlink>
          <w:hyperlink w:anchor="_1t3h5sf">
            <w:r w:rsidR="008073F8">
              <w:rPr>
                <w:color w:val="000000"/>
              </w:rPr>
              <w:tab/>
              <w:t>3</w:t>
            </w:r>
          </w:hyperlink>
        </w:p>
        <w:p w14:paraId="00000011" w14:textId="77777777" w:rsidR="00B438EF" w:rsidRDefault="00DA611C">
          <w:pPr>
            <w:pBdr>
              <w:top w:val="nil"/>
              <w:left w:val="nil"/>
              <w:bottom w:val="nil"/>
              <w:right w:val="nil"/>
              <w:between w:val="nil"/>
            </w:pBdr>
            <w:tabs>
              <w:tab w:val="right" w:pos="9350"/>
            </w:tabs>
            <w:spacing w:after="100"/>
            <w:ind w:left="220"/>
            <w:rPr>
              <w:color w:val="000000"/>
            </w:rPr>
          </w:pPr>
          <w:hyperlink w:anchor="_4d34og8">
            <w:r w:rsidR="008073F8">
              <w:rPr>
                <w:rFonts w:ascii="Times New Roman" w:eastAsia="Times New Roman" w:hAnsi="Times New Roman" w:cs="Times New Roman"/>
                <w:color w:val="000000"/>
              </w:rPr>
              <w:t>Equitable programs</w:t>
            </w:r>
          </w:hyperlink>
          <w:hyperlink w:anchor="_4d34og8">
            <w:r w:rsidR="008073F8">
              <w:rPr>
                <w:color w:val="000000"/>
              </w:rPr>
              <w:tab/>
              <w:t>3</w:t>
            </w:r>
          </w:hyperlink>
        </w:p>
        <w:p w14:paraId="00000012" w14:textId="77777777" w:rsidR="00B438EF" w:rsidRDefault="00DA611C">
          <w:pPr>
            <w:pBdr>
              <w:top w:val="nil"/>
              <w:left w:val="nil"/>
              <w:bottom w:val="nil"/>
              <w:right w:val="nil"/>
              <w:between w:val="nil"/>
            </w:pBdr>
            <w:tabs>
              <w:tab w:val="right" w:pos="9350"/>
            </w:tabs>
            <w:spacing w:after="100"/>
            <w:ind w:left="440"/>
            <w:rPr>
              <w:color w:val="000000"/>
            </w:rPr>
          </w:pPr>
          <w:hyperlink w:anchor="_2s8eyo1">
            <w:r w:rsidR="008073F8">
              <w:rPr>
                <w:rFonts w:ascii="Times New Roman" w:eastAsia="Times New Roman" w:hAnsi="Times New Roman" w:cs="Times New Roman"/>
                <w:color w:val="000000"/>
              </w:rPr>
              <w:t>Technical support and planning</w:t>
            </w:r>
          </w:hyperlink>
          <w:hyperlink w:anchor="_2s8eyo1">
            <w:r w:rsidR="008073F8">
              <w:rPr>
                <w:color w:val="000000"/>
              </w:rPr>
              <w:tab/>
              <w:t>3</w:t>
            </w:r>
          </w:hyperlink>
        </w:p>
        <w:p w14:paraId="00000013" w14:textId="77777777" w:rsidR="00B438EF" w:rsidRDefault="00DA611C">
          <w:pPr>
            <w:pBdr>
              <w:top w:val="nil"/>
              <w:left w:val="nil"/>
              <w:bottom w:val="nil"/>
              <w:right w:val="nil"/>
              <w:between w:val="nil"/>
            </w:pBdr>
            <w:tabs>
              <w:tab w:val="right" w:pos="9350"/>
            </w:tabs>
            <w:spacing w:after="100"/>
            <w:ind w:left="440"/>
            <w:rPr>
              <w:color w:val="000000"/>
            </w:rPr>
          </w:pPr>
          <w:hyperlink w:anchor="_17dp8vu">
            <w:r w:rsidR="008073F8">
              <w:rPr>
                <w:rFonts w:ascii="Times New Roman" w:eastAsia="Times New Roman" w:hAnsi="Times New Roman" w:cs="Times New Roman"/>
                <w:color w:val="000000"/>
              </w:rPr>
              <w:t>Equity centered funds</w:t>
            </w:r>
          </w:hyperlink>
          <w:hyperlink w:anchor="_17dp8vu">
            <w:r w:rsidR="008073F8">
              <w:rPr>
                <w:color w:val="000000"/>
              </w:rPr>
              <w:tab/>
              <w:t>3</w:t>
            </w:r>
          </w:hyperlink>
        </w:p>
        <w:p w14:paraId="00000014" w14:textId="77777777" w:rsidR="00B438EF" w:rsidRDefault="00DA611C">
          <w:pPr>
            <w:pBdr>
              <w:top w:val="nil"/>
              <w:left w:val="nil"/>
              <w:bottom w:val="nil"/>
              <w:right w:val="nil"/>
              <w:between w:val="nil"/>
            </w:pBdr>
            <w:tabs>
              <w:tab w:val="right" w:pos="9350"/>
            </w:tabs>
            <w:spacing w:after="100"/>
            <w:ind w:left="440"/>
            <w:rPr>
              <w:color w:val="000000"/>
            </w:rPr>
          </w:pPr>
          <w:hyperlink w:anchor="_3rdcrjn">
            <w:r w:rsidR="008073F8">
              <w:rPr>
                <w:rFonts w:ascii="Times New Roman" w:eastAsia="Times New Roman" w:hAnsi="Times New Roman" w:cs="Times New Roman"/>
                <w:color w:val="000000"/>
              </w:rPr>
              <w:t>Partnering for smaller grants</w:t>
            </w:r>
          </w:hyperlink>
          <w:hyperlink w:anchor="_3rdcrjn">
            <w:r w:rsidR="008073F8">
              <w:rPr>
                <w:color w:val="000000"/>
              </w:rPr>
              <w:tab/>
              <w:t>3</w:t>
            </w:r>
          </w:hyperlink>
        </w:p>
        <w:p w14:paraId="00000015" w14:textId="77777777" w:rsidR="00B438EF" w:rsidRDefault="00DA611C">
          <w:pPr>
            <w:pBdr>
              <w:top w:val="nil"/>
              <w:left w:val="nil"/>
              <w:bottom w:val="nil"/>
              <w:right w:val="nil"/>
              <w:between w:val="nil"/>
            </w:pBdr>
            <w:tabs>
              <w:tab w:val="right" w:pos="9350"/>
            </w:tabs>
            <w:spacing w:after="100"/>
            <w:ind w:left="440"/>
            <w:rPr>
              <w:color w:val="000000"/>
            </w:rPr>
          </w:pPr>
          <w:hyperlink w:anchor="_26in1rg">
            <w:r w:rsidR="008073F8">
              <w:rPr>
                <w:rFonts w:ascii="Times New Roman" w:eastAsia="Times New Roman" w:hAnsi="Times New Roman" w:cs="Times New Roman"/>
                <w:color w:val="000000"/>
              </w:rPr>
              <w:t>Flexibility in opportunities to disburse funding</w:t>
            </w:r>
          </w:hyperlink>
          <w:hyperlink w:anchor="_26in1rg">
            <w:r w:rsidR="008073F8">
              <w:rPr>
                <w:color w:val="000000"/>
              </w:rPr>
              <w:tab/>
              <w:t>4</w:t>
            </w:r>
          </w:hyperlink>
        </w:p>
        <w:p w14:paraId="00000016" w14:textId="77777777" w:rsidR="00B438EF" w:rsidRDefault="00DA611C">
          <w:pPr>
            <w:pBdr>
              <w:top w:val="nil"/>
              <w:left w:val="nil"/>
              <w:bottom w:val="nil"/>
              <w:right w:val="nil"/>
              <w:between w:val="nil"/>
            </w:pBdr>
            <w:tabs>
              <w:tab w:val="right" w:pos="9350"/>
            </w:tabs>
            <w:spacing w:after="100"/>
            <w:ind w:left="440"/>
            <w:rPr>
              <w:color w:val="000000"/>
            </w:rPr>
          </w:pPr>
          <w:hyperlink w:anchor="_lnxbz9">
            <w:r w:rsidR="008073F8">
              <w:rPr>
                <w:rFonts w:ascii="Times New Roman" w:eastAsia="Times New Roman" w:hAnsi="Times New Roman" w:cs="Times New Roman"/>
                <w:color w:val="000000"/>
              </w:rPr>
              <w:t>Youth involvement</w:t>
            </w:r>
          </w:hyperlink>
          <w:hyperlink w:anchor="_lnxbz9">
            <w:r w:rsidR="008073F8">
              <w:rPr>
                <w:color w:val="000000"/>
              </w:rPr>
              <w:tab/>
              <w:t>4</w:t>
            </w:r>
          </w:hyperlink>
        </w:p>
        <w:p w14:paraId="00000017" w14:textId="77777777" w:rsidR="00B438EF" w:rsidRDefault="00DA611C">
          <w:pPr>
            <w:pBdr>
              <w:top w:val="nil"/>
              <w:left w:val="nil"/>
              <w:bottom w:val="nil"/>
              <w:right w:val="nil"/>
              <w:between w:val="nil"/>
            </w:pBdr>
            <w:tabs>
              <w:tab w:val="right" w:pos="9350"/>
            </w:tabs>
            <w:spacing w:after="100"/>
            <w:ind w:left="220"/>
            <w:rPr>
              <w:color w:val="000000"/>
            </w:rPr>
          </w:pPr>
          <w:hyperlink w:anchor="_35nkun2">
            <w:r w:rsidR="008073F8">
              <w:rPr>
                <w:rFonts w:ascii="Times New Roman" w:eastAsia="Times New Roman" w:hAnsi="Times New Roman" w:cs="Times New Roman"/>
                <w:color w:val="000000"/>
              </w:rPr>
              <w:t>Decision making</w:t>
            </w:r>
          </w:hyperlink>
          <w:hyperlink w:anchor="_35nkun2">
            <w:r w:rsidR="008073F8">
              <w:rPr>
                <w:color w:val="000000"/>
              </w:rPr>
              <w:tab/>
              <w:t>4</w:t>
            </w:r>
          </w:hyperlink>
        </w:p>
        <w:p w14:paraId="00000018" w14:textId="77777777" w:rsidR="00B438EF" w:rsidRDefault="00DA611C">
          <w:pPr>
            <w:pBdr>
              <w:top w:val="nil"/>
              <w:left w:val="nil"/>
              <w:bottom w:val="nil"/>
              <w:right w:val="nil"/>
              <w:between w:val="nil"/>
            </w:pBdr>
            <w:tabs>
              <w:tab w:val="right" w:pos="9350"/>
            </w:tabs>
            <w:spacing w:after="100"/>
            <w:ind w:left="440"/>
            <w:rPr>
              <w:color w:val="000000"/>
            </w:rPr>
          </w:pPr>
          <w:hyperlink w:anchor="_1ksv4uv">
            <w:r w:rsidR="008073F8">
              <w:rPr>
                <w:rFonts w:ascii="Times New Roman" w:eastAsia="Times New Roman" w:hAnsi="Times New Roman" w:cs="Times New Roman"/>
                <w:color w:val="000000"/>
              </w:rPr>
              <w:t>Leadership</w:t>
            </w:r>
          </w:hyperlink>
          <w:hyperlink w:anchor="_1ksv4uv">
            <w:r w:rsidR="008073F8">
              <w:rPr>
                <w:color w:val="000000"/>
              </w:rPr>
              <w:tab/>
              <w:t>4</w:t>
            </w:r>
          </w:hyperlink>
        </w:p>
        <w:p w14:paraId="00000019" w14:textId="77777777" w:rsidR="00B438EF" w:rsidRDefault="00DA611C">
          <w:pPr>
            <w:pBdr>
              <w:top w:val="nil"/>
              <w:left w:val="nil"/>
              <w:bottom w:val="nil"/>
              <w:right w:val="nil"/>
              <w:between w:val="nil"/>
            </w:pBdr>
            <w:tabs>
              <w:tab w:val="right" w:pos="9350"/>
            </w:tabs>
            <w:spacing w:after="100"/>
            <w:ind w:left="440"/>
            <w:rPr>
              <w:color w:val="000000"/>
            </w:rPr>
          </w:pPr>
          <w:hyperlink w:anchor="_44sinio">
            <w:r w:rsidR="008073F8">
              <w:rPr>
                <w:rFonts w:ascii="Times New Roman" w:eastAsia="Times New Roman" w:hAnsi="Times New Roman" w:cs="Times New Roman"/>
                <w:color w:val="000000"/>
              </w:rPr>
              <w:t>Collaboration</w:t>
            </w:r>
          </w:hyperlink>
          <w:hyperlink w:anchor="_44sinio">
            <w:r w:rsidR="008073F8">
              <w:rPr>
                <w:color w:val="000000"/>
              </w:rPr>
              <w:tab/>
              <w:t>4</w:t>
            </w:r>
          </w:hyperlink>
        </w:p>
        <w:p w14:paraId="0000001A" w14:textId="77777777" w:rsidR="00B438EF" w:rsidRDefault="00DA611C">
          <w:pPr>
            <w:pBdr>
              <w:top w:val="nil"/>
              <w:left w:val="nil"/>
              <w:bottom w:val="nil"/>
              <w:right w:val="nil"/>
              <w:between w:val="nil"/>
            </w:pBdr>
            <w:tabs>
              <w:tab w:val="right" w:pos="9350"/>
            </w:tabs>
            <w:spacing w:after="100"/>
            <w:ind w:left="440"/>
            <w:rPr>
              <w:color w:val="000000"/>
            </w:rPr>
          </w:pPr>
          <w:hyperlink w:anchor="_2jxsxqh">
            <w:r w:rsidR="008073F8">
              <w:rPr>
                <w:rFonts w:ascii="Times New Roman" w:eastAsia="Times New Roman" w:hAnsi="Times New Roman" w:cs="Times New Roman"/>
                <w:color w:val="000000"/>
              </w:rPr>
              <w:t>Consultation</w:t>
            </w:r>
          </w:hyperlink>
          <w:hyperlink w:anchor="_2jxsxqh">
            <w:r w:rsidR="008073F8">
              <w:rPr>
                <w:color w:val="000000"/>
              </w:rPr>
              <w:tab/>
              <w:t>4</w:t>
            </w:r>
          </w:hyperlink>
        </w:p>
        <w:p w14:paraId="0000001B" w14:textId="77777777" w:rsidR="00B438EF" w:rsidRDefault="00DA611C">
          <w:pPr>
            <w:pBdr>
              <w:top w:val="nil"/>
              <w:left w:val="nil"/>
              <w:bottom w:val="nil"/>
              <w:right w:val="nil"/>
              <w:between w:val="nil"/>
            </w:pBdr>
            <w:tabs>
              <w:tab w:val="right" w:pos="9350"/>
            </w:tabs>
            <w:spacing w:after="100"/>
            <w:ind w:left="220"/>
            <w:rPr>
              <w:color w:val="000000"/>
            </w:rPr>
          </w:pPr>
          <w:hyperlink w:anchor="_z337ya">
            <w:r w:rsidR="008073F8">
              <w:rPr>
                <w:rFonts w:ascii="Times New Roman" w:eastAsia="Times New Roman" w:hAnsi="Times New Roman" w:cs="Times New Roman"/>
                <w:color w:val="000000"/>
              </w:rPr>
              <w:t>Community partnerships</w:t>
            </w:r>
          </w:hyperlink>
          <w:hyperlink w:anchor="_z337ya">
            <w:r w:rsidR="008073F8">
              <w:rPr>
                <w:color w:val="000000"/>
              </w:rPr>
              <w:tab/>
              <w:t>5</w:t>
            </w:r>
          </w:hyperlink>
        </w:p>
        <w:p w14:paraId="0000001C" w14:textId="77777777" w:rsidR="00B438EF" w:rsidRDefault="00DA611C">
          <w:pPr>
            <w:pBdr>
              <w:top w:val="nil"/>
              <w:left w:val="nil"/>
              <w:bottom w:val="nil"/>
              <w:right w:val="nil"/>
              <w:between w:val="nil"/>
            </w:pBdr>
            <w:tabs>
              <w:tab w:val="right" w:pos="9350"/>
            </w:tabs>
            <w:spacing w:after="100"/>
            <w:ind w:left="440"/>
            <w:rPr>
              <w:color w:val="000000"/>
            </w:rPr>
          </w:pPr>
          <w:hyperlink w:anchor="_3j2qqm3">
            <w:r w:rsidR="008073F8">
              <w:rPr>
                <w:rFonts w:ascii="Times New Roman" w:eastAsia="Times New Roman" w:hAnsi="Times New Roman" w:cs="Times New Roman"/>
                <w:color w:val="000000"/>
              </w:rPr>
              <w:t>Community engagement</w:t>
            </w:r>
          </w:hyperlink>
          <w:hyperlink w:anchor="_3j2qqm3">
            <w:r w:rsidR="008073F8">
              <w:rPr>
                <w:color w:val="000000"/>
              </w:rPr>
              <w:tab/>
              <w:t>5</w:t>
            </w:r>
          </w:hyperlink>
        </w:p>
        <w:p w14:paraId="0000001D" w14:textId="77777777" w:rsidR="00B438EF" w:rsidRDefault="00DA611C">
          <w:pPr>
            <w:pBdr>
              <w:top w:val="nil"/>
              <w:left w:val="nil"/>
              <w:bottom w:val="nil"/>
              <w:right w:val="nil"/>
              <w:between w:val="nil"/>
            </w:pBdr>
            <w:tabs>
              <w:tab w:val="right" w:pos="9350"/>
            </w:tabs>
            <w:spacing w:after="100"/>
            <w:ind w:left="440"/>
            <w:rPr>
              <w:color w:val="000000"/>
            </w:rPr>
          </w:pPr>
          <w:hyperlink w:anchor="_1y810tw">
            <w:r w:rsidR="008073F8">
              <w:rPr>
                <w:rFonts w:ascii="Times New Roman" w:eastAsia="Times New Roman" w:hAnsi="Times New Roman" w:cs="Times New Roman"/>
                <w:color w:val="000000"/>
              </w:rPr>
              <w:t>Diversity in partnerships</w:t>
            </w:r>
          </w:hyperlink>
          <w:hyperlink w:anchor="_1y810tw">
            <w:r w:rsidR="008073F8">
              <w:rPr>
                <w:color w:val="000000"/>
              </w:rPr>
              <w:tab/>
              <w:t>5</w:t>
            </w:r>
          </w:hyperlink>
        </w:p>
        <w:p w14:paraId="0000001E" w14:textId="77777777" w:rsidR="00B438EF" w:rsidRDefault="00DA611C">
          <w:pPr>
            <w:pBdr>
              <w:top w:val="nil"/>
              <w:left w:val="nil"/>
              <w:bottom w:val="nil"/>
              <w:right w:val="nil"/>
              <w:between w:val="nil"/>
            </w:pBdr>
            <w:tabs>
              <w:tab w:val="right" w:pos="9350"/>
            </w:tabs>
            <w:spacing w:after="100"/>
            <w:ind w:left="440"/>
            <w:rPr>
              <w:color w:val="000000"/>
            </w:rPr>
          </w:pPr>
          <w:hyperlink w:anchor="_4i7ojhp">
            <w:r w:rsidR="008073F8">
              <w:rPr>
                <w:rFonts w:ascii="Times New Roman" w:eastAsia="Times New Roman" w:hAnsi="Times New Roman" w:cs="Times New Roman"/>
                <w:color w:val="000000"/>
              </w:rPr>
              <w:t>Training frameworks</w:t>
            </w:r>
          </w:hyperlink>
          <w:hyperlink w:anchor="_4i7ojhp">
            <w:r w:rsidR="008073F8">
              <w:rPr>
                <w:color w:val="000000"/>
              </w:rPr>
              <w:tab/>
              <w:t>5</w:t>
            </w:r>
          </w:hyperlink>
        </w:p>
        <w:p w14:paraId="0000001F" w14:textId="77777777" w:rsidR="00B438EF" w:rsidRDefault="00DA611C">
          <w:pPr>
            <w:pBdr>
              <w:top w:val="nil"/>
              <w:left w:val="nil"/>
              <w:bottom w:val="nil"/>
              <w:right w:val="nil"/>
              <w:between w:val="nil"/>
            </w:pBdr>
            <w:tabs>
              <w:tab w:val="right" w:pos="9350"/>
            </w:tabs>
            <w:spacing w:after="100"/>
            <w:ind w:left="440"/>
            <w:rPr>
              <w:color w:val="000000"/>
            </w:rPr>
          </w:pPr>
          <w:hyperlink w:anchor="_2xcytpi">
            <w:r w:rsidR="008073F8">
              <w:rPr>
                <w:rFonts w:ascii="Times New Roman" w:eastAsia="Times New Roman" w:hAnsi="Times New Roman" w:cs="Times New Roman"/>
                <w:color w:val="000000"/>
              </w:rPr>
              <w:t>Technical support</w:t>
            </w:r>
          </w:hyperlink>
          <w:hyperlink w:anchor="_2xcytpi">
            <w:r w:rsidR="008073F8">
              <w:rPr>
                <w:color w:val="000000"/>
              </w:rPr>
              <w:tab/>
              <w:t>5</w:t>
            </w:r>
          </w:hyperlink>
        </w:p>
        <w:p w14:paraId="00000020" w14:textId="77777777" w:rsidR="00B438EF" w:rsidRDefault="00DA611C">
          <w:pPr>
            <w:pBdr>
              <w:top w:val="nil"/>
              <w:left w:val="nil"/>
              <w:bottom w:val="nil"/>
              <w:right w:val="nil"/>
              <w:between w:val="nil"/>
            </w:pBdr>
            <w:tabs>
              <w:tab w:val="right" w:pos="9350"/>
            </w:tabs>
            <w:spacing w:after="100"/>
            <w:ind w:left="440"/>
            <w:rPr>
              <w:color w:val="000000"/>
            </w:rPr>
          </w:pPr>
          <w:hyperlink w:anchor="_1ci93xb">
            <w:r w:rsidR="008073F8">
              <w:rPr>
                <w:rFonts w:ascii="Times New Roman" w:eastAsia="Times New Roman" w:hAnsi="Times New Roman" w:cs="Times New Roman"/>
                <w:color w:val="000000"/>
              </w:rPr>
              <w:t>Local champions</w:t>
            </w:r>
          </w:hyperlink>
          <w:hyperlink w:anchor="_1ci93xb">
            <w:r w:rsidR="008073F8">
              <w:rPr>
                <w:color w:val="000000"/>
              </w:rPr>
              <w:tab/>
              <w:t>5</w:t>
            </w:r>
          </w:hyperlink>
        </w:p>
        <w:p w14:paraId="00000021" w14:textId="77777777" w:rsidR="00B438EF" w:rsidRDefault="00DA611C">
          <w:pPr>
            <w:pBdr>
              <w:top w:val="nil"/>
              <w:left w:val="nil"/>
              <w:bottom w:val="nil"/>
              <w:right w:val="nil"/>
              <w:between w:val="nil"/>
            </w:pBdr>
            <w:tabs>
              <w:tab w:val="right" w:pos="9350"/>
            </w:tabs>
            <w:spacing w:after="100"/>
            <w:ind w:left="220"/>
            <w:rPr>
              <w:color w:val="000000"/>
            </w:rPr>
          </w:pPr>
          <w:hyperlink w:anchor="_3whwml4">
            <w:r w:rsidR="008073F8">
              <w:rPr>
                <w:rFonts w:ascii="Times New Roman" w:eastAsia="Times New Roman" w:hAnsi="Times New Roman" w:cs="Times New Roman"/>
                <w:color w:val="000000"/>
              </w:rPr>
              <w:t>Communication</w:t>
            </w:r>
          </w:hyperlink>
          <w:hyperlink w:anchor="_3whwml4">
            <w:r w:rsidR="008073F8">
              <w:rPr>
                <w:color w:val="000000"/>
              </w:rPr>
              <w:tab/>
              <w:t>6</w:t>
            </w:r>
          </w:hyperlink>
        </w:p>
        <w:p w14:paraId="00000022" w14:textId="77777777" w:rsidR="00B438EF" w:rsidRDefault="00DA611C">
          <w:pPr>
            <w:pBdr>
              <w:top w:val="nil"/>
              <w:left w:val="nil"/>
              <w:bottom w:val="nil"/>
              <w:right w:val="nil"/>
              <w:between w:val="nil"/>
            </w:pBdr>
            <w:tabs>
              <w:tab w:val="right" w:pos="9350"/>
            </w:tabs>
            <w:spacing w:after="100"/>
            <w:ind w:left="440"/>
            <w:rPr>
              <w:color w:val="000000"/>
            </w:rPr>
          </w:pPr>
          <w:hyperlink w:anchor="_2bn6wsx">
            <w:r w:rsidR="008073F8">
              <w:rPr>
                <w:rFonts w:ascii="Times New Roman" w:eastAsia="Times New Roman" w:hAnsi="Times New Roman" w:cs="Times New Roman"/>
                <w:color w:val="000000"/>
              </w:rPr>
              <w:t>Transparency</w:t>
            </w:r>
          </w:hyperlink>
          <w:hyperlink w:anchor="_2bn6wsx">
            <w:r w:rsidR="008073F8">
              <w:rPr>
                <w:color w:val="000000"/>
              </w:rPr>
              <w:tab/>
              <w:t>6</w:t>
            </w:r>
          </w:hyperlink>
        </w:p>
        <w:p w14:paraId="00000023" w14:textId="77777777" w:rsidR="00B438EF" w:rsidRDefault="00DA611C">
          <w:pPr>
            <w:pBdr>
              <w:top w:val="nil"/>
              <w:left w:val="nil"/>
              <w:bottom w:val="nil"/>
              <w:right w:val="nil"/>
              <w:between w:val="nil"/>
            </w:pBdr>
            <w:tabs>
              <w:tab w:val="right" w:pos="9350"/>
            </w:tabs>
            <w:spacing w:after="100"/>
            <w:ind w:left="440"/>
            <w:rPr>
              <w:color w:val="000000"/>
            </w:rPr>
          </w:pPr>
          <w:hyperlink w:anchor="_qsh70q">
            <w:r w:rsidR="008073F8">
              <w:rPr>
                <w:rFonts w:ascii="Times New Roman" w:eastAsia="Times New Roman" w:hAnsi="Times New Roman" w:cs="Times New Roman"/>
                <w:color w:val="000000"/>
              </w:rPr>
              <w:t>Knowledge based initiatives</w:t>
            </w:r>
          </w:hyperlink>
          <w:hyperlink w:anchor="_qsh70q">
            <w:r w:rsidR="008073F8">
              <w:rPr>
                <w:color w:val="000000"/>
              </w:rPr>
              <w:tab/>
              <w:t>6</w:t>
            </w:r>
          </w:hyperlink>
        </w:p>
        <w:p w14:paraId="00000024" w14:textId="77777777" w:rsidR="00B438EF" w:rsidRDefault="00DA611C">
          <w:pPr>
            <w:pBdr>
              <w:top w:val="nil"/>
              <w:left w:val="nil"/>
              <w:bottom w:val="nil"/>
              <w:right w:val="nil"/>
              <w:between w:val="nil"/>
            </w:pBdr>
            <w:tabs>
              <w:tab w:val="right" w:pos="9350"/>
            </w:tabs>
            <w:spacing w:after="100"/>
            <w:ind w:left="440"/>
            <w:rPr>
              <w:color w:val="000000"/>
            </w:rPr>
          </w:pPr>
          <w:hyperlink w:anchor="_3as4poj">
            <w:r w:rsidR="008073F8">
              <w:rPr>
                <w:rFonts w:ascii="Times New Roman" w:eastAsia="Times New Roman" w:hAnsi="Times New Roman" w:cs="Times New Roman"/>
                <w:color w:val="000000"/>
              </w:rPr>
              <w:t>Social media</w:t>
            </w:r>
          </w:hyperlink>
          <w:hyperlink w:anchor="_3as4poj">
            <w:r w:rsidR="008073F8">
              <w:rPr>
                <w:color w:val="000000"/>
              </w:rPr>
              <w:tab/>
              <w:t>6</w:t>
            </w:r>
          </w:hyperlink>
        </w:p>
        <w:p w14:paraId="00000025" w14:textId="77777777" w:rsidR="00B438EF" w:rsidRDefault="00DA611C">
          <w:pPr>
            <w:pBdr>
              <w:top w:val="nil"/>
              <w:left w:val="nil"/>
              <w:bottom w:val="nil"/>
              <w:right w:val="nil"/>
              <w:between w:val="nil"/>
            </w:pBdr>
            <w:tabs>
              <w:tab w:val="right" w:pos="9350"/>
            </w:tabs>
            <w:spacing w:after="100"/>
            <w:ind w:left="220"/>
            <w:rPr>
              <w:color w:val="000000"/>
            </w:rPr>
          </w:pPr>
          <w:hyperlink w:anchor="_1pxezwc">
            <w:r w:rsidR="008073F8">
              <w:rPr>
                <w:rFonts w:ascii="Times New Roman" w:eastAsia="Times New Roman" w:hAnsi="Times New Roman" w:cs="Times New Roman"/>
                <w:color w:val="000000"/>
              </w:rPr>
              <w:t>Community meetings</w:t>
            </w:r>
          </w:hyperlink>
          <w:hyperlink w:anchor="_1pxezwc">
            <w:r w:rsidR="008073F8">
              <w:rPr>
                <w:color w:val="000000"/>
              </w:rPr>
              <w:tab/>
              <w:t>6</w:t>
            </w:r>
          </w:hyperlink>
        </w:p>
        <w:p w14:paraId="00000026" w14:textId="77777777" w:rsidR="00B438EF" w:rsidRDefault="00DA611C">
          <w:pPr>
            <w:pBdr>
              <w:top w:val="nil"/>
              <w:left w:val="nil"/>
              <w:bottom w:val="nil"/>
              <w:right w:val="nil"/>
              <w:between w:val="nil"/>
            </w:pBdr>
            <w:tabs>
              <w:tab w:val="right" w:pos="9350"/>
            </w:tabs>
            <w:spacing w:after="100"/>
            <w:ind w:left="440"/>
            <w:rPr>
              <w:color w:val="000000"/>
            </w:rPr>
          </w:pPr>
          <w:hyperlink w:anchor="_49x2ik5">
            <w:r w:rsidR="008073F8">
              <w:rPr>
                <w:rFonts w:ascii="Times New Roman" w:eastAsia="Times New Roman" w:hAnsi="Times New Roman" w:cs="Times New Roman"/>
                <w:color w:val="000000"/>
              </w:rPr>
              <w:t>Translation</w:t>
            </w:r>
          </w:hyperlink>
          <w:hyperlink w:anchor="_49x2ik5">
            <w:r w:rsidR="008073F8">
              <w:rPr>
                <w:color w:val="000000"/>
              </w:rPr>
              <w:tab/>
              <w:t>6</w:t>
            </w:r>
          </w:hyperlink>
        </w:p>
        <w:p w14:paraId="00000027" w14:textId="77777777" w:rsidR="00B438EF" w:rsidRDefault="00DA611C">
          <w:pPr>
            <w:pBdr>
              <w:top w:val="nil"/>
              <w:left w:val="nil"/>
              <w:bottom w:val="nil"/>
              <w:right w:val="nil"/>
              <w:between w:val="nil"/>
            </w:pBdr>
            <w:tabs>
              <w:tab w:val="right" w:pos="9350"/>
            </w:tabs>
            <w:spacing w:after="100"/>
            <w:ind w:left="440"/>
            <w:rPr>
              <w:color w:val="000000"/>
            </w:rPr>
          </w:pPr>
          <w:hyperlink w:anchor="_2p2csry">
            <w:r w:rsidR="008073F8">
              <w:rPr>
                <w:rFonts w:ascii="Times New Roman" w:eastAsia="Times New Roman" w:hAnsi="Times New Roman" w:cs="Times New Roman"/>
                <w:color w:val="000000"/>
              </w:rPr>
              <w:t>Accessibility</w:t>
            </w:r>
          </w:hyperlink>
          <w:hyperlink w:anchor="_2p2csry">
            <w:r w:rsidR="008073F8">
              <w:rPr>
                <w:color w:val="000000"/>
              </w:rPr>
              <w:tab/>
              <w:t>6</w:t>
            </w:r>
          </w:hyperlink>
        </w:p>
        <w:p w14:paraId="00000028" w14:textId="77777777" w:rsidR="00B438EF" w:rsidRDefault="00DA611C">
          <w:pPr>
            <w:pBdr>
              <w:top w:val="nil"/>
              <w:left w:val="nil"/>
              <w:bottom w:val="nil"/>
              <w:right w:val="nil"/>
              <w:between w:val="nil"/>
            </w:pBdr>
            <w:tabs>
              <w:tab w:val="right" w:pos="9350"/>
            </w:tabs>
            <w:spacing w:after="100"/>
            <w:ind w:left="440"/>
            <w:rPr>
              <w:color w:val="000000"/>
            </w:rPr>
          </w:pPr>
          <w:hyperlink w:anchor="_147n2zr">
            <w:r w:rsidR="008073F8">
              <w:rPr>
                <w:rFonts w:ascii="Times New Roman" w:eastAsia="Times New Roman" w:hAnsi="Times New Roman" w:cs="Times New Roman"/>
                <w:color w:val="000000"/>
              </w:rPr>
              <w:t>Stipends</w:t>
            </w:r>
          </w:hyperlink>
          <w:hyperlink w:anchor="_147n2zr">
            <w:r w:rsidR="008073F8">
              <w:rPr>
                <w:color w:val="000000"/>
              </w:rPr>
              <w:tab/>
              <w:t>7</w:t>
            </w:r>
          </w:hyperlink>
        </w:p>
        <w:p w14:paraId="00000029" w14:textId="77777777" w:rsidR="00B438EF" w:rsidRDefault="00DA611C">
          <w:pPr>
            <w:pBdr>
              <w:top w:val="nil"/>
              <w:left w:val="nil"/>
              <w:bottom w:val="nil"/>
              <w:right w:val="nil"/>
              <w:between w:val="nil"/>
            </w:pBdr>
            <w:tabs>
              <w:tab w:val="right" w:pos="9350"/>
            </w:tabs>
            <w:spacing w:after="100"/>
            <w:rPr>
              <w:color w:val="000000"/>
            </w:rPr>
          </w:pPr>
          <w:hyperlink w:anchor="_3o7alnk">
            <w:r w:rsidR="008073F8">
              <w:rPr>
                <w:rFonts w:ascii="Times New Roman" w:eastAsia="Times New Roman" w:hAnsi="Times New Roman" w:cs="Times New Roman"/>
                <w:color w:val="000000"/>
              </w:rPr>
              <w:t>Conclusion</w:t>
            </w:r>
          </w:hyperlink>
          <w:hyperlink w:anchor="_3o7alnk">
            <w:r w:rsidR="008073F8">
              <w:rPr>
                <w:color w:val="000000"/>
              </w:rPr>
              <w:tab/>
              <w:t>7</w:t>
            </w:r>
          </w:hyperlink>
        </w:p>
        <w:p w14:paraId="0000002A" w14:textId="77777777" w:rsidR="00B438EF" w:rsidRDefault="00DA611C">
          <w:pPr>
            <w:pBdr>
              <w:top w:val="nil"/>
              <w:left w:val="nil"/>
              <w:bottom w:val="nil"/>
              <w:right w:val="nil"/>
              <w:between w:val="nil"/>
            </w:pBdr>
            <w:tabs>
              <w:tab w:val="right" w:pos="9350"/>
            </w:tabs>
            <w:spacing w:after="100"/>
            <w:rPr>
              <w:color w:val="000000"/>
            </w:rPr>
          </w:pPr>
          <w:hyperlink w:anchor="_23ckvvd">
            <w:r w:rsidR="008073F8">
              <w:rPr>
                <w:rFonts w:ascii="Times New Roman" w:eastAsia="Times New Roman" w:hAnsi="Times New Roman" w:cs="Times New Roman"/>
                <w:color w:val="000000"/>
              </w:rPr>
              <w:t>Bibliography</w:t>
            </w:r>
          </w:hyperlink>
          <w:hyperlink w:anchor="_23ckvvd">
            <w:r w:rsidR="008073F8">
              <w:rPr>
                <w:color w:val="000000"/>
              </w:rPr>
              <w:tab/>
              <w:t>8</w:t>
            </w:r>
          </w:hyperlink>
        </w:p>
        <w:p w14:paraId="0000002B" w14:textId="77777777" w:rsidR="00B438EF" w:rsidRDefault="008073F8">
          <w:r>
            <w:fldChar w:fldCharType="end"/>
          </w:r>
        </w:p>
      </w:sdtContent>
    </w:sdt>
    <w:p w14:paraId="0000002C" w14:textId="77777777" w:rsidR="00B438EF" w:rsidRDefault="00B438EF">
      <w:pPr>
        <w:sectPr w:rsidR="00B438EF">
          <w:pgSz w:w="12240" w:h="15840"/>
          <w:pgMar w:top="1440" w:right="1440" w:bottom="1440" w:left="1440" w:header="720" w:footer="720" w:gutter="0"/>
          <w:cols w:space="720"/>
        </w:sectPr>
      </w:pPr>
    </w:p>
    <w:p w14:paraId="0000002D" w14:textId="77777777" w:rsidR="00B438EF" w:rsidRDefault="008073F8">
      <w:pPr>
        <w:pStyle w:val="Heading1"/>
        <w:spacing w:line="360" w:lineRule="auto"/>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lastRenderedPageBreak/>
        <w:t>Introduction</w:t>
      </w:r>
    </w:p>
    <w:p w14:paraId="0000002E"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providing significant ecological and human advantages, the California Climate Investment initiatives undertake vital climatic projects in their most ecologically and socially influenced areas.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State's ambitious objectives of mitigating greenhouse gas emissions and of optimizing opportunities for the most disadvantaged people, it is important, both to contribute and to take advantage of these initiatives, notably for local communities which are threatened the most by the challenge of the climate. Although CCI leaders have acquired many insights from the projects in the past, the new initiatives will and must support people explicitly. In recognition of this need and in order to address the community participation activities in CCI initiatives and services, the Community Leadership Summit pulled forward CCI initiative and intersectoral stakeholder entities in a coordinated environment (Grift, et al., 2020).</w:t>
      </w:r>
    </w:p>
    <w:p w14:paraId="0000002F" w14:textId="3B8EF0E2"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Summit underlined what they have achieved to date in supporting the leadership of the group in CCI projects and policies and discussed practices that will support this governance. In this context, the style of the Summit was strongly collaborative and dialogue oriented and pulled forth numerous insights into CCI initiatives and programs. State departments, civic </w:t>
      </w:r>
      <w:r w:rsidR="000A216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and civic partners co-facilitated the dialogue sessions. This encouraged the conversation of guiding principles in community service and engagement to be diverse and frank. The opening/closing remarks were concentrated on why this role is critical and included participation in the introduction of CCI services by State governments, lawyers and community groups (</w:t>
      </w:r>
      <w:proofErr w:type="spellStart"/>
      <w:r>
        <w:rPr>
          <w:rFonts w:ascii="Times New Roman" w:eastAsia="Times New Roman" w:hAnsi="Times New Roman" w:cs="Times New Roman"/>
          <w:sz w:val="24"/>
          <w:szCs w:val="24"/>
        </w:rPr>
        <w:t>Vargiu</w:t>
      </w:r>
      <w:proofErr w:type="spellEnd"/>
      <w:r>
        <w:rPr>
          <w:rFonts w:ascii="Times New Roman" w:eastAsia="Times New Roman" w:hAnsi="Times New Roman" w:cs="Times New Roman"/>
          <w:sz w:val="24"/>
          <w:szCs w:val="24"/>
        </w:rPr>
        <w:t>, et al., 2019).</w:t>
      </w:r>
    </w:p>
    <w:p w14:paraId="00000030" w14:textId="77777777" w:rsidR="00B438EF" w:rsidRDefault="008073F8">
      <w:pPr>
        <w:pStyle w:val="Heading1"/>
        <w:spacing w:line="360" w:lineRule="auto"/>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sz w:val="24"/>
          <w:szCs w:val="24"/>
        </w:rPr>
        <w:t>Community engagement</w:t>
      </w:r>
    </w:p>
    <w:p w14:paraId="00000031"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participation and community engagement for CCI involves getting closely on issues impacting community well-being with a diverse network of members. Which requires knowledge exchange, establishing alliances and collaborations with investors in the planning and decision-making process with the aim of strengthening strategy and program. In order to secure effective proposals and schemes, any mechanism involving government, designers and stakeholder groups needs confidence (</w:t>
      </w:r>
      <w:proofErr w:type="spellStart"/>
      <w:r>
        <w:rPr>
          <w:rFonts w:ascii="Times New Roman" w:eastAsia="Times New Roman" w:hAnsi="Times New Roman" w:cs="Times New Roman"/>
          <w:sz w:val="24"/>
          <w:szCs w:val="24"/>
        </w:rPr>
        <w:t>Wattam</w:t>
      </w:r>
      <w:proofErr w:type="spellEnd"/>
      <w:r>
        <w:rPr>
          <w:rFonts w:ascii="Times New Roman" w:eastAsia="Times New Roman" w:hAnsi="Times New Roman" w:cs="Times New Roman"/>
          <w:sz w:val="24"/>
          <w:szCs w:val="24"/>
        </w:rPr>
        <w:t xml:space="preserve">, 2018).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important for developing trustful ties to communicate with the purpose to attempt to grasp someone's living experience. Sincerity is also a central part of mutual trust. Combating or confusion can rapidly erode confidence. ICC decided that they should all be truthful in their discussions; they do not have responses to tough questions, even though it </w:t>
      </w:r>
      <w:r>
        <w:rPr>
          <w:rFonts w:ascii="Times New Roman" w:eastAsia="Times New Roman" w:hAnsi="Times New Roman" w:cs="Times New Roman"/>
          <w:sz w:val="24"/>
          <w:szCs w:val="24"/>
        </w:rPr>
        <w:lastRenderedPageBreak/>
        <w:t>is acceptable. Candidates work jointly to pursue common priorities when an environment of confidence is high (Lee, et al., 2020).</w:t>
      </w:r>
    </w:p>
    <w:p w14:paraId="00000032" w14:textId="40E9157D" w:rsidR="00B438EF" w:rsidRDefault="000A2161">
      <w:pPr>
        <w:pStyle w:val="Heading1"/>
        <w:spacing w:line="360" w:lineRule="auto"/>
        <w:jc w:val="both"/>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t>Organizations</w:t>
      </w:r>
      <w:r w:rsidR="008073F8">
        <w:rPr>
          <w:rFonts w:ascii="Times New Roman" w:eastAsia="Times New Roman" w:hAnsi="Times New Roman" w:cs="Times New Roman"/>
          <w:sz w:val="24"/>
          <w:szCs w:val="24"/>
        </w:rPr>
        <w:t xml:space="preserve"> best practices</w:t>
      </w:r>
    </w:p>
    <w:p w14:paraId="00000033"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sz w:val="24"/>
          <w:szCs w:val="24"/>
        </w:rPr>
        <w:t>Sustaining relationships</w:t>
      </w:r>
    </w:p>
    <w:p w14:paraId="00000034"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mutual trust is central to effective initiatives and services in all systems including governments, facilitators, and stakeholder groups (Zohar, et al., 2020). Best practices for building trust amongst government and society involve:</w:t>
      </w:r>
    </w:p>
    <w:p w14:paraId="00000035" w14:textId="77777777" w:rsidR="00B438EF" w:rsidRDefault="008073F8">
      <w:pPr>
        <w:pStyle w:val="Heading3"/>
        <w:spacing w:line="360" w:lineRule="auto"/>
        <w:jc w:val="both"/>
        <w:rPr>
          <w:rFonts w:ascii="Times New Roman" w:eastAsia="Times New Roman" w:hAnsi="Times New Roman" w:cs="Times New Roman"/>
        </w:rPr>
      </w:pPr>
      <w:bookmarkStart w:id="4" w:name="_2et92p0" w:colFirst="0" w:colLast="0"/>
      <w:bookmarkEnd w:id="4"/>
      <w:r>
        <w:rPr>
          <w:rFonts w:ascii="Times New Roman" w:eastAsia="Times New Roman" w:hAnsi="Times New Roman" w:cs="Times New Roman"/>
        </w:rPr>
        <w:t>Interconnected problems</w:t>
      </w:r>
    </w:p>
    <w:p w14:paraId="00000036" w14:textId="5C0D8879"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in their </w:t>
      </w:r>
      <w:r w:rsidR="000A2161">
        <w:rPr>
          <w:rFonts w:ascii="Times New Roman" w:eastAsia="Times New Roman" w:hAnsi="Times New Roman" w:cs="Times New Roman"/>
          <w:sz w:val="24"/>
          <w:szCs w:val="24"/>
        </w:rPr>
        <w:t>neighborhoods</w:t>
      </w:r>
      <w:r>
        <w:rPr>
          <w:rFonts w:ascii="Times New Roman" w:eastAsia="Times New Roman" w:hAnsi="Times New Roman" w:cs="Times New Roman"/>
          <w:sz w:val="24"/>
          <w:szCs w:val="24"/>
        </w:rPr>
        <w:t xml:space="preserve"> should not perceive one concern independently. Bus stop malfunction may also be associated with low housing standards. In people's lives, many difficulties and obstacles are intertwined and can make struggles worse. This may be conflicting with the conventional </w:t>
      </w:r>
      <w:proofErr w:type="gramStart"/>
      <w:r>
        <w:rPr>
          <w:rFonts w:ascii="Times New Roman" w:eastAsia="Times New Roman" w:hAnsi="Times New Roman" w:cs="Times New Roman"/>
          <w:sz w:val="24"/>
          <w:szCs w:val="24"/>
        </w:rPr>
        <w:t>manner in which</w:t>
      </w:r>
      <w:proofErr w:type="gramEnd"/>
      <w:r>
        <w:rPr>
          <w:rFonts w:ascii="Times New Roman" w:eastAsia="Times New Roman" w:hAnsi="Times New Roman" w:cs="Times New Roman"/>
          <w:sz w:val="24"/>
          <w:szCs w:val="24"/>
        </w:rPr>
        <w:t xml:space="preserve"> financing services work, mostly to deal with one problem. When people hear the input from the audience, they must note how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things are interconnected, how these interactions are considered, and whether there are solutions to solve several problems with CCI or other tools and resources. Workers should be kept updated as these occasions emerge of supplemental efforts and additional services (Lawlor, et al., 2017).</w:t>
      </w:r>
    </w:p>
    <w:p w14:paraId="00000037" w14:textId="77777777" w:rsidR="00B438EF" w:rsidRDefault="008073F8">
      <w:pPr>
        <w:pStyle w:val="Heading3"/>
        <w:spacing w:line="360" w:lineRule="auto"/>
        <w:jc w:val="both"/>
        <w:rPr>
          <w:rFonts w:ascii="Times New Roman" w:eastAsia="Times New Roman" w:hAnsi="Times New Roman" w:cs="Times New Roman"/>
        </w:rPr>
      </w:pPr>
      <w:bookmarkStart w:id="5" w:name="_tyjcwt" w:colFirst="0" w:colLast="0"/>
      <w:bookmarkEnd w:id="5"/>
      <w:r>
        <w:rPr>
          <w:rFonts w:ascii="Times New Roman" w:eastAsia="Times New Roman" w:hAnsi="Times New Roman" w:cs="Times New Roman"/>
        </w:rPr>
        <w:t>Response</w:t>
      </w:r>
    </w:p>
    <w:p w14:paraId="00000038" w14:textId="77777777" w:rsidR="00B438EF" w:rsidRDefault="008073F8">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a duty to respond, especially for state employees, while listening to others sharing their narrative and experience. Building faith means making it possible for people to reach out and appreciate how their contributions impact the process. If </w:t>
      </w:r>
      <w:proofErr w:type="gramStart"/>
      <w:r>
        <w:rPr>
          <w:rFonts w:ascii="Times New Roman" w:eastAsia="Times New Roman" w:hAnsi="Times New Roman" w:cs="Times New Roman"/>
          <w:sz w:val="24"/>
          <w:szCs w:val="24"/>
        </w:rPr>
        <w:t>a particular, discrete</w:t>
      </w:r>
      <w:proofErr w:type="gramEnd"/>
      <w:r>
        <w:rPr>
          <w:rFonts w:ascii="Times New Roman" w:eastAsia="Times New Roman" w:hAnsi="Times New Roman" w:cs="Times New Roman"/>
          <w:sz w:val="24"/>
          <w:szCs w:val="24"/>
        </w:rPr>
        <w:t xml:space="preserve"> reform may be made in order to meet the needs of the stakeholder, it is necessary to think seriously. If an improvement cannot be made, reacting may clearly mean defining the position of the service, illustrating the words, checking up on any related tools, making a personal thank you comment or keeping the contact steady. If intervention or documented improvement happens, there is a chance to notice and react (</w:t>
      </w:r>
      <w:proofErr w:type="spellStart"/>
      <w:r>
        <w:rPr>
          <w:rFonts w:ascii="Times New Roman" w:eastAsia="Times New Roman" w:hAnsi="Times New Roman" w:cs="Times New Roman"/>
          <w:sz w:val="24"/>
          <w:szCs w:val="24"/>
        </w:rPr>
        <w:t>Norrman</w:t>
      </w:r>
      <w:proofErr w:type="spellEnd"/>
      <w:r>
        <w:rPr>
          <w:rFonts w:ascii="Times New Roman" w:eastAsia="Times New Roman" w:hAnsi="Times New Roman" w:cs="Times New Roman"/>
          <w:sz w:val="24"/>
          <w:szCs w:val="24"/>
        </w:rPr>
        <w:t>, et al., 2020).</w:t>
      </w:r>
    </w:p>
    <w:p w14:paraId="00000039" w14:textId="77777777" w:rsidR="00B438EF" w:rsidRDefault="008073F8">
      <w:pPr>
        <w:pStyle w:val="Heading3"/>
        <w:spacing w:line="360" w:lineRule="auto"/>
        <w:jc w:val="both"/>
        <w:rPr>
          <w:rFonts w:ascii="Times New Roman" w:eastAsia="Times New Roman" w:hAnsi="Times New Roman" w:cs="Times New Roman"/>
        </w:rPr>
      </w:pPr>
      <w:bookmarkStart w:id="6" w:name="_3dy6vkm" w:colFirst="0" w:colLast="0"/>
      <w:bookmarkEnd w:id="6"/>
      <w:r>
        <w:rPr>
          <w:rFonts w:ascii="Times New Roman" w:eastAsia="Times New Roman" w:hAnsi="Times New Roman" w:cs="Times New Roman"/>
        </w:rPr>
        <w:t>Asset-based solution</w:t>
      </w:r>
    </w:p>
    <w:p w14:paraId="0000003A" w14:textId="44C959B5"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CCI's exposure to poor and low-income demographics may result in group representations focused on weaknesses to the detriment of their positive characteristics. This will shape a close </w:t>
      </w:r>
      <w:r w:rsidR="000A216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welcoming and hospitable community, powerful and resistant against barriers. If </w:t>
      </w:r>
      <w:r>
        <w:rPr>
          <w:rFonts w:ascii="Times New Roman" w:eastAsia="Times New Roman" w:hAnsi="Times New Roman" w:cs="Times New Roman"/>
          <w:sz w:val="24"/>
          <w:szCs w:val="24"/>
        </w:rPr>
        <w:lastRenderedPageBreak/>
        <w:t>people understand that the best of others is the basis for relational partnerships, ICC will speak frankly about problems and create a practical path to progress (</w:t>
      </w:r>
      <w:r w:rsidR="000A2161">
        <w:rPr>
          <w:rFonts w:ascii="Times New Roman" w:eastAsia="Times New Roman" w:hAnsi="Times New Roman" w:cs="Times New Roman"/>
          <w:sz w:val="24"/>
          <w:szCs w:val="24"/>
        </w:rPr>
        <w:t>WebStorm</w:t>
      </w:r>
      <w:r>
        <w:rPr>
          <w:rFonts w:ascii="Times New Roman" w:eastAsia="Times New Roman" w:hAnsi="Times New Roman" w:cs="Times New Roman"/>
          <w:sz w:val="24"/>
          <w:szCs w:val="24"/>
        </w:rPr>
        <w:t>, 2020).</w:t>
      </w:r>
    </w:p>
    <w:p w14:paraId="0000003B" w14:textId="77777777" w:rsidR="00B438EF" w:rsidRDefault="008073F8">
      <w:pPr>
        <w:pStyle w:val="Heading3"/>
        <w:spacing w:line="360" w:lineRule="auto"/>
        <w:jc w:val="both"/>
        <w:rPr>
          <w:rFonts w:ascii="Times New Roman" w:eastAsia="Times New Roman" w:hAnsi="Times New Roman" w:cs="Times New Roman"/>
        </w:rPr>
      </w:pPr>
      <w:bookmarkStart w:id="7" w:name="_1t3h5sf" w:colFirst="0" w:colLast="0"/>
      <w:bookmarkEnd w:id="7"/>
      <w:r>
        <w:rPr>
          <w:rFonts w:ascii="Times New Roman" w:eastAsia="Times New Roman" w:hAnsi="Times New Roman" w:cs="Times New Roman"/>
        </w:rPr>
        <w:t>Participation</w:t>
      </w:r>
    </w:p>
    <w:p w14:paraId="0000003C"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ICC </w:t>
      </w:r>
      <w:proofErr w:type="gramStart"/>
      <w:r>
        <w:rPr>
          <w:rFonts w:ascii="Times New Roman" w:eastAsia="Times New Roman" w:hAnsi="Times New Roman" w:cs="Times New Roman"/>
          <w:sz w:val="24"/>
          <w:szCs w:val="24"/>
        </w:rPr>
        <w:t>takes into account</w:t>
      </w:r>
      <w:proofErr w:type="gramEnd"/>
      <w:r>
        <w:rPr>
          <w:rFonts w:ascii="Times New Roman" w:eastAsia="Times New Roman" w:hAnsi="Times New Roman" w:cs="Times New Roman"/>
          <w:sz w:val="24"/>
          <w:szCs w:val="24"/>
        </w:rPr>
        <w:t xml:space="preserve"> experiences outside a conventional format. This involves welcoming State leaders to group gatherings and casual meetings and elected officials who are spending time doing more phone conversations, checks and informal connections. This allows time and chance to get to understand the viewpoints and methods of each other and builds awareness and belief (Rasmussen, et al., 2015).</w:t>
      </w:r>
    </w:p>
    <w:p w14:paraId="0000003D"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8" w:name="_4d34og8" w:colFirst="0" w:colLast="0"/>
      <w:bookmarkEnd w:id="8"/>
      <w:r>
        <w:rPr>
          <w:rFonts w:ascii="Times New Roman" w:eastAsia="Times New Roman" w:hAnsi="Times New Roman" w:cs="Times New Roman"/>
          <w:sz w:val="24"/>
          <w:szCs w:val="24"/>
        </w:rPr>
        <w:t>Equitable programs</w:t>
      </w:r>
    </w:p>
    <w:p w14:paraId="0000003E" w14:textId="010D52CC"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Below are activities that </w:t>
      </w:r>
      <w:r w:rsidR="000A216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need to remember to promote and encourage group involvement and leadership during initiative planning (</w:t>
      </w:r>
      <w:proofErr w:type="spellStart"/>
      <w:r>
        <w:rPr>
          <w:rFonts w:ascii="Times New Roman" w:eastAsia="Times New Roman" w:hAnsi="Times New Roman" w:cs="Times New Roman"/>
          <w:sz w:val="24"/>
          <w:szCs w:val="24"/>
        </w:rPr>
        <w:t>Sherif</w:t>
      </w:r>
      <w:proofErr w:type="spellEnd"/>
      <w:r>
        <w:rPr>
          <w:rFonts w:ascii="Times New Roman" w:eastAsia="Times New Roman" w:hAnsi="Times New Roman" w:cs="Times New Roman"/>
          <w:sz w:val="24"/>
          <w:szCs w:val="24"/>
        </w:rPr>
        <w:t>, 2019).</w:t>
      </w:r>
    </w:p>
    <w:p w14:paraId="0000003F" w14:textId="77777777" w:rsidR="00B438EF" w:rsidRDefault="008073F8">
      <w:pPr>
        <w:pStyle w:val="Heading3"/>
        <w:spacing w:line="360" w:lineRule="auto"/>
        <w:jc w:val="both"/>
        <w:rPr>
          <w:rFonts w:ascii="Times New Roman" w:eastAsia="Times New Roman" w:hAnsi="Times New Roman" w:cs="Times New Roman"/>
        </w:rPr>
      </w:pPr>
      <w:bookmarkStart w:id="9" w:name="_2s8eyo1" w:colFirst="0" w:colLast="0"/>
      <w:bookmarkEnd w:id="9"/>
      <w:r>
        <w:rPr>
          <w:rFonts w:ascii="Times New Roman" w:eastAsia="Times New Roman" w:hAnsi="Times New Roman" w:cs="Times New Roman"/>
        </w:rPr>
        <w:t>Technical support and planning</w:t>
      </w:r>
    </w:p>
    <w:p w14:paraId="00000040" w14:textId="74E70BDB"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CCI initiatives, which can support communities in building capacity, </w:t>
      </w:r>
      <w:proofErr w:type="gramStart"/>
      <w:r>
        <w:rPr>
          <w:rFonts w:ascii="Times New Roman" w:eastAsia="Times New Roman" w:hAnsi="Times New Roman" w:cs="Times New Roman"/>
          <w:sz w:val="24"/>
          <w:szCs w:val="24"/>
        </w:rPr>
        <w:t>actually planning</w:t>
      </w:r>
      <w:proofErr w:type="gramEnd"/>
      <w:r>
        <w:rPr>
          <w:rFonts w:ascii="Times New Roman" w:eastAsia="Times New Roman" w:hAnsi="Times New Roman" w:cs="Times New Roman"/>
          <w:sz w:val="24"/>
          <w:szCs w:val="24"/>
        </w:rPr>
        <w:t xml:space="preserve"> initiative and applying proposals, can use their finances for outreach, training and technical aid. Many </w:t>
      </w:r>
      <w:r w:rsidR="000A2161">
        <w:rPr>
          <w:rFonts w:ascii="Times New Roman" w:eastAsia="Times New Roman" w:hAnsi="Times New Roman" w:cs="Times New Roman"/>
          <w:sz w:val="24"/>
          <w:szCs w:val="24"/>
        </w:rPr>
        <w:t>neighborhoods</w:t>
      </w:r>
      <w:r>
        <w:rPr>
          <w:rFonts w:ascii="Times New Roman" w:eastAsia="Times New Roman" w:hAnsi="Times New Roman" w:cs="Times New Roman"/>
          <w:sz w:val="24"/>
          <w:szCs w:val="24"/>
        </w:rPr>
        <w:t xml:space="preserve"> do not have equivalent financing ready-to-go initiatives. The creation of services that provide technical support, a pre-proposal and development aid would help candidates who require more time and resources in formulating and executing competitive proposals greater access to information (</w:t>
      </w:r>
      <w:proofErr w:type="spellStart"/>
      <w:r>
        <w:rPr>
          <w:rFonts w:ascii="Times New Roman" w:eastAsia="Times New Roman" w:hAnsi="Times New Roman" w:cs="Times New Roman"/>
          <w:sz w:val="24"/>
          <w:szCs w:val="24"/>
        </w:rPr>
        <w:t>Isbah</w:t>
      </w:r>
      <w:proofErr w:type="spellEnd"/>
      <w:r>
        <w:rPr>
          <w:rFonts w:ascii="Times New Roman" w:eastAsia="Times New Roman" w:hAnsi="Times New Roman" w:cs="Times New Roman"/>
          <w:sz w:val="24"/>
          <w:szCs w:val="24"/>
        </w:rPr>
        <w:t>, 2019).</w:t>
      </w:r>
    </w:p>
    <w:p w14:paraId="00000041" w14:textId="39F9E1CA" w:rsidR="00B438EF" w:rsidRDefault="008073F8">
      <w:pPr>
        <w:pStyle w:val="Heading3"/>
        <w:spacing w:line="360" w:lineRule="auto"/>
        <w:jc w:val="both"/>
        <w:rPr>
          <w:rFonts w:ascii="Times New Roman" w:eastAsia="Times New Roman" w:hAnsi="Times New Roman" w:cs="Times New Roman"/>
        </w:rPr>
      </w:pPr>
      <w:bookmarkStart w:id="10" w:name="_17dp8vu" w:colFirst="0" w:colLast="0"/>
      <w:bookmarkEnd w:id="10"/>
      <w:r>
        <w:rPr>
          <w:rFonts w:ascii="Times New Roman" w:eastAsia="Times New Roman" w:hAnsi="Times New Roman" w:cs="Times New Roman"/>
        </w:rPr>
        <w:t xml:space="preserve">Equity </w:t>
      </w:r>
      <w:r w:rsidR="000A2161">
        <w:rPr>
          <w:rFonts w:ascii="Times New Roman" w:eastAsia="Times New Roman" w:hAnsi="Times New Roman" w:cs="Times New Roman"/>
        </w:rPr>
        <w:t>centered</w:t>
      </w:r>
      <w:r>
        <w:rPr>
          <w:rFonts w:ascii="Times New Roman" w:eastAsia="Times New Roman" w:hAnsi="Times New Roman" w:cs="Times New Roman"/>
        </w:rPr>
        <w:t xml:space="preserve"> funds</w:t>
      </w:r>
    </w:p>
    <w:p w14:paraId="00000042" w14:textId="2A346653"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companies like their programs, but they prefer to finance major programs with planning phases </w:t>
      </w:r>
      <w:r w:rsidR="000A2161">
        <w:rPr>
          <w:rFonts w:ascii="Times New Roman" w:eastAsia="Times New Roman" w:hAnsi="Times New Roman" w:cs="Times New Roman"/>
          <w:sz w:val="24"/>
          <w:szCs w:val="24"/>
        </w:rPr>
        <w:t>finalized</w:t>
      </w:r>
      <w:r>
        <w:rPr>
          <w:rFonts w:ascii="Times New Roman" w:eastAsia="Times New Roman" w:hAnsi="Times New Roman" w:cs="Times New Roman"/>
          <w:sz w:val="24"/>
          <w:szCs w:val="24"/>
        </w:rPr>
        <w:t xml:space="preserve"> and matched funds secured, which would leave </w:t>
      </w:r>
      <w:r w:rsidR="000A2161">
        <w:rPr>
          <w:rFonts w:ascii="Times New Roman" w:eastAsia="Times New Roman" w:hAnsi="Times New Roman" w:cs="Times New Roman"/>
          <w:sz w:val="24"/>
          <w:szCs w:val="24"/>
        </w:rPr>
        <w:t>neighborhoods</w:t>
      </w:r>
      <w:r>
        <w:rPr>
          <w:rFonts w:ascii="Times New Roman" w:eastAsia="Times New Roman" w:hAnsi="Times New Roman" w:cs="Times New Roman"/>
          <w:sz w:val="24"/>
          <w:szCs w:val="24"/>
        </w:rPr>
        <w:t xml:space="preserve"> more in need of money. When possible, </w:t>
      </w:r>
      <w:r w:rsidR="000A216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should resolve the needs of equity by developing financing frameworks for prototype and pilot projects, micro, or community-led programs and/or special segments such as rural areas (</w:t>
      </w:r>
      <w:proofErr w:type="spellStart"/>
      <w:r>
        <w:rPr>
          <w:rFonts w:ascii="Times New Roman" w:eastAsia="Times New Roman" w:hAnsi="Times New Roman" w:cs="Times New Roman"/>
          <w:sz w:val="24"/>
          <w:szCs w:val="24"/>
        </w:rPr>
        <w:t>Isbah</w:t>
      </w:r>
      <w:proofErr w:type="spellEnd"/>
      <w:r>
        <w:rPr>
          <w:rFonts w:ascii="Times New Roman" w:eastAsia="Times New Roman" w:hAnsi="Times New Roman" w:cs="Times New Roman"/>
          <w:sz w:val="24"/>
          <w:szCs w:val="24"/>
        </w:rPr>
        <w:t>, 2019).</w:t>
      </w:r>
    </w:p>
    <w:p w14:paraId="00000043" w14:textId="77777777" w:rsidR="00B438EF" w:rsidRDefault="008073F8">
      <w:pPr>
        <w:pStyle w:val="Heading3"/>
        <w:spacing w:line="360" w:lineRule="auto"/>
        <w:jc w:val="both"/>
        <w:rPr>
          <w:rFonts w:ascii="Times New Roman" w:eastAsia="Times New Roman" w:hAnsi="Times New Roman" w:cs="Times New Roman"/>
        </w:rPr>
      </w:pPr>
      <w:bookmarkStart w:id="11" w:name="_3rdcrjn" w:colFirst="0" w:colLast="0"/>
      <w:bookmarkEnd w:id="11"/>
      <w:r>
        <w:rPr>
          <w:rFonts w:ascii="Times New Roman" w:eastAsia="Times New Roman" w:hAnsi="Times New Roman" w:cs="Times New Roman"/>
        </w:rPr>
        <w:t>Partnering for smaller grants</w:t>
      </w:r>
    </w:p>
    <w:p w14:paraId="00000044"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state departments, local concentration and administration of several small grants may pose a challenge. One framework for simpler, more community oriented CCI ventures is to collaborate with a third-party partner to provide small grants for nonprofits across the nation. This approach helps the federal department to handle a contract, while the partner company is nearer, one-on-one </w:t>
      </w:r>
      <w:r>
        <w:rPr>
          <w:rFonts w:ascii="Times New Roman" w:eastAsia="Times New Roman" w:hAnsi="Times New Roman" w:cs="Times New Roman"/>
          <w:sz w:val="24"/>
          <w:szCs w:val="24"/>
        </w:rPr>
        <w:lastRenderedPageBreak/>
        <w:t>to help smaller grantees. This will also develop smaller companies' skills and generate local employment in grant management (Lefebvre, et al., 2020).</w:t>
      </w:r>
    </w:p>
    <w:p w14:paraId="00000045" w14:textId="77777777" w:rsidR="00B438EF" w:rsidRDefault="008073F8">
      <w:pPr>
        <w:pStyle w:val="Heading3"/>
        <w:spacing w:line="360" w:lineRule="auto"/>
        <w:jc w:val="both"/>
        <w:rPr>
          <w:rFonts w:ascii="Times New Roman" w:eastAsia="Times New Roman" w:hAnsi="Times New Roman" w:cs="Times New Roman"/>
        </w:rPr>
      </w:pPr>
      <w:bookmarkStart w:id="12" w:name="_26in1rg" w:colFirst="0" w:colLast="0"/>
      <w:bookmarkEnd w:id="12"/>
      <w:r>
        <w:rPr>
          <w:rFonts w:ascii="Times New Roman" w:eastAsia="Times New Roman" w:hAnsi="Times New Roman" w:cs="Times New Roman"/>
        </w:rPr>
        <w:t>Flexibility in opportunities to disburse funding</w:t>
      </w:r>
    </w:p>
    <w:p w14:paraId="00000046" w14:textId="1F518C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CCI candidates may have lower budgets or cannot bear the costs of beginning a new campaign. The financial pressure on resource-restricted </w:t>
      </w:r>
      <w:r w:rsidR="000A216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can be alleviated by techniques such as the distribution of a proportion of the funding at the outset of an initiative and the quicker or greater number of periodic invoices and payments collection, and the promotion of institutional and/or fiscal sponsoring links between bigger and minor entities or local authorities. Every governing body has its own standards for tax and transparency, which may not be applicable to all the CCI systems (</w:t>
      </w:r>
      <w:proofErr w:type="spellStart"/>
      <w:r>
        <w:rPr>
          <w:rFonts w:ascii="Times New Roman" w:eastAsia="Times New Roman" w:hAnsi="Times New Roman" w:cs="Times New Roman"/>
          <w:sz w:val="24"/>
          <w:szCs w:val="24"/>
        </w:rPr>
        <w:t>Iamandi</w:t>
      </w:r>
      <w:proofErr w:type="spellEnd"/>
      <w:r>
        <w:rPr>
          <w:rFonts w:ascii="Times New Roman" w:eastAsia="Times New Roman" w:hAnsi="Times New Roman" w:cs="Times New Roman"/>
          <w:sz w:val="24"/>
          <w:szCs w:val="24"/>
        </w:rPr>
        <w:t xml:space="preserve"> &amp; Munteanu, 2014).</w:t>
      </w:r>
    </w:p>
    <w:p w14:paraId="00000047" w14:textId="77777777" w:rsidR="00B438EF" w:rsidRDefault="008073F8">
      <w:pPr>
        <w:pStyle w:val="Heading3"/>
        <w:spacing w:line="360" w:lineRule="auto"/>
        <w:jc w:val="both"/>
        <w:rPr>
          <w:rFonts w:ascii="Times New Roman" w:eastAsia="Times New Roman" w:hAnsi="Times New Roman" w:cs="Times New Roman"/>
        </w:rPr>
      </w:pPr>
      <w:bookmarkStart w:id="13" w:name="_lnxbz9" w:colFirst="0" w:colLast="0"/>
      <w:bookmarkEnd w:id="13"/>
      <w:r>
        <w:rPr>
          <w:rFonts w:ascii="Times New Roman" w:eastAsia="Times New Roman" w:hAnsi="Times New Roman" w:cs="Times New Roman"/>
        </w:rPr>
        <w:t>Youth involvement</w:t>
      </w:r>
    </w:p>
    <w:p w14:paraId="00000048" w14:textId="41DFCB3B"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participation of local youth in the creation and execution of CCI projects could improve </w:t>
      </w:r>
      <w:r w:rsidR="000A2161">
        <w:rPr>
          <w:rFonts w:ascii="Times New Roman" w:eastAsia="Times New Roman" w:hAnsi="Times New Roman" w:cs="Times New Roman"/>
          <w:sz w:val="24"/>
          <w:szCs w:val="24"/>
        </w:rPr>
        <w:t>localized</w:t>
      </w:r>
      <w:r>
        <w:rPr>
          <w:rFonts w:ascii="Times New Roman" w:eastAsia="Times New Roman" w:hAnsi="Times New Roman" w:cs="Times New Roman"/>
          <w:sz w:val="24"/>
          <w:szCs w:val="24"/>
        </w:rPr>
        <w:t xml:space="preserve"> economic advantages and raise the opportunity for various CCI projects. ICC considers whether the curriculum or initiative is willing to collaborate with training opportunities and business schools to better grow workers (Gibbons, et al., 2020).</w:t>
      </w:r>
    </w:p>
    <w:p w14:paraId="00000049"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14" w:name="_35nkun2" w:colFirst="0" w:colLast="0"/>
      <w:bookmarkEnd w:id="14"/>
      <w:r>
        <w:rPr>
          <w:rFonts w:ascii="Times New Roman" w:eastAsia="Times New Roman" w:hAnsi="Times New Roman" w:cs="Times New Roman"/>
          <w:sz w:val="24"/>
          <w:szCs w:val="24"/>
        </w:rPr>
        <w:t>Decision making</w:t>
      </w:r>
    </w:p>
    <w:p w14:paraId="0000004A"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CCI initiatives and services provide the potential to connect with local partners, from exchanging knowledge to making decisions. The public ought to consider how their engagement will impact the initiative or program (</w:t>
      </w:r>
      <w:proofErr w:type="spellStart"/>
      <w:r>
        <w:rPr>
          <w:rFonts w:ascii="Times New Roman" w:eastAsia="Times New Roman" w:hAnsi="Times New Roman" w:cs="Times New Roman"/>
          <w:sz w:val="24"/>
          <w:szCs w:val="24"/>
        </w:rPr>
        <w:t>Aldersey</w:t>
      </w:r>
      <w:proofErr w:type="spellEnd"/>
      <w:r>
        <w:rPr>
          <w:rFonts w:ascii="Times New Roman" w:eastAsia="Times New Roman" w:hAnsi="Times New Roman" w:cs="Times New Roman"/>
          <w:sz w:val="24"/>
          <w:szCs w:val="24"/>
        </w:rPr>
        <w:t>, et al., 2019). Below is an easy way to learn about the range of group interest in the creation of CCI projects:</w:t>
      </w:r>
    </w:p>
    <w:p w14:paraId="0000004B" w14:textId="77777777" w:rsidR="00B438EF" w:rsidRDefault="008073F8">
      <w:pPr>
        <w:pStyle w:val="Heading3"/>
        <w:spacing w:line="360" w:lineRule="auto"/>
        <w:jc w:val="both"/>
        <w:rPr>
          <w:rFonts w:ascii="Times New Roman" w:eastAsia="Times New Roman" w:hAnsi="Times New Roman" w:cs="Times New Roman"/>
        </w:rPr>
      </w:pPr>
      <w:bookmarkStart w:id="15" w:name="_1ksv4uv" w:colFirst="0" w:colLast="0"/>
      <w:bookmarkEnd w:id="15"/>
      <w:r>
        <w:rPr>
          <w:rFonts w:ascii="Times New Roman" w:eastAsia="Times New Roman" w:hAnsi="Times New Roman" w:cs="Times New Roman"/>
        </w:rPr>
        <w:t>Leadership</w:t>
      </w:r>
    </w:p>
    <w:p w14:paraId="0000004C"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group stakeholders, the management framework for decision-making and supervision is formed as a leadership team (Happel, et al., 2019). </w:t>
      </w:r>
    </w:p>
    <w:p w14:paraId="0000004D" w14:textId="77777777" w:rsidR="00B438EF" w:rsidRDefault="008073F8">
      <w:pPr>
        <w:pStyle w:val="Heading3"/>
        <w:spacing w:line="360" w:lineRule="auto"/>
        <w:jc w:val="both"/>
        <w:rPr>
          <w:rFonts w:ascii="Times New Roman" w:eastAsia="Times New Roman" w:hAnsi="Times New Roman" w:cs="Times New Roman"/>
        </w:rPr>
      </w:pPr>
      <w:bookmarkStart w:id="16" w:name="_44sinio" w:colFirst="0" w:colLast="0"/>
      <w:bookmarkEnd w:id="16"/>
      <w:r>
        <w:rPr>
          <w:rFonts w:ascii="Times New Roman" w:eastAsia="Times New Roman" w:hAnsi="Times New Roman" w:cs="Times New Roman"/>
        </w:rPr>
        <w:t>Collaboration</w:t>
      </w:r>
    </w:p>
    <w:p w14:paraId="0000004E"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Informs process and project architecture, elements, and solutions for partnered entities (Dwyer, 2020)</w:t>
      </w:r>
    </w:p>
    <w:p w14:paraId="0000004F" w14:textId="77777777" w:rsidR="00B438EF" w:rsidRDefault="008073F8">
      <w:pPr>
        <w:pStyle w:val="Heading3"/>
        <w:spacing w:line="360" w:lineRule="auto"/>
        <w:jc w:val="both"/>
        <w:rPr>
          <w:rFonts w:ascii="Times New Roman" w:eastAsia="Times New Roman" w:hAnsi="Times New Roman" w:cs="Times New Roman"/>
        </w:rPr>
      </w:pPr>
      <w:bookmarkStart w:id="17" w:name="_2jxsxqh" w:colFirst="0" w:colLast="0"/>
      <w:bookmarkEnd w:id="17"/>
      <w:r>
        <w:rPr>
          <w:rFonts w:ascii="Times New Roman" w:eastAsia="Times New Roman" w:hAnsi="Times New Roman" w:cs="Times New Roman"/>
        </w:rPr>
        <w:t>Consultation</w:t>
      </w:r>
    </w:p>
    <w:p w14:paraId="00000050"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Reassure, advise and gain input on the application and process structure in early phases as well as system architecture, elements and solutions (</w:t>
      </w:r>
      <w:proofErr w:type="spellStart"/>
      <w:r>
        <w:rPr>
          <w:rFonts w:ascii="Times New Roman" w:eastAsia="Times New Roman" w:hAnsi="Times New Roman" w:cs="Times New Roman"/>
          <w:sz w:val="24"/>
          <w:szCs w:val="24"/>
        </w:rPr>
        <w:t>Johanissen</w:t>
      </w:r>
      <w:proofErr w:type="spellEnd"/>
      <w:r>
        <w:rPr>
          <w:rFonts w:ascii="Times New Roman" w:eastAsia="Times New Roman" w:hAnsi="Times New Roman" w:cs="Times New Roman"/>
          <w:sz w:val="24"/>
          <w:szCs w:val="24"/>
        </w:rPr>
        <w:t>, et al., 2019).</w:t>
      </w:r>
    </w:p>
    <w:p w14:paraId="00000051"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18" w:name="_z337ya" w:colFirst="0" w:colLast="0"/>
      <w:bookmarkEnd w:id="18"/>
      <w:r>
        <w:rPr>
          <w:rFonts w:ascii="Times New Roman" w:eastAsia="Times New Roman" w:hAnsi="Times New Roman" w:cs="Times New Roman"/>
          <w:sz w:val="24"/>
          <w:szCs w:val="24"/>
        </w:rPr>
        <w:lastRenderedPageBreak/>
        <w:t>Community partnerships</w:t>
      </w:r>
    </w:p>
    <w:p w14:paraId="00000052"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capacities and plans are necessary to plan and execute CCI projects. Here are several measures to train cities to plan and execute a CCI proposal with State agencies and future Community stakeholders.</w:t>
      </w:r>
    </w:p>
    <w:p w14:paraId="00000053" w14:textId="77777777" w:rsidR="00B438EF" w:rsidRDefault="008073F8">
      <w:pPr>
        <w:pStyle w:val="Heading3"/>
        <w:spacing w:line="360" w:lineRule="auto"/>
        <w:jc w:val="both"/>
        <w:rPr>
          <w:rFonts w:ascii="Times New Roman" w:eastAsia="Times New Roman" w:hAnsi="Times New Roman" w:cs="Times New Roman"/>
        </w:rPr>
      </w:pPr>
      <w:bookmarkStart w:id="19" w:name="_3j2qqm3" w:colFirst="0" w:colLast="0"/>
      <w:bookmarkEnd w:id="19"/>
      <w:r>
        <w:rPr>
          <w:rFonts w:ascii="Times New Roman" w:eastAsia="Times New Roman" w:hAnsi="Times New Roman" w:cs="Times New Roman"/>
        </w:rPr>
        <w:t>Community engagement</w:t>
      </w:r>
    </w:p>
    <w:p w14:paraId="00000054"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expanding access to services, CCI activities will encourage community guidance by implementing several of the guidelines and funding social inclusion in promoting sustainable project participation in the venture (Ellwood, et al., 2015).</w:t>
      </w:r>
    </w:p>
    <w:p w14:paraId="00000055" w14:textId="77777777" w:rsidR="00B438EF" w:rsidRDefault="008073F8">
      <w:pPr>
        <w:pStyle w:val="Heading3"/>
        <w:spacing w:line="360" w:lineRule="auto"/>
        <w:jc w:val="both"/>
        <w:rPr>
          <w:rFonts w:ascii="Times New Roman" w:eastAsia="Times New Roman" w:hAnsi="Times New Roman" w:cs="Times New Roman"/>
        </w:rPr>
      </w:pPr>
      <w:bookmarkStart w:id="20" w:name="_1y810tw" w:colFirst="0" w:colLast="0"/>
      <w:bookmarkEnd w:id="20"/>
      <w:r>
        <w:rPr>
          <w:rFonts w:ascii="Times New Roman" w:eastAsia="Times New Roman" w:hAnsi="Times New Roman" w:cs="Times New Roman"/>
        </w:rPr>
        <w:t>Diversity in partnerships</w:t>
      </w:r>
    </w:p>
    <w:p w14:paraId="00000056" w14:textId="1583B879"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CCI initiatives and services may be addressed through the </w:t>
      </w:r>
      <w:r w:rsidR="000A2161">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of outreach funding to well-connected </w:t>
      </w:r>
      <w:r w:rsidR="000A2161">
        <w:rPr>
          <w:rFonts w:ascii="Times New Roman" w:eastAsia="Times New Roman" w:hAnsi="Times New Roman" w:cs="Times New Roman"/>
          <w:sz w:val="24"/>
          <w:szCs w:val="24"/>
        </w:rPr>
        <w:t>neighborhood</w:t>
      </w:r>
      <w:r>
        <w:rPr>
          <w:rFonts w:ascii="Times New Roman" w:eastAsia="Times New Roman" w:hAnsi="Times New Roman" w:cs="Times New Roman"/>
          <w:sz w:val="24"/>
          <w:szCs w:val="24"/>
        </w:rPr>
        <w:t xml:space="preserve"> associations or other civic stakeholders. Partnerships with local universities, towns, and state universities may generate additional revenue for young viewers (Bishop, et al., 2020).</w:t>
      </w:r>
    </w:p>
    <w:p w14:paraId="00000057" w14:textId="77777777" w:rsidR="00B438EF" w:rsidRDefault="008073F8">
      <w:pPr>
        <w:pStyle w:val="Heading3"/>
        <w:spacing w:line="360" w:lineRule="auto"/>
        <w:jc w:val="both"/>
        <w:rPr>
          <w:rFonts w:ascii="Times New Roman" w:eastAsia="Times New Roman" w:hAnsi="Times New Roman" w:cs="Times New Roman"/>
        </w:rPr>
      </w:pPr>
      <w:bookmarkStart w:id="21" w:name="_4i7ojhp" w:colFirst="0" w:colLast="0"/>
      <w:bookmarkEnd w:id="21"/>
      <w:r>
        <w:rPr>
          <w:rFonts w:ascii="Times New Roman" w:eastAsia="Times New Roman" w:hAnsi="Times New Roman" w:cs="Times New Roman"/>
        </w:rPr>
        <w:t>Training frameworks</w:t>
      </w:r>
    </w:p>
    <w:p w14:paraId="00000058"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locals to be representatives of the services will help increase engagement, specifically for residential and community policies and activities for CCI (Priest, et al., 2020).</w:t>
      </w:r>
    </w:p>
    <w:p w14:paraId="00000059" w14:textId="77777777" w:rsidR="00B438EF" w:rsidRDefault="008073F8">
      <w:pPr>
        <w:pStyle w:val="Heading3"/>
        <w:spacing w:line="360" w:lineRule="auto"/>
        <w:jc w:val="both"/>
        <w:rPr>
          <w:rFonts w:ascii="Times New Roman" w:eastAsia="Times New Roman" w:hAnsi="Times New Roman" w:cs="Times New Roman"/>
        </w:rPr>
      </w:pPr>
      <w:bookmarkStart w:id="22" w:name="_2xcytpi" w:colFirst="0" w:colLast="0"/>
      <w:bookmarkEnd w:id="22"/>
      <w:r>
        <w:rPr>
          <w:rFonts w:ascii="Times New Roman" w:eastAsia="Times New Roman" w:hAnsi="Times New Roman" w:cs="Times New Roman"/>
        </w:rPr>
        <w:t>Technical support</w:t>
      </w:r>
    </w:p>
    <w:p w14:paraId="0000005A"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CCI initiatives, representing and executing local community direction is critical. External technological experience can help to improve and successful a group initiative. Services with additional expertise will help and promise a more efficient and comprehensive local government operation. In certain cases, state department employees could aid by involvement with city officials to create an initiative. This support could be offered by State agencies (</w:t>
      </w:r>
      <w:proofErr w:type="spellStart"/>
      <w:r>
        <w:rPr>
          <w:rFonts w:ascii="Times New Roman" w:eastAsia="Times New Roman" w:hAnsi="Times New Roman" w:cs="Times New Roman"/>
          <w:sz w:val="24"/>
          <w:szCs w:val="24"/>
        </w:rPr>
        <w:t>Hulth</w:t>
      </w:r>
      <w:proofErr w:type="spellEnd"/>
      <w:r>
        <w:rPr>
          <w:rFonts w:ascii="Times New Roman" w:eastAsia="Times New Roman" w:hAnsi="Times New Roman" w:cs="Times New Roman"/>
          <w:sz w:val="24"/>
          <w:szCs w:val="24"/>
        </w:rPr>
        <w:t>, et al., 2019).</w:t>
      </w:r>
    </w:p>
    <w:p w14:paraId="0000005B" w14:textId="77777777" w:rsidR="00B438EF" w:rsidRDefault="008073F8">
      <w:pPr>
        <w:pStyle w:val="Heading3"/>
        <w:spacing w:line="360" w:lineRule="auto"/>
        <w:jc w:val="both"/>
        <w:rPr>
          <w:rFonts w:ascii="Times New Roman" w:eastAsia="Times New Roman" w:hAnsi="Times New Roman" w:cs="Times New Roman"/>
        </w:rPr>
      </w:pPr>
      <w:bookmarkStart w:id="23" w:name="_1ci93xb" w:colFirst="0" w:colLast="0"/>
      <w:bookmarkEnd w:id="23"/>
      <w:r>
        <w:rPr>
          <w:rFonts w:ascii="Times New Roman" w:eastAsia="Times New Roman" w:hAnsi="Times New Roman" w:cs="Times New Roman"/>
        </w:rPr>
        <w:t>Local champions</w:t>
      </w:r>
    </w:p>
    <w:p w14:paraId="0000005C"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immensely helpful to have a civic advocate — a valued leader in the region. This promoter will help to collect external support from various agencies, focus the research on, coordinate resources and manpower to promote construction phase and execution and enhance project development and application. An individual with a certain level of control on the region and decision-making authority (Usher, et al., 2018).</w:t>
      </w:r>
    </w:p>
    <w:p w14:paraId="0000005D"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24" w:name="_3whwml4" w:colFirst="0" w:colLast="0"/>
      <w:bookmarkEnd w:id="24"/>
      <w:r>
        <w:rPr>
          <w:rFonts w:ascii="Times New Roman" w:eastAsia="Times New Roman" w:hAnsi="Times New Roman" w:cs="Times New Roman"/>
          <w:sz w:val="24"/>
          <w:szCs w:val="24"/>
        </w:rPr>
        <w:lastRenderedPageBreak/>
        <w:t>Communication</w:t>
      </w:r>
    </w:p>
    <w:p w14:paraId="0000005E"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preservation of communications, specifically during guidance updates, modifications, community involvement, and project creation, offers clear ways of contact between Government entities and key parties enhance involvement (</w:t>
      </w:r>
      <w:proofErr w:type="spellStart"/>
      <w:r>
        <w:rPr>
          <w:rFonts w:ascii="Times New Roman" w:eastAsia="Times New Roman" w:hAnsi="Times New Roman" w:cs="Times New Roman"/>
          <w:sz w:val="24"/>
          <w:szCs w:val="24"/>
        </w:rPr>
        <w:t>Mcowen</w:t>
      </w:r>
      <w:proofErr w:type="spellEnd"/>
      <w:r>
        <w:rPr>
          <w:rFonts w:ascii="Times New Roman" w:eastAsia="Times New Roman" w:hAnsi="Times New Roman" w:cs="Times New Roman"/>
          <w:sz w:val="24"/>
          <w:szCs w:val="24"/>
        </w:rPr>
        <w:t>, et al., 2016).</w:t>
      </w:r>
    </w:p>
    <w:p w14:paraId="0000005F" w14:textId="77777777" w:rsidR="00B438EF" w:rsidRDefault="008073F8">
      <w:pPr>
        <w:pStyle w:val="Heading3"/>
        <w:spacing w:line="360" w:lineRule="auto"/>
        <w:jc w:val="both"/>
        <w:rPr>
          <w:rFonts w:ascii="Times New Roman" w:eastAsia="Times New Roman" w:hAnsi="Times New Roman" w:cs="Times New Roman"/>
        </w:rPr>
      </w:pPr>
      <w:bookmarkStart w:id="25" w:name="_2bn6wsx" w:colFirst="0" w:colLast="0"/>
      <w:bookmarkEnd w:id="25"/>
      <w:r>
        <w:rPr>
          <w:rFonts w:ascii="Times New Roman" w:eastAsia="Times New Roman" w:hAnsi="Times New Roman" w:cs="Times New Roman"/>
        </w:rPr>
        <w:t>Transparency</w:t>
      </w:r>
    </w:p>
    <w:p w14:paraId="00000060" w14:textId="751842A6"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Direct one-on-one interactions between a government department and core constituents and civic representatives can be a perfect venue for </w:t>
      </w:r>
      <w:r w:rsidR="000A2161">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contact and partnerships, as well as extensive public discussion forums and outreach programs (Machado, et al., 2018).</w:t>
      </w:r>
    </w:p>
    <w:p w14:paraId="00000061" w14:textId="77777777" w:rsidR="00B438EF" w:rsidRDefault="008073F8">
      <w:pPr>
        <w:pStyle w:val="Heading3"/>
        <w:spacing w:line="360" w:lineRule="auto"/>
        <w:jc w:val="both"/>
        <w:rPr>
          <w:rFonts w:ascii="Times New Roman" w:eastAsia="Times New Roman" w:hAnsi="Times New Roman" w:cs="Times New Roman"/>
        </w:rPr>
      </w:pPr>
      <w:bookmarkStart w:id="26" w:name="_qsh70q" w:colFirst="0" w:colLast="0"/>
      <w:bookmarkEnd w:id="26"/>
      <w:r>
        <w:rPr>
          <w:rFonts w:ascii="Times New Roman" w:eastAsia="Times New Roman" w:hAnsi="Times New Roman" w:cs="Times New Roman"/>
        </w:rPr>
        <w:t>Knowledge based initiatives</w:t>
      </w:r>
    </w:p>
    <w:p w14:paraId="00000062"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necessary to relay information to endorsement deals as quickly as possible not only about the specific initiative but also about other relevant programs. The public hopes that the agency's employees will have essential information about services involving them. They must invite the employees of other entities to engage in collaborative activities to share information on similar services and financial plans (</w:t>
      </w:r>
      <w:proofErr w:type="spellStart"/>
      <w:r>
        <w:rPr>
          <w:rFonts w:ascii="Times New Roman" w:eastAsia="Times New Roman" w:hAnsi="Times New Roman" w:cs="Times New Roman"/>
          <w:sz w:val="24"/>
          <w:szCs w:val="24"/>
        </w:rPr>
        <w:t>Zeledon</w:t>
      </w:r>
      <w:proofErr w:type="spellEnd"/>
      <w:r>
        <w:rPr>
          <w:rFonts w:ascii="Times New Roman" w:eastAsia="Times New Roman" w:hAnsi="Times New Roman" w:cs="Times New Roman"/>
          <w:sz w:val="24"/>
          <w:szCs w:val="24"/>
        </w:rPr>
        <w:t>, et al., 2020).</w:t>
      </w:r>
    </w:p>
    <w:p w14:paraId="00000063" w14:textId="77777777" w:rsidR="00B438EF" w:rsidRDefault="008073F8">
      <w:pPr>
        <w:pStyle w:val="Heading3"/>
        <w:spacing w:line="360" w:lineRule="auto"/>
        <w:jc w:val="both"/>
        <w:rPr>
          <w:rFonts w:ascii="Times New Roman" w:eastAsia="Times New Roman" w:hAnsi="Times New Roman" w:cs="Times New Roman"/>
        </w:rPr>
      </w:pPr>
      <w:bookmarkStart w:id="27" w:name="_3as4poj" w:colFirst="0" w:colLast="0"/>
      <w:bookmarkEnd w:id="27"/>
      <w:r>
        <w:rPr>
          <w:rFonts w:ascii="Times New Roman" w:eastAsia="Times New Roman" w:hAnsi="Times New Roman" w:cs="Times New Roman"/>
        </w:rPr>
        <w:t>Social media</w:t>
      </w:r>
    </w:p>
    <w:p w14:paraId="00000064"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networking remains a valuable platform for information sharing. To promote widespread engagement across the social media, CCI may exchange knowledge about financing options, conferences and project specifics. They may find a range of media outlets, with numerous platforms targeting various markets (Xu, 2019).</w:t>
      </w:r>
    </w:p>
    <w:p w14:paraId="00000065" w14:textId="77777777" w:rsidR="00B438EF" w:rsidRDefault="008073F8">
      <w:pPr>
        <w:pStyle w:val="Heading2"/>
        <w:spacing w:line="360" w:lineRule="auto"/>
        <w:jc w:val="both"/>
        <w:rPr>
          <w:rFonts w:ascii="Times New Roman" w:eastAsia="Times New Roman" w:hAnsi="Times New Roman" w:cs="Times New Roman"/>
          <w:sz w:val="24"/>
          <w:szCs w:val="24"/>
        </w:rPr>
      </w:pPr>
      <w:bookmarkStart w:id="28" w:name="_1pxezwc" w:colFirst="0" w:colLast="0"/>
      <w:bookmarkEnd w:id="28"/>
      <w:r>
        <w:rPr>
          <w:rFonts w:ascii="Times New Roman" w:eastAsia="Times New Roman" w:hAnsi="Times New Roman" w:cs="Times New Roman"/>
          <w:sz w:val="24"/>
          <w:szCs w:val="24"/>
        </w:rPr>
        <w:t>Community meetings</w:t>
      </w:r>
    </w:p>
    <w:p w14:paraId="00000066"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trying to include groups, certain key best practices will lead to the effectiveness of a group gathering (Sharrock &amp; Jackson, 2017).</w:t>
      </w:r>
    </w:p>
    <w:p w14:paraId="00000067" w14:textId="77777777" w:rsidR="00B438EF" w:rsidRDefault="008073F8">
      <w:pPr>
        <w:pStyle w:val="Heading3"/>
        <w:spacing w:line="360" w:lineRule="auto"/>
        <w:jc w:val="both"/>
        <w:rPr>
          <w:rFonts w:ascii="Times New Roman" w:eastAsia="Times New Roman" w:hAnsi="Times New Roman" w:cs="Times New Roman"/>
        </w:rPr>
      </w:pPr>
      <w:bookmarkStart w:id="29" w:name="_49x2ik5" w:colFirst="0" w:colLast="0"/>
      <w:bookmarkEnd w:id="29"/>
      <w:r>
        <w:rPr>
          <w:rFonts w:ascii="Times New Roman" w:eastAsia="Times New Roman" w:hAnsi="Times New Roman" w:cs="Times New Roman"/>
        </w:rPr>
        <w:t>Translation</w:t>
      </w:r>
    </w:p>
    <w:p w14:paraId="00000068"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Components should particularly be converted into the native languages used in this city for instructional strategies planned for local communities. </w:t>
      </w:r>
      <w:proofErr w:type="gramStart"/>
      <w:r>
        <w:rPr>
          <w:rFonts w:ascii="Times New Roman" w:eastAsia="Times New Roman" w:hAnsi="Times New Roman" w:cs="Times New Roman"/>
          <w:sz w:val="24"/>
          <w:szCs w:val="24"/>
        </w:rPr>
        <w:t>In particular, explanations</w:t>
      </w:r>
      <w:proofErr w:type="gramEnd"/>
      <w:r>
        <w:rPr>
          <w:rFonts w:ascii="Times New Roman" w:eastAsia="Times New Roman" w:hAnsi="Times New Roman" w:cs="Times New Roman"/>
          <w:sz w:val="24"/>
          <w:szCs w:val="24"/>
        </w:rPr>
        <w:t xml:space="preserve"> on the site during the activity should be given (Lehtonen, et al., 2020).</w:t>
      </w:r>
    </w:p>
    <w:p w14:paraId="00000069" w14:textId="77777777" w:rsidR="00B438EF" w:rsidRDefault="008073F8">
      <w:pPr>
        <w:pStyle w:val="Heading3"/>
        <w:spacing w:line="360" w:lineRule="auto"/>
        <w:jc w:val="both"/>
        <w:rPr>
          <w:rFonts w:ascii="Times New Roman" w:eastAsia="Times New Roman" w:hAnsi="Times New Roman" w:cs="Times New Roman"/>
        </w:rPr>
      </w:pPr>
      <w:bookmarkStart w:id="30" w:name="_2p2csry" w:colFirst="0" w:colLast="0"/>
      <w:bookmarkEnd w:id="30"/>
      <w:r>
        <w:rPr>
          <w:rFonts w:ascii="Times New Roman" w:eastAsia="Times New Roman" w:hAnsi="Times New Roman" w:cs="Times New Roman"/>
        </w:rPr>
        <w:t>Accessibility</w:t>
      </w:r>
    </w:p>
    <w:p w14:paraId="0000006A"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parties have various responsibilities, including several occupations and households in full and/or salaried. CCI may try holding meetings for groups at occasions, also including early </w:t>
      </w:r>
      <w:r>
        <w:rPr>
          <w:rFonts w:ascii="Times New Roman" w:eastAsia="Times New Roman" w:hAnsi="Times New Roman" w:cs="Times New Roman"/>
          <w:sz w:val="24"/>
          <w:szCs w:val="24"/>
        </w:rPr>
        <w:lastRenderedPageBreak/>
        <w:t>evenings or at festivals, to function for the core demographic so that a wide variety of people can share in them (Lu, et al., 2020).</w:t>
      </w:r>
    </w:p>
    <w:p w14:paraId="0000006B" w14:textId="77777777" w:rsidR="00B438EF" w:rsidRDefault="008073F8">
      <w:pPr>
        <w:pStyle w:val="Heading3"/>
        <w:spacing w:line="360" w:lineRule="auto"/>
        <w:jc w:val="both"/>
        <w:rPr>
          <w:rFonts w:ascii="Times New Roman" w:eastAsia="Times New Roman" w:hAnsi="Times New Roman" w:cs="Times New Roman"/>
        </w:rPr>
      </w:pPr>
      <w:bookmarkStart w:id="31" w:name="_147n2zr" w:colFirst="0" w:colLast="0"/>
      <w:bookmarkEnd w:id="31"/>
      <w:r>
        <w:rPr>
          <w:rFonts w:ascii="Times New Roman" w:eastAsia="Times New Roman" w:hAnsi="Times New Roman" w:cs="Times New Roman"/>
        </w:rPr>
        <w:t>Stipends</w:t>
      </w:r>
    </w:p>
    <w:p w14:paraId="0000006C" w14:textId="26D01360"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strongest opportunities for outreach programs and involvement are created by collaborations with entities or designers and local </w:t>
      </w:r>
      <w:r w:rsidR="000A216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CCI may co-host meetings as quick as practicable with </w:t>
      </w:r>
      <w:r w:rsidR="000A2161">
        <w:rPr>
          <w:rFonts w:ascii="Times New Roman" w:eastAsia="Times New Roman" w:hAnsi="Times New Roman" w:cs="Times New Roman"/>
          <w:sz w:val="24"/>
          <w:szCs w:val="24"/>
        </w:rPr>
        <w:t>neighborhood</w:t>
      </w:r>
      <w:r>
        <w:rPr>
          <w:rFonts w:ascii="Times New Roman" w:eastAsia="Times New Roman" w:hAnsi="Times New Roman" w:cs="Times New Roman"/>
          <w:sz w:val="24"/>
          <w:szCs w:val="24"/>
        </w:rPr>
        <w:t xml:space="preserve"> groups that can give city people trustworthy access. Many of them have minimal finance for this form of job, often take part in a variety of important efforts and dedicated time is worthwhile. CCI considers awarding a fellowship for such purposes as collecting </w:t>
      </w:r>
      <w:r w:rsidR="000A2161">
        <w:rPr>
          <w:rFonts w:ascii="Times New Roman" w:eastAsia="Times New Roman" w:hAnsi="Times New Roman" w:cs="Times New Roman"/>
          <w:sz w:val="24"/>
          <w:szCs w:val="24"/>
        </w:rPr>
        <w:t>neighborhood</w:t>
      </w:r>
      <w:r>
        <w:rPr>
          <w:rFonts w:ascii="Times New Roman" w:eastAsia="Times New Roman" w:hAnsi="Times New Roman" w:cs="Times New Roman"/>
          <w:sz w:val="24"/>
          <w:szCs w:val="24"/>
        </w:rPr>
        <w:t xml:space="preserve"> knowledge. Cultural agencies should also partner with donors and charitable work in order to generate a significant, expanding industry for their commitment in state agency </w:t>
      </w:r>
      <w:r w:rsidR="000A2161">
        <w:rPr>
          <w:rFonts w:ascii="Times New Roman" w:eastAsia="Times New Roman" w:hAnsi="Times New Roman" w:cs="Times New Roman"/>
          <w:sz w:val="24"/>
          <w:szCs w:val="24"/>
        </w:rPr>
        <w:t>mobilization</w:t>
      </w:r>
      <w:r>
        <w:rPr>
          <w:rFonts w:ascii="Times New Roman" w:eastAsia="Times New Roman" w:hAnsi="Times New Roman" w:cs="Times New Roman"/>
          <w:sz w:val="24"/>
          <w:szCs w:val="24"/>
        </w:rPr>
        <w:t xml:space="preserve"> and lobbying (Dixit, et al., 2019).</w:t>
      </w:r>
    </w:p>
    <w:p w14:paraId="0000006D" w14:textId="77777777" w:rsidR="00B438EF" w:rsidRDefault="008073F8">
      <w:pPr>
        <w:pStyle w:val="Heading1"/>
        <w:spacing w:line="360" w:lineRule="auto"/>
        <w:jc w:val="both"/>
        <w:rPr>
          <w:rFonts w:ascii="Times New Roman" w:eastAsia="Times New Roman" w:hAnsi="Times New Roman" w:cs="Times New Roman"/>
          <w:sz w:val="24"/>
          <w:szCs w:val="24"/>
        </w:rPr>
      </w:pPr>
      <w:bookmarkStart w:id="32" w:name="_3o7alnk" w:colFirst="0" w:colLast="0"/>
      <w:bookmarkEnd w:id="32"/>
      <w:r>
        <w:rPr>
          <w:rFonts w:ascii="Times New Roman" w:eastAsia="Times New Roman" w:hAnsi="Times New Roman" w:cs="Times New Roman"/>
          <w:sz w:val="24"/>
          <w:szCs w:val="24"/>
        </w:rPr>
        <w:t>Conclusion</w:t>
      </w:r>
    </w:p>
    <w:p w14:paraId="0000006E" w14:textId="77777777" w:rsidR="00B438EF" w:rsidRDefault="008073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this paper cannot include any approach to encourage group involvement and direction in CCI initiatives, such practices have been outlined and have been observed during the cycles of the Community Leadership Summit. They illustrate activities to be discussed in general by CCI stakeholders, including government departments, project managers, social actors, or new collaborators. To receive widespread support from Californians from CCI initiatives and initiatives, they must prove advantages for the community, including the most disadvantaged. These activities continue to strengthen these perspectives and earn an adequate return for the people they represent most valuable. Public leadership will offer their State and their future a broader outlook, advice and encouragement to initiatives.</w:t>
      </w:r>
    </w:p>
    <w:p w14:paraId="0000006F" w14:textId="77777777" w:rsidR="00B438EF" w:rsidRDefault="008073F8">
      <w:pPr>
        <w:rPr>
          <w:rFonts w:ascii="Times New Roman" w:eastAsia="Times New Roman" w:hAnsi="Times New Roman" w:cs="Times New Roman"/>
          <w:sz w:val="24"/>
          <w:szCs w:val="24"/>
        </w:rPr>
      </w:pPr>
      <w:r>
        <w:br w:type="page"/>
      </w:r>
    </w:p>
    <w:p w14:paraId="00000070" w14:textId="77777777" w:rsidR="00B438EF" w:rsidRDefault="00B438EF">
      <w:pPr>
        <w:spacing w:line="360" w:lineRule="auto"/>
        <w:jc w:val="both"/>
        <w:rPr>
          <w:rFonts w:ascii="Times New Roman" w:eastAsia="Times New Roman" w:hAnsi="Times New Roman" w:cs="Times New Roman"/>
          <w:sz w:val="24"/>
          <w:szCs w:val="24"/>
        </w:rPr>
      </w:pPr>
    </w:p>
    <w:p w14:paraId="00000071" w14:textId="77777777" w:rsidR="00B438EF" w:rsidRDefault="008073F8">
      <w:pPr>
        <w:pStyle w:val="Heading1"/>
        <w:spacing w:line="360" w:lineRule="auto"/>
        <w:jc w:val="both"/>
        <w:rPr>
          <w:rFonts w:ascii="Times New Roman" w:eastAsia="Times New Roman" w:hAnsi="Times New Roman" w:cs="Times New Roman"/>
          <w:sz w:val="24"/>
          <w:szCs w:val="24"/>
        </w:rPr>
      </w:pPr>
      <w:bookmarkStart w:id="33" w:name="_23ckvvd" w:colFirst="0" w:colLast="0"/>
      <w:bookmarkEnd w:id="33"/>
      <w:r>
        <w:rPr>
          <w:rFonts w:ascii="Times New Roman" w:eastAsia="Times New Roman" w:hAnsi="Times New Roman" w:cs="Times New Roman"/>
          <w:sz w:val="24"/>
          <w:szCs w:val="24"/>
        </w:rPr>
        <w:t>Bibliography</w:t>
      </w:r>
    </w:p>
    <w:p w14:paraId="00000072"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Aldersey</w:t>
      </w:r>
      <w:proofErr w:type="spellEnd"/>
      <w:r>
        <w:rPr>
          <w:rFonts w:ascii="Times New Roman" w:eastAsia="Times New Roman" w:hAnsi="Times New Roman" w:cs="Times New Roman"/>
          <w:color w:val="000000"/>
          <w:sz w:val="24"/>
          <w:szCs w:val="24"/>
        </w:rPr>
        <w:t xml:space="preserve">, H. M. et al., 2019. The University of Gondar, Queen’s University and Mastercard Foundation Scholars Program: A partnership for disability-inclusive higher education in Ethiopia. </w:t>
      </w:r>
      <w:r>
        <w:rPr>
          <w:rFonts w:ascii="Times New Roman" w:eastAsia="Times New Roman" w:hAnsi="Times New Roman" w:cs="Times New Roman"/>
          <w:i/>
          <w:color w:val="000000"/>
          <w:sz w:val="24"/>
          <w:szCs w:val="24"/>
        </w:rPr>
        <w:t>Gateways: International Journal of Community Research and Engagement</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12(2), p. .</w:t>
      </w:r>
    </w:p>
    <w:p w14:paraId="00000073"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Bishop, J. L. et al., 2020. Sustainability of antimicrobial stewardship programs in Australian rural hospitals: a qualitative study*. </w:t>
      </w:r>
      <w:r>
        <w:rPr>
          <w:rFonts w:ascii="Times New Roman" w:eastAsia="Times New Roman" w:hAnsi="Times New Roman" w:cs="Times New Roman"/>
          <w:i/>
          <w:color w:val="000000"/>
          <w:sz w:val="24"/>
          <w:szCs w:val="24"/>
        </w:rPr>
        <w:t>Australian Health Review</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 p. .</w:t>
      </w:r>
    </w:p>
    <w:p w14:paraId="00000074"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Dixit, S., </w:t>
      </w:r>
      <w:proofErr w:type="spellStart"/>
      <w:r>
        <w:rPr>
          <w:rFonts w:ascii="Times New Roman" w:eastAsia="Times New Roman" w:hAnsi="Times New Roman" w:cs="Times New Roman"/>
          <w:color w:val="000000"/>
          <w:sz w:val="24"/>
          <w:szCs w:val="24"/>
        </w:rPr>
        <w:t>Katiyar</w:t>
      </w:r>
      <w:proofErr w:type="spellEnd"/>
      <w:r>
        <w:rPr>
          <w:rFonts w:ascii="Times New Roman" w:eastAsia="Times New Roman" w:hAnsi="Times New Roman" w:cs="Times New Roman"/>
          <w:color w:val="000000"/>
          <w:sz w:val="24"/>
          <w:szCs w:val="24"/>
        </w:rPr>
        <w:t xml:space="preserve">, H. &amp; Singh, A. K., 2019. MIMO-OFDM in a Cooperative Frequency Selective Fading Channel: An Analysis. </w:t>
      </w:r>
      <w:r>
        <w:rPr>
          <w:rFonts w:ascii="Times New Roman" w:eastAsia="Times New Roman" w:hAnsi="Times New Roman" w:cs="Times New Roman"/>
          <w:i/>
          <w:color w:val="000000"/>
          <w:sz w:val="24"/>
          <w:szCs w:val="24"/>
        </w:rPr>
        <w:t>Journal of Computer Networks and Communications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2019(), pp. 1-7.</w:t>
      </w:r>
    </w:p>
    <w:p w14:paraId="00000075"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Dwyer, M. B., 2020. “They will not automatically benefit”: The politics of infrastructure development in Laos's Northern Economic Corridor. </w:t>
      </w:r>
      <w:r>
        <w:rPr>
          <w:rFonts w:ascii="Times New Roman" w:eastAsia="Times New Roman" w:hAnsi="Times New Roman" w:cs="Times New Roman"/>
          <w:i/>
          <w:color w:val="000000"/>
          <w:sz w:val="24"/>
          <w:szCs w:val="24"/>
        </w:rPr>
        <w:t>Political Geography</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78(), p. 102118.</w:t>
      </w:r>
    </w:p>
    <w:p w14:paraId="00000076"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Ellwood, E. R. et al., 2015. Accelerating the </w:t>
      </w:r>
      <w:proofErr w:type="spellStart"/>
      <w:r>
        <w:rPr>
          <w:rFonts w:ascii="Times New Roman" w:eastAsia="Times New Roman" w:hAnsi="Times New Roman" w:cs="Times New Roman"/>
          <w:color w:val="000000"/>
          <w:sz w:val="24"/>
          <w:szCs w:val="24"/>
        </w:rPr>
        <w:t>Digiti</w:t>
      </w:r>
      <w:r>
        <w:rPr>
          <w:rFonts w:ascii="Times New Roman" w:eastAsia="Times New Roman" w:hAnsi="Times New Roman" w:cs="Times New Roman"/>
          <w:sz w:val="24"/>
          <w:szCs w:val="24"/>
        </w:rPr>
        <w:t>sation</w:t>
      </w:r>
      <w:proofErr w:type="spellEnd"/>
      <w:r>
        <w:rPr>
          <w:rFonts w:ascii="Times New Roman" w:eastAsia="Times New Roman" w:hAnsi="Times New Roman" w:cs="Times New Roman"/>
          <w:color w:val="000000"/>
          <w:sz w:val="24"/>
          <w:szCs w:val="24"/>
        </w:rPr>
        <w:t xml:space="preserve"> of Biodiversity Research Specimens through Online Public Participation. </w:t>
      </w:r>
      <w:proofErr w:type="spellStart"/>
      <w:r>
        <w:rPr>
          <w:rFonts w:ascii="Times New Roman" w:eastAsia="Times New Roman" w:hAnsi="Times New Roman" w:cs="Times New Roman"/>
          <w:i/>
          <w:color w:val="000000"/>
          <w:sz w:val="24"/>
          <w:szCs w:val="24"/>
        </w:rPr>
        <w:t>BioScience</w:t>
      </w:r>
      <w:proofErr w:type="spellEnd"/>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65(4), pp. 383-396.</w:t>
      </w:r>
    </w:p>
    <w:p w14:paraId="00000077"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Gibbons, L. V., </w:t>
      </w:r>
      <w:proofErr w:type="spellStart"/>
      <w:r>
        <w:rPr>
          <w:rFonts w:ascii="Times New Roman" w:eastAsia="Times New Roman" w:hAnsi="Times New Roman" w:cs="Times New Roman"/>
          <w:color w:val="000000"/>
          <w:sz w:val="24"/>
          <w:szCs w:val="24"/>
        </w:rPr>
        <w:t>Pearthree</w:t>
      </w:r>
      <w:proofErr w:type="spellEnd"/>
      <w:r>
        <w:rPr>
          <w:rFonts w:ascii="Times New Roman" w:eastAsia="Times New Roman" w:hAnsi="Times New Roman" w:cs="Times New Roman"/>
          <w:color w:val="000000"/>
          <w:sz w:val="24"/>
          <w:szCs w:val="24"/>
        </w:rPr>
        <w:t xml:space="preserve">, G., Cloutier, S. &amp; </w:t>
      </w:r>
      <w:proofErr w:type="spellStart"/>
      <w:r>
        <w:rPr>
          <w:rFonts w:ascii="Times New Roman" w:eastAsia="Times New Roman" w:hAnsi="Times New Roman" w:cs="Times New Roman"/>
          <w:color w:val="000000"/>
          <w:sz w:val="24"/>
          <w:szCs w:val="24"/>
        </w:rPr>
        <w:t>Ehlenz</w:t>
      </w:r>
      <w:proofErr w:type="spellEnd"/>
      <w:r>
        <w:rPr>
          <w:rFonts w:ascii="Times New Roman" w:eastAsia="Times New Roman" w:hAnsi="Times New Roman" w:cs="Times New Roman"/>
          <w:color w:val="000000"/>
          <w:sz w:val="24"/>
          <w:szCs w:val="24"/>
        </w:rPr>
        <w:t xml:space="preserve">, M. M., 2020. The development, application, and refinement of a Regenerative Development Evaluation Tool and indicators. </w:t>
      </w:r>
      <w:r>
        <w:rPr>
          <w:rFonts w:ascii="Times New Roman" w:eastAsia="Times New Roman" w:hAnsi="Times New Roman" w:cs="Times New Roman"/>
          <w:i/>
          <w:color w:val="000000"/>
          <w:sz w:val="24"/>
          <w:szCs w:val="24"/>
        </w:rPr>
        <w:t>Ecological Indicators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108(), p. 105698.</w:t>
      </w:r>
    </w:p>
    <w:p w14:paraId="00000078"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Grift, E. v. d., </w:t>
      </w:r>
      <w:proofErr w:type="spellStart"/>
      <w:r>
        <w:rPr>
          <w:rFonts w:ascii="Times New Roman" w:eastAsia="Times New Roman" w:hAnsi="Times New Roman" w:cs="Times New Roman"/>
          <w:color w:val="000000"/>
          <w:sz w:val="24"/>
          <w:szCs w:val="24"/>
        </w:rPr>
        <w:t>Cuppen</w:t>
      </w:r>
      <w:proofErr w:type="spellEnd"/>
      <w:r>
        <w:rPr>
          <w:rFonts w:ascii="Times New Roman" w:eastAsia="Times New Roman" w:hAnsi="Times New Roman" w:cs="Times New Roman"/>
          <w:color w:val="000000"/>
          <w:sz w:val="24"/>
          <w:szCs w:val="24"/>
        </w:rPr>
        <w:t xml:space="preserve">, E. &amp; Spruit, S. L., 2020. Co-creation, control or compliance? How Dutch community engagement professionals view their work. </w:t>
      </w:r>
      <w:r>
        <w:rPr>
          <w:rFonts w:ascii="Times New Roman" w:eastAsia="Times New Roman" w:hAnsi="Times New Roman" w:cs="Times New Roman"/>
          <w:i/>
          <w:color w:val="000000"/>
          <w:sz w:val="24"/>
          <w:szCs w:val="24"/>
        </w:rPr>
        <w:t>Energy research and social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60(), p. 101323.</w:t>
      </w:r>
    </w:p>
    <w:p w14:paraId="00000079"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Happel, A., </w:t>
      </w:r>
      <w:proofErr w:type="spellStart"/>
      <w:r>
        <w:rPr>
          <w:rFonts w:ascii="Times New Roman" w:eastAsia="Times New Roman" w:hAnsi="Times New Roman" w:cs="Times New Roman"/>
          <w:color w:val="000000"/>
          <w:sz w:val="24"/>
          <w:szCs w:val="24"/>
        </w:rPr>
        <w:t>Murchie</w:t>
      </w:r>
      <w:proofErr w:type="spellEnd"/>
      <w:r>
        <w:rPr>
          <w:rFonts w:ascii="Times New Roman" w:eastAsia="Times New Roman" w:hAnsi="Times New Roman" w:cs="Times New Roman"/>
          <w:color w:val="000000"/>
          <w:sz w:val="24"/>
          <w:szCs w:val="24"/>
        </w:rPr>
        <w:t xml:space="preserve">, K. J., </w:t>
      </w:r>
      <w:proofErr w:type="spellStart"/>
      <w:r>
        <w:rPr>
          <w:rFonts w:ascii="Times New Roman" w:eastAsia="Times New Roman" w:hAnsi="Times New Roman" w:cs="Times New Roman"/>
          <w:color w:val="000000"/>
          <w:sz w:val="24"/>
          <w:szCs w:val="24"/>
        </w:rPr>
        <w:t>Willink</w:t>
      </w:r>
      <w:proofErr w:type="spellEnd"/>
      <w:r>
        <w:rPr>
          <w:rFonts w:ascii="Times New Roman" w:eastAsia="Times New Roman" w:hAnsi="Times New Roman" w:cs="Times New Roman"/>
          <w:color w:val="000000"/>
          <w:sz w:val="24"/>
          <w:szCs w:val="24"/>
        </w:rPr>
        <w:t xml:space="preserve">, P. W. &amp; Knapp, C. R., 2019. Great Lakes Fish Finder App; a tool for biologists, managers and education practitioners. </w:t>
      </w:r>
      <w:r>
        <w:rPr>
          <w:rFonts w:ascii="Times New Roman" w:eastAsia="Times New Roman" w:hAnsi="Times New Roman" w:cs="Times New Roman"/>
          <w:i/>
          <w:color w:val="000000"/>
          <w:sz w:val="24"/>
          <w:szCs w:val="24"/>
        </w:rPr>
        <w:t>Journal of Great Lakes Research</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 p. .</w:t>
      </w:r>
    </w:p>
    <w:p w14:paraId="0000007A"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Hulth</w:t>
      </w:r>
      <w:proofErr w:type="spellEnd"/>
      <w:r>
        <w:rPr>
          <w:rFonts w:ascii="Times New Roman" w:eastAsia="Times New Roman" w:hAnsi="Times New Roman" w:cs="Times New Roman"/>
          <w:color w:val="000000"/>
          <w:sz w:val="24"/>
          <w:szCs w:val="24"/>
        </w:rPr>
        <w:t xml:space="preserve">, A. et al., 2019. A Tool for Promoting Responsible Antibiotic Prescribing across Settings and Sectors. </w:t>
      </w:r>
      <w:r>
        <w:rPr>
          <w:rFonts w:ascii="Times New Roman" w:eastAsia="Times New Roman" w:hAnsi="Times New Roman" w:cs="Times New Roman"/>
          <w:i/>
          <w:color w:val="000000"/>
          <w:sz w:val="24"/>
          <w:szCs w:val="24"/>
        </w:rPr>
        <w:t>Online Journal of Public Health Informatics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11(1), p. .</w:t>
      </w:r>
    </w:p>
    <w:p w14:paraId="0000007B"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Iamandi</w:t>
      </w:r>
      <w:proofErr w:type="spellEnd"/>
      <w:r>
        <w:rPr>
          <w:rFonts w:ascii="Times New Roman" w:eastAsia="Times New Roman" w:hAnsi="Times New Roman" w:cs="Times New Roman"/>
          <w:color w:val="000000"/>
          <w:sz w:val="24"/>
          <w:szCs w:val="24"/>
        </w:rPr>
        <w:t xml:space="preserve">, I.-E. &amp; Munteanu, S. M., 2014. Corporate Social Responsibility through Education and Sport. An EU Comparative Case. </w:t>
      </w:r>
      <w:r>
        <w:rPr>
          <w:rFonts w:ascii="Times New Roman" w:eastAsia="Times New Roman" w:hAnsi="Times New Roman" w:cs="Times New Roman"/>
          <w:i/>
          <w:color w:val="000000"/>
          <w:sz w:val="24"/>
          <w:szCs w:val="24"/>
        </w:rPr>
        <w:t>The Romanian Economic Journal</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17(54), pp. 73-97.</w:t>
      </w:r>
    </w:p>
    <w:p w14:paraId="0000007C"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Isbah</w:t>
      </w:r>
      <w:proofErr w:type="spellEnd"/>
      <w:r>
        <w:rPr>
          <w:rFonts w:ascii="Times New Roman" w:eastAsia="Times New Roman" w:hAnsi="Times New Roman" w:cs="Times New Roman"/>
          <w:color w:val="000000"/>
          <w:sz w:val="24"/>
          <w:szCs w:val="24"/>
        </w:rPr>
        <w:t xml:space="preserve">, M. F., 2019. External Influences and Supports to </w:t>
      </w:r>
      <w:proofErr w:type="spellStart"/>
      <w:r>
        <w:rPr>
          <w:rFonts w:ascii="Times New Roman" w:eastAsia="Times New Roman" w:hAnsi="Times New Roman" w:cs="Times New Roman"/>
          <w:color w:val="000000"/>
          <w:sz w:val="24"/>
          <w:szCs w:val="24"/>
        </w:rPr>
        <w:t>Pesantren’s</w:t>
      </w:r>
      <w:proofErr w:type="spellEnd"/>
      <w:r>
        <w:rPr>
          <w:rFonts w:ascii="Times New Roman" w:eastAsia="Times New Roman" w:hAnsi="Times New Roman" w:cs="Times New Roman"/>
          <w:color w:val="000000"/>
          <w:sz w:val="24"/>
          <w:szCs w:val="24"/>
        </w:rPr>
        <w:t xml:space="preserve"> Socio-Economic Activism in the Changing Context. </w:t>
      </w:r>
      <w:proofErr w:type="spellStart"/>
      <w:r>
        <w:rPr>
          <w:rFonts w:ascii="Times New Roman" w:eastAsia="Times New Roman" w:hAnsi="Times New Roman" w:cs="Times New Roman"/>
          <w:i/>
          <w:color w:val="000000"/>
          <w:sz w:val="24"/>
          <w:szCs w:val="24"/>
        </w:rPr>
        <w:t>Shirkah</w:t>
      </w:r>
      <w:proofErr w:type="spellEnd"/>
      <w:r>
        <w:rPr>
          <w:rFonts w:ascii="Times New Roman" w:eastAsia="Times New Roman" w:hAnsi="Times New Roman" w:cs="Times New Roman"/>
          <w:i/>
          <w:color w:val="000000"/>
          <w:sz w:val="24"/>
          <w:szCs w:val="24"/>
        </w:rPr>
        <w:t xml:space="preserve"> Journal of Economics and Business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4(3), p. .</w:t>
      </w:r>
    </w:p>
    <w:p w14:paraId="0000007D"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Johanissen</w:t>
      </w:r>
      <w:proofErr w:type="spellEnd"/>
      <w:r>
        <w:rPr>
          <w:rFonts w:ascii="Times New Roman" w:eastAsia="Times New Roman" w:hAnsi="Times New Roman" w:cs="Times New Roman"/>
          <w:color w:val="000000"/>
          <w:sz w:val="24"/>
          <w:szCs w:val="24"/>
        </w:rPr>
        <w:t xml:space="preserve">, J. C., Yates, H. &amp; </w:t>
      </w:r>
      <w:proofErr w:type="spellStart"/>
      <w:r>
        <w:rPr>
          <w:rFonts w:ascii="Times New Roman" w:eastAsia="Times New Roman" w:hAnsi="Times New Roman" w:cs="Times New Roman"/>
          <w:color w:val="000000"/>
          <w:sz w:val="24"/>
          <w:szCs w:val="24"/>
        </w:rPr>
        <w:t>Wyk</w:t>
      </w:r>
      <w:proofErr w:type="spellEnd"/>
      <w:r>
        <w:rPr>
          <w:rFonts w:ascii="Times New Roman" w:eastAsia="Times New Roman" w:hAnsi="Times New Roman" w:cs="Times New Roman"/>
          <w:color w:val="000000"/>
          <w:sz w:val="24"/>
          <w:szCs w:val="24"/>
        </w:rPr>
        <w:t xml:space="preserve">, C. V., 2019. Multidisciplinary meetings: Listening to the experiences of children in a child and youth care </w:t>
      </w:r>
      <w:proofErr w:type="spellStart"/>
      <w:r>
        <w:rPr>
          <w:rFonts w:ascii="Times New Roman" w:eastAsia="Times New Roman" w:hAnsi="Times New Roman" w:cs="Times New Roman"/>
          <w:color w:val="000000"/>
          <w:sz w:val="24"/>
          <w:szCs w:val="24"/>
        </w:rPr>
        <w:t>centre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i/>
          <w:color w:val="000000"/>
          <w:sz w:val="24"/>
          <w:szCs w:val="24"/>
        </w:rPr>
        <w:t>Hts</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Teologiese</w:t>
      </w:r>
      <w:proofErr w:type="spellEnd"/>
      <w:r>
        <w:rPr>
          <w:rFonts w:ascii="Times New Roman" w:eastAsia="Times New Roman" w:hAnsi="Times New Roman" w:cs="Times New Roman"/>
          <w:i/>
          <w:color w:val="000000"/>
          <w:sz w:val="24"/>
          <w:szCs w:val="24"/>
        </w:rPr>
        <w:t xml:space="preserve"> Studies-theological Studies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75(1), p. 13.</w:t>
      </w:r>
    </w:p>
    <w:p w14:paraId="0000007E"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Lawlor, A. M., Fitzpatrick, C. &amp; </w:t>
      </w:r>
      <w:proofErr w:type="spellStart"/>
      <w:r>
        <w:rPr>
          <w:rFonts w:ascii="Times New Roman" w:eastAsia="Times New Roman" w:hAnsi="Times New Roman" w:cs="Times New Roman"/>
          <w:color w:val="000000"/>
          <w:sz w:val="24"/>
          <w:szCs w:val="24"/>
        </w:rPr>
        <w:t>O'Casaide</w:t>
      </w:r>
      <w:proofErr w:type="spellEnd"/>
      <w:r>
        <w:rPr>
          <w:rFonts w:ascii="Times New Roman" w:eastAsia="Times New Roman" w:hAnsi="Times New Roman" w:cs="Times New Roman"/>
          <w:color w:val="000000"/>
          <w:sz w:val="24"/>
          <w:szCs w:val="24"/>
        </w:rPr>
        <w:t xml:space="preserve">, S., 2017. 'Irish </w:t>
      </w:r>
      <w:proofErr w:type="spellStart"/>
      <w:r>
        <w:rPr>
          <w:rFonts w:ascii="Times New Roman" w:eastAsia="Times New Roman" w:hAnsi="Times New Roman" w:cs="Times New Roman"/>
          <w:color w:val="000000"/>
          <w:sz w:val="24"/>
          <w:szCs w:val="24"/>
        </w:rPr>
        <w:t>Traveller</w:t>
      </w:r>
      <w:proofErr w:type="spellEnd"/>
      <w:r>
        <w:rPr>
          <w:rFonts w:ascii="Times New Roman" w:eastAsia="Times New Roman" w:hAnsi="Times New Roman" w:cs="Times New Roman"/>
          <w:color w:val="000000"/>
          <w:sz w:val="24"/>
          <w:szCs w:val="24"/>
        </w:rPr>
        <w:t xml:space="preserve">' Ethnic Minority Group - Chronic Conditions Community Heart Health Pilot </w:t>
      </w:r>
      <w:proofErr w:type="spellStart"/>
      <w:r>
        <w:rPr>
          <w:rFonts w:ascii="Times New Roman" w:eastAsia="Times New Roman" w:hAnsi="Times New Roman" w:cs="Times New Roman"/>
          <w:color w:val="000000"/>
          <w:sz w:val="24"/>
          <w:szCs w:val="24"/>
        </w:rPr>
        <w:t>Programme</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International Journal of Integrated Care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17(5), p. 562.</w:t>
      </w:r>
    </w:p>
    <w:p w14:paraId="0000007F"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Lee, L. M. et al., 2020. Journey to hope, self-expression and community engagement: Youth-led arts-based participatory action research. </w:t>
      </w:r>
      <w:r>
        <w:rPr>
          <w:rFonts w:ascii="Times New Roman" w:eastAsia="Times New Roman" w:hAnsi="Times New Roman" w:cs="Times New Roman"/>
          <w:i/>
          <w:color w:val="000000"/>
          <w:sz w:val="24"/>
          <w:szCs w:val="24"/>
        </w:rPr>
        <w:t>Children and Youth Services Review</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109(), p. 104581.</w:t>
      </w:r>
    </w:p>
    <w:p w14:paraId="00000080"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Lefebvre, G. et al., 2020. Implementing Obstetrics Quality Improvement, Driven by Medico-legal Risk, is Associated </w:t>
      </w:r>
      <w:proofErr w:type="gramStart"/>
      <w:r>
        <w:rPr>
          <w:rFonts w:ascii="Times New Roman" w:eastAsia="Times New Roman" w:hAnsi="Times New Roman" w:cs="Times New Roman"/>
          <w:color w:val="000000"/>
          <w:sz w:val="24"/>
          <w:szCs w:val="24"/>
        </w:rPr>
        <w:t>With</w:t>
      </w:r>
      <w:proofErr w:type="gramEnd"/>
      <w:r>
        <w:rPr>
          <w:rFonts w:ascii="Times New Roman" w:eastAsia="Times New Roman" w:hAnsi="Times New Roman" w:cs="Times New Roman"/>
          <w:color w:val="000000"/>
          <w:sz w:val="24"/>
          <w:szCs w:val="24"/>
        </w:rPr>
        <w:t xml:space="preserve"> Improved Workplace Culture. </w:t>
      </w:r>
      <w:r>
        <w:rPr>
          <w:rFonts w:ascii="Times New Roman" w:eastAsia="Times New Roman" w:hAnsi="Times New Roman" w:cs="Times New Roman"/>
          <w:i/>
          <w:color w:val="000000"/>
          <w:sz w:val="24"/>
          <w:szCs w:val="24"/>
        </w:rPr>
        <w:t xml:space="preserve">Journal of obstetrics and </w:t>
      </w:r>
      <w:proofErr w:type="spellStart"/>
      <w:r>
        <w:rPr>
          <w:rFonts w:ascii="Times New Roman" w:eastAsia="Times New Roman" w:hAnsi="Times New Roman" w:cs="Times New Roman"/>
          <w:i/>
          <w:color w:val="000000"/>
          <w:sz w:val="24"/>
          <w:szCs w:val="24"/>
        </w:rPr>
        <w:t>gynaecology</w:t>
      </w:r>
      <w:proofErr w:type="spellEnd"/>
      <w:r>
        <w:rPr>
          <w:rFonts w:ascii="Times New Roman" w:eastAsia="Times New Roman" w:hAnsi="Times New Roman" w:cs="Times New Roman"/>
          <w:i/>
          <w:color w:val="000000"/>
          <w:sz w:val="24"/>
          <w:szCs w:val="24"/>
        </w:rPr>
        <w:t xml:space="preserve"> Canada</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42(1), p. .</w:t>
      </w:r>
    </w:p>
    <w:p w14:paraId="00000081"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Lehtonen, M. et al., 2020. The roles of the state and social </w:t>
      </w:r>
      <w:proofErr w:type="spellStart"/>
      <w:r>
        <w:rPr>
          <w:rFonts w:ascii="Times New Roman" w:eastAsia="Times New Roman" w:hAnsi="Times New Roman" w:cs="Times New Roman"/>
          <w:color w:val="000000"/>
          <w:sz w:val="24"/>
          <w:szCs w:val="24"/>
        </w:rPr>
        <w:t>licence</w:t>
      </w:r>
      <w:proofErr w:type="spellEnd"/>
      <w:r>
        <w:rPr>
          <w:rFonts w:ascii="Times New Roman" w:eastAsia="Times New Roman" w:hAnsi="Times New Roman" w:cs="Times New Roman"/>
          <w:color w:val="000000"/>
          <w:sz w:val="24"/>
          <w:szCs w:val="24"/>
        </w:rPr>
        <w:t xml:space="preserve"> to operate</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 xml:space="preserve"> Lessons from nuclear waste management in Finland, France, and Sweden. </w:t>
      </w:r>
      <w:r>
        <w:rPr>
          <w:rFonts w:ascii="Times New Roman" w:eastAsia="Times New Roman" w:hAnsi="Times New Roman" w:cs="Times New Roman"/>
          <w:i/>
          <w:color w:val="000000"/>
          <w:sz w:val="24"/>
          <w:szCs w:val="24"/>
        </w:rPr>
        <w:t>Energy research and social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61(), p. 101353.</w:t>
      </w:r>
    </w:p>
    <w:p w14:paraId="00000082"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Lu, C., Yu, Z., Wang, X. &amp; Hong, Y., 2020. Empirical Study on the Obstacles to the Success of Joint Ventures in Construction Projects. </w:t>
      </w:r>
      <w:r>
        <w:rPr>
          <w:rFonts w:ascii="Times New Roman" w:eastAsia="Times New Roman" w:hAnsi="Times New Roman" w:cs="Times New Roman"/>
          <w:i/>
          <w:color w:val="000000"/>
          <w:sz w:val="24"/>
          <w:szCs w:val="24"/>
        </w:rPr>
        <w:t>Advances in Civil Engineering</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2020(), p. .</w:t>
      </w:r>
    </w:p>
    <w:p w14:paraId="00000083"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Machado, A. et al., 2018. Genetic diversity and potential routes of transmission of Mycobacterium </w:t>
      </w:r>
      <w:proofErr w:type="spellStart"/>
      <w:r>
        <w:rPr>
          <w:rFonts w:ascii="Times New Roman" w:eastAsia="Times New Roman" w:hAnsi="Times New Roman" w:cs="Times New Roman"/>
          <w:color w:val="000000"/>
          <w:sz w:val="24"/>
          <w:szCs w:val="24"/>
        </w:rPr>
        <w:t>bovis</w:t>
      </w:r>
      <w:proofErr w:type="spellEnd"/>
      <w:r>
        <w:rPr>
          <w:rFonts w:ascii="Times New Roman" w:eastAsia="Times New Roman" w:hAnsi="Times New Roman" w:cs="Times New Roman"/>
          <w:color w:val="000000"/>
          <w:sz w:val="24"/>
          <w:szCs w:val="24"/>
        </w:rPr>
        <w:t xml:space="preserve"> in Mozambique. </w:t>
      </w:r>
      <w:r>
        <w:rPr>
          <w:rFonts w:ascii="Times New Roman" w:eastAsia="Times New Roman" w:hAnsi="Times New Roman" w:cs="Times New Roman"/>
          <w:i/>
          <w:color w:val="000000"/>
          <w:sz w:val="24"/>
          <w:szCs w:val="24"/>
        </w:rPr>
        <w:t>PLOS Neglected Tropical Diseases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12(1), p. .</w:t>
      </w:r>
    </w:p>
    <w:p w14:paraId="00000084"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Mcowen</w:t>
      </w:r>
      <w:proofErr w:type="spellEnd"/>
      <w:r>
        <w:rPr>
          <w:rFonts w:ascii="Times New Roman" w:eastAsia="Times New Roman" w:hAnsi="Times New Roman" w:cs="Times New Roman"/>
          <w:color w:val="000000"/>
          <w:sz w:val="24"/>
          <w:szCs w:val="24"/>
        </w:rPr>
        <w:t xml:space="preserve">, C. et al., 2016. Sufficiency and Suitability of Global Biodiversity Indicators for Monitoring Progress to 2020 Targets. </w:t>
      </w:r>
      <w:r>
        <w:rPr>
          <w:rFonts w:ascii="Times New Roman" w:eastAsia="Times New Roman" w:hAnsi="Times New Roman" w:cs="Times New Roman"/>
          <w:i/>
          <w:color w:val="000000"/>
          <w:sz w:val="24"/>
          <w:szCs w:val="24"/>
        </w:rPr>
        <w:t>Conservation Letters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9(6), pp. 489-494.</w:t>
      </w:r>
    </w:p>
    <w:p w14:paraId="00000085"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Norrman</w:t>
      </w:r>
      <w:proofErr w:type="spellEnd"/>
      <w:r>
        <w:rPr>
          <w:rFonts w:ascii="Times New Roman" w:eastAsia="Times New Roman" w:hAnsi="Times New Roman" w:cs="Times New Roman"/>
          <w:color w:val="000000"/>
          <w:sz w:val="24"/>
          <w:szCs w:val="24"/>
        </w:rPr>
        <w:t xml:space="preserve">, J. et al., 2020. Enriching social and economic aspects in sustainability assessments of remediation strategies - Methods and </w:t>
      </w:r>
      <w:proofErr w:type="gramStart"/>
      <w:r>
        <w:rPr>
          <w:rFonts w:ascii="Times New Roman" w:eastAsia="Times New Roman" w:hAnsi="Times New Roman" w:cs="Times New Roman"/>
          <w:color w:val="000000"/>
          <w:sz w:val="24"/>
          <w:szCs w:val="24"/>
        </w:rPr>
        <w:t>implementation..</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Science of The Total Environment</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707(), p. 136021.</w:t>
      </w:r>
    </w:p>
    <w:p w14:paraId="00000086"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Priest, K. C., Englander, H. &amp; McCarty, D., 2020. “Now hospital leaders are paying attention”: A qualitative study of internal and external factors influencing addiction consult services. </w:t>
      </w:r>
      <w:r>
        <w:rPr>
          <w:rFonts w:ascii="Times New Roman" w:eastAsia="Times New Roman" w:hAnsi="Times New Roman" w:cs="Times New Roman"/>
          <w:i/>
          <w:color w:val="000000"/>
          <w:sz w:val="24"/>
          <w:szCs w:val="24"/>
        </w:rPr>
        <w:t>Journal of Substance Abuse Treatment</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110(), pp. 59-65.</w:t>
      </w:r>
    </w:p>
    <w:p w14:paraId="00000087"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Rasmussen, J., Hughes, J. &amp; Hodgson, A., 2015. Integrated Health and Care in Scotland – the digital link from co-production to policy. </w:t>
      </w:r>
      <w:r>
        <w:rPr>
          <w:rFonts w:ascii="Times New Roman" w:eastAsia="Times New Roman" w:hAnsi="Times New Roman" w:cs="Times New Roman"/>
          <w:i/>
          <w:color w:val="000000"/>
          <w:sz w:val="24"/>
          <w:szCs w:val="24"/>
        </w:rPr>
        <w:t>International Journal of Integrated Care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15(5), p. .</w:t>
      </w:r>
    </w:p>
    <w:p w14:paraId="00000088"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Sharrock, S. &amp; Jackson, P. W., 2017. Plant Conservation and the Sustainable Development Goals: A Policy Paper Prepared for the Global Partnership for Plant Conservation. </w:t>
      </w:r>
      <w:r>
        <w:rPr>
          <w:rFonts w:ascii="Times New Roman" w:eastAsia="Times New Roman" w:hAnsi="Times New Roman" w:cs="Times New Roman"/>
          <w:i/>
          <w:color w:val="000000"/>
          <w:sz w:val="24"/>
          <w:szCs w:val="24"/>
        </w:rPr>
        <w:t>Annals of the Missouri Botanical Garden</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102(2), pp. 290-302.</w:t>
      </w:r>
    </w:p>
    <w:p w14:paraId="00000089"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Sherif</w:t>
      </w:r>
      <w:proofErr w:type="spellEnd"/>
      <w:r>
        <w:rPr>
          <w:rFonts w:ascii="Times New Roman" w:eastAsia="Times New Roman" w:hAnsi="Times New Roman" w:cs="Times New Roman"/>
          <w:color w:val="000000"/>
          <w:sz w:val="24"/>
          <w:szCs w:val="24"/>
        </w:rPr>
        <w:t xml:space="preserve">, A., 2019. Greening Atomic Bomb Survivor Trees: Ecological Literacy and ENGOs as LIASE Institutional Partners. </w:t>
      </w:r>
      <w:r>
        <w:rPr>
          <w:rFonts w:ascii="Times New Roman" w:eastAsia="Times New Roman" w:hAnsi="Times New Roman" w:cs="Times New Roman"/>
          <w:i/>
          <w:color w:val="000000"/>
          <w:sz w:val="24"/>
          <w:szCs w:val="24"/>
        </w:rPr>
        <w:t xml:space="preserve">The </w:t>
      </w:r>
      <w:proofErr w:type="spellStart"/>
      <w:r>
        <w:rPr>
          <w:rFonts w:ascii="Times New Roman" w:eastAsia="Times New Roman" w:hAnsi="Times New Roman" w:cs="Times New Roman"/>
          <w:i/>
          <w:color w:val="000000"/>
          <w:sz w:val="24"/>
          <w:szCs w:val="24"/>
        </w:rPr>
        <w:t>ASIANetwork</w:t>
      </w:r>
      <w:proofErr w:type="spellEnd"/>
      <w:r>
        <w:rPr>
          <w:rFonts w:ascii="Times New Roman" w:eastAsia="Times New Roman" w:hAnsi="Times New Roman" w:cs="Times New Roman"/>
          <w:i/>
          <w:color w:val="000000"/>
          <w:sz w:val="24"/>
          <w:szCs w:val="24"/>
        </w:rPr>
        <w:t xml:space="preserve"> Exchange: A Journal for Asian Studies in the Liberal Arts</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26(2), pp. 73-86.</w:t>
      </w:r>
    </w:p>
    <w:p w14:paraId="0000008A"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Usher, H.-L., Tracey, F., Moss, P. &amp; </w:t>
      </w:r>
      <w:proofErr w:type="spellStart"/>
      <w:r>
        <w:rPr>
          <w:rFonts w:ascii="Times New Roman" w:eastAsia="Times New Roman" w:hAnsi="Times New Roman" w:cs="Times New Roman"/>
          <w:color w:val="000000"/>
          <w:sz w:val="24"/>
          <w:szCs w:val="24"/>
        </w:rPr>
        <w:t>Seear</w:t>
      </w:r>
      <w:proofErr w:type="spellEnd"/>
      <w:r>
        <w:rPr>
          <w:rFonts w:ascii="Times New Roman" w:eastAsia="Times New Roman" w:hAnsi="Times New Roman" w:cs="Times New Roman"/>
          <w:color w:val="000000"/>
          <w:sz w:val="24"/>
          <w:szCs w:val="24"/>
        </w:rPr>
        <w:t xml:space="preserve">, L., 2018. It Takes A Village: harnessing the power of strategic partnerships to improve health outcomes for children and young people in Queensland. </w:t>
      </w:r>
      <w:r>
        <w:rPr>
          <w:rFonts w:ascii="Times New Roman" w:eastAsia="Times New Roman" w:hAnsi="Times New Roman" w:cs="Times New Roman"/>
          <w:i/>
          <w:color w:val="000000"/>
          <w:sz w:val="24"/>
          <w:szCs w:val="24"/>
        </w:rPr>
        <w:t>International Journal of Integrated Care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18(), p. 91.</w:t>
      </w:r>
    </w:p>
    <w:p w14:paraId="0000008B"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Vargiu</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Cocco</w:t>
      </w:r>
      <w:proofErr w:type="spellEnd"/>
      <w:r>
        <w:rPr>
          <w:rFonts w:ascii="Times New Roman" w:eastAsia="Times New Roman" w:hAnsi="Times New Roman" w:cs="Times New Roman"/>
          <w:color w:val="000000"/>
          <w:sz w:val="24"/>
          <w:szCs w:val="24"/>
        </w:rPr>
        <w:t xml:space="preserve">, M. &amp; </w:t>
      </w:r>
      <w:proofErr w:type="spellStart"/>
      <w:r>
        <w:rPr>
          <w:rFonts w:ascii="Times New Roman" w:eastAsia="Times New Roman" w:hAnsi="Times New Roman" w:cs="Times New Roman"/>
          <w:color w:val="000000"/>
          <w:sz w:val="24"/>
          <w:szCs w:val="24"/>
        </w:rPr>
        <w:t>Ghibellini</w:t>
      </w:r>
      <w:proofErr w:type="spellEnd"/>
      <w:r>
        <w:rPr>
          <w:rFonts w:ascii="Times New Roman" w:eastAsia="Times New Roman" w:hAnsi="Times New Roman" w:cs="Times New Roman"/>
          <w:color w:val="000000"/>
          <w:sz w:val="24"/>
          <w:szCs w:val="24"/>
        </w:rPr>
        <w:t xml:space="preserve">, V., 2019. Ensuring durability of community-university engagement in a challenging context: Empirical evidence on Science Shops. </w:t>
      </w:r>
      <w:r>
        <w:rPr>
          <w:rFonts w:ascii="Times New Roman" w:eastAsia="Times New Roman" w:hAnsi="Times New Roman" w:cs="Times New Roman"/>
          <w:i/>
          <w:color w:val="000000"/>
          <w:sz w:val="24"/>
          <w:szCs w:val="24"/>
        </w:rPr>
        <w:t>Gateways: International Journal of Community Research and Engagement</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12(2), p. .</w:t>
      </w:r>
    </w:p>
    <w:p w14:paraId="0000008C"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Wattam</w:t>
      </w:r>
      <w:proofErr w:type="spellEnd"/>
      <w:r>
        <w:rPr>
          <w:rFonts w:ascii="Times New Roman" w:eastAsia="Times New Roman" w:hAnsi="Times New Roman" w:cs="Times New Roman"/>
          <w:color w:val="000000"/>
          <w:sz w:val="24"/>
          <w:szCs w:val="24"/>
        </w:rPr>
        <w:t xml:space="preserve">, A., 2018. P-28 ‘youth engagement’: is there a place in palliative </w:t>
      </w:r>
      <w:proofErr w:type="gramStart"/>
      <w:r>
        <w:rPr>
          <w:rFonts w:ascii="Times New Roman" w:eastAsia="Times New Roman" w:hAnsi="Times New Roman" w:cs="Times New Roman"/>
          <w:color w:val="000000"/>
          <w:sz w:val="24"/>
          <w:szCs w:val="24"/>
        </w:rPr>
        <w:t>care?.</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BMJ</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8(), p. .</w:t>
      </w:r>
    </w:p>
    <w:p w14:paraId="0000008D"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Westrom</w:t>
      </w:r>
      <w:proofErr w:type="spellEnd"/>
      <w:r>
        <w:rPr>
          <w:rFonts w:ascii="Times New Roman" w:eastAsia="Times New Roman" w:hAnsi="Times New Roman" w:cs="Times New Roman"/>
          <w:color w:val="000000"/>
          <w:sz w:val="24"/>
          <w:szCs w:val="24"/>
        </w:rPr>
        <w:t xml:space="preserve">, M., 2020. Winds of change: Legitimacy, withdrawal, and interdependency from a </w:t>
      </w:r>
      <w:proofErr w:type="spellStart"/>
      <w:r>
        <w:rPr>
          <w:rFonts w:ascii="Times New Roman" w:eastAsia="Times New Roman" w:hAnsi="Times New Roman" w:cs="Times New Roman"/>
          <w:color w:val="000000"/>
          <w:sz w:val="24"/>
          <w:szCs w:val="24"/>
        </w:rPr>
        <w:t>decentrali</w:t>
      </w:r>
      <w:r>
        <w:rPr>
          <w:rFonts w:ascii="Times New Roman" w:eastAsia="Times New Roman" w:hAnsi="Times New Roman" w:cs="Times New Roman"/>
          <w:sz w:val="24"/>
          <w:szCs w:val="24"/>
        </w:rPr>
        <w:t>se</w:t>
      </w:r>
      <w:r>
        <w:rPr>
          <w:rFonts w:ascii="Times New Roman" w:eastAsia="Times New Roman" w:hAnsi="Times New Roman" w:cs="Times New Roman"/>
          <w:color w:val="000000"/>
          <w:sz w:val="24"/>
          <w:szCs w:val="24"/>
        </w:rPr>
        <w:t>d</w:t>
      </w:r>
      <w:proofErr w:type="spellEnd"/>
      <w:r>
        <w:rPr>
          <w:rFonts w:ascii="Times New Roman" w:eastAsia="Times New Roman" w:hAnsi="Times New Roman" w:cs="Times New Roman"/>
          <w:color w:val="000000"/>
          <w:sz w:val="24"/>
          <w:szCs w:val="24"/>
        </w:rPr>
        <w:t xml:space="preserve"> wind-to-hydrogen regime in Orkney, Scotland. </w:t>
      </w:r>
      <w:r>
        <w:rPr>
          <w:rFonts w:ascii="Times New Roman" w:eastAsia="Times New Roman" w:hAnsi="Times New Roman" w:cs="Times New Roman"/>
          <w:i/>
          <w:color w:val="000000"/>
          <w:sz w:val="24"/>
          <w:szCs w:val="24"/>
        </w:rPr>
        <w:t>Energy research and social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60(), p. 101332.</w:t>
      </w:r>
    </w:p>
    <w:p w14:paraId="0000008E"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Xu, S., 2019. Introduction -- Broadening Teacher Candidates’ Horizons: An Introduction to the Teacher Education Reciprocal Learning Program. </w:t>
      </w:r>
      <w:r>
        <w:rPr>
          <w:rFonts w:ascii="Times New Roman" w:eastAsia="Times New Roman" w:hAnsi="Times New Roman" w:cs="Times New Roman"/>
          <w:i/>
          <w:color w:val="000000"/>
          <w:sz w:val="24"/>
          <w:szCs w:val="24"/>
        </w:rPr>
        <w:t>The Journal of Teaching and Learning</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13(1), pp. 1-6.</w:t>
      </w:r>
    </w:p>
    <w:p w14:paraId="0000008F"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Zeledon</w:t>
      </w:r>
      <w:proofErr w:type="spellEnd"/>
      <w:r>
        <w:rPr>
          <w:rFonts w:ascii="Times New Roman" w:eastAsia="Times New Roman" w:hAnsi="Times New Roman" w:cs="Times New Roman"/>
          <w:color w:val="000000"/>
          <w:sz w:val="24"/>
          <w:szCs w:val="24"/>
        </w:rPr>
        <w:t xml:space="preserve">, I. et al., 2020. Statewide collaborative partnerships among American Indian and Alaska Native (AI/AN) communities in California to target the opioid epidemic: Preliminary results of the Tribal Medication Assisted Treatment (MAT) key informant needs assessment. </w:t>
      </w:r>
      <w:r>
        <w:rPr>
          <w:rFonts w:ascii="Times New Roman" w:eastAsia="Times New Roman" w:hAnsi="Times New Roman" w:cs="Times New Roman"/>
          <w:i/>
          <w:color w:val="000000"/>
          <w:sz w:val="24"/>
          <w:szCs w:val="24"/>
        </w:rPr>
        <w:t>Journal of Substance Abuse Treatment</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108(), pp. 9-19.</w:t>
      </w:r>
    </w:p>
    <w:p w14:paraId="00000090" w14:textId="77777777" w:rsidR="00B438EF" w:rsidRDefault="008073F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Zohar, T., Parag, Y. &amp; Ayalon, O., 2020. Strategizing demand management from the middle out: Harnessing middle actors to reduce peak electricity consumption. </w:t>
      </w:r>
      <w:r>
        <w:rPr>
          <w:rFonts w:ascii="Times New Roman" w:eastAsia="Times New Roman" w:hAnsi="Times New Roman" w:cs="Times New Roman"/>
          <w:i/>
          <w:color w:val="000000"/>
          <w:sz w:val="24"/>
          <w:szCs w:val="24"/>
        </w:rPr>
        <w:t>Energy research and social science</w:t>
      </w:r>
      <w:proofErr w:type="gramStart"/>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61(), p. 101360.</w:t>
      </w:r>
    </w:p>
    <w:p w14:paraId="00000091" w14:textId="77777777" w:rsidR="00B438EF" w:rsidRDefault="00B438EF">
      <w:pPr>
        <w:spacing w:line="360" w:lineRule="auto"/>
        <w:jc w:val="both"/>
        <w:rPr>
          <w:rFonts w:ascii="Times New Roman" w:eastAsia="Times New Roman" w:hAnsi="Times New Roman" w:cs="Times New Roman"/>
          <w:sz w:val="24"/>
          <w:szCs w:val="24"/>
        </w:rPr>
      </w:pPr>
    </w:p>
    <w:p w14:paraId="00000092" w14:textId="77777777" w:rsidR="00B438EF" w:rsidRDefault="00B438EF">
      <w:pPr>
        <w:spacing w:line="360" w:lineRule="auto"/>
        <w:jc w:val="both"/>
        <w:rPr>
          <w:rFonts w:ascii="Times New Roman" w:eastAsia="Times New Roman" w:hAnsi="Times New Roman" w:cs="Times New Roman"/>
          <w:sz w:val="24"/>
          <w:szCs w:val="24"/>
        </w:rPr>
      </w:pPr>
    </w:p>
    <w:sectPr w:rsidR="00B438EF">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C85D5" w14:textId="77777777" w:rsidR="00DA611C" w:rsidRDefault="00DA611C">
      <w:pPr>
        <w:spacing w:after="0" w:line="240" w:lineRule="auto"/>
      </w:pPr>
      <w:r>
        <w:separator/>
      </w:r>
    </w:p>
  </w:endnote>
  <w:endnote w:type="continuationSeparator" w:id="0">
    <w:p w14:paraId="7220CF7D" w14:textId="77777777" w:rsidR="00DA611C" w:rsidRDefault="00DA6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3" w14:textId="319A4AF7" w:rsidR="00B438EF" w:rsidRDefault="008073F8">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51289">
      <w:rPr>
        <w:noProof/>
        <w:color w:val="000000"/>
      </w:rPr>
      <w:t>1</w:t>
    </w:r>
    <w:r>
      <w:rPr>
        <w:color w:val="000000"/>
      </w:rPr>
      <w:fldChar w:fldCharType="end"/>
    </w:r>
  </w:p>
  <w:p w14:paraId="00000094" w14:textId="77777777" w:rsidR="00B438EF" w:rsidRDefault="00B438E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A9BC65" w14:textId="77777777" w:rsidR="00DA611C" w:rsidRDefault="00DA611C">
      <w:pPr>
        <w:spacing w:after="0" w:line="240" w:lineRule="auto"/>
      </w:pPr>
      <w:r>
        <w:separator/>
      </w:r>
    </w:p>
  </w:footnote>
  <w:footnote w:type="continuationSeparator" w:id="0">
    <w:p w14:paraId="28DB858E" w14:textId="77777777" w:rsidR="00DA611C" w:rsidRDefault="00DA61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8EF"/>
    <w:rsid w:val="000A2161"/>
    <w:rsid w:val="006A192D"/>
    <w:rsid w:val="008073F8"/>
    <w:rsid w:val="008868FF"/>
    <w:rsid w:val="00951289"/>
    <w:rsid w:val="00B438EF"/>
    <w:rsid w:val="00D915AC"/>
    <w:rsid w:val="00DA611C"/>
    <w:rsid w:val="00E0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9B51"/>
  <w15:docId w15:val="{780FDE47-85A1-4D14-AFAF-342964730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14</Pages>
  <Words>3625</Words>
  <Characters>20665</Characters>
  <Application>Microsoft Office Word</Application>
  <DocSecurity>0</DocSecurity>
  <Lines>172</Lines>
  <Paragraphs>48</Paragraphs>
  <ScaleCrop>false</ScaleCrop>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Kristina Spasova (2014059)</cp:lastModifiedBy>
  <cp:revision>5</cp:revision>
  <dcterms:created xsi:type="dcterms:W3CDTF">2020-12-13T04:43:00Z</dcterms:created>
  <dcterms:modified xsi:type="dcterms:W3CDTF">2020-12-13T05:20:00Z</dcterms:modified>
</cp:coreProperties>
</file>