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CB6222A">
      <w:pPr>
        <w:spacing w:before="160" w:after="60"/>
        <w:jc w:val="center"/>
        <w:rPr>
          <w:color w:val="8064A2" w:themeColor="accent4"/>
          <w14:textFill>
            <w14:solidFill>
              <w14:schemeClr w14:val="accent4"/>
            </w14:solidFill>
          </w14:textFill>
        </w:rPr>
      </w:pPr>
      <w:r>
        <w:rPr>
          <w:rFonts w:eastAsia="Arial"/>
          <w:b/>
          <w:color w:val="8064A2" w:themeColor="accent4"/>
          <w:sz w:val="50"/>
          <w14:textFill>
            <w14:solidFill>
              <w14:schemeClr w14:val="accent4"/>
            </w14:solidFill>
          </w14:textFill>
        </w:rPr>
        <w:t>TYPE 2 DIABETES MELLITUS</w:t>
      </w:r>
    </w:p>
    <w:p w14:paraId="024989E4">
      <w:pPr>
        <w:spacing w:after="280"/>
        <w:jc w:val="center"/>
        <w:rPr>
          <w:color w:val="30363C"/>
          <w:sz w:val="30"/>
        </w:rPr>
      </w:pPr>
      <w:r>
        <w:rPr>
          <w:rFonts w:eastAsia="Arial"/>
          <w:color w:val="30363C"/>
          <w:sz w:val="30"/>
        </w:rPr>
        <w:t>An Information Booklet on Long-term Condition Management</w:t>
      </w:r>
    </w:p>
    <w:p w14:paraId="326C40B7">
      <w:pPr>
        <w:spacing w:after="280"/>
        <w:jc w:val="center"/>
      </w:pPr>
      <w:r>
        <w:rPr>
          <w:rFonts w:eastAsia="Arial"/>
        </w:rPr>
        <w:drawing>
          <wp:inline distT="0" distB="0" distL="0" distR="0">
            <wp:extent cx="5657215" cy="4244340"/>
            <wp:effectExtent l="0" t="0" r="635" b="3810"/>
            <wp:docPr id="514494436" name="Picture 1" descr="Future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94436" name="Picture 1" descr="Future Healt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664911" cy="4249841"/>
                    </a:xfrm>
                    <a:prstGeom prst="rect">
                      <a:avLst/>
                    </a:prstGeom>
                    <a:noFill/>
                    <a:ln>
                      <a:noFill/>
                    </a:ln>
                  </pic:spPr>
                </pic:pic>
              </a:graphicData>
            </a:graphic>
          </wp:inline>
        </w:drawing>
      </w:r>
    </w:p>
    <w:p w14:paraId="5A3BA121">
      <w:pPr>
        <w:spacing w:after="60"/>
        <w:jc w:val="center"/>
      </w:pPr>
      <w:r>
        <w:rPr>
          <w:rFonts w:eastAsia="Arial"/>
          <w:b/>
          <w:sz w:val="23"/>
        </w:rPr>
        <w:t>LCHS7003 – Community Care and Management of Longer-term Conditions</w:t>
      </w:r>
    </w:p>
    <w:p w14:paraId="1603BE8B">
      <w:pPr>
        <w:spacing w:after="40"/>
        <w:jc w:val="center"/>
        <w:rPr>
          <w:rFonts w:hint="default"/>
          <w:lang w:val="en-US"/>
        </w:rPr>
      </w:pPr>
      <w:r>
        <w:rPr>
          <w:rFonts w:eastAsia="Arial"/>
          <w:color w:val="2A3036"/>
          <w:sz w:val="21"/>
        </w:rPr>
        <w:t xml:space="preserve">Student name: </w:t>
      </w:r>
      <w:r>
        <w:rPr>
          <w:rFonts w:hint="default" w:eastAsia="Arial"/>
          <w:color w:val="2A3036"/>
          <w:sz w:val="21"/>
          <w:lang w:val="en-US"/>
        </w:rPr>
        <w:t>Drashti Shirke</w:t>
      </w:r>
    </w:p>
    <w:p w14:paraId="28B19A1D">
      <w:pPr>
        <w:spacing w:after="40"/>
        <w:jc w:val="center"/>
        <w:rPr>
          <w:rFonts w:hint="default"/>
          <w:lang w:val="en-US"/>
        </w:rPr>
      </w:pPr>
      <w:r>
        <w:rPr>
          <w:rFonts w:eastAsia="Arial"/>
          <w:color w:val="2A3036"/>
          <w:sz w:val="21"/>
        </w:rPr>
        <w:t xml:space="preserve">Student ID number: </w:t>
      </w:r>
      <w:r>
        <w:rPr>
          <w:rFonts w:hint="default" w:eastAsia="Arial"/>
          <w:color w:val="2A3036"/>
          <w:sz w:val="21"/>
          <w:lang w:val="en-US"/>
        </w:rPr>
        <w:t>2539016</w:t>
      </w:r>
      <w:bookmarkStart w:id="18" w:name="_GoBack"/>
      <w:bookmarkEnd w:id="18"/>
    </w:p>
    <w:p w14:paraId="4072062E">
      <w:pPr>
        <w:spacing w:after="40"/>
        <w:jc w:val="center"/>
      </w:pPr>
      <w:r>
        <w:rPr>
          <w:rFonts w:eastAsia="Arial"/>
          <w:color w:val="2A3036"/>
          <w:sz w:val="21"/>
        </w:rPr>
        <w:t>Lecturer: Dr Aishat Bakre</w:t>
      </w:r>
    </w:p>
    <w:p w14:paraId="7163DCAA">
      <w:pPr>
        <w:spacing w:after="40"/>
        <w:jc w:val="center"/>
      </w:pPr>
      <w:r>
        <w:rPr>
          <w:rFonts w:eastAsia="Arial"/>
          <w:color w:val="2A3036"/>
          <w:sz w:val="21"/>
        </w:rPr>
        <w:t>Programme: MSc Public Health and Social Care in Practice</w:t>
      </w:r>
    </w:p>
    <w:p w14:paraId="1F154A50">
      <w:pPr>
        <w:spacing w:after="40"/>
        <w:jc w:val="center"/>
      </w:pPr>
      <w:r>
        <w:rPr>
          <w:rFonts w:eastAsia="Arial"/>
          <w:color w:val="2A3036"/>
          <w:sz w:val="21"/>
        </w:rPr>
        <w:t>Submission date: 23 October 2026</w:t>
      </w:r>
    </w:p>
    <w:p w14:paraId="76F9571B">
      <w:r>
        <w:rPr>
          <w:rFonts w:eastAsia="Arial"/>
        </w:rPr>
        <w:br w:type="page"/>
      </w:r>
    </w:p>
    <w:sdt>
      <w:sdtPr>
        <w:id w:val="1523824458"/>
        <w:docPartObj>
          <w:docPartGallery w:val="Table of Contents"/>
          <w:docPartUnique/>
        </w:docPartObj>
      </w:sdtPr>
      <w:sdtEndPr>
        <w:rPr>
          <w:rFonts w:ascii="Arial" w:hAnsi="Arial" w:eastAsiaTheme="minorEastAsia" w:cstheme="minorBidi"/>
          <w:color w:val="242B33"/>
          <w:sz w:val="22"/>
          <w:szCs w:val="22"/>
        </w:rPr>
      </w:sdtEndPr>
      <w:sdtContent>
        <w:p w14:paraId="6F30F87D">
          <w:pPr>
            <w:pStyle w:val="166"/>
            <w:jc w:val="center"/>
          </w:pPr>
          <w:r>
            <w:t>Table of Contents</w:t>
          </w:r>
        </w:p>
        <w:p w14:paraId="0CA8D686">
          <w:pPr>
            <w:pStyle w:val="38"/>
            <w:tabs>
              <w:tab w:val="right" w:leader="dot" w:pos="9016"/>
            </w:tabs>
          </w:pPr>
          <w:r>
            <w:fldChar w:fldCharType="begin"/>
          </w:r>
          <w:r>
            <w:instrText xml:space="preserve"> TOC \o "1-3" \h \z \u </w:instrText>
          </w:r>
          <w:r>
            <w:fldChar w:fldCharType="separate"/>
          </w:r>
          <w:r>
            <w:fldChar w:fldCharType="begin"/>
          </w:r>
          <w:r>
            <w:instrText xml:space="preserve"> HYPERLINK \l "_Toc243735980" </w:instrText>
          </w:r>
          <w:r>
            <w:fldChar w:fldCharType="separate"/>
          </w:r>
          <w:r>
            <w:rPr>
              <w:rStyle w:val="20"/>
              <w:rFonts w:eastAsia="Arial"/>
            </w:rPr>
            <w:t>1. Definition</w:t>
          </w:r>
          <w:r>
            <w:tab/>
          </w:r>
          <w:r>
            <w:fldChar w:fldCharType="begin"/>
          </w:r>
          <w:r>
            <w:instrText xml:space="preserve"> PAGEREF _Toc243735980 \h </w:instrText>
          </w:r>
          <w:r>
            <w:fldChar w:fldCharType="separate"/>
          </w:r>
          <w:r>
            <w:t>2</w:t>
          </w:r>
          <w:r>
            <w:fldChar w:fldCharType="end"/>
          </w:r>
          <w:r>
            <w:fldChar w:fldCharType="end"/>
          </w:r>
        </w:p>
        <w:p w14:paraId="443A8A80">
          <w:pPr>
            <w:pStyle w:val="38"/>
            <w:tabs>
              <w:tab w:val="right" w:leader="dot" w:pos="9016"/>
            </w:tabs>
          </w:pPr>
          <w:r>
            <w:fldChar w:fldCharType="begin"/>
          </w:r>
          <w:r>
            <w:instrText xml:space="preserve"> HYPERLINK \l "_Toc243735981" </w:instrText>
          </w:r>
          <w:r>
            <w:fldChar w:fldCharType="separate"/>
          </w:r>
          <w:r>
            <w:rPr>
              <w:rStyle w:val="20"/>
            </w:rPr>
            <w:t>2. Burden / Prevalence</w:t>
          </w:r>
          <w:r>
            <w:tab/>
          </w:r>
          <w:r>
            <w:fldChar w:fldCharType="begin"/>
          </w:r>
          <w:r>
            <w:instrText xml:space="preserve"> PAGEREF _Toc243735981 \h </w:instrText>
          </w:r>
          <w:r>
            <w:fldChar w:fldCharType="separate"/>
          </w:r>
          <w:r>
            <w:t>3</w:t>
          </w:r>
          <w:r>
            <w:fldChar w:fldCharType="end"/>
          </w:r>
          <w:r>
            <w:fldChar w:fldCharType="end"/>
          </w:r>
        </w:p>
        <w:p w14:paraId="14E036B5">
          <w:pPr>
            <w:pStyle w:val="38"/>
            <w:tabs>
              <w:tab w:val="right" w:leader="dot" w:pos="9016"/>
            </w:tabs>
          </w:pPr>
          <w:r>
            <w:fldChar w:fldCharType="begin"/>
          </w:r>
          <w:r>
            <w:instrText xml:space="preserve"> HYPERLINK \l "_Toc243735982" </w:instrText>
          </w:r>
          <w:r>
            <w:fldChar w:fldCharType="separate"/>
          </w:r>
          <w:r>
            <w:rPr>
              <w:rStyle w:val="20"/>
            </w:rPr>
            <w:t>3. Risk Factors</w:t>
          </w:r>
          <w:r>
            <w:tab/>
          </w:r>
          <w:r>
            <w:fldChar w:fldCharType="begin"/>
          </w:r>
          <w:r>
            <w:instrText xml:space="preserve"> PAGEREF _Toc243735982 \h </w:instrText>
          </w:r>
          <w:r>
            <w:fldChar w:fldCharType="separate"/>
          </w:r>
          <w:r>
            <w:t>5</w:t>
          </w:r>
          <w:r>
            <w:fldChar w:fldCharType="end"/>
          </w:r>
          <w:r>
            <w:fldChar w:fldCharType="end"/>
          </w:r>
        </w:p>
        <w:p w14:paraId="789F67EF">
          <w:pPr>
            <w:pStyle w:val="39"/>
            <w:tabs>
              <w:tab w:val="right" w:leader="dot" w:pos="9016"/>
            </w:tabs>
          </w:pPr>
          <w:r>
            <w:fldChar w:fldCharType="begin"/>
          </w:r>
          <w:r>
            <w:instrText xml:space="preserve"> HYPERLINK \l "_Toc243735983" </w:instrText>
          </w:r>
          <w:r>
            <w:fldChar w:fldCharType="separate"/>
          </w:r>
          <w:r>
            <w:rPr>
              <w:rStyle w:val="20"/>
            </w:rPr>
            <w:t>3.1 Modifiable risk factors</w:t>
          </w:r>
          <w:r>
            <w:tab/>
          </w:r>
          <w:r>
            <w:fldChar w:fldCharType="begin"/>
          </w:r>
          <w:r>
            <w:instrText xml:space="preserve"> PAGEREF _Toc243735983 \h </w:instrText>
          </w:r>
          <w:r>
            <w:fldChar w:fldCharType="separate"/>
          </w:r>
          <w:r>
            <w:t>5</w:t>
          </w:r>
          <w:r>
            <w:fldChar w:fldCharType="end"/>
          </w:r>
          <w:r>
            <w:fldChar w:fldCharType="end"/>
          </w:r>
        </w:p>
        <w:p w14:paraId="16634625">
          <w:pPr>
            <w:pStyle w:val="39"/>
            <w:tabs>
              <w:tab w:val="right" w:leader="dot" w:pos="9016"/>
            </w:tabs>
          </w:pPr>
          <w:r>
            <w:fldChar w:fldCharType="begin"/>
          </w:r>
          <w:r>
            <w:instrText xml:space="preserve"> HYPERLINK \l "_Toc243735984" </w:instrText>
          </w:r>
          <w:r>
            <w:fldChar w:fldCharType="separate"/>
          </w:r>
          <w:r>
            <w:rPr>
              <w:rStyle w:val="20"/>
            </w:rPr>
            <w:t>3.2 Non-modifiable or difficult-to-modify risk factors</w:t>
          </w:r>
          <w:r>
            <w:tab/>
          </w:r>
          <w:r>
            <w:fldChar w:fldCharType="begin"/>
          </w:r>
          <w:r>
            <w:instrText xml:space="preserve"> PAGEREF _Toc243735984 \h </w:instrText>
          </w:r>
          <w:r>
            <w:fldChar w:fldCharType="separate"/>
          </w:r>
          <w:r>
            <w:t>6</w:t>
          </w:r>
          <w:r>
            <w:fldChar w:fldCharType="end"/>
          </w:r>
          <w:r>
            <w:fldChar w:fldCharType="end"/>
          </w:r>
        </w:p>
        <w:p w14:paraId="7986B8E7">
          <w:pPr>
            <w:pStyle w:val="38"/>
            <w:tabs>
              <w:tab w:val="right" w:leader="dot" w:pos="9016"/>
            </w:tabs>
          </w:pPr>
          <w:r>
            <w:fldChar w:fldCharType="begin"/>
          </w:r>
          <w:r>
            <w:instrText xml:space="preserve"> HYPERLINK \l "_Toc243735985" </w:instrText>
          </w:r>
          <w:r>
            <w:fldChar w:fldCharType="separate"/>
          </w:r>
          <w:r>
            <w:rPr>
              <w:rStyle w:val="20"/>
              <w:rFonts w:eastAsia="Arial"/>
            </w:rPr>
            <w:t>4. Aim</w:t>
          </w:r>
          <w:r>
            <w:tab/>
          </w:r>
          <w:r>
            <w:fldChar w:fldCharType="begin"/>
          </w:r>
          <w:r>
            <w:instrText xml:space="preserve"> PAGEREF _Toc243735985 \h </w:instrText>
          </w:r>
          <w:r>
            <w:fldChar w:fldCharType="separate"/>
          </w:r>
          <w:r>
            <w:t>6</w:t>
          </w:r>
          <w:r>
            <w:fldChar w:fldCharType="end"/>
          </w:r>
          <w:r>
            <w:fldChar w:fldCharType="end"/>
          </w:r>
        </w:p>
        <w:p w14:paraId="4070705A">
          <w:pPr>
            <w:pStyle w:val="38"/>
            <w:tabs>
              <w:tab w:val="right" w:leader="dot" w:pos="9016"/>
            </w:tabs>
          </w:pPr>
          <w:r>
            <w:fldChar w:fldCharType="begin"/>
          </w:r>
          <w:r>
            <w:instrText xml:space="preserve"> HYPERLINK \l "_Toc243735986" </w:instrText>
          </w:r>
          <w:r>
            <w:fldChar w:fldCharType="separate"/>
          </w:r>
          <w:r>
            <w:rPr>
              <w:rStyle w:val="20"/>
            </w:rPr>
            <w:t>5. Physical, Psychological and Social Implications</w:t>
          </w:r>
          <w:r>
            <w:tab/>
          </w:r>
          <w:r>
            <w:fldChar w:fldCharType="begin"/>
          </w:r>
          <w:r>
            <w:instrText xml:space="preserve"> PAGEREF _Toc243735986 \h </w:instrText>
          </w:r>
          <w:r>
            <w:fldChar w:fldCharType="separate"/>
          </w:r>
          <w:r>
            <w:t>6</w:t>
          </w:r>
          <w:r>
            <w:fldChar w:fldCharType="end"/>
          </w:r>
          <w:r>
            <w:fldChar w:fldCharType="end"/>
          </w:r>
        </w:p>
        <w:p w14:paraId="3492FF0B">
          <w:pPr>
            <w:pStyle w:val="39"/>
            <w:tabs>
              <w:tab w:val="right" w:leader="dot" w:pos="9016"/>
            </w:tabs>
          </w:pPr>
          <w:r>
            <w:fldChar w:fldCharType="begin"/>
          </w:r>
          <w:r>
            <w:instrText xml:space="preserve"> HYPERLINK \l "_Toc243735987" </w:instrText>
          </w:r>
          <w:r>
            <w:fldChar w:fldCharType="separate"/>
          </w:r>
          <w:r>
            <w:rPr>
              <w:rStyle w:val="20"/>
            </w:rPr>
            <w:t>5.1 Physical implications</w:t>
          </w:r>
          <w:r>
            <w:tab/>
          </w:r>
          <w:r>
            <w:fldChar w:fldCharType="begin"/>
          </w:r>
          <w:r>
            <w:instrText xml:space="preserve"> PAGEREF _Toc243735987 \h </w:instrText>
          </w:r>
          <w:r>
            <w:fldChar w:fldCharType="separate"/>
          </w:r>
          <w:r>
            <w:t>6</w:t>
          </w:r>
          <w:r>
            <w:fldChar w:fldCharType="end"/>
          </w:r>
          <w:r>
            <w:fldChar w:fldCharType="end"/>
          </w:r>
        </w:p>
        <w:p w14:paraId="064F1461">
          <w:pPr>
            <w:pStyle w:val="39"/>
            <w:tabs>
              <w:tab w:val="right" w:leader="dot" w:pos="9016"/>
            </w:tabs>
          </w:pPr>
          <w:r>
            <w:fldChar w:fldCharType="begin"/>
          </w:r>
          <w:r>
            <w:instrText xml:space="preserve"> HYPERLINK \l "_Toc243735988" </w:instrText>
          </w:r>
          <w:r>
            <w:fldChar w:fldCharType="separate"/>
          </w:r>
          <w:r>
            <w:rPr>
              <w:rStyle w:val="20"/>
            </w:rPr>
            <w:t>5.2 Psychological implications</w:t>
          </w:r>
          <w:r>
            <w:tab/>
          </w:r>
          <w:r>
            <w:fldChar w:fldCharType="begin"/>
          </w:r>
          <w:r>
            <w:instrText xml:space="preserve"> PAGEREF _Toc243735988 \h </w:instrText>
          </w:r>
          <w:r>
            <w:fldChar w:fldCharType="separate"/>
          </w:r>
          <w:r>
            <w:t>6</w:t>
          </w:r>
          <w:r>
            <w:fldChar w:fldCharType="end"/>
          </w:r>
          <w:r>
            <w:fldChar w:fldCharType="end"/>
          </w:r>
        </w:p>
        <w:p w14:paraId="22CD7660">
          <w:pPr>
            <w:pStyle w:val="39"/>
            <w:tabs>
              <w:tab w:val="right" w:leader="dot" w:pos="9016"/>
            </w:tabs>
          </w:pPr>
          <w:r>
            <w:fldChar w:fldCharType="begin"/>
          </w:r>
          <w:r>
            <w:instrText xml:space="preserve"> HYPERLINK \l "_Toc243735989" </w:instrText>
          </w:r>
          <w:r>
            <w:fldChar w:fldCharType="separate"/>
          </w:r>
          <w:r>
            <w:rPr>
              <w:rStyle w:val="20"/>
            </w:rPr>
            <w:t>5.3 Social implications</w:t>
          </w:r>
          <w:r>
            <w:tab/>
          </w:r>
          <w:r>
            <w:fldChar w:fldCharType="begin"/>
          </w:r>
          <w:r>
            <w:instrText xml:space="preserve"> PAGEREF _Toc243735989 \h </w:instrText>
          </w:r>
          <w:r>
            <w:fldChar w:fldCharType="separate"/>
          </w:r>
          <w:r>
            <w:t>7</w:t>
          </w:r>
          <w:r>
            <w:fldChar w:fldCharType="end"/>
          </w:r>
          <w:r>
            <w:fldChar w:fldCharType="end"/>
          </w:r>
        </w:p>
        <w:p w14:paraId="3F431000">
          <w:pPr>
            <w:pStyle w:val="38"/>
            <w:tabs>
              <w:tab w:val="right" w:leader="dot" w:pos="9016"/>
            </w:tabs>
          </w:pPr>
          <w:r>
            <w:fldChar w:fldCharType="begin"/>
          </w:r>
          <w:r>
            <w:instrText xml:space="preserve"> HYPERLINK \l "_Toc243735990" </w:instrText>
          </w:r>
          <w:r>
            <w:fldChar w:fldCharType="separate"/>
          </w:r>
          <w:r>
            <w:rPr>
              <w:rStyle w:val="20"/>
              <w:rFonts w:eastAsia="Arial"/>
            </w:rPr>
            <w:t>6. Evidence-based Treatment and Management in the NHS</w:t>
          </w:r>
          <w:r>
            <w:tab/>
          </w:r>
          <w:r>
            <w:fldChar w:fldCharType="begin"/>
          </w:r>
          <w:r>
            <w:instrText xml:space="preserve"> PAGEREF _Toc243735990 \h </w:instrText>
          </w:r>
          <w:r>
            <w:fldChar w:fldCharType="separate"/>
          </w:r>
          <w:r>
            <w:t>7</w:t>
          </w:r>
          <w:r>
            <w:fldChar w:fldCharType="end"/>
          </w:r>
          <w:r>
            <w:fldChar w:fldCharType="end"/>
          </w:r>
        </w:p>
        <w:p w14:paraId="0AC9A2A6">
          <w:pPr>
            <w:pStyle w:val="38"/>
            <w:tabs>
              <w:tab w:val="right" w:leader="dot" w:pos="9016"/>
            </w:tabs>
          </w:pPr>
          <w:r>
            <w:fldChar w:fldCharType="begin"/>
          </w:r>
          <w:r>
            <w:instrText xml:space="preserve"> HYPERLINK \l "_Toc243735991" </w:instrText>
          </w:r>
          <w:r>
            <w:fldChar w:fldCharType="separate"/>
          </w:r>
          <w:r>
            <w:rPr>
              <w:rStyle w:val="20"/>
              <w:rFonts w:eastAsia="Arial"/>
            </w:rPr>
            <w:t>7. Theoretical Models and Frameworks for Improved Outcomes</w:t>
          </w:r>
          <w:r>
            <w:tab/>
          </w:r>
          <w:r>
            <w:fldChar w:fldCharType="begin"/>
          </w:r>
          <w:r>
            <w:instrText xml:space="preserve"> PAGEREF _Toc243735991 \h </w:instrText>
          </w:r>
          <w:r>
            <w:fldChar w:fldCharType="separate"/>
          </w:r>
          <w:r>
            <w:t>8</w:t>
          </w:r>
          <w:r>
            <w:fldChar w:fldCharType="end"/>
          </w:r>
          <w:r>
            <w:fldChar w:fldCharType="end"/>
          </w:r>
        </w:p>
        <w:p w14:paraId="74717B31">
          <w:pPr>
            <w:pStyle w:val="39"/>
            <w:tabs>
              <w:tab w:val="right" w:leader="dot" w:pos="9016"/>
            </w:tabs>
          </w:pPr>
          <w:r>
            <w:fldChar w:fldCharType="begin"/>
          </w:r>
          <w:r>
            <w:instrText xml:space="preserve"> HYPERLINK \l "_Toc243735992" </w:instrText>
          </w:r>
          <w:r>
            <w:fldChar w:fldCharType="separate"/>
          </w:r>
          <w:r>
            <w:rPr>
              <w:rStyle w:val="20"/>
              <w:rFonts w:eastAsia="Arial"/>
            </w:rPr>
            <w:t>7.1 UK model: House of Care framework for Type 2 Diabetes</w:t>
          </w:r>
          <w:r>
            <w:tab/>
          </w:r>
          <w:r>
            <w:fldChar w:fldCharType="begin"/>
          </w:r>
          <w:r>
            <w:instrText xml:space="preserve"> PAGEREF _Toc243735992 \h </w:instrText>
          </w:r>
          <w:r>
            <w:fldChar w:fldCharType="separate"/>
          </w:r>
          <w:r>
            <w:t>8</w:t>
          </w:r>
          <w:r>
            <w:fldChar w:fldCharType="end"/>
          </w:r>
          <w:r>
            <w:fldChar w:fldCharType="end"/>
          </w:r>
        </w:p>
        <w:p w14:paraId="408FEC2E">
          <w:pPr>
            <w:pStyle w:val="39"/>
            <w:tabs>
              <w:tab w:val="right" w:leader="dot" w:pos="9016"/>
            </w:tabs>
          </w:pPr>
          <w:r>
            <w:fldChar w:fldCharType="begin"/>
          </w:r>
          <w:r>
            <w:instrText xml:space="preserve"> HYPERLINK \l "_Toc243735993" </w:instrText>
          </w:r>
          <w:r>
            <w:fldChar w:fldCharType="separate"/>
          </w:r>
          <w:r>
            <w:rPr>
              <w:rStyle w:val="20"/>
            </w:rPr>
            <w:t>7.2 Application of the internationally developed Chronic Care Model to Type 2 Diabetes Management</w:t>
          </w:r>
          <w:r>
            <w:tab/>
          </w:r>
          <w:r>
            <w:fldChar w:fldCharType="begin"/>
          </w:r>
          <w:r>
            <w:instrText xml:space="preserve"> PAGEREF _Toc243735993 \h </w:instrText>
          </w:r>
          <w:r>
            <w:fldChar w:fldCharType="separate"/>
          </w:r>
          <w:r>
            <w:t>10</w:t>
          </w:r>
          <w:r>
            <w:fldChar w:fldCharType="end"/>
          </w:r>
          <w:r>
            <w:fldChar w:fldCharType="end"/>
          </w:r>
        </w:p>
        <w:p w14:paraId="6C647168">
          <w:pPr>
            <w:pStyle w:val="38"/>
            <w:tabs>
              <w:tab w:val="right" w:leader="dot" w:pos="9016"/>
            </w:tabs>
          </w:pPr>
          <w:r>
            <w:fldChar w:fldCharType="begin"/>
          </w:r>
          <w:r>
            <w:instrText xml:space="preserve"> HYPERLINK \l "_Toc243735994" </w:instrText>
          </w:r>
          <w:r>
            <w:fldChar w:fldCharType="separate"/>
          </w:r>
          <w:r>
            <w:rPr>
              <w:rStyle w:val="20"/>
            </w:rPr>
            <w:t>8. Health and Social Care Policies and Agendas</w:t>
          </w:r>
          <w:r>
            <w:tab/>
          </w:r>
          <w:r>
            <w:fldChar w:fldCharType="begin"/>
          </w:r>
          <w:r>
            <w:instrText xml:space="preserve"> PAGEREF _Toc243735994 \h </w:instrText>
          </w:r>
          <w:r>
            <w:fldChar w:fldCharType="separate"/>
          </w:r>
          <w:r>
            <w:t>11</w:t>
          </w:r>
          <w:r>
            <w:fldChar w:fldCharType="end"/>
          </w:r>
          <w:r>
            <w:fldChar w:fldCharType="end"/>
          </w:r>
        </w:p>
        <w:p w14:paraId="645F94AC">
          <w:pPr>
            <w:pStyle w:val="38"/>
            <w:tabs>
              <w:tab w:val="right" w:leader="dot" w:pos="9016"/>
            </w:tabs>
          </w:pPr>
          <w:r>
            <w:fldChar w:fldCharType="begin"/>
          </w:r>
          <w:r>
            <w:instrText xml:space="preserve"> HYPERLINK \l "_Toc243735995" </w:instrText>
          </w:r>
          <w:r>
            <w:fldChar w:fldCharType="separate"/>
          </w:r>
          <w:r>
            <w:rPr>
              <w:rStyle w:val="20"/>
              <w:rFonts w:eastAsia="Arial"/>
            </w:rPr>
            <w:t>9. Recommendations for Improvement</w:t>
          </w:r>
          <w:r>
            <w:tab/>
          </w:r>
          <w:r>
            <w:fldChar w:fldCharType="begin"/>
          </w:r>
          <w:r>
            <w:instrText xml:space="preserve"> PAGEREF _Toc243735995 \h </w:instrText>
          </w:r>
          <w:r>
            <w:fldChar w:fldCharType="separate"/>
          </w:r>
          <w:r>
            <w:t>11</w:t>
          </w:r>
          <w:r>
            <w:fldChar w:fldCharType="end"/>
          </w:r>
          <w:r>
            <w:fldChar w:fldCharType="end"/>
          </w:r>
        </w:p>
        <w:p w14:paraId="41D767EC">
          <w:pPr>
            <w:pStyle w:val="38"/>
            <w:tabs>
              <w:tab w:val="right" w:leader="dot" w:pos="9016"/>
            </w:tabs>
          </w:pPr>
          <w:r>
            <w:fldChar w:fldCharType="begin"/>
          </w:r>
          <w:r>
            <w:instrText xml:space="preserve"> HYPERLINK \l "_Toc243735996" </w:instrText>
          </w:r>
          <w:r>
            <w:fldChar w:fldCharType="separate"/>
          </w:r>
          <w:r>
            <w:rPr>
              <w:rStyle w:val="20"/>
            </w:rPr>
            <w:t>10. Conclusion</w:t>
          </w:r>
          <w:r>
            <w:tab/>
          </w:r>
          <w:r>
            <w:fldChar w:fldCharType="begin"/>
          </w:r>
          <w:r>
            <w:instrText xml:space="preserve"> PAGEREF _Toc243735996 \h </w:instrText>
          </w:r>
          <w:r>
            <w:fldChar w:fldCharType="separate"/>
          </w:r>
          <w:r>
            <w:t>12</w:t>
          </w:r>
          <w:r>
            <w:fldChar w:fldCharType="end"/>
          </w:r>
          <w:r>
            <w:fldChar w:fldCharType="end"/>
          </w:r>
        </w:p>
        <w:p w14:paraId="7FBA8F9D">
          <w:pPr>
            <w:pStyle w:val="38"/>
            <w:tabs>
              <w:tab w:val="right" w:leader="dot" w:pos="9016"/>
            </w:tabs>
          </w:pPr>
          <w:r>
            <w:fldChar w:fldCharType="begin"/>
          </w:r>
          <w:r>
            <w:instrText xml:space="preserve"> HYPERLINK \l "_Toc243735997" </w:instrText>
          </w:r>
          <w:r>
            <w:fldChar w:fldCharType="separate"/>
          </w:r>
          <w:r>
            <w:rPr>
              <w:rStyle w:val="20"/>
            </w:rPr>
            <w:t>Reference List</w:t>
          </w:r>
          <w:r>
            <w:tab/>
          </w:r>
          <w:r>
            <w:fldChar w:fldCharType="begin"/>
          </w:r>
          <w:r>
            <w:instrText xml:space="preserve"> PAGEREF _Toc243735997 \h </w:instrText>
          </w:r>
          <w:r>
            <w:fldChar w:fldCharType="separate"/>
          </w:r>
          <w:r>
            <w:t>13</w:t>
          </w:r>
          <w:r>
            <w:fldChar w:fldCharType="end"/>
          </w:r>
          <w:r>
            <w:fldChar w:fldCharType="end"/>
          </w:r>
        </w:p>
        <w:p w14:paraId="44B9B425">
          <w:r>
            <w:rPr>
              <w:b/>
              <w:bCs/>
            </w:rPr>
            <w:fldChar w:fldCharType="end"/>
          </w:r>
        </w:p>
      </w:sdtContent>
    </w:sdt>
    <w:p w14:paraId="708F8AF2">
      <w:pPr>
        <w:spacing w:after="200" w:line="276" w:lineRule="auto"/>
        <w:jc w:val="left"/>
        <w:rPr>
          <w:rFonts w:eastAsia="Arial" w:cstheme="majorBidi"/>
          <w:b/>
          <w:bCs/>
          <w:color w:val="184669"/>
          <w:sz w:val="30"/>
          <w:szCs w:val="28"/>
        </w:rPr>
      </w:pPr>
      <w:bookmarkStart w:id="0" w:name="_Toc243735980"/>
      <w:r>
        <w:rPr>
          <w:rFonts w:eastAsia="Arial"/>
        </w:rPr>
        <w:br w:type="page"/>
      </w:r>
    </w:p>
    <w:p w14:paraId="0D7A0B4A">
      <w:pPr>
        <w:pStyle w:val="2"/>
        <w:rPr>
          <w:rFonts w:ascii="Arial" w:hAnsi="Arial" w:eastAsia="Arial"/>
        </w:rPr>
      </w:pPr>
      <w:r>
        <w:rPr>
          <w:rFonts w:ascii="Arial" w:hAnsi="Arial" w:eastAsia="Arial"/>
        </w:rPr>
        <w:t>1. Definition</w:t>
      </w:r>
      <w:bookmarkEnd w:id="0"/>
    </w:p>
    <w:p w14:paraId="0153B871">
      <w:r>
        <w:t>Type 2 diabetes mellitus is a chronic condition characterised by high blood glucose levels as a result of poor response of the cells to insulin and low insulin production by the pancreas. Glucose is normally taken from the blood by insulin to give energy to the body. Insulin resistance and low insulin production lead to constant hyperglycemia (WHO, 2024; American Diabetes Association Professional Practice Committee, 2025a).</w:t>
      </w:r>
    </w:p>
    <w:p w14:paraId="2A2E9B22">
      <w:r>
        <w:t>The disease can develop slowly without clear symptoms. Symptoms of the disease include increased thirst, increased urination, feeling tired, blurred vision, slow healing and recurrent infections. Diagnosis is done through HbA1c test or plasma glucose test as per clinical interpretation. The HbA1c shows the average glucose level over the past two to three months (NHS, n.d.-a; WHO, 2024).</w:t>
      </w:r>
    </w:p>
    <w:p w14:paraId="0D6FA4AE">
      <w:pPr>
        <w:spacing w:before="40" w:after="20"/>
        <w:jc w:val="center"/>
      </w:pPr>
      <w:r>
        <w:rPr>
          <w:rFonts w:eastAsia="Arial"/>
        </w:rPr>
        <w:drawing>
          <wp:inline distT="0" distB="0" distL="0" distR="0">
            <wp:extent cx="5464175" cy="3329940"/>
            <wp:effectExtent l="0" t="0" r="3175" b="3810"/>
            <wp:docPr id="228704835" name="Picture 2" descr="Types 2 of Diabetes Mellitus. Comparison of cell work in diabetes and in a healthy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704835" name="Picture 2" descr="Types 2 of Diabetes Mellitus. Comparison of cell work in diabetes and in a healthy bod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469131" cy="3332752"/>
                    </a:xfrm>
                    <a:prstGeom prst="rect">
                      <a:avLst/>
                    </a:prstGeom>
                    <a:noFill/>
                    <a:ln>
                      <a:noFill/>
                    </a:ln>
                  </pic:spPr>
                </pic:pic>
              </a:graphicData>
            </a:graphic>
          </wp:inline>
        </w:drawing>
      </w:r>
    </w:p>
    <w:p w14:paraId="264092BD">
      <w:pPr>
        <w:spacing w:after="160"/>
        <w:jc w:val="center"/>
        <w:rPr>
          <w:b/>
          <w:sz w:val="19"/>
          <w:lang w:val="en-IN"/>
        </w:rPr>
      </w:pPr>
      <w:r>
        <w:rPr>
          <w:rFonts w:eastAsia="Arial"/>
          <w:b/>
          <w:bCs/>
        </w:rPr>
        <w:t>Figure 1.</w:t>
      </w:r>
      <w:r>
        <w:rPr>
          <w:rFonts w:eastAsia="Arial"/>
        </w:rPr>
        <w:t xml:space="preserve"> Mechanism of Type 2 Diabetes Mellitus</w:t>
      </w:r>
    </w:p>
    <w:p w14:paraId="11E09B22">
      <w:pPr>
        <w:jc w:val="center"/>
      </w:pPr>
      <w:r>
        <w:rPr>
          <w:rFonts w:eastAsia="Arial"/>
        </w:rPr>
        <w:t xml:space="preserve">Source: Depositphotos (2020), ‘Types of Diabetes Mellitus: Comparison of Cell Work in Diabetes and in a Healthy Body’. Available at: </w:t>
      </w:r>
      <w:r>
        <w:fldChar w:fldCharType="begin"/>
      </w:r>
      <w:r>
        <w:instrText xml:space="preserve"> HYPERLINK "https://depositphotos.com/vector/types-diabetes-mellitus-comparison-cell-work-diabetes-healthy-body-insulin-357122548.html" \h </w:instrText>
      </w:r>
      <w:r>
        <w:fldChar w:fldCharType="separate"/>
      </w:r>
      <w:r>
        <w:rPr>
          <w:color w:val="0563C1"/>
          <w:u w:val="single"/>
        </w:rPr>
        <w:t>https://depositphotos.com/vector/types-diabetes-mellitus-comparison-cell-work-diabetes-healthy-body-insulin-357122548.html</w:t>
      </w:r>
      <w:r>
        <w:rPr>
          <w:color w:val="0563C1"/>
          <w:u w:val="single"/>
        </w:rPr>
        <w:fldChar w:fldCharType="end"/>
      </w:r>
    </w:p>
    <w:p w14:paraId="00E039E2">
      <w:pPr>
        <w:spacing w:before="20" w:after="20"/>
        <w:rPr>
          <w:rFonts w:eastAsia="Arial"/>
        </w:rPr>
      </w:pPr>
    </w:p>
    <w:p w14:paraId="72F6152D">
      <w:r>
        <w:t>Type 2 diabetes is different from type 1 and gestational diabetes despite the fact that both can lead to elevated levels of blood glucose. The objective of treatment is to control glucose levels, minimize risks related to heart disease and kidney diseases, and ensure quality of life. Remission occurs in some patients due to significant weight loss but it is not a cure as ongoing monitoring is necessary (Riddle et al., 2021; American Diabetes Association Professional Practice Committee, 2025b).</w:t>
      </w:r>
    </w:p>
    <w:p w14:paraId="659746EF">
      <w:pPr>
        <w:pStyle w:val="2"/>
      </w:pPr>
      <w:bookmarkStart w:id="1" w:name="_Toc243735981"/>
      <w:r>
        <w:t>2. Burden / Prevalence</w:t>
      </w:r>
      <w:bookmarkEnd w:id="1"/>
    </w:p>
    <w:p w14:paraId="26002A14">
      <w:r>
        <w:t>Diabetes is a serious public health problem worldwide. According to the International Diabetes Federation (IDF), there were 588.7 million adults aged 20-79 with diabetes in 2024, one out of nine adults. In the IDF 11th Atlas, 852.5 million are projected by 2050 (+45%). This estimate also says that 81% live in developing nations. Estimates include all types of diabetes, however, type 2 accounts for the majority of them (IDF, 2025a; GBD 2021 Diabetes Collaborators, 2023).</w:t>
      </w:r>
    </w:p>
    <w:p w14:paraId="73FCD787">
      <w:pPr>
        <w:spacing w:before="20" w:after="20"/>
      </w:pPr>
      <w:r>
        <w:rPr>
          <w:rFonts w:eastAsia="Arial"/>
        </w:rPr>
        <w:drawing>
          <wp:inline distT="0" distB="0" distL="0" distR="0">
            <wp:extent cx="5796280" cy="4099560"/>
            <wp:effectExtent l="0" t="0" r="0" b="0"/>
            <wp:docPr id="914591207" name="Picture 3" descr="Diabetes Fact Sheets &amp; Key Data | IDF Atlas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591207" name="Picture 3" descr="Diabetes Fact Sheets &amp; Key Data | IDF Atlas Resour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803703" cy="4104437"/>
                    </a:xfrm>
                    <a:prstGeom prst="rect">
                      <a:avLst/>
                    </a:prstGeom>
                    <a:noFill/>
                    <a:ln>
                      <a:noFill/>
                    </a:ln>
                  </pic:spPr>
                </pic:pic>
              </a:graphicData>
            </a:graphic>
          </wp:inline>
        </w:drawing>
      </w:r>
    </w:p>
    <w:p w14:paraId="77BAD9F0">
      <w:pPr>
        <w:spacing w:after="160"/>
        <w:jc w:val="center"/>
        <w:rPr>
          <w:b/>
          <w:szCs w:val="28"/>
          <w:lang w:val="en-IN"/>
        </w:rPr>
      </w:pPr>
      <w:r>
        <w:rPr>
          <w:rFonts w:eastAsia="Arial"/>
          <w:b/>
          <w:bCs/>
        </w:rPr>
        <w:t>Figure 2.</w:t>
      </w:r>
      <w:r>
        <w:rPr>
          <w:rFonts w:eastAsia="Arial"/>
        </w:rPr>
        <w:t xml:space="preserve"> Diabetes around the world in 2024: estimated number of adults aged 20–79 years with diabetes by IDF region and projections to 2050</w:t>
      </w:r>
    </w:p>
    <w:p w14:paraId="0DD464C0">
      <w:pPr>
        <w:spacing w:after="160"/>
        <w:jc w:val="center"/>
        <w:rPr>
          <w:color w:val="65727E"/>
        </w:rPr>
      </w:pPr>
      <w:r>
        <w:rPr>
          <w:rFonts w:eastAsia="Arial"/>
        </w:rPr>
        <w:t xml:space="preserve">Source: International Diabetes Federation (IDF, 2025b), IDF Diabetes Atlas, 11th edition, Global Factsheet. Available at: </w:t>
      </w:r>
      <w:r>
        <w:fldChar w:fldCharType="begin"/>
      </w:r>
      <w:r>
        <w:instrText xml:space="preserve"> HYPERLINK "https://diabetesatlas.org/resources/factsheets/" \h </w:instrText>
      </w:r>
      <w:r>
        <w:fldChar w:fldCharType="separate"/>
      </w:r>
      <w:r>
        <w:rPr>
          <w:color w:val="0563C1"/>
          <w:u w:val="single"/>
        </w:rPr>
        <w:t>https://diabetesatlas.org/resources/factsheets/</w:t>
      </w:r>
      <w:r>
        <w:rPr>
          <w:color w:val="0563C1"/>
          <w:u w:val="single"/>
        </w:rPr>
        <w:fldChar w:fldCharType="end"/>
      </w:r>
    </w:p>
    <w:p w14:paraId="0BBE53D2">
      <w:r>
        <w:t>Regional estimates reveal different growth. The Western Pacific was the region with the highest 2024 estimate: 215.4 million, reaching 253.8 million by 2050 (+18%). In South-East Asia, the number grows from 106.9 million to 184.5 million (+73%), in the Middle East and North Africa – from 84.7 million to 162.6 million (+92%), and in Africa – from 24.6 million to 59.5 million (+142%). Europe grows from 65.6 million to 72.4 million (+10%), North America and the Caribbean from 56.2 million to 68.1 million (+21%), and South and Central America – from 35.4 million to 51.5 million (+45%) (IDF, 2025b).</w:t>
      </w:r>
    </w:p>
    <w:p w14:paraId="6B5D07FE">
      <w:r>
        <w:t>Figure 3 shows an historical England estimate of the prevalence rather than the current one. The 2016 model indicated that there were 3.8 million people with diabetes, with 940,000 being undiagnosed diabetes cases. It mentioned that about 90% of the diabetes cases were Type 2, the annual cost of care for the disease in the NHS at £8.8 billion, and 4.9 million of diabetes cases in 2035. These numbers relate to the model's period and should not be used as current numbers and compared with the 2024 global adult estimates of IDF as the geography, year, and methodologies differ (IDDT, 2022, reproducing the 2016 National Cardiovascular Intelligence Network model). There are newer statistics for the whole of the UK, but they refer to a different period and geography and should not be substituted into this historic England chart (Diabetes UK, n.d.).</w:t>
      </w:r>
    </w:p>
    <w:p w14:paraId="4ADB704E">
      <w:pPr>
        <w:spacing w:before="20" w:after="20"/>
        <w:jc w:val="center"/>
      </w:pPr>
      <w:r>
        <w:rPr>
          <w:rFonts w:eastAsia="Arial"/>
        </w:rPr>
        <w:drawing>
          <wp:inline distT="0" distB="0" distL="0" distR="0">
            <wp:extent cx="5628640" cy="4221480"/>
            <wp:effectExtent l="0" t="0" r="0" b="7620"/>
            <wp:docPr id="200015005" name="Picture 4" descr="The week at PHE: Online highlights and national conference, w/c 12 Sep – UK Health Security Ag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5005" name="Picture 4" descr="The week at PHE: Online highlights and national conference, w/c 12 Sep – UK Health Security Agenc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628640" cy="4221480"/>
                    </a:xfrm>
                    <a:prstGeom prst="rect">
                      <a:avLst/>
                    </a:prstGeom>
                    <a:noFill/>
                    <a:ln>
                      <a:noFill/>
                    </a:ln>
                  </pic:spPr>
                </pic:pic>
              </a:graphicData>
            </a:graphic>
          </wp:inline>
        </w:drawing>
      </w:r>
    </w:p>
    <w:p w14:paraId="5F702F62">
      <w:pPr>
        <w:spacing w:before="60" w:after="20"/>
        <w:jc w:val="center"/>
      </w:pPr>
      <w:r>
        <w:rPr>
          <w:rFonts w:eastAsia="Arial"/>
          <w:b/>
          <w:bCs/>
        </w:rPr>
        <w:t>Figure 3.</w:t>
      </w:r>
      <w:r>
        <w:rPr>
          <w:rFonts w:eastAsia="Arial"/>
        </w:rPr>
        <w:t xml:space="preserve"> Diabetes in England: figures from the 2016 diabetes prevalence model</w:t>
      </w:r>
    </w:p>
    <w:p w14:paraId="2CED947B">
      <w:pPr>
        <w:spacing w:after="160"/>
        <w:jc w:val="center"/>
        <w:rPr>
          <w:color w:val="auto"/>
        </w:rPr>
      </w:pPr>
      <w:r>
        <w:t xml:space="preserve">IDDT (2022) Professor Alan Sinclair: Diabetes and ageing [presentation]. Available at: </w:t>
      </w:r>
      <w:r>
        <w:fldChar w:fldCharType="begin"/>
      </w:r>
      <w:r>
        <w:instrText xml:space="preserve"> HYPERLINK "https://www.iddt.org/wp-content/uploads/2022/11/Prof-Alan-Sinclair-Diabetes-and-Ageing.pdf" \h </w:instrText>
      </w:r>
      <w:r>
        <w:fldChar w:fldCharType="separate"/>
      </w:r>
      <w:r>
        <w:rPr>
          <w:rStyle w:val="20"/>
          <w:color w:val="0563C1"/>
        </w:rPr>
        <w:t>https://www.iddt.org/wp-content/uploads/2022/11/Prof-Alan-Sinclair-Diabetes-and-Ageing.pdf</w:t>
      </w:r>
      <w:r>
        <w:rPr>
          <w:rStyle w:val="20"/>
          <w:color w:val="0563C1"/>
        </w:rPr>
        <w:fldChar w:fldCharType="end"/>
      </w:r>
    </w:p>
    <w:p w14:paraId="11D03C20">
      <w:r>
        <w:t>Collectively, the images demonstrate the recent estimate of a global figure as well as the older estimate for England. The disease requires the use of general practitioners, retinal screening, kidney tests, foot protection, and cardiovascular disease prevention. Early diagnosis can limit unnecessary damage, but access to care is determined by the following factors: availability of services, money, food, housing, education, and language access (WHO, 2024; DHSC, 2025).</w:t>
      </w:r>
    </w:p>
    <w:p w14:paraId="452D1D93">
      <w:pPr>
        <w:pStyle w:val="2"/>
      </w:pPr>
      <w:bookmarkStart w:id="2" w:name="_Toc243735982"/>
      <w:r>
        <w:t>3. Risk Factors</w:t>
      </w:r>
      <w:bookmarkEnd w:id="2"/>
    </w:p>
    <w:p w14:paraId="6ED46691">
      <w:r>
        <w:t>Type 2 diabetes has an interplay between biological, behavioural and social determinants. The risk factors include family history, age, previous gestational diabetes, polycystic ovary syndrome, high blood pressure, abnormal blood lipids, excessive body fat and reduced physical activity. It may also develop in people who do not suffer from obesity. Risk factor assessment should consider an individual holistically rather than only their weight (GBD 2021 Diabetes Collaborators, 2023; GBD 2021 Risk Factors Collaborators, 2024).</w:t>
      </w:r>
    </w:p>
    <w:p w14:paraId="656FC488">
      <w:pPr>
        <w:pStyle w:val="3"/>
      </w:pPr>
      <w:bookmarkStart w:id="3" w:name="_Toc243735983"/>
      <w:r>
        <w:t>3.1 Modifiable risk factors</w:t>
      </w:r>
      <w:bookmarkEnd w:id="3"/>
    </w:p>
    <w:p w14:paraId="0BD378FD">
      <w:r>
        <w:t>Diet, physical activity and body composition. Energy-dense food, sugary beverages and reduced physical activity may contribute to weight gain and insulin resistance. Sustainable changes in diet and physical activity are able to reduce risks of developing type 2 diabetes, but recommendations should take into account cultural, disabling, economic and personal circumstances. General advice to 'eat better' is not sufficient without practical support and affordability (American Diabetes Association Professional Practice Committee, 2025a; GBD 2021 Risk Factors Collaborators, 2024).</w:t>
      </w:r>
    </w:p>
    <w:p w14:paraId="4AD544BF">
      <w:r>
        <w:t>Smoking, sleeping and other health factors. Smoking poses cardiovascular risk, whereas poor sleeping, additional diseases and medications influence metabolic health. Clinicians should address these factors and set realistic expectations instead of suggesting that all risks are modifiable by an individual (American Diabetes Association Professional Practice Committee, 2025a; Davies et al., 2022).</w:t>
      </w:r>
    </w:p>
    <w:p w14:paraId="72BB2E1F">
      <w:r>
        <w:t>Social and environmental conditions. Lack of nutritious food, safe routes for travel, transport, shift work, psychological stresses and health illiteracy can prevent people from managing their conditions and taking preventive measures. Action should involve not only individual efforts but also community and political actions as focusing solely on personal responsibility leads to health inequality as nutritious food, physical exercise opportunities and health-related services become even less accessible (DHSC, 2025; WHO, 2024).</w:t>
      </w:r>
    </w:p>
    <w:p w14:paraId="11E55A32">
      <w:pPr>
        <w:pStyle w:val="3"/>
      </w:pPr>
      <w:bookmarkStart w:id="4" w:name="_Toc243735984"/>
      <w:r>
        <w:t>3.2 Non-modifiable or difficult-to-modify risk factors</w:t>
      </w:r>
      <w:bookmarkEnd w:id="4"/>
    </w:p>
    <w:p w14:paraId="18C54677">
      <w:r>
        <w:t>Older age and family history of diabetes increase the risk, whereas biological differences determine insulin resistance and pancreatic beta-cell dysfunction. Type 2 diabetes develops earlier or at lower BMI in some ethnicities including South Asian and Black African or African-Caribbean populations. This trend results from genetic, social and environmental factors rather than ethnicity alone. Previous gestational diabetes and polycystic ovary syndrome should be considered separately (GBD 2021 Diabetes Collaborators, 2023; American Diabetes Association Professional Practice Committee, 2025a).</w:t>
      </w:r>
    </w:p>
    <w:p w14:paraId="7D6866A4">
      <w:pPr>
        <w:pStyle w:val="2"/>
      </w:pPr>
      <w:bookmarkStart w:id="5" w:name="_Toc243735985"/>
      <w:r>
        <w:rPr>
          <w:rFonts w:ascii="Arial" w:hAnsi="Arial" w:eastAsia="Arial"/>
        </w:rPr>
        <w:t>4. Aim</w:t>
      </w:r>
      <w:bookmarkEnd w:id="5"/>
    </w:p>
    <w:p w14:paraId="293695B8">
      <w:r>
        <w:rPr>
          <w:rFonts w:eastAsia="Arial"/>
        </w:rPr>
        <w:t>The aim of this booklet is to explain Type 2 diabetes, evaluate its physical, psychological and social effects, review evidence-based NHS management, apply the UK House of Care and international Chronic Care Model, examine relevant policy, and recommend practical improvements in person-centred care, self-management and support for families and carers.</w:t>
      </w:r>
    </w:p>
    <w:p w14:paraId="6C4452A4">
      <w:pPr>
        <w:pStyle w:val="2"/>
      </w:pPr>
      <w:bookmarkStart w:id="6" w:name="_Toc243735986"/>
      <w:r>
        <w:t>5. Physical, Psychological and Social Implications</w:t>
      </w:r>
      <w:bookmarkEnd w:id="6"/>
    </w:p>
    <w:p w14:paraId="14235218">
      <w:pPr>
        <w:pStyle w:val="3"/>
      </w:pPr>
      <w:bookmarkStart w:id="7" w:name="_Toc243735987"/>
      <w:r>
        <w:t>5.1 Physical implications</w:t>
      </w:r>
      <w:bookmarkEnd w:id="7"/>
    </w:p>
    <w:p w14:paraId="2A112794">
      <w:r>
        <w:t>Elevated glucose levels continuously can damage blood vessels and nerves, leading to cardiovascular disease, stroke, kidney disease, retinopathy, neuropathy, foot ulcers and amputation. The risk also depends on blood pressure, cholesterol, smoking, kidney function and duration of diabetes. Care needs to focus not only on glucose but also on cardiovascular risk factors and kidney health (American Diabetes Association Professional Practice Committee, 2025b; NICE, 2021b; NICE, 2023a).</w:t>
      </w:r>
    </w:p>
    <w:p w14:paraId="6FFA3D9F">
      <w:pPr>
        <w:jc w:val="center"/>
      </w:pPr>
      <w:r>
        <w:drawing>
          <wp:inline distT="0" distB="0" distL="0" distR="0">
            <wp:extent cx="5731510" cy="3968750"/>
            <wp:effectExtent l="0" t="0" r="2540" b="0"/>
            <wp:docPr id="1855042474" name="Picture 1"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042474" name="Picture 1" descr="User attach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731510" cy="3968750"/>
                    </a:xfrm>
                    <a:prstGeom prst="rect">
                      <a:avLst/>
                    </a:prstGeom>
                    <a:noFill/>
                    <a:ln>
                      <a:noFill/>
                    </a:ln>
                  </pic:spPr>
                </pic:pic>
              </a:graphicData>
            </a:graphic>
          </wp:inline>
        </w:drawing>
      </w:r>
    </w:p>
    <w:p w14:paraId="6DB26363">
      <w:pPr>
        <w:jc w:val="center"/>
        <w:rPr>
          <w:lang w:val="en-IN"/>
        </w:rPr>
      </w:pPr>
      <w:r>
        <w:rPr>
          <w:b/>
          <w:bCs/>
          <w:lang w:val="en-IN"/>
        </w:rPr>
        <w:t xml:space="preserve">Figure 4. </w:t>
      </w:r>
      <w:r>
        <w:rPr>
          <w:lang w:val="en-IN"/>
        </w:rPr>
        <w:t>Major microvascular and macrovascular complications associated with diabetes</w:t>
      </w:r>
    </w:p>
    <w:p w14:paraId="214916FB">
      <w:pPr>
        <w:jc w:val="center"/>
        <w:rPr>
          <w:lang w:val="en-IN"/>
        </w:rPr>
      </w:pPr>
      <w:r>
        <w:rPr>
          <w:lang w:val="en-IN"/>
        </w:rPr>
        <w:t xml:space="preserve">Source: </w:t>
      </w:r>
      <w:r>
        <w:fldChar w:fldCharType="begin"/>
      </w:r>
      <w:r>
        <w:instrText xml:space="preserve"> HYPERLINK "https://www.tldrpharmacy.com/content/the-pharmacists-guide-to-oral-diabetes-drugs" </w:instrText>
      </w:r>
      <w:r>
        <w:fldChar w:fldCharType="separate"/>
      </w:r>
      <w:r>
        <w:rPr>
          <w:rStyle w:val="20"/>
          <w:lang w:val="en-IN"/>
        </w:rPr>
        <w:t>https://www.tldrpharmacy.com/content/the-pharmacists-guide-to-oral-diabetes-drugs</w:t>
      </w:r>
      <w:r>
        <w:rPr>
          <w:rStyle w:val="20"/>
          <w:lang w:val="en-IN"/>
        </w:rPr>
        <w:fldChar w:fldCharType="end"/>
      </w:r>
      <w:r>
        <w:rPr>
          <w:lang w:val="en-IN"/>
        </w:rPr>
        <w:t xml:space="preserve"> </w:t>
      </w:r>
    </w:p>
    <w:p w14:paraId="6F282FD4">
      <w:r>
        <w:t>Complications may have no symptoms and, therefore, require regular assessments despite patients' feeling well. The 2023 standard of NICE includes nine annual review procedures: HbA1c, blood pressure, BMI, cholesterol, kidney assessment, foot assessment, smoking status and retinal screening. Their effectiveness depends on follow up and treatment of abnormal results (NICE, 2023b; NHS, n.d.-c).</w:t>
      </w:r>
    </w:p>
    <w:p w14:paraId="73BFDAC3">
      <w:pPr>
        <w:pStyle w:val="3"/>
      </w:pPr>
      <w:bookmarkStart w:id="8" w:name="_Toc243735988"/>
      <w:r>
        <w:t>5.2 Psychological implications</w:t>
      </w:r>
      <w:bookmarkEnd w:id="8"/>
    </w:p>
    <w:p w14:paraId="223869B2">
      <w:r>
        <w:t>Regular self-management may lead to psychological problems. The patient may feel frustrated due to food choices, medication intake, consultations or the fear of complications. Diabetes distress, anxiety and depression may affect sleep, self-confidence and adherence. These issues should not be attributed to lack of motivation. They may appear due to treatment burden, stigmatization, financial problems or other events (American Diabetes Association Professional Practice Committee, 2025a; Powers et al., 2020).</w:t>
      </w:r>
    </w:p>
    <w:p w14:paraId="693B9912">
      <w:r>
        <w:t>The review should include questions about psychological state, stress, self-confidence and treatment burden. Healthcare professionals need to identify the diabetes distress and refer patients to the appropriate services. The screening procedure would be useless without further assistance. Thus, the pathway has to be timely and culturally appropriate. The psychological support has to be integrated with diabetes support (American Diabetes Association Professional Practice Committee, 2025a; Powers et al., 2020).</w:t>
      </w:r>
    </w:p>
    <w:p w14:paraId="2E6C255A">
      <w:pPr>
        <w:pStyle w:val="3"/>
      </w:pPr>
      <w:bookmarkStart w:id="9" w:name="_Toc243735989"/>
      <w:r>
        <w:t>5.3 Social implications</w:t>
      </w:r>
      <w:bookmarkEnd w:id="9"/>
    </w:p>
    <w:p w14:paraId="4BAAA471">
      <w:r>
        <w:t>Diabetes may affect work and earning capacity, relationships, routines and social activities. The need to attend appointments and costs associated with travelling, food, medication or monitoring may cause additional stress. The relatives may assist with food, appointment making or care during illness. However, their involvement has to be discussed with patients first. The carers may need information. The patient retains autonomy in all situations (NHS England, n.d.-c; American Diabetes Association Professional Practice Committee, 2025a).</w:t>
      </w:r>
    </w:p>
    <w:p w14:paraId="3F65519D">
      <w:r>
        <w:t>Stigma can prevent individuals from seeking help because of how diabetes is portrayed as a disease caused only through self-negligence. Other factors such as biology and social factors such as poverty and dietary environment can cause an increased risk of developing the condition. Telemedicine can be inaccessible to people without access to internet, security, devices and confidence. Services should ensure there are alternatives, translators and culturally sensitive information (DHSC, 2025; OHID, 2025).</w:t>
      </w:r>
    </w:p>
    <w:p w14:paraId="74CA1E18">
      <w:pPr>
        <w:pStyle w:val="2"/>
      </w:pPr>
      <w:bookmarkStart w:id="10" w:name="_Toc243735990"/>
      <w:r>
        <w:rPr>
          <w:rFonts w:ascii="Arial" w:hAnsi="Arial" w:eastAsia="Arial"/>
        </w:rPr>
        <w:t>6. Evidence-based Treatment and Management in the NHS</w:t>
      </w:r>
      <w:bookmarkEnd w:id="10"/>
    </w:p>
    <w:p w14:paraId="2E4948B8">
      <w:r>
        <w:t>Care should be agreed with the patient and reviewed according to their changing needs. This often includes diet and physical activity advice, appropriate weight management, smoking cessation, education, and cardiovascular risk management. Targets for HbA1c should depend on treatment, hypoglycaemia risk, presence of comorbidities, and the quality of life. According to NICE, one should test the blood sugar level every three to six months until it becomes stable, after that – every six months; these targets need to be individualized (NICE, 2022; American Diabetes Association Professional Practice Committee, 2025b).</w:t>
      </w:r>
    </w:p>
    <w:p w14:paraId="4C777656">
      <w:r>
        <w:t>Medications will be chosen based on blood sugar levels, cardiovascular and kidney risks, other diseases and treatments, possible side effects, costs, and personal preferences. Metformin is an option for many people; SGLT2 inhibitors or GLP-1 receptor agonists might be chosen according to cardiovascular, renal, or weight-related needs. Other medications or insulin might be used. Discussions of the advantages, risks, and burden of medications should be held; no changes should be done without a doctor's approval (Davies et al., 2022; American Diabetes Association Professional Practice Committee, 2025b).</w:t>
      </w:r>
    </w:p>
    <w:p w14:paraId="1E03A3A0">
      <w:r>
        <w:t>It is recommended to offer structured self-management education at the moment of diagnosis and with changes of the patient's needs. Educational programmes like DESMOND help with knowledge, setting goals and problem-solving, but education cannot solve all barriers. It should be accessible, culturally sensitive, tailored to health literacy, and linked to follow-up (Powers et al., 2020; NICE, 2023b).</w:t>
      </w:r>
    </w:p>
    <w:p w14:paraId="0CA8F790">
      <w:r>
        <w:t>NHS Healthier You program helps people who are eligible and have high risk of developing Type 2 diabetes. Path to Remission program provides supervised total-diet replacement to those eligible adults who were recently diagnosed and have overweight or obesity. According to NHS England's 2023/24 report, there are positive results among those participating, but not all referrals achieve remission. Remission is not a cure, and monitoring will be needed (NHS England, 2022; NHS England, 2024; NHS England, n.d.-a; Riddle et al., 2021).</w:t>
      </w:r>
    </w:p>
    <w:p w14:paraId="6D6B45E8">
      <w:pPr>
        <w:rPr>
          <w:b/>
          <w:bCs/>
        </w:rPr>
      </w:pPr>
      <w:r>
        <w:t>Annual check-ups should include blood glucose, blood pressure, cholesterol, kidneys' functioning and urine albumin, feet, eyes, smoking, and body mass index. Screening allows identifying issues before symptoms start occurring. Care might be provided by GPs, specialists, pharmacists, dietitians, podiatrists, eye screening, kidney, and mental health services. Records of missed appointments should be kept for proper follow-up of care (NICE, 2021b; NICE, 2023b; NHS England, 2024).</w:t>
      </w:r>
    </w:p>
    <w:p w14:paraId="3154D1FE">
      <w:pPr>
        <w:pStyle w:val="2"/>
      </w:pPr>
      <w:bookmarkStart w:id="11" w:name="_Toc243735991"/>
      <w:r>
        <w:rPr>
          <w:rFonts w:ascii="Arial" w:hAnsi="Arial" w:eastAsia="Arial"/>
        </w:rPr>
        <w:t>7. Theoretical Models and Frameworks for Improved Outcomes</w:t>
      </w:r>
      <w:bookmarkEnd w:id="11"/>
    </w:p>
    <w:p w14:paraId="1E08C369">
      <w:pPr>
        <w:pStyle w:val="3"/>
        <w:spacing w:before="100"/>
        <w:rPr>
          <w:rFonts w:ascii="Arial" w:hAnsi="Arial" w:eastAsia="Arial"/>
        </w:rPr>
      </w:pPr>
      <w:bookmarkStart w:id="12" w:name="_Toc243735992"/>
      <w:r>
        <w:rPr>
          <w:rFonts w:ascii="Arial" w:hAnsi="Arial" w:eastAsia="Arial"/>
        </w:rPr>
        <w:t>7.1 UK model: House of Care framework for Type 2 Diabetes</w:t>
      </w:r>
      <w:bookmarkEnd w:id="12"/>
    </w:p>
    <w:p w14:paraId="5617E6A2">
      <w:r>
        <w:t>The House of Care is a UK model for personalised care to manage long-term conditions. It consists of an informed individual, care team collaboration, community and informal support, and organisational processes that facilitate care planning. A collaborative discussion establishes priorities, achieves agreement on goals and documents actions. This is the basis of how care is delivered and not the provision of one treatment (Roberts et al., 2019; NICE, 2021a).</w:t>
      </w:r>
    </w:p>
    <w:p w14:paraId="36E21266">
      <w:pPr>
        <w:spacing w:after="20"/>
        <w:jc w:val="center"/>
      </w:pPr>
      <w:r>
        <w:rPr>
          <w:rFonts w:eastAsia="Arial"/>
        </w:rPr>
        <w:drawing>
          <wp:inline distT="0" distB="0" distL="0" distR="0">
            <wp:extent cx="5536565" cy="4023360"/>
            <wp:effectExtent l="0" t="0" r="6985" b="0"/>
            <wp:docPr id="321728943" name="Picture 5" descr="The Year of Care approach: developing a model and delivery programme for care and support planning in long term conditions within general practice | BMC Primary Care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728943" name="Picture 5" descr="The Year of Care approach: developing a model and delivery programme for care and support planning in long term conditions within general practice | BMC Primary Care | Springer Nature Lin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543884" cy="4028261"/>
                    </a:xfrm>
                    <a:prstGeom prst="rect">
                      <a:avLst/>
                    </a:prstGeom>
                    <a:noFill/>
                    <a:ln>
                      <a:noFill/>
                    </a:ln>
                  </pic:spPr>
                </pic:pic>
              </a:graphicData>
            </a:graphic>
          </wp:inline>
        </w:drawing>
      </w:r>
    </w:p>
    <w:p w14:paraId="0505BC31">
      <w:pPr>
        <w:jc w:val="center"/>
        <w:rPr>
          <w:lang w:val="en-IN"/>
        </w:rPr>
      </w:pPr>
      <w:r>
        <w:rPr>
          <w:rFonts w:eastAsia="Arial"/>
          <w:b/>
          <w:bCs/>
        </w:rPr>
        <w:t>Figure 5.</w:t>
      </w:r>
      <w:r>
        <w:rPr>
          <w:rFonts w:eastAsia="Arial"/>
        </w:rPr>
        <w:t xml:space="preserve"> House of Care framework for person-centred long-term condition management</w:t>
      </w:r>
    </w:p>
    <w:p w14:paraId="0EFB5655">
      <w:pPr>
        <w:spacing w:after="160"/>
        <w:jc w:val="center"/>
      </w:pPr>
      <w:r>
        <w:rPr>
          <w:rFonts w:eastAsia="Arial"/>
        </w:rPr>
        <w:t xml:space="preserve">Source: British Journal of General Practice article hosted by Springer Nature (2019). Available at: </w:t>
      </w:r>
      <w:r>
        <w:fldChar w:fldCharType="begin"/>
      </w:r>
      <w:r>
        <w:instrText xml:space="preserve"> HYPERLINK "https://link.springer.com/article/10.1186/s12875-019-1042-4" \h </w:instrText>
      </w:r>
      <w:r>
        <w:fldChar w:fldCharType="separate"/>
      </w:r>
      <w:r>
        <w:rPr>
          <w:color w:val="0563C1"/>
          <w:u w:val="single"/>
        </w:rPr>
        <w:t>https://link.springer.com/article/10.1186/s12875-019-1042-4</w:t>
      </w:r>
      <w:r>
        <w:rPr>
          <w:color w:val="0563C1"/>
          <w:u w:val="single"/>
        </w:rPr>
        <w:fldChar w:fldCharType="end"/>
      </w:r>
    </w:p>
    <w:p w14:paraId="5B788DC2">
      <w:r>
        <w:t>In diabetes, planning may include food, activity, medication, glucose management, psychological care and avoidance of complications. While one individual may want to focus on being healthy enough to work, another may require guidance tailored to shift work, culturally-specific foods, or caregiving roles. Family members may attend if invited, but confidentiality and autonomy continue to be critical considerations (NICE, 2021a; NHS England, n.d.-c).</w:t>
      </w:r>
    </w:p>
    <w:p w14:paraId="3AE3374D">
      <w:r>
        <w:t>The House of Care connects individual goals to team behavior and services provided. However, discussion cannot serve as a substitute for medication, interpreter services, referral, screening and community resources. Lack of staffing and fragmented documentation may affect delivery. The team must ensure that agreed upon actions were taken and that underserved communities have equal access (Roberts et al., 2019; DHSC, 2025).</w:t>
      </w:r>
    </w:p>
    <w:p w14:paraId="39CD470F">
      <w:pPr>
        <w:pStyle w:val="3"/>
      </w:pPr>
      <w:bookmarkStart w:id="13" w:name="_Toc243735993"/>
      <w:r>
        <w:t>7.2 Application of the internationally developed Chronic Care Model to Type 2 Diabetes Management</w:t>
      </w:r>
      <w:bookmarkEnd w:id="13"/>
    </w:p>
    <w:p w14:paraId="3CEDC6A6">
      <w:r>
        <w:t>Chronic Care Model (CCM) is an international model aimed at optimizing care for individuals with chronic conditions. CCM comprises six dimensions including health system, community, organization resources and policies, self-management, delivery system design, decision support and clinical information systems. Collectively they aim at facilitating an informed patient and proactive team rather than sporadic reactive consultations (ACT Center, n.d.; American Diabetes Association Professional Practice Committee, 2025a).</w:t>
      </w:r>
    </w:p>
    <w:p w14:paraId="4A5884CD">
      <w:pPr>
        <w:spacing w:after="20"/>
        <w:jc w:val="center"/>
      </w:pPr>
      <w:r>
        <w:rPr>
          <w:rFonts w:eastAsia="Arial"/>
        </w:rPr>
        <w:drawing>
          <wp:inline distT="0" distB="0" distL="0" distR="0">
            <wp:extent cx="5420995" cy="4099560"/>
            <wp:effectExtent l="0" t="0" r="8255" b="0"/>
            <wp:docPr id="903227614" name="Picture 6" descr="Chronic illness care | ACT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227614" name="Picture 6" descr="Chronic illness care | ACT Cen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425778" cy="4103134"/>
                    </a:xfrm>
                    <a:prstGeom prst="rect">
                      <a:avLst/>
                    </a:prstGeom>
                    <a:noFill/>
                    <a:ln>
                      <a:noFill/>
                    </a:ln>
                  </pic:spPr>
                </pic:pic>
              </a:graphicData>
            </a:graphic>
          </wp:inline>
        </w:drawing>
      </w:r>
    </w:p>
    <w:p w14:paraId="37FA36DF">
      <w:pPr>
        <w:spacing w:after="160"/>
        <w:jc w:val="center"/>
        <w:rPr>
          <w:b/>
          <w:sz w:val="19"/>
        </w:rPr>
      </w:pPr>
      <w:r>
        <w:rPr>
          <w:rFonts w:eastAsia="Arial"/>
          <w:b/>
          <w:bCs/>
        </w:rPr>
        <w:t>Figure 6.</w:t>
      </w:r>
      <w:r>
        <w:rPr>
          <w:rFonts w:eastAsia="Arial"/>
        </w:rPr>
        <w:t xml:space="preserve"> Chronic Care Model applied to Type 2 Diabetes management</w:t>
      </w:r>
    </w:p>
    <w:p w14:paraId="29D0F71A">
      <w:pPr>
        <w:spacing w:after="160"/>
        <w:jc w:val="center"/>
      </w:pPr>
      <w:r>
        <w:rPr>
          <w:rFonts w:eastAsia="Arial"/>
        </w:rPr>
        <w:t xml:space="preserve">Source: ACT Center for Excellence in Primary Care (n.d.). Chronic Illness Care. Available at: </w:t>
      </w:r>
      <w:r>
        <w:fldChar w:fldCharType="begin"/>
      </w:r>
      <w:r>
        <w:instrText xml:space="preserve"> HYPERLINK "https://www.act-center.org/our-work/primary-care-transformation/chronic-illness-care" \h </w:instrText>
      </w:r>
      <w:r>
        <w:fldChar w:fldCharType="separate"/>
      </w:r>
      <w:r>
        <w:rPr>
          <w:color w:val="0563C1"/>
          <w:u w:val="single"/>
        </w:rPr>
        <w:t>https://www.act-center.org/our-work/primary-care-transformation/chronic-illness-care</w:t>
      </w:r>
      <w:r>
        <w:rPr>
          <w:color w:val="0563C1"/>
          <w:u w:val="single"/>
        </w:rPr>
        <w:fldChar w:fldCharType="end"/>
      </w:r>
    </w:p>
    <w:p w14:paraId="5FD36735">
      <w:r>
        <w:t>Self-management support for diabetes comprises education and goal setting; delivery-system design includes planned reviews and roles; decision support involves bringing evidence into consultations; and clinical systems identify overdue patients. Community partners may help with activity, food availability, or social aspects. Leadership needs to provide staff, data, and time for coordination (ACT Center, n.d.; NHS England, n.d.-c).</w:t>
      </w:r>
    </w:p>
    <w:p w14:paraId="4C2B34D2">
      <w:r>
        <w:t>The CCM stresses the impact of service design, but the wide range of its components can be difficult to implement consistently. A register or digital reminder does not necessarily lead to personalized care. The services need to measure clinical outcomes, along with experience, shared decisions, and inequalities. The CCM organizes proactive services; House of Care centers on the personal conversation (ACT Center, n.d.; NICE, 2021a).</w:t>
      </w:r>
    </w:p>
    <w:p w14:paraId="30962A97">
      <w:pPr>
        <w:pStyle w:val="2"/>
      </w:pPr>
      <w:bookmarkStart w:id="14" w:name="_Toc243735994"/>
      <w:r>
        <w:t>8. Health and Social Care Policies and Agendas</w:t>
      </w:r>
      <w:bookmarkEnd w:id="14"/>
    </w:p>
    <w:p w14:paraId="0BECB594">
      <w:r>
        <w:t>NICE quality standard QS209, which came out in 2023, focuses on priority areas that include structured education and nine annual care processes. Shared decision-making and kidney disease guidance can assist in making informed choices and preventing complications. Standards will work only if people attend, understand the information provided and get follow-ups (NICE, 2021a; NICE, 2021b; NICE, 2023b).</w:t>
      </w:r>
    </w:p>
    <w:p w14:paraId="12FEB6A0">
      <w:r>
        <w:t>In England, NHS prevention and remission programs help people who have high risks and eligible adults with recent diagnoses. The 10-Year Health Plan for 2025 calls for delivering care to communities, digital and prevention services. These goals can benefit continuity, but digital services require non-digital alternatives for those who have access problems (NHS England, 2022; NHS England, 2024; NHS England, n.d.-b; DHSC, 2025).</w:t>
      </w:r>
    </w:p>
    <w:p w14:paraId="22792C5F">
      <w:r>
        <w:t>Policy should be evaluated by both implementation and intention. There is a variation in the prevalence of diabetes and services available geographically; deprivation, language, disability, transport, and capacity all play a role. Commissioners need to check how often care processes were used, what visits and referrals were missed, and the results achieved by each group of population. The England infographic is based on a 2016 model and cannot be a substitute for local data (OHID, 2025; DHSC, 2025).</w:t>
      </w:r>
    </w:p>
    <w:p w14:paraId="0EE6F3E9">
      <w:pPr>
        <w:pStyle w:val="2"/>
      </w:pPr>
      <w:bookmarkStart w:id="15" w:name="_Toc243735995"/>
      <w:r>
        <w:rPr>
          <w:rFonts w:ascii="Arial" w:hAnsi="Arial" w:eastAsia="Arial"/>
        </w:rPr>
        <w:t>9. Recommendations for Improvement</w:t>
      </w:r>
      <w:bookmarkEnd w:id="15"/>
    </w:p>
    <w:p w14:paraId="7F4F2B6F">
      <w:r>
        <w:t>First, improve identification and follow-up. Primary care must undertake risk assessment, testing and referral pathways. Those who fail their review need flexible appointments and available information, not chastisement. Monitor the nine care processes and address any gaps that arise within eye screening, foot checks, and kidney function testing (NICE, 2023b; OHID, 2025).</w:t>
      </w:r>
    </w:p>
    <w:p w14:paraId="1B423B8A">
      <w:r>
        <w:t>Second, individualise care plans. Clinicians must engage with the patient, discuss treatment benefits and costs, assess health literacy and overall wellbeing, and provide language and communication preferences. The care plan must contain actions, monitoring, complication assessments, and a nominated contact person. Digital solutions should go hand-in-hand with face-to-face and phone consultations (NICE, 2021a; NHS England, n.d.-c).</w:t>
      </w:r>
    </w:p>
    <w:p w14:paraId="56F2CB10">
      <w:r>
        <w:t>Third, maintain education and lifestyle support. Evidence-based education on diabetes should be provided at the time of diagnosis and then again if needs change. Information should be affordable, culturally appropriate, and suitable for those with disabilities, employment, and caring responsibilities. Those who meet certain criteria should be referred to prevention or remission schemes with benefits, harms, and follow-up explained. Overall wellbeing and management must be assessed rather than just attendance (Powers et al., 2020; NHS England, 2022; NHS England, 2024).</w:t>
      </w:r>
    </w:p>
    <w:p w14:paraId="3B650BEA">
      <w:r>
        <w:t>Fourth, integrate physical and mental aspects of care. Reviews should assess cardiovascular risk, kidneys, eyes, feet, psychological distress, depression, and treatment burden. Primary care, specialist clinics, pharmacies, podiatry, retinal screening, dietitians, and psychological services require referral pathways. Carers can be engaged in consultations with consent. For patients with advanced complications or severe disease, comfort, quality of life, and proportional therapy are key considerations (American Diabetes Association Professional Practice Committee, 2025a; Powers et al., 2020).</w:t>
      </w:r>
    </w:p>
    <w:p w14:paraId="125CD7A6">
      <w:r>
        <w:t>Finally, address inequalities via community and service-level interventions. Collaboration between the local authorities, voluntary organizations, and people living with the disease is required to minimize barriers to diabetes care associated with food, transport, language, access and digital solutions. Appoint a lead person, devise actions to be measured, and monitor clinical and patient experience outcomes. Employ the House of Care to plan conversations and the CCM to organize services (DHSC, 2025; ACT Center, n.d.).</w:t>
      </w:r>
    </w:p>
    <w:p w14:paraId="7C241CB9">
      <w:pPr>
        <w:pStyle w:val="2"/>
      </w:pPr>
      <w:bookmarkStart w:id="16" w:name="_Toc243735996"/>
      <w:r>
        <w:t>10. Conclusion</w:t>
      </w:r>
      <w:bookmarkEnd w:id="16"/>
    </w:p>
    <w:p w14:paraId="54B90A71">
      <w:r>
        <w:t>Type 2 diabetes affects the heart, kidneys, eyes and nerves, as well as emotions, family and society. IDF figures indicate an increasing burden; the England infographic is an old example from 2016 and needs to be dated as such. A combination of individualised lifestyle help, medication, information, monitoring and tackling of social barriers constitutes good management.</w:t>
      </w:r>
    </w:p>
    <w:p w14:paraId="15F16723">
      <w:r>
        <w:t xml:space="preserve">House of Care focuses on individuals' interests; the Chronic Care Model promotes proactively planned provision. Together they have the potential to improve care if the team has available resources, effective follow-ups and an equity perspective. Some important priorities are early detection, patient education, integrated psychological treatment and equal completion of standard tests. </w:t>
      </w:r>
    </w:p>
    <w:p w14:paraId="0E6DFAE8">
      <w:pPr>
        <w:spacing w:after="200" w:line="276" w:lineRule="auto"/>
        <w:jc w:val="left"/>
        <w:rPr>
          <w:rFonts w:asciiTheme="majorHAnsi" w:hAnsiTheme="majorHAnsi" w:eastAsiaTheme="majorEastAsia" w:cstheme="majorBidi"/>
          <w:b/>
          <w:bCs/>
          <w:color w:val="184669"/>
          <w:sz w:val="30"/>
          <w:szCs w:val="28"/>
        </w:rPr>
      </w:pPr>
      <w:r>
        <w:br w:type="page"/>
      </w:r>
    </w:p>
    <w:p w14:paraId="045B62B6">
      <w:pPr>
        <w:pStyle w:val="2"/>
      </w:pPr>
      <w:bookmarkStart w:id="17" w:name="_Toc243735997"/>
      <w:r>
        <w:t>Reference List</w:t>
      </w:r>
      <w:bookmarkEnd w:id="17"/>
    </w:p>
    <w:p w14:paraId="687402FE">
      <w:pPr>
        <w:spacing w:after="40"/>
      </w:pPr>
      <w:r>
        <w:rPr>
          <w:rFonts w:eastAsia="Arial"/>
        </w:rPr>
        <w:t xml:space="preserve">ACT Center for Excellence in Primary Care (n.d.) Chronic illness care. Available at: </w:t>
      </w:r>
      <w:r>
        <w:fldChar w:fldCharType="begin"/>
      </w:r>
      <w:r>
        <w:instrText xml:space="preserve"> HYPERLINK "https://www.act-center.org/our-work/primary-care-transformation/chronic-illness-care" \h </w:instrText>
      </w:r>
      <w:r>
        <w:fldChar w:fldCharType="separate"/>
      </w:r>
      <w:r>
        <w:rPr>
          <w:color w:val="0563C1"/>
          <w:u w:val="single"/>
        </w:rPr>
        <w:t>https://www.act-center.org/our-work/primary-care-transformation/chronic-illness-care</w:t>
      </w:r>
      <w:r>
        <w:rPr>
          <w:color w:val="0563C1"/>
          <w:u w:val="single"/>
        </w:rPr>
        <w:fldChar w:fldCharType="end"/>
      </w:r>
      <w:r>
        <w:rPr>
          <w:rFonts w:eastAsia="Arial"/>
        </w:rPr>
        <w:t xml:space="preserve"> (Accessed: 24 October 2026).</w:t>
      </w:r>
    </w:p>
    <w:p w14:paraId="45A3B9D7">
      <w:pPr>
        <w:spacing w:after="40"/>
      </w:pPr>
      <w:r>
        <w:rPr>
          <w:rFonts w:eastAsia="Arial"/>
        </w:rPr>
        <w:t xml:space="preserve">American Diabetes Association Professional Practice Committee (2025a) ‘5. Facilitating positive health behaviors and well-being to improve health outcomes: Standards of Care in Diabetes—2025’, Diabetes Care, 48(Supplement 1), pp. S86–S127. Available at: </w:t>
      </w:r>
      <w:r>
        <w:fldChar w:fldCharType="begin"/>
      </w:r>
      <w:r>
        <w:instrText xml:space="preserve"> HYPERLINK "https://doi.org/10.2337/dc25-S005" \h </w:instrText>
      </w:r>
      <w:r>
        <w:fldChar w:fldCharType="separate"/>
      </w:r>
      <w:r>
        <w:rPr>
          <w:color w:val="0563C1"/>
          <w:u w:val="single"/>
        </w:rPr>
        <w:t>https://doi.org/10.2337/dc25-S005</w:t>
      </w:r>
      <w:r>
        <w:rPr>
          <w:color w:val="0563C1"/>
          <w:u w:val="single"/>
        </w:rPr>
        <w:fldChar w:fldCharType="end"/>
      </w:r>
    </w:p>
    <w:p w14:paraId="351D58B4">
      <w:pPr>
        <w:spacing w:after="40"/>
      </w:pPr>
      <w:r>
        <w:rPr>
          <w:rFonts w:eastAsia="Arial"/>
        </w:rPr>
        <w:t xml:space="preserve">American Diabetes Association Professional Practice Committee (2025b) ‘9. Pharmacologic approaches to glycemic treatment: Standards of Care in Diabetes—2025’, Diabetes Care, 48(Supplement 1), pp. S181–S206. Available at: </w:t>
      </w:r>
      <w:r>
        <w:fldChar w:fldCharType="begin"/>
      </w:r>
      <w:r>
        <w:instrText xml:space="preserve"> HYPERLINK "https://doi.org/10.2337/dc25-S009" \h </w:instrText>
      </w:r>
      <w:r>
        <w:fldChar w:fldCharType="separate"/>
      </w:r>
      <w:r>
        <w:rPr>
          <w:color w:val="0563C1"/>
          <w:u w:val="single"/>
        </w:rPr>
        <w:t>https://doi.org/10.2337/dc25-S009</w:t>
      </w:r>
      <w:r>
        <w:rPr>
          <w:color w:val="0563C1"/>
          <w:u w:val="single"/>
        </w:rPr>
        <w:fldChar w:fldCharType="end"/>
      </w:r>
    </w:p>
    <w:p w14:paraId="41E0C4F0">
      <w:pPr>
        <w:spacing w:after="40"/>
      </w:pPr>
      <w:r>
        <w:rPr>
          <w:rFonts w:eastAsia="Arial"/>
        </w:rPr>
        <w:t xml:space="preserve">Davies, M.J., Aroda, V.R., Collins, B.S., Gabbay, R.A., Green, J. et al. (2022) ‘Management of hyperglycaemia in type 2 diabetes, 2022. A consensus report by the American Diabetes Association (ADA) and the European Association for the Study of Diabetes (EASD)’, Diabetologia, 65, pp. 1925–1966. Available at: </w:t>
      </w:r>
      <w:r>
        <w:fldChar w:fldCharType="begin"/>
      </w:r>
      <w:r>
        <w:instrText xml:space="preserve"> HYPERLINK "https://doi.org/10.1007/s00125-022-05787-2" \h </w:instrText>
      </w:r>
      <w:r>
        <w:fldChar w:fldCharType="separate"/>
      </w:r>
      <w:r>
        <w:rPr>
          <w:color w:val="0563C1"/>
          <w:u w:val="single"/>
        </w:rPr>
        <w:t>https://doi.org/10.1007/s00125-022-05787-2</w:t>
      </w:r>
      <w:r>
        <w:rPr>
          <w:color w:val="0563C1"/>
          <w:u w:val="single"/>
        </w:rPr>
        <w:fldChar w:fldCharType="end"/>
      </w:r>
    </w:p>
    <w:p w14:paraId="66EFF2F7">
      <w:pPr>
        <w:spacing w:after="40"/>
      </w:pPr>
      <w:r>
        <w:rPr>
          <w:rFonts w:eastAsia="Arial"/>
        </w:rPr>
        <w:t xml:space="preserve">Department of Health and Social Care (DHSC) (2025) Fit for the future: 10 Year Health Plan for England. London: DHSC. Available at: </w:t>
      </w:r>
      <w:r>
        <w:fldChar w:fldCharType="begin"/>
      </w:r>
      <w:r>
        <w:instrText xml:space="preserve"> HYPERLINK "https://www.gov.uk/government/publications/10-year-health-plan-for-england-fit-for-the-future" \h </w:instrText>
      </w:r>
      <w:r>
        <w:fldChar w:fldCharType="separate"/>
      </w:r>
      <w:r>
        <w:rPr>
          <w:color w:val="0563C1"/>
          <w:u w:val="single"/>
        </w:rPr>
        <w:t>https://www.gov.uk/government/publications/10-year-health-plan-for-england-fit-for-the-future</w:t>
      </w:r>
      <w:r>
        <w:rPr>
          <w:color w:val="0563C1"/>
          <w:u w:val="single"/>
        </w:rPr>
        <w:fldChar w:fldCharType="end"/>
      </w:r>
    </w:p>
    <w:p w14:paraId="1E48EE62">
      <w:pPr>
        <w:spacing w:after="40"/>
      </w:pPr>
      <w:r>
        <w:rPr>
          <w:rFonts w:eastAsia="Arial"/>
        </w:rPr>
        <w:t xml:space="preserve">Depositphotos (2020) Types of diabetes mellitus: comparison of cell work in diabetes and in a healthy body. Available at: </w:t>
      </w:r>
      <w:r>
        <w:fldChar w:fldCharType="begin"/>
      </w:r>
      <w:r>
        <w:instrText xml:space="preserve"> HYPERLINK "https://depositphotos.com/vector/types-diabetes-mellitus-comparison-cell-work-diabetes-healthy-body-insulin-357122548.html" \h </w:instrText>
      </w:r>
      <w:r>
        <w:fldChar w:fldCharType="separate"/>
      </w:r>
      <w:r>
        <w:rPr>
          <w:color w:val="0563C1"/>
          <w:u w:val="single"/>
        </w:rPr>
        <w:t>https://depositphotos.com/vector/types-diabetes-mellitus-comparison-cell-work-diabetes-healthy-body-insulin-357122548.html</w:t>
      </w:r>
      <w:r>
        <w:rPr>
          <w:color w:val="0563C1"/>
          <w:u w:val="single"/>
        </w:rPr>
        <w:fldChar w:fldCharType="end"/>
      </w:r>
    </w:p>
    <w:p w14:paraId="6EEDFAB8">
      <w:pPr>
        <w:spacing w:after="40"/>
      </w:pPr>
      <w:r>
        <w:rPr>
          <w:rFonts w:eastAsia="Arial"/>
        </w:rPr>
        <w:t xml:space="preserve">Diabetes UK (n.d.) How many people in the UK have diabetes? Statistics page reporting registrations for 2024–25. Available at: </w:t>
      </w:r>
      <w:r>
        <w:fldChar w:fldCharType="begin"/>
      </w:r>
      <w:r>
        <w:instrText xml:space="preserve"> HYPERLINK "https://www.diabetes.org.uk/about-us/about-the-charity/our-strategy/statistics" \h </w:instrText>
      </w:r>
      <w:r>
        <w:fldChar w:fldCharType="separate"/>
      </w:r>
      <w:r>
        <w:rPr>
          <w:color w:val="0563C1"/>
          <w:u w:val="single"/>
        </w:rPr>
        <w:t>https://www.diabetes.org.uk/about-us/about-the-charity/our-strategy/statistics</w:t>
      </w:r>
      <w:r>
        <w:rPr>
          <w:color w:val="0563C1"/>
          <w:u w:val="single"/>
        </w:rPr>
        <w:fldChar w:fldCharType="end"/>
      </w:r>
      <w:r>
        <w:rPr>
          <w:rFonts w:eastAsia="Arial"/>
        </w:rPr>
        <w:t xml:space="preserve"> (Accessed: 24 October 2026).</w:t>
      </w:r>
    </w:p>
    <w:p w14:paraId="3AB84BDF">
      <w:pPr>
        <w:spacing w:after="40"/>
      </w:pPr>
      <w:r>
        <w:rPr>
          <w:rFonts w:eastAsia="Arial"/>
        </w:rPr>
        <w:t xml:space="preserve">GBD 2021 Diabetes Collaborators (2023) ‘Global, regional, and national burden of diabetes from 1990 to 2021, with projections of prevalence to 2050: a systematic analysis for the Global Burden of Disease Study 2021’, The Lancet, 402(10397), pp. 203–234. Available at: </w:t>
      </w:r>
      <w:r>
        <w:fldChar w:fldCharType="begin"/>
      </w:r>
      <w:r>
        <w:instrText xml:space="preserve"> HYPERLINK "https://doi.org/10.1016/S0140-6736(23)01301-6" \h </w:instrText>
      </w:r>
      <w:r>
        <w:fldChar w:fldCharType="separate"/>
      </w:r>
      <w:r>
        <w:rPr>
          <w:color w:val="0563C1"/>
          <w:u w:val="single"/>
        </w:rPr>
        <w:t>https://doi.org/10.1016/S0140-6736(23)01301-6</w:t>
      </w:r>
      <w:r>
        <w:rPr>
          <w:color w:val="0563C1"/>
          <w:u w:val="single"/>
        </w:rPr>
        <w:fldChar w:fldCharType="end"/>
      </w:r>
    </w:p>
    <w:p w14:paraId="4B437A8F">
      <w:pPr>
        <w:spacing w:after="40"/>
      </w:pPr>
      <w:r>
        <w:rPr>
          <w:rFonts w:eastAsia="Arial"/>
        </w:rPr>
        <w:t xml:space="preserve">GBD 2021 Risk Factors Collaborators (2024) ‘Global burden and strength of evidence for 88 risk factors in 204 countries and 811 subnational locations, 1990–2021: a systematic analysis for the Global Burden of Disease Study 2021’, The Lancet, 403(10440), pp. 2162–2203. Available at: </w:t>
      </w:r>
      <w:r>
        <w:fldChar w:fldCharType="begin"/>
      </w:r>
      <w:r>
        <w:instrText xml:space="preserve"> HYPERLINK "https://doi.org/10.1016/S0140-6736(24)00933-4" \h </w:instrText>
      </w:r>
      <w:r>
        <w:fldChar w:fldCharType="separate"/>
      </w:r>
      <w:r>
        <w:rPr>
          <w:color w:val="0563C1"/>
          <w:u w:val="single"/>
        </w:rPr>
        <w:t>https://doi.org/10.1016/S0140-6736(24)00933-4</w:t>
      </w:r>
      <w:r>
        <w:rPr>
          <w:color w:val="0563C1"/>
          <w:u w:val="single"/>
        </w:rPr>
        <w:fldChar w:fldCharType="end"/>
      </w:r>
    </w:p>
    <w:p w14:paraId="76C1A3E7">
      <w:pPr>
        <w:spacing w:after="40"/>
      </w:pPr>
      <w:r>
        <w:t>IDDT (2022) Professor Alan Sinclair: Diabetes and ageing [presentation]. Available at: https://www.iddt.org/wp-content/uploads/2022/11/Prof-Alan-Sinclair-Diabetes-and-Ageing.pdf</w:t>
      </w:r>
    </w:p>
    <w:p w14:paraId="7DB9BA98">
      <w:pPr>
        <w:spacing w:after="40"/>
      </w:pPr>
      <w:r>
        <w:rPr>
          <w:rFonts w:eastAsia="Arial"/>
        </w:rPr>
        <w:t xml:space="preserve">International Diabetes Federation (IDF) (2025a) IDF Diabetes Atlas. 11th edn. Brussels: IDF. Available at: </w:t>
      </w:r>
      <w:r>
        <w:fldChar w:fldCharType="begin"/>
      </w:r>
      <w:r>
        <w:instrText xml:space="preserve"> HYPERLINK "https://diabetesatlas.org/resources/idf-diabetes-atlas-2025/" \h </w:instrText>
      </w:r>
      <w:r>
        <w:fldChar w:fldCharType="separate"/>
      </w:r>
      <w:r>
        <w:rPr>
          <w:color w:val="0563C1"/>
          <w:u w:val="single"/>
        </w:rPr>
        <w:t>https://diabetesatlas.org/resources/idf-diabetes-atlas-2025/</w:t>
      </w:r>
      <w:r>
        <w:rPr>
          <w:color w:val="0563C1"/>
          <w:u w:val="single"/>
        </w:rPr>
        <w:fldChar w:fldCharType="end"/>
      </w:r>
    </w:p>
    <w:p w14:paraId="593845CA">
      <w:pPr>
        <w:spacing w:after="40"/>
      </w:pPr>
      <w:r>
        <w:rPr>
          <w:rFonts w:eastAsia="Arial"/>
        </w:rPr>
        <w:t xml:space="preserve">International Diabetes Federation (IDF) (2025b) Diabetes around the world in 2024: Global Factsheet, IDF Diabetes Atlas, 11th edition. Available at: </w:t>
      </w:r>
      <w:r>
        <w:fldChar w:fldCharType="begin"/>
      </w:r>
      <w:r>
        <w:instrText xml:space="preserve"> HYPERLINK "https://diabetesatlas.org/resources/factsheets/" \h </w:instrText>
      </w:r>
      <w:r>
        <w:fldChar w:fldCharType="separate"/>
      </w:r>
      <w:r>
        <w:rPr>
          <w:color w:val="0563C1"/>
          <w:u w:val="single"/>
        </w:rPr>
        <w:t>https://diabetesatlas.org/resources/factsheets/</w:t>
      </w:r>
      <w:r>
        <w:rPr>
          <w:color w:val="0563C1"/>
          <w:u w:val="single"/>
        </w:rPr>
        <w:fldChar w:fldCharType="end"/>
      </w:r>
    </w:p>
    <w:p w14:paraId="5EDA37DD">
      <w:pPr>
        <w:spacing w:after="40"/>
      </w:pPr>
      <w:r>
        <w:rPr>
          <w:rFonts w:eastAsia="Arial"/>
        </w:rPr>
        <w:t xml:space="preserve">National Health Service (NHS) (n.d.-a) Type 2 diabetes. Available at: </w:t>
      </w:r>
      <w:r>
        <w:fldChar w:fldCharType="begin"/>
      </w:r>
      <w:r>
        <w:instrText xml:space="preserve"> HYPERLINK "https://www.nhs.uk/conditions/type-2-diabetes/" \h </w:instrText>
      </w:r>
      <w:r>
        <w:fldChar w:fldCharType="separate"/>
      </w:r>
      <w:r>
        <w:rPr>
          <w:color w:val="0563C1"/>
          <w:u w:val="single"/>
        </w:rPr>
        <w:t>https://www.nhs.uk/conditions/type-2-diabetes/</w:t>
      </w:r>
      <w:r>
        <w:rPr>
          <w:color w:val="0563C1"/>
          <w:u w:val="single"/>
        </w:rPr>
        <w:fldChar w:fldCharType="end"/>
      </w:r>
      <w:r>
        <w:rPr>
          <w:rFonts w:eastAsia="Arial"/>
        </w:rPr>
        <w:t xml:space="preserve"> (Accessed: 24 October 2026).</w:t>
      </w:r>
    </w:p>
    <w:p w14:paraId="749DFF2F">
      <w:pPr>
        <w:spacing w:after="40"/>
      </w:pPr>
      <w:r>
        <w:rPr>
          <w:rFonts w:eastAsia="Arial"/>
        </w:rPr>
        <w:t xml:space="preserve">National Health Service (NHS) (n.d.-b) Treatment for type 2 diabetes. Available at: </w:t>
      </w:r>
      <w:r>
        <w:fldChar w:fldCharType="begin"/>
      </w:r>
      <w:r>
        <w:instrText xml:space="preserve"> HYPERLINK "https://www.nhs.uk/conditions/type-2-diabetes/treatment/" \h </w:instrText>
      </w:r>
      <w:r>
        <w:fldChar w:fldCharType="separate"/>
      </w:r>
      <w:r>
        <w:rPr>
          <w:color w:val="0563C1"/>
          <w:u w:val="single"/>
        </w:rPr>
        <w:t>https://www.nhs.uk/conditions/type-2-diabetes/treatment/</w:t>
      </w:r>
      <w:r>
        <w:rPr>
          <w:color w:val="0563C1"/>
          <w:u w:val="single"/>
        </w:rPr>
        <w:fldChar w:fldCharType="end"/>
      </w:r>
      <w:r>
        <w:rPr>
          <w:rFonts w:eastAsia="Arial"/>
        </w:rPr>
        <w:t xml:space="preserve"> (Accessed: 24 October 2026).</w:t>
      </w:r>
    </w:p>
    <w:p w14:paraId="6C53AF79">
      <w:pPr>
        <w:spacing w:after="40"/>
      </w:pPr>
      <w:r>
        <w:rPr>
          <w:rFonts w:eastAsia="Arial"/>
        </w:rPr>
        <w:t xml:space="preserve">National Health Service (NHS) (n.d.-c) Diabetic eye screening. Available at: </w:t>
      </w:r>
      <w:r>
        <w:fldChar w:fldCharType="begin"/>
      </w:r>
      <w:r>
        <w:instrText xml:space="preserve"> HYPERLINK "https://www.nhs.uk/conditions/diabetic-eye-screening/" \h </w:instrText>
      </w:r>
      <w:r>
        <w:fldChar w:fldCharType="separate"/>
      </w:r>
      <w:r>
        <w:rPr>
          <w:color w:val="0563C1"/>
          <w:u w:val="single"/>
        </w:rPr>
        <w:t>https://www.nhs.uk/conditions/diabetic-eye-screening/</w:t>
      </w:r>
      <w:r>
        <w:rPr>
          <w:color w:val="0563C1"/>
          <w:u w:val="single"/>
        </w:rPr>
        <w:fldChar w:fldCharType="end"/>
      </w:r>
      <w:r>
        <w:rPr>
          <w:rFonts w:eastAsia="Arial"/>
        </w:rPr>
        <w:t xml:space="preserve"> (Accessed: 24 October 2026).</w:t>
      </w:r>
    </w:p>
    <w:p w14:paraId="617FA978">
      <w:pPr>
        <w:spacing w:after="40"/>
      </w:pPr>
      <w:r>
        <w:rPr>
          <w:rFonts w:eastAsia="Arial"/>
        </w:rPr>
        <w:t xml:space="preserve">National Institute for Health and Care Excellence (NICE) (2021a) Shared decision making (NG197). London: NICE. Available at: </w:t>
      </w:r>
      <w:r>
        <w:fldChar w:fldCharType="begin"/>
      </w:r>
      <w:r>
        <w:instrText xml:space="preserve"> HYPERLINK "https://www.nice.org.uk/guidance/ng197" \h </w:instrText>
      </w:r>
      <w:r>
        <w:fldChar w:fldCharType="separate"/>
      </w:r>
      <w:r>
        <w:rPr>
          <w:color w:val="0563C1"/>
          <w:u w:val="single"/>
        </w:rPr>
        <w:t>https://www.nice.org.uk/guidance/ng197</w:t>
      </w:r>
      <w:r>
        <w:rPr>
          <w:color w:val="0563C1"/>
          <w:u w:val="single"/>
        </w:rPr>
        <w:fldChar w:fldCharType="end"/>
      </w:r>
    </w:p>
    <w:p w14:paraId="79954BD0">
      <w:pPr>
        <w:spacing w:after="40"/>
      </w:pPr>
      <w:r>
        <w:rPr>
          <w:rFonts w:eastAsia="Arial"/>
        </w:rPr>
        <w:t xml:space="preserve">National Institute for Health and Care Excellence (NICE) (2021b) Chronic kidney disease: assessment and management (NG203). London: NICE. Available at: </w:t>
      </w:r>
      <w:r>
        <w:fldChar w:fldCharType="begin"/>
      </w:r>
      <w:r>
        <w:instrText xml:space="preserve"> HYPERLINK "https://www.nice.org.uk/guidance/ng203" \h </w:instrText>
      </w:r>
      <w:r>
        <w:fldChar w:fldCharType="separate"/>
      </w:r>
      <w:r>
        <w:rPr>
          <w:color w:val="0563C1"/>
          <w:u w:val="single"/>
        </w:rPr>
        <w:t>https://www.nice.org.uk/guidance/ng203</w:t>
      </w:r>
      <w:r>
        <w:rPr>
          <w:color w:val="0563C1"/>
          <w:u w:val="single"/>
        </w:rPr>
        <w:fldChar w:fldCharType="end"/>
      </w:r>
    </w:p>
    <w:p w14:paraId="6F8A67FD">
      <w:pPr>
        <w:spacing w:after="40"/>
      </w:pPr>
      <w:r>
        <w:rPr>
          <w:rFonts w:eastAsia="Arial"/>
        </w:rPr>
        <w:t xml:space="preserve">National Institute for Health and Care Excellence (NICE) (2022) Type 2 diabetes in adults: management (NG28). London: NICE. Available at: </w:t>
      </w:r>
      <w:r>
        <w:fldChar w:fldCharType="begin"/>
      </w:r>
      <w:r>
        <w:instrText xml:space="preserve"> HYPERLINK "https://www.ncbi.nlm.nih.gov/books/NBK553486/" \h </w:instrText>
      </w:r>
      <w:r>
        <w:fldChar w:fldCharType="separate"/>
      </w:r>
      <w:r>
        <w:rPr>
          <w:color w:val="0563C1"/>
          <w:u w:val="single"/>
        </w:rPr>
        <w:t>https://www.ncbi.nlm.nih.gov/books/NBK553486/</w:t>
      </w:r>
      <w:r>
        <w:rPr>
          <w:color w:val="0563C1"/>
          <w:u w:val="single"/>
        </w:rPr>
        <w:fldChar w:fldCharType="end"/>
      </w:r>
    </w:p>
    <w:p w14:paraId="2BC457D0">
      <w:pPr>
        <w:spacing w:after="40"/>
      </w:pPr>
      <w:r>
        <w:rPr>
          <w:rFonts w:eastAsia="Arial"/>
        </w:rPr>
        <w:t xml:space="preserve">National Institute for Health and Care Excellence (NICE) (2023a) Cardiovascular disease: risk assessment and reduction, including lipid modification (NG238). London: NICE. Available at: </w:t>
      </w:r>
      <w:r>
        <w:fldChar w:fldCharType="begin"/>
      </w:r>
      <w:r>
        <w:instrText xml:space="preserve"> HYPERLINK "https://www.nice.org.uk/guidance/ng238" \h </w:instrText>
      </w:r>
      <w:r>
        <w:fldChar w:fldCharType="separate"/>
      </w:r>
      <w:r>
        <w:rPr>
          <w:color w:val="0563C1"/>
          <w:u w:val="single"/>
        </w:rPr>
        <w:t>https://www.nice.org.uk/guidance/ng238</w:t>
      </w:r>
      <w:r>
        <w:rPr>
          <w:color w:val="0563C1"/>
          <w:u w:val="single"/>
        </w:rPr>
        <w:fldChar w:fldCharType="end"/>
      </w:r>
    </w:p>
    <w:p w14:paraId="266986A1">
      <w:pPr>
        <w:spacing w:after="40"/>
      </w:pPr>
      <w:r>
        <w:rPr>
          <w:rFonts w:eastAsia="Arial"/>
        </w:rPr>
        <w:t xml:space="preserve">National Institute for Health and Care Excellence (NICE) (2023b) Type 2 diabetes in adults (QS209): quality standard. London: NICE. Available at: </w:t>
      </w:r>
      <w:r>
        <w:fldChar w:fldCharType="begin"/>
      </w:r>
      <w:r>
        <w:instrText xml:space="preserve"> HYPERLINK "https://www.nice.org.uk/guidance/qs209" \h </w:instrText>
      </w:r>
      <w:r>
        <w:fldChar w:fldCharType="separate"/>
      </w:r>
      <w:r>
        <w:rPr>
          <w:color w:val="0563C1"/>
          <w:u w:val="single"/>
        </w:rPr>
        <w:t>https://www.nice.org.uk/guidance/qs209</w:t>
      </w:r>
      <w:r>
        <w:rPr>
          <w:color w:val="0563C1"/>
          <w:u w:val="single"/>
        </w:rPr>
        <w:fldChar w:fldCharType="end"/>
      </w:r>
    </w:p>
    <w:p w14:paraId="395E8D94">
      <w:pPr>
        <w:spacing w:after="40"/>
      </w:pPr>
      <w:r>
        <w:rPr>
          <w:rFonts w:eastAsia="Arial"/>
        </w:rPr>
        <w:t xml:space="preserve">NHS England (2022) NHS Diabetes Prevention Programme: national service specification. London: NHS England. Available at: </w:t>
      </w:r>
      <w:r>
        <w:fldChar w:fldCharType="begin"/>
      </w:r>
      <w:r>
        <w:instrText xml:space="preserve"> HYPERLINK "https://www.england.nhs.uk/publication/nhs-dpp-national-service-specification/" \h </w:instrText>
      </w:r>
      <w:r>
        <w:fldChar w:fldCharType="separate"/>
      </w:r>
      <w:r>
        <w:rPr>
          <w:color w:val="0563C1"/>
          <w:u w:val="single"/>
        </w:rPr>
        <w:t>https://www.england.nhs.uk/publication/nhs-dpp-national-service-specification/</w:t>
      </w:r>
      <w:r>
        <w:rPr>
          <w:color w:val="0563C1"/>
          <w:u w:val="single"/>
        </w:rPr>
        <w:fldChar w:fldCharType="end"/>
      </w:r>
    </w:p>
    <w:p w14:paraId="7B6A3E5A">
      <w:pPr>
        <w:spacing w:after="40"/>
      </w:pPr>
      <w:r>
        <w:rPr>
          <w:rFonts w:eastAsia="Arial"/>
        </w:rPr>
        <w:t xml:space="preserve">NHS England (n.d.-c) Personalised care and support planning. Available at: </w:t>
      </w:r>
      <w:r>
        <w:fldChar w:fldCharType="begin"/>
      </w:r>
      <w:r>
        <w:instrText xml:space="preserve"> HYPERLINK "https://www.england.nhs.uk/personalisedcare/pcsp/" \h </w:instrText>
      </w:r>
      <w:r>
        <w:fldChar w:fldCharType="separate"/>
      </w:r>
      <w:r>
        <w:rPr>
          <w:color w:val="0563C1"/>
          <w:u w:val="single"/>
        </w:rPr>
        <w:t>https://www.england.nhs.uk/personalisedcare/pcsp/</w:t>
      </w:r>
      <w:r>
        <w:rPr>
          <w:color w:val="0563C1"/>
          <w:u w:val="single"/>
        </w:rPr>
        <w:fldChar w:fldCharType="end"/>
      </w:r>
      <w:r>
        <w:rPr>
          <w:rFonts w:eastAsia="Arial"/>
        </w:rPr>
        <w:t xml:space="preserve"> (Accessed: 24 October 2026).</w:t>
      </w:r>
    </w:p>
    <w:p w14:paraId="35E70FDC">
      <w:pPr>
        <w:spacing w:after="40"/>
      </w:pPr>
      <w:r>
        <w:rPr>
          <w:rFonts w:eastAsia="Arial"/>
        </w:rPr>
        <w:t xml:space="preserve">NHS England (2024) Annual report and accounts 2023 to 2024. London: NHS England. Available at: </w:t>
      </w:r>
      <w:r>
        <w:fldChar w:fldCharType="begin"/>
      </w:r>
      <w:r>
        <w:instrText xml:space="preserve"> HYPERLINK "https://assets.publishing.service.gov.uk/media/6709344a92bb81fcdbe7b728/nhs-england-annual-report-and-accounts-2023-to-2024.pdf" \h </w:instrText>
      </w:r>
      <w:r>
        <w:fldChar w:fldCharType="separate"/>
      </w:r>
      <w:r>
        <w:rPr>
          <w:color w:val="0563C1"/>
          <w:u w:val="single"/>
        </w:rPr>
        <w:t>https://assets.publishing.service.gov.uk/media/6709344a92bb81fcdbe7b728/nhs-england-annual-report-and-accounts-2023-to-2024.pdf</w:t>
      </w:r>
      <w:r>
        <w:rPr>
          <w:color w:val="0563C1"/>
          <w:u w:val="single"/>
        </w:rPr>
        <w:fldChar w:fldCharType="end"/>
      </w:r>
    </w:p>
    <w:p w14:paraId="7C584CDA">
      <w:pPr>
        <w:spacing w:after="40"/>
      </w:pPr>
      <w:r>
        <w:rPr>
          <w:rFonts w:eastAsia="Arial"/>
        </w:rPr>
        <w:t xml:space="preserve">NHS England (n.d.-a) NHS Type 2 Diabetes Path to Remission Programme. Available at: </w:t>
      </w:r>
      <w:r>
        <w:fldChar w:fldCharType="begin"/>
      </w:r>
      <w:r>
        <w:instrText xml:space="preserve"> HYPERLINK "https://www.england.nhs.uk/diabetes/treatment-care/diabetes-remission/" \h </w:instrText>
      </w:r>
      <w:r>
        <w:fldChar w:fldCharType="separate"/>
      </w:r>
      <w:r>
        <w:rPr>
          <w:color w:val="0563C1"/>
          <w:u w:val="single"/>
        </w:rPr>
        <w:t>https://www.england.nhs.uk/diabetes/treatment-care/diabetes-remission/</w:t>
      </w:r>
      <w:r>
        <w:rPr>
          <w:color w:val="0563C1"/>
          <w:u w:val="single"/>
        </w:rPr>
        <w:fldChar w:fldCharType="end"/>
      </w:r>
      <w:r>
        <w:rPr>
          <w:rFonts w:eastAsia="Arial"/>
        </w:rPr>
        <w:t xml:space="preserve"> (Accessed: 24 October 2026).</w:t>
      </w:r>
    </w:p>
    <w:p w14:paraId="6289308B">
      <w:pPr>
        <w:spacing w:after="40"/>
      </w:pPr>
      <w:r>
        <w:rPr>
          <w:rFonts w:eastAsia="Arial"/>
        </w:rPr>
        <w:t xml:space="preserve">NHS England (n.d.-b) NHS Diabetes Prevention Programme. Available at: </w:t>
      </w:r>
      <w:r>
        <w:fldChar w:fldCharType="begin"/>
      </w:r>
      <w:r>
        <w:instrText xml:space="preserve"> HYPERLINK "https://www.england.nhs.uk/diabetes/diabetes-prevention/" \h </w:instrText>
      </w:r>
      <w:r>
        <w:fldChar w:fldCharType="separate"/>
      </w:r>
      <w:r>
        <w:rPr>
          <w:color w:val="0563C1"/>
          <w:u w:val="single"/>
        </w:rPr>
        <w:t>https://www.england.nhs.uk/diabetes/diabetes-prevention/</w:t>
      </w:r>
      <w:r>
        <w:rPr>
          <w:color w:val="0563C1"/>
          <w:u w:val="single"/>
        </w:rPr>
        <w:fldChar w:fldCharType="end"/>
      </w:r>
      <w:r>
        <w:rPr>
          <w:rFonts w:eastAsia="Arial"/>
        </w:rPr>
        <w:t xml:space="preserve"> (Accessed: 24 October 2026).</w:t>
      </w:r>
    </w:p>
    <w:p w14:paraId="44182D52">
      <w:pPr>
        <w:spacing w:after="40"/>
      </w:pPr>
      <w:r>
        <w:rPr>
          <w:rFonts w:eastAsia="Arial"/>
        </w:rPr>
        <w:t xml:space="preserve">Office for Health Improvement and Disparities (OHID) (2025) Health trends and variation in England, 2025. London: OHID. Available at: </w:t>
      </w:r>
      <w:r>
        <w:fldChar w:fldCharType="begin"/>
      </w:r>
      <w:r>
        <w:instrText xml:space="preserve"> HYPERLINK "https://www.gov.uk/government/publications/health-trends-and-variation-in-england-2025-a-chief-medical-officer-report/health-trends-and-variation-in-england-2025-accessible-version" \h </w:instrText>
      </w:r>
      <w:r>
        <w:fldChar w:fldCharType="separate"/>
      </w:r>
      <w:r>
        <w:rPr>
          <w:color w:val="0563C1"/>
          <w:u w:val="single"/>
        </w:rPr>
        <w:t>https://www.gov.uk/government/publications/health-trends-and-variation-in-england-2025-a-chief-medical-officer-report/health-trends-and-variation-in-england-2025-accessible-version</w:t>
      </w:r>
      <w:r>
        <w:rPr>
          <w:color w:val="0563C1"/>
          <w:u w:val="single"/>
        </w:rPr>
        <w:fldChar w:fldCharType="end"/>
      </w:r>
    </w:p>
    <w:p w14:paraId="6E8F810C">
      <w:pPr>
        <w:spacing w:after="40"/>
      </w:pPr>
      <w:r>
        <w:rPr>
          <w:rFonts w:eastAsia="Arial"/>
        </w:rPr>
        <w:t xml:space="preserve">Powers, M.A., Bardsley, J.K., Cypress, M., Funnell, M.M., Harms, D. et al. (2020) ‘Diabetes self-management education and support in adults with type 2 diabetes: a consensus report’, Diabetes Care, 43(7), pp. 1636–1649. Available at: </w:t>
      </w:r>
      <w:r>
        <w:fldChar w:fldCharType="begin"/>
      </w:r>
      <w:r>
        <w:instrText xml:space="preserve"> HYPERLINK "https://doi.org/10.2337/dci20-0023" \h </w:instrText>
      </w:r>
      <w:r>
        <w:fldChar w:fldCharType="separate"/>
      </w:r>
      <w:r>
        <w:rPr>
          <w:color w:val="0563C1"/>
          <w:u w:val="single"/>
        </w:rPr>
        <w:t>https://doi.org/10.2337/dci20-0023</w:t>
      </w:r>
      <w:r>
        <w:rPr>
          <w:color w:val="0563C1"/>
          <w:u w:val="single"/>
        </w:rPr>
        <w:fldChar w:fldCharType="end"/>
      </w:r>
    </w:p>
    <w:p w14:paraId="12569688">
      <w:pPr>
        <w:spacing w:after="40"/>
      </w:pPr>
      <w:r>
        <w:rPr>
          <w:rFonts w:eastAsia="Arial"/>
        </w:rPr>
        <w:t xml:space="preserve">Riddle, M.C., Cefalu, W.T., Evans, P.H. et al. (2021) ‘Consensus report: definition and interpretation of remission in type 2 diabetes’, Diabetes Care, 44(10), pp. 2438–2444. Available at: </w:t>
      </w:r>
      <w:r>
        <w:fldChar w:fldCharType="begin"/>
      </w:r>
      <w:r>
        <w:instrText xml:space="preserve"> HYPERLINK "https://doi.org/10.2337/dci21-0034" \h </w:instrText>
      </w:r>
      <w:r>
        <w:fldChar w:fldCharType="separate"/>
      </w:r>
      <w:r>
        <w:rPr>
          <w:color w:val="0563C1"/>
          <w:u w:val="single"/>
        </w:rPr>
        <w:t>https://doi.org/10.2337/dci21-0034</w:t>
      </w:r>
      <w:r>
        <w:rPr>
          <w:color w:val="0563C1"/>
          <w:u w:val="single"/>
        </w:rPr>
        <w:fldChar w:fldCharType="end"/>
      </w:r>
    </w:p>
    <w:p w14:paraId="1ED9ABE9">
      <w:pPr>
        <w:spacing w:after="40"/>
      </w:pPr>
      <w:r>
        <w:rPr>
          <w:rFonts w:eastAsia="Arial"/>
        </w:rPr>
        <w:t xml:space="preserve">Roberts, S., Eaton, S., Finch, T. et al. (2019) ‘The Year of Care approach: developing a model and delivery programme for care and support planning in long term conditions within general practice’, BMC Family Practice, 20, article 153. Available at: </w:t>
      </w:r>
      <w:r>
        <w:fldChar w:fldCharType="begin"/>
      </w:r>
      <w:r>
        <w:instrText xml:space="preserve"> HYPERLINK "https://doi.org/10.1186/s12875-019-1042-4" \h </w:instrText>
      </w:r>
      <w:r>
        <w:fldChar w:fldCharType="separate"/>
      </w:r>
      <w:r>
        <w:rPr>
          <w:color w:val="0563C1"/>
          <w:u w:val="single"/>
        </w:rPr>
        <w:t>https://doi.org/10.1186/s12875-019-1042-4</w:t>
      </w:r>
      <w:r>
        <w:rPr>
          <w:color w:val="0563C1"/>
          <w:u w:val="single"/>
        </w:rPr>
        <w:fldChar w:fldCharType="end"/>
      </w:r>
    </w:p>
    <w:p w14:paraId="1FA4CE95">
      <w:pPr>
        <w:spacing w:after="40"/>
      </w:pPr>
      <w:r>
        <w:rPr>
          <w:rFonts w:eastAsia="Arial"/>
        </w:rPr>
        <w:t xml:space="preserve">World Health Organization (WHO) (2024) Diabetes. Fact sheet, 14 November. Geneva: WHO. Available at: </w:t>
      </w:r>
      <w:r>
        <w:fldChar w:fldCharType="begin"/>
      </w:r>
      <w:r>
        <w:instrText xml:space="preserve"> HYPERLINK "https://www.who.int/news-room/fact-sheets/detail/diabetes" \h </w:instrText>
      </w:r>
      <w:r>
        <w:fldChar w:fldCharType="separate"/>
      </w:r>
      <w:r>
        <w:rPr>
          <w:color w:val="0563C1"/>
          <w:u w:val="single"/>
        </w:rPr>
        <w:t>https://www.who.int/news-room/fact-sheets/detail/diabetes</w:t>
      </w:r>
      <w:r>
        <w:rPr>
          <w:color w:val="0563C1"/>
          <w:u w:val="single"/>
        </w:rPr>
        <w:fldChar w:fldCharType="end"/>
      </w:r>
    </w:p>
    <w:sectPr>
      <w:footerReference r:id="rId5" w:type="default"/>
      <w:pgSz w:w="11906" w:h="16838"/>
      <w:pgMar w:top="1440" w:right="1440" w:bottom="1440" w:left="1440" w:header="432" w:footer="432"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宋体-简"/>
    <w:panose1 w:val="00000000000000000000"/>
    <w:charset w:val="86"/>
    <w:family w:val="auto"/>
    <w:pitch w:val="default"/>
    <w:sig w:usb0="00000000" w:usb1="00000000" w:usb2="00000000" w:usb3="00000000" w:csb0="00000000" w:csb1="00000000"/>
  </w:font>
  <w:font w:name="Vrinda">
    <w:altName w:val="苹方-简"/>
    <w:panose1 w:val="00000400000000000000"/>
    <w:charset w:val="00"/>
    <w:family w:val="swiss"/>
    <w:pitch w:val="default"/>
    <w:sig w:usb0="00000000" w:usb1="00000000" w:usb2="00000000" w:usb3="00000000" w:csb0="00000001" w:csb1="00000000"/>
  </w:font>
  <w:font w:name="Cambria">
    <w:altName w:val="苹方-简"/>
    <w:panose1 w:val="02040503050406030204"/>
    <w:charset w:val="00"/>
    <w:family w:val="roman"/>
    <w:pitch w:val="default"/>
    <w:sig w:usb0="00000000" w:usb1="00000000" w:usb2="02000000" w:usb3="00000000" w:csb0="0000019F" w:csb1="00000000"/>
  </w:font>
  <w:font w:name="ＭＳ 明朝">
    <w:altName w:val="Hiragino Sans"/>
    <w:panose1 w:val="00000000000000000000"/>
    <w:charset w:val="86"/>
    <w:family w:val="auto"/>
    <w:pitch w:val="default"/>
    <w:sig w:usb0="00000000" w:usb1="00000000" w:usb2="00000000" w:usb3="00000000" w:csb0="00000000" w:csb1="00000000"/>
  </w:font>
  <w:font w:name="ＭＳ ゴシック">
    <w:altName w:val="Arial Unicode MS"/>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ourier">
    <w:altName w:val="苹方-简"/>
    <w:panose1 w:val="02070409020205020404"/>
    <w:charset w:val="00"/>
    <w:family w:val="auto"/>
    <w:pitch w:val="default"/>
    <w:sig w:usb0="00000000" w:usb1="00000000" w:usb2="00000000" w:usb3="00000000" w:csb0="00000001" w:csb1="00000000"/>
  </w:font>
  <w:font w:name="ＭＳ 明朝">
    <w:altName w:val="Hiragino Sans"/>
    <w:panose1 w:val="00000000000000000000"/>
    <w:charset w:val="00"/>
    <w:family w:val="auto"/>
    <w:pitch w:val="default"/>
    <w:sig w:usb0="00000000" w:usb1="00000000" w:usb2="00000000" w:usb3="00000000" w:csb0="00000000" w:csb1="00000000"/>
  </w:font>
  <w:font w:name="Hiragino Sans">
    <w:panose1 w:val="020B0700000000000000"/>
    <w:charset w:val="80"/>
    <w:family w:val="auto"/>
    <w:pitch w:val="default"/>
    <w:sig w:usb0="800002CF" w:usb1="6AC7FCFC" w:usb2="00000012" w:usb3="00000000" w:csb0="0002000D" w:csb1="00000000"/>
  </w:font>
  <w:font w:name="Helvetica Neue">
    <w:panose1 w:val="02000503000000020004"/>
    <w:charset w:val="00"/>
    <w:family w:val="auto"/>
    <w:pitch w:val="default"/>
    <w:sig w:usb0="E50002FF" w:usb1="500079DB" w:usb2="00000010" w:usb3="00000000" w:csb0="00000000" w:csb1="00000000"/>
  </w:font>
  <w:font w:name="苹方-简">
    <w:altName w:val="Times New Roman"/>
    <w:panose1 w:val="020B0600000000000000"/>
    <w:charset w:val="00"/>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宋体-简">
    <w:panose1 w:val="02010800040101010101"/>
    <w:charset w:val="86"/>
    <w:family w:val="auto"/>
    <w:pitch w:val="default"/>
    <w:sig w:usb0="00000001" w:usb1="080F0000" w:usb2="00000000" w:usb3="00000000" w:csb0="00040000" w:csb1="00000000"/>
  </w:font>
  <w:font w:name="Kingsoft Sign">
    <w:panose1 w:val="05050102010706020507"/>
    <w:charset w:val="00"/>
    <w:family w:val="auto"/>
    <w:pitch w:val="default"/>
    <w:sig w:usb0="00000000" w:usb1="10000000" w:usb2="00000000" w:usb3="00000000" w:csb0="00000001" w:csb1="00000000"/>
  </w:font>
  <w:font w:name="黑体-简">
    <w:panose1 w:val="00000000000000000000"/>
    <w:charset w:val="86"/>
    <w:family w:val="auto"/>
    <w:pitch w:val="default"/>
    <w:sig w:usb0="8000002F" w:usb1="0800004A" w:usb2="00000000" w:usb3="00000000" w:csb0="203E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78E8A8F">
    <w:pPr>
      <w:pStyle w:val="18"/>
      <w:jc w:val="center"/>
      <w:rPr>
        <w:color w:val="5A6670"/>
        <w:sz w:val="18"/>
      </w:rPr>
    </w:pPr>
    <w:r>
      <w:rPr>
        <w:color w:val="5A6670"/>
        <w:sz w:val="18"/>
      </w:rPr>
      <w:t xml:space="preserve">LCHS7003  •  </w:t>
    </w:r>
    <w:r>
      <w:rPr>
        <w:color w:val="5A6670"/>
        <w:sz w:val="18"/>
      </w:rPr>
      <w:fldChar w:fldCharType="begin"/>
    </w:r>
    <w:r>
      <w:rPr>
        <w:color w:val="5A6670"/>
        <w:sz w:val="18"/>
      </w:rPr>
      <w:instrText xml:space="preserve"> PAGE </w:instrText>
    </w:r>
    <w:r>
      <w:rPr>
        <w:color w:val="5A6670"/>
        <w:sz w:val="18"/>
      </w:rPr>
      <w:fldChar w:fldCharType="separate"/>
    </w:r>
    <w:r>
      <w:rPr>
        <w:color w:val="5A6670"/>
        <w:sz w:val="18"/>
      </w:rPr>
      <w:t>1</w:t>
    </w:r>
    <w:r>
      <w:rPr>
        <w:color w:val="5A6670"/>
        <w:sz w:val="18"/>
      </w:rPr>
      <w:fldChar w:fldCharType="end"/>
    </w:r>
  </w:p>
  <w:p w14:paraId="1F609E55">
    <w:pPr>
      <w:pStyle w:val="18"/>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2"/>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1"/>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6"/>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5"/>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30"/>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4"/>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5"/>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1757"/>
    <w:rsid w:val="00034616"/>
    <w:rsid w:val="000429E9"/>
    <w:rsid w:val="00056320"/>
    <w:rsid w:val="0006063C"/>
    <w:rsid w:val="0015074B"/>
    <w:rsid w:val="00176AD9"/>
    <w:rsid w:val="00180A4F"/>
    <w:rsid w:val="0020176A"/>
    <w:rsid w:val="00270B0A"/>
    <w:rsid w:val="0029639D"/>
    <w:rsid w:val="002C3CB9"/>
    <w:rsid w:val="00326F90"/>
    <w:rsid w:val="003641C5"/>
    <w:rsid w:val="004F23B6"/>
    <w:rsid w:val="004F3966"/>
    <w:rsid w:val="0070506E"/>
    <w:rsid w:val="00796E4D"/>
    <w:rsid w:val="007E7A74"/>
    <w:rsid w:val="008512E9"/>
    <w:rsid w:val="00854D07"/>
    <w:rsid w:val="008B37A9"/>
    <w:rsid w:val="008C35AA"/>
    <w:rsid w:val="00936287"/>
    <w:rsid w:val="0099478E"/>
    <w:rsid w:val="00997C2E"/>
    <w:rsid w:val="009C47EC"/>
    <w:rsid w:val="00A26ED6"/>
    <w:rsid w:val="00AA1D8D"/>
    <w:rsid w:val="00B47730"/>
    <w:rsid w:val="00B6702D"/>
    <w:rsid w:val="00BC76E0"/>
    <w:rsid w:val="00C5126E"/>
    <w:rsid w:val="00CB0664"/>
    <w:rsid w:val="00DB7FA2"/>
    <w:rsid w:val="00E80795"/>
    <w:rsid w:val="00E96D0A"/>
    <w:rsid w:val="00F721CB"/>
    <w:rsid w:val="00FC693F"/>
    <w:rsid w:val="00FE7F0C"/>
    <w:rsid w:val="00FF423C"/>
    <w:rsid w:val="00FF7BBA"/>
    <w:rsid w:val="2FF3C322"/>
    <w:rsid w:val="36DF7448"/>
    <w:rsid w:val="96CD4BC9"/>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bidi="bn-IN"/>
  <w:clrSchemeMapping w:bg1="light1" w:t1="dark1" w:bg2="light2" w:t2="dark2" w:accent1="accent1" w:accent2="accent2" w:accent3="accent3" w:accent4="accent4" w:accent5="accent5" w:accent6="accent6" w:hyperlink="hyperlink" w:followedHyperlink="followedHyperlink"/>
  <w:doNotIncludeSubdocsInStats/>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uiPriority="99" w:semiHidden="0" w:name="List"/>
    <w:lsdException w:uiPriority="99" w:semiHidden="0" w:name="List Bullet"/>
    <w:lsdException w:uiPriority="99" w:semiHidden="0" w:name="List Number"/>
    <w:lsdException w:uiPriority="99" w:semiHidden="0" w:name="List 2"/>
    <w:lsdException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semiHidden="0" w:name="Body Text"/>
    <w:lsdException w:uiPriority="99" w:name="Body Text Indent"/>
    <w:lsdException w:uiPriority="99" w:semiHidden="0" w:name="List Continue"/>
    <w:lsdException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00" w:line="360" w:lineRule="auto"/>
      <w:jc w:val="both"/>
    </w:pPr>
    <w:rPr>
      <w:rFonts w:ascii="Arial" w:hAnsi="Arial" w:eastAsiaTheme="minorEastAsia" w:cstheme="minorBidi"/>
      <w:color w:val="242B33"/>
      <w:sz w:val="22"/>
      <w:szCs w:val="22"/>
      <w:lang w:val="en-US" w:eastAsia="en-US" w:bidi="ar-SA"/>
    </w:rPr>
  </w:style>
  <w:style w:type="paragraph" w:styleId="2">
    <w:name w:val="heading 1"/>
    <w:basedOn w:val="1"/>
    <w:next w:val="1"/>
    <w:link w:val="141"/>
    <w:qFormat/>
    <w:uiPriority w:val="9"/>
    <w:pPr>
      <w:keepNext/>
      <w:keepLines/>
      <w:spacing w:before="160" w:after="80"/>
      <w:outlineLvl w:val="0"/>
    </w:pPr>
    <w:rPr>
      <w:rFonts w:asciiTheme="majorHAnsi" w:hAnsiTheme="majorHAnsi" w:eastAsiaTheme="majorEastAsia" w:cstheme="majorBidi"/>
      <w:b/>
      <w:bCs/>
      <w:color w:val="184669"/>
      <w:sz w:val="30"/>
      <w:szCs w:val="28"/>
    </w:rPr>
  </w:style>
  <w:style w:type="paragraph" w:styleId="3">
    <w:name w:val="heading 2"/>
    <w:basedOn w:val="1"/>
    <w:next w:val="1"/>
    <w:link w:val="142"/>
    <w:unhideWhenUsed/>
    <w:qFormat/>
    <w:uiPriority w:val="9"/>
    <w:pPr>
      <w:keepNext/>
      <w:keepLines/>
      <w:spacing w:before="160" w:after="80"/>
      <w:outlineLvl w:val="1"/>
    </w:pPr>
    <w:rPr>
      <w:rFonts w:asciiTheme="majorHAnsi" w:hAnsiTheme="majorHAnsi" w:eastAsiaTheme="majorEastAsia" w:cstheme="majorBidi"/>
      <w:b/>
      <w:bCs/>
      <w:color w:val="184669"/>
      <w:sz w:val="24"/>
      <w:szCs w:val="26"/>
    </w:rPr>
  </w:style>
  <w:style w:type="paragraph" w:styleId="4">
    <w:name w:val="heading 3"/>
    <w:basedOn w:val="1"/>
    <w:next w:val="1"/>
    <w:link w:val="143"/>
    <w:unhideWhenUsed/>
    <w:qFormat/>
    <w:uiPriority w:val="9"/>
    <w:pPr>
      <w:keepNext/>
      <w:keepLines/>
      <w:spacing w:before="160" w:after="80"/>
      <w:outlineLvl w:val="2"/>
    </w:pPr>
    <w:rPr>
      <w:rFonts w:asciiTheme="majorHAnsi" w:hAnsiTheme="majorHAnsi" w:eastAsiaTheme="majorEastAsia" w:cstheme="majorBidi"/>
      <w:b/>
      <w:bCs/>
      <w:color w:val="184669"/>
    </w:rPr>
  </w:style>
  <w:style w:type="paragraph" w:styleId="5">
    <w:name w:val="heading 4"/>
    <w:basedOn w:val="1"/>
    <w:next w:val="1"/>
    <w:link w:val="153"/>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4"/>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5"/>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6"/>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7"/>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8"/>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Body Text"/>
    <w:basedOn w:val="1"/>
    <w:link w:val="147"/>
    <w:unhideWhenUsed/>
    <w:uiPriority w:val="99"/>
    <w:pPr>
      <w:spacing w:after="120"/>
    </w:pPr>
  </w:style>
  <w:style w:type="paragraph" w:styleId="14">
    <w:name w:val="Body Text 2"/>
    <w:basedOn w:val="1"/>
    <w:link w:val="148"/>
    <w:unhideWhenUsed/>
    <w:uiPriority w:val="99"/>
    <w:pPr>
      <w:spacing w:after="120" w:line="480" w:lineRule="auto"/>
    </w:pPr>
  </w:style>
  <w:style w:type="paragraph" w:styleId="15">
    <w:name w:val="Body Text 3"/>
    <w:basedOn w:val="1"/>
    <w:link w:val="149"/>
    <w:unhideWhenUsed/>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9"/>
    <w:unhideWhenUsed/>
    <w:uiPriority w:val="99"/>
    <w:pPr>
      <w:tabs>
        <w:tab w:val="center" w:pos="4680"/>
        <w:tab w:val="right" w:pos="9360"/>
      </w:tabs>
      <w:spacing w:after="0" w:line="240" w:lineRule="auto"/>
    </w:pPr>
  </w:style>
  <w:style w:type="paragraph" w:styleId="19">
    <w:name w:val="header"/>
    <w:basedOn w:val="1"/>
    <w:link w:val="138"/>
    <w:unhideWhenUsed/>
    <w:uiPriority w:val="99"/>
    <w:pPr>
      <w:tabs>
        <w:tab w:val="center" w:pos="4680"/>
        <w:tab w:val="right" w:pos="9360"/>
      </w:tabs>
      <w:spacing w:after="0" w:line="240" w:lineRule="auto"/>
    </w:pPr>
  </w:style>
  <w:style w:type="character" w:styleId="20">
    <w:name w:val="Hyperlink"/>
    <w:basedOn w:val="11"/>
    <w:unhideWhenUsed/>
    <w:uiPriority w:val="99"/>
    <w:rPr>
      <w:color w:val="0000FF" w:themeColor="hyperlink"/>
      <w:u w:val="single"/>
      <w14:textFill>
        <w14:solidFill>
          <w14:schemeClr w14:val="hlink"/>
        </w14:solidFill>
      </w14:textFill>
    </w:rPr>
  </w:style>
  <w:style w:type="paragraph" w:styleId="21">
    <w:name w:val="List"/>
    <w:basedOn w:val="1"/>
    <w:unhideWhenUsed/>
    <w:uiPriority w:val="99"/>
    <w:pPr>
      <w:ind w:left="360" w:hanging="360"/>
      <w:contextualSpacing/>
    </w:pPr>
  </w:style>
  <w:style w:type="paragraph" w:styleId="22">
    <w:name w:val="List 2"/>
    <w:basedOn w:val="1"/>
    <w:unhideWhenUsed/>
    <w:uiPriority w:val="99"/>
    <w:pPr>
      <w:ind w:left="720" w:hanging="360"/>
      <w:contextualSpacing/>
    </w:pPr>
  </w:style>
  <w:style w:type="paragraph" w:styleId="23">
    <w:name w:val="List 3"/>
    <w:basedOn w:val="1"/>
    <w:unhideWhenUsed/>
    <w:uiPriority w:val="99"/>
    <w:pPr>
      <w:ind w:left="1080" w:hanging="360"/>
      <w:contextualSpacing/>
    </w:pPr>
  </w:style>
  <w:style w:type="paragraph" w:styleId="24">
    <w:name w:val="List Bullet"/>
    <w:basedOn w:val="1"/>
    <w:unhideWhenUsed/>
    <w:uiPriority w:val="99"/>
    <w:pPr>
      <w:numPr>
        <w:ilvl w:val="0"/>
        <w:numId w:val="1"/>
      </w:numPr>
      <w:contextualSpacing/>
    </w:pPr>
  </w:style>
  <w:style w:type="paragraph" w:styleId="25">
    <w:name w:val="List Bullet 2"/>
    <w:basedOn w:val="1"/>
    <w:unhideWhenUsed/>
    <w:uiPriority w:val="99"/>
    <w:pPr>
      <w:numPr>
        <w:ilvl w:val="0"/>
        <w:numId w:val="2"/>
      </w:numPr>
      <w:contextualSpacing/>
    </w:pPr>
  </w:style>
  <w:style w:type="paragraph" w:styleId="26">
    <w:name w:val="List Bullet 3"/>
    <w:basedOn w:val="1"/>
    <w:unhideWhenUsed/>
    <w:uiPriority w:val="99"/>
    <w:pPr>
      <w:numPr>
        <w:ilvl w:val="0"/>
        <w:numId w:val="3"/>
      </w:numPr>
      <w:contextualSpacing/>
    </w:pPr>
  </w:style>
  <w:style w:type="paragraph" w:styleId="27">
    <w:name w:val="List Continue"/>
    <w:basedOn w:val="1"/>
    <w:unhideWhenUsed/>
    <w:uiPriority w:val="99"/>
    <w:pPr>
      <w:spacing w:after="120"/>
      <w:ind w:left="360"/>
      <w:contextualSpacing/>
    </w:pPr>
  </w:style>
  <w:style w:type="paragraph" w:styleId="28">
    <w:name w:val="List Continue 2"/>
    <w:basedOn w:val="1"/>
    <w:unhideWhenUsed/>
    <w:uiPriority w:val="99"/>
    <w:pPr>
      <w:spacing w:after="120"/>
      <w:ind w:left="720"/>
      <w:contextualSpacing/>
    </w:pPr>
  </w:style>
  <w:style w:type="paragraph" w:styleId="29">
    <w:name w:val="List Continue 3"/>
    <w:basedOn w:val="1"/>
    <w:unhideWhenUsed/>
    <w:uiPriority w:val="99"/>
    <w:pPr>
      <w:spacing w:after="120"/>
      <w:ind w:left="1080"/>
      <w:contextualSpacing/>
    </w:pPr>
  </w:style>
  <w:style w:type="paragraph" w:styleId="30">
    <w:name w:val="List Number"/>
    <w:basedOn w:val="1"/>
    <w:unhideWhenUsed/>
    <w:uiPriority w:val="99"/>
    <w:pPr>
      <w:numPr>
        <w:ilvl w:val="0"/>
        <w:numId w:val="4"/>
      </w:numPr>
      <w:contextualSpacing/>
    </w:pPr>
  </w:style>
  <w:style w:type="paragraph" w:styleId="31">
    <w:name w:val="List Number 2"/>
    <w:basedOn w:val="1"/>
    <w:unhideWhenUsed/>
    <w:uiPriority w:val="99"/>
    <w:pPr>
      <w:numPr>
        <w:ilvl w:val="0"/>
        <w:numId w:val="5"/>
      </w:numPr>
      <w:contextualSpacing/>
    </w:pPr>
  </w:style>
  <w:style w:type="paragraph" w:styleId="32">
    <w:name w:val="List Number 3"/>
    <w:basedOn w:val="1"/>
    <w:unhideWhenUsed/>
    <w:uiPriority w:val="99"/>
    <w:pPr>
      <w:numPr>
        <w:ilvl w:val="0"/>
        <w:numId w:val="6"/>
      </w:numPr>
      <w:contextualSpacing/>
    </w:pPr>
  </w:style>
  <w:style w:type="paragraph" w:styleId="33">
    <w:name w:val="macro"/>
    <w:link w:val="150"/>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4">
    <w:name w:val="Strong"/>
    <w:basedOn w:val="11"/>
    <w:qFormat/>
    <w:uiPriority w:val="22"/>
    <w:rPr>
      <w:b/>
      <w:bCs/>
    </w:rPr>
  </w:style>
  <w:style w:type="paragraph" w:styleId="35">
    <w:name w:val="Subtitle"/>
    <w:basedOn w:val="1"/>
    <w:next w:val="1"/>
    <w:link w:val="145"/>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6">
    <w:name w:val="Table Grid"/>
    <w:basedOn w:val="12"/>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37">
    <w:name w:val="Title"/>
    <w:basedOn w:val="1"/>
    <w:next w:val="1"/>
    <w:link w:val="144"/>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paragraph" w:styleId="38">
    <w:name w:val="toc 1"/>
    <w:basedOn w:val="1"/>
    <w:next w:val="1"/>
    <w:autoRedefine/>
    <w:unhideWhenUsed/>
    <w:uiPriority w:val="39"/>
  </w:style>
  <w:style w:type="paragraph" w:styleId="39">
    <w:name w:val="toc 2"/>
    <w:basedOn w:val="1"/>
    <w:next w:val="1"/>
    <w:autoRedefine/>
    <w:unhideWhenUsed/>
    <w:uiPriority w:val="39"/>
    <w:pPr>
      <w:ind w:left="220"/>
    </w:pPr>
  </w:style>
  <w:style w:type="table" w:styleId="40">
    <w:name w:val="Light Shading"/>
    <w:basedOn w:val="12"/>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41">
    <w:name w:val="Light Shading Accent 1"/>
    <w:basedOn w:val="12"/>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42">
    <w:name w:val="Light Shading Accent 2"/>
    <w:basedOn w:val="12"/>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3">
    <w:name w:val="Light Shading Accent 3"/>
    <w:basedOn w:val="12"/>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4">
    <w:name w:val="Light Shading Accent 4"/>
    <w:basedOn w:val="12"/>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5">
    <w:name w:val="Light Shading Accent 5"/>
    <w:basedOn w:val="12"/>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6">
    <w:name w:val="Light Shading Accent 6"/>
    <w:basedOn w:val="12"/>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7">
    <w:name w:val="Light List"/>
    <w:basedOn w:val="12"/>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8">
    <w:name w:val="Light List Accent 1"/>
    <w:basedOn w:val="12"/>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9">
    <w:name w:val="Light List Accent 2"/>
    <w:basedOn w:val="12"/>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50">
    <w:name w:val="Light List Accent 3"/>
    <w:basedOn w:val="12"/>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51">
    <w:name w:val="Light List Accent 4"/>
    <w:basedOn w:val="12"/>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52">
    <w:name w:val="Light List Accent 5"/>
    <w:basedOn w:val="12"/>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3">
    <w:name w:val="Light List Accent 6"/>
    <w:basedOn w:val="12"/>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4">
    <w:name w:val="Light Grid"/>
    <w:basedOn w:val="12"/>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5">
    <w:name w:val="Light Grid Accent 1"/>
    <w:basedOn w:val="12"/>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6">
    <w:name w:val="Light Grid Accent 2"/>
    <w:basedOn w:val="12"/>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7">
    <w:name w:val="Light Grid Accent 3"/>
    <w:basedOn w:val="12"/>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8">
    <w:name w:val="Light Grid Accent 4"/>
    <w:basedOn w:val="12"/>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9">
    <w:name w:val="Light Grid Accent 5"/>
    <w:basedOn w:val="12"/>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60">
    <w:name w:val="Light Grid Accent 6"/>
    <w:basedOn w:val="12"/>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61">
    <w:name w:val="Medium Shading 1"/>
    <w:basedOn w:val="12"/>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62">
    <w:name w:val="Medium Shading 1 Accent 1"/>
    <w:basedOn w:val="12"/>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3">
    <w:name w:val="Medium Shading 1 Accent 2"/>
    <w:basedOn w:val="12"/>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4">
    <w:name w:val="Medium Shading 1 Accent 3"/>
    <w:basedOn w:val="12"/>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5">
    <w:name w:val="Medium Shading 1 Accent 4"/>
    <w:basedOn w:val="12"/>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6">
    <w:name w:val="Medium Shading 1 Accent 5"/>
    <w:basedOn w:val="12"/>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7">
    <w:name w:val="Medium Shading 1 Accent 6"/>
    <w:basedOn w:val="12"/>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8">
    <w:name w:val="Medium Shading 2"/>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1"/>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2"/>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3"/>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Shading 2 Accent 4"/>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3">
    <w:name w:val="Medium Shading 2 Accent 5"/>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4">
    <w:name w:val="Medium Shading 2 Accent 6"/>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5">
    <w:name w:val="Medium List 1"/>
    <w:basedOn w:val="12"/>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6">
    <w:name w:val="Medium List 1 Accent 1"/>
    <w:basedOn w:val="12"/>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7">
    <w:name w:val="Medium List 1 Accent 2"/>
    <w:basedOn w:val="12"/>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8">
    <w:name w:val="Medium List 1 Accent 3"/>
    <w:basedOn w:val="12"/>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9">
    <w:name w:val="Medium List 1 Accent 4"/>
    <w:basedOn w:val="12"/>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80">
    <w:name w:val="Medium List 1 Accent 5"/>
    <w:basedOn w:val="1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81">
    <w:name w:val="Medium List 1 Accent 6"/>
    <w:basedOn w:val="12"/>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82">
    <w:name w:val="Medium Lis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1"/>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3"/>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List 2 Accent 4"/>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7">
    <w:name w:val="Medium List 2 Accent 5"/>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8">
    <w:name w:val="Medium List 2 Accent 6"/>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9">
    <w:name w:val="Medium Grid 1"/>
    <w:basedOn w:val="1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90">
    <w:name w:val="Medium Grid 1 Accent 1"/>
    <w:basedOn w:val="1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91">
    <w:name w:val="Medium Grid 1 Accent 2"/>
    <w:basedOn w:val="1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92">
    <w:name w:val="Medium Grid 1 Accent 3"/>
    <w:basedOn w:val="1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3">
    <w:name w:val="Medium Grid 1 Accent 4"/>
    <w:basedOn w:val="12"/>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4">
    <w:name w:val="Medium Grid 1 Accent 5"/>
    <w:basedOn w:val="1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5">
    <w:name w:val="Medium Grid 1 Accent 6"/>
    <w:basedOn w:val="1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6">
    <w:name w:val="Medium Grid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7">
    <w:name w:val="Medium Grid 2 Accent 1"/>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8">
    <w:name w:val="Medium Grid 2 Accent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9">
    <w:name w:val="Medium Grid 2 Accent 3"/>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100">
    <w:name w:val="Medium Grid 2 Accent 4"/>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101">
    <w:name w:val="Medium Grid 2 Accent 5"/>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102">
    <w:name w:val="Medium Grid 2 Accent 6"/>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3">
    <w:name w:val="Medium Grid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4">
    <w:name w:val="Medium Grid 3 Accent 1"/>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5">
    <w:name w:val="Medium Grid 3 Accent 2"/>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6">
    <w:name w:val="Medium Grid 3 Accent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7">
    <w:name w:val="Medium Grid 3 Accent 4"/>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8">
    <w:name w:val="Medium Grid 3 Accent 5"/>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9">
    <w:name w:val="Medium Grid 3 Accent 6"/>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10">
    <w:name w:val="Dark List"/>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11">
    <w:name w:val="Dark List Accent 1"/>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12">
    <w:name w:val="Dark List Accent 2"/>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3">
    <w:name w:val="Dark List Accent 3"/>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4">
    <w:name w:val="Dark List Accent 4"/>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5">
    <w:name w:val="Dark List Accent 5"/>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6">
    <w:name w:val="Dark List Accent 6"/>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7">
    <w:name w:val="Colorful Shading"/>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1"/>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2"/>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3"/>
    <w:basedOn w:val="12"/>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21">
    <w:name w:val="Colorful Shading Accent 4"/>
    <w:basedOn w:val="12"/>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2">
    <w:name w:val="Colorful Shading Accent 5"/>
    <w:basedOn w:val="1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3">
    <w:name w:val="Colorful Shading Accent 6"/>
    <w:basedOn w:val="1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4">
    <w:name w:val="Colorful List"/>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5">
    <w:name w:val="Colorful List Accent 1"/>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6">
    <w:name w:val="Colorful List Accent 2"/>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7">
    <w:name w:val="Colorful List Accent 3"/>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8">
    <w:name w:val="Colorful List Accent 4"/>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9">
    <w:name w:val="Colorful List Accent 5"/>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30">
    <w:name w:val="Colorful List Accent 6"/>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31">
    <w:name w:val="Colorful Grid"/>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32">
    <w:name w:val="Colorful Grid Accent 1"/>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3">
    <w:name w:val="Colorful Grid Accent 2"/>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4">
    <w:name w:val="Colorful Grid Accent 3"/>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5">
    <w:name w:val="Colorful Grid Accent 4"/>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6">
    <w:name w:val="Colorful Grid Accent 5"/>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7">
    <w:name w:val="Colorful Grid Accent 6"/>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8">
    <w:name w:val="Header Char"/>
    <w:basedOn w:val="11"/>
    <w:link w:val="19"/>
    <w:uiPriority w:val="99"/>
  </w:style>
  <w:style w:type="character" w:customStyle="1" w:styleId="139">
    <w:name w:val="Footer Char"/>
    <w:basedOn w:val="11"/>
    <w:link w:val="18"/>
    <w:uiPriority w:val="99"/>
  </w:style>
  <w:style w:type="paragraph" w:styleId="140">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1">
    <w:name w:val="Heading 1 Char"/>
    <w:basedOn w:val="11"/>
    <w:link w:val="2"/>
    <w:uiPriority w:val="9"/>
    <w:rPr>
      <w:rFonts w:asciiTheme="majorHAnsi" w:hAnsiTheme="majorHAnsi" w:eastAsiaTheme="majorEastAsia" w:cstheme="majorBidi"/>
      <w:b/>
      <w:bCs/>
      <w:color w:val="376092" w:themeColor="accent1" w:themeShade="BF"/>
      <w:sz w:val="28"/>
      <w:szCs w:val="28"/>
    </w:rPr>
  </w:style>
  <w:style w:type="character" w:customStyle="1" w:styleId="142">
    <w:name w:val="Heading 2 Char"/>
    <w:basedOn w:val="11"/>
    <w:link w:val="3"/>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3">
    <w:name w:val="Heading 3 Char"/>
    <w:basedOn w:val="11"/>
    <w:link w:val="4"/>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4">
    <w:name w:val="Title Char"/>
    <w:basedOn w:val="11"/>
    <w:link w:val="37"/>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5">
    <w:name w:val="Subtitle Char"/>
    <w:basedOn w:val="11"/>
    <w:link w:val="35"/>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6">
    <w:name w:val="List Paragraph"/>
    <w:basedOn w:val="1"/>
    <w:qFormat/>
    <w:uiPriority w:val="34"/>
    <w:pPr>
      <w:ind w:left="720"/>
      <w:contextualSpacing/>
    </w:pPr>
  </w:style>
  <w:style w:type="character" w:customStyle="1" w:styleId="147">
    <w:name w:val="Body Text Char"/>
    <w:basedOn w:val="11"/>
    <w:link w:val="13"/>
    <w:uiPriority w:val="99"/>
  </w:style>
  <w:style w:type="character" w:customStyle="1" w:styleId="148">
    <w:name w:val="Body Text 2 Char"/>
    <w:basedOn w:val="11"/>
    <w:link w:val="14"/>
    <w:uiPriority w:val="99"/>
  </w:style>
  <w:style w:type="character" w:customStyle="1" w:styleId="149">
    <w:name w:val="Body Text 3 Char"/>
    <w:basedOn w:val="11"/>
    <w:link w:val="15"/>
    <w:uiPriority w:val="99"/>
    <w:rPr>
      <w:sz w:val="16"/>
      <w:szCs w:val="16"/>
    </w:rPr>
  </w:style>
  <w:style w:type="character" w:customStyle="1" w:styleId="150">
    <w:name w:val="Macro Text Char"/>
    <w:basedOn w:val="11"/>
    <w:link w:val="33"/>
    <w:uiPriority w:val="99"/>
    <w:rPr>
      <w:rFonts w:ascii="Courier" w:hAnsi="Courier"/>
      <w:sz w:val="20"/>
      <w:szCs w:val="20"/>
    </w:rPr>
  </w:style>
  <w:style w:type="paragraph" w:styleId="151">
    <w:name w:val="Quote"/>
    <w:basedOn w:val="1"/>
    <w:next w:val="1"/>
    <w:link w:val="152"/>
    <w:qFormat/>
    <w:uiPriority w:val="29"/>
    <w:rPr>
      <w:i/>
      <w:iCs/>
      <w:color w:val="000000" w:themeColor="text1"/>
      <w14:textFill>
        <w14:solidFill>
          <w14:schemeClr w14:val="tx1"/>
        </w14:solidFill>
      </w14:textFill>
    </w:rPr>
  </w:style>
  <w:style w:type="character" w:customStyle="1" w:styleId="152">
    <w:name w:val="Quote Char"/>
    <w:basedOn w:val="11"/>
    <w:link w:val="151"/>
    <w:uiPriority w:val="29"/>
    <w:rPr>
      <w:i/>
      <w:iCs/>
      <w:color w:val="000000" w:themeColor="text1"/>
      <w14:textFill>
        <w14:solidFill>
          <w14:schemeClr w14:val="tx1"/>
        </w14:solidFill>
      </w14:textFill>
    </w:rPr>
  </w:style>
  <w:style w:type="character" w:customStyle="1" w:styleId="153">
    <w:name w:val="Heading 4 Char"/>
    <w:basedOn w:val="11"/>
    <w:link w:val="5"/>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4">
    <w:name w:val="Heading 5 Char"/>
    <w:basedOn w:val="11"/>
    <w:link w:val="6"/>
    <w:semiHidden/>
    <w:uiPriority w:val="9"/>
    <w:rPr>
      <w:rFonts w:asciiTheme="majorHAnsi" w:hAnsiTheme="majorHAnsi" w:eastAsiaTheme="majorEastAsia" w:cstheme="majorBidi"/>
      <w:color w:val="254061" w:themeColor="accent1" w:themeShade="80"/>
    </w:rPr>
  </w:style>
  <w:style w:type="character" w:customStyle="1" w:styleId="155">
    <w:name w:val="Heading 6 Char"/>
    <w:basedOn w:val="11"/>
    <w:link w:val="7"/>
    <w:semiHidden/>
    <w:uiPriority w:val="9"/>
    <w:rPr>
      <w:rFonts w:asciiTheme="majorHAnsi" w:hAnsiTheme="majorHAnsi" w:eastAsiaTheme="majorEastAsia" w:cstheme="majorBidi"/>
      <w:i/>
      <w:iCs/>
      <w:color w:val="254061" w:themeColor="accent1" w:themeShade="80"/>
    </w:rPr>
  </w:style>
  <w:style w:type="character" w:customStyle="1" w:styleId="156">
    <w:name w:val="Heading 7 Char"/>
    <w:basedOn w:val="11"/>
    <w:link w:val="8"/>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7">
    <w:name w:val="Heading 8 Char"/>
    <w:basedOn w:val="11"/>
    <w:link w:val="9"/>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8">
    <w:name w:val="Heading 9 Char"/>
    <w:basedOn w:val="11"/>
    <w:link w:val="10"/>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9">
    <w:name w:val="Intense Quote"/>
    <w:basedOn w:val="1"/>
    <w:next w:val="1"/>
    <w:link w:val="160"/>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60">
    <w:name w:val="Intense Quote Char"/>
    <w:basedOn w:val="11"/>
    <w:link w:val="159"/>
    <w:uiPriority w:val="30"/>
    <w:rPr>
      <w:b/>
      <w:bCs/>
      <w:i/>
      <w:iCs/>
      <w:color w:val="4F81BD" w:themeColor="accent1"/>
      <w14:textFill>
        <w14:solidFill>
          <w14:schemeClr w14:val="accent1"/>
        </w14:solidFill>
      </w14:textFill>
    </w:rPr>
  </w:style>
  <w:style w:type="character" w:customStyle="1" w:styleId="161">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62">
    <w:name w:val="Intense Emphasis"/>
    <w:basedOn w:val="11"/>
    <w:qFormat/>
    <w:uiPriority w:val="21"/>
    <w:rPr>
      <w:b/>
      <w:bCs/>
      <w:i/>
      <w:iCs/>
      <w:color w:val="4F81BD" w:themeColor="accent1"/>
      <w14:textFill>
        <w14:solidFill>
          <w14:schemeClr w14:val="accent1"/>
        </w14:solidFill>
      </w14:textFill>
    </w:rPr>
  </w:style>
  <w:style w:type="character" w:customStyle="1" w:styleId="163">
    <w:name w:val="Subtle Reference"/>
    <w:basedOn w:val="11"/>
    <w:qFormat/>
    <w:uiPriority w:val="31"/>
    <w:rPr>
      <w:smallCaps/>
      <w:color w:val="C0504D" w:themeColor="accent2"/>
      <w:u w:val="single"/>
      <w14:textFill>
        <w14:solidFill>
          <w14:schemeClr w14:val="accent2"/>
        </w14:solidFill>
      </w14:textFill>
    </w:rPr>
  </w:style>
  <w:style w:type="character" w:customStyle="1" w:styleId="164">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5">
    <w:name w:val="Book Title"/>
    <w:basedOn w:val="11"/>
    <w:qFormat/>
    <w:uiPriority w:val="33"/>
    <w:rPr>
      <w:b/>
      <w:bCs/>
      <w:smallCaps/>
      <w:spacing w:val="5"/>
    </w:rPr>
  </w:style>
  <w:style w:type="paragraph" w:customStyle="1" w:styleId="166">
    <w:name w:val="TOC Heading"/>
    <w:basedOn w:val="2"/>
    <w:next w:val="1"/>
    <w:unhideWhenUsed/>
    <w:qFormat/>
    <w:uiPriority w:val="39"/>
    <w:pPr>
      <w:outlineLvl w:val="9"/>
    </w:pPr>
  </w:style>
  <w:style w:type="character" w:customStyle="1" w:styleId="167">
    <w:name w:val="Unresolved Mention"/>
    <w:basedOn w:val="11"/>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1.xml"/><Relationship Id="rId14" Type="http://schemas.openxmlformats.org/officeDocument/2006/relationships/numbering" Target="numbering.xml"/><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tyleName="APA" SelectedStyle="/APA.XSL"/>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Template>
  <Pages>17</Pages>
  <Words>5011</Words>
  <Characters>28564</Characters>
  <Lines>238</Lines>
  <Paragraphs>67</Paragraphs>
  <TotalTime>97</TotalTime>
  <ScaleCrop>false</ScaleCrop>
  <LinksUpToDate>false</LinksUpToDate>
  <CharactersWithSpaces>33508</CharactersWithSpaces>
  <Application>WPS Office_12.1.29182.29182_F1E327BC-269C-435d-A152-05C5408002CA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2013-12-24T00:15:00Z</dcterms:created>
  <dc:creator>shirke Drashti</dc:creator>
  <cp:lastModifiedBy>shirke Drashti</cp:lastModifiedBy>
  <dcterms:modified xsi:type="dcterms:W3CDTF">2026-10-24T09:55:49Z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f86173f2bfd8fbbf272f952c7d0d54ab10a379e1ecd588d90b0605f349fe6790</vt:lpwstr>
  </property>
  <property fmtid="{D5CDD505-2E9C-101B-9397-08002B2CF9AE}" pid="3" name="KSOProductBuildVer">
    <vt:lpwstr>1033-12.1.29182.29182</vt:lpwstr>
  </property>
  <property fmtid="{D5CDD505-2E9C-101B-9397-08002B2CF9AE}" pid="4" name="ICV">
    <vt:lpwstr>13D78A8A05D0D4A59572DC6A1D1DE4EE_43</vt:lpwstr>
  </property>
</Properties>
</file>