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2174E4" w14:textId="3E5E7121" w:rsidR="004A6DA4" w:rsidRDefault="00565DC6">
      <w:pPr>
        <w:rPr>
          <w:sz w:val="24"/>
          <w:szCs w:val="24"/>
        </w:rPr>
      </w:pPr>
      <w:r>
        <w:rPr>
          <w:sz w:val="24"/>
          <w:szCs w:val="24"/>
        </w:rPr>
        <w:t>William Loader’s</w:t>
      </w:r>
      <w:r w:rsidR="00A73501">
        <w:rPr>
          <w:sz w:val="24"/>
          <w:szCs w:val="24"/>
        </w:rPr>
        <w:t xml:space="preserve"> </w:t>
      </w:r>
      <w:r w:rsidR="00A07F01">
        <w:rPr>
          <w:sz w:val="24"/>
          <w:szCs w:val="24"/>
        </w:rPr>
        <w:t xml:space="preserve">article, </w:t>
      </w:r>
      <w:r w:rsidR="001F52FC">
        <w:rPr>
          <w:i/>
          <w:iCs/>
          <w:sz w:val="24"/>
          <w:szCs w:val="24"/>
        </w:rPr>
        <w:t>‘’Not as the Gentiles’: Sexual Issues at the Interface Between Judaism and Its Greco-Roman World’</w:t>
      </w:r>
      <w:r w:rsidR="001F52FC">
        <w:rPr>
          <w:i/>
          <w:iCs/>
          <w:sz w:val="24"/>
          <w:szCs w:val="24"/>
        </w:rPr>
        <w:t xml:space="preserve">, </w:t>
      </w:r>
      <w:r w:rsidR="001F52FC">
        <w:rPr>
          <w:sz w:val="24"/>
          <w:szCs w:val="24"/>
        </w:rPr>
        <w:t>was originally published in the 9</w:t>
      </w:r>
      <w:r w:rsidR="001F52FC" w:rsidRPr="001F52FC">
        <w:rPr>
          <w:sz w:val="24"/>
          <w:szCs w:val="24"/>
          <w:vertAlign w:val="superscript"/>
        </w:rPr>
        <w:t>th</w:t>
      </w:r>
      <w:r w:rsidR="001F52FC">
        <w:rPr>
          <w:sz w:val="24"/>
          <w:szCs w:val="24"/>
        </w:rPr>
        <w:t xml:space="preserve"> volume of </w:t>
      </w:r>
      <w:r w:rsidR="001F52FC">
        <w:rPr>
          <w:i/>
          <w:iCs/>
          <w:sz w:val="24"/>
          <w:szCs w:val="24"/>
        </w:rPr>
        <w:t>Religions</w:t>
      </w:r>
      <w:r w:rsidR="001F52FC">
        <w:rPr>
          <w:sz w:val="24"/>
          <w:szCs w:val="24"/>
        </w:rPr>
        <w:t xml:space="preserve"> in 2018.</w:t>
      </w:r>
      <w:r w:rsidR="00E85E0D">
        <w:rPr>
          <w:sz w:val="24"/>
          <w:szCs w:val="24"/>
        </w:rPr>
        <w:t xml:space="preserve"> Loader’s work and writings commonly focus on the </w:t>
      </w:r>
      <w:r w:rsidR="00FE0488">
        <w:rPr>
          <w:sz w:val="24"/>
          <w:szCs w:val="24"/>
        </w:rPr>
        <w:t>Greco-Roman period as well as Jewish lives during this time.</w:t>
      </w:r>
      <w:r w:rsidR="001F52FC">
        <w:rPr>
          <w:sz w:val="24"/>
          <w:szCs w:val="24"/>
        </w:rPr>
        <w:t xml:space="preserve"> Loader primarily aims to explore </w:t>
      </w:r>
      <w:r w:rsidR="004E2428">
        <w:rPr>
          <w:sz w:val="24"/>
          <w:szCs w:val="24"/>
        </w:rPr>
        <w:t>how the different sexual attitudes and laws of the Jewish community affected their relationship to the wider Hellenistic society of the Greco-Roma</w:t>
      </w:r>
      <w:r w:rsidR="008F3CC1">
        <w:rPr>
          <w:sz w:val="24"/>
          <w:szCs w:val="24"/>
        </w:rPr>
        <w:t xml:space="preserve"> </w:t>
      </w:r>
      <w:r w:rsidR="004E2428">
        <w:rPr>
          <w:sz w:val="24"/>
          <w:szCs w:val="24"/>
        </w:rPr>
        <w:t xml:space="preserve">n Era. </w:t>
      </w:r>
      <w:r w:rsidR="00E84B49">
        <w:rPr>
          <w:sz w:val="24"/>
          <w:szCs w:val="24"/>
        </w:rPr>
        <w:t xml:space="preserve">In their concluding thoughts, </w:t>
      </w:r>
      <w:r w:rsidR="004E2428">
        <w:rPr>
          <w:sz w:val="24"/>
          <w:szCs w:val="24"/>
        </w:rPr>
        <w:t>Loader presents the argument</w:t>
      </w:r>
      <w:r w:rsidR="00E84B49">
        <w:rPr>
          <w:sz w:val="24"/>
          <w:szCs w:val="24"/>
        </w:rPr>
        <w:t xml:space="preserve"> that</w:t>
      </w:r>
      <w:r w:rsidR="004E2428">
        <w:rPr>
          <w:sz w:val="24"/>
          <w:szCs w:val="24"/>
        </w:rPr>
        <w:t xml:space="preserve"> many of the key writings from this period were seen to “differentiate the authors’ community and faith from the world around them”</w:t>
      </w:r>
      <w:r w:rsidR="004E2428">
        <w:rPr>
          <w:rStyle w:val="FootnoteReference"/>
          <w:sz w:val="24"/>
          <w:szCs w:val="24"/>
        </w:rPr>
        <w:footnoteReference w:id="1"/>
      </w:r>
      <w:r w:rsidR="00DA4AA9">
        <w:rPr>
          <w:sz w:val="24"/>
          <w:szCs w:val="24"/>
        </w:rPr>
        <w:t xml:space="preserve">, highlighting how these authors </w:t>
      </w:r>
      <w:r w:rsidR="009A425B">
        <w:rPr>
          <w:sz w:val="24"/>
          <w:szCs w:val="24"/>
        </w:rPr>
        <w:t xml:space="preserve">emphasised the differential sexual values of the Jewish community compared to the </w:t>
      </w:r>
      <w:r w:rsidR="00AD7CD3">
        <w:rPr>
          <w:sz w:val="24"/>
          <w:szCs w:val="24"/>
        </w:rPr>
        <w:t>wider Hellenistic society.</w:t>
      </w:r>
      <w:r w:rsidR="009A425B">
        <w:rPr>
          <w:sz w:val="24"/>
          <w:szCs w:val="24"/>
        </w:rPr>
        <w:t xml:space="preserve"> </w:t>
      </w:r>
      <w:r w:rsidR="004E2428">
        <w:rPr>
          <w:sz w:val="24"/>
          <w:szCs w:val="24"/>
        </w:rPr>
        <w:t>Loader is suggesting that the key Jewish writings from this period, such as Philos, Pauls Letters, Philo of Alexandria, 1 Maccabees and 2 Maccabees highlight the difference of the Jewish communities laws and traditions from the sexual laws of the Hellenistic society</w:t>
      </w:r>
      <w:r w:rsidR="004E2428">
        <w:rPr>
          <w:sz w:val="24"/>
          <w:szCs w:val="24"/>
        </w:rPr>
        <w:t>.</w:t>
      </w:r>
      <w:r w:rsidR="00D65151">
        <w:rPr>
          <w:sz w:val="24"/>
          <w:szCs w:val="24"/>
        </w:rPr>
        <w:t xml:space="preserve"> </w:t>
      </w:r>
      <w:r w:rsidR="00066824">
        <w:rPr>
          <w:sz w:val="24"/>
          <w:szCs w:val="24"/>
        </w:rPr>
        <w:t>With the intention of</w:t>
      </w:r>
      <w:r w:rsidR="001D541A">
        <w:rPr>
          <w:sz w:val="24"/>
          <w:szCs w:val="24"/>
        </w:rPr>
        <w:t xml:space="preserve"> </w:t>
      </w:r>
      <w:r w:rsidR="0017570B">
        <w:rPr>
          <w:sz w:val="24"/>
          <w:szCs w:val="24"/>
        </w:rPr>
        <w:t>examin</w:t>
      </w:r>
      <w:r w:rsidR="00066824">
        <w:rPr>
          <w:sz w:val="24"/>
          <w:szCs w:val="24"/>
        </w:rPr>
        <w:t>ing</w:t>
      </w:r>
      <w:r w:rsidR="0017570B">
        <w:rPr>
          <w:sz w:val="24"/>
          <w:szCs w:val="24"/>
        </w:rPr>
        <w:t xml:space="preserve"> Loader</w:t>
      </w:r>
      <w:r w:rsidR="003300BF">
        <w:rPr>
          <w:sz w:val="24"/>
          <w:szCs w:val="24"/>
        </w:rPr>
        <w:t xml:space="preserve">’s article </w:t>
      </w:r>
      <w:r w:rsidR="00066824">
        <w:rPr>
          <w:sz w:val="24"/>
          <w:szCs w:val="24"/>
        </w:rPr>
        <w:t xml:space="preserve">the argument Loader presents must be studied as well as the sources he uses to further support his ideas. </w:t>
      </w:r>
      <w:r w:rsidR="00A66D7E">
        <w:rPr>
          <w:sz w:val="24"/>
          <w:szCs w:val="24"/>
        </w:rPr>
        <w:t>Before studying Loader’s main arguments his use of sources and academic work must be discussed</w:t>
      </w:r>
      <w:r w:rsidR="00874242">
        <w:rPr>
          <w:sz w:val="24"/>
          <w:szCs w:val="24"/>
        </w:rPr>
        <w:t xml:space="preserve">, focusing on his </w:t>
      </w:r>
      <w:r w:rsidR="00C41232">
        <w:rPr>
          <w:sz w:val="24"/>
          <w:szCs w:val="24"/>
        </w:rPr>
        <w:t xml:space="preserve">use of </w:t>
      </w:r>
      <w:r w:rsidR="0073726F">
        <w:rPr>
          <w:sz w:val="24"/>
          <w:szCs w:val="24"/>
        </w:rPr>
        <w:t>p</w:t>
      </w:r>
      <w:r w:rsidR="00C41232">
        <w:rPr>
          <w:sz w:val="24"/>
          <w:szCs w:val="24"/>
        </w:rPr>
        <w:t>rimary sources</w:t>
      </w:r>
      <w:r w:rsidR="00A66D7E">
        <w:rPr>
          <w:sz w:val="24"/>
          <w:szCs w:val="24"/>
        </w:rPr>
        <w:t>.</w:t>
      </w:r>
      <w:r w:rsidR="00212DB9">
        <w:rPr>
          <w:sz w:val="24"/>
          <w:szCs w:val="24"/>
        </w:rPr>
        <w:t xml:space="preserve"> Then the </w:t>
      </w:r>
      <w:r w:rsidR="0075131E">
        <w:rPr>
          <w:sz w:val="24"/>
          <w:szCs w:val="24"/>
        </w:rPr>
        <w:t xml:space="preserve">argument Loader makes will be reviewed as to its </w:t>
      </w:r>
      <w:r w:rsidR="005D54C3">
        <w:rPr>
          <w:sz w:val="24"/>
          <w:szCs w:val="24"/>
        </w:rPr>
        <w:t xml:space="preserve">founding in academic research and </w:t>
      </w:r>
      <w:r w:rsidR="00B17E8E">
        <w:rPr>
          <w:sz w:val="24"/>
          <w:szCs w:val="24"/>
        </w:rPr>
        <w:t xml:space="preserve">its validity. </w:t>
      </w:r>
    </w:p>
    <w:p w14:paraId="0627A917" w14:textId="0D40D17A" w:rsidR="00C33C30" w:rsidRDefault="00CA4A53" w:rsidP="00C33C30">
      <w:pPr>
        <w:rPr>
          <w:sz w:val="24"/>
          <w:szCs w:val="24"/>
        </w:rPr>
      </w:pPr>
      <w:r>
        <w:rPr>
          <w:sz w:val="24"/>
          <w:szCs w:val="24"/>
        </w:rPr>
        <w:t>Firstly, it is important to address and consider Loader’s use of</w:t>
      </w:r>
      <w:r w:rsidR="0073726F">
        <w:rPr>
          <w:sz w:val="24"/>
          <w:szCs w:val="24"/>
        </w:rPr>
        <w:t xml:space="preserve"> p</w:t>
      </w:r>
      <w:r>
        <w:rPr>
          <w:sz w:val="24"/>
          <w:szCs w:val="24"/>
        </w:rPr>
        <w:t xml:space="preserve">rimary and </w:t>
      </w:r>
      <w:r w:rsidR="0073726F">
        <w:rPr>
          <w:sz w:val="24"/>
          <w:szCs w:val="24"/>
        </w:rPr>
        <w:t>s</w:t>
      </w:r>
      <w:r>
        <w:rPr>
          <w:sz w:val="24"/>
          <w:szCs w:val="24"/>
        </w:rPr>
        <w:t xml:space="preserve">econdary sources. </w:t>
      </w:r>
      <w:r w:rsidR="001E5AA5">
        <w:rPr>
          <w:sz w:val="24"/>
          <w:szCs w:val="24"/>
        </w:rPr>
        <w:t>Loader</w:t>
      </w:r>
      <w:r w:rsidR="001E5AA5">
        <w:rPr>
          <w:sz w:val="24"/>
          <w:szCs w:val="24"/>
        </w:rPr>
        <w:t xml:space="preserve"> focuses on</w:t>
      </w:r>
      <w:r w:rsidR="001E5AA5">
        <w:rPr>
          <w:sz w:val="24"/>
          <w:szCs w:val="24"/>
        </w:rPr>
        <w:t xml:space="preserve"> evaluat</w:t>
      </w:r>
      <w:r w:rsidR="001E5AA5">
        <w:rPr>
          <w:sz w:val="24"/>
          <w:szCs w:val="24"/>
        </w:rPr>
        <w:t>ing</w:t>
      </w:r>
      <w:r w:rsidR="001E5AA5">
        <w:rPr>
          <w:sz w:val="24"/>
          <w:szCs w:val="24"/>
        </w:rPr>
        <w:t xml:space="preserve"> key primary sources from this period to explore how the Jewish community viewed the sexual practices of the Gentiles and how this affected their attitudes to each other.</w:t>
      </w:r>
      <w:r w:rsidR="00C33C30">
        <w:rPr>
          <w:sz w:val="24"/>
          <w:szCs w:val="24"/>
        </w:rPr>
        <w:t xml:space="preserve"> </w:t>
      </w:r>
      <w:r w:rsidR="00C33C30">
        <w:rPr>
          <w:sz w:val="24"/>
          <w:szCs w:val="24"/>
        </w:rPr>
        <w:t xml:space="preserve">It should be noted that Loader makes explicit references </w:t>
      </w:r>
      <w:r w:rsidR="00182B80">
        <w:rPr>
          <w:sz w:val="24"/>
          <w:szCs w:val="24"/>
        </w:rPr>
        <w:t xml:space="preserve">to sources written in the diaspora and </w:t>
      </w:r>
      <w:r w:rsidR="00C33C30">
        <w:rPr>
          <w:sz w:val="24"/>
          <w:szCs w:val="24"/>
        </w:rPr>
        <w:t>to how Jewish communities in the diaspora would relate to these issues as he states that “maintaining one’s Jewish identity in foreign cities was paramount for most and included closely knit settlements.”</w:t>
      </w:r>
      <w:r w:rsidR="00C33C30">
        <w:rPr>
          <w:rStyle w:val="FootnoteReference"/>
          <w:sz w:val="24"/>
          <w:szCs w:val="24"/>
        </w:rPr>
        <w:footnoteReference w:id="2"/>
      </w:r>
      <w:r w:rsidR="00C33C30">
        <w:rPr>
          <w:sz w:val="24"/>
          <w:szCs w:val="24"/>
        </w:rPr>
        <w:t xml:space="preserve"> This an important aspect to consider as the location of the author, either in Judea or in the diaspora, is significant to how they understand and relate to Jewish practice. This is presented by Loader, as seen, but is further supported by John J. Collins who presents that Jewish communities in diaspora are important to consider in scholarly debate as their knowledge and relationship of Judaism would have been “inevitably shaped by social context.”</w:t>
      </w:r>
      <w:r w:rsidR="00C33C30">
        <w:rPr>
          <w:rStyle w:val="FootnoteReference"/>
          <w:sz w:val="24"/>
          <w:szCs w:val="24"/>
        </w:rPr>
        <w:footnoteReference w:id="3"/>
      </w:r>
      <w:r w:rsidR="00C33C30">
        <w:rPr>
          <w:sz w:val="24"/>
          <w:szCs w:val="24"/>
        </w:rPr>
        <w:t xml:space="preserve"> Collins is suggesting that those in diaspora would have had a different knowledge of Judaism as they were away from their homeland. This is an important aspect of this historical literature to consider as it affects how the authors relate to their religion and the wider Jewish community and it is a notable aspect that Loader addresses. </w:t>
      </w:r>
      <w:r w:rsidR="00A21566">
        <w:rPr>
          <w:sz w:val="24"/>
          <w:szCs w:val="24"/>
        </w:rPr>
        <w:t xml:space="preserve">Loaders use and evaluation of primary sources can be seen as extensive as he </w:t>
      </w:r>
      <w:r w:rsidR="004A704A">
        <w:rPr>
          <w:sz w:val="24"/>
          <w:szCs w:val="24"/>
        </w:rPr>
        <w:t>engages with the work of several authors from this period</w:t>
      </w:r>
      <w:r w:rsidR="00AF2F37">
        <w:rPr>
          <w:sz w:val="24"/>
          <w:szCs w:val="24"/>
        </w:rPr>
        <w:t>.</w:t>
      </w:r>
      <w:r w:rsidR="00FD23D6">
        <w:rPr>
          <w:sz w:val="24"/>
          <w:szCs w:val="24"/>
        </w:rPr>
        <w:t xml:space="preserve"> This is </w:t>
      </w:r>
      <w:r w:rsidR="004955BC">
        <w:rPr>
          <w:sz w:val="24"/>
          <w:szCs w:val="24"/>
        </w:rPr>
        <w:t>a significant consideration to include as it highlights consideration into the texts and their contexts in order to fully understand what these sources are presenting.</w:t>
      </w:r>
      <w:r w:rsidR="00AF2F37">
        <w:rPr>
          <w:sz w:val="24"/>
          <w:szCs w:val="24"/>
        </w:rPr>
        <w:t xml:space="preserve"> When writing on the differences between the Jewish sexual morals and those of the Hellenistic community, Loader </w:t>
      </w:r>
      <w:r w:rsidR="008A11F0">
        <w:rPr>
          <w:sz w:val="24"/>
          <w:szCs w:val="24"/>
        </w:rPr>
        <w:t xml:space="preserve">uses both primary sources and those of other scholars to support his argument. For </w:t>
      </w:r>
      <w:r w:rsidR="008A11F0">
        <w:rPr>
          <w:sz w:val="24"/>
          <w:szCs w:val="24"/>
        </w:rPr>
        <w:lastRenderedPageBreak/>
        <w:t xml:space="preserve">example, when writing on </w:t>
      </w:r>
      <w:r w:rsidR="003E6C98">
        <w:rPr>
          <w:sz w:val="24"/>
          <w:szCs w:val="24"/>
        </w:rPr>
        <w:t xml:space="preserve">the attempted concealment of circumcision by Jewish men and the </w:t>
      </w:r>
      <w:r w:rsidR="00072F2D">
        <w:rPr>
          <w:sz w:val="24"/>
          <w:szCs w:val="24"/>
        </w:rPr>
        <w:t xml:space="preserve">distinct approaches to nakedness amongst the community, Loader references both 1 Maccabees and the </w:t>
      </w:r>
      <w:r w:rsidR="00011104">
        <w:rPr>
          <w:sz w:val="24"/>
          <w:szCs w:val="24"/>
        </w:rPr>
        <w:t>works of James VanderKam.</w:t>
      </w:r>
      <w:r w:rsidR="00011104">
        <w:rPr>
          <w:rStyle w:val="FootnoteReference"/>
          <w:sz w:val="24"/>
          <w:szCs w:val="24"/>
        </w:rPr>
        <w:footnoteReference w:id="4"/>
      </w:r>
      <w:r w:rsidR="00160FD2">
        <w:rPr>
          <w:sz w:val="24"/>
          <w:szCs w:val="24"/>
        </w:rPr>
        <w:t xml:space="preserve"> However, </w:t>
      </w:r>
      <w:r w:rsidR="006B7C23">
        <w:rPr>
          <w:sz w:val="24"/>
          <w:szCs w:val="24"/>
        </w:rPr>
        <w:t>through out this article</w:t>
      </w:r>
      <w:r w:rsidR="00CF630F">
        <w:rPr>
          <w:sz w:val="24"/>
          <w:szCs w:val="24"/>
        </w:rPr>
        <w:t xml:space="preserve">, such as when Loader discusses sexual depravity, </w:t>
      </w:r>
      <w:r w:rsidR="00DB4B33">
        <w:rPr>
          <w:sz w:val="24"/>
          <w:szCs w:val="24"/>
        </w:rPr>
        <w:t>he continuously references his own work.</w:t>
      </w:r>
      <w:r w:rsidR="00DB4B33">
        <w:rPr>
          <w:rStyle w:val="FootnoteReference"/>
          <w:sz w:val="24"/>
          <w:szCs w:val="24"/>
        </w:rPr>
        <w:footnoteReference w:id="5"/>
      </w:r>
      <w:r w:rsidR="00CF630F">
        <w:rPr>
          <w:sz w:val="24"/>
          <w:szCs w:val="24"/>
        </w:rPr>
        <w:t xml:space="preserve"> </w:t>
      </w:r>
      <w:r w:rsidR="00ED3789">
        <w:rPr>
          <w:sz w:val="24"/>
          <w:szCs w:val="24"/>
        </w:rPr>
        <w:t xml:space="preserve">While Loader does not only reference his own work </w:t>
      </w:r>
      <w:r w:rsidR="0082486C">
        <w:rPr>
          <w:sz w:val="24"/>
          <w:szCs w:val="24"/>
        </w:rPr>
        <w:t>and does engage with a strong body of scholarly work, it</w:t>
      </w:r>
      <w:r w:rsidR="00C94667">
        <w:rPr>
          <w:sz w:val="24"/>
          <w:szCs w:val="24"/>
        </w:rPr>
        <w:t xml:space="preserve"> is notable that Loader does </w:t>
      </w:r>
      <w:r w:rsidR="00D1643D">
        <w:rPr>
          <w:sz w:val="24"/>
          <w:szCs w:val="24"/>
        </w:rPr>
        <w:t>reference his own work</w:t>
      </w:r>
      <w:r w:rsidR="004A611F">
        <w:rPr>
          <w:sz w:val="24"/>
          <w:szCs w:val="24"/>
        </w:rPr>
        <w:t xml:space="preserve">. </w:t>
      </w:r>
      <w:r w:rsidR="00D1643D">
        <w:rPr>
          <w:sz w:val="24"/>
          <w:szCs w:val="24"/>
        </w:rPr>
        <w:t xml:space="preserve"> </w:t>
      </w:r>
    </w:p>
    <w:p w14:paraId="0B41F2D6" w14:textId="63B2F490" w:rsidR="00A653C6" w:rsidRDefault="00A653C6" w:rsidP="00A653C6">
      <w:pPr>
        <w:rPr>
          <w:sz w:val="24"/>
          <w:szCs w:val="24"/>
        </w:rPr>
      </w:pPr>
      <w:r>
        <w:rPr>
          <w:sz w:val="24"/>
          <w:szCs w:val="24"/>
        </w:rPr>
        <w:t>In order to evaluate and discuss the sexual differences Loader studies ideas such as public nudity and intermarriage. He references the public nudity of the gymnasium as an example of the contrast between the sexual norms of the Jewish community and the Hellenistic sexual attitudes. The gymnasium, built close to the Second Temple, is used by Loader to present a key example of the different attitudes to nudity. Loader explains that the practice of nakedness in the gymnasium highlighted several issues amongst the varied attitudes between the two communities. Loader discusses how this nakedness so close to the temple was “a serious offence to God”</w:t>
      </w:r>
      <w:r>
        <w:rPr>
          <w:rStyle w:val="FootnoteReference"/>
          <w:sz w:val="24"/>
          <w:szCs w:val="24"/>
        </w:rPr>
        <w:footnoteReference w:id="6"/>
      </w:r>
      <w:r>
        <w:rPr>
          <w:sz w:val="24"/>
          <w:szCs w:val="24"/>
        </w:rPr>
        <w:t xml:space="preserve"> and that to fit in with the naked lifestyle of the gymnasium many Jewish men attempted to “conceal their circumcision to avoid potential embarrassment.”</w:t>
      </w:r>
      <w:r>
        <w:rPr>
          <w:rStyle w:val="FootnoteReference"/>
          <w:sz w:val="24"/>
          <w:szCs w:val="24"/>
        </w:rPr>
        <w:footnoteReference w:id="7"/>
      </w:r>
      <w:r>
        <w:rPr>
          <w:sz w:val="24"/>
          <w:szCs w:val="24"/>
        </w:rPr>
        <w:t xml:space="preserve"> By highlighting these issues Loader is presenting the effect these different norms had on the Jewish communities religious lifestyle. Circumcision is a profoundly significant aspect of Jewish life that remains an important and controversial aspect of 21</w:t>
      </w:r>
      <w:r w:rsidRPr="003B50A1">
        <w:rPr>
          <w:sz w:val="24"/>
          <w:szCs w:val="24"/>
          <w:vertAlign w:val="superscript"/>
        </w:rPr>
        <w:t>st</w:t>
      </w:r>
      <w:r>
        <w:rPr>
          <w:sz w:val="24"/>
          <w:szCs w:val="24"/>
        </w:rPr>
        <w:t xml:space="preserve"> Century Judaism. This is mirrored as Leonard B Glick claims that “it initiates the newborn male child into a covenant established between God and Abraham.”</w:t>
      </w:r>
      <w:r>
        <w:rPr>
          <w:rStyle w:val="FootnoteReference"/>
          <w:sz w:val="24"/>
          <w:szCs w:val="24"/>
        </w:rPr>
        <w:footnoteReference w:id="8"/>
      </w:r>
      <w:r>
        <w:rPr>
          <w:sz w:val="24"/>
          <w:szCs w:val="24"/>
        </w:rPr>
        <w:t xml:space="preserve"> This suggests that circumcision is key to a Jewish </w:t>
      </w:r>
      <w:r w:rsidR="00774E29">
        <w:rPr>
          <w:sz w:val="24"/>
          <w:szCs w:val="24"/>
        </w:rPr>
        <w:t>man’s</w:t>
      </w:r>
      <w:r>
        <w:rPr>
          <w:sz w:val="24"/>
          <w:szCs w:val="24"/>
        </w:rPr>
        <w:t xml:space="preserve"> relationship with God and his religion. Concealing this symbol of a Jewish </w:t>
      </w:r>
      <w:r w:rsidR="00774E29">
        <w:rPr>
          <w:sz w:val="24"/>
          <w:szCs w:val="24"/>
        </w:rPr>
        <w:t>man’s</w:t>
      </w:r>
      <w:r>
        <w:rPr>
          <w:sz w:val="24"/>
          <w:szCs w:val="24"/>
        </w:rPr>
        <w:t xml:space="preserve"> relationship with his religious identity presents how the different ideas and accepted nude behaviours of the Hellenistic community deeply and profoundly impacted the Jewish men’s religious lifestyle and identity. </w:t>
      </w:r>
      <w:r w:rsidR="00F26017">
        <w:rPr>
          <w:sz w:val="24"/>
          <w:szCs w:val="24"/>
        </w:rPr>
        <w:t xml:space="preserve"> </w:t>
      </w:r>
      <w:r w:rsidR="004E2EC6">
        <w:rPr>
          <w:sz w:val="24"/>
          <w:szCs w:val="24"/>
        </w:rPr>
        <w:t xml:space="preserve">Another way that Loader presents the sexual moral differences between these two communities is </w:t>
      </w:r>
      <w:r w:rsidR="00D56ACD">
        <w:rPr>
          <w:sz w:val="24"/>
          <w:szCs w:val="24"/>
        </w:rPr>
        <w:t xml:space="preserve">through intermarriage. Loader cites </w:t>
      </w:r>
      <w:r w:rsidR="003E055B">
        <w:rPr>
          <w:sz w:val="24"/>
          <w:szCs w:val="24"/>
        </w:rPr>
        <w:t>the writing Jubilees as claiming that intermarriage exposed people to the “dangers of sexual depravity.”</w:t>
      </w:r>
      <w:r w:rsidR="003E055B">
        <w:rPr>
          <w:rStyle w:val="FootnoteReference"/>
          <w:sz w:val="24"/>
          <w:szCs w:val="24"/>
        </w:rPr>
        <w:footnoteReference w:id="9"/>
      </w:r>
      <w:r w:rsidR="001054D6">
        <w:rPr>
          <w:sz w:val="24"/>
          <w:szCs w:val="24"/>
        </w:rPr>
        <w:t xml:space="preserve"> This assertion is supported by the ideas of </w:t>
      </w:r>
      <w:r w:rsidR="00B72B33">
        <w:rPr>
          <w:sz w:val="24"/>
          <w:szCs w:val="24"/>
        </w:rPr>
        <w:t>Cana Werman</w:t>
      </w:r>
      <w:r w:rsidR="00C636A3">
        <w:rPr>
          <w:sz w:val="24"/>
          <w:szCs w:val="24"/>
        </w:rPr>
        <w:t>, who explains that the thirtieth chapter of Jubilees</w:t>
      </w:r>
      <w:r w:rsidR="00A501B2">
        <w:rPr>
          <w:sz w:val="24"/>
          <w:szCs w:val="24"/>
        </w:rPr>
        <w:t xml:space="preserve"> puts forward the idea that </w:t>
      </w:r>
      <w:r w:rsidR="004F1775">
        <w:rPr>
          <w:sz w:val="24"/>
          <w:szCs w:val="24"/>
        </w:rPr>
        <w:t>“</w:t>
      </w:r>
      <w:r w:rsidR="00EB2A45">
        <w:rPr>
          <w:sz w:val="24"/>
          <w:szCs w:val="24"/>
        </w:rPr>
        <w:t>a voluntary contract of marriage with Gentiles by any Israelite</w:t>
      </w:r>
      <w:r w:rsidR="009A3E36">
        <w:rPr>
          <w:sz w:val="24"/>
          <w:szCs w:val="24"/>
        </w:rPr>
        <w:t xml:space="preserve">, male or female, </w:t>
      </w:r>
      <w:r w:rsidR="0094732D">
        <w:rPr>
          <w:sz w:val="24"/>
          <w:szCs w:val="24"/>
        </w:rPr>
        <w:t>results in defilement and warrants punishment.”</w:t>
      </w:r>
      <w:r w:rsidR="0094732D">
        <w:rPr>
          <w:rStyle w:val="FootnoteReference"/>
          <w:sz w:val="24"/>
          <w:szCs w:val="24"/>
        </w:rPr>
        <w:footnoteReference w:id="10"/>
      </w:r>
      <w:r w:rsidR="00B72B33">
        <w:rPr>
          <w:sz w:val="24"/>
          <w:szCs w:val="24"/>
        </w:rPr>
        <w:t xml:space="preserve"> </w:t>
      </w:r>
      <w:r w:rsidR="0094732D">
        <w:rPr>
          <w:sz w:val="24"/>
          <w:szCs w:val="24"/>
        </w:rPr>
        <w:t>This idea echoes that presented by Loader in his article</w:t>
      </w:r>
      <w:r w:rsidR="00165071">
        <w:rPr>
          <w:sz w:val="24"/>
          <w:szCs w:val="24"/>
        </w:rPr>
        <w:t xml:space="preserve"> and thus, supports the idea that he presents. That Jubilees presents </w:t>
      </w:r>
      <w:r w:rsidR="0010428D">
        <w:rPr>
          <w:sz w:val="24"/>
          <w:szCs w:val="24"/>
        </w:rPr>
        <w:t xml:space="preserve">the distinct </w:t>
      </w:r>
      <w:r w:rsidR="0010428D">
        <w:rPr>
          <w:sz w:val="24"/>
          <w:szCs w:val="24"/>
        </w:rPr>
        <w:lastRenderedPageBreak/>
        <w:t xml:space="preserve">difference between the Jewish communities ideals of marriage, that they should not intermarry with those who were not Jewish, and that of the Hellenistic community. </w:t>
      </w:r>
      <w:r w:rsidR="00FD2B35">
        <w:rPr>
          <w:sz w:val="24"/>
          <w:szCs w:val="24"/>
        </w:rPr>
        <w:t xml:space="preserve">Loader sates that </w:t>
      </w:r>
      <w:r w:rsidR="00A0028B">
        <w:rPr>
          <w:sz w:val="24"/>
          <w:szCs w:val="24"/>
        </w:rPr>
        <w:t xml:space="preserve">one of the reasons Gentiles were not to be wed with the Jewish community was because they had </w:t>
      </w:r>
      <w:r w:rsidR="001602DE">
        <w:rPr>
          <w:sz w:val="24"/>
          <w:szCs w:val="24"/>
        </w:rPr>
        <w:t>different sexual ideals, or “sexual depravity.”</w:t>
      </w:r>
      <w:r w:rsidR="001602DE">
        <w:rPr>
          <w:rStyle w:val="FootnoteReference"/>
          <w:sz w:val="24"/>
          <w:szCs w:val="24"/>
        </w:rPr>
        <w:footnoteReference w:id="11"/>
      </w:r>
      <w:r w:rsidR="00B56419">
        <w:rPr>
          <w:sz w:val="24"/>
          <w:szCs w:val="24"/>
        </w:rPr>
        <w:t xml:space="preserve"> </w:t>
      </w:r>
      <w:r w:rsidR="00826501">
        <w:rPr>
          <w:sz w:val="24"/>
          <w:szCs w:val="24"/>
        </w:rPr>
        <w:t xml:space="preserve">This presents the idea that Loader’s </w:t>
      </w:r>
      <w:r w:rsidR="00BE5069">
        <w:rPr>
          <w:sz w:val="24"/>
          <w:szCs w:val="24"/>
        </w:rPr>
        <w:t xml:space="preserve">argument has been well researched and </w:t>
      </w:r>
      <w:r w:rsidR="00DA6139">
        <w:rPr>
          <w:sz w:val="24"/>
          <w:szCs w:val="24"/>
        </w:rPr>
        <w:t xml:space="preserve">founded in primary sources, as well as the academic study </w:t>
      </w:r>
      <w:r w:rsidR="00212DB9">
        <w:rPr>
          <w:sz w:val="24"/>
          <w:szCs w:val="24"/>
        </w:rPr>
        <w:t xml:space="preserve">by other scholars on this topic. </w:t>
      </w:r>
      <w:r w:rsidR="00E858F5">
        <w:rPr>
          <w:sz w:val="24"/>
          <w:szCs w:val="24"/>
        </w:rPr>
        <w:t xml:space="preserve">This idea is also further supported by Jubilees as it </w:t>
      </w:r>
      <w:r w:rsidR="00921F54">
        <w:rPr>
          <w:sz w:val="24"/>
          <w:szCs w:val="24"/>
        </w:rPr>
        <w:t>states,</w:t>
      </w:r>
      <w:r w:rsidR="00E858F5">
        <w:rPr>
          <w:sz w:val="24"/>
          <w:szCs w:val="24"/>
        </w:rPr>
        <w:t xml:space="preserve"> “</w:t>
      </w:r>
      <w:r w:rsidR="00921F54">
        <w:rPr>
          <w:sz w:val="24"/>
          <w:szCs w:val="24"/>
        </w:rPr>
        <w:t>not to give their daughters to the Gentiles and not to take for their sons any daughters of Gentiles.” ( Jubilees 30:</w:t>
      </w:r>
      <w:r w:rsidR="007A7776">
        <w:rPr>
          <w:sz w:val="24"/>
          <w:szCs w:val="24"/>
        </w:rPr>
        <w:t xml:space="preserve">11-12) </w:t>
      </w:r>
      <w:r w:rsidR="00AD4ABA">
        <w:rPr>
          <w:sz w:val="24"/>
          <w:szCs w:val="24"/>
        </w:rPr>
        <w:t xml:space="preserve">This passage presents </w:t>
      </w:r>
      <w:r w:rsidR="00D806D4">
        <w:rPr>
          <w:sz w:val="24"/>
          <w:szCs w:val="24"/>
        </w:rPr>
        <w:t xml:space="preserve">the notion that the Jewish community should </w:t>
      </w:r>
      <w:r w:rsidR="00D175D9">
        <w:rPr>
          <w:sz w:val="24"/>
          <w:szCs w:val="24"/>
        </w:rPr>
        <w:t xml:space="preserve">avoid intermarriage with Gentiles, furthering Loader’s ideas. </w:t>
      </w:r>
    </w:p>
    <w:p w14:paraId="01A76FE7" w14:textId="1894B765" w:rsidR="00B56419" w:rsidRDefault="00B56419" w:rsidP="00A653C6">
      <w:pPr>
        <w:rPr>
          <w:sz w:val="24"/>
          <w:szCs w:val="24"/>
        </w:rPr>
      </w:pPr>
      <w:r>
        <w:rPr>
          <w:sz w:val="24"/>
          <w:szCs w:val="24"/>
        </w:rPr>
        <w:t>Overall,</w:t>
      </w:r>
      <w:r w:rsidR="00826501">
        <w:rPr>
          <w:sz w:val="24"/>
          <w:szCs w:val="24"/>
        </w:rPr>
        <w:t xml:space="preserve"> Loader’s article, </w:t>
      </w:r>
      <w:r w:rsidR="00826501">
        <w:rPr>
          <w:i/>
          <w:iCs/>
          <w:sz w:val="24"/>
          <w:szCs w:val="24"/>
        </w:rPr>
        <w:t>‘’Not as the Gentiles’: Sexual Issues at the Interface Between Judaism and Its Greco-Roman World’</w:t>
      </w:r>
      <w:r w:rsidR="00826501">
        <w:rPr>
          <w:i/>
          <w:iCs/>
          <w:sz w:val="24"/>
          <w:szCs w:val="24"/>
        </w:rPr>
        <w:t xml:space="preserve">, </w:t>
      </w:r>
      <w:r w:rsidR="008D71F5">
        <w:rPr>
          <w:sz w:val="24"/>
          <w:szCs w:val="24"/>
        </w:rPr>
        <w:t xml:space="preserve">presents several </w:t>
      </w:r>
      <w:r w:rsidR="0073726F">
        <w:rPr>
          <w:sz w:val="24"/>
          <w:szCs w:val="24"/>
        </w:rPr>
        <w:t xml:space="preserve">well-reasoned arguments that highlight the main differences amongst the sexual morals of the Jewish community during the Greco-Roman period and the Hellenistic community. This is seen as Loader’s argument is well written and offers a variety of both Jewish writings from this period and scholarly analytic texts about these works. Loader grounds his own ideas in </w:t>
      </w:r>
      <w:r w:rsidR="004B7C4B">
        <w:rPr>
          <w:sz w:val="24"/>
          <w:szCs w:val="24"/>
        </w:rPr>
        <w:t xml:space="preserve">interpretation of these texts, such as 1 and 2 Maccabees and Jubilees, and further emphasis his points through the support of various other authors. </w:t>
      </w:r>
      <w:r w:rsidR="00760276">
        <w:rPr>
          <w:sz w:val="24"/>
          <w:szCs w:val="24"/>
        </w:rPr>
        <w:t xml:space="preserve">Loader continuously </w:t>
      </w:r>
      <w:r w:rsidR="009A694E">
        <w:rPr>
          <w:sz w:val="24"/>
          <w:szCs w:val="24"/>
        </w:rPr>
        <w:t xml:space="preserve">grounds his arguments in both sources from the period and authors who have studied and researched these areas, as seen through his </w:t>
      </w:r>
      <w:r w:rsidR="002E54C0">
        <w:rPr>
          <w:sz w:val="24"/>
          <w:szCs w:val="24"/>
        </w:rPr>
        <w:t xml:space="preserve">explanation of the concealment of circumcisions amongst Jewish men. This is seen as he utilizes the work of 1 Maccabees and </w:t>
      </w:r>
      <w:r w:rsidR="004A48A1">
        <w:rPr>
          <w:sz w:val="24"/>
          <w:szCs w:val="24"/>
        </w:rPr>
        <w:t>VanderKam</w:t>
      </w:r>
      <w:r w:rsidR="004A48A1">
        <w:rPr>
          <w:sz w:val="24"/>
          <w:szCs w:val="24"/>
        </w:rPr>
        <w:t xml:space="preserve">. It is also creditable that Loader makes constant references to the diversity of work written in Judea and in the diaspora. </w:t>
      </w:r>
      <w:r w:rsidR="00E53237">
        <w:rPr>
          <w:sz w:val="24"/>
          <w:szCs w:val="24"/>
        </w:rPr>
        <w:t xml:space="preserve">This is an important area to consider as both Loader and Collins, who both emphasise how </w:t>
      </w:r>
      <w:r w:rsidR="004F19FC">
        <w:rPr>
          <w:sz w:val="24"/>
          <w:szCs w:val="24"/>
        </w:rPr>
        <w:t>the authors work maybe influenced by life in the diaspora</w:t>
      </w:r>
      <w:r w:rsidR="008415BE">
        <w:rPr>
          <w:sz w:val="24"/>
          <w:szCs w:val="24"/>
        </w:rPr>
        <w:t xml:space="preserve">. They highlight how those </w:t>
      </w:r>
      <w:r w:rsidR="00D93645">
        <w:rPr>
          <w:sz w:val="24"/>
          <w:szCs w:val="24"/>
        </w:rPr>
        <w:t xml:space="preserve">who lived in the Jewish diaspora would have a different relationship to their religion than those in Judea, as well as having different religious concerns. This is notable of Loader as it </w:t>
      </w:r>
      <w:r w:rsidR="00FD23D6">
        <w:rPr>
          <w:sz w:val="24"/>
          <w:szCs w:val="24"/>
        </w:rPr>
        <w:t>highlights consideration and analysis of these sources and their context.</w:t>
      </w:r>
      <w:r w:rsidR="00D175D9">
        <w:rPr>
          <w:sz w:val="24"/>
          <w:szCs w:val="24"/>
        </w:rPr>
        <w:t xml:space="preserve"> </w:t>
      </w:r>
      <w:r w:rsidR="004A76F2">
        <w:rPr>
          <w:sz w:val="24"/>
          <w:szCs w:val="24"/>
        </w:rPr>
        <w:t xml:space="preserve">Loader also discusses the </w:t>
      </w:r>
      <w:r w:rsidR="009F2EF5">
        <w:rPr>
          <w:sz w:val="24"/>
          <w:szCs w:val="24"/>
        </w:rPr>
        <w:t>differences between attitudes to nudity and intermarriage</w:t>
      </w:r>
      <w:r w:rsidR="00576BD8">
        <w:rPr>
          <w:sz w:val="24"/>
          <w:szCs w:val="24"/>
        </w:rPr>
        <w:t xml:space="preserve"> in the Jewish community and the Greek community. He raises issues of the believed sexual depravity that intermarriage was believed to bring, also seen in Jubilees and the work of </w:t>
      </w:r>
      <w:r w:rsidR="006C0477">
        <w:rPr>
          <w:sz w:val="24"/>
          <w:szCs w:val="24"/>
        </w:rPr>
        <w:t xml:space="preserve">Werman. The importance </w:t>
      </w:r>
      <w:r w:rsidR="002B2979">
        <w:rPr>
          <w:sz w:val="24"/>
          <w:szCs w:val="24"/>
        </w:rPr>
        <w:t xml:space="preserve">of circumcision, that Glick presents, also expands Loaders image of Jewish men seeking to remove the sign of their circumcision as a way to fit into the standards of the nakedness of the gymnasium. These two </w:t>
      </w:r>
      <w:r w:rsidR="00E13F76">
        <w:rPr>
          <w:sz w:val="24"/>
          <w:szCs w:val="24"/>
        </w:rPr>
        <w:t xml:space="preserve">ideas allow Loader to effectively construct his </w:t>
      </w:r>
      <w:r w:rsidR="00E775F5">
        <w:rPr>
          <w:sz w:val="24"/>
          <w:szCs w:val="24"/>
        </w:rPr>
        <w:t xml:space="preserve">argument that there was core differences between </w:t>
      </w:r>
      <w:r w:rsidR="0047641E">
        <w:rPr>
          <w:sz w:val="24"/>
          <w:szCs w:val="24"/>
        </w:rPr>
        <w:t>the Jewish communities sexual morals and that of the wider community. In conclusion, Loader’s arguments are well supported by both primary sources and that of other scholarly work. H</w:t>
      </w:r>
      <w:r w:rsidR="00B71F63">
        <w:rPr>
          <w:sz w:val="24"/>
          <w:szCs w:val="24"/>
        </w:rPr>
        <w:t xml:space="preserve">e effectively discusses the </w:t>
      </w:r>
      <w:r w:rsidR="00206D97">
        <w:rPr>
          <w:sz w:val="24"/>
          <w:szCs w:val="24"/>
        </w:rPr>
        <w:t xml:space="preserve">differences between the sexual values of the two communities </w:t>
      </w:r>
      <w:r w:rsidR="00003A28">
        <w:rPr>
          <w:sz w:val="24"/>
          <w:szCs w:val="24"/>
        </w:rPr>
        <w:t xml:space="preserve">with points that are well founded in research and analysis of </w:t>
      </w:r>
      <w:r w:rsidR="002F5EF5">
        <w:rPr>
          <w:sz w:val="24"/>
          <w:szCs w:val="24"/>
        </w:rPr>
        <w:t xml:space="preserve">the core texts of the era. </w:t>
      </w:r>
    </w:p>
    <w:p w14:paraId="46BBBE50" w14:textId="2B80E824" w:rsidR="00653FFB" w:rsidRDefault="00653FFB" w:rsidP="00A653C6">
      <w:pPr>
        <w:rPr>
          <w:sz w:val="24"/>
          <w:szCs w:val="24"/>
        </w:rPr>
      </w:pPr>
    </w:p>
    <w:p w14:paraId="0B568832" w14:textId="11B394D9" w:rsidR="00653FFB" w:rsidRDefault="00653FFB" w:rsidP="00A653C6">
      <w:pPr>
        <w:rPr>
          <w:sz w:val="24"/>
          <w:szCs w:val="24"/>
        </w:rPr>
      </w:pPr>
    </w:p>
    <w:p w14:paraId="31620287" w14:textId="1807C9A4" w:rsidR="00653FFB" w:rsidRDefault="00653FFB" w:rsidP="00A653C6">
      <w:pPr>
        <w:rPr>
          <w:sz w:val="24"/>
          <w:szCs w:val="24"/>
        </w:rPr>
      </w:pPr>
    </w:p>
    <w:p w14:paraId="11D20883" w14:textId="4E92F32F" w:rsidR="00653FFB" w:rsidRPr="00DE6EAF" w:rsidRDefault="00653FFB" w:rsidP="00A653C6">
      <w:pPr>
        <w:rPr>
          <w:sz w:val="24"/>
          <w:szCs w:val="24"/>
        </w:rPr>
      </w:pPr>
      <w:r w:rsidRPr="00DE6EAF">
        <w:rPr>
          <w:sz w:val="24"/>
          <w:szCs w:val="24"/>
        </w:rPr>
        <w:t xml:space="preserve">Bibliography; </w:t>
      </w:r>
    </w:p>
    <w:p w14:paraId="674CF942" w14:textId="77777777" w:rsidR="004A76F2" w:rsidRPr="00DE6EAF" w:rsidRDefault="004A76F2" w:rsidP="00C33C30">
      <w:pPr>
        <w:rPr>
          <w:sz w:val="24"/>
          <w:szCs w:val="24"/>
        </w:rPr>
      </w:pPr>
      <w:r w:rsidRPr="00DE6EAF">
        <w:rPr>
          <w:sz w:val="24"/>
          <w:szCs w:val="24"/>
        </w:rPr>
        <w:t>Collins,</w:t>
      </w:r>
      <w:r>
        <w:rPr>
          <w:sz w:val="24"/>
          <w:szCs w:val="24"/>
        </w:rPr>
        <w:t xml:space="preserve"> J.J (2000)</w:t>
      </w:r>
      <w:r w:rsidRPr="00DE6EAF">
        <w:rPr>
          <w:sz w:val="24"/>
          <w:szCs w:val="24"/>
        </w:rPr>
        <w:t xml:space="preserve"> </w:t>
      </w:r>
      <w:r w:rsidRPr="00DE6EAF">
        <w:rPr>
          <w:i/>
          <w:iCs/>
          <w:sz w:val="24"/>
          <w:szCs w:val="24"/>
        </w:rPr>
        <w:t xml:space="preserve">‘Between Athens and Jerusalem: Jewish Identity in the Hellenistic Diaspora’, </w:t>
      </w:r>
      <w:r>
        <w:rPr>
          <w:sz w:val="24"/>
          <w:szCs w:val="24"/>
        </w:rPr>
        <w:t>C</w:t>
      </w:r>
      <w:r w:rsidRPr="00DE6EAF">
        <w:rPr>
          <w:sz w:val="24"/>
          <w:szCs w:val="24"/>
        </w:rPr>
        <w:t>ambridge: William B. Eerdmans Publishing Company</w:t>
      </w:r>
      <w:r>
        <w:rPr>
          <w:sz w:val="24"/>
          <w:szCs w:val="24"/>
        </w:rPr>
        <w:t>.</w:t>
      </w:r>
    </w:p>
    <w:p w14:paraId="0F034C4B" w14:textId="77777777" w:rsidR="004A76F2" w:rsidRPr="00DE6EAF" w:rsidRDefault="004A76F2" w:rsidP="00C33C30">
      <w:pPr>
        <w:rPr>
          <w:sz w:val="24"/>
          <w:szCs w:val="24"/>
        </w:rPr>
      </w:pPr>
      <w:r w:rsidRPr="00DE6EAF">
        <w:rPr>
          <w:sz w:val="24"/>
          <w:szCs w:val="24"/>
        </w:rPr>
        <w:t>Glick,</w:t>
      </w:r>
      <w:r>
        <w:rPr>
          <w:sz w:val="24"/>
          <w:szCs w:val="24"/>
        </w:rPr>
        <w:t xml:space="preserve"> L. B (2005)</w:t>
      </w:r>
      <w:r w:rsidRPr="00DE6EAF">
        <w:rPr>
          <w:sz w:val="24"/>
          <w:szCs w:val="24"/>
        </w:rPr>
        <w:t xml:space="preserve"> </w:t>
      </w:r>
      <w:r w:rsidRPr="00DE6EAF">
        <w:rPr>
          <w:i/>
          <w:iCs/>
          <w:sz w:val="24"/>
          <w:szCs w:val="24"/>
        </w:rPr>
        <w:t>‘Marked in Your Flesh: Circumcision From Ancient Judea to Modern America’,</w:t>
      </w:r>
      <w:r w:rsidRPr="00DE6EAF">
        <w:rPr>
          <w:sz w:val="24"/>
          <w:szCs w:val="24"/>
        </w:rPr>
        <w:t xml:space="preserve"> 2</w:t>
      </w:r>
      <w:r w:rsidRPr="00DE6EAF">
        <w:rPr>
          <w:sz w:val="24"/>
          <w:szCs w:val="24"/>
          <w:vertAlign w:val="superscript"/>
        </w:rPr>
        <w:t>nd</w:t>
      </w:r>
      <w:r w:rsidRPr="00DE6EAF">
        <w:rPr>
          <w:sz w:val="24"/>
          <w:szCs w:val="24"/>
        </w:rPr>
        <w:t xml:space="preserve"> Ed.</w:t>
      </w:r>
      <w:r w:rsidRPr="00DE6EAF">
        <w:rPr>
          <w:i/>
          <w:iCs/>
          <w:sz w:val="24"/>
          <w:szCs w:val="24"/>
        </w:rPr>
        <w:t xml:space="preserve"> </w:t>
      </w:r>
      <w:r w:rsidRPr="00DE6EAF">
        <w:rPr>
          <w:sz w:val="24"/>
          <w:szCs w:val="24"/>
        </w:rPr>
        <w:t>Oxford: Oxford University Press</w:t>
      </w:r>
      <w:r>
        <w:rPr>
          <w:sz w:val="24"/>
          <w:szCs w:val="24"/>
        </w:rPr>
        <w:t>.</w:t>
      </w:r>
    </w:p>
    <w:p w14:paraId="0C92A1A1" w14:textId="77777777" w:rsidR="004A76F2" w:rsidRPr="00E57761" w:rsidRDefault="004A76F2" w:rsidP="00C33C30">
      <w:pPr>
        <w:rPr>
          <w:sz w:val="24"/>
          <w:szCs w:val="24"/>
        </w:rPr>
      </w:pPr>
      <w:r>
        <w:rPr>
          <w:sz w:val="24"/>
          <w:szCs w:val="24"/>
        </w:rPr>
        <w:t xml:space="preserve">Kaminsky, J S. (2011), ‘Contesting Conversion: Genealogy, Circumcision, and Identity in Ancient Judaism and Christianity’, </w:t>
      </w:r>
      <w:r>
        <w:rPr>
          <w:i/>
          <w:iCs/>
          <w:sz w:val="24"/>
          <w:szCs w:val="24"/>
        </w:rPr>
        <w:t xml:space="preserve">Studies in Christian-Jewish Relations, </w:t>
      </w:r>
      <w:r>
        <w:rPr>
          <w:sz w:val="24"/>
          <w:szCs w:val="24"/>
        </w:rPr>
        <w:t xml:space="preserve">6 (1). </w:t>
      </w:r>
    </w:p>
    <w:p w14:paraId="704F62CB" w14:textId="77777777" w:rsidR="004A76F2" w:rsidRPr="00DE6EAF" w:rsidRDefault="004A76F2" w:rsidP="00C33C30">
      <w:pPr>
        <w:rPr>
          <w:sz w:val="24"/>
          <w:szCs w:val="24"/>
        </w:rPr>
      </w:pPr>
      <w:r w:rsidRPr="00DE6EAF">
        <w:rPr>
          <w:sz w:val="24"/>
          <w:szCs w:val="24"/>
        </w:rPr>
        <w:t>W Loader,</w:t>
      </w:r>
      <w:r>
        <w:rPr>
          <w:sz w:val="24"/>
          <w:szCs w:val="24"/>
        </w:rPr>
        <w:t xml:space="preserve"> W (2018)</w:t>
      </w:r>
      <w:r w:rsidRPr="00DE6EAF">
        <w:rPr>
          <w:sz w:val="24"/>
          <w:szCs w:val="24"/>
        </w:rPr>
        <w:t xml:space="preserve"> ‘‘’Not as the Gentiles’: Sexual Issues at the Interface Between Judaism and Its Greco-Roman World’, </w:t>
      </w:r>
      <w:r w:rsidRPr="00DE6EAF">
        <w:rPr>
          <w:i/>
          <w:iCs/>
          <w:sz w:val="24"/>
          <w:szCs w:val="24"/>
        </w:rPr>
        <w:t xml:space="preserve">Religions, </w:t>
      </w:r>
      <w:r w:rsidRPr="00DE6EAF">
        <w:rPr>
          <w:sz w:val="24"/>
          <w:szCs w:val="24"/>
        </w:rPr>
        <w:t>9(9)</w:t>
      </w:r>
      <w:r>
        <w:rPr>
          <w:sz w:val="24"/>
          <w:szCs w:val="24"/>
        </w:rPr>
        <w:t xml:space="preserve">. </w:t>
      </w:r>
    </w:p>
    <w:p w14:paraId="308E06A0" w14:textId="77777777" w:rsidR="004A76F2" w:rsidRDefault="004A76F2" w:rsidP="00C33C30">
      <w:pPr>
        <w:rPr>
          <w:sz w:val="24"/>
          <w:szCs w:val="24"/>
        </w:rPr>
      </w:pPr>
      <w:r w:rsidRPr="00DE6EAF">
        <w:rPr>
          <w:sz w:val="24"/>
          <w:szCs w:val="24"/>
        </w:rPr>
        <w:t xml:space="preserve">Werman, </w:t>
      </w:r>
      <w:r>
        <w:rPr>
          <w:sz w:val="24"/>
          <w:szCs w:val="24"/>
        </w:rPr>
        <w:t xml:space="preserve">C (1997) </w:t>
      </w:r>
      <w:r w:rsidRPr="00DE6EAF">
        <w:rPr>
          <w:sz w:val="24"/>
          <w:szCs w:val="24"/>
        </w:rPr>
        <w:t xml:space="preserve">‘’Jubilees 30’: Building a Paradigm for the Ban on Intermarriage’, </w:t>
      </w:r>
      <w:r w:rsidRPr="00DE6EAF">
        <w:rPr>
          <w:i/>
          <w:iCs/>
          <w:sz w:val="24"/>
          <w:szCs w:val="24"/>
        </w:rPr>
        <w:t xml:space="preserve">The Harvard Theological Review, </w:t>
      </w:r>
      <w:r w:rsidRPr="00DE6EAF">
        <w:rPr>
          <w:sz w:val="24"/>
          <w:szCs w:val="24"/>
        </w:rPr>
        <w:t>90(1)</w:t>
      </w:r>
      <w:r>
        <w:rPr>
          <w:sz w:val="24"/>
          <w:szCs w:val="24"/>
        </w:rPr>
        <w:t xml:space="preserve"> pp. 1-22. </w:t>
      </w:r>
    </w:p>
    <w:p w14:paraId="0A15E13C" w14:textId="3A8E8969" w:rsidR="00CA4A53" w:rsidRPr="001F52FC" w:rsidRDefault="00CA4A53">
      <w:pPr>
        <w:rPr>
          <w:sz w:val="24"/>
          <w:szCs w:val="24"/>
        </w:rPr>
      </w:pPr>
    </w:p>
    <w:sectPr w:rsidR="00CA4A53" w:rsidRPr="001F52F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61692D" w14:textId="77777777" w:rsidR="004E2428" w:rsidRDefault="004E2428" w:rsidP="004E2428">
      <w:pPr>
        <w:spacing w:after="0" w:line="240" w:lineRule="auto"/>
      </w:pPr>
      <w:r>
        <w:separator/>
      </w:r>
    </w:p>
  </w:endnote>
  <w:endnote w:type="continuationSeparator" w:id="0">
    <w:p w14:paraId="51E5FB66" w14:textId="77777777" w:rsidR="004E2428" w:rsidRDefault="004E2428" w:rsidP="004E2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1AA187" w14:textId="77777777" w:rsidR="004E2428" w:rsidRDefault="004E2428" w:rsidP="004E2428">
      <w:pPr>
        <w:spacing w:after="0" w:line="240" w:lineRule="auto"/>
      </w:pPr>
      <w:r>
        <w:separator/>
      </w:r>
    </w:p>
  </w:footnote>
  <w:footnote w:type="continuationSeparator" w:id="0">
    <w:p w14:paraId="57D4BA10" w14:textId="77777777" w:rsidR="004E2428" w:rsidRDefault="004E2428" w:rsidP="004E2428">
      <w:pPr>
        <w:spacing w:after="0" w:line="240" w:lineRule="auto"/>
      </w:pPr>
      <w:r>
        <w:continuationSeparator/>
      </w:r>
    </w:p>
  </w:footnote>
  <w:footnote w:id="1">
    <w:p w14:paraId="003A5A03" w14:textId="77777777" w:rsidR="004E2428" w:rsidRDefault="004E2428" w:rsidP="004E2428">
      <w:pPr>
        <w:pStyle w:val="FootnoteText"/>
      </w:pPr>
      <w:r>
        <w:rPr>
          <w:rStyle w:val="FootnoteReference"/>
        </w:rPr>
        <w:footnoteRef/>
      </w:r>
      <w:r>
        <w:t xml:space="preserve"> </w:t>
      </w:r>
      <w:r w:rsidRPr="008944C0">
        <w:t>W Loader, ‘‘’Not as the Gentiles’: Sexual Issues at the Interface Between Judaism and Its Greco-Roman World’</w:t>
      </w:r>
      <w:r>
        <w:t xml:space="preserve">, </w:t>
      </w:r>
      <w:r>
        <w:rPr>
          <w:i/>
          <w:iCs/>
        </w:rPr>
        <w:t xml:space="preserve">Religions, </w:t>
      </w:r>
      <w:r>
        <w:t>9(9) (2018), Conclusion.</w:t>
      </w:r>
    </w:p>
  </w:footnote>
  <w:footnote w:id="2">
    <w:p w14:paraId="093A4183" w14:textId="77777777" w:rsidR="00C33C30" w:rsidRDefault="00C33C30" w:rsidP="00C33C30">
      <w:pPr>
        <w:pStyle w:val="FootnoteText"/>
      </w:pPr>
      <w:r>
        <w:rPr>
          <w:rStyle w:val="FootnoteReference"/>
        </w:rPr>
        <w:footnoteRef/>
      </w:r>
      <w:r>
        <w:t xml:space="preserve"> </w:t>
      </w:r>
      <w:r w:rsidRPr="008944C0">
        <w:t>W Loader, ‘‘’Not as the Gentiles’: Sexual Issues at the Interface Between Judaism and Its Greco-Roman World’</w:t>
      </w:r>
      <w:r>
        <w:t>, Introduction.</w:t>
      </w:r>
    </w:p>
  </w:footnote>
  <w:footnote w:id="3">
    <w:p w14:paraId="1AEFF331" w14:textId="77777777" w:rsidR="00C33C30" w:rsidRPr="00954E0D" w:rsidRDefault="00C33C30" w:rsidP="00C33C30">
      <w:pPr>
        <w:pStyle w:val="FootnoteText"/>
      </w:pPr>
      <w:r>
        <w:rPr>
          <w:rStyle w:val="FootnoteReference"/>
        </w:rPr>
        <w:footnoteRef/>
      </w:r>
      <w:r>
        <w:t xml:space="preserve"> J. J Collins, </w:t>
      </w:r>
      <w:r>
        <w:rPr>
          <w:i/>
          <w:iCs/>
        </w:rPr>
        <w:t xml:space="preserve">‘Between Athens and Jerusalem: Jewish Identity in the Hellenistic Diaspora’, </w:t>
      </w:r>
      <w:r>
        <w:t xml:space="preserve">(Cambridge: William B. Eerdmans Publishing Company 2000), pp. 1-2. </w:t>
      </w:r>
    </w:p>
  </w:footnote>
  <w:footnote w:id="4">
    <w:p w14:paraId="0AEC8A4F" w14:textId="65B5320D" w:rsidR="00011104" w:rsidRDefault="00011104">
      <w:pPr>
        <w:pStyle w:val="FootnoteText"/>
      </w:pPr>
      <w:r>
        <w:rPr>
          <w:rStyle w:val="FootnoteReference"/>
        </w:rPr>
        <w:footnoteRef/>
      </w:r>
      <w:r>
        <w:t xml:space="preserve"> </w:t>
      </w:r>
      <w:r w:rsidRPr="008944C0">
        <w:t>W Loader, ‘‘’Not as the Gentiles’: Sexual Issues at the Interface Between Judaism and Its Greco-Roman World’</w:t>
      </w:r>
      <w:r>
        <w:t xml:space="preserve">, </w:t>
      </w:r>
      <w:r w:rsidR="00632A6A">
        <w:t>The Hellenistic Crisis, The Maccabean Revolt and the Hasmoneans.</w:t>
      </w:r>
    </w:p>
  </w:footnote>
  <w:footnote w:id="5">
    <w:p w14:paraId="641E5E54" w14:textId="6A8C204E" w:rsidR="00DB4B33" w:rsidRDefault="00DB4B33">
      <w:pPr>
        <w:pStyle w:val="FootnoteText"/>
      </w:pPr>
      <w:r>
        <w:rPr>
          <w:rStyle w:val="FootnoteReference"/>
        </w:rPr>
        <w:footnoteRef/>
      </w:r>
      <w:r>
        <w:t xml:space="preserve"> </w:t>
      </w:r>
      <w:r w:rsidR="003F6FA0" w:rsidRPr="008944C0">
        <w:t>W Loader, ‘‘’Not as the Gentiles’: Sexual Issues at the Interface Between Judaism and Its Greco-Roman World’</w:t>
      </w:r>
      <w:r w:rsidR="003F6FA0">
        <w:t>, The Hellenistic Crisis, The Maccabean Revolt and the Hasmoneans.</w:t>
      </w:r>
    </w:p>
  </w:footnote>
  <w:footnote w:id="6">
    <w:p w14:paraId="7C0DA8B2" w14:textId="77777777" w:rsidR="00A653C6" w:rsidRDefault="00A653C6" w:rsidP="00A653C6">
      <w:pPr>
        <w:pStyle w:val="FootnoteText"/>
      </w:pPr>
      <w:r>
        <w:rPr>
          <w:rStyle w:val="FootnoteReference"/>
        </w:rPr>
        <w:footnoteRef/>
      </w:r>
      <w:r>
        <w:t xml:space="preserve"> </w:t>
      </w:r>
      <w:r w:rsidRPr="008944C0">
        <w:t>W Loader, ‘‘’Not as the Gentiles’: Sexual Issues at the Interface Between Judaism and Its Greco-Roman World’</w:t>
      </w:r>
      <w:r>
        <w:t xml:space="preserve">, The Hellenistic Crisis, The Maccabean Revolt, and The Hasmoneans </w:t>
      </w:r>
    </w:p>
  </w:footnote>
  <w:footnote w:id="7">
    <w:p w14:paraId="330DB445" w14:textId="77777777" w:rsidR="00A653C6" w:rsidRDefault="00A653C6" w:rsidP="00A653C6">
      <w:pPr>
        <w:pStyle w:val="FootnoteText"/>
      </w:pPr>
      <w:r>
        <w:rPr>
          <w:rStyle w:val="FootnoteReference"/>
        </w:rPr>
        <w:footnoteRef/>
      </w:r>
      <w:r>
        <w:t xml:space="preserve"> </w:t>
      </w:r>
      <w:r w:rsidRPr="008944C0">
        <w:t>W Loader, ‘‘’Not as the Gentiles’: Sexual Issues at the Interface Between Judaism and Its Greco-Roman World’</w:t>
      </w:r>
      <w:r>
        <w:t>, The Hellenistic Crisis, The Maccabean Revolt, and The Hasmoneans</w:t>
      </w:r>
    </w:p>
  </w:footnote>
  <w:footnote w:id="8">
    <w:p w14:paraId="2FC97B6E" w14:textId="77777777" w:rsidR="00A653C6" w:rsidRPr="00F3531E" w:rsidRDefault="00A653C6" w:rsidP="00A653C6">
      <w:pPr>
        <w:pStyle w:val="FootnoteText"/>
      </w:pPr>
      <w:r>
        <w:rPr>
          <w:rStyle w:val="FootnoteReference"/>
        </w:rPr>
        <w:footnoteRef/>
      </w:r>
      <w:r>
        <w:t xml:space="preserve"> L B Glick, </w:t>
      </w:r>
      <w:r>
        <w:rPr>
          <w:i/>
          <w:iCs/>
        </w:rPr>
        <w:t>‘Marked in Your Flesh: Circumcision From Ancient Judea to Modern America’,</w:t>
      </w:r>
      <w:r>
        <w:t xml:space="preserve"> 2</w:t>
      </w:r>
      <w:r w:rsidRPr="00962A1B">
        <w:rPr>
          <w:vertAlign w:val="superscript"/>
        </w:rPr>
        <w:t>nd</w:t>
      </w:r>
      <w:r>
        <w:t xml:space="preserve"> Ed.</w:t>
      </w:r>
      <w:r>
        <w:rPr>
          <w:i/>
          <w:iCs/>
        </w:rPr>
        <w:t xml:space="preserve"> </w:t>
      </w:r>
      <w:r>
        <w:t xml:space="preserve">(Oxford: Oxford University Press 2005), p. 9.  </w:t>
      </w:r>
    </w:p>
  </w:footnote>
  <w:footnote w:id="9">
    <w:p w14:paraId="61115B28" w14:textId="3D84E1B0" w:rsidR="003E055B" w:rsidRDefault="003E055B">
      <w:pPr>
        <w:pStyle w:val="FootnoteText"/>
      </w:pPr>
      <w:r>
        <w:rPr>
          <w:rStyle w:val="FootnoteReference"/>
        </w:rPr>
        <w:footnoteRef/>
      </w:r>
      <w:r>
        <w:t xml:space="preserve"> </w:t>
      </w:r>
      <w:r w:rsidR="00CD3CF1" w:rsidRPr="008944C0">
        <w:t>W Loader, ‘‘’Not as the Gentiles’: Sexual Issues at the Interface Between Judaism and Its Greco-Roman World’</w:t>
      </w:r>
      <w:r w:rsidR="00CD3CF1">
        <w:t>, The Hellenistic Crisis, The Maccabean Revolt, and The Hasmoneans</w:t>
      </w:r>
    </w:p>
  </w:footnote>
  <w:footnote w:id="10">
    <w:p w14:paraId="324A3D1E" w14:textId="293CA8EE" w:rsidR="0094732D" w:rsidRPr="00D643DA" w:rsidRDefault="0094732D">
      <w:pPr>
        <w:pStyle w:val="FootnoteText"/>
      </w:pPr>
      <w:r>
        <w:rPr>
          <w:rStyle w:val="FootnoteReference"/>
        </w:rPr>
        <w:footnoteRef/>
      </w:r>
      <w:r>
        <w:t xml:space="preserve"> C Werman, ‘’Jubilees </w:t>
      </w:r>
      <w:r w:rsidR="00230BFF">
        <w:t xml:space="preserve">30’: Building a Paradigm for the Ban on Intermarriage’, </w:t>
      </w:r>
      <w:r w:rsidR="00D643DA">
        <w:rPr>
          <w:i/>
          <w:iCs/>
        </w:rPr>
        <w:t xml:space="preserve">The Harvard Theological Review, </w:t>
      </w:r>
      <w:r w:rsidR="00D643DA">
        <w:t xml:space="preserve">90(1) (1997), p.7. </w:t>
      </w:r>
    </w:p>
  </w:footnote>
  <w:footnote w:id="11">
    <w:p w14:paraId="6BD1A474" w14:textId="4DD02918" w:rsidR="001602DE" w:rsidRDefault="001602DE">
      <w:pPr>
        <w:pStyle w:val="FootnoteText"/>
      </w:pPr>
      <w:r>
        <w:rPr>
          <w:rStyle w:val="FootnoteReference"/>
        </w:rPr>
        <w:footnoteRef/>
      </w:r>
      <w:r>
        <w:t xml:space="preserve"> </w:t>
      </w:r>
      <w:r w:rsidRPr="008944C0">
        <w:t>W Loader, ‘‘’Not as the Gentiles’: Sexual Issues at the Interface Between Judaism and Its Greco-Roman World’</w:t>
      </w:r>
      <w:r>
        <w:t>,</w:t>
      </w:r>
      <w:r>
        <w:t xml:space="preserve"> </w:t>
      </w:r>
      <w:r>
        <w:t>The Hellenistic Crisis, The Maccabean Revolt, and The Hasmoneans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4091FF" w14:textId="3CFB3EE0" w:rsidR="005552C8" w:rsidRDefault="005552C8">
    <w:pPr>
      <w:pStyle w:val="Header"/>
    </w:pPr>
    <w:r>
      <w:t xml:space="preserve">Alison Forbes </w:t>
    </w:r>
  </w:p>
  <w:p w14:paraId="0DA7E0F5" w14:textId="165D5B9B" w:rsidR="005552C8" w:rsidRDefault="005552C8">
    <w:pPr>
      <w:pStyle w:val="Header"/>
    </w:pPr>
    <w:r>
      <w:t>1701733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DC6"/>
    <w:rsid w:val="00003A28"/>
    <w:rsid w:val="00011104"/>
    <w:rsid w:val="00066824"/>
    <w:rsid w:val="00072F2D"/>
    <w:rsid w:val="000758B8"/>
    <w:rsid w:val="0010428D"/>
    <w:rsid w:val="001054D6"/>
    <w:rsid w:val="001602DE"/>
    <w:rsid w:val="00160FD2"/>
    <w:rsid w:val="00165071"/>
    <w:rsid w:val="0017570B"/>
    <w:rsid w:val="00182B80"/>
    <w:rsid w:val="001B5829"/>
    <w:rsid w:val="001D541A"/>
    <w:rsid w:val="001E5AA5"/>
    <w:rsid w:val="001F52FC"/>
    <w:rsid w:val="00206D97"/>
    <w:rsid w:val="00212DB9"/>
    <w:rsid w:val="00230BFF"/>
    <w:rsid w:val="0023278F"/>
    <w:rsid w:val="002A609C"/>
    <w:rsid w:val="002B2979"/>
    <w:rsid w:val="002E54C0"/>
    <w:rsid w:val="002F5EF5"/>
    <w:rsid w:val="003300BF"/>
    <w:rsid w:val="003E055B"/>
    <w:rsid w:val="003E6C98"/>
    <w:rsid w:val="003F6FA0"/>
    <w:rsid w:val="0047641E"/>
    <w:rsid w:val="004955BC"/>
    <w:rsid w:val="004A48A1"/>
    <w:rsid w:val="004A611F"/>
    <w:rsid w:val="004A6DA4"/>
    <w:rsid w:val="004A704A"/>
    <w:rsid w:val="004A76F2"/>
    <w:rsid w:val="004B503C"/>
    <w:rsid w:val="004B7C4B"/>
    <w:rsid w:val="004E2428"/>
    <w:rsid w:val="004E2EC6"/>
    <w:rsid w:val="004F1775"/>
    <w:rsid w:val="004F19FC"/>
    <w:rsid w:val="005552C8"/>
    <w:rsid w:val="00565DC6"/>
    <w:rsid w:val="00576BD8"/>
    <w:rsid w:val="005D54C3"/>
    <w:rsid w:val="00632A6A"/>
    <w:rsid w:val="00641B3C"/>
    <w:rsid w:val="00653FFB"/>
    <w:rsid w:val="006A6F25"/>
    <w:rsid w:val="006B7C23"/>
    <w:rsid w:val="006C0477"/>
    <w:rsid w:val="006E65A4"/>
    <w:rsid w:val="0073726F"/>
    <w:rsid w:val="0075131E"/>
    <w:rsid w:val="00760276"/>
    <w:rsid w:val="00774E29"/>
    <w:rsid w:val="007A7776"/>
    <w:rsid w:val="0082486C"/>
    <w:rsid w:val="00826501"/>
    <w:rsid w:val="008415BE"/>
    <w:rsid w:val="00874242"/>
    <w:rsid w:val="008A11F0"/>
    <w:rsid w:val="008D71F5"/>
    <w:rsid w:val="008F3CC1"/>
    <w:rsid w:val="00921F54"/>
    <w:rsid w:val="0094732D"/>
    <w:rsid w:val="009A3E36"/>
    <w:rsid w:val="009A425B"/>
    <w:rsid w:val="009A694E"/>
    <w:rsid w:val="009F2EF5"/>
    <w:rsid w:val="00A0028B"/>
    <w:rsid w:val="00A07F01"/>
    <w:rsid w:val="00A21566"/>
    <w:rsid w:val="00A501B2"/>
    <w:rsid w:val="00A653C6"/>
    <w:rsid w:val="00A66D7E"/>
    <w:rsid w:val="00A73501"/>
    <w:rsid w:val="00AD4ABA"/>
    <w:rsid w:val="00AD7CD3"/>
    <w:rsid w:val="00AF2F37"/>
    <w:rsid w:val="00B17E8E"/>
    <w:rsid w:val="00B56419"/>
    <w:rsid w:val="00B56BF9"/>
    <w:rsid w:val="00B71F63"/>
    <w:rsid w:val="00B72B33"/>
    <w:rsid w:val="00BE5069"/>
    <w:rsid w:val="00C33C30"/>
    <w:rsid w:val="00C41232"/>
    <w:rsid w:val="00C44252"/>
    <w:rsid w:val="00C636A3"/>
    <w:rsid w:val="00C94667"/>
    <w:rsid w:val="00CA4A53"/>
    <w:rsid w:val="00CD3CF1"/>
    <w:rsid w:val="00CF630F"/>
    <w:rsid w:val="00D1643D"/>
    <w:rsid w:val="00D175D9"/>
    <w:rsid w:val="00D56ACD"/>
    <w:rsid w:val="00D643DA"/>
    <w:rsid w:val="00D65151"/>
    <w:rsid w:val="00D806D4"/>
    <w:rsid w:val="00D93645"/>
    <w:rsid w:val="00DA4AA9"/>
    <w:rsid w:val="00DA6139"/>
    <w:rsid w:val="00DB0E4F"/>
    <w:rsid w:val="00DB4B33"/>
    <w:rsid w:val="00DE6EAF"/>
    <w:rsid w:val="00E13F76"/>
    <w:rsid w:val="00E53237"/>
    <w:rsid w:val="00E57761"/>
    <w:rsid w:val="00E775F5"/>
    <w:rsid w:val="00E84B49"/>
    <w:rsid w:val="00E858F5"/>
    <w:rsid w:val="00E85E0D"/>
    <w:rsid w:val="00EB2A45"/>
    <w:rsid w:val="00ED0440"/>
    <w:rsid w:val="00ED3789"/>
    <w:rsid w:val="00ED4694"/>
    <w:rsid w:val="00F26017"/>
    <w:rsid w:val="00F609EA"/>
    <w:rsid w:val="00FD23D6"/>
    <w:rsid w:val="00FD2B35"/>
    <w:rsid w:val="00FE0488"/>
    <w:rsid w:val="00FF2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BEDEB8"/>
  <w15:chartTrackingRefBased/>
  <w15:docId w15:val="{75E70637-1A58-46B5-8447-1895829E4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1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E242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E2428"/>
    <w:rPr>
      <w:sz w:val="20"/>
      <w:szCs w:val="20"/>
    </w:rPr>
  </w:style>
  <w:style w:type="character" w:styleId="FootnoteReference">
    <w:name w:val="footnote reference"/>
    <w:basedOn w:val="DefaultParagraphFont"/>
    <w:uiPriority w:val="99"/>
    <w:semiHidden/>
    <w:unhideWhenUsed/>
    <w:rsid w:val="004E2428"/>
    <w:rPr>
      <w:vertAlign w:val="superscript"/>
    </w:rPr>
  </w:style>
  <w:style w:type="paragraph" w:styleId="Header">
    <w:name w:val="header"/>
    <w:basedOn w:val="Normal"/>
    <w:link w:val="HeaderChar"/>
    <w:uiPriority w:val="99"/>
    <w:unhideWhenUsed/>
    <w:rsid w:val="00555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52C8"/>
  </w:style>
  <w:style w:type="paragraph" w:styleId="Footer">
    <w:name w:val="footer"/>
    <w:basedOn w:val="Normal"/>
    <w:link w:val="FooterChar"/>
    <w:uiPriority w:val="99"/>
    <w:unhideWhenUsed/>
    <w:rsid w:val="00555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52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F04A9-269B-4528-A173-59D5F6DAF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3058</TotalTime>
  <Pages>4</Pages>
  <Words>1587</Words>
  <Characters>8504</Characters>
  <Application>Microsoft Office Word</Application>
  <DocSecurity>0</DocSecurity>
  <Lines>120</Lines>
  <Paragraphs>10</Paragraphs>
  <ScaleCrop>false</ScaleCrop>
  <Company/>
  <LinksUpToDate>false</LinksUpToDate>
  <CharactersWithSpaces>10090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Forbes</dc:creator>
  <cp:keywords/>
  <dc:description/>
  <cp:lastModifiedBy>Alison Forbes</cp:lastModifiedBy>
  <cp:revision>121</cp:revision>
  <dcterms:created xsi:type="dcterms:W3CDTF">2020-05-27T13:33:00Z</dcterms:created>
  <dcterms:modified xsi:type="dcterms:W3CDTF">2020-05-29T16:35:00Z</dcterms:modified>
</cp:coreProperties>
</file>