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6B44C" w14:textId="77777777" w:rsidR="0060005A" w:rsidRDefault="0060005A" w:rsidP="005A2970">
      <w:pPr>
        <w:rPr>
          <w:b/>
          <w:bCs/>
        </w:rPr>
      </w:pPr>
    </w:p>
    <w:p w14:paraId="6DF23DC7" w14:textId="3D802F71" w:rsidR="005A2970" w:rsidRPr="0060005A" w:rsidRDefault="0060005A" w:rsidP="005A2970">
      <w:pPr>
        <w:rPr>
          <w:b/>
          <w:bCs/>
        </w:rPr>
      </w:pPr>
      <w:r>
        <w:rPr>
          <w:b/>
          <w:bCs/>
        </w:rPr>
        <w:t>Secularism and Conservatism - a</w:t>
      </w:r>
      <w:r w:rsidR="007D4081" w:rsidRPr="0060005A">
        <w:rPr>
          <w:b/>
          <w:bCs/>
        </w:rPr>
        <w:t xml:space="preserve">n </w:t>
      </w:r>
      <w:r>
        <w:rPr>
          <w:b/>
          <w:bCs/>
        </w:rPr>
        <w:t>overview of</w:t>
      </w:r>
      <w:r w:rsidR="007D4081" w:rsidRPr="0060005A">
        <w:rPr>
          <w:b/>
          <w:bCs/>
        </w:rPr>
        <w:t xml:space="preserve"> political actors in the run up to Indian Partition</w:t>
      </w:r>
    </w:p>
    <w:p w14:paraId="5C04C384" w14:textId="77777777" w:rsidR="007D4081" w:rsidRDefault="007D4081" w:rsidP="005A2970"/>
    <w:p w14:paraId="79562CB8" w14:textId="06B26E7A" w:rsidR="006A513A" w:rsidRPr="00F17AE4" w:rsidRDefault="002D67C7" w:rsidP="00865C00">
      <w:pPr>
        <w:spacing w:line="360" w:lineRule="auto"/>
        <w:jc w:val="both"/>
        <w:rPr>
          <w:rFonts w:cstheme="minorHAnsi"/>
        </w:rPr>
      </w:pPr>
      <w:bookmarkStart w:id="0" w:name="_Hlk52179092"/>
      <w:r w:rsidRPr="00F17AE4">
        <w:rPr>
          <w:rFonts w:cstheme="minorHAnsi"/>
        </w:rPr>
        <w:t xml:space="preserve">The foundation of Pakistan </w:t>
      </w:r>
      <w:r w:rsidR="00B5485F">
        <w:rPr>
          <w:rFonts w:cstheme="minorHAnsi"/>
        </w:rPr>
        <w:t>i</w:t>
      </w:r>
      <w:r w:rsidR="00B26472" w:rsidRPr="00F17AE4">
        <w:rPr>
          <w:rFonts w:cstheme="minorHAnsi"/>
        </w:rPr>
        <w:t>n 1946</w:t>
      </w:r>
      <w:r w:rsidR="003E194C" w:rsidRPr="00F17AE4">
        <w:rPr>
          <w:rFonts w:cstheme="minorHAnsi"/>
        </w:rPr>
        <w:t xml:space="preserve"> </w:t>
      </w:r>
      <w:r w:rsidR="000819C7" w:rsidRPr="00F17AE4">
        <w:rPr>
          <w:rFonts w:cstheme="minorHAnsi"/>
        </w:rPr>
        <w:t>was meant to unite South Asia</w:t>
      </w:r>
      <w:r w:rsidR="00B5485F">
        <w:rPr>
          <w:rFonts w:cstheme="minorHAnsi"/>
        </w:rPr>
        <w:t>n</w:t>
      </w:r>
      <w:r w:rsidR="000819C7" w:rsidRPr="00F17AE4">
        <w:rPr>
          <w:rFonts w:cstheme="minorHAnsi"/>
        </w:rPr>
        <w:t xml:space="preserve"> M</w:t>
      </w:r>
      <w:r w:rsidR="00746C0D" w:rsidRPr="00F17AE4">
        <w:rPr>
          <w:rFonts w:cstheme="minorHAnsi"/>
        </w:rPr>
        <w:t>uslims from a composite of differing ethnic, linguistic</w:t>
      </w:r>
      <w:r w:rsidR="006D1062" w:rsidRPr="00F17AE4">
        <w:rPr>
          <w:rFonts w:cstheme="minorHAnsi"/>
        </w:rPr>
        <w:t xml:space="preserve">, </w:t>
      </w:r>
      <w:r w:rsidR="008E545F" w:rsidRPr="00F17AE4">
        <w:rPr>
          <w:rFonts w:cstheme="minorHAnsi"/>
        </w:rPr>
        <w:t>regional,</w:t>
      </w:r>
      <w:r w:rsidR="006D1062" w:rsidRPr="00F17AE4">
        <w:rPr>
          <w:rFonts w:cstheme="minorHAnsi"/>
        </w:rPr>
        <w:t xml:space="preserve"> and cultural identities and communities across </w:t>
      </w:r>
      <w:r w:rsidR="00B5485F">
        <w:rPr>
          <w:rFonts w:cstheme="minorHAnsi"/>
        </w:rPr>
        <w:t xml:space="preserve">what became </w:t>
      </w:r>
      <w:r w:rsidR="006D1062" w:rsidRPr="00F17AE4">
        <w:rPr>
          <w:rFonts w:cstheme="minorHAnsi"/>
        </w:rPr>
        <w:t>West and East Pakistan</w:t>
      </w:r>
      <w:r w:rsidR="006D1062" w:rsidRPr="00F17AE4">
        <w:rPr>
          <w:rStyle w:val="FootnoteReference"/>
          <w:rFonts w:cstheme="minorHAnsi"/>
        </w:rPr>
        <w:footnoteReference w:id="1"/>
      </w:r>
      <w:r w:rsidR="0055631F" w:rsidRPr="00F17AE4">
        <w:rPr>
          <w:rFonts w:cstheme="minorHAnsi"/>
        </w:rPr>
        <w:t xml:space="preserve"> but</w:t>
      </w:r>
      <w:r w:rsidR="005A2970" w:rsidRPr="00F17AE4">
        <w:rPr>
          <w:rFonts w:cstheme="minorHAnsi"/>
        </w:rPr>
        <w:t xml:space="preserve"> for more religious Muslims, particularly Islamists, ‘nationalism was anathema to Islam’</w:t>
      </w:r>
      <w:r w:rsidR="005A2970" w:rsidRPr="00F17AE4">
        <w:rPr>
          <w:rStyle w:val="FootnoteReference"/>
          <w:rFonts w:cstheme="minorHAnsi"/>
        </w:rPr>
        <w:footnoteReference w:id="2"/>
      </w:r>
      <w:r w:rsidR="005A2970" w:rsidRPr="00F17AE4">
        <w:rPr>
          <w:rFonts w:cstheme="minorHAnsi"/>
        </w:rPr>
        <w:t xml:space="preserve">.  </w:t>
      </w:r>
      <w:r w:rsidR="004F44C1" w:rsidRPr="00F17AE4">
        <w:rPr>
          <w:rFonts w:cstheme="minorHAnsi"/>
        </w:rPr>
        <w:t xml:space="preserve">This essay seeks to establish some of the key actors’ </w:t>
      </w:r>
      <w:r w:rsidR="007F2096" w:rsidRPr="00F17AE4">
        <w:rPr>
          <w:rFonts w:cstheme="minorHAnsi"/>
        </w:rPr>
        <w:t xml:space="preserve">political and religious </w:t>
      </w:r>
      <w:r w:rsidR="004F44C1" w:rsidRPr="00F17AE4">
        <w:rPr>
          <w:rFonts w:cstheme="minorHAnsi"/>
        </w:rPr>
        <w:t xml:space="preserve">motivations </w:t>
      </w:r>
      <w:r w:rsidR="0022799A">
        <w:rPr>
          <w:rFonts w:cstheme="minorHAnsi"/>
        </w:rPr>
        <w:t>during the creation</w:t>
      </w:r>
      <w:r w:rsidR="004F44C1" w:rsidRPr="00F17AE4">
        <w:rPr>
          <w:rFonts w:cstheme="minorHAnsi"/>
        </w:rPr>
        <w:t xml:space="preserve"> Pakistan.</w:t>
      </w:r>
    </w:p>
    <w:p w14:paraId="51AB3F14" w14:textId="0D5B28E4" w:rsidR="005A2970" w:rsidRPr="00F17AE4" w:rsidRDefault="00A60F80" w:rsidP="00865C00">
      <w:pPr>
        <w:spacing w:line="360" w:lineRule="auto"/>
        <w:jc w:val="both"/>
        <w:rPr>
          <w:rFonts w:cstheme="minorHAnsi"/>
        </w:rPr>
      </w:pPr>
      <w:r w:rsidRPr="00F17AE4">
        <w:rPr>
          <w:rFonts w:cstheme="minorHAnsi"/>
        </w:rPr>
        <w:t>Muhammad Ali Jinnah</w:t>
      </w:r>
      <w:r w:rsidR="00AB4DB2" w:rsidRPr="00F17AE4">
        <w:rPr>
          <w:rFonts w:cstheme="minorHAnsi"/>
        </w:rPr>
        <w:t>’s two-nation theory maintained that the subcontinent’s disparate Muslim population shared a common Islamic identity distinguishable from Hindus</w:t>
      </w:r>
      <w:r w:rsidR="00AB4DB2" w:rsidRPr="00F17AE4">
        <w:rPr>
          <w:rStyle w:val="FootnoteReference"/>
          <w:rFonts w:cstheme="minorHAnsi"/>
        </w:rPr>
        <w:footnoteReference w:id="3"/>
      </w:r>
      <w:r w:rsidR="00AB4DB2" w:rsidRPr="00F17AE4">
        <w:rPr>
          <w:rFonts w:cstheme="minorHAnsi"/>
        </w:rPr>
        <w:t xml:space="preserve">. </w:t>
      </w:r>
      <w:r w:rsidR="00184109" w:rsidRPr="00F17AE4">
        <w:rPr>
          <w:rFonts w:cstheme="minorHAnsi"/>
        </w:rPr>
        <w:t>Religion has been used</w:t>
      </w:r>
      <w:r w:rsidRPr="00F17AE4">
        <w:rPr>
          <w:rFonts w:cstheme="minorHAnsi"/>
        </w:rPr>
        <w:t xml:space="preserve"> within </w:t>
      </w:r>
      <w:r w:rsidR="0079257E" w:rsidRPr="00F17AE4">
        <w:rPr>
          <w:rFonts w:cstheme="minorHAnsi"/>
        </w:rPr>
        <w:t xml:space="preserve">this political </w:t>
      </w:r>
      <w:r w:rsidRPr="00F17AE4">
        <w:rPr>
          <w:rFonts w:cstheme="minorHAnsi"/>
        </w:rPr>
        <w:t>sphere</w:t>
      </w:r>
      <w:r w:rsidR="0079257E" w:rsidRPr="00F17AE4">
        <w:rPr>
          <w:rFonts w:cstheme="minorHAnsi"/>
        </w:rPr>
        <w:t xml:space="preserve"> indicating</w:t>
      </w:r>
      <w:r w:rsidRPr="00F17AE4">
        <w:rPr>
          <w:rFonts w:cstheme="minorHAnsi"/>
        </w:rPr>
        <w:t xml:space="preserve"> a national identity, organised opposition, and social protest through mass mobilisation</w:t>
      </w:r>
      <w:r w:rsidRPr="00F17AE4">
        <w:rPr>
          <w:rStyle w:val="FootnoteReference"/>
          <w:rFonts w:cstheme="minorHAnsi"/>
        </w:rPr>
        <w:footnoteReference w:id="4"/>
      </w:r>
      <w:r w:rsidRPr="00F17AE4">
        <w:rPr>
          <w:rFonts w:cstheme="minorHAnsi"/>
        </w:rPr>
        <w:t>.</w:t>
      </w:r>
      <w:r w:rsidR="00AD5083" w:rsidRPr="00F17AE4">
        <w:rPr>
          <w:rFonts w:cstheme="minorHAnsi"/>
        </w:rPr>
        <w:t xml:space="preserve"> </w:t>
      </w:r>
      <w:r w:rsidR="008272D1" w:rsidRPr="00F17AE4">
        <w:rPr>
          <w:rFonts w:cstheme="minorHAnsi"/>
        </w:rPr>
        <w:t xml:space="preserve">As a single Muslim homeland, </w:t>
      </w:r>
      <w:r w:rsidR="005A2970" w:rsidRPr="00F17AE4">
        <w:rPr>
          <w:rFonts w:cstheme="minorHAnsi"/>
        </w:rPr>
        <w:t>Jinnah saw</w:t>
      </w:r>
      <w:r w:rsidR="003C19D7" w:rsidRPr="00F17AE4">
        <w:rPr>
          <w:rFonts w:cstheme="minorHAnsi"/>
        </w:rPr>
        <w:t xml:space="preserve"> the possibility for Muslims </w:t>
      </w:r>
      <w:r w:rsidR="005A2970" w:rsidRPr="00F17AE4">
        <w:rPr>
          <w:rFonts w:cstheme="minorHAnsi"/>
        </w:rPr>
        <w:t>to locate under an overarching banner of Islam</w:t>
      </w:r>
      <w:r w:rsidR="005A2970" w:rsidRPr="00F17AE4">
        <w:rPr>
          <w:rStyle w:val="FootnoteReference"/>
          <w:rFonts w:cstheme="minorHAnsi"/>
        </w:rPr>
        <w:footnoteReference w:id="5"/>
      </w:r>
      <w:r w:rsidR="003C19D7" w:rsidRPr="00F17AE4">
        <w:rPr>
          <w:rFonts w:cstheme="minorHAnsi"/>
        </w:rPr>
        <w:t xml:space="preserve"> but a secular state </w:t>
      </w:r>
      <w:r w:rsidR="00DE7380" w:rsidRPr="00F17AE4">
        <w:rPr>
          <w:rFonts w:cstheme="minorHAnsi"/>
        </w:rPr>
        <w:t>‘</w:t>
      </w:r>
      <w:r w:rsidR="003C19D7" w:rsidRPr="00F17AE4">
        <w:rPr>
          <w:rFonts w:cstheme="minorHAnsi"/>
        </w:rPr>
        <w:t xml:space="preserve">without </w:t>
      </w:r>
      <w:r w:rsidR="00DE7380" w:rsidRPr="00F17AE4">
        <w:rPr>
          <w:rFonts w:cstheme="minorHAnsi"/>
        </w:rPr>
        <w:t xml:space="preserve">any </w:t>
      </w:r>
      <w:r w:rsidR="003C19D7" w:rsidRPr="00F17AE4">
        <w:rPr>
          <w:rFonts w:cstheme="minorHAnsi"/>
        </w:rPr>
        <w:t>distinction of cast, creed or sect</w:t>
      </w:r>
      <w:r w:rsidR="00DE7380" w:rsidRPr="00F17AE4">
        <w:rPr>
          <w:rFonts w:cstheme="minorHAnsi"/>
        </w:rPr>
        <w:t>’</w:t>
      </w:r>
      <w:r w:rsidR="00DE7380" w:rsidRPr="00F17AE4">
        <w:rPr>
          <w:rStyle w:val="FootnoteReference"/>
          <w:rFonts w:cstheme="minorHAnsi"/>
        </w:rPr>
        <w:footnoteReference w:id="6"/>
      </w:r>
      <w:r w:rsidR="005A2970" w:rsidRPr="00F17AE4">
        <w:rPr>
          <w:rFonts w:cstheme="minorHAnsi"/>
        </w:rPr>
        <w:t xml:space="preserve">. </w:t>
      </w:r>
    </w:p>
    <w:p w14:paraId="62E2204A" w14:textId="038B72FF" w:rsidR="00F64370" w:rsidRPr="00F17AE4" w:rsidRDefault="00743BF3" w:rsidP="00865C00">
      <w:pPr>
        <w:spacing w:line="360" w:lineRule="auto"/>
        <w:jc w:val="both"/>
        <w:rPr>
          <w:rFonts w:cstheme="minorHAnsi"/>
        </w:rPr>
      </w:pPr>
      <w:r w:rsidRPr="00F17AE4">
        <w:rPr>
          <w:rFonts w:cstheme="minorHAnsi"/>
        </w:rPr>
        <w:t>Sayyid Abu’l-A’la Mawdudi</w:t>
      </w:r>
      <w:r w:rsidR="009360B3" w:rsidRPr="00F17AE4">
        <w:rPr>
          <w:rFonts w:cstheme="minorHAnsi"/>
        </w:rPr>
        <w:t xml:space="preserve"> took </w:t>
      </w:r>
      <w:r w:rsidR="00B23A82" w:rsidRPr="00F17AE4">
        <w:rPr>
          <w:rFonts w:cstheme="minorHAnsi"/>
        </w:rPr>
        <w:t xml:space="preserve">up </w:t>
      </w:r>
      <w:r w:rsidR="009360B3" w:rsidRPr="00F17AE4">
        <w:rPr>
          <w:rFonts w:cstheme="minorHAnsi"/>
        </w:rPr>
        <w:t xml:space="preserve">an opposing </w:t>
      </w:r>
      <w:r w:rsidR="00B23A82" w:rsidRPr="00F17AE4">
        <w:rPr>
          <w:rFonts w:cstheme="minorHAnsi"/>
        </w:rPr>
        <w:t>position</w:t>
      </w:r>
      <w:r w:rsidR="009360B3" w:rsidRPr="00F17AE4">
        <w:rPr>
          <w:rFonts w:cstheme="minorHAnsi"/>
        </w:rPr>
        <w:t xml:space="preserve"> to Jinnah</w:t>
      </w:r>
      <w:r w:rsidR="005103A3" w:rsidRPr="00F17AE4">
        <w:rPr>
          <w:rFonts w:cstheme="minorHAnsi"/>
        </w:rPr>
        <w:t>. His response to the Muslim League</w:t>
      </w:r>
      <w:r w:rsidR="00A84DCE" w:rsidRPr="00F17AE4">
        <w:rPr>
          <w:rFonts w:cstheme="minorHAnsi"/>
        </w:rPr>
        <w:t>’</w:t>
      </w:r>
      <w:r w:rsidR="005103A3" w:rsidRPr="00F17AE4">
        <w:rPr>
          <w:rFonts w:cstheme="minorHAnsi"/>
        </w:rPr>
        <w:t xml:space="preserve">s </w:t>
      </w:r>
      <w:r w:rsidR="00F200DC" w:rsidRPr="00F17AE4">
        <w:rPr>
          <w:rFonts w:cstheme="minorHAnsi"/>
        </w:rPr>
        <w:t>adoption</w:t>
      </w:r>
      <w:r w:rsidR="005A2970" w:rsidRPr="00F17AE4">
        <w:rPr>
          <w:rFonts w:cstheme="minorHAnsi"/>
        </w:rPr>
        <w:t xml:space="preserve"> </w:t>
      </w:r>
      <w:r w:rsidR="00F200DC" w:rsidRPr="00F17AE4">
        <w:rPr>
          <w:rFonts w:cstheme="minorHAnsi"/>
        </w:rPr>
        <w:t>of a homeland as a core belief</w:t>
      </w:r>
      <w:r w:rsidR="00B23A82" w:rsidRPr="00F17AE4">
        <w:rPr>
          <w:rFonts w:cstheme="minorHAnsi"/>
        </w:rPr>
        <w:t xml:space="preserve"> in 1940</w:t>
      </w:r>
      <w:r w:rsidR="00A84DCE" w:rsidRPr="00F17AE4">
        <w:rPr>
          <w:rFonts w:cstheme="minorHAnsi"/>
        </w:rPr>
        <w:t xml:space="preserve"> was to </w:t>
      </w:r>
      <w:r w:rsidR="004A7E23" w:rsidRPr="00F17AE4">
        <w:rPr>
          <w:rFonts w:cstheme="minorHAnsi"/>
        </w:rPr>
        <w:t>establish a rival entity, the</w:t>
      </w:r>
      <w:r w:rsidR="005A2970" w:rsidRPr="00F17AE4">
        <w:rPr>
          <w:rFonts w:cstheme="minorHAnsi"/>
        </w:rPr>
        <w:t xml:space="preserve"> Jama’at-i Islami</w:t>
      </w:r>
      <w:r w:rsidR="004A7E23" w:rsidRPr="00F17AE4">
        <w:rPr>
          <w:rFonts w:cstheme="minorHAnsi"/>
        </w:rPr>
        <w:t xml:space="preserve"> </w:t>
      </w:r>
      <w:r w:rsidR="00B23A82" w:rsidRPr="00F17AE4">
        <w:rPr>
          <w:rFonts w:cstheme="minorHAnsi"/>
        </w:rPr>
        <w:t>in</w:t>
      </w:r>
      <w:r w:rsidR="00D80C36" w:rsidRPr="00F17AE4">
        <w:rPr>
          <w:rFonts w:cstheme="minorHAnsi"/>
        </w:rPr>
        <w:t xml:space="preserve"> 1941</w:t>
      </w:r>
      <w:r w:rsidR="002F55F3">
        <w:rPr>
          <w:rFonts w:cstheme="minorHAnsi"/>
        </w:rPr>
        <w:t>,</w:t>
      </w:r>
      <w:r w:rsidR="00FE72E0" w:rsidRPr="00F17AE4">
        <w:rPr>
          <w:rFonts w:cstheme="minorHAnsi"/>
        </w:rPr>
        <w:t xml:space="preserve"> </w:t>
      </w:r>
      <w:r w:rsidR="00B23A82" w:rsidRPr="00F17AE4">
        <w:rPr>
          <w:rFonts w:cstheme="minorHAnsi"/>
        </w:rPr>
        <w:t xml:space="preserve">that followed </w:t>
      </w:r>
      <w:r w:rsidR="00FE72E0" w:rsidRPr="00F17AE4">
        <w:rPr>
          <w:rFonts w:cstheme="minorHAnsi"/>
        </w:rPr>
        <w:t>a</w:t>
      </w:r>
      <w:r w:rsidR="00CB2906" w:rsidRPr="00F17AE4">
        <w:rPr>
          <w:rFonts w:cstheme="minorHAnsi"/>
        </w:rPr>
        <w:t>n</w:t>
      </w:r>
      <w:r w:rsidR="00FE72E0" w:rsidRPr="00F17AE4">
        <w:rPr>
          <w:rFonts w:cstheme="minorHAnsi"/>
        </w:rPr>
        <w:t xml:space="preserve"> Islamic revivalist narrative</w:t>
      </w:r>
      <w:r w:rsidR="004A7E23" w:rsidRPr="00F17AE4">
        <w:rPr>
          <w:rFonts w:cstheme="minorHAnsi"/>
        </w:rPr>
        <w:t xml:space="preserve">. </w:t>
      </w:r>
      <w:r w:rsidR="00863F50" w:rsidRPr="00F17AE4">
        <w:rPr>
          <w:rFonts w:cstheme="minorHAnsi"/>
        </w:rPr>
        <w:t>The movement was</w:t>
      </w:r>
      <w:r w:rsidR="00C674CA" w:rsidRPr="00F17AE4">
        <w:rPr>
          <w:rFonts w:cstheme="minorHAnsi"/>
        </w:rPr>
        <w:t xml:space="preserve"> </w:t>
      </w:r>
      <w:r w:rsidR="00D80C36" w:rsidRPr="00F17AE4">
        <w:rPr>
          <w:rFonts w:cstheme="minorHAnsi"/>
        </w:rPr>
        <w:t>primarily to advocate Muslim autonomy within India, together with Mawdudi’s revivalist passions</w:t>
      </w:r>
      <w:r w:rsidR="00863F50" w:rsidRPr="00F17AE4">
        <w:rPr>
          <w:rFonts w:cstheme="minorHAnsi"/>
        </w:rPr>
        <w:t xml:space="preserve"> and to advocate an alternative </w:t>
      </w:r>
      <w:r w:rsidR="00B633AE" w:rsidRPr="00F17AE4">
        <w:rPr>
          <w:rFonts w:cstheme="minorHAnsi"/>
        </w:rPr>
        <w:t>political vision</w:t>
      </w:r>
      <w:r w:rsidR="00D80C36" w:rsidRPr="00F17AE4">
        <w:rPr>
          <w:rStyle w:val="FootnoteReference"/>
          <w:rFonts w:cstheme="minorHAnsi"/>
        </w:rPr>
        <w:footnoteReference w:id="7"/>
      </w:r>
      <w:r w:rsidR="00406CAB" w:rsidRPr="00F17AE4">
        <w:rPr>
          <w:rFonts w:cstheme="minorHAnsi"/>
        </w:rPr>
        <w:t>.</w:t>
      </w:r>
      <w:r w:rsidR="00F64370" w:rsidRPr="00F17AE4">
        <w:rPr>
          <w:rFonts w:cstheme="minorHAnsi"/>
        </w:rPr>
        <w:t xml:space="preserve"> Mawdudi</w:t>
      </w:r>
      <w:r w:rsidR="009558D3" w:rsidRPr="00F17AE4">
        <w:rPr>
          <w:rFonts w:cstheme="minorHAnsi"/>
        </w:rPr>
        <w:t xml:space="preserve">’s politics </w:t>
      </w:r>
      <w:r w:rsidR="006C025C" w:rsidRPr="00F17AE4">
        <w:rPr>
          <w:rFonts w:cstheme="minorHAnsi"/>
        </w:rPr>
        <w:t xml:space="preserve">were representative of </w:t>
      </w:r>
      <w:r w:rsidR="000426F1" w:rsidRPr="00F17AE4">
        <w:rPr>
          <w:rFonts w:cstheme="minorHAnsi"/>
        </w:rPr>
        <w:t xml:space="preserve">tajdid and islah, </w:t>
      </w:r>
      <w:r w:rsidR="009A2F61" w:rsidRPr="00F17AE4">
        <w:rPr>
          <w:rFonts w:cstheme="minorHAnsi"/>
        </w:rPr>
        <w:t>being rooted in the Quran</w:t>
      </w:r>
      <w:r w:rsidR="00800090" w:rsidRPr="00F17AE4">
        <w:rPr>
          <w:rStyle w:val="FootnoteReference"/>
          <w:rFonts w:cstheme="minorHAnsi"/>
        </w:rPr>
        <w:footnoteReference w:id="8"/>
      </w:r>
      <w:r w:rsidR="006870D6" w:rsidRPr="00F17AE4">
        <w:rPr>
          <w:rFonts w:cstheme="minorHAnsi"/>
        </w:rPr>
        <w:t xml:space="preserve"> and he </w:t>
      </w:r>
      <w:r w:rsidR="0077305E" w:rsidRPr="00F17AE4">
        <w:rPr>
          <w:rFonts w:cstheme="minorHAnsi"/>
        </w:rPr>
        <w:t>therefore could evoke s</w:t>
      </w:r>
      <w:r w:rsidR="00F64370" w:rsidRPr="00F17AE4">
        <w:rPr>
          <w:rFonts w:cstheme="minorHAnsi"/>
        </w:rPr>
        <w:t xml:space="preserve">acred authority </w:t>
      </w:r>
      <w:r w:rsidR="005049E5" w:rsidRPr="00F17AE4">
        <w:rPr>
          <w:rFonts w:cstheme="minorHAnsi"/>
        </w:rPr>
        <w:t>as</w:t>
      </w:r>
      <w:r w:rsidR="00F64370" w:rsidRPr="00F17AE4">
        <w:rPr>
          <w:rFonts w:cstheme="minorHAnsi"/>
        </w:rPr>
        <w:t xml:space="preserve"> arguably a concept that </w:t>
      </w:r>
      <w:r w:rsidR="005049E5" w:rsidRPr="00F17AE4">
        <w:rPr>
          <w:rFonts w:cstheme="minorHAnsi"/>
        </w:rPr>
        <w:t>can</w:t>
      </w:r>
      <w:r w:rsidR="00F64370" w:rsidRPr="00F17AE4">
        <w:rPr>
          <w:rFonts w:cstheme="minorHAnsi"/>
        </w:rPr>
        <w:t xml:space="preserve"> ‘appear to reaffirm the indivisibility of religion and politics’</w:t>
      </w:r>
      <w:r w:rsidR="00F64370" w:rsidRPr="00F17AE4">
        <w:rPr>
          <w:rStyle w:val="FootnoteReference"/>
          <w:rFonts w:cstheme="minorHAnsi"/>
        </w:rPr>
        <w:footnoteReference w:id="9"/>
      </w:r>
      <w:r w:rsidR="00F64370" w:rsidRPr="00F17AE4">
        <w:rPr>
          <w:rFonts w:cstheme="minorHAnsi"/>
        </w:rPr>
        <w:t>.</w:t>
      </w:r>
    </w:p>
    <w:p w14:paraId="05314107" w14:textId="2178FE3D" w:rsidR="000323F1" w:rsidRPr="00F17AE4" w:rsidRDefault="00F132F1" w:rsidP="00865C00">
      <w:pPr>
        <w:spacing w:line="360" w:lineRule="auto"/>
        <w:jc w:val="both"/>
        <w:rPr>
          <w:rFonts w:cstheme="minorHAnsi"/>
        </w:rPr>
      </w:pPr>
      <w:r w:rsidRPr="00F17AE4">
        <w:rPr>
          <w:rFonts w:cstheme="minorHAnsi"/>
        </w:rPr>
        <w:t>Authoring many texts, Mawdudi pursued ways to reinvigorate India’s Muslims heritage and status</w:t>
      </w:r>
      <w:r w:rsidR="00C3522B" w:rsidRPr="00F17AE4">
        <w:rPr>
          <w:rFonts w:cstheme="minorHAnsi"/>
        </w:rPr>
        <w:t xml:space="preserve"> b</w:t>
      </w:r>
      <w:r w:rsidRPr="00F17AE4">
        <w:rPr>
          <w:rFonts w:cstheme="minorHAnsi"/>
        </w:rPr>
        <w:t>elieving that many Muslims had strayed away from a true Islamic path</w:t>
      </w:r>
      <w:r w:rsidR="00FE45BE" w:rsidRPr="00F17AE4">
        <w:rPr>
          <w:rStyle w:val="FootnoteReference"/>
          <w:rFonts w:cstheme="minorHAnsi"/>
        </w:rPr>
        <w:footnoteReference w:id="10"/>
      </w:r>
      <w:r w:rsidRPr="00F17AE4">
        <w:rPr>
          <w:rFonts w:cstheme="minorHAnsi"/>
        </w:rPr>
        <w:t xml:space="preserve">. </w:t>
      </w:r>
      <w:r w:rsidR="0008084F" w:rsidRPr="00F17AE4">
        <w:rPr>
          <w:rFonts w:cstheme="minorHAnsi"/>
        </w:rPr>
        <w:t>With the belief that sovereignty belongs only to God, political authority could not stand separately from Islam</w:t>
      </w:r>
      <w:r w:rsidR="0008084F" w:rsidRPr="00F17AE4">
        <w:rPr>
          <w:rStyle w:val="FootnoteReference"/>
          <w:rFonts w:cstheme="minorHAnsi"/>
        </w:rPr>
        <w:footnoteReference w:id="11"/>
      </w:r>
      <w:r w:rsidR="0008084F" w:rsidRPr="00F17AE4">
        <w:rPr>
          <w:rFonts w:cstheme="minorHAnsi"/>
        </w:rPr>
        <w:t>.</w:t>
      </w:r>
      <w:r w:rsidR="00B7141A" w:rsidRPr="00F17AE4">
        <w:rPr>
          <w:rFonts w:cstheme="minorHAnsi"/>
        </w:rPr>
        <w:t xml:space="preserve"> </w:t>
      </w:r>
      <w:r w:rsidR="005A2970" w:rsidRPr="00F17AE4">
        <w:rPr>
          <w:rFonts w:cstheme="minorHAnsi"/>
        </w:rPr>
        <w:t>Mawdud</w:t>
      </w:r>
      <w:r w:rsidR="007656DE" w:rsidRPr="00F17AE4">
        <w:rPr>
          <w:rFonts w:cstheme="minorHAnsi"/>
        </w:rPr>
        <w:t>i</w:t>
      </w:r>
      <w:r w:rsidR="005A2970" w:rsidRPr="00F17AE4">
        <w:rPr>
          <w:rFonts w:cstheme="minorHAnsi"/>
        </w:rPr>
        <w:t xml:space="preserve"> </w:t>
      </w:r>
      <w:r w:rsidR="005A2970" w:rsidRPr="00F17AE4">
        <w:rPr>
          <w:rFonts w:cstheme="minorHAnsi"/>
        </w:rPr>
        <w:lastRenderedPageBreak/>
        <w:t>observ</w:t>
      </w:r>
      <w:r w:rsidR="00B7141A" w:rsidRPr="00F17AE4">
        <w:rPr>
          <w:rFonts w:cstheme="minorHAnsi"/>
        </w:rPr>
        <w:t>ed</w:t>
      </w:r>
      <w:r w:rsidR="005A2970" w:rsidRPr="00F17AE4">
        <w:rPr>
          <w:rFonts w:cstheme="minorHAnsi"/>
        </w:rPr>
        <w:t xml:space="preserve"> the</w:t>
      </w:r>
      <w:r w:rsidR="00B7141A" w:rsidRPr="00F17AE4">
        <w:rPr>
          <w:rFonts w:cstheme="minorHAnsi"/>
        </w:rPr>
        <w:t xml:space="preserve"> ulama</w:t>
      </w:r>
      <w:r w:rsidR="005A2970" w:rsidRPr="00F17AE4">
        <w:rPr>
          <w:rFonts w:cstheme="minorHAnsi"/>
        </w:rPr>
        <w:t xml:space="preserve"> to be ‘disengaged from society and lacking in political consciousness at a time of crisis</w:t>
      </w:r>
      <w:r w:rsidR="005A2970" w:rsidRPr="00F17AE4">
        <w:rPr>
          <w:rStyle w:val="FootnoteReference"/>
          <w:rFonts w:cstheme="minorHAnsi"/>
        </w:rPr>
        <w:footnoteReference w:id="12"/>
      </w:r>
      <w:r w:rsidR="00742416" w:rsidRPr="00F17AE4">
        <w:rPr>
          <w:rFonts w:cstheme="minorHAnsi"/>
        </w:rPr>
        <w:t>.</w:t>
      </w:r>
      <w:r w:rsidR="00B7141A" w:rsidRPr="00F17AE4">
        <w:rPr>
          <w:rFonts w:cstheme="minorHAnsi"/>
        </w:rPr>
        <w:t xml:space="preserve"> </w:t>
      </w:r>
    </w:p>
    <w:p w14:paraId="0206E296" w14:textId="0C2384DE" w:rsidR="000A5EAD" w:rsidRPr="00F17AE4" w:rsidRDefault="005A2970" w:rsidP="00865C00">
      <w:pPr>
        <w:spacing w:line="360" w:lineRule="auto"/>
        <w:jc w:val="both"/>
        <w:rPr>
          <w:rFonts w:cstheme="minorHAnsi"/>
        </w:rPr>
      </w:pPr>
      <w:r w:rsidRPr="00F17AE4">
        <w:rPr>
          <w:rFonts w:cstheme="minorHAnsi"/>
        </w:rPr>
        <w:t xml:space="preserve">Hamza Alavi </w:t>
      </w:r>
      <w:r w:rsidR="00276192" w:rsidRPr="00F17AE4">
        <w:rPr>
          <w:rFonts w:cstheme="minorHAnsi"/>
        </w:rPr>
        <w:t>argued that t</w:t>
      </w:r>
      <w:r w:rsidRPr="00F17AE4">
        <w:rPr>
          <w:rFonts w:cstheme="minorHAnsi"/>
        </w:rPr>
        <w:t>he impact of British colonial policy in northern India, for example the Anglo-vernacular language policy, caused Hindu and Muslim professionals to be pitted against each other</w:t>
      </w:r>
      <w:r w:rsidRPr="00F17AE4">
        <w:rPr>
          <w:rStyle w:val="FootnoteReference"/>
          <w:rFonts w:cstheme="minorHAnsi"/>
        </w:rPr>
        <w:footnoteReference w:id="13"/>
      </w:r>
      <w:r w:rsidR="00CF1AD7" w:rsidRPr="00F17AE4">
        <w:rPr>
          <w:rFonts w:cstheme="minorHAnsi"/>
        </w:rPr>
        <w:t xml:space="preserve">. </w:t>
      </w:r>
      <w:r w:rsidR="00E022E9" w:rsidRPr="00F17AE4">
        <w:rPr>
          <w:rFonts w:cstheme="minorHAnsi"/>
        </w:rPr>
        <w:t>A British colonial secular process, in which both Muslims and Hindus were vying for their place, can be viewed within Eickelman and Piscatori’s observations of the modernisation of Muslim societies. The political institutionalisation and economic specialisation, usually by landed elites of a middle class, lead to bureaucratic, educational, and centralised structures and a society in which ‘superstition wanes and religion recedes from a role in public life’</w:t>
      </w:r>
      <w:r w:rsidR="00E022E9" w:rsidRPr="00F17AE4">
        <w:rPr>
          <w:rStyle w:val="FootnoteReference"/>
          <w:rFonts w:cstheme="minorHAnsi"/>
        </w:rPr>
        <w:footnoteReference w:id="14"/>
      </w:r>
      <w:r w:rsidR="00E022E9" w:rsidRPr="00F17AE4">
        <w:rPr>
          <w:rFonts w:cstheme="minorHAnsi"/>
        </w:rPr>
        <w:t xml:space="preserve">. </w:t>
      </w:r>
      <w:r w:rsidR="00FF6656" w:rsidRPr="00F17AE4">
        <w:rPr>
          <w:rFonts w:cstheme="minorHAnsi"/>
        </w:rPr>
        <w:t>In quoting</w:t>
      </w:r>
      <w:r w:rsidRPr="00F17AE4">
        <w:rPr>
          <w:rFonts w:cstheme="minorHAnsi"/>
        </w:rPr>
        <w:t xml:space="preserve"> a proposal from Sir Syed Ahmad that there should be an equally shared quota </w:t>
      </w:r>
      <w:r w:rsidR="00FF6656" w:rsidRPr="00F17AE4">
        <w:rPr>
          <w:rFonts w:cstheme="minorHAnsi"/>
        </w:rPr>
        <w:t xml:space="preserve">of professional jobs </w:t>
      </w:r>
      <w:r w:rsidRPr="00F17AE4">
        <w:rPr>
          <w:rFonts w:cstheme="minorHAnsi"/>
        </w:rPr>
        <w:t xml:space="preserve">for the </w:t>
      </w:r>
      <w:r w:rsidR="00FF6656" w:rsidRPr="00F17AE4">
        <w:rPr>
          <w:rFonts w:cstheme="minorHAnsi"/>
        </w:rPr>
        <w:t>Hindu and Muslim</w:t>
      </w:r>
      <w:r w:rsidRPr="00F17AE4">
        <w:rPr>
          <w:rFonts w:cstheme="minorHAnsi"/>
        </w:rPr>
        <w:t xml:space="preserve"> communities, Alavi argued that </w:t>
      </w:r>
      <w:r w:rsidR="00107EEA" w:rsidRPr="00F17AE4">
        <w:rPr>
          <w:rFonts w:cstheme="minorHAnsi"/>
        </w:rPr>
        <w:t>the</w:t>
      </w:r>
      <w:r w:rsidRPr="00F17AE4">
        <w:rPr>
          <w:rFonts w:cstheme="minorHAnsi"/>
        </w:rPr>
        <w:t xml:space="preserve"> origin</w:t>
      </w:r>
      <w:r w:rsidR="00107EEA" w:rsidRPr="00F17AE4">
        <w:rPr>
          <w:rFonts w:cstheme="minorHAnsi"/>
        </w:rPr>
        <w:t xml:space="preserve"> of</w:t>
      </w:r>
      <w:r w:rsidRPr="00F17AE4">
        <w:rPr>
          <w:rFonts w:cstheme="minorHAnsi"/>
        </w:rPr>
        <w:t xml:space="preserve"> modern Indian Muslim politics was not </w:t>
      </w:r>
      <w:r w:rsidR="0070213D">
        <w:rPr>
          <w:rFonts w:cstheme="minorHAnsi"/>
        </w:rPr>
        <w:t>based within a</w:t>
      </w:r>
      <w:r w:rsidRPr="00F17AE4">
        <w:rPr>
          <w:rFonts w:cstheme="minorHAnsi"/>
        </w:rPr>
        <w:t xml:space="preserve"> religious movement</w:t>
      </w:r>
      <w:r w:rsidR="00107EEA" w:rsidRPr="00F17AE4">
        <w:rPr>
          <w:rFonts w:cstheme="minorHAnsi"/>
        </w:rPr>
        <w:t>, but quota politics</w:t>
      </w:r>
      <w:r w:rsidRPr="00F17AE4">
        <w:rPr>
          <w:rStyle w:val="FootnoteReference"/>
          <w:rFonts w:cstheme="minorHAnsi"/>
        </w:rPr>
        <w:footnoteReference w:id="15"/>
      </w:r>
      <w:r w:rsidRPr="00F17AE4">
        <w:rPr>
          <w:rFonts w:cstheme="minorHAnsi"/>
        </w:rPr>
        <w:t>.</w:t>
      </w:r>
    </w:p>
    <w:p w14:paraId="14097DB4" w14:textId="4B580265" w:rsidR="005A2970" w:rsidRPr="00F17AE4" w:rsidRDefault="005860C9" w:rsidP="00865C00">
      <w:pPr>
        <w:spacing w:line="360" w:lineRule="auto"/>
        <w:jc w:val="both"/>
        <w:rPr>
          <w:rFonts w:cstheme="minorHAnsi"/>
        </w:rPr>
      </w:pPr>
      <w:r w:rsidRPr="00F17AE4">
        <w:rPr>
          <w:rFonts w:cstheme="minorHAnsi"/>
        </w:rPr>
        <w:t xml:space="preserve">Alan Whaites asserted that </w:t>
      </w:r>
      <w:r w:rsidR="005A2970" w:rsidRPr="00F17AE4">
        <w:rPr>
          <w:rFonts w:cstheme="minorHAnsi"/>
        </w:rPr>
        <w:t xml:space="preserve">Jinnah believed that communalism exacted its part upon Muslim-Hindu relations and the politics of partition. </w:t>
      </w:r>
      <w:r w:rsidR="00E97005" w:rsidRPr="00F17AE4">
        <w:rPr>
          <w:rFonts w:cstheme="minorHAnsi"/>
        </w:rPr>
        <w:t>Whaites posited an</w:t>
      </w:r>
      <w:r w:rsidR="005A2970" w:rsidRPr="00F17AE4">
        <w:rPr>
          <w:rFonts w:cstheme="minorHAnsi"/>
        </w:rPr>
        <w:t xml:space="preserve"> expanding middle-class and associated economic competition </w:t>
      </w:r>
      <w:r w:rsidR="00E97005" w:rsidRPr="00F17AE4">
        <w:rPr>
          <w:rFonts w:cstheme="minorHAnsi"/>
        </w:rPr>
        <w:t xml:space="preserve">that </w:t>
      </w:r>
      <w:r w:rsidR="005A2970" w:rsidRPr="00F17AE4">
        <w:rPr>
          <w:rFonts w:cstheme="minorHAnsi"/>
        </w:rPr>
        <w:t>saw communalism weaponised for political purposes by the ‘economically and politically reactionary social classes’</w:t>
      </w:r>
      <w:r w:rsidR="005A2970" w:rsidRPr="00F17AE4">
        <w:rPr>
          <w:rStyle w:val="FootnoteReference"/>
          <w:rFonts w:cstheme="minorHAnsi"/>
        </w:rPr>
        <w:footnoteReference w:id="16"/>
      </w:r>
      <w:r w:rsidR="005A2970" w:rsidRPr="00F17AE4">
        <w:rPr>
          <w:rFonts w:cstheme="minorHAnsi"/>
        </w:rPr>
        <w:t xml:space="preserve">. </w:t>
      </w:r>
      <w:r w:rsidR="000A2B20" w:rsidRPr="00F17AE4">
        <w:rPr>
          <w:rFonts w:cstheme="minorHAnsi"/>
        </w:rPr>
        <w:t>He therefore</w:t>
      </w:r>
      <w:r w:rsidR="00006960" w:rsidRPr="00F17AE4">
        <w:rPr>
          <w:rFonts w:cstheme="minorHAnsi"/>
        </w:rPr>
        <w:t xml:space="preserve"> proposed</w:t>
      </w:r>
      <w:r w:rsidR="00E97005" w:rsidRPr="00F17AE4">
        <w:rPr>
          <w:rFonts w:cstheme="minorHAnsi"/>
        </w:rPr>
        <w:t xml:space="preserve"> </w:t>
      </w:r>
      <w:r w:rsidR="005A2970" w:rsidRPr="00F17AE4">
        <w:rPr>
          <w:rFonts w:cstheme="minorHAnsi"/>
        </w:rPr>
        <w:t>that self-interest was the vehicle for a communalism that extended through an intra-Muslim</w:t>
      </w:r>
      <w:r w:rsidR="0025075A" w:rsidRPr="00F17AE4">
        <w:rPr>
          <w:rFonts w:cstheme="minorHAnsi"/>
        </w:rPr>
        <w:t xml:space="preserve"> </w:t>
      </w:r>
      <w:r w:rsidR="005A2970" w:rsidRPr="00F17AE4">
        <w:rPr>
          <w:rFonts w:cstheme="minorHAnsi"/>
        </w:rPr>
        <w:t xml:space="preserve">class, with ‘group elites manipulating symbols to facilitate the defence of their position and privileges’ to the exclusion of wider </w:t>
      </w:r>
      <w:r w:rsidR="0025075A" w:rsidRPr="00F17AE4">
        <w:rPr>
          <w:rFonts w:cstheme="minorHAnsi"/>
        </w:rPr>
        <w:t xml:space="preserve">and mostly poorer, </w:t>
      </w:r>
      <w:r w:rsidR="005A2970" w:rsidRPr="00F17AE4">
        <w:rPr>
          <w:rFonts w:cstheme="minorHAnsi"/>
        </w:rPr>
        <w:t xml:space="preserve">Muslim groups </w:t>
      </w:r>
      <w:r w:rsidR="005A2970" w:rsidRPr="00F17AE4">
        <w:rPr>
          <w:rStyle w:val="FootnoteReference"/>
          <w:rFonts w:cstheme="minorHAnsi"/>
        </w:rPr>
        <w:footnoteReference w:id="17"/>
      </w:r>
      <w:r w:rsidR="005A2970" w:rsidRPr="00F17AE4">
        <w:rPr>
          <w:rFonts w:cstheme="minorHAnsi"/>
        </w:rPr>
        <w:t xml:space="preserve">. </w:t>
      </w:r>
      <w:r w:rsidR="00CB60A4">
        <w:rPr>
          <w:rFonts w:cstheme="minorHAnsi"/>
        </w:rPr>
        <w:t xml:space="preserve">In this sense, it was the Muslim-Hindu relationship that informed a sense of Muslim reform in a self-centred manner. Even </w:t>
      </w:r>
      <w:r w:rsidR="005A2970" w:rsidRPr="00F17AE4">
        <w:rPr>
          <w:rFonts w:cstheme="minorHAnsi"/>
        </w:rPr>
        <w:t>Jinnah himself acknowledged the self-interested landlords and titleholders who had come to occupy the Muslim League and he avowed to serve all Indian Muslims rather than those needs of the elite</w:t>
      </w:r>
      <w:r w:rsidR="005A2970" w:rsidRPr="00F17AE4">
        <w:rPr>
          <w:rStyle w:val="FootnoteReference"/>
          <w:rFonts w:cstheme="minorHAnsi"/>
        </w:rPr>
        <w:footnoteReference w:id="18"/>
      </w:r>
      <w:r w:rsidR="005A2970" w:rsidRPr="00F17AE4">
        <w:rPr>
          <w:rFonts w:cstheme="minorHAnsi"/>
        </w:rPr>
        <w:t xml:space="preserve">.  </w:t>
      </w:r>
    </w:p>
    <w:p w14:paraId="3019E787" w14:textId="0A60BA6E" w:rsidR="005A2970" w:rsidRPr="00F17AE4" w:rsidRDefault="005A2970" w:rsidP="00865C00">
      <w:pPr>
        <w:spacing w:line="360" w:lineRule="auto"/>
        <w:jc w:val="both"/>
        <w:rPr>
          <w:rFonts w:cstheme="minorHAnsi"/>
        </w:rPr>
      </w:pPr>
      <w:r w:rsidRPr="00F17AE4">
        <w:rPr>
          <w:rFonts w:cstheme="minorHAnsi"/>
        </w:rPr>
        <w:t>Alavi asserted that ‘religious ideology played no part’ in the ideology of the Muslim League’s agenda</w:t>
      </w:r>
      <w:r w:rsidRPr="00F17AE4">
        <w:rPr>
          <w:rStyle w:val="FootnoteReference"/>
          <w:rFonts w:cstheme="minorHAnsi"/>
        </w:rPr>
        <w:footnoteReference w:id="19"/>
      </w:r>
      <w:r w:rsidRPr="00F17AE4">
        <w:rPr>
          <w:rFonts w:cstheme="minorHAnsi"/>
        </w:rPr>
        <w:t>. Despite a proposal by Shibli Nu’mani to replace the Aligarh’s English and modern science syllabus with an Islamic based teaching, Sir Raza Ali responded on behalf of Muslim professionals with rhetoric of a secular and future</w:t>
      </w:r>
      <w:r w:rsidR="007E6168" w:rsidRPr="00F17AE4">
        <w:rPr>
          <w:rFonts w:cstheme="minorHAnsi"/>
        </w:rPr>
        <w:t>-</w:t>
      </w:r>
      <w:r w:rsidRPr="00F17AE4">
        <w:rPr>
          <w:rFonts w:cstheme="minorHAnsi"/>
        </w:rPr>
        <w:t>focussed nature, suggesting that the community need</w:t>
      </w:r>
      <w:r w:rsidR="007E6168" w:rsidRPr="00F17AE4">
        <w:rPr>
          <w:rFonts w:cstheme="minorHAnsi"/>
        </w:rPr>
        <w:t>ed</w:t>
      </w:r>
      <w:r w:rsidRPr="00F17AE4">
        <w:rPr>
          <w:rFonts w:cstheme="minorHAnsi"/>
        </w:rPr>
        <w:t xml:space="preserve"> education that would assist in the affairs of this world and to enable future generations to earn their livelihood. </w:t>
      </w:r>
      <w:r w:rsidR="00A643C9" w:rsidRPr="00F17AE4">
        <w:rPr>
          <w:rFonts w:cstheme="minorHAnsi"/>
        </w:rPr>
        <w:t xml:space="preserve">In Alavi, Sir </w:t>
      </w:r>
      <w:r w:rsidRPr="00F17AE4">
        <w:rPr>
          <w:rFonts w:cstheme="minorHAnsi"/>
        </w:rPr>
        <w:lastRenderedPageBreak/>
        <w:t>Raza Ali argued against the need of an Islamic state to be ruled over by the mullahs and proposed a Muslim nationalism based on secular ideology. Alavi argued that this view ‘was the essence of Muslim League ideology’</w:t>
      </w:r>
      <w:r w:rsidRPr="00F17AE4">
        <w:rPr>
          <w:rStyle w:val="FootnoteReference"/>
          <w:rFonts w:cstheme="minorHAnsi"/>
        </w:rPr>
        <w:footnoteReference w:id="20"/>
      </w:r>
      <w:r w:rsidRPr="00F17AE4">
        <w:rPr>
          <w:rFonts w:cstheme="minorHAnsi"/>
        </w:rPr>
        <w:t xml:space="preserve">. </w:t>
      </w:r>
    </w:p>
    <w:p w14:paraId="4150F072" w14:textId="3AE1285F" w:rsidR="00FE225A" w:rsidRDefault="005A2970" w:rsidP="00865C00">
      <w:pPr>
        <w:spacing w:line="360" w:lineRule="auto"/>
        <w:jc w:val="both"/>
        <w:rPr>
          <w:rFonts w:cstheme="minorHAnsi"/>
        </w:rPr>
      </w:pPr>
      <w:r w:rsidRPr="00F17AE4">
        <w:rPr>
          <w:rFonts w:cstheme="minorHAnsi"/>
        </w:rPr>
        <w:t xml:space="preserve">Whaites </w:t>
      </w:r>
      <w:r w:rsidR="00AA4C29">
        <w:rPr>
          <w:rFonts w:cstheme="minorHAnsi"/>
        </w:rPr>
        <w:t>assert</w:t>
      </w:r>
      <w:r w:rsidR="00E9416A">
        <w:rPr>
          <w:rFonts w:cstheme="minorHAnsi"/>
        </w:rPr>
        <w:t>ed</w:t>
      </w:r>
      <w:r w:rsidRPr="00F17AE4">
        <w:rPr>
          <w:rFonts w:cstheme="minorHAnsi"/>
        </w:rPr>
        <w:t xml:space="preserve"> that the founding of Pakistan as an ideology was not based within religious zealotry, but in </w:t>
      </w:r>
      <w:r w:rsidR="00B733E3">
        <w:rPr>
          <w:rFonts w:cstheme="minorHAnsi"/>
        </w:rPr>
        <w:t>his</w:t>
      </w:r>
      <w:r w:rsidRPr="00F17AE4">
        <w:rPr>
          <w:rFonts w:cstheme="minorHAnsi"/>
        </w:rPr>
        <w:t xml:space="preserve"> </w:t>
      </w:r>
      <w:r w:rsidR="00B733E3">
        <w:rPr>
          <w:rFonts w:cstheme="minorHAnsi"/>
        </w:rPr>
        <w:t>view</w:t>
      </w:r>
      <w:r w:rsidRPr="00F17AE4">
        <w:rPr>
          <w:rFonts w:cstheme="minorHAnsi"/>
        </w:rPr>
        <w:t xml:space="preserve"> that Muslims were to</w:t>
      </w:r>
      <w:r w:rsidR="000A75B0" w:rsidRPr="00F17AE4">
        <w:rPr>
          <w:rFonts w:cstheme="minorHAnsi"/>
        </w:rPr>
        <w:t>o</w:t>
      </w:r>
      <w:r w:rsidRPr="00F17AE4">
        <w:rPr>
          <w:rFonts w:cstheme="minorHAnsi"/>
        </w:rPr>
        <w:t xml:space="preserve"> different in their beliefs and culture from Hindus to allow Muslims to thrive within a Hindu dominated state</w:t>
      </w:r>
      <w:r w:rsidRPr="00F17AE4">
        <w:rPr>
          <w:rStyle w:val="FootnoteReference"/>
          <w:rFonts w:cstheme="minorHAnsi"/>
        </w:rPr>
        <w:footnoteReference w:id="21"/>
      </w:r>
      <w:r w:rsidRPr="00F17AE4">
        <w:rPr>
          <w:rFonts w:cstheme="minorHAnsi"/>
        </w:rPr>
        <w:t xml:space="preserve">. </w:t>
      </w:r>
      <w:r w:rsidR="00D6337B" w:rsidRPr="00F17AE4">
        <w:rPr>
          <w:rFonts w:cstheme="minorHAnsi"/>
        </w:rPr>
        <w:t>He added that t</w:t>
      </w:r>
      <w:r w:rsidRPr="00F17AE4">
        <w:rPr>
          <w:rFonts w:cstheme="minorHAnsi"/>
        </w:rPr>
        <w:t xml:space="preserve">he </w:t>
      </w:r>
      <w:r w:rsidR="00D6337B" w:rsidRPr="00F17AE4">
        <w:rPr>
          <w:rFonts w:cstheme="minorHAnsi"/>
        </w:rPr>
        <w:t>t</w:t>
      </w:r>
      <w:r w:rsidRPr="00F17AE4">
        <w:rPr>
          <w:rFonts w:cstheme="minorHAnsi"/>
        </w:rPr>
        <w:t>wo</w:t>
      </w:r>
      <w:r w:rsidR="00D6337B" w:rsidRPr="00F17AE4">
        <w:rPr>
          <w:rFonts w:cstheme="minorHAnsi"/>
        </w:rPr>
        <w:t>-</w:t>
      </w:r>
      <w:r w:rsidR="0057040E" w:rsidRPr="00F17AE4">
        <w:rPr>
          <w:rFonts w:cstheme="minorHAnsi"/>
        </w:rPr>
        <w:t>n</w:t>
      </w:r>
      <w:r w:rsidRPr="00F17AE4">
        <w:rPr>
          <w:rFonts w:cstheme="minorHAnsi"/>
        </w:rPr>
        <w:t xml:space="preserve">ation </w:t>
      </w:r>
      <w:r w:rsidR="00D6337B" w:rsidRPr="00F17AE4">
        <w:rPr>
          <w:rFonts w:cstheme="minorHAnsi"/>
        </w:rPr>
        <w:t>t</w:t>
      </w:r>
      <w:r w:rsidRPr="00F17AE4">
        <w:rPr>
          <w:rFonts w:cstheme="minorHAnsi"/>
        </w:rPr>
        <w:t>heory predominantly focussed on the external position of the Muslims</w:t>
      </w:r>
      <w:r w:rsidR="00345986">
        <w:rPr>
          <w:rFonts w:cstheme="minorHAnsi"/>
        </w:rPr>
        <w:t>’</w:t>
      </w:r>
      <w:r w:rsidRPr="00F17AE4">
        <w:rPr>
          <w:rFonts w:cstheme="minorHAnsi"/>
        </w:rPr>
        <w:t xml:space="preserve"> relationship with their Hindu neighbours, rather than intra-Muslim differences, particularly ethnicity</w:t>
      </w:r>
      <w:r w:rsidRPr="00F17AE4">
        <w:rPr>
          <w:rStyle w:val="FootnoteReference"/>
          <w:rFonts w:cstheme="minorHAnsi"/>
        </w:rPr>
        <w:footnoteReference w:id="22"/>
      </w:r>
      <w:r w:rsidRPr="00F17AE4">
        <w:rPr>
          <w:rFonts w:cstheme="minorHAnsi"/>
        </w:rPr>
        <w:t xml:space="preserve"> of those who would coalesce into a one nation Muslim state</w:t>
      </w:r>
      <w:r w:rsidR="00502772" w:rsidRPr="00F17AE4">
        <w:rPr>
          <w:rFonts w:cstheme="minorHAnsi"/>
        </w:rPr>
        <w:t>.</w:t>
      </w:r>
      <w:r w:rsidR="00D6337B" w:rsidRPr="00F17AE4">
        <w:rPr>
          <w:rFonts w:cstheme="minorHAnsi"/>
        </w:rPr>
        <w:t xml:space="preserve"> Arguably, a one-nation homeland </w:t>
      </w:r>
      <w:r w:rsidR="003504F8" w:rsidRPr="00F17AE4">
        <w:rPr>
          <w:rFonts w:cstheme="minorHAnsi"/>
        </w:rPr>
        <w:t>failed to notice that a religious identi</w:t>
      </w:r>
      <w:r w:rsidR="00274D17" w:rsidRPr="00F17AE4">
        <w:rPr>
          <w:rFonts w:cstheme="minorHAnsi"/>
        </w:rPr>
        <w:t xml:space="preserve">ty was not enough when </w:t>
      </w:r>
      <w:r w:rsidR="00345986">
        <w:rPr>
          <w:rFonts w:cstheme="minorHAnsi"/>
        </w:rPr>
        <w:t xml:space="preserve">it was </w:t>
      </w:r>
      <w:r w:rsidR="00274D17" w:rsidRPr="00F17AE4">
        <w:rPr>
          <w:rFonts w:cstheme="minorHAnsi"/>
        </w:rPr>
        <w:t>only a constituent part of a wider cultural and community identit</w:t>
      </w:r>
      <w:r w:rsidR="0095397E">
        <w:rPr>
          <w:rFonts w:cstheme="minorHAnsi"/>
        </w:rPr>
        <w:t>y</w:t>
      </w:r>
      <w:r w:rsidR="00997318">
        <w:rPr>
          <w:rFonts w:cstheme="minorHAnsi"/>
        </w:rPr>
        <w:t xml:space="preserve">. </w:t>
      </w:r>
    </w:p>
    <w:p w14:paraId="0F6506FC" w14:textId="6339E4E6" w:rsidR="00502772" w:rsidRPr="00F17AE4" w:rsidRDefault="00997318" w:rsidP="00865C00">
      <w:pPr>
        <w:spacing w:line="360" w:lineRule="auto"/>
        <w:jc w:val="both"/>
        <w:rPr>
          <w:rFonts w:cstheme="minorHAnsi"/>
        </w:rPr>
      </w:pPr>
      <w:r>
        <w:rPr>
          <w:rFonts w:cstheme="minorHAnsi"/>
        </w:rPr>
        <w:t>T</w:t>
      </w:r>
      <w:r w:rsidR="0095397E">
        <w:rPr>
          <w:rFonts w:cstheme="minorHAnsi"/>
        </w:rPr>
        <w:t xml:space="preserve">he political actors herein discussed used a variety of factors from where to launch their </w:t>
      </w:r>
      <w:r w:rsidR="00E23FFD">
        <w:rPr>
          <w:rFonts w:cstheme="minorHAnsi"/>
        </w:rPr>
        <w:t xml:space="preserve">renewal of Islamic ideology. </w:t>
      </w:r>
      <w:r>
        <w:rPr>
          <w:rFonts w:cstheme="minorHAnsi"/>
        </w:rPr>
        <w:t>Jinnah’s secular approach that relied on a sense of Islamic identity</w:t>
      </w:r>
      <w:r w:rsidR="00B42FAF">
        <w:rPr>
          <w:rFonts w:cstheme="minorHAnsi"/>
        </w:rPr>
        <w:t xml:space="preserve"> was </w:t>
      </w:r>
      <w:r w:rsidR="00FE225A">
        <w:rPr>
          <w:rFonts w:cstheme="minorHAnsi"/>
        </w:rPr>
        <w:t xml:space="preserve">one </w:t>
      </w:r>
      <w:r w:rsidR="00B42FAF">
        <w:rPr>
          <w:rFonts w:cstheme="minorHAnsi"/>
        </w:rPr>
        <w:t xml:space="preserve">that Mawdudi did not recognise as enough of a reinvigoration in returning Muslims to their right path. The secularists’ rhetoric was arguably seen as a position to allow Muslims to flourish in a future world, but as Eickelman and Piscatori </w:t>
      </w:r>
      <w:r w:rsidR="00B37A30">
        <w:rPr>
          <w:rFonts w:cstheme="minorHAnsi"/>
        </w:rPr>
        <w:t>proposed</w:t>
      </w:r>
      <w:r w:rsidR="00B42FAF">
        <w:rPr>
          <w:rFonts w:cstheme="minorHAnsi"/>
        </w:rPr>
        <w:t xml:space="preserve">, </w:t>
      </w:r>
      <w:r w:rsidR="003E2295">
        <w:rPr>
          <w:rFonts w:cstheme="minorHAnsi"/>
        </w:rPr>
        <w:t xml:space="preserve">religion recedes from a society of centralised </w:t>
      </w:r>
      <w:r w:rsidR="00B37A30">
        <w:rPr>
          <w:rFonts w:cstheme="minorHAnsi"/>
        </w:rPr>
        <w:t xml:space="preserve">and bureaucratic </w:t>
      </w:r>
      <w:r w:rsidR="003E2295">
        <w:rPr>
          <w:rFonts w:cstheme="minorHAnsi"/>
        </w:rPr>
        <w:t>processes.</w:t>
      </w:r>
    </w:p>
    <w:bookmarkEnd w:id="0"/>
    <w:p w14:paraId="68B39CD7" w14:textId="77777777" w:rsidR="002D1B01" w:rsidRPr="00F17AE4" w:rsidRDefault="002D1B01" w:rsidP="00865C00">
      <w:pPr>
        <w:spacing w:line="360" w:lineRule="auto"/>
        <w:jc w:val="both"/>
        <w:rPr>
          <w:rFonts w:cstheme="minorHAnsi"/>
        </w:rPr>
      </w:pPr>
    </w:p>
    <w:p w14:paraId="0A294F73" w14:textId="72B4488C" w:rsidR="005F5479" w:rsidRPr="00F17AE4" w:rsidRDefault="005F5479" w:rsidP="00B733E3">
      <w:pPr>
        <w:tabs>
          <w:tab w:val="left" w:pos="7515"/>
        </w:tabs>
        <w:rPr>
          <w:rFonts w:cstheme="minorHAnsi"/>
        </w:rPr>
      </w:pPr>
    </w:p>
    <w:p w14:paraId="512744A1" w14:textId="77777777" w:rsidR="009B54D0" w:rsidRDefault="009B54D0" w:rsidP="005F5479">
      <w:pPr>
        <w:rPr>
          <w:rFonts w:cstheme="minorHAnsi"/>
        </w:rPr>
      </w:pPr>
    </w:p>
    <w:p w14:paraId="646AACAC" w14:textId="77777777" w:rsidR="009B54D0" w:rsidRDefault="009B54D0" w:rsidP="005F5479">
      <w:pPr>
        <w:rPr>
          <w:rFonts w:cstheme="minorHAnsi"/>
        </w:rPr>
      </w:pPr>
    </w:p>
    <w:p w14:paraId="20BB2C88" w14:textId="77777777" w:rsidR="009B54D0" w:rsidRDefault="009B54D0" w:rsidP="005F5479">
      <w:pPr>
        <w:rPr>
          <w:rFonts w:cstheme="minorHAnsi"/>
        </w:rPr>
      </w:pPr>
    </w:p>
    <w:p w14:paraId="1ADDC340" w14:textId="77777777" w:rsidR="009B54D0" w:rsidRDefault="009B54D0" w:rsidP="005F5479">
      <w:pPr>
        <w:rPr>
          <w:rFonts w:cstheme="minorHAnsi"/>
        </w:rPr>
      </w:pPr>
    </w:p>
    <w:p w14:paraId="136EBEE9" w14:textId="77777777" w:rsidR="009B54D0" w:rsidRDefault="009B54D0" w:rsidP="005F5479">
      <w:pPr>
        <w:rPr>
          <w:rFonts w:cstheme="minorHAnsi"/>
        </w:rPr>
      </w:pPr>
    </w:p>
    <w:p w14:paraId="56E7DE72" w14:textId="77777777" w:rsidR="009B54D0" w:rsidRDefault="009B54D0" w:rsidP="005F5479">
      <w:pPr>
        <w:rPr>
          <w:rFonts w:cstheme="minorHAnsi"/>
        </w:rPr>
      </w:pPr>
    </w:p>
    <w:p w14:paraId="73976DF4" w14:textId="77777777" w:rsidR="009B54D0" w:rsidRDefault="009B54D0" w:rsidP="005F5479">
      <w:pPr>
        <w:rPr>
          <w:rFonts w:cstheme="minorHAnsi"/>
        </w:rPr>
      </w:pPr>
    </w:p>
    <w:p w14:paraId="383C9198" w14:textId="77777777" w:rsidR="009B54D0" w:rsidRDefault="009B54D0" w:rsidP="005F5479">
      <w:pPr>
        <w:rPr>
          <w:rFonts w:cstheme="minorHAnsi"/>
        </w:rPr>
      </w:pPr>
    </w:p>
    <w:p w14:paraId="4F6FFC63" w14:textId="77777777" w:rsidR="009B54D0" w:rsidRDefault="009B54D0" w:rsidP="005F5479">
      <w:pPr>
        <w:rPr>
          <w:rFonts w:cstheme="minorHAnsi"/>
        </w:rPr>
      </w:pPr>
    </w:p>
    <w:p w14:paraId="20977ABA" w14:textId="77777777" w:rsidR="009B54D0" w:rsidRDefault="009B54D0" w:rsidP="005F5479">
      <w:pPr>
        <w:rPr>
          <w:rFonts w:cstheme="minorHAnsi"/>
        </w:rPr>
      </w:pPr>
    </w:p>
    <w:p w14:paraId="401DA066" w14:textId="16323E94" w:rsidR="005F5479" w:rsidRPr="00F17AE4" w:rsidRDefault="00642F9A" w:rsidP="005F5479">
      <w:pPr>
        <w:rPr>
          <w:rFonts w:cstheme="minorHAnsi"/>
        </w:rPr>
      </w:pPr>
      <w:r w:rsidRPr="00F17AE4">
        <w:rPr>
          <w:rFonts w:cstheme="minorHAnsi"/>
        </w:rPr>
        <w:lastRenderedPageBreak/>
        <w:t>References</w:t>
      </w:r>
    </w:p>
    <w:p w14:paraId="19648706" w14:textId="77777777" w:rsidR="003D2A6C" w:rsidRPr="00F17AE4" w:rsidRDefault="003D2A6C" w:rsidP="005F5479">
      <w:pPr>
        <w:rPr>
          <w:rFonts w:cstheme="minorHAnsi"/>
        </w:rPr>
      </w:pPr>
    </w:p>
    <w:p w14:paraId="57DBBB80" w14:textId="70361581" w:rsidR="00A649AD" w:rsidRPr="00FA2B21" w:rsidRDefault="001C4E39" w:rsidP="009B54D0">
      <w:pPr>
        <w:spacing w:line="360" w:lineRule="auto"/>
        <w:rPr>
          <w:rFonts w:cstheme="minorHAnsi"/>
        </w:rPr>
      </w:pPr>
      <w:r w:rsidRPr="00F17AE4">
        <w:rPr>
          <w:rFonts w:cstheme="minorHAnsi"/>
        </w:rPr>
        <w:t xml:space="preserve">Alavi, H., ‘Social Forces and Ideology in the Making of Pakistan’, </w:t>
      </w:r>
      <w:r w:rsidRPr="00F17AE4">
        <w:rPr>
          <w:rFonts w:cstheme="minorHAnsi"/>
          <w:i/>
          <w:iCs/>
        </w:rPr>
        <w:t>Economic and Political Weekly</w:t>
      </w:r>
      <w:r w:rsidRPr="00F17AE4">
        <w:rPr>
          <w:rFonts w:cstheme="minorHAnsi"/>
        </w:rPr>
        <w:t xml:space="preserve">, vol. 37, no. 51, 2002, pp. 5119–5124. JSTOR, accessible at </w:t>
      </w:r>
      <w:hyperlink r:id="rId7" w:history="1">
        <w:r w:rsidR="00F17AE4" w:rsidRPr="00F17AE4">
          <w:rPr>
            <w:rStyle w:val="Hyperlink"/>
            <w:rFonts w:cstheme="minorHAnsi"/>
          </w:rPr>
          <w:t>www.jstor.org/stable/4412987</w:t>
        </w:r>
      </w:hyperlink>
    </w:p>
    <w:p w14:paraId="6FB85F54" w14:textId="1A8ED698" w:rsidR="00A649AD" w:rsidRPr="00F17AE4" w:rsidRDefault="003D2A6C" w:rsidP="009B54D0">
      <w:pPr>
        <w:spacing w:line="360" w:lineRule="auto"/>
        <w:rPr>
          <w:rFonts w:cstheme="minorHAnsi"/>
        </w:rPr>
      </w:pPr>
      <w:r w:rsidRPr="00F17AE4">
        <w:rPr>
          <w:rFonts w:cstheme="minorHAnsi"/>
        </w:rPr>
        <w:t>Eickelman, D.F and Piscatori, J., ‘Muslim Politics’, Princeton University Press, 2004</w:t>
      </w:r>
    </w:p>
    <w:p w14:paraId="73C91A2E" w14:textId="5339B168" w:rsidR="00A649AD" w:rsidRPr="00F17AE4" w:rsidRDefault="003D2A6C" w:rsidP="009B54D0">
      <w:pPr>
        <w:spacing w:line="360" w:lineRule="auto"/>
        <w:rPr>
          <w:rFonts w:cstheme="minorHAnsi"/>
        </w:rPr>
      </w:pPr>
      <w:r w:rsidRPr="00F17AE4">
        <w:rPr>
          <w:rFonts w:cstheme="minorHAnsi"/>
        </w:rPr>
        <w:t>Esposito, J.L., ‘Islam, The Straight Path’ Oxford University Press, 1988, 3</w:t>
      </w:r>
      <w:r w:rsidRPr="00F17AE4">
        <w:rPr>
          <w:rFonts w:cstheme="minorHAnsi"/>
          <w:vertAlign w:val="superscript"/>
        </w:rPr>
        <w:t>rd</w:t>
      </w:r>
      <w:r w:rsidRPr="00F17AE4">
        <w:rPr>
          <w:rFonts w:cstheme="minorHAnsi"/>
        </w:rPr>
        <w:t xml:space="preserve"> ed.</w:t>
      </w:r>
    </w:p>
    <w:p w14:paraId="27FAF324" w14:textId="503D3D05" w:rsidR="00A649AD" w:rsidRPr="00F17AE4" w:rsidRDefault="00642F9A" w:rsidP="009B54D0">
      <w:pPr>
        <w:spacing w:line="360" w:lineRule="auto"/>
        <w:rPr>
          <w:rFonts w:cstheme="minorHAnsi"/>
        </w:rPr>
      </w:pPr>
      <w:r w:rsidRPr="00F17AE4">
        <w:rPr>
          <w:rFonts w:cstheme="minorHAnsi"/>
        </w:rPr>
        <w:t>Esposito and Voll, ‘Islam and democracy’, Oxford University Press, England, 1996</w:t>
      </w:r>
    </w:p>
    <w:p w14:paraId="1780B314" w14:textId="010BC339" w:rsidR="00A649AD" w:rsidRPr="00F17AE4" w:rsidRDefault="00642F9A" w:rsidP="009B54D0">
      <w:pPr>
        <w:spacing w:line="360" w:lineRule="auto"/>
        <w:rPr>
          <w:rFonts w:cstheme="minorHAnsi"/>
        </w:rPr>
      </w:pPr>
      <w:r w:rsidRPr="00F17AE4">
        <w:rPr>
          <w:rFonts w:cstheme="minorHAnsi"/>
        </w:rPr>
        <w:t>Mandaville, P., ‘Global Political Islam’, Routledge, London, 2007</w:t>
      </w:r>
      <w:r w:rsidR="005F5479" w:rsidRPr="00F17AE4">
        <w:rPr>
          <w:rFonts w:cstheme="minorHAnsi"/>
        </w:rPr>
        <w:tab/>
        <w:t xml:space="preserve"> </w:t>
      </w:r>
    </w:p>
    <w:p w14:paraId="32816E44" w14:textId="57BF1CC9" w:rsidR="00BA1626" w:rsidRPr="00F17AE4" w:rsidRDefault="00A87154" w:rsidP="009B54D0">
      <w:pPr>
        <w:spacing w:line="360" w:lineRule="auto"/>
        <w:rPr>
          <w:rFonts w:cstheme="minorHAnsi"/>
        </w:rPr>
      </w:pPr>
      <w:r w:rsidRPr="00F17AE4">
        <w:rPr>
          <w:rFonts w:cstheme="minorHAnsi"/>
        </w:rPr>
        <w:t xml:space="preserve">Whaites, A., </w:t>
      </w:r>
      <w:r w:rsidR="00BA1626" w:rsidRPr="00F17AE4">
        <w:rPr>
          <w:rFonts w:cstheme="minorHAnsi"/>
        </w:rPr>
        <w:t>‘Political cohesion in Pakistan: Jinnah and the ideological state’</w:t>
      </w:r>
      <w:r w:rsidR="00BA1626" w:rsidRPr="00F17AE4">
        <w:rPr>
          <w:rFonts w:cstheme="minorHAnsi"/>
          <w:i/>
          <w:iCs/>
        </w:rPr>
        <w:t>. Contemporary South Asia</w:t>
      </w:r>
      <w:r w:rsidR="00BA1626" w:rsidRPr="00F17AE4">
        <w:rPr>
          <w:rFonts w:cstheme="minorHAnsi"/>
        </w:rPr>
        <w:t>, 7(2), pp. 181-192</w:t>
      </w:r>
      <w:r w:rsidR="00033D80" w:rsidRPr="00F17AE4">
        <w:rPr>
          <w:rFonts w:cstheme="minorHAnsi"/>
        </w:rPr>
        <w:t xml:space="preserve">, accessible at </w:t>
      </w:r>
      <w:hyperlink r:id="rId8" w:history="1">
        <w:r w:rsidR="00F17AE4" w:rsidRPr="00F17AE4">
          <w:rPr>
            <w:rStyle w:val="Hyperlink"/>
            <w:rFonts w:cstheme="minorHAnsi"/>
          </w:rPr>
          <w:t>https://whel-primo.hosted.exlibrisgroup.com/permalink/f/6s7mjt/TN_cdi_crossref_primary_10_1080_09584939808719838</w:t>
        </w:r>
      </w:hyperlink>
    </w:p>
    <w:p w14:paraId="7AFF0161" w14:textId="77777777" w:rsidR="00F17AE4" w:rsidRDefault="00F17AE4" w:rsidP="005F5479"/>
    <w:p w14:paraId="53A7ECF6" w14:textId="79FFDA32" w:rsidR="005F5479" w:rsidRDefault="005F5479" w:rsidP="005F5479">
      <w:r>
        <w:tab/>
      </w:r>
    </w:p>
    <w:p w14:paraId="73CB8037" w14:textId="6102B5A4" w:rsidR="003858EF" w:rsidRDefault="003858EF" w:rsidP="005F5479"/>
    <w:sectPr w:rsidR="003858E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9A557" w14:textId="77777777" w:rsidR="00BA2E77" w:rsidRDefault="00BA2E77" w:rsidP="005A2970">
      <w:pPr>
        <w:spacing w:after="0" w:line="240" w:lineRule="auto"/>
      </w:pPr>
      <w:r>
        <w:separator/>
      </w:r>
    </w:p>
  </w:endnote>
  <w:endnote w:type="continuationSeparator" w:id="0">
    <w:p w14:paraId="46D9C291" w14:textId="77777777" w:rsidR="00BA2E77" w:rsidRDefault="00BA2E77" w:rsidP="005A2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E3D74" w14:textId="77777777" w:rsidR="00676C22" w:rsidRDefault="00676C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9177323"/>
      <w:docPartObj>
        <w:docPartGallery w:val="Page Numbers (Bottom of Page)"/>
        <w:docPartUnique/>
      </w:docPartObj>
    </w:sdtPr>
    <w:sdtEndPr>
      <w:rPr>
        <w:noProof/>
      </w:rPr>
    </w:sdtEndPr>
    <w:sdtContent>
      <w:p w14:paraId="492E84BE" w14:textId="65815081" w:rsidR="00247D01" w:rsidRDefault="00247D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EABFF" w14:textId="77777777" w:rsidR="00247D01" w:rsidRDefault="00247D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6F415" w14:textId="77777777" w:rsidR="00676C22" w:rsidRDefault="00676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FE4B2" w14:textId="77777777" w:rsidR="00BA2E77" w:rsidRDefault="00BA2E77" w:rsidP="005A2970">
      <w:pPr>
        <w:spacing w:after="0" w:line="240" w:lineRule="auto"/>
      </w:pPr>
      <w:r>
        <w:separator/>
      </w:r>
    </w:p>
  </w:footnote>
  <w:footnote w:type="continuationSeparator" w:id="0">
    <w:p w14:paraId="6A3EDBB1" w14:textId="77777777" w:rsidR="00BA2E77" w:rsidRDefault="00BA2E77" w:rsidP="005A2970">
      <w:pPr>
        <w:spacing w:after="0" w:line="240" w:lineRule="auto"/>
      </w:pPr>
      <w:r>
        <w:continuationSeparator/>
      </w:r>
    </w:p>
  </w:footnote>
  <w:footnote w:id="1">
    <w:p w14:paraId="316EC230" w14:textId="11F1C251" w:rsidR="006D1062" w:rsidRPr="006530FD" w:rsidRDefault="006D1062">
      <w:pPr>
        <w:pStyle w:val="FootnoteText"/>
        <w:rPr>
          <w:sz w:val="18"/>
          <w:szCs w:val="18"/>
        </w:rPr>
      </w:pPr>
      <w:r w:rsidRPr="006530FD">
        <w:rPr>
          <w:rStyle w:val="FootnoteReference"/>
          <w:sz w:val="18"/>
          <w:szCs w:val="18"/>
        </w:rPr>
        <w:footnoteRef/>
      </w:r>
      <w:r w:rsidRPr="006530FD">
        <w:rPr>
          <w:sz w:val="18"/>
          <w:szCs w:val="18"/>
        </w:rPr>
        <w:t xml:space="preserve"> Esposito and Voll, </w:t>
      </w:r>
      <w:r w:rsidR="00632735" w:rsidRPr="006530FD">
        <w:rPr>
          <w:sz w:val="18"/>
          <w:szCs w:val="18"/>
        </w:rPr>
        <w:t>‘Islam and democracy’, Oxford University Press, England, 1996</w:t>
      </w:r>
      <w:r w:rsidR="00575078" w:rsidRPr="006530FD">
        <w:rPr>
          <w:sz w:val="18"/>
          <w:szCs w:val="18"/>
        </w:rPr>
        <w:t>, p</w:t>
      </w:r>
      <w:r w:rsidR="004B5C7A" w:rsidRPr="006530FD">
        <w:rPr>
          <w:sz w:val="18"/>
          <w:szCs w:val="18"/>
        </w:rPr>
        <w:t>.</w:t>
      </w:r>
      <w:r w:rsidR="00575078" w:rsidRPr="006530FD">
        <w:rPr>
          <w:sz w:val="18"/>
          <w:szCs w:val="18"/>
        </w:rPr>
        <w:t>102-3</w:t>
      </w:r>
    </w:p>
  </w:footnote>
  <w:footnote w:id="2">
    <w:p w14:paraId="5F79D379" w14:textId="77777777"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Mandaville, P., ‘Global Political Islam’, Routledge, London, 2007, p.169</w:t>
      </w:r>
    </w:p>
  </w:footnote>
  <w:footnote w:id="3">
    <w:p w14:paraId="4720AB8C" w14:textId="340F826E" w:rsidR="00AB4DB2" w:rsidRPr="006530FD" w:rsidRDefault="00AB4DB2" w:rsidP="00AB4DB2">
      <w:pPr>
        <w:pStyle w:val="FootnoteText"/>
        <w:rPr>
          <w:sz w:val="18"/>
          <w:szCs w:val="18"/>
        </w:rPr>
      </w:pPr>
      <w:r w:rsidRPr="006530FD">
        <w:rPr>
          <w:rStyle w:val="FootnoteReference"/>
          <w:sz w:val="18"/>
          <w:szCs w:val="18"/>
        </w:rPr>
        <w:footnoteRef/>
      </w:r>
      <w:r w:rsidRPr="006530FD">
        <w:rPr>
          <w:sz w:val="18"/>
          <w:szCs w:val="18"/>
        </w:rPr>
        <w:t xml:space="preserve"> Esposito and Voll, </w:t>
      </w:r>
      <w:r w:rsidR="00A87154" w:rsidRPr="006530FD">
        <w:rPr>
          <w:sz w:val="18"/>
          <w:szCs w:val="18"/>
        </w:rPr>
        <w:t>ibid</w:t>
      </w:r>
      <w:r w:rsidRPr="006530FD">
        <w:rPr>
          <w:sz w:val="18"/>
          <w:szCs w:val="18"/>
        </w:rPr>
        <w:t>, p</w:t>
      </w:r>
      <w:r w:rsidR="004B5C7A" w:rsidRPr="006530FD">
        <w:rPr>
          <w:sz w:val="18"/>
          <w:szCs w:val="18"/>
        </w:rPr>
        <w:t>.</w:t>
      </w:r>
      <w:r w:rsidRPr="006530FD">
        <w:rPr>
          <w:sz w:val="18"/>
          <w:szCs w:val="18"/>
        </w:rPr>
        <w:t>103</w:t>
      </w:r>
    </w:p>
  </w:footnote>
  <w:footnote w:id="4">
    <w:p w14:paraId="4A4F46CD" w14:textId="77777777" w:rsidR="00A60F80" w:rsidRPr="006530FD" w:rsidRDefault="00A60F80" w:rsidP="00A60F80">
      <w:pPr>
        <w:pStyle w:val="FootnoteText"/>
        <w:rPr>
          <w:sz w:val="18"/>
          <w:szCs w:val="18"/>
        </w:rPr>
      </w:pPr>
      <w:r w:rsidRPr="006530FD">
        <w:rPr>
          <w:rStyle w:val="FootnoteReference"/>
          <w:sz w:val="18"/>
          <w:szCs w:val="18"/>
        </w:rPr>
        <w:footnoteRef/>
      </w:r>
      <w:r w:rsidRPr="006530FD">
        <w:rPr>
          <w:sz w:val="18"/>
          <w:szCs w:val="18"/>
        </w:rPr>
        <w:t xml:space="preserve"> Esposito, J.L., ‘Islam, The Straight Path’ Oxford University Press, 1988, 3</w:t>
      </w:r>
      <w:r w:rsidRPr="006530FD">
        <w:rPr>
          <w:sz w:val="18"/>
          <w:szCs w:val="18"/>
          <w:vertAlign w:val="superscript"/>
        </w:rPr>
        <w:t>rd</w:t>
      </w:r>
      <w:r w:rsidRPr="006530FD">
        <w:rPr>
          <w:sz w:val="18"/>
          <w:szCs w:val="18"/>
        </w:rPr>
        <w:t xml:space="preserve"> ed. 1998, p.196</w:t>
      </w:r>
    </w:p>
  </w:footnote>
  <w:footnote w:id="5">
    <w:p w14:paraId="64D9C9BC" w14:textId="43F6A552"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Esposito, J.L., </w:t>
      </w:r>
      <w:r w:rsidR="00A87154" w:rsidRPr="006530FD">
        <w:rPr>
          <w:sz w:val="18"/>
          <w:szCs w:val="18"/>
        </w:rPr>
        <w:t xml:space="preserve">ibid, </w:t>
      </w:r>
      <w:r w:rsidRPr="006530FD">
        <w:rPr>
          <w:sz w:val="18"/>
          <w:szCs w:val="18"/>
        </w:rPr>
        <w:t>p.196</w:t>
      </w:r>
    </w:p>
  </w:footnote>
  <w:footnote w:id="6">
    <w:p w14:paraId="7D3C69BF" w14:textId="06E512CE" w:rsidR="00DE7380" w:rsidRPr="006530FD" w:rsidRDefault="00DE7380">
      <w:pPr>
        <w:pStyle w:val="FootnoteText"/>
        <w:rPr>
          <w:sz w:val="18"/>
          <w:szCs w:val="18"/>
        </w:rPr>
      </w:pPr>
      <w:r w:rsidRPr="006530FD">
        <w:rPr>
          <w:rStyle w:val="FootnoteReference"/>
          <w:sz w:val="18"/>
          <w:szCs w:val="18"/>
        </w:rPr>
        <w:footnoteRef/>
      </w:r>
      <w:r w:rsidRPr="006530FD">
        <w:rPr>
          <w:sz w:val="18"/>
          <w:szCs w:val="18"/>
        </w:rPr>
        <w:t xml:space="preserve"> Esposito and Voll, </w:t>
      </w:r>
      <w:r w:rsidR="00086B81" w:rsidRPr="006530FD">
        <w:rPr>
          <w:sz w:val="18"/>
          <w:szCs w:val="18"/>
        </w:rPr>
        <w:t>ibid,</w:t>
      </w:r>
      <w:r w:rsidRPr="006530FD">
        <w:rPr>
          <w:sz w:val="18"/>
          <w:szCs w:val="18"/>
        </w:rPr>
        <w:t xml:space="preserve"> p</w:t>
      </w:r>
      <w:r w:rsidR="004B5C7A" w:rsidRPr="006530FD">
        <w:rPr>
          <w:sz w:val="18"/>
          <w:szCs w:val="18"/>
        </w:rPr>
        <w:t>.</w:t>
      </w:r>
      <w:r w:rsidRPr="006530FD">
        <w:rPr>
          <w:sz w:val="18"/>
          <w:szCs w:val="18"/>
        </w:rPr>
        <w:t>103</w:t>
      </w:r>
    </w:p>
  </w:footnote>
  <w:footnote w:id="7">
    <w:p w14:paraId="7087B701" w14:textId="77777777" w:rsidR="00D80C36" w:rsidRPr="006530FD" w:rsidRDefault="00D80C36" w:rsidP="00D80C36">
      <w:pPr>
        <w:pStyle w:val="FootnoteText"/>
        <w:rPr>
          <w:sz w:val="18"/>
          <w:szCs w:val="18"/>
        </w:rPr>
      </w:pPr>
      <w:r w:rsidRPr="006530FD">
        <w:rPr>
          <w:rStyle w:val="FootnoteReference"/>
          <w:sz w:val="18"/>
          <w:szCs w:val="18"/>
        </w:rPr>
        <w:footnoteRef/>
      </w:r>
      <w:r w:rsidRPr="006530FD">
        <w:rPr>
          <w:sz w:val="18"/>
          <w:szCs w:val="18"/>
        </w:rPr>
        <w:t xml:space="preserve"> Mandaville, P., ‘Global Political Islam’, Routledge, London, 2007, p.64</w:t>
      </w:r>
    </w:p>
  </w:footnote>
  <w:footnote w:id="8">
    <w:p w14:paraId="23806203" w14:textId="1D0F29A7" w:rsidR="00800090" w:rsidRPr="006530FD" w:rsidRDefault="00800090">
      <w:pPr>
        <w:pStyle w:val="FootnoteText"/>
        <w:rPr>
          <w:sz w:val="18"/>
          <w:szCs w:val="18"/>
        </w:rPr>
      </w:pPr>
      <w:r w:rsidRPr="006530FD">
        <w:rPr>
          <w:rStyle w:val="FootnoteReference"/>
          <w:sz w:val="18"/>
          <w:szCs w:val="18"/>
        </w:rPr>
        <w:footnoteRef/>
      </w:r>
      <w:r w:rsidRPr="006530FD">
        <w:rPr>
          <w:sz w:val="18"/>
          <w:szCs w:val="18"/>
        </w:rPr>
        <w:t xml:space="preserve"> Esposito, J.L., </w:t>
      </w:r>
      <w:r w:rsidR="00086B81" w:rsidRPr="006530FD">
        <w:rPr>
          <w:sz w:val="18"/>
          <w:szCs w:val="18"/>
        </w:rPr>
        <w:t xml:space="preserve">ibid, </w:t>
      </w:r>
      <w:r w:rsidRPr="006530FD">
        <w:rPr>
          <w:sz w:val="18"/>
          <w:szCs w:val="18"/>
        </w:rPr>
        <w:t>p.116</w:t>
      </w:r>
    </w:p>
  </w:footnote>
  <w:footnote w:id="9">
    <w:p w14:paraId="76A5AF5E" w14:textId="02B861EA" w:rsidR="00F64370" w:rsidRPr="006530FD" w:rsidRDefault="00F64370" w:rsidP="00F64370">
      <w:pPr>
        <w:pStyle w:val="FootnoteText"/>
        <w:rPr>
          <w:sz w:val="18"/>
          <w:szCs w:val="18"/>
        </w:rPr>
      </w:pPr>
      <w:r w:rsidRPr="006530FD">
        <w:rPr>
          <w:rStyle w:val="FootnoteReference"/>
          <w:sz w:val="18"/>
          <w:szCs w:val="18"/>
        </w:rPr>
        <w:footnoteRef/>
      </w:r>
      <w:r w:rsidRPr="006530FD">
        <w:rPr>
          <w:sz w:val="18"/>
          <w:szCs w:val="18"/>
        </w:rPr>
        <w:t xml:space="preserve"> Eickelman, D.F and Piscatori, J., ‘Muslim Politics’, Princeton University Press, 2004, p.57</w:t>
      </w:r>
    </w:p>
  </w:footnote>
  <w:footnote w:id="10">
    <w:p w14:paraId="6A94440B" w14:textId="11B75FEB" w:rsidR="00FE45BE" w:rsidRPr="006530FD" w:rsidRDefault="00FE45BE">
      <w:pPr>
        <w:pStyle w:val="FootnoteText"/>
        <w:rPr>
          <w:sz w:val="18"/>
          <w:szCs w:val="18"/>
        </w:rPr>
      </w:pPr>
      <w:r w:rsidRPr="006530FD">
        <w:rPr>
          <w:rStyle w:val="FootnoteReference"/>
          <w:sz w:val="18"/>
          <w:szCs w:val="18"/>
        </w:rPr>
        <w:footnoteRef/>
      </w:r>
      <w:r w:rsidRPr="006530FD">
        <w:rPr>
          <w:sz w:val="18"/>
          <w:szCs w:val="18"/>
        </w:rPr>
        <w:t xml:space="preserve"> Mandaville, P., </w:t>
      </w:r>
      <w:r w:rsidR="00086B81" w:rsidRPr="006530FD">
        <w:rPr>
          <w:sz w:val="18"/>
          <w:szCs w:val="18"/>
        </w:rPr>
        <w:t>ibid</w:t>
      </w:r>
      <w:r w:rsidRPr="006530FD">
        <w:rPr>
          <w:sz w:val="18"/>
          <w:szCs w:val="18"/>
        </w:rPr>
        <w:t xml:space="preserve"> p.63</w:t>
      </w:r>
    </w:p>
  </w:footnote>
  <w:footnote w:id="11">
    <w:p w14:paraId="45E70EA2" w14:textId="3F570C45" w:rsidR="0008084F" w:rsidRDefault="0008084F" w:rsidP="0008084F">
      <w:pPr>
        <w:pStyle w:val="FootnoteText"/>
      </w:pPr>
      <w:r w:rsidRPr="006530FD">
        <w:rPr>
          <w:rStyle w:val="FootnoteReference"/>
          <w:sz w:val="18"/>
          <w:szCs w:val="18"/>
        </w:rPr>
        <w:footnoteRef/>
      </w:r>
      <w:r w:rsidRPr="006530FD">
        <w:rPr>
          <w:sz w:val="18"/>
          <w:szCs w:val="18"/>
        </w:rPr>
        <w:t xml:space="preserve"> Mandaville, P., </w:t>
      </w:r>
      <w:r w:rsidR="00086B81" w:rsidRPr="006530FD">
        <w:rPr>
          <w:sz w:val="18"/>
          <w:szCs w:val="18"/>
        </w:rPr>
        <w:t>ibid</w:t>
      </w:r>
      <w:r w:rsidRPr="006530FD">
        <w:rPr>
          <w:sz w:val="18"/>
          <w:szCs w:val="18"/>
        </w:rPr>
        <w:t xml:space="preserve"> p.64</w:t>
      </w:r>
    </w:p>
  </w:footnote>
  <w:footnote w:id="12">
    <w:p w14:paraId="275D132E" w14:textId="3F17DF4C"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Mandaville, P., </w:t>
      </w:r>
      <w:r w:rsidR="00086B81" w:rsidRPr="006530FD">
        <w:rPr>
          <w:sz w:val="18"/>
          <w:szCs w:val="18"/>
        </w:rPr>
        <w:t xml:space="preserve">ibid </w:t>
      </w:r>
      <w:r w:rsidRPr="006530FD">
        <w:rPr>
          <w:sz w:val="18"/>
          <w:szCs w:val="18"/>
        </w:rPr>
        <w:t>p.63</w:t>
      </w:r>
    </w:p>
  </w:footnote>
  <w:footnote w:id="13">
    <w:p w14:paraId="0A6133C8" w14:textId="14C086C3"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Alavi, H., ‘Social Forces and Ideology in the Making of Pakistan’, 2002 pp5119-5124, p.5120</w:t>
      </w:r>
    </w:p>
  </w:footnote>
  <w:footnote w:id="14">
    <w:p w14:paraId="53B84389" w14:textId="38FE985E" w:rsidR="00E022E9" w:rsidRPr="006530FD" w:rsidRDefault="00E022E9" w:rsidP="00E022E9">
      <w:pPr>
        <w:rPr>
          <w:sz w:val="18"/>
          <w:szCs w:val="18"/>
        </w:rPr>
      </w:pPr>
      <w:r w:rsidRPr="006530FD">
        <w:rPr>
          <w:rStyle w:val="FootnoteReference"/>
          <w:sz w:val="18"/>
          <w:szCs w:val="18"/>
        </w:rPr>
        <w:footnoteRef/>
      </w:r>
      <w:r w:rsidRPr="006530FD">
        <w:rPr>
          <w:sz w:val="18"/>
          <w:szCs w:val="18"/>
        </w:rPr>
        <w:t xml:space="preserve"> Eickelman, D.F and Piscatori, J., ‘Muslim Politics’, Princeton University Press, 2004, p.23</w:t>
      </w:r>
    </w:p>
  </w:footnote>
  <w:footnote w:id="15">
    <w:p w14:paraId="4E0C3288" w14:textId="275F7963"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Alavi, H., </w:t>
      </w:r>
      <w:r w:rsidR="004B5C7A" w:rsidRPr="006530FD">
        <w:rPr>
          <w:sz w:val="18"/>
          <w:szCs w:val="18"/>
        </w:rPr>
        <w:t xml:space="preserve">ibid, </w:t>
      </w:r>
      <w:r w:rsidRPr="006530FD">
        <w:rPr>
          <w:sz w:val="18"/>
          <w:szCs w:val="18"/>
        </w:rPr>
        <w:t>p.5121</w:t>
      </w:r>
    </w:p>
  </w:footnote>
  <w:footnote w:id="16">
    <w:p w14:paraId="070049A5" w14:textId="77777777"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Whaites, A., ‘Political cohesion in Pakistan: Jinnah and the ideological state’, 1998, p.183</w:t>
      </w:r>
    </w:p>
  </w:footnote>
  <w:footnote w:id="17">
    <w:p w14:paraId="31160081" w14:textId="0068A257"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Whaites, A., </w:t>
      </w:r>
      <w:r w:rsidR="004B5C7A" w:rsidRPr="006530FD">
        <w:rPr>
          <w:sz w:val="18"/>
          <w:szCs w:val="18"/>
        </w:rPr>
        <w:t xml:space="preserve">ibid, </w:t>
      </w:r>
      <w:r w:rsidRPr="006530FD">
        <w:rPr>
          <w:sz w:val="18"/>
          <w:szCs w:val="18"/>
        </w:rPr>
        <w:t>p.183</w:t>
      </w:r>
    </w:p>
  </w:footnote>
  <w:footnote w:id="18">
    <w:p w14:paraId="341E2C3B" w14:textId="3E4D645C" w:rsidR="005A2970" w:rsidRPr="006530FD" w:rsidRDefault="005A2970" w:rsidP="005A2970">
      <w:pPr>
        <w:pStyle w:val="FootnoteText"/>
        <w:rPr>
          <w:sz w:val="18"/>
          <w:szCs w:val="18"/>
        </w:rPr>
      </w:pPr>
      <w:r w:rsidRPr="006530FD">
        <w:rPr>
          <w:rStyle w:val="FootnoteReference"/>
          <w:sz w:val="18"/>
          <w:szCs w:val="18"/>
        </w:rPr>
        <w:footnoteRef/>
      </w:r>
      <w:r w:rsidRPr="006530FD">
        <w:rPr>
          <w:sz w:val="18"/>
          <w:szCs w:val="18"/>
        </w:rPr>
        <w:t xml:space="preserve"> Whaites, A., </w:t>
      </w:r>
      <w:r w:rsidR="004B3E3C" w:rsidRPr="006530FD">
        <w:rPr>
          <w:sz w:val="18"/>
          <w:szCs w:val="18"/>
        </w:rPr>
        <w:t>ibid</w:t>
      </w:r>
      <w:r w:rsidRPr="006530FD">
        <w:rPr>
          <w:sz w:val="18"/>
          <w:szCs w:val="18"/>
        </w:rPr>
        <w:t xml:space="preserve"> p.185</w:t>
      </w:r>
    </w:p>
  </w:footnote>
  <w:footnote w:id="19">
    <w:p w14:paraId="0493A556" w14:textId="7EFF508D" w:rsidR="005A2970" w:rsidRDefault="005A2970" w:rsidP="005A2970">
      <w:pPr>
        <w:pStyle w:val="FootnoteText"/>
      </w:pPr>
      <w:r w:rsidRPr="006530FD">
        <w:rPr>
          <w:rStyle w:val="FootnoteReference"/>
          <w:sz w:val="18"/>
          <w:szCs w:val="18"/>
        </w:rPr>
        <w:footnoteRef/>
      </w:r>
      <w:r w:rsidRPr="006530FD">
        <w:rPr>
          <w:sz w:val="18"/>
          <w:szCs w:val="18"/>
        </w:rPr>
        <w:t xml:space="preserve"> Alavi, H., </w:t>
      </w:r>
      <w:r w:rsidR="004B3E3C" w:rsidRPr="006530FD">
        <w:rPr>
          <w:sz w:val="18"/>
          <w:szCs w:val="18"/>
        </w:rPr>
        <w:t>ibid,</w:t>
      </w:r>
      <w:r w:rsidRPr="006530FD">
        <w:rPr>
          <w:sz w:val="18"/>
          <w:szCs w:val="18"/>
        </w:rPr>
        <w:t xml:space="preserve"> p.5121</w:t>
      </w:r>
    </w:p>
  </w:footnote>
  <w:footnote w:id="20">
    <w:p w14:paraId="2F3A75D0" w14:textId="7EE528EC" w:rsidR="005A2970" w:rsidRPr="006530FD" w:rsidRDefault="005A2970" w:rsidP="00E9416A">
      <w:pPr>
        <w:pStyle w:val="FootnoteText"/>
        <w:rPr>
          <w:sz w:val="18"/>
          <w:szCs w:val="18"/>
        </w:rPr>
      </w:pPr>
      <w:r w:rsidRPr="006530FD">
        <w:rPr>
          <w:rStyle w:val="FootnoteReference"/>
          <w:sz w:val="18"/>
          <w:szCs w:val="18"/>
        </w:rPr>
        <w:footnoteRef/>
      </w:r>
      <w:r w:rsidRPr="006530FD">
        <w:rPr>
          <w:sz w:val="18"/>
          <w:szCs w:val="18"/>
        </w:rPr>
        <w:t xml:space="preserve"> Alavi, H., </w:t>
      </w:r>
      <w:r w:rsidR="004B3E3C" w:rsidRPr="006530FD">
        <w:rPr>
          <w:sz w:val="18"/>
          <w:szCs w:val="18"/>
        </w:rPr>
        <w:t>ibid,</w:t>
      </w:r>
      <w:r w:rsidRPr="006530FD">
        <w:rPr>
          <w:sz w:val="18"/>
          <w:szCs w:val="18"/>
        </w:rPr>
        <w:t xml:space="preserve"> p.5121</w:t>
      </w:r>
    </w:p>
  </w:footnote>
  <w:footnote w:id="21">
    <w:p w14:paraId="173E559E" w14:textId="77777777" w:rsidR="005A2970" w:rsidRPr="006530FD" w:rsidRDefault="005A2970" w:rsidP="00E9416A">
      <w:pPr>
        <w:spacing w:line="240" w:lineRule="auto"/>
        <w:rPr>
          <w:sz w:val="18"/>
          <w:szCs w:val="18"/>
        </w:rPr>
      </w:pPr>
      <w:r w:rsidRPr="006530FD">
        <w:rPr>
          <w:rStyle w:val="FootnoteReference"/>
          <w:sz w:val="18"/>
          <w:szCs w:val="18"/>
        </w:rPr>
        <w:footnoteRef/>
      </w:r>
      <w:r w:rsidRPr="006530FD">
        <w:rPr>
          <w:sz w:val="18"/>
          <w:szCs w:val="18"/>
        </w:rPr>
        <w:t xml:space="preserve"> Whaites, A., ‘Political cohesion in Pakistan: Jinnah and the ideological state’, 1998, p.182</w:t>
      </w:r>
    </w:p>
  </w:footnote>
  <w:footnote w:id="22">
    <w:p w14:paraId="4D675B46" w14:textId="20B0DB65" w:rsidR="005A2970" w:rsidRDefault="005A2970" w:rsidP="00E9416A">
      <w:pPr>
        <w:pStyle w:val="FootnoteText"/>
      </w:pPr>
      <w:r w:rsidRPr="006530FD">
        <w:rPr>
          <w:rStyle w:val="FootnoteReference"/>
          <w:sz w:val="18"/>
          <w:szCs w:val="18"/>
        </w:rPr>
        <w:footnoteRef/>
      </w:r>
      <w:r w:rsidRPr="006530FD">
        <w:rPr>
          <w:sz w:val="18"/>
          <w:szCs w:val="18"/>
        </w:rPr>
        <w:t xml:space="preserve"> Whaites, A., </w:t>
      </w:r>
      <w:r w:rsidR="004B3E3C" w:rsidRPr="006530FD">
        <w:rPr>
          <w:sz w:val="18"/>
          <w:szCs w:val="18"/>
        </w:rPr>
        <w:t xml:space="preserve">ibid, </w:t>
      </w:r>
      <w:r w:rsidRPr="006530FD">
        <w:rPr>
          <w:sz w:val="18"/>
          <w:szCs w:val="18"/>
        </w:rPr>
        <w:t>p.182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5F7B0" w14:textId="77777777" w:rsidR="00676C22" w:rsidRDefault="00676C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A1BC1" w14:textId="70E10B98" w:rsidR="00247D01" w:rsidRDefault="00247D01">
    <w:pPr>
      <w:pStyle w:val="Header"/>
    </w:pPr>
    <w:r>
      <w:t>Graham Lowe 1807689</w:t>
    </w:r>
    <w:r>
      <w:ptab w:relativeTo="margin" w:alignment="center" w:leader="none"/>
    </w:r>
    <w:r>
      <w:t>TRDL7066 Assignment 1</w:t>
    </w:r>
    <w:r>
      <w:ptab w:relativeTo="margin" w:alignment="right" w:leader="none"/>
    </w:r>
    <w:r w:rsidR="00676C22">
      <w:t>28</w:t>
    </w:r>
    <w:r w:rsidRPr="00247D01">
      <w:rPr>
        <w:vertAlign w:val="superscript"/>
      </w:rPr>
      <w:t>th</w:t>
    </w:r>
    <w:r>
      <w:t xml:space="preserve"> September 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E6576" w14:textId="77777777" w:rsidR="00676C22" w:rsidRDefault="00676C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970"/>
    <w:rsid w:val="00006960"/>
    <w:rsid w:val="00015E22"/>
    <w:rsid w:val="000323F1"/>
    <w:rsid w:val="00033D80"/>
    <w:rsid w:val="000426F1"/>
    <w:rsid w:val="00055099"/>
    <w:rsid w:val="0007503A"/>
    <w:rsid w:val="0008084F"/>
    <w:rsid w:val="00080C67"/>
    <w:rsid w:val="000819C7"/>
    <w:rsid w:val="00086B81"/>
    <w:rsid w:val="000A2197"/>
    <w:rsid w:val="000A2B20"/>
    <w:rsid w:val="000A5EAD"/>
    <w:rsid w:val="000A75B0"/>
    <w:rsid w:val="000B062E"/>
    <w:rsid w:val="000B70C2"/>
    <w:rsid w:val="000D2AAD"/>
    <w:rsid w:val="000E38BC"/>
    <w:rsid w:val="00106D13"/>
    <w:rsid w:val="00107EEA"/>
    <w:rsid w:val="00134232"/>
    <w:rsid w:val="00144A00"/>
    <w:rsid w:val="0015109B"/>
    <w:rsid w:val="00177647"/>
    <w:rsid w:val="00184109"/>
    <w:rsid w:val="00186144"/>
    <w:rsid w:val="001A19F5"/>
    <w:rsid w:val="001B6BD4"/>
    <w:rsid w:val="001C4E39"/>
    <w:rsid w:val="001C615C"/>
    <w:rsid w:val="002174FE"/>
    <w:rsid w:val="00227810"/>
    <w:rsid w:val="0022799A"/>
    <w:rsid w:val="00241AC9"/>
    <w:rsid w:val="00247D01"/>
    <w:rsid w:val="0025075A"/>
    <w:rsid w:val="00251CC8"/>
    <w:rsid w:val="00273B40"/>
    <w:rsid w:val="00274D17"/>
    <w:rsid w:val="00276192"/>
    <w:rsid w:val="0028730A"/>
    <w:rsid w:val="00287B76"/>
    <w:rsid w:val="00297666"/>
    <w:rsid w:val="002A5DD5"/>
    <w:rsid w:val="002A6C56"/>
    <w:rsid w:val="002D1B01"/>
    <w:rsid w:val="002D3EC6"/>
    <w:rsid w:val="002D67C7"/>
    <w:rsid w:val="002F55F3"/>
    <w:rsid w:val="00315CA3"/>
    <w:rsid w:val="0032019F"/>
    <w:rsid w:val="00345986"/>
    <w:rsid w:val="003504F8"/>
    <w:rsid w:val="00361083"/>
    <w:rsid w:val="00372607"/>
    <w:rsid w:val="00373F43"/>
    <w:rsid w:val="003858EF"/>
    <w:rsid w:val="00395548"/>
    <w:rsid w:val="003C19D7"/>
    <w:rsid w:val="003D2A6C"/>
    <w:rsid w:val="003E194C"/>
    <w:rsid w:val="003E2295"/>
    <w:rsid w:val="003F3598"/>
    <w:rsid w:val="00406CAB"/>
    <w:rsid w:val="00453CDC"/>
    <w:rsid w:val="0047152E"/>
    <w:rsid w:val="00481386"/>
    <w:rsid w:val="004876B0"/>
    <w:rsid w:val="004A7E23"/>
    <w:rsid w:val="004B3E3C"/>
    <w:rsid w:val="004B4F3E"/>
    <w:rsid w:val="004B5C7A"/>
    <w:rsid w:val="004D0A55"/>
    <w:rsid w:val="004E24FC"/>
    <w:rsid w:val="004F44C1"/>
    <w:rsid w:val="00500517"/>
    <w:rsid w:val="00502772"/>
    <w:rsid w:val="005042CE"/>
    <w:rsid w:val="005049E5"/>
    <w:rsid w:val="005103A3"/>
    <w:rsid w:val="0052214A"/>
    <w:rsid w:val="005332F4"/>
    <w:rsid w:val="00541FFE"/>
    <w:rsid w:val="0055631F"/>
    <w:rsid w:val="0057040E"/>
    <w:rsid w:val="00575078"/>
    <w:rsid w:val="005860C9"/>
    <w:rsid w:val="00587614"/>
    <w:rsid w:val="005A2970"/>
    <w:rsid w:val="005A4D0E"/>
    <w:rsid w:val="005B1C12"/>
    <w:rsid w:val="005D617B"/>
    <w:rsid w:val="005D7702"/>
    <w:rsid w:val="005F5479"/>
    <w:rsid w:val="0060005A"/>
    <w:rsid w:val="00632735"/>
    <w:rsid w:val="006401FB"/>
    <w:rsid w:val="00642F9A"/>
    <w:rsid w:val="006530FD"/>
    <w:rsid w:val="00676C22"/>
    <w:rsid w:val="00685B33"/>
    <w:rsid w:val="006870D6"/>
    <w:rsid w:val="006A513A"/>
    <w:rsid w:val="006B3305"/>
    <w:rsid w:val="006C025C"/>
    <w:rsid w:val="006C7C51"/>
    <w:rsid w:val="006D1062"/>
    <w:rsid w:val="006E3634"/>
    <w:rsid w:val="006F0471"/>
    <w:rsid w:val="006F6876"/>
    <w:rsid w:val="0070213D"/>
    <w:rsid w:val="007248A1"/>
    <w:rsid w:val="00727A2B"/>
    <w:rsid w:val="00742416"/>
    <w:rsid w:val="00743BF3"/>
    <w:rsid w:val="00746C0D"/>
    <w:rsid w:val="007656DE"/>
    <w:rsid w:val="0077305E"/>
    <w:rsid w:val="0079257E"/>
    <w:rsid w:val="0079661E"/>
    <w:rsid w:val="007A1F65"/>
    <w:rsid w:val="007D4081"/>
    <w:rsid w:val="007E56EF"/>
    <w:rsid w:val="007E6168"/>
    <w:rsid w:val="007F2096"/>
    <w:rsid w:val="00800090"/>
    <w:rsid w:val="00804376"/>
    <w:rsid w:val="00822E33"/>
    <w:rsid w:val="00823798"/>
    <w:rsid w:val="008272D1"/>
    <w:rsid w:val="0083181D"/>
    <w:rsid w:val="00835CF9"/>
    <w:rsid w:val="00863F50"/>
    <w:rsid w:val="00864BDB"/>
    <w:rsid w:val="00865C00"/>
    <w:rsid w:val="00872D85"/>
    <w:rsid w:val="008A24E7"/>
    <w:rsid w:val="008A5F70"/>
    <w:rsid w:val="008A7DAD"/>
    <w:rsid w:val="008D1233"/>
    <w:rsid w:val="008D7C0C"/>
    <w:rsid w:val="008E545F"/>
    <w:rsid w:val="008F65D6"/>
    <w:rsid w:val="00912C2E"/>
    <w:rsid w:val="00922DE8"/>
    <w:rsid w:val="009301E6"/>
    <w:rsid w:val="009360B3"/>
    <w:rsid w:val="009438FD"/>
    <w:rsid w:val="0095397E"/>
    <w:rsid w:val="009558D3"/>
    <w:rsid w:val="00970AE5"/>
    <w:rsid w:val="00997318"/>
    <w:rsid w:val="009A17F5"/>
    <w:rsid w:val="009A2F61"/>
    <w:rsid w:val="009B54D0"/>
    <w:rsid w:val="009E7B9A"/>
    <w:rsid w:val="00A1032D"/>
    <w:rsid w:val="00A219C8"/>
    <w:rsid w:val="00A33B72"/>
    <w:rsid w:val="00A40923"/>
    <w:rsid w:val="00A45B35"/>
    <w:rsid w:val="00A46FDE"/>
    <w:rsid w:val="00A60F80"/>
    <w:rsid w:val="00A643C9"/>
    <w:rsid w:val="00A649AD"/>
    <w:rsid w:val="00A75E0B"/>
    <w:rsid w:val="00A834B0"/>
    <w:rsid w:val="00A84DCE"/>
    <w:rsid w:val="00A87154"/>
    <w:rsid w:val="00AA4C29"/>
    <w:rsid w:val="00AA7D88"/>
    <w:rsid w:val="00AB2732"/>
    <w:rsid w:val="00AB4DB2"/>
    <w:rsid w:val="00AD5083"/>
    <w:rsid w:val="00B001C2"/>
    <w:rsid w:val="00B04C24"/>
    <w:rsid w:val="00B109F2"/>
    <w:rsid w:val="00B12968"/>
    <w:rsid w:val="00B14640"/>
    <w:rsid w:val="00B23A82"/>
    <w:rsid w:val="00B26472"/>
    <w:rsid w:val="00B37A30"/>
    <w:rsid w:val="00B42FAF"/>
    <w:rsid w:val="00B5485F"/>
    <w:rsid w:val="00B633AE"/>
    <w:rsid w:val="00B7141A"/>
    <w:rsid w:val="00B733E3"/>
    <w:rsid w:val="00BA1626"/>
    <w:rsid w:val="00BA2E77"/>
    <w:rsid w:val="00BB477D"/>
    <w:rsid w:val="00BD4F20"/>
    <w:rsid w:val="00C3498C"/>
    <w:rsid w:val="00C3522B"/>
    <w:rsid w:val="00C40EA6"/>
    <w:rsid w:val="00C62B56"/>
    <w:rsid w:val="00C674CA"/>
    <w:rsid w:val="00C77272"/>
    <w:rsid w:val="00CA1284"/>
    <w:rsid w:val="00CA76A0"/>
    <w:rsid w:val="00CB2906"/>
    <w:rsid w:val="00CB5657"/>
    <w:rsid w:val="00CB60A4"/>
    <w:rsid w:val="00CF1AD7"/>
    <w:rsid w:val="00D00E12"/>
    <w:rsid w:val="00D03C32"/>
    <w:rsid w:val="00D21470"/>
    <w:rsid w:val="00D341DE"/>
    <w:rsid w:val="00D3781D"/>
    <w:rsid w:val="00D62E8F"/>
    <w:rsid w:val="00D6337B"/>
    <w:rsid w:val="00D6740A"/>
    <w:rsid w:val="00D722B0"/>
    <w:rsid w:val="00D80C36"/>
    <w:rsid w:val="00DE7380"/>
    <w:rsid w:val="00DF1D81"/>
    <w:rsid w:val="00DF4C6A"/>
    <w:rsid w:val="00DF7E01"/>
    <w:rsid w:val="00E022E9"/>
    <w:rsid w:val="00E148A1"/>
    <w:rsid w:val="00E23FFD"/>
    <w:rsid w:val="00E36D5A"/>
    <w:rsid w:val="00E4150E"/>
    <w:rsid w:val="00E45B30"/>
    <w:rsid w:val="00E64EFF"/>
    <w:rsid w:val="00E654E0"/>
    <w:rsid w:val="00E73971"/>
    <w:rsid w:val="00E9416A"/>
    <w:rsid w:val="00E97005"/>
    <w:rsid w:val="00EB39A6"/>
    <w:rsid w:val="00EB51A8"/>
    <w:rsid w:val="00EC368C"/>
    <w:rsid w:val="00ED5F63"/>
    <w:rsid w:val="00ED70E2"/>
    <w:rsid w:val="00F02202"/>
    <w:rsid w:val="00F132F1"/>
    <w:rsid w:val="00F169B5"/>
    <w:rsid w:val="00F17AE4"/>
    <w:rsid w:val="00F200DC"/>
    <w:rsid w:val="00F34AFE"/>
    <w:rsid w:val="00F5045C"/>
    <w:rsid w:val="00F64370"/>
    <w:rsid w:val="00F66FFE"/>
    <w:rsid w:val="00F8326A"/>
    <w:rsid w:val="00FA2B21"/>
    <w:rsid w:val="00FB2374"/>
    <w:rsid w:val="00FE225A"/>
    <w:rsid w:val="00FE3F89"/>
    <w:rsid w:val="00FE45BE"/>
    <w:rsid w:val="00FE72E0"/>
    <w:rsid w:val="00FF530A"/>
    <w:rsid w:val="00FF6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00172"/>
  <w15:chartTrackingRefBased/>
  <w15:docId w15:val="{740113C0-C3BB-4336-9FF3-0E40A3A49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9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29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970"/>
    <w:rPr>
      <w:sz w:val="20"/>
      <w:szCs w:val="20"/>
    </w:rPr>
  </w:style>
  <w:style w:type="character" w:styleId="FootnoteReference">
    <w:name w:val="footnote reference"/>
    <w:basedOn w:val="DefaultParagraphFont"/>
    <w:uiPriority w:val="99"/>
    <w:semiHidden/>
    <w:unhideWhenUsed/>
    <w:rsid w:val="005A2970"/>
    <w:rPr>
      <w:vertAlign w:val="superscript"/>
    </w:rPr>
  </w:style>
  <w:style w:type="character" w:styleId="Hyperlink">
    <w:name w:val="Hyperlink"/>
    <w:basedOn w:val="DefaultParagraphFont"/>
    <w:uiPriority w:val="99"/>
    <w:unhideWhenUsed/>
    <w:rsid w:val="001C4E39"/>
    <w:rPr>
      <w:color w:val="0563C1" w:themeColor="hyperlink"/>
      <w:u w:val="single"/>
    </w:rPr>
  </w:style>
  <w:style w:type="character" w:styleId="UnresolvedMention">
    <w:name w:val="Unresolved Mention"/>
    <w:basedOn w:val="DefaultParagraphFont"/>
    <w:uiPriority w:val="99"/>
    <w:semiHidden/>
    <w:unhideWhenUsed/>
    <w:rsid w:val="001C4E39"/>
    <w:rPr>
      <w:color w:val="605E5C"/>
      <w:shd w:val="clear" w:color="auto" w:fill="E1DFDD"/>
    </w:rPr>
  </w:style>
  <w:style w:type="paragraph" w:styleId="Header">
    <w:name w:val="header"/>
    <w:basedOn w:val="Normal"/>
    <w:link w:val="HeaderChar"/>
    <w:uiPriority w:val="99"/>
    <w:unhideWhenUsed/>
    <w:rsid w:val="00247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D01"/>
  </w:style>
  <w:style w:type="paragraph" w:styleId="Footer">
    <w:name w:val="footer"/>
    <w:basedOn w:val="Normal"/>
    <w:link w:val="FooterChar"/>
    <w:uiPriority w:val="99"/>
    <w:unhideWhenUsed/>
    <w:rsid w:val="00247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ermalink/f/6s7mjt/TN_cdi_crossref_primary_10_1080_09584939808719838"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jstor.org/stable/4412987"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08D51-6D6C-4A91-A5C7-C2C2E184A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Lowe</dc:creator>
  <cp:keywords/>
  <dc:description/>
  <cp:lastModifiedBy>Graham Lowe</cp:lastModifiedBy>
  <cp:revision>3</cp:revision>
  <dcterms:created xsi:type="dcterms:W3CDTF">2020-09-28T09:07:00Z</dcterms:created>
  <dcterms:modified xsi:type="dcterms:W3CDTF">2020-09-28T09:07:00Z</dcterms:modified>
</cp:coreProperties>
</file>