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CD9A9" w14:textId="3DFC7A01" w:rsidR="00827C67" w:rsidRPr="00827C67" w:rsidRDefault="00827C67" w:rsidP="00827C67">
      <w:pPr>
        <w:pStyle w:val="Heading1"/>
        <w:jc w:val="center"/>
        <w:rPr>
          <w:color w:val="000000" w:themeColor="text1"/>
          <w:u w:val="single"/>
        </w:rPr>
      </w:pPr>
      <w:r>
        <w:rPr>
          <w:color w:val="000000" w:themeColor="text1"/>
          <w:u w:val="single"/>
        </w:rPr>
        <w:t>Chapter 3-</w:t>
      </w:r>
      <w:r w:rsidRPr="00827C67">
        <w:rPr>
          <w:color w:val="000000" w:themeColor="text1"/>
          <w:u w:val="single"/>
        </w:rPr>
        <w:t>Methodology Chapter</w:t>
      </w:r>
    </w:p>
    <w:p w14:paraId="7EE63617" w14:textId="6E5A5D5E" w:rsidR="00827C67" w:rsidRPr="00215A63" w:rsidRDefault="00827C67" w:rsidP="00827C67">
      <w:pPr>
        <w:spacing w:line="360" w:lineRule="auto"/>
        <w:jc w:val="both"/>
        <w:rPr>
          <w:rFonts w:ascii="Arial" w:hAnsi="Arial" w:cs="Arial"/>
        </w:rPr>
      </w:pPr>
      <w:r w:rsidRPr="00215A63">
        <w:rPr>
          <w:rFonts w:ascii="Arial" w:hAnsi="Arial" w:cs="Arial"/>
          <w:b/>
          <w:bCs/>
          <w:u w:val="single"/>
        </w:rPr>
        <w:t xml:space="preserve">Objective </w:t>
      </w:r>
      <w:proofErr w:type="gramStart"/>
      <w:r w:rsidRPr="00215A63">
        <w:rPr>
          <w:rFonts w:ascii="Arial" w:hAnsi="Arial" w:cs="Arial"/>
          <w:b/>
          <w:bCs/>
          <w:u w:val="single"/>
        </w:rPr>
        <w:t>2:-</w:t>
      </w:r>
      <w:proofErr w:type="gramEnd"/>
      <w:r w:rsidRPr="00215A63">
        <w:rPr>
          <w:rFonts w:ascii="Arial" w:hAnsi="Arial" w:cs="Arial"/>
          <w:b/>
          <w:bCs/>
          <w:u w:val="single"/>
        </w:rPr>
        <w:t xml:space="preserve"> </w:t>
      </w:r>
      <w:r w:rsidRPr="00215A63">
        <w:rPr>
          <w:rFonts w:ascii="Arial" w:hAnsi="Arial" w:cs="Arial"/>
        </w:rPr>
        <w:t>Evaluate the impact that responding to mental health incidents has on serving police officers.</w:t>
      </w:r>
    </w:p>
    <w:p w14:paraId="60B61859" w14:textId="77777777" w:rsidR="00827C67" w:rsidRPr="00215A63" w:rsidRDefault="00827C67" w:rsidP="00827C67">
      <w:pPr>
        <w:spacing w:line="360" w:lineRule="auto"/>
        <w:jc w:val="both"/>
        <w:rPr>
          <w:rFonts w:ascii="Arial" w:hAnsi="Arial" w:cs="Arial"/>
        </w:rPr>
      </w:pPr>
      <w:r w:rsidRPr="00215A63">
        <w:rPr>
          <w:rFonts w:ascii="Arial" w:hAnsi="Arial" w:cs="Arial"/>
          <w:b/>
          <w:bCs/>
          <w:u w:val="single"/>
        </w:rPr>
        <w:t xml:space="preserve">Objective </w:t>
      </w:r>
      <w:proofErr w:type="gramStart"/>
      <w:r w:rsidRPr="00215A63">
        <w:rPr>
          <w:rFonts w:ascii="Arial" w:hAnsi="Arial" w:cs="Arial"/>
          <w:b/>
          <w:bCs/>
          <w:u w:val="single"/>
        </w:rPr>
        <w:t>3:-</w:t>
      </w:r>
      <w:proofErr w:type="gramEnd"/>
      <w:r w:rsidRPr="00215A63">
        <w:rPr>
          <w:rFonts w:ascii="Arial" w:hAnsi="Arial" w:cs="Arial"/>
          <w:b/>
          <w:bCs/>
          <w:u w:val="single"/>
        </w:rPr>
        <w:t xml:space="preserve"> </w:t>
      </w:r>
      <w:r w:rsidRPr="00215A63">
        <w:rPr>
          <w:rFonts w:ascii="Arial" w:hAnsi="Arial" w:cs="Arial"/>
        </w:rPr>
        <w:t>Critically examine the support available to the police in relation to dealing with mental health incidents.</w:t>
      </w:r>
    </w:p>
    <w:p w14:paraId="36A62788" w14:textId="44D1023F" w:rsidR="00827C67" w:rsidRDefault="00827C67" w:rsidP="00827C67">
      <w:pPr>
        <w:rPr>
          <w:rFonts w:ascii="Arial" w:hAnsi="Arial" w:cs="Arial"/>
        </w:rPr>
      </w:pPr>
      <w:r w:rsidRPr="00215A63">
        <w:rPr>
          <w:rFonts w:ascii="Arial" w:hAnsi="Arial" w:cs="Arial"/>
          <w:b/>
          <w:bCs/>
          <w:u w:val="single"/>
        </w:rPr>
        <w:t xml:space="preserve">Objective </w:t>
      </w:r>
      <w:proofErr w:type="gramStart"/>
      <w:r w:rsidRPr="00215A63">
        <w:rPr>
          <w:rFonts w:ascii="Arial" w:hAnsi="Arial" w:cs="Arial"/>
          <w:b/>
          <w:bCs/>
          <w:u w:val="single"/>
        </w:rPr>
        <w:t>4:-</w:t>
      </w:r>
      <w:proofErr w:type="gramEnd"/>
      <w:r w:rsidRPr="00215A63">
        <w:rPr>
          <w:rFonts w:ascii="Arial" w:hAnsi="Arial" w:cs="Arial"/>
        </w:rPr>
        <w:t xml:space="preserve"> Analyse the benefit that an alternative organisation who are correctly trained to respond to mental health calls would have on the police</w:t>
      </w:r>
    </w:p>
    <w:p w14:paraId="5791BD3F" w14:textId="77777777" w:rsidR="00827C67" w:rsidRDefault="00827C67" w:rsidP="00827C67">
      <w:pPr>
        <w:pStyle w:val="Heading2"/>
        <w:rPr>
          <w:color w:val="000000" w:themeColor="text1"/>
          <w:u w:val="single"/>
        </w:rPr>
      </w:pPr>
    </w:p>
    <w:p w14:paraId="345DDA10" w14:textId="77B19D8B" w:rsidR="00827C67" w:rsidRDefault="00827C67" w:rsidP="00827C67">
      <w:pPr>
        <w:pStyle w:val="Heading2"/>
        <w:rPr>
          <w:color w:val="000000" w:themeColor="text1"/>
          <w:u w:val="single"/>
        </w:rPr>
      </w:pPr>
      <w:r>
        <w:rPr>
          <w:color w:val="000000" w:themeColor="text1"/>
          <w:u w:val="single"/>
        </w:rPr>
        <w:t xml:space="preserve">3.1 </w:t>
      </w:r>
      <w:r w:rsidRPr="00827C67">
        <w:rPr>
          <w:color w:val="000000" w:themeColor="text1"/>
          <w:u w:val="single"/>
        </w:rPr>
        <w:t xml:space="preserve">Introduction </w:t>
      </w:r>
    </w:p>
    <w:p w14:paraId="71BDA76E" w14:textId="77777777" w:rsidR="00827C67" w:rsidRDefault="00827C67" w:rsidP="00827C67">
      <w:pPr>
        <w:spacing w:line="360" w:lineRule="auto"/>
        <w:rPr>
          <w:rFonts w:ascii="Arial" w:hAnsi="Arial" w:cs="Arial"/>
        </w:rPr>
      </w:pPr>
      <w:r w:rsidRPr="00827C67">
        <w:rPr>
          <w:rFonts w:ascii="Arial" w:hAnsi="Arial" w:cs="Arial"/>
        </w:rPr>
        <w:t>This chapter describes the methodological technique used to study the research question: Are police officers prepared to handle mental health calls, and what effect does this have on the mental health of responding officers? The technique adheres to Saunders et al.'s</w:t>
      </w:r>
      <w:r>
        <w:rPr>
          <w:rFonts w:ascii="Arial" w:hAnsi="Arial" w:cs="Arial"/>
        </w:rPr>
        <w:t xml:space="preserve"> (2019)</w:t>
      </w:r>
      <w:r w:rsidRPr="00827C67">
        <w:rPr>
          <w:rFonts w:ascii="Arial" w:hAnsi="Arial" w:cs="Arial"/>
        </w:rPr>
        <w:t xml:space="preserve"> "Research Onion" paradigm, ensuring an organised and comprehensive investigation of the research process. </w:t>
      </w:r>
      <w:r>
        <w:rPr>
          <w:rFonts w:ascii="Arial" w:hAnsi="Arial" w:cs="Arial"/>
        </w:rPr>
        <w:t>The chapter is mainly relevant to Objectives two, three and four.</w:t>
      </w:r>
    </w:p>
    <w:p w14:paraId="3E0A3E48" w14:textId="468679CA" w:rsidR="00827C67" w:rsidRPr="00827C67" w:rsidRDefault="00827C67" w:rsidP="00827C67">
      <w:pPr>
        <w:spacing w:line="360" w:lineRule="auto"/>
        <w:jc w:val="both"/>
        <w:rPr>
          <w:rFonts w:ascii="Arial" w:hAnsi="Arial" w:cs="Arial"/>
        </w:rPr>
      </w:pPr>
      <w:r w:rsidRPr="00827C67">
        <w:rPr>
          <w:rFonts w:ascii="Arial" w:hAnsi="Arial" w:cs="Arial"/>
        </w:rPr>
        <w:t>Objective 2</w:t>
      </w:r>
      <w:proofErr w:type="gramStart"/>
      <w:r>
        <w:rPr>
          <w:rFonts w:ascii="Arial" w:hAnsi="Arial" w:cs="Arial"/>
        </w:rPr>
        <w:t>-‘</w:t>
      </w:r>
      <w:proofErr w:type="gramEnd"/>
      <w:r w:rsidRPr="00215A63">
        <w:rPr>
          <w:rFonts w:ascii="Arial" w:hAnsi="Arial" w:cs="Arial"/>
        </w:rPr>
        <w:t xml:space="preserve">Evaluate the impact that responding to mental health incidents has on </w:t>
      </w:r>
      <w:r w:rsidRPr="00827C67">
        <w:rPr>
          <w:rFonts w:ascii="Arial" w:hAnsi="Arial" w:cs="Arial"/>
        </w:rPr>
        <w:t>serving police officers’</w:t>
      </w:r>
    </w:p>
    <w:p w14:paraId="2A042F65" w14:textId="040EE540" w:rsidR="00827C67" w:rsidRPr="00827C67" w:rsidRDefault="00827C67" w:rsidP="00827C67">
      <w:pPr>
        <w:spacing w:line="360" w:lineRule="auto"/>
        <w:jc w:val="both"/>
        <w:rPr>
          <w:rFonts w:ascii="Arial" w:hAnsi="Arial" w:cs="Arial"/>
        </w:rPr>
      </w:pPr>
      <w:r w:rsidRPr="00827C67">
        <w:rPr>
          <w:rFonts w:ascii="Arial" w:hAnsi="Arial" w:cs="Arial"/>
        </w:rPr>
        <w:t>Objective 3</w:t>
      </w:r>
      <w:r>
        <w:rPr>
          <w:rFonts w:ascii="Arial" w:hAnsi="Arial" w:cs="Arial"/>
        </w:rPr>
        <w:t>-</w:t>
      </w:r>
      <w:r w:rsidRPr="00827C67">
        <w:rPr>
          <w:rFonts w:ascii="Arial" w:hAnsi="Arial" w:cs="Arial"/>
        </w:rPr>
        <w:t xml:space="preserve"> </w:t>
      </w:r>
      <w:r>
        <w:rPr>
          <w:rFonts w:ascii="Arial" w:hAnsi="Arial" w:cs="Arial"/>
        </w:rPr>
        <w:t>‘</w:t>
      </w:r>
      <w:r w:rsidRPr="00827C67">
        <w:rPr>
          <w:rFonts w:ascii="Arial" w:hAnsi="Arial" w:cs="Arial"/>
        </w:rPr>
        <w:t>Critically examine the support available to the police in relation to dealing with mental health incidents.</w:t>
      </w:r>
      <w:r>
        <w:rPr>
          <w:rFonts w:ascii="Arial" w:hAnsi="Arial" w:cs="Arial"/>
        </w:rPr>
        <w:t>’</w:t>
      </w:r>
    </w:p>
    <w:p w14:paraId="48B482B7" w14:textId="77777777" w:rsidR="00827C67" w:rsidRDefault="00827C67" w:rsidP="00827C67">
      <w:pPr>
        <w:rPr>
          <w:rFonts w:ascii="Arial" w:hAnsi="Arial" w:cs="Arial"/>
        </w:rPr>
      </w:pPr>
      <w:r w:rsidRPr="00827C67">
        <w:rPr>
          <w:rFonts w:ascii="Arial" w:hAnsi="Arial" w:cs="Arial"/>
        </w:rPr>
        <w:t>Objective 4</w:t>
      </w:r>
      <w:r>
        <w:rPr>
          <w:rFonts w:ascii="Arial" w:hAnsi="Arial" w:cs="Arial"/>
        </w:rPr>
        <w:t>-</w:t>
      </w:r>
      <w:r w:rsidRPr="00215A63">
        <w:rPr>
          <w:rFonts w:ascii="Arial" w:hAnsi="Arial" w:cs="Arial"/>
        </w:rPr>
        <w:t xml:space="preserve"> </w:t>
      </w:r>
      <w:r>
        <w:rPr>
          <w:rFonts w:ascii="Arial" w:hAnsi="Arial" w:cs="Arial"/>
        </w:rPr>
        <w:t>‘</w:t>
      </w:r>
      <w:r w:rsidRPr="00215A63">
        <w:rPr>
          <w:rFonts w:ascii="Arial" w:hAnsi="Arial" w:cs="Arial"/>
        </w:rPr>
        <w:t>Analyse the benefit that an alternative organisation who are correctly trained to respond to mental health calls would have on the police</w:t>
      </w:r>
      <w:r>
        <w:rPr>
          <w:rFonts w:ascii="Arial" w:hAnsi="Arial" w:cs="Arial"/>
        </w:rPr>
        <w:t>.’</w:t>
      </w:r>
    </w:p>
    <w:p w14:paraId="00F963DA" w14:textId="4C8FEE44" w:rsidR="00827C67" w:rsidRPr="00827C67" w:rsidRDefault="00827C67" w:rsidP="00827C67">
      <w:pPr>
        <w:spacing w:line="278" w:lineRule="auto"/>
        <w:rPr>
          <w:rFonts w:ascii="Arial" w:hAnsi="Arial" w:cs="Arial"/>
        </w:rPr>
      </w:pPr>
      <w:r>
        <w:rPr>
          <w:rFonts w:ascii="Arial" w:hAnsi="Arial" w:cs="Arial"/>
        </w:rPr>
        <w:t xml:space="preserve"> </w:t>
      </w:r>
    </w:p>
    <w:p w14:paraId="0B0E83B4" w14:textId="390C8B95" w:rsidR="00827C67" w:rsidRPr="00827C67" w:rsidRDefault="00827C67" w:rsidP="00827C67">
      <w:pPr>
        <w:spacing w:line="360" w:lineRule="auto"/>
        <w:rPr>
          <w:rFonts w:ascii="Arial" w:hAnsi="Arial" w:cs="Arial"/>
          <w:color w:val="000000"/>
        </w:rPr>
      </w:pPr>
      <w:r w:rsidRPr="00827C67">
        <w:rPr>
          <w:rFonts w:ascii="Arial" w:hAnsi="Arial" w:cs="Arial"/>
          <w:color w:val="000000"/>
        </w:rPr>
        <w:t>Given the growing recognition of mental health issues in both the public and law enforcement sectors, this study aims to provide a more nuanced understanding of the challenges experienced by frontline police officers. By integrating quantitative and qualitative methodologies, the study investigates not just police officers' operational readiness, but also the psychological impact of their roles.</w:t>
      </w:r>
    </w:p>
    <w:p w14:paraId="76147E16" w14:textId="5ADD0710" w:rsidR="00827C67" w:rsidRDefault="00827C67" w:rsidP="00827C67">
      <w:pPr>
        <w:spacing w:line="360" w:lineRule="auto"/>
        <w:rPr>
          <w:rFonts w:ascii="Arial" w:hAnsi="Arial" w:cs="Arial"/>
          <w:color w:val="000000"/>
        </w:rPr>
      </w:pPr>
      <w:r w:rsidRPr="00827C67">
        <w:rPr>
          <w:rFonts w:ascii="Arial" w:hAnsi="Arial" w:cs="Arial"/>
          <w:color w:val="000000"/>
        </w:rPr>
        <w:t xml:space="preserve"> The chapter discusses the study philosophy, approach, strategy, methodologies, time frame, procedures, and ethical concerns. Each layer of the "Research Onion" is dissected to provide a clear reason for the decisions made, ensuring transparency and coherence in methodological design</w:t>
      </w:r>
      <w:r>
        <w:rPr>
          <w:rFonts w:ascii="Arial" w:hAnsi="Arial" w:cs="Arial"/>
          <w:color w:val="000000"/>
        </w:rPr>
        <w:t xml:space="preserve"> </w:t>
      </w:r>
      <w:proofErr w:type="spellStart"/>
      <w:r>
        <w:rPr>
          <w:rFonts w:ascii="Arial" w:hAnsi="Arial" w:cs="Arial"/>
          <w:color w:val="000000"/>
        </w:rPr>
        <w:t>Melnikovas</w:t>
      </w:r>
      <w:proofErr w:type="spellEnd"/>
      <w:r>
        <w:rPr>
          <w:rFonts w:ascii="Arial" w:hAnsi="Arial" w:cs="Arial"/>
          <w:color w:val="000000"/>
        </w:rPr>
        <w:t xml:space="preserve"> (2018).</w:t>
      </w:r>
    </w:p>
    <w:p w14:paraId="7115A1F8" w14:textId="77777777" w:rsidR="00827C67" w:rsidRDefault="00827C67" w:rsidP="00827C67">
      <w:pPr>
        <w:spacing w:line="360" w:lineRule="auto"/>
        <w:rPr>
          <w:rFonts w:ascii="Arial" w:hAnsi="Arial" w:cs="Arial"/>
          <w:color w:val="000000"/>
        </w:rPr>
      </w:pPr>
    </w:p>
    <w:p w14:paraId="4865CF3D" w14:textId="5A15BDA3" w:rsidR="00827C67" w:rsidRPr="00827C67" w:rsidRDefault="005C16B1" w:rsidP="00827C67">
      <w:pPr>
        <w:pStyle w:val="Heading2"/>
      </w:pPr>
      <w:r>
        <w:rPr>
          <w:noProof/>
        </w:rPr>
        <w:lastRenderedPageBreak/>
        <mc:AlternateContent>
          <mc:Choice Requires="wps">
            <w:drawing>
              <wp:anchor distT="0" distB="0" distL="114300" distR="114300" simplePos="0" relativeHeight="251667456" behindDoc="0" locked="0" layoutInCell="1" allowOverlap="1" wp14:anchorId="3B24AAE0" wp14:editId="0F18F168">
                <wp:simplePos x="0" y="0"/>
                <wp:positionH relativeFrom="column">
                  <wp:posOffset>1426866</wp:posOffset>
                </wp:positionH>
                <wp:positionV relativeFrom="paragraph">
                  <wp:posOffset>1125415</wp:posOffset>
                </wp:positionV>
                <wp:extent cx="683288" cy="321387"/>
                <wp:effectExtent l="0" t="0" r="15240" b="8890"/>
                <wp:wrapNone/>
                <wp:docPr id="1336376742" name="Doughnut 1"/>
                <wp:cNvGraphicFramePr/>
                <a:graphic xmlns:a="http://schemas.openxmlformats.org/drawingml/2006/main">
                  <a:graphicData uri="http://schemas.microsoft.com/office/word/2010/wordprocessingShape">
                    <wps:wsp>
                      <wps:cNvSpPr/>
                      <wps:spPr>
                        <a:xfrm>
                          <a:off x="0" y="0"/>
                          <a:ext cx="683288" cy="321387"/>
                        </a:xfrm>
                        <a:prstGeom prst="donut">
                          <a:avLst>
                            <a:gd name="adj" fmla="val 2745"/>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D9043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ughnut 1" o:spid="_x0000_s1026" type="#_x0000_t23" style="position:absolute;margin-left:112.35pt;margin-top:88.6pt;width:53.8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" adj="279" fillcolor="#e97132 [3205]" strokecolor="#e97132 [3205]" strokeweight="1pt">
                <v:stroke joinstyle="miter"/>
              </v:shape>
            </w:pict>
          </mc:Fallback>
        </mc:AlternateContent>
      </w:r>
      <w:r>
        <w:rPr>
          <w:noProof/>
        </w:rPr>
        <mc:AlternateContent>
          <mc:Choice Requires="wps">
            <w:drawing>
              <wp:anchor distT="0" distB="0" distL="114300" distR="114300" simplePos="0" relativeHeight="251665408" behindDoc="0" locked="0" layoutInCell="1" allowOverlap="1" wp14:anchorId="589E2246" wp14:editId="186A3D7C">
                <wp:simplePos x="0" y="0"/>
                <wp:positionH relativeFrom="column">
                  <wp:posOffset>1959429</wp:posOffset>
                </wp:positionH>
                <wp:positionV relativeFrom="paragraph">
                  <wp:posOffset>844062</wp:posOffset>
                </wp:positionV>
                <wp:extent cx="452043" cy="261257"/>
                <wp:effectExtent l="0" t="0" r="18415" b="18415"/>
                <wp:wrapNone/>
                <wp:docPr id="1836794819" name="Doughnut 1"/>
                <wp:cNvGraphicFramePr/>
                <a:graphic xmlns:a="http://schemas.openxmlformats.org/drawingml/2006/main">
                  <a:graphicData uri="http://schemas.microsoft.com/office/word/2010/wordprocessingShape">
                    <wps:wsp>
                      <wps:cNvSpPr/>
                      <wps:spPr>
                        <a:xfrm>
                          <a:off x="0" y="0"/>
                          <a:ext cx="452043" cy="261257"/>
                        </a:xfrm>
                        <a:prstGeom prst="donut">
                          <a:avLst>
                            <a:gd name="adj" fmla="val 2745"/>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252198" id="Doughnut 1" o:spid="_x0000_s1026" type="#_x0000_t23" style="position:absolute;margin-left:154.3pt;margin-top:66.45pt;width:35.6pt;height:2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" adj="343" fillcolor="#e97132 [3205]" strokecolor="#e97132 [3205]" strokeweight="1pt">
                <v:stroke joinstyle="miter"/>
              </v:shape>
            </w:pict>
          </mc:Fallback>
        </mc:AlternateContent>
      </w:r>
      <w:r>
        <w:rPr>
          <w:noProof/>
        </w:rPr>
        <mc:AlternateContent>
          <mc:Choice Requires="wps">
            <w:drawing>
              <wp:anchor distT="0" distB="0" distL="114300" distR="114300" simplePos="0" relativeHeight="251661312" behindDoc="0" locked="0" layoutInCell="1" allowOverlap="1" wp14:anchorId="3859038C" wp14:editId="58239D8A">
                <wp:simplePos x="0" y="0"/>
                <wp:positionH relativeFrom="column">
                  <wp:posOffset>2501900</wp:posOffset>
                </wp:positionH>
                <wp:positionV relativeFrom="paragraph">
                  <wp:posOffset>2581910</wp:posOffset>
                </wp:positionV>
                <wp:extent cx="592853" cy="321387"/>
                <wp:effectExtent l="0" t="0" r="17145" b="8890"/>
                <wp:wrapNone/>
                <wp:docPr id="1164810094" name="Doughnut 1"/>
                <wp:cNvGraphicFramePr/>
                <a:graphic xmlns:a="http://schemas.openxmlformats.org/drawingml/2006/main">
                  <a:graphicData uri="http://schemas.microsoft.com/office/word/2010/wordprocessingShape">
                    <wps:wsp>
                      <wps:cNvSpPr/>
                      <wps:spPr>
                        <a:xfrm>
                          <a:off x="0" y="0"/>
                          <a:ext cx="592853" cy="321387"/>
                        </a:xfrm>
                        <a:prstGeom prst="donut">
                          <a:avLst>
                            <a:gd name="adj" fmla="val 2745"/>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B4FB2" id="Doughnut 1" o:spid="_x0000_s1026" type="#_x0000_t23" style="position:absolute;margin-left:197pt;margin-top:203.3pt;width:46.7pt;height:2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" adj="321" fillcolor="#e97132 [3205]" strokecolor="#e97132 [3205]" strokeweight="1pt">
                <v:stroke joinstyle="miter"/>
              </v:shape>
            </w:pict>
          </mc:Fallback>
        </mc:AlternateContent>
      </w:r>
      <w:r>
        <w:rPr>
          <w:noProof/>
        </w:rPr>
        <mc:AlternateContent>
          <mc:Choice Requires="wps">
            <w:drawing>
              <wp:anchor distT="0" distB="0" distL="114300" distR="114300" simplePos="0" relativeHeight="251663360" behindDoc="0" locked="0" layoutInCell="1" allowOverlap="1" wp14:anchorId="1E1FA1E7" wp14:editId="4E1BDB7E">
                <wp:simplePos x="0" y="0"/>
                <wp:positionH relativeFrom="column">
                  <wp:posOffset>2662813</wp:posOffset>
                </wp:positionH>
                <wp:positionV relativeFrom="paragraph">
                  <wp:posOffset>2180492</wp:posOffset>
                </wp:positionV>
                <wp:extent cx="702910" cy="321387"/>
                <wp:effectExtent l="0" t="0" r="8890" b="8890"/>
                <wp:wrapNone/>
                <wp:docPr id="1318255693" name="Doughnut 1"/>
                <wp:cNvGraphicFramePr/>
                <a:graphic xmlns:a="http://schemas.openxmlformats.org/drawingml/2006/main">
                  <a:graphicData uri="http://schemas.microsoft.com/office/word/2010/wordprocessingShape">
                    <wps:wsp>
                      <wps:cNvSpPr/>
                      <wps:spPr>
                        <a:xfrm>
                          <a:off x="0" y="0"/>
                          <a:ext cx="702910" cy="321387"/>
                        </a:xfrm>
                        <a:prstGeom prst="donut">
                          <a:avLst>
                            <a:gd name="adj" fmla="val 2745"/>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B7361" id="Doughnut 1" o:spid="_x0000_s1026" type="#_x0000_t23" style="position:absolute;margin-left:209.65pt;margin-top:171.7pt;width:55.35pt;height:2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" adj="271" fillcolor="#e97132 [3205]" strokecolor="#e97132 [3205]" strokeweight="1pt">
                <v:stroke joinstyle="miter"/>
              </v:shape>
            </w:pict>
          </mc:Fallback>
        </mc:AlternateContent>
      </w:r>
      <w:r>
        <w:rPr>
          <w:noProof/>
        </w:rPr>
        <mc:AlternateContent>
          <mc:Choice Requires="wps">
            <w:drawing>
              <wp:anchor distT="0" distB="0" distL="114300" distR="114300" simplePos="0" relativeHeight="251659264" behindDoc="0" locked="0" layoutInCell="1" allowOverlap="1" wp14:anchorId="76DE0ACF" wp14:editId="15E6B8A1">
                <wp:simplePos x="0" y="0"/>
                <wp:positionH relativeFrom="column">
                  <wp:posOffset>4320790</wp:posOffset>
                </wp:positionH>
                <wp:positionV relativeFrom="paragraph">
                  <wp:posOffset>1487156</wp:posOffset>
                </wp:positionV>
                <wp:extent cx="592853" cy="321387"/>
                <wp:effectExtent l="0" t="0" r="17145" b="8890"/>
                <wp:wrapNone/>
                <wp:docPr id="1733058149" name="Doughnut 1"/>
                <wp:cNvGraphicFramePr/>
                <a:graphic xmlns:a="http://schemas.openxmlformats.org/drawingml/2006/main">
                  <a:graphicData uri="http://schemas.microsoft.com/office/word/2010/wordprocessingShape">
                    <wps:wsp>
                      <wps:cNvSpPr/>
                      <wps:spPr>
                        <a:xfrm>
                          <a:off x="0" y="0"/>
                          <a:ext cx="592853" cy="321387"/>
                        </a:xfrm>
                        <a:prstGeom prst="donut">
                          <a:avLst>
                            <a:gd name="adj" fmla="val 2745"/>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178FF9" id="Doughnut 1" o:spid="_x0000_s1026" type="#_x0000_t23" style="position:absolute;margin-left:340.2pt;margin-top:117.1pt;width:46.7pt;height:2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" adj="321" fillcolor="#e97132 [3205]" strokecolor="#e97132 [3205]" strokeweight="1pt">
                <v:stroke joinstyle="miter"/>
              </v:shape>
            </w:pict>
          </mc:Fallback>
        </mc:AlternateContent>
      </w:r>
      <w:r w:rsidR="00827C67" w:rsidRPr="00827C67">
        <w:fldChar w:fldCharType="begin"/>
      </w:r>
      <w:r w:rsidR="00827C67" w:rsidRPr="00827C67">
        <w:instrText xml:space="preserve"> INCLUDEPICTURE "https://www.researchgate.net/figure/publication/349083776/figure/fig1/AS:1020880498982914@1620408286466/Research-onion-Saunders-et-al-2019-p-108.png" \* MERGEFORMATINET </w:instrText>
      </w:r>
      <w:r w:rsidR="00827C67" w:rsidRPr="00827C67">
        <w:fldChar w:fldCharType="separate"/>
      </w:r>
      <w:r w:rsidR="00827C67" w:rsidRPr="00827C67">
        <w:rPr>
          <w:noProof/>
        </w:rPr>
        <mc:AlternateContent>
          <mc:Choice Requires="wps">
            <w:drawing>
              <wp:inline distT="0" distB="0" distL="0" distR="0" wp14:anchorId="0F7FB68F" wp14:editId="626C585C">
                <wp:extent cx="308610" cy="308610"/>
                <wp:effectExtent l="0" t="0" r="0" b="0"/>
                <wp:docPr id="1541256469" name="Rectangle 1" descr="| Research onion (Saunders et al., 2019, p. 1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5EDBCB" id="Rectangle 1" o:spid="_x0000_s1026" alt="| Research onion (Saunders et al., 2019, p. 108)."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" filled="f" stroked="f">
                <o:lock v:ext="edit" aspectratio="t"/>
                <w10:anchorlock/>
              </v:rect>
            </w:pict>
          </mc:Fallback>
        </mc:AlternateContent>
      </w:r>
      <w:r w:rsidR="00827C67" w:rsidRPr="00827C67">
        <w:fldChar w:fldCharType="end"/>
      </w:r>
      <w:r w:rsidR="00827C67" w:rsidRPr="00827C67">
        <w:rPr>
          <w:noProof/>
        </w:rPr>
        <w:drawing>
          <wp:inline distT="0" distB="0" distL="0" distR="0" wp14:anchorId="04EA6124" wp14:editId="2C5C96F6">
            <wp:extent cx="5397500" cy="3454400"/>
            <wp:effectExtent l="0" t="0" r="0" b="0"/>
            <wp:docPr id="1244157202"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57202" name="Picture 3" descr="A diagram of a diagram&#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397500" cy="3454400"/>
                    </a:xfrm>
                    <a:prstGeom prst="rect">
                      <a:avLst/>
                    </a:prstGeom>
                  </pic:spPr>
                </pic:pic>
              </a:graphicData>
            </a:graphic>
          </wp:inline>
        </w:drawing>
      </w:r>
    </w:p>
    <w:p w14:paraId="4DA02B41" w14:textId="67DB25C8" w:rsidR="00827C67" w:rsidRPr="00827C67" w:rsidRDefault="00827C67" w:rsidP="00827C67">
      <w:pPr>
        <w:pStyle w:val="Heading2"/>
        <w:rPr>
          <w:rFonts w:ascii="Arial" w:hAnsi="Arial" w:cs="Arial"/>
          <w:color w:val="000000" w:themeColor="text1"/>
          <w:sz w:val="20"/>
          <w:szCs w:val="20"/>
        </w:rPr>
      </w:pPr>
      <w:r w:rsidRPr="00827C67">
        <w:rPr>
          <w:rFonts w:ascii="Arial" w:hAnsi="Arial" w:cs="Arial"/>
          <w:color w:val="000000" w:themeColor="text1"/>
          <w:sz w:val="20"/>
          <w:szCs w:val="20"/>
        </w:rPr>
        <w:t xml:space="preserve">          Figure 3.2: Saunders research Onion Stella et al (2021)</w:t>
      </w:r>
    </w:p>
    <w:p w14:paraId="3F0E6123" w14:textId="77777777" w:rsidR="00827C67" w:rsidRDefault="00827C67" w:rsidP="00827C67"/>
    <w:p w14:paraId="1D65CEB2" w14:textId="77777777" w:rsidR="00827C67" w:rsidRPr="00827C67" w:rsidRDefault="00827C67" w:rsidP="00827C67"/>
    <w:p w14:paraId="3B6C2095" w14:textId="77777777" w:rsidR="00827C67" w:rsidRDefault="00827C67" w:rsidP="00827C67">
      <w:pPr>
        <w:spacing w:line="360" w:lineRule="auto"/>
        <w:rPr>
          <w:rFonts w:ascii="Arial" w:hAnsi="Arial" w:cs="Arial"/>
          <w:color w:val="000000"/>
        </w:rPr>
      </w:pPr>
    </w:p>
    <w:p w14:paraId="1FB526EA" w14:textId="287CF131" w:rsidR="00827C67" w:rsidRDefault="00827C67" w:rsidP="00827C67">
      <w:pPr>
        <w:pStyle w:val="Heading2"/>
        <w:rPr>
          <w:rFonts w:eastAsia="Times New Roman"/>
          <w:color w:val="000000" w:themeColor="text1"/>
          <w:u w:val="single"/>
          <w:lang w:eastAsia="en-GB"/>
        </w:rPr>
      </w:pPr>
      <w:r w:rsidRPr="00827C67">
        <w:rPr>
          <w:rFonts w:eastAsia="Times New Roman"/>
          <w:color w:val="000000" w:themeColor="text1"/>
          <w:u w:val="single"/>
          <w:lang w:eastAsia="en-GB"/>
        </w:rPr>
        <w:t xml:space="preserve">3.3 Philosophy </w:t>
      </w:r>
    </w:p>
    <w:p w14:paraId="1B5E2458" w14:textId="0A7491AA" w:rsidR="00827C67" w:rsidRDefault="00827C67" w:rsidP="00827C67">
      <w:pPr>
        <w:spacing w:line="360" w:lineRule="auto"/>
        <w:rPr>
          <w:rFonts w:ascii="Arial" w:hAnsi="Arial" w:cs="Arial"/>
          <w:color w:val="000000"/>
        </w:rPr>
      </w:pPr>
      <w:r w:rsidRPr="00827C67">
        <w:rPr>
          <w:rFonts w:ascii="Arial" w:hAnsi="Arial" w:cs="Arial"/>
          <w:color w:val="000000"/>
        </w:rPr>
        <w:t>This research is based on interpretivism</w:t>
      </w:r>
      <w:r>
        <w:rPr>
          <w:rFonts w:ascii="Arial" w:hAnsi="Arial" w:cs="Arial"/>
          <w:color w:val="000000"/>
        </w:rPr>
        <w:t xml:space="preserve">. According to </w:t>
      </w:r>
      <w:r w:rsidRPr="00827C67">
        <w:rPr>
          <w:rFonts w:ascii="Arial" w:hAnsi="Arial" w:cs="Arial"/>
          <w:color w:val="000000"/>
        </w:rPr>
        <w:t>Wyse et al (2017)</w:t>
      </w:r>
      <w:r>
        <w:rPr>
          <w:rFonts w:ascii="Arial" w:hAnsi="Arial" w:cs="Arial"/>
          <w:color w:val="000000"/>
        </w:rPr>
        <w:t xml:space="preserve">, </w:t>
      </w:r>
      <w:r w:rsidRPr="00827C67">
        <w:rPr>
          <w:rFonts w:ascii="Arial" w:hAnsi="Arial" w:cs="Arial"/>
          <w:color w:val="000000"/>
        </w:rPr>
        <w:t xml:space="preserve">it is a philosophy that emphasises understanding people's subjective meanings and experiences. </w:t>
      </w:r>
      <w:r>
        <w:rPr>
          <w:rFonts w:ascii="Arial" w:hAnsi="Arial" w:cs="Arial"/>
          <w:color w:val="000000"/>
        </w:rPr>
        <w:t xml:space="preserve">In line with </w:t>
      </w:r>
      <w:r w:rsidRPr="00827C67">
        <w:rPr>
          <w:rFonts w:ascii="Arial" w:hAnsi="Arial" w:cs="Arial"/>
          <w:color w:val="000000"/>
        </w:rPr>
        <w:t>Curry (1970)</w:t>
      </w:r>
      <w:r>
        <w:rPr>
          <w:rFonts w:ascii="Arial" w:hAnsi="Arial" w:cs="Arial"/>
          <w:color w:val="000000"/>
        </w:rPr>
        <w:t>,</w:t>
      </w:r>
      <w:r w:rsidRPr="00827C67">
        <w:rPr>
          <w:rFonts w:ascii="Arial" w:hAnsi="Arial" w:cs="Arial"/>
          <w:color w:val="000000"/>
        </w:rPr>
        <w:t xml:space="preserve"> </w:t>
      </w:r>
      <w:r>
        <w:rPr>
          <w:rFonts w:ascii="Arial" w:hAnsi="Arial" w:cs="Arial"/>
          <w:color w:val="000000"/>
        </w:rPr>
        <w:t>i</w:t>
      </w:r>
      <w:r w:rsidRPr="00827C67">
        <w:rPr>
          <w:rFonts w:ascii="Arial" w:hAnsi="Arial" w:cs="Arial"/>
          <w:color w:val="000000"/>
        </w:rPr>
        <w:t xml:space="preserve">nterpretivism is pertinent to this study because it </w:t>
      </w:r>
      <w:r>
        <w:rPr>
          <w:rFonts w:ascii="Arial" w:hAnsi="Arial" w:cs="Arial"/>
          <w:color w:val="000000"/>
        </w:rPr>
        <w:t xml:space="preserve">focuses on individual such as </w:t>
      </w:r>
      <w:r w:rsidRPr="00827C67">
        <w:rPr>
          <w:rFonts w:ascii="Arial" w:hAnsi="Arial" w:cs="Arial"/>
          <w:color w:val="000000"/>
        </w:rPr>
        <w:t xml:space="preserve">frontline police officers perceive and respond to mental health-related calls. </w:t>
      </w:r>
      <w:r>
        <w:rPr>
          <w:rFonts w:ascii="Arial" w:hAnsi="Arial" w:cs="Arial"/>
          <w:color w:val="000000"/>
        </w:rPr>
        <w:t>As stated by Sullivan (2021), b</w:t>
      </w:r>
      <w:r w:rsidRPr="00827C67">
        <w:rPr>
          <w:rFonts w:ascii="Arial" w:hAnsi="Arial" w:cs="Arial"/>
          <w:color w:val="000000"/>
        </w:rPr>
        <w:t>y focussing on individual perspectives, this approach captures the complexities and depth of human behaviour, which is critical for investigating officers' preparation and the influence on their mental health.</w:t>
      </w:r>
      <w:r>
        <w:rPr>
          <w:rFonts w:ascii="Arial" w:hAnsi="Arial" w:cs="Arial"/>
          <w:color w:val="000000"/>
        </w:rPr>
        <w:t xml:space="preserve"> In accordance </w:t>
      </w:r>
      <w:r w:rsidRPr="00827C67">
        <w:rPr>
          <w:rFonts w:ascii="Arial" w:hAnsi="Arial" w:cs="Arial"/>
          <w:color w:val="000000"/>
        </w:rPr>
        <w:t>with Adair-</w:t>
      </w:r>
      <w:proofErr w:type="spellStart"/>
      <w:r w:rsidRPr="00827C67">
        <w:rPr>
          <w:rFonts w:ascii="Arial" w:hAnsi="Arial" w:cs="Arial"/>
          <w:color w:val="000000"/>
        </w:rPr>
        <w:t>Toteff</w:t>
      </w:r>
      <w:proofErr w:type="spellEnd"/>
      <w:r w:rsidRPr="00827C67">
        <w:rPr>
          <w:rFonts w:ascii="Arial" w:hAnsi="Arial" w:cs="Arial"/>
          <w:color w:val="000000"/>
        </w:rPr>
        <w:t xml:space="preserve"> (2021),</w:t>
      </w:r>
      <w:r>
        <w:rPr>
          <w:rFonts w:ascii="-webkit-standard" w:hAnsi="-webkit-standard"/>
          <w:color w:val="000000"/>
          <w:sz w:val="27"/>
          <w:szCs w:val="27"/>
        </w:rPr>
        <w:t xml:space="preserve"> </w:t>
      </w:r>
      <w:r>
        <w:rPr>
          <w:rFonts w:ascii="Arial" w:hAnsi="Arial" w:cs="Arial"/>
          <w:color w:val="000000"/>
        </w:rPr>
        <w:t>t</w:t>
      </w:r>
      <w:r w:rsidRPr="00827C67">
        <w:rPr>
          <w:rFonts w:ascii="Arial" w:hAnsi="Arial" w:cs="Arial"/>
          <w:color w:val="000000"/>
        </w:rPr>
        <w:t>he interpretivist approach recognises that the social reality of policing is fundamentally complicated, affected by cultural, organisational, and human variables. This perspective allows for a more in-depth examination of how officers deal with the problems of mental health calls, their judgements of their own preparedness, and the psychological impact of these interactions. It also enables the discovery of themes and patterns in officers' experiences, resulting in a rich, contextual understanding of the phenomenon being studied.</w:t>
      </w:r>
    </w:p>
    <w:p w14:paraId="35D8A4FF" w14:textId="4526C486" w:rsidR="00827C67" w:rsidRDefault="00827C67" w:rsidP="00827C67">
      <w:pPr>
        <w:pStyle w:val="Heading2"/>
        <w:rPr>
          <w:rFonts w:eastAsia="Times New Roman"/>
          <w:color w:val="000000" w:themeColor="text1"/>
          <w:u w:val="single"/>
          <w:lang w:eastAsia="en-GB"/>
        </w:rPr>
      </w:pPr>
      <w:r w:rsidRPr="00827C67">
        <w:rPr>
          <w:rFonts w:eastAsia="Times New Roman"/>
          <w:color w:val="000000" w:themeColor="text1"/>
          <w:u w:val="single"/>
          <w:lang w:eastAsia="en-GB"/>
        </w:rPr>
        <w:lastRenderedPageBreak/>
        <w:t xml:space="preserve">3.4 Research </w:t>
      </w:r>
      <w:r>
        <w:rPr>
          <w:rFonts w:eastAsia="Times New Roman"/>
          <w:color w:val="000000" w:themeColor="text1"/>
          <w:u w:val="single"/>
          <w:lang w:eastAsia="en-GB"/>
        </w:rPr>
        <w:t>A</w:t>
      </w:r>
      <w:r w:rsidRPr="00827C67">
        <w:rPr>
          <w:rFonts w:eastAsia="Times New Roman"/>
          <w:color w:val="000000" w:themeColor="text1"/>
          <w:u w:val="single"/>
          <w:lang w:eastAsia="en-GB"/>
        </w:rPr>
        <w:t xml:space="preserve">pproach </w:t>
      </w:r>
    </w:p>
    <w:p w14:paraId="49B49C1A" w14:textId="3367AF2B" w:rsidR="00827C67" w:rsidRPr="00827C67" w:rsidRDefault="00827C67" w:rsidP="00827C67">
      <w:pPr>
        <w:spacing w:line="360" w:lineRule="auto"/>
        <w:rPr>
          <w:rFonts w:ascii="Arial" w:hAnsi="Arial" w:cs="Arial"/>
        </w:rPr>
      </w:pPr>
      <w:r w:rsidRPr="00827C67">
        <w:rPr>
          <w:rFonts w:ascii="Arial" w:hAnsi="Arial" w:cs="Arial"/>
          <w:color w:val="000000"/>
        </w:rPr>
        <w:t xml:space="preserve">An inductive approach underpins the overall methodological framework for this study, which is consistent with the exploratory nature of the research issue. </w:t>
      </w:r>
      <w:r>
        <w:rPr>
          <w:rFonts w:ascii="Arial" w:hAnsi="Arial" w:cs="Arial"/>
          <w:color w:val="000000"/>
        </w:rPr>
        <w:t>In accordance with</w:t>
      </w:r>
      <w:r w:rsidRPr="00827C67">
        <w:rPr>
          <w:rFonts w:ascii="Arial" w:hAnsi="Arial" w:cs="Arial"/>
          <w:color w:val="000000"/>
        </w:rPr>
        <w:t xml:space="preserve"> Bingham (2021), </w:t>
      </w:r>
      <w:r>
        <w:rPr>
          <w:rFonts w:ascii="Arial" w:hAnsi="Arial" w:cs="Arial"/>
          <w:color w:val="000000"/>
        </w:rPr>
        <w:t>i</w:t>
      </w:r>
      <w:r w:rsidRPr="00827C67">
        <w:rPr>
          <w:rFonts w:ascii="Arial" w:hAnsi="Arial" w:cs="Arial"/>
          <w:color w:val="000000"/>
        </w:rPr>
        <w:t xml:space="preserve">nstead of testing pre-existing hypotheses, this study </w:t>
      </w:r>
      <w:r>
        <w:rPr>
          <w:rFonts w:ascii="Arial" w:hAnsi="Arial" w:cs="Arial"/>
          <w:color w:val="000000"/>
        </w:rPr>
        <w:t xml:space="preserve">will </w:t>
      </w:r>
      <w:r w:rsidRPr="00827C67">
        <w:rPr>
          <w:rFonts w:ascii="Arial" w:hAnsi="Arial" w:cs="Arial"/>
          <w:color w:val="000000"/>
        </w:rPr>
        <w:t xml:space="preserve">employ inductive reasoning to develop ideas and insights directly from the data obtained. </w:t>
      </w:r>
      <w:r>
        <w:rPr>
          <w:rFonts w:ascii="Arial" w:hAnsi="Arial" w:cs="Arial"/>
          <w:color w:val="000000"/>
        </w:rPr>
        <w:t xml:space="preserve">As reported by </w:t>
      </w:r>
      <w:proofErr w:type="spellStart"/>
      <w:r w:rsidRPr="00827C67">
        <w:rPr>
          <w:rFonts w:ascii="Arial" w:hAnsi="Arial" w:cs="Arial"/>
          <w:color w:val="000000"/>
        </w:rPr>
        <w:t>Kirubarajan</w:t>
      </w:r>
      <w:proofErr w:type="spellEnd"/>
      <w:r w:rsidRPr="00827C67">
        <w:rPr>
          <w:rFonts w:ascii="Arial" w:hAnsi="Arial" w:cs="Arial"/>
          <w:color w:val="000000"/>
        </w:rPr>
        <w:t xml:space="preserve"> (2021</w:t>
      </w:r>
      <w:r>
        <w:rPr>
          <w:rFonts w:ascii="Arial" w:hAnsi="Arial" w:cs="Arial"/>
          <w:color w:val="000000"/>
        </w:rPr>
        <w:t>), t</w:t>
      </w:r>
      <w:r w:rsidRPr="00827C67">
        <w:rPr>
          <w:rFonts w:ascii="Arial" w:hAnsi="Arial" w:cs="Arial"/>
          <w:color w:val="000000"/>
        </w:rPr>
        <w:t xml:space="preserve">his approach is especially well-suited to studying the intricacies of mental health-related police calls and their impact on officers because it allows for the natural emergence of patterns and themes from participant replies. </w:t>
      </w:r>
      <w:r>
        <w:rPr>
          <w:rFonts w:ascii="Arial" w:hAnsi="Arial" w:cs="Arial"/>
          <w:color w:val="000000"/>
        </w:rPr>
        <w:t xml:space="preserve">In line with </w:t>
      </w:r>
      <w:proofErr w:type="spellStart"/>
      <w:r w:rsidRPr="00827C67">
        <w:rPr>
          <w:rFonts w:ascii="Arial" w:hAnsi="Arial" w:cs="Arial"/>
          <w:color w:val="000000"/>
        </w:rPr>
        <w:t>Kurtaliqi</w:t>
      </w:r>
      <w:proofErr w:type="spellEnd"/>
      <w:r w:rsidRPr="00827C67">
        <w:rPr>
          <w:rFonts w:ascii="Arial" w:hAnsi="Arial" w:cs="Arial"/>
          <w:color w:val="000000"/>
        </w:rPr>
        <w:t xml:space="preserve"> et al (2024), </w:t>
      </w:r>
      <w:r>
        <w:rPr>
          <w:rFonts w:ascii="Arial" w:hAnsi="Arial" w:cs="Arial"/>
          <w:color w:val="000000"/>
        </w:rPr>
        <w:t>t</w:t>
      </w:r>
      <w:r w:rsidRPr="00827C67">
        <w:rPr>
          <w:rFonts w:ascii="Arial" w:hAnsi="Arial" w:cs="Arial"/>
          <w:color w:val="000000"/>
        </w:rPr>
        <w:t xml:space="preserve">he use of mixed approaches improves this process, as qualitative data provides interesting narratives and quantitative data provides measurable insights. </w:t>
      </w:r>
    </w:p>
    <w:p w14:paraId="22B28922" w14:textId="46130949" w:rsidR="00827C67" w:rsidRDefault="00827C67" w:rsidP="00827C67">
      <w:pPr>
        <w:pStyle w:val="Heading2"/>
        <w:rPr>
          <w:color w:val="000000" w:themeColor="text1"/>
          <w:u w:val="single"/>
        </w:rPr>
      </w:pPr>
      <w:r w:rsidRPr="00827C67">
        <w:rPr>
          <w:color w:val="000000" w:themeColor="text1"/>
          <w:u w:val="single"/>
        </w:rPr>
        <w:t xml:space="preserve">3.5 Research Strategy </w:t>
      </w:r>
    </w:p>
    <w:p w14:paraId="6E01423D" w14:textId="0CBA88FE" w:rsidR="00827C67" w:rsidRDefault="00827C67" w:rsidP="00827C67">
      <w:pPr>
        <w:spacing w:line="360" w:lineRule="auto"/>
        <w:rPr>
          <w:rFonts w:ascii="Arial" w:hAnsi="Arial" w:cs="Arial"/>
          <w:color w:val="000000"/>
        </w:rPr>
      </w:pPr>
      <w:r w:rsidRPr="00827C67">
        <w:rPr>
          <w:rFonts w:ascii="Arial" w:hAnsi="Arial" w:cs="Arial"/>
          <w:color w:val="000000"/>
        </w:rPr>
        <w:t>The primary strategy consists of distributing a</w:t>
      </w:r>
      <w:r w:rsidR="00207522">
        <w:rPr>
          <w:rFonts w:ascii="Arial" w:hAnsi="Arial" w:cs="Arial"/>
          <w:color w:val="000000"/>
        </w:rPr>
        <w:t>n</w:t>
      </w:r>
      <w:r w:rsidRPr="00827C67">
        <w:rPr>
          <w:rFonts w:ascii="Arial" w:hAnsi="Arial" w:cs="Arial"/>
          <w:color w:val="000000"/>
        </w:rPr>
        <w:t xml:space="preserve"> </w:t>
      </w:r>
      <w:r w:rsidR="00207522">
        <w:rPr>
          <w:rFonts w:ascii="Arial" w:hAnsi="Arial" w:cs="Arial"/>
          <w:color w:val="000000"/>
        </w:rPr>
        <w:t xml:space="preserve">online </w:t>
      </w:r>
      <w:r w:rsidRPr="00827C67">
        <w:rPr>
          <w:rFonts w:ascii="Arial" w:hAnsi="Arial" w:cs="Arial"/>
          <w:color w:val="000000"/>
        </w:rPr>
        <w:t xml:space="preserve">survey to front-line police officers. Surveys were chosen because </w:t>
      </w:r>
      <w:r>
        <w:rPr>
          <w:rFonts w:ascii="Arial" w:hAnsi="Arial" w:cs="Arial"/>
          <w:color w:val="000000"/>
        </w:rPr>
        <w:t xml:space="preserve">according to </w:t>
      </w:r>
      <w:r w:rsidRPr="00827C67">
        <w:rPr>
          <w:rFonts w:ascii="Arial" w:hAnsi="Arial" w:cs="Arial"/>
          <w:color w:val="000000"/>
        </w:rPr>
        <w:t>Jain (2021),</w:t>
      </w:r>
      <w:r>
        <w:rPr>
          <w:rFonts w:ascii="Arial" w:hAnsi="Arial" w:cs="Arial"/>
          <w:color w:val="000000"/>
        </w:rPr>
        <w:t xml:space="preserve"> t</w:t>
      </w:r>
      <w:r w:rsidRPr="00827C67">
        <w:rPr>
          <w:rFonts w:ascii="Arial" w:hAnsi="Arial" w:cs="Arial"/>
          <w:color w:val="000000"/>
        </w:rPr>
        <w:t xml:space="preserve">hey are efficient in collecting data from many participants and can capture both quantitative and qualitative insights. The survey </w:t>
      </w:r>
      <w:r>
        <w:rPr>
          <w:rFonts w:ascii="Arial" w:hAnsi="Arial" w:cs="Arial"/>
          <w:color w:val="000000"/>
        </w:rPr>
        <w:t>will have</w:t>
      </w:r>
      <w:r w:rsidRPr="00827C67">
        <w:rPr>
          <w:rFonts w:ascii="Arial" w:hAnsi="Arial" w:cs="Arial"/>
          <w:color w:val="000000"/>
        </w:rPr>
        <w:t xml:space="preserve"> both closed-ended questions to collect numerical data and open-ended questions to elicit personal experiences and opinions. The non-probability sampling approach known as convenience sampling </w:t>
      </w:r>
      <w:r>
        <w:rPr>
          <w:rFonts w:ascii="Arial" w:hAnsi="Arial" w:cs="Arial"/>
          <w:color w:val="000000"/>
        </w:rPr>
        <w:t>will be</w:t>
      </w:r>
      <w:r w:rsidRPr="00827C67">
        <w:rPr>
          <w:rFonts w:ascii="Arial" w:hAnsi="Arial" w:cs="Arial"/>
          <w:color w:val="000000"/>
        </w:rPr>
        <w:t xml:space="preserve"> used. While this method limits the findings' generalisability, it does provide access to a specific and relevant group of participants who are directly involved in a</w:t>
      </w:r>
      <w:r>
        <w:rPr>
          <w:rFonts w:ascii="Arial" w:hAnsi="Arial" w:cs="Arial"/>
          <w:color w:val="000000"/>
        </w:rPr>
        <w:t xml:space="preserve">ttending </w:t>
      </w:r>
      <w:r w:rsidRPr="00827C67">
        <w:rPr>
          <w:rFonts w:ascii="Arial" w:hAnsi="Arial" w:cs="Arial"/>
          <w:color w:val="000000"/>
        </w:rPr>
        <w:t>mental health-related calls.</w:t>
      </w:r>
    </w:p>
    <w:p w14:paraId="4FDB5365" w14:textId="77777777" w:rsidR="00827C67" w:rsidRDefault="00827C67" w:rsidP="00827C67">
      <w:pPr>
        <w:spacing w:line="360" w:lineRule="auto"/>
        <w:rPr>
          <w:rFonts w:ascii="Arial" w:hAnsi="Arial" w:cs="Arial"/>
          <w:color w:val="000000"/>
        </w:rPr>
      </w:pPr>
    </w:p>
    <w:p w14:paraId="29AD38E1" w14:textId="7F891C08" w:rsidR="00827C67" w:rsidRDefault="00827C67" w:rsidP="00827C67">
      <w:pPr>
        <w:pStyle w:val="Heading2"/>
        <w:rPr>
          <w:rFonts w:eastAsia="Times New Roman"/>
          <w:color w:val="000000" w:themeColor="text1"/>
          <w:u w:val="single"/>
          <w:lang w:eastAsia="en-GB"/>
        </w:rPr>
      </w:pPr>
      <w:r w:rsidRPr="00827C67">
        <w:rPr>
          <w:rFonts w:eastAsia="Times New Roman"/>
          <w:color w:val="000000" w:themeColor="text1"/>
          <w:u w:val="single"/>
          <w:lang w:eastAsia="en-GB"/>
        </w:rPr>
        <w:t xml:space="preserve">3.6 Choices </w:t>
      </w:r>
    </w:p>
    <w:p w14:paraId="70934E49" w14:textId="0251C56E" w:rsidR="00827C67" w:rsidRDefault="00827C67" w:rsidP="00827C67">
      <w:pPr>
        <w:spacing w:line="360" w:lineRule="auto"/>
        <w:rPr>
          <w:rFonts w:ascii="Arial" w:hAnsi="Arial" w:cs="Arial"/>
          <w:color w:val="000000"/>
        </w:rPr>
      </w:pPr>
      <w:r w:rsidRPr="00827C67">
        <w:rPr>
          <w:rFonts w:ascii="Arial" w:hAnsi="Arial" w:cs="Arial"/>
          <w:color w:val="000000"/>
        </w:rPr>
        <w:t>Choices represent the fourth layer of Saunders et al.'s "Research Onion," focusing on the selection of methodological approaches</w:t>
      </w:r>
      <w:r>
        <w:rPr>
          <w:rFonts w:ascii="Arial" w:hAnsi="Arial" w:cs="Arial"/>
          <w:color w:val="000000"/>
        </w:rPr>
        <w:t>. As attested by</w:t>
      </w:r>
      <w:r>
        <w:rPr>
          <w:rFonts w:ascii="-webkit-standard" w:hAnsi="-webkit-standard"/>
          <w:color w:val="000000"/>
          <w:sz w:val="27"/>
          <w:szCs w:val="27"/>
        </w:rPr>
        <w:t xml:space="preserve"> </w:t>
      </w:r>
      <w:proofErr w:type="spellStart"/>
      <w:r w:rsidRPr="00827C67">
        <w:rPr>
          <w:rFonts w:ascii="Arial" w:hAnsi="Arial" w:cs="Arial"/>
          <w:color w:val="000000"/>
        </w:rPr>
        <w:t>Dawadi</w:t>
      </w:r>
      <w:proofErr w:type="spellEnd"/>
      <w:r w:rsidRPr="00827C67">
        <w:rPr>
          <w:rFonts w:ascii="Arial" w:hAnsi="Arial" w:cs="Arial"/>
          <w:color w:val="000000"/>
        </w:rPr>
        <w:t xml:space="preserve"> et al (2021)</w:t>
      </w:r>
      <w:r>
        <w:rPr>
          <w:rFonts w:ascii="Arial" w:hAnsi="Arial" w:cs="Arial"/>
          <w:color w:val="000000"/>
        </w:rPr>
        <w:t>, a</w:t>
      </w:r>
      <w:r w:rsidRPr="00827C67">
        <w:rPr>
          <w:rFonts w:ascii="Arial" w:hAnsi="Arial" w:cs="Arial"/>
          <w:color w:val="000000"/>
        </w:rPr>
        <w:t xml:space="preserve"> mixed-methodologies strategy combines quantitative and qualitative methods to fully address the research subject. According to Bueno de Mesquita and Fowler (2022),</w:t>
      </w:r>
      <w:r>
        <w:rPr>
          <w:rFonts w:ascii="Arial" w:hAnsi="Arial" w:cs="Arial"/>
          <w:color w:val="000000"/>
        </w:rPr>
        <w:t xml:space="preserve"> q</w:t>
      </w:r>
      <w:r w:rsidRPr="00827C67">
        <w:rPr>
          <w:rFonts w:ascii="Arial" w:hAnsi="Arial" w:cs="Arial"/>
          <w:color w:val="000000"/>
        </w:rPr>
        <w:t>uantitative data</w:t>
      </w:r>
      <w:r>
        <w:rPr>
          <w:rFonts w:ascii="Arial" w:hAnsi="Arial" w:cs="Arial"/>
          <w:color w:val="000000"/>
        </w:rPr>
        <w:t xml:space="preserve"> will help to</w:t>
      </w:r>
      <w:r w:rsidRPr="00827C67">
        <w:rPr>
          <w:rFonts w:ascii="Arial" w:hAnsi="Arial" w:cs="Arial"/>
          <w:color w:val="000000"/>
        </w:rPr>
        <w:t xml:space="preserve"> provide</w:t>
      </w:r>
      <w:r>
        <w:rPr>
          <w:rFonts w:ascii="Arial" w:hAnsi="Arial" w:cs="Arial"/>
          <w:color w:val="000000"/>
        </w:rPr>
        <w:t xml:space="preserve"> </w:t>
      </w:r>
      <w:r w:rsidRPr="00827C67">
        <w:rPr>
          <w:rFonts w:ascii="Arial" w:hAnsi="Arial" w:cs="Arial"/>
          <w:color w:val="000000"/>
        </w:rPr>
        <w:t xml:space="preserve">statistical information about the frequency of mental health calls, officers' preparedness, and the availability of training resources, whereas qualitative data </w:t>
      </w:r>
      <w:r>
        <w:rPr>
          <w:rFonts w:ascii="Arial" w:hAnsi="Arial" w:cs="Arial"/>
          <w:color w:val="000000"/>
        </w:rPr>
        <w:t xml:space="preserve">will </w:t>
      </w:r>
      <w:r w:rsidRPr="00827C67">
        <w:rPr>
          <w:rFonts w:ascii="Arial" w:hAnsi="Arial" w:cs="Arial"/>
          <w:color w:val="000000"/>
        </w:rPr>
        <w:t xml:space="preserve">capture human experiences and emotional nuances. Together, these methodologies </w:t>
      </w:r>
      <w:r>
        <w:rPr>
          <w:rFonts w:ascii="Arial" w:hAnsi="Arial" w:cs="Arial"/>
          <w:color w:val="000000"/>
        </w:rPr>
        <w:t xml:space="preserve">will </w:t>
      </w:r>
      <w:r w:rsidRPr="00827C67">
        <w:rPr>
          <w:rFonts w:ascii="Arial" w:hAnsi="Arial" w:cs="Arial"/>
          <w:color w:val="000000"/>
        </w:rPr>
        <w:t xml:space="preserve">combine statistical trends with subjective narratives to provide a complete knowledge of officers' issues and mental health </w:t>
      </w:r>
      <w:r w:rsidRPr="00827C67">
        <w:rPr>
          <w:rFonts w:ascii="Arial" w:hAnsi="Arial" w:cs="Arial"/>
          <w:color w:val="000000"/>
        </w:rPr>
        <w:lastRenderedPageBreak/>
        <w:t xml:space="preserve">consequences. This approach provides actionable insights for enhancing training and policies while also assuring a fair examination of systemic concerns and individual experiences. </w:t>
      </w:r>
      <w:r>
        <w:rPr>
          <w:rFonts w:ascii="Arial" w:hAnsi="Arial" w:cs="Arial"/>
          <w:color w:val="000000"/>
        </w:rPr>
        <w:t xml:space="preserve">Conforming with </w:t>
      </w:r>
      <w:r w:rsidRPr="00827C67">
        <w:rPr>
          <w:rFonts w:ascii="Arial" w:hAnsi="Arial" w:cs="Arial"/>
          <w:color w:val="000000"/>
        </w:rPr>
        <w:t xml:space="preserve">Gunathilake et al (2024), </w:t>
      </w:r>
      <w:r>
        <w:rPr>
          <w:rFonts w:ascii="Arial" w:hAnsi="Arial" w:cs="Arial"/>
          <w:color w:val="000000"/>
        </w:rPr>
        <w:t>b</w:t>
      </w:r>
      <w:r w:rsidRPr="00827C67">
        <w:rPr>
          <w:rFonts w:ascii="Arial" w:hAnsi="Arial" w:cs="Arial"/>
          <w:color w:val="000000"/>
        </w:rPr>
        <w:t>y using both methodologies, the study</w:t>
      </w:r>
      <w:r>
        <w:rPr>
          <w:rFonts w:ascii="Arial" w:hAnsi="Arial" w:cs="Arial"/>
          <w:color w:val="000000"/>
        </w:rPr>
        <w:t xml:space="preserve"> will</w:t>
      </w:r>
      <w:r w:rsidRPr="00827C67">
        <w:rPr>
          <w:rFonts w:ascii="Arial" w:hAnsi="Arial" w:cs="Arial"/>
          <w:color w:val="000000"/>
        </w:rPr>
        <w:t xml:space="preserve"> achieve depth and breadth in tackling this complex problem.</w:t>
      </w:r>
    </w:p>
    <w:p w14:paraId="3FECDB27" w14:textId="77777777" w:rsidR="00827C67" w:rsidRDefault="00827C67" w:rsidP="00827C67">
      <w:pPr>
        <w:spacing w:line="360" w:lineRule="auto"/>
        <w:rPr>
          <w:rFonts w:ascii="Arial" w:hAnsi="Arial" w:cs="Arial"/>
          <w:color w:val="000000"/>
        </w:rPr>
      </w:pPr>
    </w:p>
    <w:p w14:paraId="29EAFDEA" w14:textId="636A0FEB" w:rsidR="00827C67" w:rsidRDefault="00827C67" w:rsidP="00827C67">
      <w:pPr>
        <w:pStyle w:val="Heading2"/>
        <w:rPr>
          <w:color w:val="000000" w:themeColor="text1"/>
          <w:u w:val="single"/>
        </w:rPr>
      </w:pPr>
      <w:r w:rsidRPr="00827C67">
        <w:rPr>
          <w:color w:val="000000" w:themeColor="text1"/>
          <w:u w:val="single"/>
        </w:rPr>
        <w:t xml:space="preserve">3.7 Time Horizon </w:t>
      </w:r>
    </w:p>
    <w:p w14:paraId="0E0D7315" w14:textId="240E9CA0" w:rsidR="00827C67" w:rsidRDefault="00827C67" w:rsidP="00827C67">
      <w:pPr>
        <w:spacing w:line="360" w:lineRule="auto"/>
        <w:rPr>
          <w:rFonts w:ascii="Arial" w:hAnsi="Arial" w:cs="Arial"/>
          <w:color w:val="000000"/>
        </w:rPr>
      </w:pPr>
      <w:r w:rsidRPr="00827C67">
        <w:rPr>
          <w:rFonts w:ascii="Arial" w:hAnsi="Arial" w:cs="Arial"/>
          <w:color w:val="000000"/>
        </w:rPr>
        <w:t>This study's time horizon will follow a cross-sectional strategy, with data collected at a given point in time to adequately meet the research objectives. This technique will provide a snapshot of police officers' current experiences responding to mental health occurrences, with a focus on Objective 2, which assesses the impact of these episodes on officers' psychological and professional well-</w:t>
      </w:r>
      <w:proofErr w:type="gramStart"/>
      <w:r w:rsidRPr="00827C67">
        <w:rPr>
          <w:rFonts w:ascii="Arial" w:hAnsi="Arial" w:cs="Arial"/>
          <w:color w:val="000000"/>
        </w:rPr>
        <w:t>being..</w:t>
      </w:r>
      <w:proofErr w:type="gramEnd"/>
      <w:r w:rsidRPr="00827C67">
        <w:rPr>
          <w:rFonts w:ascii="Arial" w:hAnsi="Arial" w:cs="Arial"/>
          <w:color w:val="000000"/>
        </w:rPr>
        <w:t xml:space="preserve"> A cross-sectional design provides timely and relevant insights into current dynamics.</w:t>
      </w:r>
    </w:p>
    <w:p w14:paraId="10E0368E" w14:textId="77777777" w:rsidR="00827C67" w:rsidRDefault="00827C67" w:rsidP="00827C67">
      <w:pPr>
        <w:spacing w:line="360" w:lineRule="auto"/>
        <w:rPr>
          <w:rFonts w:ascii="Arial" w:hAnsi="Arial" w:cs="Arial"/>
          <w:color w:val="000000"/>
        </w:rPr>
      </w:pPr>
    </w:p>
    <w:p w14:paraId="2CB04984" w14:textId="77777777" w:rsidR="00827C67" w:rsidRDefault="00827C67" w:rsidP="00827C67">
      <w:pPr>
        <w:pStyle w:val="Heading2"/>
        <w:rPr>
          <w:color w:val="000000" w:themeColor="text1"/>
          <w:u w:val="single"/>
        </w:rPr>
      </w:pPr>
      <w:r>
        <w:rPr>
          <w:color w:val="000000" w:themeColor="text1"/>
          <w:u w:val="single"/>
        </w:rPr>
        <w:t xml:space="preserve">3.8 </w:t>
      </w:r>
      <w:r w:rsidRPr="00827C67">
        <w:rPr>
          <w:color w:val="000000" w:themeColor="text1"/>
          <w:u w:val="single"/>
        </w:rPr>
        <w:t xml:space="preserve">Techniques and Procedures </w:t>
      </w:r>
    </w:p>
    <w:p w14:paraId="30E8C137" w14:textId="75EFEA8E" w:rsidR="00827C67" w:rsidRDefault="00827C67" w:rsidP="00827C67">
      <w:pPr>
        <w:spacing w:line="360" w:lineRule="auto"/>
        <w:rPr>
          <w:rFonts w:ascii="Arial" w:hAnsi="Arial" w:cs="Arial"/>
          <w:color w:val="000000" w:themeColor="text1"/>
        </w:rPr>
      </w:pPr>
      <w:r w:rsidRPr="00827C67">
        <w:rPr>
          <w:rFonts w:ascii="Arial" w:hAnsi="Arial" w:cs="Arial"/>
          <w:color w:val="000000" w:themeColor="text1"/>
        </w:rPr>
        <w:t>The methodology for this study employs a mixed-methods approach, with a focus on addressing specific objectives such as evaluating the impact of responding to mental health incidents on serving police officers, critically examining available support mechanisms, and analysing the potential benefits of alternative organisations trained to handle such calls. The primary data gathering approach will be a</w:t>
      </w:r>
      <w:r w:rsidR="00811ABB">
        <w:rPr>
          <w:rFonts w:ascii="Arial" w:hAnsi="Arial" w:cs="Arial"/>
          <w:color w:val="000000" w:themeColor="text1"/>
        </w:rPr>
        <w:t xml:space="preserve">n online </w:t>
      </w:r>
      <w:r w:rsidRPr="00827C67">
        <w:rPr>
          <w:rFonts w:ascii="Arial" w:hAnsi="Arial" w:cs="Arial"/>
          <w:color w:val="000000" w:themeColor="text1"/>
        </w:rPr>
        <w:t>survey, with the goal of directly capturing officers' viewpoints and experiences. This technique is ideal for gathering quantitative and qualitative insights from a broad sample of officers, ensuring that the data is complete and representative of the policing community's experiences.</w:t>
      </w:r>
    </w:p>
    <w:p w14:paraId="3A343DF1" w14:textId="77777777" w:rsidR="00811ABB" w:rsidRDefault="00811ABB" w:rsidP="00827C67">
      <w:pPr>
        <w:spacing w:line="360" w:lineRule="auto"/>
        <w:rPr>
          <w:rFonts w:ascii="Arial" w:hAnsi="Arial" w:cs="Arial"/>
          <w:color w:val="000000" w:themeColor="text1"/>
        </w:rPr>
      </w:pPr>
    </w:p>
    <w:p w14:paraId="2339B94F" w14:textId="4F2F4C95" w:rsidR="00811ABB" w:rsidRPr="00827C67" w:rsidRDefault="00811ABB" w:rsidP="00811ABB">
      <w:pPr>
        <w:spacing w:line="360" w:lineRule="auto"/>
        <w:rPr>
          <w:rFonts w:ascii="Arial" w:hAnsi="Arial" w:cs="Arial"/>
          <w:color w:val="000000" w:themeColor="text1"/>
        </w:rPr>
      </w:pPr>
      <w:r w:rsidRPr="00827C67">
        <w:rPr>
          <w:rFonts w:ascii="Arial" w:hAnsi="Arial" w:cs="Arial"/>
          <w:color w:val="000000" w:themeColor="text1"/>
        </w:rPr>
        <w:t xml:space="preserve">The survey will be created using Microsoft Forms, which enables the fast design and delivery of online surveys. </w:t>
      </w:r>
      <w:r>
        <w:rPr>
          <w:rFonts w:ascii="Arial" w:hAnsi="Arial" w:cs="Arial"/>
          <w:color w:val="000000" w:themeColor="text1"/>
        </w:rPr>
        <w:t xml:space="preserve">In line with </w:t>
      </w:r>
      <w:r w:rsidRPr="00827C67">
        <w:rPr>
          <w:rFonts w:ascii="Arial" w:hAnsi="Arial" w:cs="Arial"/>
          <w:color w:val="000000"/>
        </w:rPr>
        <w:t>Black et al (2005</w:t>
      </w:r>
      <w:r w:rsidRPr="00811ABB">
        <w:rPr>
          <w:rFonts w:ascii="Arial" w:hAnsi="Arial" w:cs="Arial"/>
          <w:color w:val="000000"/>
          <w:sz w:val="27"/>
          <w:szCs w:val="27"/>
        </w:rPr>
        <w:t>)</w:t>
      </w:r>
      <w:r>
        <w:rPr>
          <w:rFonts w:ascii="-webkit-standard" w:hAnsi="-webkit-standard"/>
          <w:color w:val="000000"/>
          <w:sz w:val="27"/>
          <w:szCs w:val="27"/>
        </w:rPr>
        <w:t xml:space="preserve">, </w:t>
      </w:r>
      <w:r>
        <w:rPr>
          <w:rFonts w:ascii="Arial" w:hAnsi="Arial" w:cs="Arial"/>
          <w:color w:val="000000" w:themeColor="text1"/>
        </w:rPr>
        <w:t>M</w:t>
      </w:r>
      <w:r w:rsidRPr="00827C67">
        <w:rPr>
          <w:rFonts w:ascii="Arial" w:hAnsi="Arial" w:cs="Arial"/>
          <w:color w:val="000000" w:themeColor="text1"/>
        </w:rPr>
        <w:t>icrosoft Forms enables safe data handling, which is consistent with ethical standards in research</w:t>
      </w:r>
      <w:r>
        <w:rPr>
          <w:rFonts w:ascii="Arial" w:hAnsi="Arial" w:cs="Arial"/>
          <w:color w:val="000000" w:themeColor="text1"/>
        </w:rPr>
        <w:t xml:space="preserve"> </w:t>
      </w:r>
      <w:r w:rsidRPr="00827C67">
        <w:rPr>
          <w:rFonts w:ascii="Arial" w:hAnsi="Arial" w:cs="Arial"/>
          <w:color w:val="000000"/>
        </w:rPr>
        <w:t>Bhandari (2024),</w:t>
      </w:r>
      <w:r w:rsidRPr="00827C67">
        <w:rPr>
          <w:rFonts w:ascii="Arial" w:hAnsi="Arial" w:cs="Arial"/>
          <w:color w:val="000000" w:themeColor="text1"/>
        </w:rPr>
        <w:t xml:space="preserve"> the </w:t>
      </w:r>
      <w:r>
        <w:rPr>
          <w:rFonts w:ascii="Arial" w:hAnsi="Arial" w:cs="Arial"/>
          <w:color w:val="000000" w:themeColor="text1"/>
        </w:rPr>
        <w:t>survey</w:t>
      </w:r>
      <w:r w:rsidRPr="00827C67">
        <w:rPr>
          <w:rFonts w:ascii="Arial" w:hAnsi="Arial" w:cs="Arial"/>
          <w:color w:val="000000" w:themeColor="text1"/>
        </w:rPr>
        <w:t xml:space="preserve"> will contain questions to assess officers' impressions of the mental health impact of their roles, the availability and sufficiency of support resources, and their thoughts on the potential benefits of having specialised organisations respond to mental health calls.</w:t>
      </w:r>
      <w:r w:rsidRPr="00827C67">
        <w:rPr>
          <w:rStyle w:val="apple-converted-space"/>
          <w:rFonts w:ascii="Arial" w:eastAsiaTheme="majorEastAsia" w:hAnsi="Arial" w:cs="Arial"/>
          <w:color w:val="000000" w:themeColor="text1"/>
        </w:rPr>
        <w:t> </w:t>
      </w:r>
      <w:r w:rsidRPr="00827C67">
        <w:rPr>
          <w:rFonts w:ascii="Arial" w:hAnsi="Arial" w:cs="Arial"/>
          <w:color w:val="000000" w:themeColor="text1"/>
        </w:rPr>
        <w:t xml:space="preserve">These questions will be based on </w:t>
      </w:r>
      <w:r w:rsidRPr="00827C67">
        <w:rPr>
          <w:rFonts w:ascii="Arial" w:hAnsi="Arial" w:cs="Arial"/>
          <w:color w:val="000000" w:themeColor="text1"/>
        </w:rPr>
        <w:lastRenderedPageBreak/>
        <w:t>existing literature, ensuring that the survey design is directly relevant to the study aims and provides insight into the current condition of policing in connection to mental health incidents.</w:t>
      </w:r>
      <w:r>
        <w:rPr>
          <w:rFonts w:ascii="Arial" w:hAnsi="Arial" w:cs="Arial"/>
          <w:color w:val="000000" w:themeColor="text1"/>
        </w:rPr>
        <w:t xml:space="preserve"> </w:t>
      </w:r>
    </w:p>
    <w:p w14:paraId="66B7CFE2" w14:textId="77777777" w:rsidR="00827C67" w:rsidRPr="00827C67" w:rsidRDefault="00827C67" w:rsidP="00827C67">
      <w:pPr>
        <w:spacing w:line="360" w:lineRule="auto"/>
        <w:rPr>
          <w:rFonts w:ascii="Arial" w:hAnsi="Arial" w:cs="Arial"/>
          <w:color w:val="000000" w:themeColor="text1"/>
        </w:rPr>
      </w:pPr>
    </w:p>
    <w:p w14:paraId="1B8E769A" w14:textId="4B9D094B" w:rsidR="00827C67" w:rsidRDefault="00811ABB" w:rsidP="00827C67">
      <w:pPr>
        <w:spacing w:line="360" w:lineRule="auto"/>
        <w:rPr>
          <w:rFonts w:ascii="Arial" w:hAnsi="Arial" w:cs="Arial"/>
          <w:color w:val="000000" w:themeColor="text1"/>
        </w:rPr>
      </w:pPr>
      <w:r>
        <w:rPr>
          <w:rFonts w:ascii="Arial" w:hAnsi="Arial" w:cs="Arial"/>
          <w:color w:val="000000" w:themeColor="text1"/>
        </w:rPr>
        <w:t xml:space="preserve">Access to participants will be granted through Sian Bamford (Director of mental health for Dyfed Powys Police), where a link to the survey will be displayed on the internal intranet system of Dyfed Powys Police. </w:t>
      </w:r>
      <w:r w:rsidR="00827C67" w:rsidRPr="00827C67">
        <w:rPr>
          <w:rFonts w:ascii="Arial" w:hAnsi="Arial" w:cs="Arial"/>
          <w:color w:val="000000" w:themeColor="text1"/>
        </w:rPr>
        <w:t xml:space="preserve">Participants will be selected using a non-probability sampling method, </w:t>
      </w:r>
      <w:proofErr w:type="spellStart"/>
      <w:r w:rsidR="00827C67" w:rsidRPr="00827C67">
        <w:rPr>
          <w:rFonts w:ascii="Arial" w:hAnsi="Arial" w:cs="Arial"/>
          <w:color w:val="000000"/>
        </w:rPr>
        <w:t>Shamsudin</w:t>
      </w:r>
      <w:proofErr w:type="spellEnd"/>
      <w:r w:rsidR="00827C67" w:rsidRPr="00827C67">
        <w:rPr>
          <w:rFonts w:ascii="Arial" w:hAnsi="Arial" w:cs="Arial"/>
          <w:color w:val="000000"/>
        </w:rPr>
        <w:t xml:space="preserve"> et al (2024)</w:t>
      </w:r>
      <w:r w:rsidR="00827C67" w:rsidRPr="00827C67">
        <w:rPr>
          <w:rFonts w:ascii="Arial" w:hAnsi="Arial" w:cs="Arial"/>
          <w:color w:val="000000" w:themeColor="text1"/>
        </w:rPr>
        <w:t xml:space="preserve">. This strategy was chosen because according to </w:t>
      </w:r>
      <w:proofErr w:type="spellStart"/>
      <w:r w:rsidR="00827C67" w:rsidRPr="00827C67">
        <w:rPr>
          <w:rFonts w:ascii="Arial" w:hAnsi="Arial" w:cs="Arial"/>
          <w:color w:val="000000"/>
        </w:rPr>
        <w:t>Lehdonvirta</w:t>
      </w:r>
      <w:proofErr w:type="spellEnd"/>
      <w:r w:rsidR="00827C67" w:rsidRPr="00827C67">
        <w:rPr>
          <w:rFonts w:ascii="Arial" w:hAnsi="Arial" w:cs="Arial"/>
          <w:color w:val="000000"/>
        </w:rPr>
        <w:t xml:space="preserve"> et al (2020)</w:t>
      </w:r>
      <w:r w:rsidR="00827C67" w:rsidRPr="00827C67">
        <w:rPr>
          <w:rFonts w:ascii="Arial" w:hAnsi="Arial" w:cs="Arial"/>
          <w:color w:val="000000" w:themeColor="text1"/>
        </w:rPr>
        <w:t xml:space="preserve"> its practical advantages include, reaching out to specific groups of interest—police officers who had experienced mental health incidents while on duty. Given the research's specialist character, non-probability sampling enables the inclusion of officers who have direct experience with mental health calls, assuring relevance to the research aims. The sample will be chosen based on their availability and willingness to participate, with an emphasis on gathering a variety of opinions from officers of various ranks, jobs, and geographical areas to ensure data diversity</w:t>
      </w:r>
      <w:r w:rsidR="00827C67">
        <w:rPr>
          <w:rFonts w:ascii="Arial" w:hAnsi="Arial" w:cs="Arial"/>
          <w:color w:val="000000" w:themeColor="text1"/>
        </w:rPr>
        <w:t xml:space="preserve"> </w:t>
      </w:r>
      <w:r w:rsidR="00827C67" w:rsidRPr="00827C67">
        <w:rPr>
          <w:rFonts w:ascii="Arial" w:hAnsi="Arial" w:cs="Arial"/>
          <w:color w:val="000000"/>
        </w:rPr>
        <w:t>Gourd (2023)</w:t>
      </w:r>
      <w:r w:rsidR="00827C67" w:rsidRPr="00827C67">
        <w:rPr>
          <w:rFonts w:ascii="Arial" w:hAnsi="Arial" w:cs="Arial"/>
          <w:color w:val="000000" w:themeColor="text1"/>
        </w:rPr>
        <w:t>.</w:t>
      </w:r>
      <w:r>
        <w:rPr>
          <w:rFonts w:ascii="Arial" w:hAnsi="Arial" w:cs="Arial"/>
          <w:color w:val="000000" w:themeColor="text1"/>
        </w:rPr>
        <w:t xml:space="preserve"> </w:t>
      </w:r>
    </w:p>
    <w:p w14:paraId="09B01ABD" w14:textId="77777777" w:rsidR="00811ABB" w:rsidRPr="00827C67" w:rsidRDefault="00811ABB" w:rsidP="00827C67">
      <w:pPr>
        <w:spacing w:line="360" w:lineRule="auto"/>
        <w:rPr>
          <w:rFonts w:ascii="Arial" w:hAnsi="Arial" w:cs="Arial"/>
          <w:color w:val="000000" w:themeColor="text1"/>
        </w:rPr>
      </w:pPr>
    </w:p>
    <w:p w14:paraId="7C49B667" w14:textId="132F996A" w:rsidR="00827C67" w:rsidRDefault="00827C67" w:rsidP="00827C67">
      <w:pPr>
        <w:spacing w:line="360" w:lineRule="auto"/>
        <w:rPr>
          <w:rFonts w:ascii="Arial" w:hAnsi="Arial" w:cs="Arial"/>
          <w:color w:val="000000" w:themeColor="text1"/>
        </w:rPr>
      </w:pPr>
      <w:r w:rsidRPr="00827C67">
        <w:rPr>
          <w:rFonts w:ascii="Arial" w:hAnsi="Arial" w:cs="Arial"/>
          <w:color w:val="000000" w:themeColor="text1"/>
        </w:rPr>
        <w:t>Data will be analysed using a thematic approach, which</w:t>
      </w:r>
      <w:r>
        <w:rPr>
          <w:rFonts w:ascii="Arial" w:hAnsi="Arial" w:cs="Arial"/>
          <w:color w:val="000000" w:themeColor="text1"/>
        </w:rPr>
        <w:t xml:space="preserve"> according to</w:t>
      </w:r>
      <w:r w:rsidRPr="00827C67">
        <w:rPr>
          <w:rFonts w:ascii="Arial" w:hAnsi="Arial" w:cs="Arial"/>
          <w:color w:val="000000" w:themeColor="text1"/>
        </w:rPr>
        <w:t xml:space="preserve"> </w:t>
      </w:r>
      <w:r w:rsidRPr="00827C67">
        <w:rPr>
          <w:rFonts w:ascii="Arial" w:hAnsi="Arial" w:cs="Arial"/>
          <w:color w:val="000000"/>
        </w:rPr>
        <w:t>Morin et al (2021)</w:t>
      </w:r>
      <w:r w:rsidRPr="00827C67">
        <w:rPr>
          <w:rFonts w:ascii="Arial" w:hAnsi="Arial" w:cs="Arial"/>
          <w:color w:val="000000" w:themeColor="text1"/>
        </w:rPr>
        <w:t xml:space="preserve">, is ideal for discovering patterns and major topics in the responses. This technique will enable the researcher to identify both similarities and differences in police officers' experiences and perspectives, offering valuable insights into how dealing with mental health crises affects their well-being and professional practices. </w:t>
      </w:r>
      <w:r>
        <w:rPr>
          <w:rFonts w:ascii="Arial" w:hAnsi="Arial" w:cs="Arial"/>
          <w:color w:val="000000" w:themeColor="text1"/>
        </w:rPr>
        <w:t xml:space="preserve">Accordant with </w:t>
      </w:r>
      <w:proofErr w:type="spellStart"/>
      <w:r w:rsidRPr="00827C67">
        <w:rPr>
          <w:rFonts w:ascii="Arial" w:hAnsi="Arial" w:cs="Arial"/>
          <w:color w:val="000000"/>
        </w:rPr>
        <w:t>Wolgemuth</w:t>
      </w:r>
      <w:proofErr w:type="spellEnd"/>
      <w:r w:rsidRPr="00827C67">
        <w:rPr>
          <w:rFonts w:ascii="Arial" w:hAnsi="Arial" w:cs="Arial"/>
          <w:color w:val="000000"/>
        </w:rPr>
        <w:t xml:space="preserve"> et al (2025),</w:t>
      </w:r>
      <w:r>
        <w:rPr>
          <w:rFonts w:ascii="-webkit-standard" w:hAnsi="-webkit-standard"/>
          <w:color w:val="000000"/>
          <w:sz w:val="27"/>
          <w:szCs w:val="27"/>
        </w:rPr>
        <w:t xml:space="preserve"> t</w:t>
      </w:r>
      <w:r w:rsidRPr="00827C67">
        <w:rPr>
          <w:rFonts w:ascii="Arial" w:hAnsi="Arial" w:cs="Arial"/>
          <w:color w:val="000000" w:themeColor="text1"/>
        </w:rPr>
        <w:t>hematic analysis is especially useful for analysing qualitative data, such as open-ended responses, because it provides for a more nuanced understanding of the respondents' perspectives. Thematic coding</w:t>
      </w:r>
      <w:r>
        <w:rPr>
          <w:rFonts w:ascii="Arial" w:hAnsi="Arial" w:cs="Arial"/>
          <w:color w:val="000000" w:themeColor="text1"/>
        </w:rPr>
        <w:t xml:space="preserve"> </w:t>
      </w:r>
      <w:r w:rsidRPr="00827C67">
        <w:rPr>
          <w:rFonts w:ascii="Arial" w:hAnsi="Arial" w:cs="Arial"/>
          <w:color w:val="000000"/>
        </w:rPr>
        <w:t>Christou (2022)</w:t>
      </w:r>
      <w:r>
        <w:rPr>
          <w:rFonts w:ascii="-webkit-standard" w:hAnsi="-webkit-standard"/>
          <w:color w:val="000000"/>
          <w:sz w:val="27"/>
          <w:szCs w:val="27"/>
        </w:rPr>
        <w:t xml:space="preserve"> </w:t>
      </w:r>
      <w:r w:rsidRPr="00827C67">
        <w:rPr>
          <w:rFonts w:ascii="Arial" w:hAnsi="Arial" w:cs="Arial"/>
          <w:color w:val="000000" w:themeColor="text1"/>
        </w:rPr>
        <w:t xml:space="preserve">will also be used to detect reoccurring issues with support services and assess the potential impact of involving trained alternative organisations in responding to mental health </w:t>
      </w:r>
      <w:r w:rsidR="00872ECC" w:rsidRPr="00827C67">
        <w:rPr>
          <w:rFonts w:ascii="Arial" w:hAnsi="Arial" w:cs="Arial"/>
          <w:color w:val="000000" w:themeColor="text1"/>
        </w:rPr>
        <w:t>calls. This</w:t>
      </w:r>
      <w:r w:rsidRPr="00827C67">
        <w:rPr>
          <w:rFonts w:ascii="Arial" w:hAnsi="Arial" w:cs="Arial"/>
          <w:color w:val="000000" w:themeColor="text1"/>
        </w:rPr>
        <w:t xml:space="preserve"> methodological approach, which combines a survey with thematic analysis, will add important new perspectives to the continuing debate about the nexus between policing and mental health.</w:t>
      </w:r>
    </w:p>
    <w:p w14:paraId="77EBE19C" w14:textId="77777777" w:rsidR="00827C67" w:rsidRDefault="00827C67" w:rsidP="00827C67">
      <w:pPr>
        <w:spacing w:line="360" w:lineRule="auto"/>
        <w:rPr>
          <w:rFonts w:ascii="Arial" w:hAnsi="Arial" w:cs="Arial"/>
          <w:color w:val="000000" w:themeColor="text1"/>
        </w:rPr>
      </w:pPr>
    </w:p>
    <w:p w14:paraId="41782AA1" w14:textId="77777777" w:rsidR="00827C67" w:rsidRDefault="00827C67" w:rsidP="00827C67">
      <w:pPr>
        <w:pStyle w:val="Heading2"/>
        <w:rPr>
          <w:color w:val="000000" w:themeColor="text1"/>
          <w:u w:val="single"/>
        </w:rPr>
      </w:pPr>
      <w:r w:rsidRPr="00827C67">
        <w:rPr>
          <w:color w:val="000000" w:themeColor="text1"/>
          <w:u w:val="single"/>
        </w:rPr>
        <w:lastRenderedPageBreak/>
        <w:t>3.9 Limitations</w:t>
      </w:r>
    </w:p>
    <w:p w14:paraId="54BFFA36" w14:textId="3D8740F9" w:rsidR="00827C67" w:rsidRPr="00811ABB" w:rsidRDefault="00827C67" w:rsidP="00811ABB">
      <w:pPr>
        <w:spacing w:line="360" w:lineRule="auto"/>
        <w:rPr>
          <w:rFonts w:ascii="Arial" w:hAnsi="Arial" w:cs="Arial"/>
        </w:rPr>
      </w:pPr>
      <w:r w:rsidRPr="00827C67">
        <w:rPr>
          <w:rFonts w:ascii="Arial" w:hAnsi="Arial" w:cs="Arial"/>
          <w:color w:val="000000"/>
        </w:rPr>
        <w:t>Despite the methodology's virtues, there are a few limitations that may have an impact on the research findings. One major restriction is the use of a non-probability sampling approach, which might induce biases in participant selection. By depending on officers who are willing and accessible to participate, the sample may not accurately reflect the diversity of experiences within the police force, potentially skewing the results</w:t>
      </w:r>
      <w:r>
        <w:rPr>
          <w:rFonts w:ascii="Arial" w:hAnsi="Arial" w:cs="Arial"/>
          <w:color w:val="000000"/>
        </w:rPr>
        <w:t xml:space="preserve">. </w:t>
      </w:r>
      <w:r w:rsidRPr="00827C67">
        <w:rPr>
          <w:rFonts w:ascii="Arial" w:hAnsi="Arial" w:cs="Arial"/>
          <w:color w:val="000000"/>
        </w:rPr>
        <w:t xml:space="preserve">Access to participants may sometimes be challenging. Police personnel are frequently confined by time, workloads, and hierarchical structures, which can impede recruitment attempts and result in a lower response rate. </w:t>
      </w:r>
      <w:r w:rsidR="00811ABB">
        <w:rPr>
          <w:rFonts w:ascii="Arial" w:hAnsi="Arial" w:cs="Arial"/>
          <w:color w:val="000000"/>
        </w:rPr>
        <w:t xml:space="preserve">A study carried out by </w:t>
      </w:r>
      <w:r w:rsidR="00811ABB" w:rsidRPr="00811ABB">
        <w:rPr>
          <w:rFonts w:ascii="Arial" w:hAnsi="Arial" w:cs="Arial"/>
          <w:color w:val="000000"/>
        </w:rPr>
        <w:t xml:space="preserve">Nix et al (2017) found that, over the course of nine years, the average response rate to police officer surveys published in the </w:t>
      </w:r>
      <w:proofErr w:type="gramStart"/>
      <w:r w:rsidR="00811ABB" w:rsidRPr="00811ABB">
        <w:rPr>
          <w:rFonts w:ascii="Arial" w:hAnsi="Arial" w:cs="Arial"/>
          <w:color w:val="000000"/>
        </w:rPr>
        <w:t>aforementioned journals</w:t>
      </w:r>
      <w:proofErr w:type="gramEnd"/>
      <w:r w:rsidR="00811ABB" w:rsidRPr="00811ABB">
        <w:rPr>
          <w:rFonts w:ascii="Arial" w:hAnsi="Arial" w:cs="Arial"/>
          <w:color w:val="000000"/>
        </w:rPr>
        <w:t xml:space="preserve"> was 64.3%. Response rates varied greatly, ranging from 5.2% to 100%.</w:t>
      </w:r>
      <w:r w:rsidR="00811ABB">
        <w:rPr>
          <w:rFonts w:ascii="Arial" w:hAnsi="Arial" w:cs="Arial"/>
          <w:color w:val="000000"/>
        </w:rPr>
        <w:t xml:space="preserve"> Nix et al (2017) reiterates the reason for low response rates are h</w:t>
      </w:r>
      <w:r w:rsidR="00811ABB" w:rsidRPr="00811ABB">
        <w:rPr>
          <w:rFonts w:ascii="Arial" w:hAnsi="Arial" w:cs="Arial"/>
          <w:color w:val="000000"/>
        </w:rPr>
        <w:t>igh workload and stress levels, concerns about privacy and potential consequences for their responses and limited time to complete surveys during police officer’s tight schedules</w:t>
      </w:r>
      <w:r w:rsidR="00811ABB">
        <w:rPr>
          <w:rFonts w:ascii="Arial" w:hAnsi="Arial" w:cs="Arial"/>
          <w:color w:val="000000"/>
        </w:rPr>
        <w:t>.</w:t>
      </w:r>
      <w:r w:rsidR="00811ABB" w:rsidRPr="00827C67">
        <w:rPr>
          <w:rFonts w:ascii="Arial" w:hAnsi="Arial" w:cs="Arial"/>
          <w:color w:val="000000"/>
        </w:rPr>
        <w:t xml:space="preserve"> </w:t>
      </w:r>
      <w:proofErr w:type="gramStart"/>
      <w:r w:rsidR="00811ABB" w:rsidRPr="00827C67">
        <w:rPr>
          <w:rFonts w:ascii="Arial" w:hAnsi="Arial" w:cs="Arial"/>
          <w:color w:val="000000"/>
        </w:rPr>
        <w:t>T</w:t>
      </w:r>
      <w:r w:rsidR="00811ABB">
        <w:rPr>
          <w:rFonts w:ascii="Arial" w:hAnsi="Arial" w:cs="Arial"/>
          <w:color w:val="000000"/>
        </w:rPr>
        <w:t>hese</w:t>
      </w:r>
      <w:r w:rsidRPr="00827C67">
        <w:rPr>
          <w:rFonts w:ascii="Arial" w:hAnsi="Arial" w:cs="Arial"/>
          <w:color w:val="000000"/>
        </w:rPr>
        <w:t xml:space="preserve"> constraint</w:t>
      </w:r>
      <w:proofErr w:type="gramEnd"/>
      <w:r w:rsidRPr="00827C67">
        <w:rPr>
          <w:rFonts w:ascii="Arial" w:hAnsi="Arial" w:cs="Arial"/>
          <w:color w:val="000000"/>
        </w:rPr>
        <w:t xml:space="preserve"> may limit the breadth of the data obtained and thus the depth of the analysis. </w:t>
      </w:r>
    </w:p>
    <w:p w14:paraId="5C68132C" w14:textId="77777777" w:rsidR="00827C67" w:rsidRDefault="00827C67" w:rsidP="00827C67">
      <w:pPr>
        <w:spacing w:line="360" w:lineRule="auto"/>
        <w:rPr>
          <w:rFonts w:ascii="Arial" w:hAnsi="Arial" w:cs="Arial"/>
          <w:color w:val="000000"/>
        </w:rPr>
      </w:pPr>
    </w:p>
    <w:p w14:paraId="6423769D" w14:textId="3DEA31AA" w:rsidR="00827C67" w:rsidRDefault="00827C67" w:rsidP="00827C67">
      <w:pPr>
        <w:spacing w:line="360" w:lineRule="auto"/>
        <w:rPr>
          <w:rFonts w:ascii="Arial" w:hAnsi="Arial" w:cs="Arial"/>
          <w:color w:val="000000"/>
        </w:rPr>
      </w:pPr>
      <w:r w:rsidRPr="00827C67">
        <w:rPr>
          <w:rFonts w:ascii="Arial" w:hAnsi="Arial" w:cs="Arial"/>
          <w:color w:val="000000"/>
        </w:rPr>
        <w:t>Furthermore, relying solely on surveys for data collecting may limit the data's richness, as open-ended responses may not provide as thorough a perspective as in-depth interviews or focus groups. Finally, while theme analysis can assist find trends in replies, its subjective nature may contribute to researcher bias when interpreting the data. These limitations underline the necessity of understanding the restraints while contextualising the findings within the larger body of previous knowledge.</w:t>
      </w:r>
      <w:r w:rsidRPr="00827C67">
        <w:rPr>
          <w:rFonts w:ascii="Arial" w:hAnsi="Arial" w:cs="Arial"/>
          <w:color w:val="000000"/>
        </w:rPr>
        <w:br/>
      </w:r>
    </w:p>
    <w:p w14:paraId="2DEC501A" w14:textId="77777777" w:rsidR="00827C67" w:rsidRDefault="00827C67" w:rsidP="00827C67">
      <w:pPr>
        <w:pStyle w:val="Heading2"/>
        <w:rPr>
          <w:color w:val="000000" w:themeColor="text1"/>
          <w:u w:val="single"/>
        </w:rPr>
      </w:pPr>
      <w:r w:rsidRPr="00827C67">
        <w:rPr>
          <w:color w:val="000000" w:themeColor="text1"/>
          <w:u w:val="single"/>
        </w:rPr>
        <w:t xml:space="preserve">3.10 Conclusion </w:t>
      </w:r>
    </w:p>
    <w:p w14:paraId="4A7C32E2" w14:textId="77777777" w:rsidR="00827C67" w:rsidRDefault="00827C67" w:rsidP="00827C67">
      <w:pPr>
        <w:pStyle w:val="NoSpacing"/>
        <w:spacing w:line="360" w:lineRule="auto"/>
        <w:rPr>
          <w:rFonts w:ascii="Arial" w:hAnsi="Arial" w:cs="Arial"/>
          <w:color w:val="000000"/>
        </w:rPr>
      </w:pPr>
      <w:r w:rsidRPr="00827C67">
        <w:rPr>
          <w:rFonts w:ascii="Arial" w:hAnsi="Arial" w:cs="Arial"/>
          <w:color w:val="000000"/>
        </w:rPr>
        <w:t xml:space="preserve">In conclusion, this methodology chapter outlines a structured approach to addressing the research objectives concerning the impact of responding to mental health incidents on police officers, the available support systems, and the potential benefits of alternative organisations trained to respond to these calls. The use of a survey, together with non-probability sampling and thematic analysis, guarantees that the study is well-prepared to collect useful data about police officers' experiences. While the methodology has several strengths, such as its ability to capture diverse </w:t>
      </w:r>
      <w:r w:rsidRPr="00827C67">
        <w:rPr>
          <w:rFonts w:ascii="Arial" w:hAnsi="Arial" w:cs="Arial"/>
          <w:color w:val="000000"/>
        </w:rPr>
        <w:lastRenderedPageBreak/>
        <w:t>perspectives and provide timely insights, there are inherent limitations, including potential sampling biases, limited access to participants, and the constraints of using a survey as the primary data collection method.</w:t>
      </w:r>
    </w:p>
    <w:p w14:paraId="3CE85B8A" w14:textId="77777777" w:rsidR="00827C67" w:rsidRDefault="00827C67" w:rsidP="00827C67">
      <w:pPr>
        <w:pStyle w:val="NoSpacing"/>
        <w:spacing w:line="360" w:lineRule="auto"/>
        <w:rPr>
          <w:rFonts w:ascii="Arial" w:hAnsi="Arial" w:cs="Arial"/>
          <w:color w:val="000000"/>
        </w:rPr>
      </w:pPr>
    </w:p>
    <w:p w14:paraId="42ADFDC7" w14:textId="18DB8D21" w:rsidR="00827C67" w:rsidRPr="00827C67" w:rsidRDefault="00827C67" w:rsidP="00827C67">
      <w:pPr>
        <w:pStyle w:val="NoSpacing"/>
        <w:spacing w:line="360" w:lineRule="auto"/>
        <w:rPr>
          <w:rFonts w:ascii="Arial" w:hAnsi="Arial" w:cs="Arial"/>
          <w:color w:val="000000"/>
        </w:rPr>
      </w:pPr>
      <w:r w:rsidRPr="00827C67">
        <w:rPr>
          <w:rFonts w:ascii="Arial" w:hAnsi="Arial" w:cs="Arial"/>
          <w:color w:val="000000"/>
        </w:rPr>
        <w:t xml:space="preserve"> Despite these limitations, the technique</w:t>
      </w:r>
      <w:r>
        <w:rPr>
          <w:rFonts w:ascii="Arial" w:hAnsi="Arial" w:cs="Arial"/>
          <w:color w:val="000000"/>
        </w:rPr>
        <w:t>s chosen</w:t>
      </w:r>
      <w:r w:rsidRPr="00827C67">
        <w:rPr>
          <w:rFonts w:ascii="Arial" w:hAnsi="Arial" w:cs="Arial"/>
          <w:color w:val="000000"/>
        </w:rPr>
        <w:t xml:space="preserve"> </w:t>
      </w:r>
      <w:r>
        <w:rPr>
          <w:rFonts w:ascii="Arial" w:hAnsi="Arial" w:cs="Arial"/>
          <w:color w:val="000000"/>
        </w:rPr>
        <w:t>are</w:t>
      </w:r>
      <w:r w:rsidRPr="00827C67">
        <w:rPr>
          <w:rFonts w:ascii="Arial" w:hAnsi="Arial" w:cs="Arial"/>
          <w:color w:val="000000"/>
        </w:rPr>
        <w:t xml:space="preserve"> consistent with current literature on police mental health and support networks, providing a clear path to pursuing the research aims and contributing to the ongoing discussion about the confluence of policing and mental health. The study's findings will assist shape future policy and practice by highlighting areas where officers' support can be improved and the possibility of involving alternative organisations in mental health crisis management.</w:t>
      </w:r>
      <w:r w:rsidRPr="00827C67">
        <w:rPr>
          <w:rFonts w:ascii="Arial" w:hAnsi="Arial" w:cs="Arial"/>
        </w:rPr>
        <w:br/>
      </w:r>
      <w:r w:rsidRPr="00827C67">
        <w:rPr>
          <w:rFonts w:ascii="Arial" w:hAnsi="Arial" w:cs="Arial"/>
        </w:rPr>
        <w:br/>
      </w:r>
      <w:r w:rsidRPr="00827C67">
        <w:rPr>
          <w:rFonts w:ascii="Arial" w:hAnsi="Arial" w:cs="Arial"/>
        </w:rPr>
        <w:br/>
      </w:r>
      <w:r w:rsidRPr="00827C67">
        <w:rPr>
          <w:rFonts w:ascii="Arial" w:hAnsi="Arial" w:cs="Arial"/>
        </w:rPr>
        <w:br/>
      </w:r>
      <w:r w:rsidRPr="00827C67">
        <w:rPr>
          <w:rFonts w:ascii="Arial" w:hAnsi="Arial" w:cs="Arial"/>
        </w:rPr>
        <w:br/>
      </w:r>
    </w:p>
    <w:p w14:paraId="36E38691" w14:textId="0645DE92" w:rsidR="00827C67" w:rsidRPr="00827C67" w:rsidRDefault="00827C67" w:rsidP="00827C67">
      <w:pPr>
        <w:spacing w:line="360" w:lineRule="auto"/>
        <w:rPr>
          <w:rFonts w:ascii="Arial" w:hAnsi="Arial" w:cs="Arial"/>
        </w:rPr>
      </w:pPr>
      <w:r w:rsidRPr="00827C67">
        <w:rPr>
          <w:rFonts w:ascii="Arial" w:hAnsi="Arial" w:cs="Arial"/>
        </w:rPr>
        <w:t xml:space="preserve"> </w:t>
      </w:r>
    </w:p>
    <w:p w14:paraId="25FA55AB" w14:textId="264027DC" w:rsidR="00827C67" w:rsidRPr="00827C67" w:rsidRDefault="00827C67" w:rsidP="00827C67">
      <w:pPr>
        <w:pStyle w:val="Heading2"/>
        <w:spacing w:line="360" w:lineRule="auto"/>
        <w:rPr>
          <w:color w:val="000000" w:themeColor="text1"/>
          <w:u w:val="single"/>
        </w:rPr>
      </w:pPr>
      <w:r w:rsidRPr="00827C67">
        <w:rPr>
          <w:rFonts w:ascii="Arial" w:hAnsi="Arial" w:cs="Arial"/>
          <w:color w:val="000000" w:themeColor="text1"/>
          <w:sz w:val="24"/>
          <w:szCs w:val="24"/>
          <w:u w:val="single"/>
        </w:rPr>
        <w:br/>
      </w:r>
      <w:r w:rsidRPr="00827C67">
        <w:rPr>
          <w:rFonts w:ascii="Arial" w:hAnsi="Arial" w:cs="Arial"/>
          <w:color w:val="000000" w:themeColor="text1"/>
          <w:sz w:val="24"/>
          <w:szCs w:val="24"/>
          <w:u w:val="single"/>
        </w:rPr>
        <w:br/>
      </w:r>
      <w:r w:rsidRPr="00827C67">
        <w:rPr>
          <w:rFonts w:ascii="Arial" w:hAnsi="Arial" w:cs="Arial"/>
          <w:color w:val="000000" w:themeColor="text1"/>
          <w:sz w:val="24"/>
          <w:szCs w:val="24"/>
          <w:u w:val="single"/>
        </w:rPr>
        <w:br/>
      </w:r>
      <w:r w:rsidRPr="00827C67">
        <w:rPr>
          <w:rFonts w:ascii="Arial" w:hAnsi="Arial" w:cs="Arial"/>
          <w:color w:val="000000" w:themeColor="text1"/>
          <w:sz w:val="24"/>
          <w:szCs w:val="24"/>
          <w:u w:val="single"/>
        </w:rPr>
        <w:br/>
      </w:r>
      <w:r w:rsidRPr="00827C67">
        <w:rPr>
          <w:rFonts w:ascii="Arial" w:hAnsi="Arial" w:cs="Arial"/>
          <w:color w:val="000000" w:themeColor="text1"/>
          <w:sz w:val="24"/>
          <w:szCs w:val="24"/>
          <w:u w:val="single"/>
        </w:rPr>
        <w:br/>
      </w:r>
      <w:r w:rsidRPr="00827C67">
        <w:rPr>
          <w:color w:val="000000" w:themeColor="text1"/>
          <w:u w:val="single"/>
        </w:rPr>
        <w:br/>
      </w:r>
      <w:r w:rsidRPr="00827C67">
        <w:rPr>
          <w:color w:val="000000" w:themeColor="text1"/>
          <w:u w:val="single"/>
        </w:rPr>
        <w:br/>
      </w:r>
    </w:p>
    <w:p w14:paraId="46FF75ED" w14:textId="6DECB388" w:rsidR="00827C67" w:rsidRPr="00827C67" w:rsidRDefault="00827C67" w:rsidP="00827C67">
      <w:pPr>
        <w:pStyle w:val="Heading2"/>
        <w:rPr>
          <w:color w:val="000000" w:themeColor="text1"/>
          <w:u w:val="single"/>
        </w:rPr>
      </w:pPr>
      <w:r w:rsidRPr="00827C67">
        <w:rPr>
          <w:color w:val="000000" w:themeColor="text1"/>
          <w:u w:val="single"/>
        </w:rPr>
        <w:br/>
      </w:r>
    </w:p>
    <w:p w14:paraId="729BD9C9" w14:textId="77777777" w:rsidR="00827C67" w:rsidRPr="00827C67" w:rsidRDefault="00827C67" w:rsidP="00827C67"/>
    <w:p w14:paraId="5EE0088A" w14:textId="77777777" w:rsidR="00827C67" w:rsidRPr="00827C67" w:rsidRDefault="00827C67" w:rsidP="00827C67"/>
    <w:p w14:paraId="1B60C10B" w14:textId="77777777" w:rsidR="00827C67" w:rsidRPr="00827C67" w:rsidRDefault="00827C67" w:rsidP="00827C67"/>
    <w:p w14:paraId="60853715" w14:textId="719F0CF9" w:rsidR="00827C67" w:rsidRDefault="00827C67" w:rsidP="00827C67">
      <w:pPr>
        <w:spacing w:line="360" w:lineRule="auto"/>
        <w:rPr>
          <w:rFonts w:ascii="Arial" w:hAnsi="Arial" w:cs="Arial"/>
        </w:rPr>
      </w:pPr>
      <w:r>
        <w:rPr>
          <w:rFonts w:ascii="Arial" w:hAnsi="Arial" w:cs="Arial"/>
        </w:rPr>
        <w:t>Word count-1648</w:t>
      </w:r>
    </w:p>
    <w:p w14:paraId="0809F82A" w14:textId="2FEDB99A" w:rsidR="00827C67" w:rsidRDefault="00827C67" w:rsidP="00827C67">
      <w:pPr>
        <w:spacing w:line="360" w:lineRule="auto"/>
        <w:rPr>
          <w:rFonts w:ascii="Arial" w:hAnsi="Arial" w:cs="Arial"/>
        </w:rPr>
      </w:pPr>
      <w:r>
        <w:rPr>
          <w:rFonts w:ascii="Arial" w:hAnsi="Arial" w:cs="Arial"/>
        </w:rPr>
        <w:t xml:space="preserve">148 words over </w:t>
      </w:r>
    </w:p>
    <w:p w14:paraId="3BDD69E6" w14:textId="2D3E5670" w:rsidR="00827C67" w:rsidRDefault="00827C67" w:rsidP="00827C67">
      <w:pPr>
        <w:pStyle w:val="Heading2"/>
        <w:rPr>
          <w:color w:val="000000" w:themeColor="text1"/>
          <w:u w:val="single"/>
        </w:rPr>
      </w:pPr>
      <w:r w:rsidRPr="00827C67">
        <w:rPr>
          <w:color w:val="000000" w:themeColor="text1"/>
          <w:u w:val="single"/>
        </w:rPr>
        <w:lastRenderedPageBreak/>
        <w:t xml:space="preserve">3.11 References </w:t>
      </w:r>
    </w:p>
    <w:p w14:paraId="3FA90F9B" w14:textId="77777777" w:rsidR="00827C67" w:rsidRDefault="00827C67" w:rsidP="00827C67">
      <w:pPr>
        <w:pStyle w:val="NormalWeb"/>
        <w:ind w:left="567" w:hanging="567"/>
        <w:rPr>
          <w:color w:val="000000"/>
        </w:rPr>
      </w:pPr>
      <w:r>
        <w:rPr>
          <w:color w:val="000000"/>
        </w:rPr>
        <w:t>Adair-</w:t>
      </w:r>
      <w:proofErr w:type="spellStart"/>
      <w:r>
        <w:rPr>
          <w:color w:val="000000"/>
        </w:rPr>
        <w:t>Toteff</w:t>
      </w:r>
      <w:proofErr w:type="spellEnd"/>
      <w:r>
        <w:rPr>
          <w:color w:val="000000"/>
        </w:rPr>
        <w:t>, C. (2021) ‘Stephen Turner and the philosophy of the social’,</w:t>
      </w:r>
      <w:r>
        <w:rPr>
          <w:rStyle w:val="apple-converted-space"/>
          <w:rFonts w:eastAsiaTheme="majorEastAsia"/>
          <w:color w:val="000000"/>
        </w:rPr>
        <w:t> </w:t>
      </w:r>
      <w:r>
        <w:rPr>
          <w:i/>
          <w:iCs/>
          <w:color w:val="000000"/>
        </w:rPr>
        <w:t>Stephen Turner and the Philosophy of the Social</w:t>
      </w:r>
      <w:r>
        <w:rPr>
          <w:color w:val="000000"/>
        </w:rPr>
        <w:t>, pp. 1–8. doi:10.1163/9789004449602_002.</w:t>
      </w:r>
      <w:r>
        <w:rPr>
          <w:rStyle w:val="apple-converted-space"/>
          <w:rFonts w:eastAsiaTheme="majorEastAsia"/>
          <w:color w:val="000000"/>
        </w:rPr>
        <w:t> </w:t>
      </w:r>
    </w:p>
    <w:p w14:paraId="53C88892" w14:textId="77777777" w:rsidR="00827C67" w:rsidRDefault="00827C67" w:rsidP="00827C67">
      <w:pPr>
        <w:pStyle w:val="NormalWeb"/>
        <w:ind w:left="567" w:hanging="567"/>
        <w:rPr>
          <w:color w:val="000000"/>
        </w:rPr>
      </w:pPr>
      <w:r>
        <w:rPr>
          <w:color w:val="000000"/>
        </w:rPr>
        <w:t>Bingham, A. (2021) ‘Deductive and inductive approaches to qualitative data analysis: The five-cycle process’,</w:t>
      </w:r>
      <w:r>
        <w:rPr>
          <w:rStyle w:val="apple-converted-space"/>
          <w:rFonts w:eastAsiaTheme="majorEastAsia"/>
          <w:color w:val="000000"/>
        </w:rPr>
        <w:t> </w:t>
      </w:r>
      <w:r>
        <w:rPr>
          <w:i/>
          <w:iCs/>
          <w:color w:val="000000"/>
        </w:rPr>
        <w:t>Proceedings of the 2021 AERA Annual Meeting</w:t>
      </w:r>
      <w:r>
        <w:rPr>
          <w:rStyle w:val="apple-converted-space"/>
          <w:rFonts w:eastAsiaTheme="majorEastAsia"/>
          <w:color w:val="000000"/>
        </w:rPr>
        <w:t> </w:t>
      </w:r>
      <w:r>
        <w:rPr>
          <w:color w:val="000000"/>
        </w:rPr>
        <w:t>[Preprint]. doi:10.3102/1682697.</w:t>
      </w:r>
      <w:r>
        <w:rPr>
          <w:rStyle w:val="apple-converted-space"/>
          <w:rFonts w:eastAsiaTheme="majorEastAsia"/>
          <w:color w:val="000000"/>
        </w:rPr>
        <w:t> </w:t>
      </w:r>
    </w:p>
    <w:p w14:paraId="4F2C2C05" w14:textId="6874B08C" w:rsidR="00827C67" w:rsidRDefault="00827C67" w:rsidP="00827C67">
      <w:pPr>
        <w:pStyle w:val="NormalWeb"/>
        <w:ind w:left="567" w:hanging="567"/>
        <w:rPr>
          <w:rStyle w:val="apple-converted-space"/>
          <w:rFonts w:eastAsiaTheme="majorEastAsia"/>
          <w:color w:val="000000"/>
        </w:rPr>
      </w:pPr>
      <w:r>
        <w:rPr>
          <w:color w:val="000000"/>
        </w:rPr>
        <w:t>Black, I.R.</w:t>
      </w:r>
      <w:r>
        <w:rPr>
          <w:rStyle w:val="apple-converted-space"/>
          <w:rFonts w:eastAsiaTheme="majorEastAsia"/>
          <w:color w:val="000000"/>
        </w:rPr>
        <w:t xml:space="preserve">, </w:t>
      </w:r>
      <w:proofErr w:type="spellStart"/>
      <w:r>
        <w:rPr>
          <w:rStyle w:val="apple-converted-space"/>
          <w:rFonts w:eastAsiaTheme="majorEastAsia"/>
          <w:color w:val="000000"/>
        </w:rPr>
        <w:t>Efron</w:t>
      </w:r>
      <w:proofErr w:type="spellEnd"/>
      <w:r>
        <w:rPr>
          <w:rStyle w:val="apple-converted-space"/>
          <w:rFonts w:eastAsiaTheme="majorEastAsia"/>
          <w:color w:val="000000"/>
        </w:rPr>
        <w:t xml:space="preserve">, A., </w:t>
      </w:r>
      <w:proofErr w:type="spellStart"/>
      <w:r>
        <w:rPr>
          <w:rStyle w:val="apple-converted-space"/>
          <w:rFonts w:eastAsiaTheme="majorEastAsia"/>
          <w:color w:val="000000"/>
        </w:rPr>
        <w:t>Ioannou</w:t>
      </w:r>
      <w:proofErr w:type="spellEnd"/>
      <w:r>
        <w:rPr>
          <w:rStyle w:val="apple-converted-space"/>
          <w:rFonts w:eastAsiaTheme="majorEastAsia"/>
          <w:color w:val="000000"/>
        </w:rPr>
        <w:t xml:space="preserve">, C. and Rose, </w:t>
      </w:r>
      <w:proofErr w:type="gramStart"/>
      <w:r>
        <w:rPr>
          <w:rStyle w:val="apple-converted-space"/>
          <w:rFonts w:eastAsiaTheme="majorEastAsia"/>
          <w:color w:val="000000"/>
        </w:rPr>
        <w:t>J,M.</w:t>
      </w:r>
      <w:r>
        <w:rPr>
          <w:i/>
          <w:iCs/>
          <w:color w:val="000000"/>
        </w:rPr>
        <w:t>.</w:t>
      </w:r>
      <w:proofErr w:type="gramEnd"/>
      <w:r>
        <w:rPr>
          <w:rStyle w:val="apple-converted-space"/>
          <w:rFonts w:eastAsiaTheme="majorEastAsia"/>
          <w:color w:val="000000"/>
        </w:rPr>
        <w:t> </w:t>
      </w:r>
      <w:r>
        <w:rPr>
          <w:color w:val="000000"/>
        </w:rPr>
        <w:t>(2005) ‘Designing and implementing internet questionnaires using Microsoft Excel’,</w:t>
      </w:r>
      <w:r>
        <w:rPr>
          <w:rStyle w:val="apple-converted-space"/>
          <w:rFonts w:eastAsiaTheme="majorEastAsia"/>
          <w:color w:val="000000"/>
        </w:rPr>
        <w:t> </w:t>
      </w:r>
      <w:r>
        <w:rPr>
          <w:i/>
          <w:iCs/>
          <w:color w:val="000000"/>
        </w:rPr>
        <w:t>Australasian Marketing Journal</w:t>
      </w:r>
      <w:r>
        <w:rPr>
          <w:color w:val="000000"/>
        </w:rPr>
        <w:t>, 13(2), pp. 61–72. doi:10.1016/s1441-3582(05)70078-1.</w:t>
      </w:r>
      <w:r>
        <w:rPr>
          <w:rStyle w:val="apple-converted-space"/>
          <w:rFonts w:eastAsiaTheme="majorEastAsia"/>
          <w:color w:val="000000"/>
        </w:rPr>
        <w:t> </w:t>
      </w:r>
    </w:p>
    <w:p w14:paraId="425EDE6E" w14:textId="36E80523" w:rsidR="00827C67" w:rsidRDefault="00827C67" w:rsidP="00827C67">
      <w:pPr>
        <w:pStyle w:val="NormalWeb"/>
        <w:ind w:left="567" w:hanging="567"/>
        <w:rPr>
          <w:color w:val="000000"/>
        </w:rPr>
      </w:pPr>
      <w:r>
        <w:rPr>
          <w:color w:val="000000"/>
        </w:rPr>
        <w:t>Bhandari, P. (2024)</w:t>
      </w:r>
      <w:r>
        <w:rPr>
          <w:rStyle w:val="apple-converted-space"/>
          <w:rFonts w:eastAsiaTheme="majorEastAsia"/>
          <w:color w:val="000000"/>
        </w:rPr>
        <w:t> </w:t>
      </w:r>
      <w:r>
        <w:rPr>
          <w:i/>
          <w:iCs/>
          <w:color w:val="000000"/>
        </w:rPr>
        <w:t>Ethical considerations in research: Types &amp; examples</w:t>
      </w:r>
      <w:r>
        <w:rPr>
          <w:color w:val="000000"/>
        </w:rPr>
        <w:t>,</w:t>
      </w:r>
      <w:r>
        <w:rPr>
          <w:rStyle w:val="apple-converted-space"/>
          <w:rFonts w:eastAsiaTheme="majorEastAsia"/>
          <w:color w:val="000000"/>
        </w:rPr>
        <w:t> </w:t>
      </w:r>
      <w:proofErr w:type="spellStart"/>
      <w:r>
        <w:rPr>
          <w:i/>
          <w:iCs/>
          <w:color w:val="000000"/>
        </w:rPr>
        <w:t>Scribbr</w:t>
      </w:r>
      <w:proofErr w:type="spellEnd"/>
      <w:r>
        <w:rPr>
          <w:color w:val="000000"/>
        </w:rPr>
        <w:t xml:space="preserve">. Available at: </w:t>
      </w:r>
      <w:hyperlink r:id="rId5" w:history="1">
        <w:r w:rsidRPr="00D70BD4">
          <w:rPr>
            <w:rStyle w:val="Hyperlink"/>
          </w:rPr>
          <w:t>https://www.scribbr.co.uk/research-methods/ethical-considerations/</w:t>
        </w:r>
      </w:hyperlink>
      <w:r>
        <w:rPr>
          <w:color w:val="000000"/>
        </w:rPr>
        <w:t xml:space="preserve">  (Accessed: 09 January 2025).</w:t>
      </w:r>
      <w:r>
        <w:rPr>
          <w:rStyle w:val="apple-converted-space"/>
          <w:rFonts w:eastAsiaTheme="majorEastAsia"/>
          <w:color w:val="000000"/>
        </w:rPr>
        <w:t> </w:t>
      </w:r>
    </w:p>
    <w:p w14:paraId="6CA193A1" w14:textId="7FD0867E" w:rsidR="00827C67" w:rsidRDefault="00827C67" w:rsidP="00827C67">
      <w:pPr>
        <w:pStyle w:val="NormalWeb"/>
        <w:ind w:left="567" w:hanging="567"/>
        <w:rPr>
          <w:color w:val="000000"/>
        </w:rPr>
      </w:pPr>
      <w:r>
        <w:rPr>
          <w:color w:val="000000"/>
        </w:rPr>
        <w:t>Boddy, K.</w:t>
      </w:r>
      <w:r>
        <w:rPr>
          <w:rStyle w:val="apple-converted-space"/>
          <w:rFonts w:eastAsiaTheme="majorEastAsia"/>
          <w:color w:val="000000"/>
        </w:rPr>
        <w:t>, Victor, E.A., Law, F.M. and Sharp, J. </w:t>
      </w:r>
      <w:r>
        <w:rPr>
          <w:color w:val="000000"/>
        </w:rPr>
        <w:t>(2024) ‘CIT training among law enforcement: Does it work?’,</w:t>
      </w:r>
      <w:r>
        <w:rPr>
          <w:rStyle w:val="apple-converted-space"/>
          <w:rFonts w:eastAsiaTheme="majorEastAsia"/>
          <w:color w:val="000000"/>
        </w:rPr>
        <w:t> </w:t>
      </w:r>
      <w:r>
        <w:rPr>
          <w:i/>
          <w:iCs/>
          <w:color w:val="000000"/>
        </w:rPr>
        <w:t>Journal of Police and Criminal Psychology</w:t>
      </w:r>
      <w:r>
        <w:rPr>
          <w:color w:val="000000"/>
        </w:rPr>
        <w:t>, 39(3), pp. 486–498. doi:10.1007/s11896-024-09660-3.</w:t>
      </w:r>
      <w:r>
        <w:rPr>
          <w:rStyle w:val="apple-converted-space"/>
          <w:rFonts w:eastAsiaTheme="majorEastAsia"/>
          <w:color w:val="000000"/>
        </w:rPr>
        <w:t> </w:t>
      </w:r>
    </w:p>
    <w:p w14:paraId="0DA98333" w14:textId="77777777" w:rsidR="00827C67" w:rsidRDefault="00827C67" w:rsidP="00827C67">
      <w:pPr>
        <w:pStyle w:val="NormalWeb"/>
        <w:ind w:left="567" w:hanging="567"/>
        <w:rPr>
          <w:color w:val="000000"/>
        </w:rPr>
      </w:pPr>
      <w:r>
        <w:rPr>
          <w:color w:val="000000"/>
        </w:rPr>
        <w:t>Bueno de Mesquita, E. and Fowler, A. (2022)</w:t>
      </w:r>
      <w:r>
        <w:rPr>
          <w:rStyle w:val="apple-converted-space"/>
          <w:rFonts w:eastAsiaTheme="majorEastAsia"/>
          <w:color w:val="000000"/>
        </w:rPr>
        <w:t> </w:t>
      </w:r>
      <w:r>
        <w:rPr>
          <w:i/>
          <w:iCs/>
          <w:color w:val="000000"/>
        </w:rPr>
        <w:t>Thinking clearly with data: A Guide to Quantitative Reasoning and Analysis</w:t>
      </w:r>
      <w:r>
        <w:rPr>
          <w:color w:val="000000"/>
        </w:rPr>
        <w:t>. Princeton: Princeton University Press.</w:t>
      </w:r>
      <w:r>
        <w:rPr>
          <w:rStyle w:val="apple-converted-space"/>
          <w:rFonts w:eastAsiaTheme="majorEastAsia"/>
          <w:color w:val="000000"/>
        </w:rPr>
        <w:t> </w:t>
      </w:r>
    </w:p>
    <w:p w14:paraId="3B1AEACF" w14:textId="77777777" w:rsidR="00827C67" w:rsidRDefault="00827C67" w:rsidP="00827C67">
      <w:pPr>
        <w:pStyle w:val="NormalWeb"/>
        <w:ind w:left="567" w:hanging="567"/>
        <w:rPr>
          <w:color w:val="000000"/>
        </w:rPr>
      </w:pPr>
      <w:r>
        <w:rPr>
          <w:color w:val="000000"/>
        </w:rPr>
        <w:t>Christou, P.A. (2022) ‘How to use thematic analysis in qualitative research’,</w:t>
      </w:r>
      <w:r>
        <w:rPr>
          <w:rStyle w:val="apple-converted-space"/>
          <w:rFonts w:eastAsiaTheme="majorEastAsia"/>
          <w:color w:val="000000"/>
        </w:rPr>
        <w:t> </w:t>
      </w:r>
      <w:r>
        <w:rPr>
          <w:i/>
          <w:iCs/>
          <w:color w:val="000000"/>
        </w:rPr>
        <w:t>Journal of Qualitative Research in Tourism</w:t>
      </w:r>
      <w:r>
        <w:rPr>
          <w:color w:val="000000"/>
        </w:rPr>
        <w:t>, 3(2), pp. 79–95. doi:10.4337/jqrt.2023.0006.</w:t>
      </w:r>
      <w:r>
        <w:rPr>
          <w:rStyle w:val="apple-converted-space"/>
          <w:rFonts w:eastAsiaTheme="majorEastAsia"/>
          <w:color w:val="000000"/>
        </w:rPr>
        <w:t> </w:t>
      </w:r>
    </w:p>
    <w:p w14:paraId="12AED248" w14:textId="12B71326" w:rsidR="00827C67" w:rsidRDefault="00827C67" w:rsidP="00827C67">
      <w:pPr>
        <w:pStyle w:val="NormalWeb"/>
        <w:ind w:left="567" w:hanging="567"/>
        <w:rPr>
          <w:color w:val="000000"/>
        </w:rPr>
      </w:pPr>
      <w:r>
        <w:rPr>
          <w:color w:val="000000"/>
        </w:rPr>
        <w:t>Curry, D.S. (1970)</w:t>
      </w:r>
      <w:r>
        <w:rPr>
          <w:rStyle w:val="apple-converted-space"/>
          <w:rFonts w:eastAsiaTheme="majorEastAsia"/>
          <w:color w:val="000000"/>
        </w:rPr>
        <w:t> </w:t>
      </w:r>
      <w:r>
        <w:rPr>
          <w:i/>
          <w:iCs/>
          <w:color w:val="000000"/>
        </w:rPr>
        <w:t xml:space="preserve">Devin Sanchez Curry, why </w:t>
      </w:r>
      <w:proofErr w:type="spellStart"/>
      <w:r>
        <w:rPr>
          <w:i/>
          <w:iCs/>
          <w:color w:val="000000"/>
        </w:rPr>
        <w:t>dispositionalism</w:t>
      </w:r>
      <w:proofErr w:type="spellEnd"/>
      <w:r>
        <w:rPr>
          <w:i/>
          <w:iCs/>
          <w:color w:val="000000"/>
        </w:rPr>
        <w:t xml:space="preserve"> needs interpretivism: A reply to </w:t>
      </w:r>
      <w:proofErr w:type="spellStart"/>
      <w:r>
        <w:rPr>
          <w:i/>
          <w:iCs/>
          <w:color w:val="000000"/>
        </w:rPr>
        <w:t>Poslajko</w:t>
      </w:r>
      <w:proofErr w:type="spellEnd"/>
      <w:r>
        <w:rPr>
          <w:color w:val="000000"/>
        </w:rPr>
        <w:t>,</w:t>
      </w:r>
      <w:r>
        <w:rPr>
          <w:rStyle w:val="apple-converted-space"/>
          <w:rFonts w:eastAsiaTheme="majorEastAsia"/>
          <w:color w:val="000000"/>
        </w:rPr>
        <w:t> </w:t>
      </w:r>
      <w:proofErr w:type="spellStart"/>
      <w:r>
        <w:rPr>
          <w:i/>
          <w:iCs/>
          <w:color w:val="000000"/>
        </w:rPr>
        <w:t>PhilPapers</w:t>
      </w:r>
      <w:proofErr w:type="spellEnd"/>
      <w:r>
        <w:rPr>
          <w:color w:val="000000"/>
        </w:rPr>
        <w:t xml:space="preserve">. Available at: </w:t>
      </w:r>
      <w:hyperlink r:id="rId6" w:history="1">
        <w:r w:rsidRPr="00D70BD4">
          <w:rPr>
            <w:rStyle w:val="Hyperlink"/>
          </w:rPr>
          <w:t>https://philpapers.org/rec/CURWDN</w:t>
        </w:r>
      </w:hyperlink>
      <w:r>
        <w:rPr>
          <w:color w:val="000000"/>
        </w:rPr>
        <w:t xml:space="preserve">  (Accessed: 09 January 2025).</w:t>
      </w:r>
      <w:r>
        <w:rPr>
          <w:rStyle w:val="apple-converted-space"/>
          <w:rFonts w:eastAsiaTheme="majorEastAsia"/>
          <w:color w:val="000000"/>
        </w:rPr>
        <w:t> </w:t>
      </w:r>
    </w:p>
    <w:p w14:paraId="57C5C7C8" w14:textId="77777777" w:rsidR="00827C67" w:rsidRDefault="00827C67" w:rsidP="00827C67">
      <w:pPr>
        <w:pStyle w:val="NormalWeb"/>
        <w:ind w:left="567" w:hanging="567"/>
        <w:rPr>
          <w:color w:val="000000"/>
        </w:rPr>
      </w:pPr>
      <w:proofErr w:type="spellStart"/>
      <w:r>
        <w:rPr>
          <w:color w:val="000000"/>
        </w:rPr>
        <w:t>Dawadi</w:t>
      </w:r>
      <w:proofErr w:type="spellEnd"/>
      <w:r>
        <w:rPr>
          <w:color w:val="000000"/>
        </w:rPr>
        <w:t xml:space="preserve">, S., Shrestha, S. and </w:t>
      </w:r>
      <w:proofErr w:type="spellStart"/>
      <w:r>
        <w:rPr>
          <w:color w:val="000000"/>
        </w:rPr>
        <w:t>Giri</w:t>
      </w:r>
      <w:proofErr w:type="spellEnd"/>
      <w:r>
        <w:rPr>
          <w:color w:val="000000"/>
        </w:rPr>
        <w:t>, R.A. (2021) ‘Mixed-methods research: A discussion on its types, challenges, and criticisms’,</w:t>
      </w:r>
      <w:r>
        <w:rPr>
          <w:rStyle w:val="apple-converted-space"/>
          <w:rFonts w:eastAsiaTheme="majorEastAsia"/>
          <w:color w:val="000000"/>
        </w:rPr>
        <w:t> </w:t>
      </w:r>
      <w:r>
        <w:rPr>
          <w:i/>
          <w:iCs/>
          <w:color w:val="000000"/>
        </w:rPr>
        <w:t>Journal of Practical Studies in Education</w:t>
      </w:r>
      <w:r>
        <w:rPr>
          <w:color w:val="000000"/>
        </w:rPr>
        <w:t>, 2(2), pp. 25–36. doi:10.46809/</w:t>
      </w:r>
      <w:proofErr w:type="gramStart"/>
      <w:r>
        <w:rPr>
          <w:color w:val="000000"/>
        </w:rPr>
        <w:t>jpse.v</w:t>
      </w:r>
      <w:proofErr w:type="gramEnd"/>
      <w:r>
        <w:rPr>
          <w:color w:val="000000"/>
        </w:rPr>
        <w:t>2i2.20.</w:t>
      </w:r>
      <w:r>
        <w:rPr>
          <w:rStyle w:val="apple-converted-space"/>
          <w:rFonts w:eastAsiaTheme="majorEastAsia"/>
          <w:color w:val="000000"/>
        </w:rPr>
        <w:t> </w:t>
      </w:r>
    </w:p>
    <w:p w14:paraId="598E2343" w14:textId="237F6312" w:rsidR="00827C67" w:rsidRDefault="00827C67" w:rsidP="00827C67">
      <w:pPr>
        <w:pStyle w:val="NormalWeb"/>
        <w:ind w:left="567" w:hanging="567"/>
        <w:rPr>
          <w:color w:val="000000"/>
        </w:rPr>
      </w:pPr>
      <w:proofErr w:type="gramStart"/>
      <w:r>
        <w:rPr>
          <w:color w:val="000000"/>
        </w:rPr>
        <w:t>Foster ,</w:t>
      </w:r>
      <w:proofErr w:type="gramEnd"/>
      <w:r>
        <w:rPr>
          <w:color w:val="000000"/>
        </w:rPr>
        <w:t xml:space="preserve"> S. (2020)</w:t>
      </w:r>
      <w:r>
        <w:rPr>
          <w:rStyle w:val="apple-converted-space"/>
          <w:rFonts w:eastAsiaTheme="majorEastAsia"/>
          <w:color w:val="000000"/>
        </w:rPr>
        <w:t> </w:t>
      </w:r>
      <w:r>
        <w:rPr>
          <w:i/>
          <w:iCs/>
          <w:color w:val="000000"/>
        </w:rPr>
        <w:t>Simon John Foster</w:t>
      </w:r>
      <w:r>
        <w:rPr>
          <w:color w:val="000000"/>
        </w:rPr>
        <w:t>,</w:t>
      </w:r>
      <w:r>
        <w:rPr>
          <w:rStyle w:val="apple-converted-space"/>
          <w:rFonts w:eastAsiaTheme="majorEastAsia"/>
          <w:color w:val="000000"/>
        </w:rPr>
        <w:t> </w:t>
      </w:r>
      <w:r>
        <w:rPr>
          <w:i/>
          <w:iCs/>
          <w:color w:val="000000"/>
        </w:rPr>
        <w:t>Choose My Police and Crime Commissioner</w:t>
      </w:r>
      <w:r>
        <w:rPr>
          <w:color w:val="000000"/>
        </w:rPr>
        <w:t xml:space="preserve">. Available at: </w:t>
      </w:r>
      <w:hyperlink r:id="rId7" w:history="1">
        <w:r w:rsidRPr="00D70BD4">
          <w:rPr>
            <w:rStyle w:val="Hyperlink"/>
          </w:rPr>
          <w:t>https://choosemypcc.org.uk/candidates/west-midlands/simon-john-foster-2/</w:t>
        </w:r>
      </w:hyperlink>
      <w:r>
        <w:rPr>
          <w:color w:val="000000"/>
        </w:rPr>
        <w:t xml:space="preserve">  (Accessed: 09 January 2025).</w:t>
      </w:r>
      <w:r>
        <w:rPr>
          <w:rStyle w:val="apple-converted-space"/>
          <w:rFonts w:eastAsiaTheme="majorEastAsia"/>
          <w:color w:val="000000"/>
        </w:rPr>
        <w:t> </w:t>
      </w:r>
    </w:p>
    <w:p w14:paraId="3CEBB8DA" w14:textId="77777777" w:rsidR="00827C67" w:rsidRDefault="00827C67" w:rsidP="00827C67">
      <w:pPr>
        <w:pStyle w:val="NormalWeb"/>
        <w:ind w:left="567" w:hanging="567"/>
        <w:rPr>
          <w:color w:val="000000"/>
        </w:rPr>
      </w:pPr>
      <w:r>
        <w:rPr>
          <w:color w:val="000000"/>
        </w:rPr>
        <w:t>Gourd, J. (2023) ‘Data collection’,</w:t>
      </w:r>
      <w:r>
        <w:rPr>
          <w:rStyle w:val="apple-converted-space"/>
          <w:rFonts w:eastAsiaTheme="majorEastAsia"/>
          <w:color w:val="000000"/>
        </w:rPr>
        <w:t> </w:t>
      </w:r>
      <w:r>
        <w:rPr>
          <w:i/>
          <w:iCs/>
          <w:color w:val="000000"/>
        </w:rPr>
        <w:t>Educational Research for Early Childhood Studies Projects</w:t>
      </w:r>
      <w:r>
        <w:rPr>
          <w:color w:val="000000"/>
        </w:rPr>
        <w:t>, pp. 73–83. doi:10.4324/9780429350931-7.</w:t>
      </w:r>
      <w:r>
        <w:rPr>
          <w:rStyle w:val="apple-converted-space"/>
          <w:rFonts w:eastAsiaTheme="majorEastAsia"/>
          <w:color w:val="000000"/>
        </w:rPr>
        <w:t> </w:t>
      </w:r>
    </w:p>
    <w:p w14:paraId="3A1F522C" w14:textId="4ECF20CD" w:rsidR="00827C67" w:rsidRDefault="00827C67" w:rsidP="00827C67">
      <w:pPr>
        <w:pStyle w:val="NormalWeb"/>
        <w:ind w:left="567" w:hanging="567"/>
        <w:rPr>
          <w:color w:val="000000"/>
        </w:rPr>
      </w:pPr>
      <w:r>
        <w:rPr>
          <w:color w:val="000000"/>
        </w:rPr>
        <w:t>Gunathilake, S.</w:t>
      </w:r>
      <w:r>
        <w:rPr>
          <w:rStyle w:val="apple-converted-space"/>
          <w:rFonts w:eastAsiaTheme="majorEastAsia"/>
          <w:color w:val="000000"/>
        </w:rPr>
        <w:t xml:space="preserve">, </w:t>
      </w:r>
      <w:proofErr w:type="spellStart"/>
      <w:r>
        <w:rPr>
          <w:rStyle w:val="apple-converted-space"/>
          <w:rFonts w:eastAsiaTheme="majorEastAsia"/>
          <w:color w:val="000000"/>
        </w:rPr>
        <w:t>Gunasena</w:t>
      </w:r>
      <w:proofErr w:type="spellEnd"/>
      <w:r>
        <w:rPr>
          <w:rStyle w:val="apple-converted-space"/>
          <w:rFonts w:eastAsiaTheme="majorEastAsia"/>
          <w:color w:val="000000"/>
        </w:rPr>
        <w:t xml:space="preserve">, P., </w:t>
      </w:r>
      <w:proofErr w:type="spellStart"/>
      <w:r>
        <w:rPr>
          <w:rStyle w:val="apple-converted-space"/>
          <w:rFonts w:eastAsiaTheme="majorEastAsia"/>
          <w:color w:val="000000"/>
        </w:rPr>
        <w:t>Hapuarachchi</w:t>
      </w:r>
      <w:proofErr w:type="spellEnd"/>
      <w:r>
        <w:rPr>
          <w:rStyle w:val="apple-converted-space"/>
          <w:rFonts w:eastAsiaTheme="majorEastAsia"/>
          <w:color w:val="000000"/>
        </w:rPr>
        <w:t>, T. and Ekanayake, U</w:t>
      </w:r>
      <w:r>
        <w:rPr>
          <w:i/>
          <w:iCs/>
          <w:color w:val="000000"/>
        </w:rPr>
        <w:t>.</w:t>
      </w:r>
      <w:r>
        <w:rPr>
          <w:rStyle w:val="apple-converted-space"/>
          <w:rFonts w:eastAsiaTheme="majorEastAsia"/>
          <w:color w:val="000000"/>
        </w:rPr>
        <w:t> </w:t>
      </w:r>
      <w:r>
        <w:rPr>
          <w:color w:val="000000"/>
        </w:rPr>
        <w:t>(2024)</w:t>
      </w:r>
      <w:r>
        <w:rPr>
          <w:rStyle w:val="apple-converted-space"/>
          <w:rFonts w:eastAsiaTheme="majorEastAsia"/>
          <w:color w:val="000000"/>
        </w:rPr>
        <w:t> </w:t>
      </w:r>
      <w:r>
        <w:rPr>
          <w:i/>
          <w:iCs/>
          <w:color w:val="000000"/>
        </w:rPr>
        <w:t>(PDF) the crucial role of data collection in research: Techniques, challenges, and best practices</w:t>
      </w:r>
      <w:r>
        <w:rPr>
          <w:color w:val="000000"/>
        </w:rPr>
        <w:t>,</w:t>
      </w:r>
      <w:r>
        <w:rPr>
          <w:rStyle w:val="apple-converted-space"/>
          <w:rFonts w:eastAsiaTheme="majorEastAsia"/>
          <w:color w:val="000000"/>
        </w:rPr>
        <w:t> </w:t>
      </w:r>
      <w:r>
        <w:rPr>
          <w:i/>
          <w:iCs/>
          <w:color w:val="000000"/>
        </w:rPr>
        <w:t>The Crucial Role of Data Collection in Research: Techniques, Challenges, and Best Practices</w:t>
      </w:r>
      <w:r>
        <w:rPr>
          <w:color w:val="000000"/>
        </w:rPr>
        <w:t xml:space="preserve">. Available at: </w:t>
      </w:r>
      <w:hyperlink r:id="rId8" w:history="1">
        <w:r w:rsidRPr="00D70BD4">
          <w:rPr>
            <w:rStyle w:val="Hyperlink"/>
          </w:rPr>
          <w:t>https://www.researchgate.net/publication/383155720_The_Crucial_Role_of_Data_Collection_in_Research_Techniques_Challenges_and_Best_Practices</w:t>
        </w:r>
      </w:hyperlink>
      <w:r>
        <w:rPr>
          <w:color w:val="000000"/>
        </w:rPr>
        <w:t xml:space="preserve">  (Accessed: 09 January 2025).</w:t>
      </w:r>
      <w:r>
        <w:rPr>
          <w:rStyle w:val="apple-converted-space"/>
          <w:rFonts w:eastAsiaTheme="majorEastAsia"/>
          <w:color w:val="000000"/>
        </w:rPr>
        <w:t> </w:t>
      </w:r>
    </w:p>
    <w:p w14:paraId="5EA026B1" w14:textId="77777777" w:rsidR="00827C67" w:rsidRDefault="00827C67" w:rsidP="00827C67">
      <w:pPr>
        <w:pStyle w:val="NormalWeb"/>
        <w:ind w:left="567" w:hanging="567"/>
        <w:rPr>
          <w:color w:val="000000"/>
        </w:rPr>
      </w:pPr>
      <w:r>
        <w:rPr>
          <w:color w:val="000000"/>
        </w:rPr>
        <w:lastRenderedPageBreak/>
        <w:t>Jain, N. (2021) ‘Survey versus interviews: Comparing data collection tools for exploratory research’,</w:t>
      </w:r>
      <w:r>
        <w:rPr>
          <w:rStyle w:val="apple-converted-space"/>
          <w:rFonts w:eastAsiaTheme="majorEastAsia"/>
          <w:color w:val="000000"/>
        </w:rPr>
        <w:t> </w:t>
      </w:r>
      <w:r>
        <w:rPr>
          <w:i/>
          <w:iCs/>
          <w:color w:val="000000"/>
        </w:rPr>
        <w:t>The Qualitative Report</w:t>
      </w:r>
      <w:r>
        <w:rPr>
          <w:rStyle w:val="apple-converted-space"/>
          <w:rFonts w:eastAsiaTheme="majorEastAsia"/>
          <w:color w:val="000000"/>
        </w:rPr>
        <w:t> </w:t>
      </w:r>
      <w:r>
        <w:rPr>
          <w:color w:val="000000"/>
        </w:rPr>
        <w:t>[Preprint]. doi:10.46743/2160-3715/2021.4492.</w:t>
      </w:r>
      <w:r>
        <w:rPr>
          <w:rStyle w:val="apple-converted-space"/>
          <w:rFonts w:eastAsiaTheme="majorEastAsia"/>
          <w:color w:val="000000"/>
        </w:rPr>
        <w:t> </w:t>
      </w:r>
    </w:p>
    <w:p w14:paraId="40F943CB" w14:textId="77777777" w:rsidR="00827C67" w:rsidRDefault="00827C67" w:rsidP="00827C67">
      <w:pPr>
        <w:pStyle w:val="NormalWeb"/>
        <w:ind w:left="567" w:hanging="567"/>
        <w:rPr>
          <w:color w:val="000000"/>
        </w:rPr>
      </w:pPr>
      <w:proofErr w:type="spellStart"/>
      <w:r>
        <w:rPr>
          <w:color w:val="000000"/>
        </w:rPr>
        <w:t>Kirubarajan</w:t>
      </w:r>
      <w:proofErr w:type="spellEnd"/>
      <w:r>
        <w:rPr>
          <w:color w:val="000000"/>
        </w:rPr>
        <w:t xml:space="preserve">, A. (2021) </w:t>
      </w:r>
      <w:proofErr w:type="spellStart"/>
      <w:r>
        <w:rPr>
          <w:color w:val="000000"/>
        </w:rPr>
        <w:t>‘Re</w:t>
      </w:r>
      <w:proofErr w:type="spellEnd"/>
      <w:r>
        <w:rPr>
          <w:color w:val="000000"/>
        </w:rPr>
        <w:t>: What can we expect of police in the face of deficient mental health systems? qualitative insights from Chicago police officers’,</w:t>
      </w:r>
      <w:r>
        <w:rPr>
          <w:rStyle w:val="apple-converted-space"/>
          <w:rFonts w:eastAsiaTheme="majorEastAsia"/>
          <w:color w:val="000000"/>
        </w:rPr>
        <w:t> </w:t>
      </w:r>
      <w:r>
        <w:rPr>
          <w:i/>
          <w:iCs/>
          <w:color w:val="000000"/>
        </w:rPr>
        <w:t>Journal of Psychiatric and Mental Health Nursing</w:t>
      </w:r>
      <w:r>
        <w:rPr>
          <w:color w:val="000000"/>
        </w:rPr>
        <w:t>, 29(3), pp. 504–505. doi:10.1111/jpm.12755.</w:t>
      </w:r>
      <w:r>
        <w:rPr>
          <w:rStyle w:val="apple-converted-space"/>
          <w:rFonts w:eastAsiaTheme="majorEastAsia"/>
          <w:color w:val="000000"/>
        </w:rPr>
        <w:t> </w:t>
      </w:r>
    </w:p>
    <w:p w14:paraId="35AAA760" w14:textId="0435EEB7" w:rsidR="00827C67" w:rsidRDefault="00827C67" w:rsidP="00827C67">
      <w:pPr>
        <w:pStyle w:val="NormalWeb"/>
        <w:ind w:left="567" w:hanging="567"/>
        <w:rPr>
          <w:color w:val="000000"/>
        </w:rPr>
      </w:pPr>
      <w:proofErr w:type="spellStart"/>
      <w:r>
        <w:rPr>
          <w:color w:val="000000"/>
        </w:rPr>
        <w:t>Kurtaliqi</w:t>
      </w:r>
      <w:proofErr w:type="spellEnd"/>
      <w:r>
        <w:rPr>
          <w:color w:val="000000"/>
        </w:rPr>
        <w:t>, F.</w:t>
      </w:r>
      <w:r>
        <w:rPr>
          <w:rStyle w:val="apple-converted-space"/>
          <w:rFonts w:eastAsiaTheme="majorEastAsia"/>
          <w:color w:val="000000"/>
        </w:rPr>
        <w:t xml:space="preserve">, </w:t>
      </w:r>
      <w:proofErr w:type="spellStart"/>
      <w:r>
        <w:rPr>
          <w:rStyle w:val="apple-converted-space"/>
          <w:rFonts w:eastAsiaTheme="majorEastAsia"/>
          <w:color w:val="000000"/>
        </w:rPr>
        <w:t>Miltgen</w:t>
      </w:r>
      <w:proofErr w:type="spellEnd"/>
      <w:r>
        <w:rPr>
          <w:rStyle w:val="apple-converted-space"/>
          <w:rFonts w:eastAsiaTheme="majorEastAsia"/>
          <w:color w:val="000000"/>
        </w:rPr>
        <w:t xml:space="preserve">, C.L., </w:t>
      </w:r>
      <w:proofErr w:type="spellStart"/>
      <w:proofErr w:type="gramStart"/>
      <w:r>
        <w:rPr>
          <w:rStyle w:val="apple-converted-space"/>
          <w:rFonts w:eastAsiaTheme="majorEastAsia"/>
          <w:color w:val="000000"/>
        </w:rPr>
        <w:t>Viglia,G</w:t>
      </w:r>
      <w:proofErr w:type="spellEnd"/>
      <w:r>
        <w:rPr>
          <w:rStyle w:val="apple-converted-space"/>
          <w:rFonts w:eastAsiaTheme="majorEastAsia"/>
          <w:color w:val="000000"/>
        </w:rPr>
        <w:t>.</w:t>
      </w:r>
      <w:proofErr w:type="gramEnd"/>
      <w:r>
        <w:rPr>
          <w:rStyle w:val="apple-converted-space"/>
          <w:rFonts w:eastAsiaTheme="majorEastAsia"/>
          <w:color w:val="000000"/>
        </w:rPr>
        <w:t xml:space="preserve"> and </w:t>
      </w:r>
      <w:proofErr w:type="spellStart"/>
      <w:r>
        <w:rPr>
          <w:rStyle w:val="apple-converted-space"/>
          <w:rFonts w:eastAsiaTheme="majorEastAsia"/>
          <w:color w:val="000000"/>
        </w:rPr>
        <w:t>Pantin-Sohier</w:t>
      </w:r>
      <w:proofErr w:type="spellEnd"/>
      <w:r>
        <w:rPr>
          <w:rStyle w:val="apple-converted-space"/>
          <w:rFonts w:eastAsiaTheme="majorEastAsia"/>
          <w:color w:val="000000"/>
        </w:rPr>
        <w:t>, G. </w:t>
      </w:r>
      <w:r>
        <w:rPr>
          <w:color w:val="000000"/>
        </w:rPr>
        <w:t>(2024) ‘Using advanced mixed methods approaches: Combining PLS-SEM and qualitative studies’,</w:t>
      </w:r>
      <w:r>
        <w:rPr>
          <w:rStyle w:val="apple-converted-space"/>
          <w:rFonts w:eastAsiaTheme="majorEastAsia"/>
          <w:color w:val="000000"/>
        </w:rPr>
        <w:t> </w:t>
      </w:r>
      <w:r>
        <w:rPr>
          <w:i/>
          <w:iCs/>
          <w:color w:val="000000"/>
        </w:rPr>
        <w:t>Journal of Business Research</w:t>
      </w:r>
      <w:r>
        <w:rPr>
          <w:color w:val="000000"/>
        </w:rPr>
        <w:t xml:space="preserve">, 172, p. 114464. </w:t>
      </w:r>
      <w:proofErr w:type="gramStart"/>
      <w:r>
        <w:rPr>
          <w:color w:val="000000"/>
        </w:rPr>
        <w:t>doi:10.1016/j.jbusres</w:t>
      </w:r>
      <w:proofErr w:type="gramEnd"/>
      <w:r>
        <w:rPr>
          <w:color w:val="000000"/>
        </w:rPr>
        <w:t>.2023.114464.</w:t>
      </w:r>
      <w:r>
        <w:rPr>
          <w:rStyle w:val="apple-converted-space"/>
          <w:rFonts w:eastAsiaTheme="majorEastAsia"/>
          <w:color w:val="000000"/>
        </w:rPr>
        <w:t> </w:t>
      </w:r>
    </w:p>
    <w:p w14:paraId="6EE3E58A" w14:textId="5F260AF6" w:rsidR="00827C67" w:rsidRDefault="00827C67" w:rsidP="00827C67">
      <w:pPr>
        <w:pStyle w:val="NormalWeb"/>
        <w:ind w:left="567" w:hanging="567"/>
        <w:rPr>
          <w:color w:val="000000"/>
        </w:rPr>
      </w:pPr>
      <w:proofErr w:type="spellStart"/>
      <w:r>
        <w:rPr>
          <w:color w:val="000000"/>
        </w:rPr>
        <w:t>Lehdonvirta</w:t>
      </w:r>
      <w:proofErr w:type="spellEnd"/>
      <w:r>
        <w:rPr>
          <w:color w:val="000000"/>
        </w:rPr>
        <w:t>, V.</w:t>
      </w:r>
      <w:r>
        <w:rPr>
          <w:rStyle w:val="apple-converted-space"/>
          <w:rFonts w:eastAsiaTheme="majorEastAsia"/>
          <w:color w:val="000000"/>
        </w:rPr>
        <w:t xml:space="preserve">, Oksanen, A., </w:t>
      </w:r>
      <w:proofErr w:type="spellStart"/>
      <w:r>
        <w:rPr>
          <w:rStyle w:val="apple-converted-space"/>
          <w:rFonts w:eastAsiaTheme="majorEastAsia"/>
          <w:color w:val="000000"/>
        </w:rPr>
        <w:t>Rasanen</w:t>
      </w:r>
      <w:proofErr w:type="spellEnd"/>
      <w:r>
        <w:rPr>
          <w:rStyle w:val="apple-converted-space"/>
          <w:rFonts w:eastAsiaTheme="majorEastAsia"/>
          <w:color w:val="000000"/>
        </w:rPr>
        <w:t>, P. and Blank, G. </w:t>
      </w:r>
      <w:r>
        <w:rPr>
          <w:color w:val="000000"/>
        </w:rPr>
        <w:t>(2020) ‘Social Media, web, and panel surveys: Using non‐probability samples in social and Policy Research’,</w:t>
      </w:r>
      <w:r>
        <w:rPr>
          <w:rStyle w:val="apple-converted-space"/>
          <w:rFonts w:eastAsiaTheme="majorEastAsia"/>
          <w:color w:val="000000"/>
        </w:rPr>
        <w:t> </w:t>
      </w:r>
      <w:r>
        <w:rPr>
          <w:i/>
          <w:iCs/>
          <w:color w:val="000000"/>
        </w:rPr>
        <w:t>Policy &amp;amp; Internet</w:t>
      </w:r>
      <w:r>
        <w:rPr>
          <w:color w:val="000000"/>
        </w:rPr>
        <w:t>, 13(1), pp. 134–155. doi:10.1002/poi3.238.</w:t>
      </w:r>
      <w:r>
        <w:rPr>
          <w:rStyle w:val="apple-converted-space"/>
          <w:rFonts w:eastAsiaTheme="majorEastAsia"/>
          <w:color w:val="000000"/>
        </w:rPr>
        <w:t> </w:t>
      </w:r>
    </w:p>
    <w:p w14:paraId="37E9CCE7" w14:textId="77777777" w:rsidR="00827C67" w:rsidRDefault="00827C67" w:rsidP="00827C67">
      <w:pPr>
        <w:pStyle w:val="NormalWeb"/>
        <w:ind w:left="567" w:hanging="567"/>
        <w:rPr>
          <w:color w:val="000000"/>
        </w:rPr>
      </w:pPr>
      <w:r>
        <w:rPr>
          <w:color w:val="000000"/>
        </w:rPr>
        <w:t xml:space="preserve">Marcus, N. and </w:t>
      </w:r>
      <w:proofErr w:type="spellStart"/>
      <w:r>
        <w:rPr>
          <w:color w:val="000000"/>
        </w:rPr>
        <w:t>Stergiopoulos</w:t>
      </w:r>
      <w:proofErr w:type="spellEnd"/>
      <w:r>
        <w:rPr>
          <w:color w:val="000000"/>
        </w:rPr>
        <w:t>, V. (2022) ‘Re‐Examining mental health crisis intervention: A rapid review comparing outcomes across police, co‐responder and non‐police models’,</w:t>
      </w:r>
      <w:r>
        <w:rPr>
          <w:rStyle w:val="apple-converted-space"/>
          <w:rFonts w:eastAsiaTheme="majorEastAsia"/>
          <w:color w:val="000000"/>
        </w:rPr>
        <w:t> </w:t>
      </w:r>
      <w:r>
        <w:rPr>
          <w:i/>
          <w:iCs/>
          <w:color w:val="000000"/>
        </w:rPr>
        <w:t>Health &amp;amp; Social Care in the Community</w:t>
      </w:r>
      <w:r>
        <w:rPr>
          <w:color w:val="000000"/>
        </w:rPr>
        <w:t>, 30(5), pp. 1665–1679. doi:10.1111/hsc.13731.</w:t>
      </w:r>
      <w:r>
        <w:rPr>
          <w:rStyle w:val="apple-converted-space"/>
          <w:rFonts w:eastAsiaTheme="majorEastAsia"/>
          <w:color w:val="000000"/>
        </w:rPr>
        <w:t> </w:t>
      </w:r>
    </w:p>
    <w:p w14:paraId="1F6697CE" w14:textId="507D8049" w:rsidR="00827C67" w:rsidRDefault="00827C67" w:rsidP="00827C67">
      <w:pPr>
        <w:pStyle w:val="NormalWeb"/>
        <w:ind w:left="567" w:hanging="567"/>
        <w:rPr>
          <w:color w:val="000000"/>
        </w:rPr>
      </w:pPr>
      <w:proofErr w:type="spellStart"/>
      <w:proofErr w:type="gramStart"/>
      <w:r>
        <w:rPr>
          <w:color w:val="000000"/>
        </w:rPr>
        <w:t>Melnikovas</w:t>
      </w:r>
      <w:proofErr w:type="spellEnd"/>
      <w:r>
        <w:rPr>
          <w:color w:val="000000"/>
        </w:rPr>
        <w:t xml:space="preserve"> ,</w:t>
      </w:r>
      <w:proofErr w:type="gramEnd"/>
      <w:r>
        <w:rPr>
          <w:color w:val="000000"/>
        </w:rPr>
        <w:t xml:space="preserve"> A. (2019)</w:t>
      </w:r>
      <w:r>
        <w:rPr>
          <w:rStyle w:val="apple-converted-space"/>
          <w:rFonts w:eastAsiaTheme="majorEastAsia"/>
          <w:color w:val="000000"/>
        </w:rPr>
        <w:t> </w:t>
      </w:r>
      <w:r>
        <w:rPr>
          <w:i/>
          <w:iCs/>
          <w:color w:val="000000"/>
        </w:rPr>
        <w:t>Towards an explicit research methodology: Adapting Research Onion Model for Futures Studies * Journal of Futures Studies</w:t>
      </w:r>
      <w:r>
        <w:rPr>
          <w:color w:val="000000"/>
        </w:rPr>
        <w:t>,</w:t>
      </w:r>
      <w:r>
        <w:rPr>
          <w:rStyle w:val="apple-converted-space"/>
          <w:rFonts w:eastAsiaTheme="majorEastAsia"/>
          <w:color w:val="000000"/>
        </w:rPr>
        <w:t> </w:t>
      </w:r>
      <w:r>
        <w:rPr>
          <w:i/>
          <w:iCs/>
          <w:color w:val="000000"/>
        </w:rPr>
        <w:t>Journal of Futures Studies</w:t>
      </w:r>
      <w:r>
        <w:rPr>
          <w:color w:val="000000"/>
        </w:rPr>
        <w:t xml:space="preserve">. Available at: </w:t>
      </w:r>
      <w:hyperlink r:id="rId9" w:history="1">
        <w:r w:rsidRPr="00D70BD4">
          <w:rPr>
            <w:rStyle w:val="Hyperlink"/>
          </w:rPr>
          <w:t>https://jfsdigital.org/articles-and-essays/2018-2/towards-an-explicit-research-methodology-adapting-research-onion-model-for-futures-studies/</w:t>
        </w:r>
      </w:hyperlink>
      <w:r>
        <w:rPr>
          <w:color w:val="000000"/>
        </w:rPr>
        <w:t xml:space="preserve">  (Accessed: 09 January 2025).</w:t>
      </w:r>
      <w:r>
        <w:rPr>
          <w:rStyle w:val="apple-converted-space"/>
          <w:rFonts w:eastAsiaTheme="majorEastAsia"/>
          <w:color w:val="000000"/>
        </w:rPr>
        <w:t> </w:t>
      </w:r>
    </w:p>
    <w:p w14:paraId="3DDA842A" w14:textId="77777777" w:rsidR="00827C67" w:rsidRDefault="00827C67" w:rsidP="00827C67">
      <w:pPr>
        <w:pStyle w:val="NormalWeb"/>
        <w:ind w:left="567" w:hanging="567"/>
        <w:rPr>
          <w:color w:val="000000"/>
        </w:rPr>
      </w:pPr>
      <w:r>
        <w:rPr>
          <w:color w:val="000000"/>
        </w:rPr>
        <w:t>Morgan, M. and Miles-Johnson, T. (2022) ‘Responding to persons with mental illness (PWMI): Police recruit perceptions of mental health response training and engagement’,</w:t>
      </w:r>
      <w:r>
        <w:rPr>
          <w:rStyle w:val="apple-converted-space"/>
          <w:rFonts w:eastAsiaTheme="majorEastAsia"/>
          <w:color w:val="000000"/>
        </w:rPr>
        <w:t> </w:t>
      </w:r>
      <w:r>
        <w:rPr>
          <w:i/>
          <w:iCs/>
          <w:color w:val="000000"/>
        </w:rPr>
        <w:t>Cogent Social Sciences</w:t>
      </w:r>
      <w:r>
        <w:rPr>
          <w:color w:val="000000"/>
        </w:rPr>
        <w:t>, 8(1). doi:10.1080/23311886.2021.2020469.</w:t>
      </w:r>
      <w:r>
        <w:rPr>
          <w:rStyle w:val="apple-converted-space"/>
          <w:rFonts w:eastAsiaTheme="majorEastAsia"/>
          <w:color w:val="000000"/>
        </w:rPr>
        <w:t> </w:t>
      </w:r>
    </w:p>
    <w:p w14:paraId="030D204B" w14:textId="77777777" w:rsidR="00827C67" w:rsidRDefault="00827C67" w:rsidP="00827C67">
      <w:pPr>
        <w:pStyle w:val="NormalWeb"/>
        <w:ind w:left="567" w:hanging="567"/>
        <w:rPr>
          <w:rStyle w:val="apple-converted-space"/>
          <w:rFonts w:eastAsiaTheme="majorEastAsia"/>
          <w:color w:val="000000"/>
        </w:rPr>
      </w:pPr>
      <w:r>
        <w:rPr>
          <w:color w:val="000000"/>
        </w:rPr>
        <w:t xml:space="preserve">Morin, J.-F., Olsson, C. and </w:t>
      </w:r>
      <w:proofErr w:type="spellStart"/>
      <w:r>
        <w:rPr>
          <w:color w:val="000000"/>
        </w:rPr>
        <w:t>Atikcan</w:t>
      </w:r>
      <w:proofErr w:type="spellEnd"/>
      <w:r>
        <w:rPr>
          <w:color w:val="000000"/>
        </w:rPr>
        <w:t>, E.Ö. (2021) ‘Thematic analysis’,</w:t>
      </w:r>
      <w:r>
        <w:rPr>
          <w:rStyle w:val="apple-converted-space"/>
          <w:rFonts w:eastAsiaTheme="majorEastAsia"/>
          <w:color w:val="000000"/>
        </w:rPr>
        <w:t> </w:t>
      </w:r>
      <w:r>
        <w:rPr>
          <w:i/>
          <w:iCs/>
          <w:color w:val="000000"/>
        </w:rPr>
        <w:t>Research Methods in the Social Sciences: An A-Z of key concepts</w:t>
      </w:r>
      <w:r>
        <w:rPr>
          <w:color w:val="000000"/>
        </w:rPr>
        <w:t>, pp. 283–288. doi:10.1093/</w:t>
      </w:r>
      <w:proofErr w:type="spellStart"/>
      <w:r>
        <w:rPr>
          <w:color w:val="000000"/>
        </w:rPr>
        <w:t>hepl</w:t>
      </w:r>
      <w:proofErr w:type="spellEnd"/>
      <w:r>
        <w:rPr>
          <w:color w:val="000000"/>
        </w:rPr>
        <w:t>/9780198850298.003.0066.</w:t>
      </w:r>
      <w:r>
        <w:rPr>
          <w:rStyle w:val="apple-converted-space"/>
          <w:rFonts w:eastAsiaTheme="majorEastAsia"/>
          <w:color w:val="000000"/>
        </w:rPr>
        <w:t> </w:t>
      </w:r>
    </w:p>
    <w:p w14:paraId="4C5DADA3" w14:textId="0CB6DEC3" w:rsidR="00811ABB" w:rsidRDefault="00811ABB" w:rsidP="00811ABB">
      <w:pPr>
        <w:pStyle w:val="NormalWeb"/>
        <w:ind w:left="567" w:hanging="567"/>
        <w:rPr>
          <w:color w:val="000000"/>
        </w:rPr>
      </w:pPr>
      <w:r>
        <w:rPr>
          <w:color w:val="000000"/>
        </w:rPr>
        <w:t>Nix, J.</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(2017) ‘Police research, officer surveys, and response rates’,</w:t>
      </w:r>
      <w:r>
        <w:rPr>
          <w:rStyle w:val="apple-converted-space"/>
          <w:rFonts w:eastAsiaTheme="majorEastAsia"/>
          <w:color w:val="000000"/>
        </w:rPr>
        <w:t> </w:t>
      </w:r>
      <w:r>
        <w:rPr>
          <w:i/>
          <w:iCs/>
          <w:color w:val="000000"/>
        </w:rPr>
        <w:t>Policing and Society</w:t>
      </w:r>
      <w:r>
        <w:rPr>
          <w:color w:val="000000"/>
        </w:rPr>
        <w:t>, 29(5), pp. 530–550. doi:10.1080/10439463.2017.1394300.</w:t>
      </w:r>
    </w:p>
    <w:p w14:paraId="299C9957" w14:textId="77777777" w:rsidR="00827C67" w:rsidRDefault="00827C67" w:rsidP="00827C67">
      <w:pPr>
        <w:pStyle w:val="NormalWeb"/>
        <w:ind w:left="567" w:hanging="567"/>
        <w:rPr>
          <w:color w:val="000000"/>
        </w:rPr>
      </w:pPr>
      <w:proofErr w:type="spellStart"/>
      <w:r>
        <w:rPr>
          <w:color w:val="000000"/>
        </w:rPr>
        <w:t>Osuntoki</w:t>
      </w:r>
      <w:proofErr w:type="spellEnd"/>
      <w:r>
        <w:rPr>
          <w:color w:val="000000"/>
        </w:rPr>
        <w:t xml:space="preserve">, S., </w:t>
      </w:r>
      <w:proofErr w:type="spellStart"/>
      <w:r>
        <w:rPr>
          <w:color w:val="000000"/>
        </w:rPr>
        <w:t>Odumuyiwa</w:t>
      </w:r>
      <w:proofErr w:type="spellEnd"/>
      <w:r>
        <w:rPr>
          <w:color w:val="000000"/>
        </w:rPr>
        <w:t xml:space="preserve">, V. and </w:t>
      </w:r>
      <w:proofErr w:type="spellStart"/>
      <w:r>
        <w:rPr>
          <w:color w:val="000000"/>
        </w:rPr>
        <w:t>Sennaike</w:t>
      </w:r>
      <w:proofErr w:type="spellEnd"/>
      <w:r>
        <w:rPr>
          <w:color w:val="000000"/>
        </w:rPr>
        <w:t>, O. (2022) ‘Understanding document thematic structure’,</w:t>
      </w:r>
      <w:r>
        <w:rPr>
          <w:rStyle w:val="apple-converted-space"/>
          <w:rFonts w:eastAsiaTheme="majorEastAsia"/>
          <w:color w:val="000000"/>
        </w:rPr>
        <w:t> </w:t>
      </w:r>
      <w:r>
        <w:rPr>
          <w:i/>
          <w:iCs/>
          <w:color w:val="000000"/>
        </w:rPr>
        <w:t>Journal of information and organizational sciences</w:t>
      </w:r>
      <w:r>
        <w:rPr>
          <w:color w:val="000000"/>
        </w:rPr>
        <w:t>, 46(2), pp. 305–322. doi:10.31341/jios.46.2.3.</w:t>
      </w:r>
      <w:r>
        <w:rPr>
          <w:rStyle w:val="apple-converted-space"/>
          <w:rFonts w:eastAsiaTheme="majorEastAsia"/>
          <w:color w:val="000000"/>
        </w:rPr>
        <w:t> </w:t>
      </w:r>
    </w:p>
    <w:p w14:paraId="39436B8F" w14:textId="4A0D1B20" w:rsidR="00827C67" w:rsidRDefault="00827C67" w:rsidP="00827C67">
      <w:pPr>
        <w:pStyle w:val="NormalWeb"/>
        <w:ind w:left="567" w:hanging="567"/>
        <w:rPr>
          <w:color w:val="000000"/>
        </w:rPr>
      </w:pPr>
      <w:proofErr w:type="gramStart"/>
      <w:r>
        <w:rPr>
          <w:color w:val="000000"/>
        </w:rPr>
        <w:t>Saunders ,</w:t>
      </w:r>
      <w:proofErr w:type="gramEnd"/>
      <w:r>
        <w:rPr>
          <w:color w:val="000000"/>
        </w:rPr>
        <w:t xml:space="preserve"> N.K., Lewis , P. and Thornhill, A. (2019)</w:t>
      </w:r>
      <w:r>
        <w:rPr>
          <w:rStyle w:val="apple-converted-space"/>
          <w:rFonts w:eastAsiaTheme="majorEastAsia"/>
          <w:color w:val="000000"/>
        </w:rPr>
        <w:t> </w:t>
      </w:r>
      <w:r>
        <w:rPr>
          <w:i/>
          <w:iCs/>
          <w:color w:val="000000"/>
        </w:rPr>
        <w:t>| research onion (</w:t>
      </w:r>
      <w:proofErr w:type="spellStart"/>
      <w:r>
        <w:rPr>
          <w:i/>
          <w:iCs/>
          <w:color w:val="000000"/>
        </w:rPr>
        <w:t>saunders</w:t>
      </w:r>
      <w:proofErr w:type="spellEnd"/>
      <w:r>
        <w:rPr>
          <w:i/>
          <w:iCs/>
          <w:color w:val="000000"/>
        </w:rPr>
        <w:t xml:space="preserve"> et al., 2019, p. 108). | download scientific diagram</w:t>
      </w:r>
      <w:r>
        <w:rPr>
          <w:color w:val="000000"/>
        </w:rPr>
        <w:t>,</w:t>
      </w:r>
      <w:r>
        <w:rPr>
          <w:rStyle w:val="apple-converted-space"/>
          <w:rFonts w:eastAsiaTheme="majorEastAsia"/>
          <w:color w:val="000000"/>
        </w:rPr>
        <w:t> </w:t>
      </w:r>
      <w:r>
        <w:rPr>
          <w:i/>
          <w:iCs/>
          <w:color w:val="000000"/>
        </w:rPr>
        <w:t xml:space="preserve">Research </w:t>
      </w:r>
      <w:proofErr w:type="gramStart"/>
      <w:r>
        <w:rPr>
          <w:i/>
          <w:iCs/>
          <w:color w:val="000000"/>
        </w:rPr>
        <w:t>Onion</w:t>
      </w:r>
      <w:r>
        <w:rPr>
          <w:rStyle w:val="apple-converted-space"/>
          <w:rFonts w:eastAsiaTheme="majorEastAsia"/>
          <w:i/>
          <w:iCs/>
          <w:color w:val="000000"/>
        </w:rPr>
        <w:t> </w:t>
      </w:r>
      <w:r>
        <w:rPr>
          <w:color w:val="000000"/>
        </w:rPr>
        <w:t>.</w:t>
      </w:r>
      <w:proofErr w:type="gramEnd"/>
      <w:r>
        <w:rPr>
          <w:color w:val="000000"/>
        </w:rPr>
        <w:t xml:space="preserve"> Available at: </w:t>
      </w:r>
      <w:hyperlink r:id="rId10" w:history="1">
        <w:r w:rsidRPr="00D70BD4">
          <w:rPr>
            <w:rStyle w:val="Hyperlink"/>
          </w:rPr>
          <w:t>https://www.researchgate.net/figure/Research-onion-Saunders-et-al-2019-p-108_fig1_349083776</w:t>
        </w:r>
      </w:hyperlink>
      <w:r>
        <w:rPr>
          <w:color w:val="000000"/>
        </w:rPr>
        <w:t xml:space="preserve">  (Accessed: 09 January 2025).</w:t>
      </w:r>
      <w:r>
        <w:rPr>
          <w:rStyle w:val="apple-converted-space"/>
          <w:rFonts w:eastAsiaTheme="majorEastAsia"/>
          <w:color w:val="000000"/>
        </w:rPr>
        <w:t> </w:t>
      </w:r>
    </w:p>
    <w:p w14:paraId="6A8216E7" w14:textId="77777777" w:rsidR="00827C67" w:rsidRDefault="00827C67" w:rsidP="00827C67">
      <w:pPr>
        <w:pStyle w:val="NormalWeb"/>
        <w:ind w:left="567" w:hanging="567"/>
        <w:rPr>
          <w:color w:val="000000"/>
        </w:rPr>
      </w:pPr>
      <w:proofErr w:type="spellStart"/>
      <w:r>
        <w:rPr>
          <w:color w:val="000000"/>
        </w:rPr>
        <w:t>Shamsudin</w:t>
      </w:r>
      <w:proofErr w:type="spellEnd"/>
      <w:r>
        <w:rPr>
          <w:color w:val="000000"/>
        </w:rPr>
        <w:t xml:space="preserve">, M.F., Hassim, A.A. and </w:t>
      </w:r>
      <w:proofErr w:type="spellStart"/>
      <w:r>
        <w:rPr>
          <w:color w:val="000000"/>
        </w:rPr>
        <w:t>Manaf</w:t>
      </w:r>
      <w:proofErr w:type="spellEnd"/>
      <w:r>
        <w:rPr>
          <w:color w:val="000000"/>
        </w:rPr>
        <w:t>, S.A. (2024) ‘Mastering Probability and Non-Probability Methods for Accurate Research Insights’,</w:t>
      </w:r>
      <w:r>
        <w:rPr>
          <w:rStyle w:val="apple-converted-space"/>
          <w:rFonts w:eastAsiaTheme="majorEastAsia"/>
          <w:color w:val="000000"/>
        </w:rPr>
        <w:t> </w:t>
      </w:r>
      <w:r>
        <w:rPr>
          <w:i/>
          <w:iCs/>
          <w:color w:val="000000"/>
        </w:rPr>
        <w:t xml:space="preserve">Journal of postgraduate current business </w:t>
      </w:r>
      <w:proofErr w:type="gramStart"/>
      <w:r>
        <w:rPr>
          <w:i/>
          <w:iCs/>
          <w:color w:val="000000"/>
        </w:rPr>
        <w:t>research</w:t>
      </w:r>
      <w:r>
        <w:rPr>
          <w:rStyle w:val="apple-converted-space"/>
          <w:rFonts w:eastAsiaTheme="majorEastAsia"/>
          <w:i/>
          <w:iCs/>
          <w:color w:val="000000"/>
        </w:rPr>
        <w:t> </w:t>
      </w:r>
      <w:r>
        <w:rPr>
          <w:color w:val="000000"/>
        </w:rPr>
        <w:t>,</w:t>
      </w:r>
      <w:proofErr w:type="gramEnd"/>
      <w:r>
        <w:rPr>
          <w:color w:val="000000"/>
        </w:rPr>
        <w:t xml:space="preserve"> 9(1).</w:t>
      </w:r>
      <w:r>
        <w:rPr>
          <w:rStyle w:val="apple-converted-space"/>
          <w:rFonts w:eastAsiaTheme="majorEastAsia"/>
          <w:color w:val="000000"/>
        </w:rPr>
        <w:t> </w:t>
      </w:r>
    </w:p>
    <w:p w14:paraId="1BB58079" w14:textId="5E6DF107" w:rsidR="00827C67" w:rsidRDefault="00827C67" w:rsidP="00827C67">
      <w:pPr>
        <w:pStyle w:val="NormalWeb"/>
        <w:ind w:left="567" w:hanging="567"/>
        <w:rPr>
          <w:color w:val="000000"/>
        </w:rPr>
      </w:pPr>
      <w:r>
        <w:rPr>
          <w:color w:val="000000"/>
        </w:rPr>
        <w:lastRenderedPageBreak/>
        <w:t xml:space="preserve">Stella, M., </w:t>
      </w:r>
      <w:proofErr w:type="gramStart"/>
      <w:r>
        <w:rPr>
          <w:color w:val="000000"/>
        </w:rPr>
        <w:t>Stella ,</w:t>
      </w:r>
      <w:proofErr w:type="gramEnd"/>
      <w:r>
        <w:rPr>
          <w:color w:val="000000"/>
        </w:rPr>
        <w:t xml:space="preserve"> T. and </w:t>
      </w:r>
      <w:proofErr w:type="spellStart"/>
      <w:r>
        <w:rPr>
          <w:color w:val="000000"/>
        </w:rPr>
        <w:t>Seuring</w:t>
      </w:r>
      <w:proofErr w:type="spellEnd"/>
      <w:r>
        <w:rPr>
          <w:color w:val="000000"/>
        </w:rPr>
        <w:t xml:space="preserve"> , S. (2021)</w:t>
      </w:r>
      <w:r>
        <w:rPr>
          <w:rStyle w:val="apple-converted-space"/>
          <w:rFonts w:eastAsiaTheme="majorEastAsia"/>
          <w:color w:val="000000"/>
        </w:rPr>
        <w:t> </w:t>
      </w:r>
      <w:r>
        <w:rPr>
          <w:i/>
          <w:iCs/>
          <w:color w:val="000000"/>
        </w:rPr>
        <w:t>| research onion (</w:t>
      </w:r>
      <w:proofErr w:type="spellStart"/>
      <w:r>
        <w:rPr>
          <w:i/>
          <w:iCs/>
          <w:color w:val="000000"/>
        </w:rPr>
        <w:t>saunders</w:t>
      </w:r>
      <w:proofErr w:type="spellEnd"/>
      <w:r>
        <w:rPr>
          <w:i/>
          <w:iCs/>
          <w:color w:val="000000"/>
        </w:rPr>
        <w:t xml:space="preserve"> et al., 2019, p. 108). | download scientific diagram</w:t>
      </w:r>
      <w:r>
        <w:rPr>
          <w:color w:val="000000"/>
        </w:rPr>
        <w:t>,</w:t>
      </w:r>
      <w:r>
        <w:rPr>
          <w:rStyle w:val="apple-converted-space"/>
          <w:rFonts w:eastAsiaTheme="majorEastAsia"/>
          <w:color w:val="000000"/>
        </w:rPr>
        <w:t> </w:t>
      </w:r>
      <w:r>
        <w:rPr>
          <w:i/>
          <w:iCs/>
          <w:color w:val="000000"/>
        </w:rPr>
        <w:t xml:space="preserve">Research </w:t>
      </w:r>
      <w:proofErr w:type="gramStart"/>
      <w:r>
        <w:rPr>
          <w:i/>
          <w:iCs/>
          <w:color w:val="000000"/>
        </w:rPr>
        <w:t>Onion</w:t>
      </w:r>
      <w:r>
        <w:rPr>
          <w:rStyle w:val="apple-converted-space"/>
          <w:rFonts w:eastAsiaTheme="majorEastAsia"/>
          <w:i/>
          <w:iCs/>
          <w:color w:val="000000"/>
        </w:rPr>
        <w:t> </w:t>
      </w:r>
      <w:r>
        <w:rPr>
          <w:color w:val="000000"/>
        </w:rPr>
        <w:t>.</w:t>
      </w:r>
      <w:proofErr w:type="gramEnd"/>
      <w:r>
        <w:rPr>
          <w:color w:val="000000"/>
        </w:rPr>
        <w:t xml:space="preserve"> Available at: </w:t>
      </w:r>
      <w:hyperlink r:id="rId11" w:history="1">
        <w:r w:rsidRPr="00D70BD4">
          <w:rPr>
            <w:rStyle w:val="Hyperlink"/>
          </w:rPr>
          <w:t>https://www.researchgate.net/figure/Research-onion-Saunders-et-al-2019-p-108_fig1_349083776</w:t>
        </w:r>
      </w:hyperlink>
      <w:r>
        <w:rPr>
          <w:color w:val="000000"/>
        </w:rPr>
        <w:t xml:space="preserve">  (Accessed: 09 January 2025).</w:t>
      </w:r>
      <w:r>
        <w:rPr>
          <w:rStyle w:val="apple-converted-space"/>
          <w:rFonts w:eastAsiaTheme="majorEastAsia"/>
          <w:color w:val="000000"/>
        </w:rPr>
        <w:t> </w:t>
      </w:r>
    </w:p>
    <w:p w14:paraId="1D0E72A8" w14:textId="1723FA40" w:rsidR="00827C67" w:rsidRDefault="00827C67" w:rsidP="00827C67">
      <w:pPr>
        <w:pStyle w:val="NormalWeb"/>
        <w:ind w:left="567" w:hanging="567"/>
        <w:rPr>
          <w:color w:val="000000"/>
        </w:rPr>
      </w:pPr>
      <w:r>
        <w:rPr>
          <w:i/>
          <w:iCs/>
          <w:color w:val="000000"/>
        </w:rPr>
        <w:t>Stress in the police</w:t>
      </w:r>
      <w:r>
        <w:rPr>
          <w:rStyle w:val="apple-converted-space"/>
          <w:rFonts w:eastAsiaTheme="majorEastAsia"/>
          <w:color w:val="000000"/>
        </w:rPr>
        <w:t> </w:t>
      </w:r>
      <w:r>
        <w:rPr>
          <w:color w:val="000000"/>
        </w:rPr>
        <w:t>(2024)</w:t>
      </w:r>
      <w:r>
        <w:rPr>
          <w:rStyle w:val="apple-converted-space"/>
          <w:rFonts w:eastAsiaTheme="majorEastAsia"/>
          <w:color w:val="000000"/>
        </w:rPr>
        <w:t> </w:t>
      </w:r>
      <w:r>
        <w:rPr>
          <w:i/>
          <w:iCs/>
          <w:color w:val="000000"/>
        </w:rPr>
        <w:t>PMAC</w:t>
      </w:r>
      <w:r>
        <w:rPr>
          <w:color w:val="000000"/>
        </w:rPr>
        <w:t xml:space="preserve">. Available at: </w:t>
      </w:r>
      <w:hyperlink r:id="rId12" w:anchor=":~:text=The%20high%2Dstakes%20and%20sometimes,other%20significant%20mental%20health%20challenges" w:history="1">
        <w:r w:rsidRPr="00D70BD4">
          <w:rPr>
            <w:rStyle w:val="Hyperlink"/>
          </w:rPr>
          <w:t>https://pmac.uk/resources/stress-management/stress-in-the-police/#:~:text=The%20high%2Dstakes%20and%20sometimes,other%20significant%20mental%20health%20challenges</w:t>
        </w:r>
      </w:hyperlink>
      <w:r>
        <w:rPr>
          <w:color w:val="000000"/>
        </w:rPr>
        <w:t>.  (Accessed: 09 January 2025).</w:t>
      </w:r>
      <w:r>
        <w:rPr>
          <w:rStyle w:val="apple-converted-space"/>
          <w:rFonts w:eastAsiaTheme="majorEastAsia"/>
          <w:color w:val="000000"/>
        </w:rPr>
        <w:t> </w:t>
      </w:r>
    </w:p>
    <w:p w14:paraId="4E51628F" w14:textId="3DAC2D35" w:rsidR="00827C67" w:rsidRDefault="00827C67" w:rsidP="00827C67">
      <w:pPr>
        <w:pStyle w:val="NormalWeb"/>
        <w:ind w:left="567" w:hanging="567"/>
        <w:rPr>
          <w:color w:val="000000"/>
        </w:rPr>
      </w:pPr>
      <w:r>
        <w:rPr>
          <w:color w:val="000000"/>
        </w:rPr>
        <w:t>Sullivan, E.V. (2021)</w:t>
      </w:r>
      <w:r>
        <w:rPr>
          <w:rStyle w:val="apple-converted-space"/>
          <w:rFonts w:eastAsiaTheme="majorEastAsia"/>
          <w:color w:val="000000"/>
        </w:rPr>
        <w:t> </w:t>
      </w:r>
      <w:r>
        <w:rPr>
          <w:i/>
          <w:iCs/>
          <w:color w:val="000000"/>
        </w:rPr>
        <w:t>A critical psychology</w:t>
      </w:r>
      <w:r>
        <w:rPr>
          <w:color w:val="000000"/>
        </w:rPr>
        <w:t>,</w:t>
      </w:r>
      <w:r>
        <w:rPr>
          <w:rStyle w:val="apple-converted-space"/>
          <w:rFonts w:eastAsiaTheme="majorEastAsia"/>
          <w:color w:val="000000"/>
        </w:rPr>
        <w:t> </w:t>
      </w:r>
      <w:r>
        <w:rPr>
          <w:i/>
          <w:iCs/>
          <w:color w:val="000000"/>
        </w:rPr>
        <w:t>SpringerLink</w:t>
      </w:r>
      <w:r>
        <w:rPr>
          <w:color w:val="000000"/>
        </w:rPr>
        <w:t xml:space="preserve">. Available at: </w:t>
      </w:r>
      <w:hyperlink r:id="rId13" w:history="1">
        <w:r w:rsidRPr="00D70BD4">
          <w:rPr>
            <w:rStyle w:val="Hyperlink"/>
          </w:rPr>
          <w:t>https://link.springer.com/book/10.1007/978-1-4613-2673-1</w:t>
        </w:r>
      </w:hyperlink>
      <w:r>
        <w:rPr>
          <w:color w:val="000000"/>
        </w:rPr>
        <w:t xml:space="preserve">  (Accessed: 09 January 2025).</w:t>
      </w:r>
      <w:r>
        <w:rPr>
          <w:rStyle w:val="apple-converted-space"/>
          <w:rFonts w:eastAsiaTheme="majorEastAsia"/>
          <w:color w:val="000000"/>
        </w:rPr>
        <w:t> </w:t>
      </w:r>
    </w:p>
    <w:p w14:paraId="233EE563" w14:textId="77777777" w:rsidR="00827C67" w:rsidRDefault="00827C67" w:rsidP="00827C67">
      <w:pPr>
        <w:pStyle w:val="NormalWeb"/>
        <w:ind w:left="567" w:hanging="567"/>
        <w:rPr>
          <w:color w:val="000000"/>
        </w:rPr>
      </w:pPr>
      <w:proofErr w:type="spellStart"/>
      <w:r>
        <w:rPr>
          <w:color w:val="000000"/>
        </w:rPr>
        <w:t>Wolgemuth</w:t>
      </w:r>
      <w:proofErr w:type="spellEnd"/>
      <w:r>
        <w:rPr>
          <w:color w:val="000000"/>
        </w:rPr>
        <w:t xml:space="preserve">, J.R., </w:t>
      </w:r>
      <w:proofErr w:type="spellStart"/>
      <w:r>
        <w:rPr>
          <w:color w:val="000000"/>
        </w:rPr>
        <w:t>Guyotte</w:t>
      </w:r>
      <w:proofErr w:type="spellEnd"/>
      <w:r>
        <w:rPr>
          <w:color w:val="000000"/>
        </w:rPr>
        <w:t>, K.W. and Shelton, S.A. (2025)</w:t>
      </w:r>
      <w:r>
        <w:rPr>
          <w:rStyle w:val="apple-converted-space"/>
          <w:rFonts w:eastAsiaTheme="majorEastAsia"/>
          <w:color w:val="000000"/>
        </w:rPr>
        <w:t> </w:t>
      </w:r>
      <w:r>
        <w:rPr>
          <w:i/>
          <w:iCs/>
          <w:color w:val="000000"/>
        </w:rPr>
        <w:t>Expanding approaches to thematic analysis: Creative engagements with Qualitative Data</w:t>
      </w:r>
      <w:r>
        <w:rPr>
          <w:color w:val="000000"/>
        </w:rPr>
        <w:t>. Abingdon, Oxon: Routledge.</w:t>
      </w:r>
      <w:r>
        <w:rPr>
          <w:rStyle w:val="apple-converted-space"/>
          <w:rFonts w:eastAsiaTheme="majorEastAsia"/>
          <w:color w:val="000000"/>
        </w:rPr>
        <w:t> </w:t>
      </w:r>
    </w:p>
    <w:p w14:paraId="3EF2CDD9" w14:textId="785F29DE" w:rsidR="00827C67" w:rsidRDefault="00827C67" w:rsidP="00827C67">
      <w:pPr>
        <w:pStyle w:val="NormalWeb"/>
        <w:ind w:left="567" w:hanging="567"/>
        <w:rPr>
          <w:color w:val="000000"/>
        </w:rPr>
      </w:pPr>
      <w:r>
        <w:rPr>
          <w:color w:val="000000"/>
        </w:rPr>
        <w:t>Wyse, D.</w:t>
      </w:r>
      <w:r>
        <w:rPr>
          <w:rStyle w:val="apple-converted-space"/>
          <w:rFonts w:eastAsiaTheme="majorEastAsia"/>
          <w:color w:val="000000"/>
        </w:rPr>
        <w:t>, Selwyn, N., Smith, E. and Suter, L.E</w:t>
      </w:r>
      <w:r>
        <w:rPr>
          <w:i/>
          <w:iCs/>
          <w:color w:val="000000"/>
        </w:rPr>
        <w:t>.</w:t>
      </w:r>
      <w:r>
        <w:rPr>
          <w:rStyle w:val="apple-converted-space"/>
          <w:rFonts w:eastAsiaTheme="majorEastAsia"/>
          <w:color w:val="000000"/>
        </w:rPr>
        <w:t> </w:t>
      </w:r>
      <w:r>
        <w:rPr>
          <w:color w:val="000000"/>
        </w:rPr>
        <w:t>(2017)</w:t>
      </w:r>
      <w:r>
        <w:rPr>
          <w:rStyle w:val="apple-converted-space"/>
          <w:rFonts w:eastAsiaTheme="majorEastAsia"/>
          <w:color w:val="000000"/>
        </w:rPr>
        <w:t> </w:t>
      </w:r>
      <w:r>
        <w:rPr>
          <w:i/>
          <w:iCs/>
          <w:color w:val="000000"/>
        </w:rPr>
        <w:t>The BERA/SAGE Handbook of Educational Research</w:t>
      </w:r>
      <w:r>
        <w:rPr>
          <w:color w:val="000000"/>
        </w:rPr>
        <w:t>. London: Sage.</w:t>
      </w:r>
      <w:r>
        <w:rPr>
          <w:rStyle w:val="apple-converted-space"/>
          <w:rFonts w:eastAsiaTheme="majorEastAsia"/>
          <w:color w:val="000000"/>
        </w:rPr>
        <w:t> </w:t>
      </w:r>
    </w:p>
    <w:p w14:paraId="240E4771" w14:textId="77777777" w:rsidR="00827C67" w:rsidRPr="00827C67" w:rsidRDefault="00827C67" w:rsidP="00827C67">
      <w:pPr>
        <w:rPr>
          <w:lang w:eastAsia="en-US"/>
        </w:rPr>
      </w:pPr>
    </w:p>
    <w:sectPr w:rsidR="00827C67" w:rsidRPr="00827C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C67"/>
    <w:rsid w:val="00207522"/>
    <w:rsid w:val="005C16B1"/>
    <w:rsid w:val="00811ABB"/>
    <w:rsid w:val="00827C67"/>
    <w:rsid w:val="00872ECC"/>
    <w:rsid w:val="00F45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E6375"/>
  <w15:chartTrackingRefBased/>
  <w15:docId w15:val="{B0CFA8EF-381A-C843-A071-89DAA5D52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C6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27C6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27C6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827C6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27C67"/>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827C67"/>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827C67"/>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827C67"/>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827C67"/>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827C67"/>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C67"/>
    <w:rPr>
      <w:rFonts w:eastAsiaTheme="majorEastAsia" w:cstheme="majorBidi"/>
      <w:color w:val="272727" w:themeColor="text1" w:themeTint="D8"/>
    </w:rPr>
  </w:style>
  <w:style w:type="paragraph" w:styleId="Title">
    <w:name w:val="Title"/>
    <w:basedOn w:val="Normal"/>
    <w:next w:val="Normal"/>
    <w:link w:val="TitleChar"/>
    <w:uiPriority w:val="10"/>
    <w:qFormat/>
    <w:rsid w:val="00827C6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27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6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27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67"/>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827C67"/>
    <w:rPr>
      <w:i/>
      <w:iCs/>
      <w:color w:val="404040" w:themeColor="text1" w:themeTint="BF"/>
    </w:rPr>
  </w:style>
  <w:style w:type="paragraph" w:styleId="ListParagraph">
    <w:name w:val="List Paragraph"/>
    <w:basedOn w:val="Normal"/>
    <w:uiPriority w:val="34"/>
    <w:qFormat/>
    <w:rsid w:val="00827C67"/>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827C67"/>
    <w:rPr>
      <w:i/>
      <w:iCs/>
      <w:color w:val="0F4761" w:themeColor="accent1" w:themeShade="BF"/>
    </w:rPr>
  </w:style>
  <w:style w:type="paragraph" w:styleId="IntenseQuote">
    <w:name w:val="Intense Quote"/>
    <w:basedOn w:val="Normal"/>
    <w:next w:val="Normal"/>
    <w:link w:val="IntenseQuoteChar"/>
    <w:uiPriority w:val="30"/>
    <w:qFormat/>
    <w:rsid w:val="00827C6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827C67"/>
    <w:rPr>
      <w:i/>
      <w:iCs/>
      <w:color w:val="0F4761" w:themeColor="accent1" w:themeShade="BF"/>
    </w:rPr>
  </w:style>
  <w:style w:type="character" w:styleId="IntenseReference">
    <w:name w:val="Intense Reference"/>
    <w:basedOn w:val="DefaultParagraphFont"/>
    <w:uiPriority w:val="32"/>
    <w:qFormat/>
    <w:rsid w:val="00827C67"/>
    <w:rPr>
      <w:b/>
      <w:bCs/>
      <w:smallCaps/>
      <w:color w:val="0F4761" w:themeColor="accent1" w:themeShade="BF"/>
      <w:spacing w:val="5"/>
    </w:rPr>
  </w:style>
  <w:style w:type="paragraph" w:styleId="NormalWeb">
    <w:name w:val="Normal (Web)"/>
    <w:basedOn w:val="Normal"/>
    <w:uiPriority w:val="99"/>
    <w:semiHidden/>
    <w:unhideWhenUsed/>
    <w:rsid w:val="00827C67"/>
    <w:pPr>
      <w:spacing w:before="100" w:beforeAutospacing="1" w:after="100" w:afterAutospacing="1"/>
    </w:pPr>
  </w:style>
  <w:style w:type="character" w:customStyle="1" w:styleId="apple-converted-space">
    <w:name w:val="apple-converted-space"/>
    <w:basedOn w:val="DefaultParagraphFont"/>
    <w:rsid w:val="00827C67"/>
  </w:style>
  <w:style w:type="paragraph" w:styleId="NoSpacing">
    <w:name w:val="No Spacing"/>
    <w:uiPriority w:val="1"/>
    <w:qFormat/>
    <w:rsid w:val="00827C67"/>
    <w:pPr>
      <w:spacing w:after="0"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27C67"/>
    <w:rPr>
      <w:color w:val="467886" w:themeColor="hyperlink"/>
      <w:u w:val="single"/>
    </w:rPr>
  </w:style>
  <w:style w:type="character" w:styleId="UnresolvedMention">
    <w:name w:val="Unresolved Mention"/>
    <w:basedOn w:val="DefaultParagraphFont"/>
    <w:uiPriority w:val="99"/>
    <w:semiHidden/>
    <w:unhideWhenUsed/>
    <w:rsid w:val="00827C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315187">
      <w:bodyDiv w:val="1"/>
      <w:marLeft w:val="0"/>
      <w:marRight w:val="0"/>
      <w:marTop w:val="0"/>
      <w:marBottom w:val="0"/>
      <w:divBdr>
        <w:top w:val="none" w:sz="0" w:space="0" w:color="auto"/>
        <w:left w:val="none" w:sz="0" w:space="0" w:color="auto"/>
        <w:bottom w:val="none" w:sz="0" w:space="0" w:color="auto"/>
        <w:right w:val="none" w:sz="0" w:space="0" w:color="auto"/>
      </w:divBdr>
    </w:div>
    <w:div w:id="341443639">
      <w:bodyDiv w:val="1"/>
      <w:marLeft w:val="0"/>
      <w:marRight w:val="0"/>
      <w:marTop w:val="0"/>
      <w:marBottom w:val="0"/>
      <w:divBdr>
        <w:top w:val="none" w:sz="0" w:space="0" w:color="auto"/>
        <w:left w:val="none" w:sz="0" w:space="0" w:color="auto"/>
        <w:bottom w:val="none" w:sz="0" w:space="0" w:color="auto"/>
        <w:right w:val="none" w:sz="0" w:space="0" w:color="auto"/>
      </w:divBdr>
    </w:div>
    <w:div w:id="696807463">
      <w:bodyDiv w:val="1"/>
      <w:marLeft w:val="0"/>
      <w:marRight w:val="0"/>
      <w:marTop w:val="0"/>
      <w:marBottom w:val="0"/>
      <w:divBdr>
        <w:top w:val="none" w:sz="0" w:space="0" w:color="auto"/>
        <w:left w:val="none" w:sz="0" w:space="0" w:color="auto"/>
        <w:bottom w:val="none" w:sz="0" w:space="0" w:color="auto"/>
        <w:right w:val="none" w:sz="0" w:space="0" w:color="auto"/>
      </w:divBdr>
    </w:div>
    <w:div w:id="766194427">
      <w:bodyDiv w:val="1"/>
      <w:marLeft w:val="0"/>
      <w:marRight w:val="0"/>
      <w:marTop w:val="0"/>
      <w:marBottom w:val="0"/>
      <w:divBdr>
        <w:top w:val="none" w:sz="0" w:space="0" w:color="auto"/>
        <w:left w:val="none" w:sz="0" w:space="0" w:color="auto"/>
        <w:bottom w:val="none" w:sz="0" w:space="0" w:color="auto"/>
        <w:right w:val="none" w:sz="0" w:space="0" w:color="auto"/>
      </w:divBdr>
    </w:div>
    <w:div w:id="769742406">
      <w:bodyDiv w:val="1"/>
      <w:marLeft w:val="0"/>
      <w:marRight w:val="0"/>
      <w:marTop w:val="0"/>
      <w:marBottom w:val="0"/>
      <w:divBdr>
        <w:top w:val="none" w:sz="0" w:space="0" w:color="auto"/>
        <w:left w:val="none" w:sz="0" w:space="0" w:color="auto"/>
        <w:bottom w:val="none" w:sz="0" w:space="0" w:color="auto"/>
        <w:right w:val="none" w:sz="0" w:space="0" w:color="auto"/>
      </w:divBdr>
    </w:div>
    <w:div w:id="862208284">
      <w:bodyDiv w:val="1"/>
      <w:marLeft w:val="0"/>
      <w:marRight w:val="0"/>
      <w:marTop w:val="0"/>
      <w:marBottom w:val="0"/>
      <w:divBdr>
        <w:top w:val="none" w:sz="0" w:space="0" w:color="auto"/>
        <w:left w:val="none" w:sz="0" w:space="0" w:color="auto"/>
        <w:bottom w:val="none" w:sz="0" w:space="0" w:color="auto"/>
        <w:right w:val="none" w:sz="0" w:space="0" w:color="auto"/>
      </w:divBdr>
    </w:div>
    <w:div w:id="926308659">
      <w:bodyDiv w:val="1"/>
      <w:marLeft w:val="0"/>
      <w:marRight w:val="0"/>
      <w:marTop w:val="0"/>
      <w:marBottom w:val="0"/>
      <w:divBdr>
        <w:top w:val="none" w:sz="0" w:space="0" w:color="auto"/>
        <w:left w:val="none" w:sz="0" w:space="0" w:color="auto"/>
        <w:bottom w:val="none" w:sz="0" w:space="0" w:color="auto"/>
        <w:right w:val="none" w:sz="0" w:space="0" w:color="auto"/>
      </w:divBdr>
    </w:div>
    <w:div w:id="981734726">
      <w:bodyDiv w:val="1"/>
      <w:marLeft w:val="0"/>
      <w:marRight w:val="0"/>
      <w:marTop w:val="0"/>
      <w:marBottom w:val="0"/>
      <w:divBdr>
        <w:top w:val="none" w:sz="0" w:space="0" w:color="auto"/>
        <w:left w:val="none" w:sz="0" w:space="0" w:color="auto"/>
        <w:bottom w:val="none" w:sz="0" w:space="0" w:color="auto"/>
        <w:right w:val="none" w:sz="0" w:space="0" w:color="auto"/>
      </w:divBdr>
    </w:div>
    <w:div w:id="987129941">
      <w:bodyDiv w:val="1"/>
      <w:marLeft w:val="0"/>
      <w:marRight w:val="0"/>
      <w:marTop w:val="0"/>
      <w:marBottom w:val="0"/>
      <w:divBdr>
        <w:top w:val="none" w:sz="0" w:space="0" w:color="auto"/>
        <w:left w:val="none" w:sz="0" w:space="0" w:color="auto"/>
        <w:bottom w:val="none" w:sz="0" w:space="0" w:color="auto"/>
        <w:right w:val="none" w:sz="0" w:space="0" w:color="auto"/>
      </w:divBdr>
    </w:div>
    <w:div w:id="1016226667">
      <w:bodyDiv w:val="1"/>
      <w:marLeft w:val="0"/>
      <w:marRight w:val="0"/>
      <w:marTop w:val="0"/>
      <w:marBottom w:val="0"/>
      <w:divBdr>
        <w:top w:val="none" w:sz="0" w:space="0" w:color="auto"/>
        <w:left w:val="none" w:sz="0" w:space="0" w:color="auto"/>
        <w:bottom w:val="none" w:sz="0" w:space="0" w:color="auto"/>
        <w:right w:val="none" w:sz="0" w:space="0" w:color="auto"/>
      </w:divBdr>
    </w:div>
    <w:div w:id="1094781386">
      <w:bodyDiv w:val="1"/>
      <w:marLeft w:val="0"/>
      <w:marRight w:val="0"/>
      <w:marTop w:val="0"/>
      <w:marBottom w:val="0"/>
      <w:divBdr>
        <w:top w:val="none" w:sz="0" w:space="0" w:color="auto"/>
        <w:left w:val="none" w:sz="0" w:space="0" w:color="auto"/>
        <w:bottom w:val="none" w:sz="0" w:space="0" w:color="auto"/>
        <w:right w:val="none" w:sz="0" w:space="0" w:color="auto"/>
      </w:divBdr>
    </w:div>
    <w:div w:id="1254124969">
      <w:bodyDiv w:val="1"/>
      <w:marLeft w:val="0"/>
      <w:marRight w:val="0"/>
      <w:marTop w:val="0"/>
      <w:marBottom w:val="0"/>
      <w:divBdr>
        <w:top w:val="none" w:sz="0" w:space="0" w:color="auto"/>
        <w:left w:val="none" w:sz="0" w:space="0" w:color="auto"/>
        <w:bottom w:val="none" w:sz="0" w:space="0" w:color="auto"/>
        <w:right w:val="none" w:sz="0" w:space="0" w:color="auto"/>
      </w:divBdr>
      <w:divsChild>
        <w:div w:id="1024743496">
          <w:marLeft w:val="0"/>
          <w:marRight w:val="0"/>
          <w:marTop w:val="0"/>
          <w:marBottom w:val="0"/>
          <w:divBdr>
            <w:top w:val="none" w:sz="0" w:space="0" w:color="auto"/>
            <w:left w:val="none" w:sz="0" w:space="0" w:color="auto"/>
            <w:bottom w:val="none" w:sz="0" w:space="0" w:color="auto"/>
            <w:right w:val="none" w:sz="0" w:space="0" w:color="auto"/>
          </w:divBdr>
          <w:divsChild>
            <w:div w:id="838429001">
              <w:marLeft w:val="0"/>
              <w:marRight w:val="0"/>
              <w:marTop w:val="0"/>
              <w:marBottom w:val="0"/>
              <w:divBdr>
                <w:top w:val="none" w:sz="0" w:space="0" w:color="auto"/>
                <w:left w:val="none" w:sz="0" w:space="0" w:color="auto"/>
                <w:bottom w:val="none" w:sz="0" w:space="0" w:color="auto"/>
                <w:right w:val="none" w:sz="0" w:space="0" w:color="auto"/>
              </w:divBdr>
              <w:divsChild>
                <w:div w:id="64293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60065">
          <w:marLeft w:val="0"/>
          <w:marRight w:val="0"/>
          <w:marTop w:val="0"/>
          <w:marBottom w:val="0"/>
          <w:divBdr>
            <w:top w:val="none" w:sz="0" w:space="0" w:color="auto"/>
            <w:left w:val="none" w:sz="0" w:space="0" w:color="auto"/>
            <w:bottom w:val="none" w:sz="0" w:space="0" w:color="auto"/>
            <w:right w:val="none" w:sz="0" w:space="0" w:color="auto"/>
          </w:divBdr>
        </w:div>
      </w:divsChild>
    </w:div>
    <w:div w:id="1298560528">
      <w:bodyDiv w:val="1"/>
      <w:marLeft w:val="0"/>
      <w:marRight w:val="0"/>
      <w:marTop w:val="0"/>
      <w:marBottom w:val="0"/>
      <w:divBdr>
        <w:top w:val="none" w:sz="0" w:space="0" w:color="auto"/>
        <w:left w:val="none" w:sz="0" w:space="0" w:color="auto"/>
        <w:bottom w:val="none" w:sz="0" w:space="0" w:color="auto"/>
        <w:right w:val="none" w:sz="0" w:space="0" w:color="auto"/>
      </w:divBdr>
    </w:div>
    <w:div w:id="1407922823">
      <w:bodyDiv w:val="1"/>
      <w:marLeft w:val="0"/>
      <w:marRight w:val="0"/>
      <w:marTop w:val="0"/>
      <w:marBottom w:val="0"/>
      <w:divBdr>
        <w:top w:val="none" w:sz="0" w:space="0" w:color="auto"/>
        <w:left w:val="none" w:sz="0" w:space="0" w:color="auto"/>
        <w:bottom w:val="none" w:sz="0" w:space="0" w:color="auto"/>
        <w:right w:val="none" w:sz="0" w:space="0" w:color="auto"/>
      </w:divBdr>
    </w:div>
    <w:div w:id="1479109643">
      <w:bodyDiv w:val="1"/>
      <w:marLeft w:val="0"/>
      <w:marRight w:val="0"/>
      <w:marTop w:val="0"/>
      <w:marBottom w:val="0"/>
      <w:divBdr>
        <w:top w:val="none" w:sz="0" w:space="0" w:color="auto"/>
        <w:left w:val="none" w:sz="0" w:space="0" w:color="auto"/>
        <w:bottom w:val="none" w:sz="0" w:space="0" w:color="auto"/>
        <w:right w:val="none" w:sz="0" w:space="0" w:color="auto"/>
      </w:divBdr>
    </w:div>
    <w:div w:id="1584292765">
      <w:bodyDiv w:val="1"/>
      <w:marLeft w:val="0"/>
      <w:marRight w:val="0"/>
      <w:marTop w:val="0"/>
      <w:marBottom w:val="0"/>
      <w:divBdr>
        <w:top w:val="none" w:sz="0" w:space="0" w:color="auto"/>
        <w:left w:val="none" w:sz="0" w:space="0" w:color="auto"/>
        <w:bottom w:val="none" w:sz="0" w:space="0" w:color="auto"/>
        <w:right w:val="none" w:sz="0" w:space="0" w:color="auto"/>
      </w:divBdr>
    </w:div>
    <w:div w:id="1731155174">
      <w:bodyDiv w:val="1"/>
      <w:marLeft w:val="0"/>
      <w:marRight w:val="0"/>
      <w:marTop w:val="0"/>
      <w:marBottom w:val="0"/>
      <w:divBdr>
        <w:top w:val="none" w:sz="0" w:space="0" w:color="auto"/>
        <w:left w:val="none" w:sz="0" w:space="0" w:color="auto"/>
        <w:bottom w:val="none" w:sz="0" w:space="0" w:color="auto"/>
        <w:right w:val="none" w:sz="0" w:space="0" w:color="auto"/>
      </w:divBdr>
    </w:div>
    <w:div w:id="1817145433">
      <w:bodyDiv w:val="1"/>
      <w:marLeft w:val="0"/>
      <w:marRight w:val="0"/>
      <w:marTop w:val="0"/>
      <w:marBottom w:val="0"/>
      <w:divBdr>
        <w:top w:val="none" w:sz="0" w:space="0" w:color="auto"/>
        <w:left w:val="none" w:sz="0" w:space="0" w:color="auto"/>
        <w:bottom w:val="none" w:sz="0" w:space="0" w:color="auto"/>
        <w:right w:val="none" w:sz="0" w:space="0" w:color="auto"/>
      </w:divBdr>
      <w:divsChild>
        <w:div w:id="169680319">
          <w:marLeft w:val="0"/>
          <w:marRight w:val="0"/>
          <w:marTop w:val="0"/>
          <w:marBottom w:val="0"/>
          <w:divBdr>
            <w:top w:val="none" w:sz="0" w:space="0" w:color="auto"/>
            <w:left w:val="none" w:sz="0" w:space="0" w:color="auto"/>
            <w:bottom w:val="none" w:sz="0" w:space="0" w:color="auto"/>
            <w:right w:val="none" w:sz="0" w:space="0" w:color="auto"/>
          </w:divBdr>
          <w:divsChild>
            <w:div w:id="1849715903">
              <w:marLeft w:val="0"/>
              <w:marRight w:val="0"/>
              <w:marTop w:val="0"/>
              <w:marBottom w:val="0"/>
              <w:divBdr>
                <w:top w:val="none" w:sz="0" w:space="0" w:color="auto"/>
                <w:left w:val="none" w:sz="0" w:space="0" w:color="auto"/>
                <w:bottom w:val="none" w:sz="0" w:space="0" w:color="auto"/>
                <w:right w:val="none" w:sz="0" w:space="0" w:color="auto"/>
              </w:divBdr>
              <w:divsChild>
                <w:div w:id="63394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928752">
          <w:marLeft w:val="0"/>
          <w:marRight w:val="0"/>
          <w:marTop w:val="0"/>
          <w:marBottom w:val="0"/>
          <w:divBdr>
            <w:top w:val="none" w:sz="0" w:space="0" w:color="auto"/>
            <w:left w:val="none" w:sz="0" w:space="0" w:color="auto"/>
            <w:bottom w:val="none" w:sz="0" w:space="0" w:color="auto"/>
            <w:right w:val="none" w:sz="0" w:space="0" w:color="auto"/>
          </w:divBdr>
        </w:div>
      </w:divsChild>
    </w:div>
    <w:div w:id="1893617202">
      <w:bodyDiv w:val="1"/>
      <w:marLeft w:val="0"/>
      <w:marRight w:val="0"/>
      <w:marTop w:val="0"/>
      <w:marBottom w:val="0"/>
      <w:divBdr>
        <w:top w:val="none" w:sz="0" w:space="0" w:color="auto"/>
        <w:left w:val="none" w:sz="0" w:space="0" w:color="auto"/>
        <w:bottom w:val="none" w:sz="0" w:space="0" w:color="auto"/>
        <w:right w:val="none" w:sz="0" w:space="0" w:color="auto"/>
      </w:divBdr>
    </w:div>
    <w:div w:id="1928803657">
      <w:bodyDiv w:val="1"/>
      <w:marLeft w:val="0"/>
      <w:marRight w:val="0"/>
      <w:marTop w:val="0"/>
      <w:marBottom w:val="0"/>
      <w:divBdr>
        <w:top w:val="none" w:sz="0" w:space="0" w:color="auto"/>
        <w:left w:val="none" w:sz="0" w:space="0" w:color="auto"/>
        <w:bottom w:val="none" w:sz="0" w:space="0" w:color="auto"/>
        <w:right w:val="none" w:sz="0" w:space="0" w:color="auto"/>
      </w:divBdr>
    </w:div>
    <w:div w:id="2009557906">
      <w:bodyDiv w:val="1"/>
      <w:marLeft w:val="0"/>
      <w:marRight w:val="0"/>
      <w:marTop w:val="0"/>
      <w:marBottom w:val="0"/>
      <w:divBdr>
        <w:top w:val="none" w:sz="0" w:space="0" w:color="auto"/>
        <w:left w:val="none" w:sz="0" w:space="0" w:color="auto"/>
        <w:bottom w:val="none" w:sz="0" w:space="0" w:color="auto"/>
        <w:right w:val="none" w:sz="0" w:space="0" w:color="auto"/>
      </w:divBdr>
    </w:div>
    <w:div w:id="2046368550">
      <w:bodyDiv w:val="1"/>
      <w:marLeft w:val="0"/>
      <w:marRight w:val="0"/>
      <w:marTop w:val="0"/>
      <w:marBottom w:val="0"/>
      <w:divBdr>
        <w:top w:val="none" w:sz="0" w:space="0" w:color="auto"/>
        <w:left w:val="none" w:sz="0" w:space="0" w:color="auto"/>
        <w:bottom w:val="none" w:sz="0" w:space="0" w:color="auto"/>
        <w:right w:val="none" w:sz="0" w:space="0" w:color="auto"/>
      </w:divBdr>
    </w:div>
    <w:div w:id="205253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83155720_The_Crucial_Role_of_Data_Collection_in_Research_Techniques_Challenges_and_Best_Practices" TargetMode="External"/><Relationship Id="rId13" Type="http://schemas.openxmlformats.org/officeDocument/2006/relationships/hyperlink" Target="https://link.springer.com/book/10.1007/978-1-4613-2673-1" TargetMode="External"/><Relationship Id="rId3" Type="http://schemas.openxmlformats.org/officeDocument/2006/relationships/webSettings" Target="webSettings.xml"/><Relationship Id="rId7" Type="http://schemas.openxmlformats.org/officeDocument/2006/relationships/hyperlink" Target="https://choosemypcc.org.uk/candidates/west-midlands/simon-john-foster-2/" TargetMode="External"/><Relationship Id="rId12" Type="http://schemas.openxmlformats.org/officeDocument/2006/relationships/hyperlink" Target="https://pmac.uk/resources/stress-management/stress-in-the-poli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hilpapers.org/rec/CURWDN" TargetMode="External"/><Relationship Id="rId11" Type="http://schemas.openxmlformats.org/officeDocument/2006/relationships/hyperlink" Target="https://www.researchgate.net/figure/Research-onion-Saunders-et-al-2019-p-108_fig1_349083776" TargetMode="External"/><Relationship Id="rId5" Type="http://schemas.openxmlformats.org/officeDocument/2006/relationships/hyperlink" Target="https://www.scribbr.co.uk/research-methods/ethical-considerations/" TargetMode="External"/><Relationship Id="rId15" Type="http://schemas.openxmlformats.org/officeDocument/2006/relationships/theme" Target="theme/theme1.xml"/><Relationship Id="rId10" Type="http://schemas.openxmlformats.org/officeDocument/2006/relationships/hyperlink" Target="https://www.researchgate.net/figure/Research-onion-Saunders-et-al-2019-p-108_fig1_349083776" TargetMode="External"/><Relationship Id="rId4" Type="http://schemas.openxmlformats.org/officeDocument/2006/relationships/image" Target="media/image1.png"/><Relationship Id="rId9" Type="http://schemas.openxmlformats.org/officeDocument/2006/relationships/hyperlink" Target="https://jfsdigital.org/articles-and-essays/2018-2/towards-an-explicit-research-methodology-adapting-research-onion-model-for-futures-studi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10</Pages>
  <Words>2939</Words>
  <Characters>17547</Characters>
  <Application>Microsoft Office Word</Application>
  <DocSecurity>0</DocSecurity>
  <Lines>358</Lines>
  <Paragraphs>60</Paragraphs>
  <ScaleCrop>false</ScaleCrop>
  <Company/>
  <LinksUpToDate>false</LinksUpToDate>
  <CharactersWithSpaces>20426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Mason (2204171)</dc:creator>
  <cp:keywords/>
  <dc:description/>
  <cp:lastModifiedBy>Sadie Mason (2204171)</cp:lastModifiedBy>
  <cp:revision>5</cp:revision>
  <dcterms:created xsi:type="dcterms:W3CDTF">2025-01-09T11:37:00Z</dcterms:created>
  <dcterms:modified xsi:type="dcterms:W3CDTF">2025-01-30T10:37:00Z</dcterms:modified>
</cp:coreProperties>
</file>