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09BBE" w14:textId="7C0A87D1" w:rsidR="00224404" w:rsidRDefault="00A4122F">
      <w:pPr>
        <w:rPr>
          <w:b/>
          <w:bCs/>
        </w:rPr>
      </w:pPr>
      <w:r>
        <w:rPr>
          <w:b/>
          <w:bCs/>
        </w:rPr>
        <w:t>SCO</w:t>
      </w:r>
      <w:r w:rsidR="000251E0">
        <w:rPr>
          <w:b/>
          <w:bCs/>
        </w:rPr>
        <w:t>02</w:t>
      </w:r>
      <w:r w:rsidR="0065102F">
        <w:rPr>
          <w:b/>
          <w:bCs/>
        </w:rPr>
        <w:t xml:space="preserve"> Evidence-Based Practice</w:t>
      </w:r>
    </w:p>
    <w:p w14:paraId="495EA351" w14:textId="69960C15" w:rsidR="000251E0" w:rsidRDefault="00DE383B">
      <w:pPr>
        <w:rPr>
          <w:b/>
          <w:bCs/>
        </w:rPr>
      </w:pPr>
      <w:r>
        <w:rPr>
          <w:b/>
          <w:bCs/>
        </w:rPr>
        <w:t xml:space="preserve">Part </w:t>
      </w:r>
      <w:r w:rsidR="00CA6730">
        <w:rPr>
          <w:b/>
          <w:bCs/>
        </w:rPr>
        <w:t>o</w:t>
      </w:r>
      <w:r>
        <w:rPr>
          <w:b/>
          <w:bCs/>
        </w:rPr>
        <w:t xml:space="preserve">ne – Knowledge and </w:t>
      </w:r>
      <w:r w:rsidR="001003A9">
        <w:rPr>
          <w:b/>
          <w:bCs/>
        </w:rPr>
        <w:t>u</w:t>
      </w:r>
      <w:r>
        <w:rPr>
          <w:b/>
          <w:bCs/>
        </w:rPr>
        <w:t>nderst</w:t>
      </w:r>
      <w:r w:rsidR="00166984">
        <w:rPr>
          <w:b/>
          <w:bCs/>
        </w:rPr>
        <w:t>anding</w:t>
      </w:r>
    </w:p>
    <w:p w14:paraId="04527395" w14:textId="77777777" w:rsidR="00FA4EE8" w:rsidRDefault="00FA4EE8">
      <w:pPr>
        <w:rPr>
          <w:b/>
          <w:bCs/>
        </w:rPr>
      </w:pPr>
    </w:p>
    <w:p w14:paraId="4BEEDA90" w14:textId="503B0C44" w:rsidR="001E180E" w:rsidRPr="00A5336D" w:rsidRDefault="006B2083">
      <w:pPr>
        <w:rPr>
          <w:b/>
          <w:bCs/>
        </w:rPr>
      </w:pPr>
      <w:r w:rsidRPr="00A5336D">
        <w:rPr>
          <w:b/>
          <w:bCs/>
        </w:rPr>
        <w:t xml:space="preserve">AC 1.1 </w:t>
      </w:r>
      <w:r w:rsidR="00732D28" w:rsidRPr="00A5336D">
        <w:rPr>
          <w:b/>
          <w:bCs/>
        </w:rPr>
        <w:t>E</w:t>
      </w:r>
      <w:r w:rsidR="0060744C">
        <w:rPr>
          <w:b/>
          <w:bCs/>
        </w:rPr>
        <w:t>vidence</w:t>
      </w:r>
      <w:r w:rsidR="009937F2">
        <w:rPr>
          <w:b/>
          <w:bCs/>
        </w:rPr>
        <w:t>-based practice.</w:t>
      </w:r>
    </w:p>
    <w:p w14:paraId="4E435508" w14:textId="77777777" w:rsidR="000C6F4E" w:rsidRPr="00BC3106" w:rsidRDefault="000C6F4E" w:rsidP="000C6F4E">
      <w:r w:rsidRPr="00BC3106">
        <w:t xml:space="preserve">Evidence-based practice (EBP) is a concept with firmly established roots.  It utilises critical thinking and a variety of credible sources to justify reliable decision making, with a foundation dating back to ancient Greece (Wang, 2016).  It’s been successfully adopted in a number of fields, including medicine and Human Resources (HR).  There’s an increasing demand on organisational departments to justify their spending and deliver measurable value (CIPD, 2021). EBP and the delivery of sound data is a solution. </w:t>
      </w:r>
    </w:p>
    <w:p w14:paraId="0821FDC9" w14:textId="77777777" w:rsidR="000C6F4E" w:rsidRPr="00BC3106" w:rsidRDefault="000C6F4E" w:rsidP="000C6F4E">
      <w:r w:rsidRPr="00BC3106">
        <w:t>HR is increasingly becoming a strategic partner in driving organisational success, the call for EBP is louder than ever (Briner, 2024).  Evidence ensures decision-making is based on fact, rather than outdated insights, short term fads and natural bias (CIPD,2024).  EPB professionals’ advocate using a number of evidence sources in order to arrive at the most viable solution to a problem.  For example Rob Briner refers to the use of four sources of evidence: organisational data, scientific evidence, professional expertise and relevant stakeholders (Briner, 2018).  Each should be considered in order to identify a problem and evaluate the most effective solution.  Another approach would be to utilise the six A’s process to make decisions, make sense of data and consider the best available evidence.  These are: Asking, Acquiring, Appraising, Aggregating, Applying and Assessing (CIPD, 2024). This guarantees the quality and accuracy of the evidence, based on the source and ensures a trustworthy outcome is reached.</w:t>
      </w:r>
    </w:p>
    <w:p w14:paraId="1B11AE63" w14:textId="77777777" w:rsidR="000C6F4E" w:rsidRPr="00BC3106" w:rsidRDefault="000C6F4E" w:rsidP="000C6F4E">
      <w:r w:rsidRPr="00BC3106">
        <w:t>HR professionals must have awareness of evidence bias and neutrality.  Evidence presented could be driven by a personal or political agenda (Taylor and Woodhams, 2022).  The risk of ‘cherry-picking’ certain evidence which backs a particular perspective (CIPD, 2024). Critical thinkers question data to justify making organisational decisions. In a world of technological advancements and AI, effective decision making is definitely being impacted.  Data analysis will always require human touch to tell the story behind the data.  It will assist HR professionals in making more informed decisions.  Once you verify the data you need to interrogate it – that is, investigating to understand what the data is saying…it just sits there, waiting for you to figure out what it means (Englehardt, 2020).</w:t>
      </w:r>
    </w:p>
    <w:p w14:paraId="105BBF72" w14:textId="614BC928" w:rsidR="000C6F4E" w:rsidRDefault="000C6F4E" w:rsidP="000C6F4E">
      <w:r w:rsidRPr="00BC3106">
        <w:t>Effective use of EBP in an organisation supports quality decision making across many HR practice</w:t>
      </w:r>
      <w:r w:rsidR="006F29DA">
        <w:t>s</w:t>
      </w:r>
      <w:r w:rsidRPr="00BC3106">
        <w:t>.  These include recruitment (historic data of successful candidates), wellbeing (</w:t>
      </w:r>
      <w:r w:rsidR="0096150F">
        <w:t xml:space="preserve">track </w:t>
      </w:r>
      <w:r w:rsidRPr="00BC3106">
        <w:t xml:space="preserve">trends with initiatives and whether they meet </w:t>
      </w:r>
      <w:r w:rsidR="0096150F">
        <w:t>employee needs</w:t>
      </w:r>
      <w:r w:rsidRPr="00BC3106">
        <w:t>), performance management (drive results and evidence improvement), diversity, equality and inclusion (DEI) (evidence inclusivity).  It reassures stakeholders, reduces errors and promotes confidence in change.  Outcomes are more likely to have an effective long-term impact when evidence has been relied on.</w:t>
      </w:r>
    </w:p>
    <w:p w14:paraId="685C7153" w14:textId="77777777" w:rsidR="008D6FC0" w:rsidRDefault="008D6FC0"/>
    <w:p w14:paraId="5404F037" w14:textId="5C5FF590" w:rsidR="00956DDE" w:rsidRDefault="00956DDE">
      <w:pPr>
        <w:rPr>
          <w:b/>
          <w:bCs/>
        </w:rPr>
      </w:pPr>
      <w:r w:rsidRPr="00370C3F">
        <w:rPr>
          <w:b/>
          <w:bCs/>
        </w:rPr>
        <w:t>AC</w:t>
      </w:r>
      <w:r w:rsidR="00370C3F">
        <w:rPr>
          <w:b/>
          <w:bCs/>
        </w:rPr>
        <w:t xml:space="preserve"> </w:t>
      </w:r>
      <w:r w:rsidRPr="00370C3F">
        <w:rPr>
          <w:b/>
          <w:bCs/>
        </w:rPr>
        <w:t xml:space="preserve">1.2 </w:t>
      </w:r>
      <w:r w:rsidR="009937F2">
        <w:rPr>
          <w:b/>
          <w:bCs/>
        </w:rPr>
        <w:t>Analysis tools and methods.</w:t>
      </w:r>
    </w:p>
    <w:p w14:paraId="5670E59E" w14:textId="6801C4B1" w:rsidR="00835A81" w:rsidRPr="00BE0462" w:rsidRDefault="000D1CF0" w:rsidP="00835A81">
      <w:r>
        <w:t>Organisations require</w:t>
      </w:r>
      <w:r w:rsidR="00835A81" w:rsidRPr="00BE0462">
        <w:t xml:space="preserve"> a people analytics strategy, with three key aims: to connect people data with business data, to inform leaders and help them make decisions.  To enable HR leaders to use insights from analytics to design and implement HR activities.  To measure HR’s </w:t>
      </w:r>
      <w:r w:rsidR="00835A81" w:rsidRPr="00BE0462">
        <w:lastRenderedPageBreak/>
        <w:t>effectiveness in delivering against its objectives (CIPD, 2023).  Integral to this strategy is the use of analysis tools and methods to recognise and diagnose challenges and opportunities.  These help an organisation stay competitive and adaptable.</w:t>
      </w:r>
    </w:p>
    <w:p w14:paraId="4425D1B7" w14:textId="77777777" w:rsidR="00835A81" w:rsidRPr="00BE0462" w:rsidRDefault="00835A81" w:rsidP="00835A81">
      <w:r w:rsidRPr="00BE0462">
        <w:t xml:space="preserve">Analysis tools like Porters Five Forces, PESTLE (Political, Economic, Technological, Legal and Environmental) and SWOT (Strengths, Weaknesses, Opportunities and Threats) are utilised to gain valuable insight.  They account for both internal and external factors impacting an organisation. </w:t>
      </w:r>
    </w:p>
    <w:p w14:paraId="79EB21DC" w14:textId="77777777" w:rsidR="00835A81" w:rsidRPr="00BE0462" w:rsidRDefault="00835A81" w:rsidP="00835A81">
      <w:r w:rsidRPr="00BE0462">
        <w:t>The popular SWOT analysis tool is a flexible and easily applied framework, which considers both internal and external aspects. It’s a useful change management tool and of advantage when considering new initiatives.  Strengths and weaknesses tend to focus on internal factors, whilst threats and opportunities consider external aspects.  Its balanced approach accounts for both pros and cons.  SWOT analysis can be used in many ways, like to assist with supporting wellbeing at work initiatives. It can consider the attitude of senior leaders towards wellbeing. Patterns in data like attrition and absence, also data from exit interviews (Taylor and Woodhams, 2022).  Disadvantages of the SWOT analysis method include users can oversimplify the amount of data used for decisions and it lacks detailed structure, so key elements may get missed.  Also to be effective, the process needs to be repeated on a regular basis (CIPD, 2024).</w:t>
      </w:r>
    </w:p>
    <w:p w14:paraId="4C7EE098" w14:textId="77777777" w:rsidR="00835A81" w:rsidRPr="00BE0462" w:rsidRDefault="00835A81" w:rsidP="00835A81">
      <w:r w:rsidRPr="00BE0462">
        <w:t xml:space="preserve">Analysis methods include focus groups, surveys and interviews, for example, as a means of capturing relevant evidence.  Focus groups are another beneficial change management tool, simple but very effective. Focus groups are relevant where researchers are investigating tightly defined issues and concepts, can promote dialogue and discussion and allow researchers to find out about a range of attitudes and opinion (Taylor and Woodhams, 2022).  They are great for canvassing thoughts when considering changing pay or gaining opinion on staff survey results. Problems can be simplified and responses quick. The negatives of their use include difficulty in getting participants together and there is always a risk some individuals may dominate the discussion.  Also, focus group participants need to be representative of the group that is the focus of study (Taylor and Woodhams, 2022). </w:t>
      </w:r>
    </w:p>
    <w:p w14:paraId="3A7B01CF" w14:textId="77777777" w:rsidR="00835A81" w:rsidRDefault="00835A81" w:rsidP="00835A81">
      <w:r w:rsidRPr="00BE0462">
        <w:t>In summary, utilising effective analysis tools like SWOT and analysis methods like focus groups enable organisations to attain enough data to reach a logical and compelling decision of issues, challenges and opportunities. Enabling HR professionals to produce the golden thread that all can agree is an accurate diagnosis of the problem faced (Templeman, 2022).</w:t>
      </w:r>
    </w:p>
    <w:p w14:paraId="0DD71359" w14:textId="77777777" w:rsidR="00AC58B5" w:rsidRDefault="00AC58B5"/>
    <w:p w14:paraId="5FA42ADC" w14:textId="272306D5" w:rsidR="00626BB2" w:rsidRDefault="00626BB2">
      <w:pPr>
        <w:rPr>
          <w:b/>
          <w:bCs/>
        </w:rPr>
      </w:pPr>
      <w:r w:rsidRPr="00F65DBC">
        <w:rPr>
          <w:b/>
          <w:bCs/>
        </w:rPr>
        <w:t>AC 1.3</w:t>
      </w:r>
      <w:r w:rsidR="00EA3984" w:rsidRPr="00F65DBC">
        <w:rPr>
          <w:b/>
          <w:bCs/>
        </w:rPr>
        <w:t xml:space="preserve"> </w:t>
      </w:r>
      <w:r w:rsidR="009937F2">
        <w:rPr>
          <w:b/>
          <w:bCs/>
        </w:rPr>
        <w:t>Critical thinking.</w:t>
      </w:r>
    </w:p>
    <w:p w14:paraId="3EA99CEF" w14:textId="2692879D" w:rsidR="00162F3C" w:rsidRDefault="00162F3C" w:rsidP="00162F3C">
      <w:r>
        <w:t>C</w:t>
      </w:r>
      <w:r w:rsidRPr="00280CD0">
        <w:t xml:space="preserve">ritical thinking is an essential </w:t>
      </w:r>
      <w:r>
        <w:t xml:space="preserve">skill for HR professionals.  It helps determine what’s fact or assumption, avoiding emotional or ‘knee jerk’ responses. </w:t>
      </w:r>
      <w:r w:rsidR="007D59A7">
        <w:t>It’s</w:t>
      </w:r>
      <w:r>
        <w:t xml:space="preserve"> the ability to think well, listen and be present in the moment.  There are three key aspects to critical thinking: firstly, critiquing the ideas, opinions and arguments of others. Then, how HR professions construct their arguments and opinions themselves</w:t>
      </w:r>
      <w:r w:rsidR="00C5658F">
        <w:t>,</w:t>
      </w:r>
      <w:r>
        <w:t xml:space="preserve"> that they are communicating to others. Finally, to identify when others are using critical thinking techniques</w:t>
      </w:r>
      <w:r w:rsidR="00C5658F">
        <w:t>,</w:t>
      </w:r>
      <w:r>
        <w:t xml:space="preserve"> that impact how the HR professional is making a case (Howlett and Coburn, 2019).  </w:t>
      </w:r>
    </w:p>
    <w:p w14:paraId="0BF64954" w14:textId="23460E74" w:rsidR="00162F3C" w:rsidRDefault="00162F3C" w:rsidP="00162F3C">
      <w:r>
        <w:t>CIPD highlights a number of critical thinking principles. These lend to structure and credibility.    Clarity means ideas are understandable, accuracy ensures information is</w:t>
      </w:r>
      <w:r w:rsidR="009B471D">
        <w:t xml:space="preserve"> </w:t>
      </w:r>
      <w:r>
        <w:t xml:space="preserve">correct.  Precision focuses on the detail of information, whilst relevance considers the salient points. Depth </w:t>
      </w:r>
      <w:r>
        <w:lastRenderedPageBreak/>
        <w:t>involves exploring more complex issues and breadth accounts for differing perspectives to avoid restricted thinking.  Logic guarantees the structure of discussions, then significance is a particular idea on which to focus. Ultimately ensuring impartial fairness is achieved (CIPD, 2024).</w:t>
      </w:r>
    </w:p>
    <w:p w14:paraId="0267E074" w14:textId="0A1605F4" w:rsidR="00162F3C" w:rsidRDefault="00162F3C" w:rsidP="00162F3C">
      <w:r>
        <w:t>A key blocker to critical thinking can be the mind of organisation leaders (Lancaster, 2021) and a reliance on how things were done in the past.  It hinders the principles of relevance and significance, as thoughts are rooted in assumption and not merit.   When dealing with a complex salary change meeting for example, referring to a previous practice may no longer be relevant as staff change and external factors, like cost of living,</w:t>
      </w:r>
      <w:r w:rsidR="006A7CE7">
        <w:t xml:space="preserve"> need considering</w:t>
      </w:r>
      <w:r>
        <w:t xml:space="preserve">. There are a number of common errors or ‘red herrings’ when referring to history or being selective with evidence used (Howlett and Coburn, 2019).    The role of HR professionals is offering impartiality through listening and consideration of critical thinking principles.  In the given scenario with salary, reacting to historic approaches and applying the principle of depth ensures a considered review of the current state of play, guaranteeing fairness for today’s employees. Credibility can be earned through demonstrating understanding and using an analysis tool like PESTLE to evidence consideration of external salary trends and competition. </w:t>
      </w:r>
    </w:p>
    <w:p w14:paraId="661A79CF" w14:textId="77777777" w:rsidR="00162F3C" w:rsidRDefault="00162F3C" w:rsidP="00162F3C">
      <w:r>
        <w:t xml:space="preserve">HR professionals go out into a business they don’t contribute to directly and advise within specialist fields they know nothing about. Sitting in meetings with people who are experts. Listening enables critical thinking and to construct answers to difficult problems.  Being a generous listener is a tool that unlocks a deeper understanding (Templeman, 2022).  </w:t>
      </w:r>
    </w:p>
    <w:p w14:paraId="20BFF8D5" w14:textId="77777777" w:rsidR="00162F3C" w:rsidRDefault="00162F3C" w:rsidP="00162F3C">
      <w:r>
        <w:t xml:space="preserve">The use of critical thinking to compliment EBP is a powerful skill.  It guarantees objective and rational debate.  Different people have varied ideas and assumptions.  It is often the case neither side in a debate is right or wrong.  Both hold positions that are easily defended and credible (Taylor and Woodhams, 2022).  Adding structured principles, and impartiality, results in a well-reasoned and respectful outcome. </w:t>
      </w:r>
    </w:p>
    <w:p w14:paraId="407D4769" w14:textId="77777777" w:rsidR="00D21B61" w:rsidRDefault="00D21B61" w:rsidP="00F64433"/>
    <w:p w14:paraId="72D96043" w14:textId="61B8CB25" w:rsidR="00E05D25" w:rsidRPr="00102D26" w:rsidRDefault="00E05D25" w:rsidP="00F64433">
      <w:pPr>
        <w:rPr>
          <w:b/>
          <w:bCs/>
        </w:rPr>
      </w:pPr>
      <w:r w:rsidRPr="00102D26">
        <w:rPr>
          <w:b/>
          <w:bCs/>
        </w:rPr>
        <w:t xml:space="preserve">AC 1.4 </w:t>
      </w:r>
      <w:r w:rsidR="00611E48">
        <w:rPr>
          <w:b/>
          <w:bCs/>
        </w:rPr>
        <w:t>Decision-making approaches</w:t>
      </w:r>
      <w:r w:rsidR="00102D26" w:rsidRPr="00102D26">
        <w:rPr>
          <w:b/>
          <w:bCs/>
        </w:rPr>
        <w:t>.</w:t>
      </w:r>
    </w:p>
    <w:p w14:paraId="427AC5E0" w14:textId="77777777" w:rsidR="006F24C2" w:rsidRPr="00853F1D" w:rsidRDefault="006F24C2" w:rsidP="006F24C2">
      <w:r w:rsidRPr="00853F1D">
        <w:t xml:space="preserve">HR professionals support organisations to problem solve and make decisions.  One lends to the other and the resolution of a problem may then require decision making skills (CMI, 2020).  The reliability of the decision being made is crucial, so decision-making processes are commonly applied in order to achieve an effective outcome.  They assist in addressing challenges, to take advantage of opportunities and guarantee outcomes are in line with business goals.  They help to offer clarity and more effective results. </w:t>
      </w:r>
    </w:p>
    <w:p w14:paraId="7B05FC49" w14:textId="77777777" w:rsidR="006F24C2" w:rsidRPr="00853F1D" w:rsidRDefault="006F24C2" w:rsidP="006F24C2">
      <w:r w:rsidRPr="00853F1D">
        <w:t>A number of processes exist outlining ways decisions are made and can be improved through a strategic approach.  Some decisions are based on best fit and can be decided independently, whist others are more collaborative (Taylor and Woodhams, 2022).  Decision making involves choosing the most valuable option from a set of alternatives, grounded in EBP. Examples include Future Pacing, Best Fit and De Bono’s Six Thinking Hats.</w:t>
      </w:r>
    </w:p>
    <w:p w14:paraId="2FAC7B86" w14:textId="77777777" w:rsidR="006F24C2" w:rsidRPr="00853F1D" w:rsidRDefault="006F24C2" w:rsidP="006F24C2">
      <w:r w:rsidRPr="00853F1D">
        <w:t xml:space="preserve">De Bono’s Six Thinking Hats is an ethical decision-making process.  An individual can apply this method and take on a number of hats. It’s also effective with teams and encourages consideration of a number of perspectives.  Each hat colour reflects a different way of thinking. Blue is the project manager and oversees the thinking process, red focusses emotion-based decisions, white relies on facts, black considers risks, yellow on benefits and green on creative </w:t>
      </w:r>
      <w:r w:rsidRPr="00853F1D">
        <w:lastRenderedPageBreak/>
        <w:t xml:space="preserve">solutions.  This approach encourages deeper consideration using a number of perspectives to consider judgment (Taylor and Woodhams, 2022).  The benefit of this process is all options are explored, but from different perspectives.  The Six Thinking Hats approach is beneficial when reviewing attrition data and accounts for varied perspectives. The individual (a new job), the line manager (shift cover), the HR consideration (recruitment) or the organisation (loss of a skilled worker) (Taylor and Woodhams, 2022).  However, multiple stakeholders with different approaches can mean it’s a timely process. </w:t>
      </w:r>
    </w:p>
    <w:p w14:paraId="070B9907" w14:textId="77777777" w:rsidR="006F24C2" w:rsidRPr="00853F1D" w:rsidRDefault="006F24C2" w:rsidP="006F24C2">
      <w:r w:rsidRPr="00853F1D">
        <w:t>Another process is Best Fit.  Focussing on organisations internal practices and aligns with values, culture and environment.  Recognising decisions need to ‘fit’ individual employees.  What is a best fit for one may not be appropriate for another and a more tailored approach considered. Also, accounting for the of the size of an organisation, the strategy its following, and the nature of the labour market it’s competing in (Taylor and Woodhams, 2022).  An example of the application of Best Fit would be designing a new performance management framework.  All employees learn and develop independently and consideration needs to be given to neurodiversity and reasonable adjustments.  This is a benefit as it not a one design fits all approach and is agile. A challenge is it requires consideration of a broad range of employees and will be timely.</w:t>
      </w:r>
    </w:p>
    <w:p w14:paraId="0F6858DB" w14:textId="77777777" w:rsidR="008C1ED7" w:rsidRDefault="008C1ED7"/>
    <w:p w14:paraId="0790A48E" w14:textId="386E656B" w:rsidR="008C1ED7" w:rsidRDefault="008C1ED7">
      <w:pPr>
        <w:rPr>
          <w:b/>
          <w:bCs/>
        </w:rPr>
      </w:pPr>
      <w:r w:rsidRPr="007243D0">
        <w:rPr>
          <w:b/>
          <w:bCs/>
        </w:rPr>
        <w:t>AC 1.5</w:t>
      </w:r>
      <w:r w:rsidR="00ED7A4D" w:rsidRPr="007243D0">
        <w:rPr>
          <w:b/>
          <w:bCs/>
        </w:rPr>
        <w:t xml:space="preserve"> </w:t>
      </w:r>
      <w:r w:rsidR="00167B86">
        <w:rPr>
          <w:b/>
          <w:bCs/>
        </w:rPr>
        <w:t>Ethical perspectives</w:t>
      </w:r>
      <w:r w:rsidR="00EE1D37">
        <w:rPr>
          <w:b/>
          <w:bCs/>
        </w:rPr>
        <w:t xml:space="preserve">. </w:t>
      </w:r>
    </w:p>
    <w:p w14:paraId="534A0E3A" w14:textId="2B047FE8" w:rsidR="00517EE0" w:rsidRDefault="00517EE0" w:rsidP="00517EE0">
      <w:r>
        <w:t xml:space="preserve">Consistency when reviewing information obtained, or decisions made, through EBP is vital for legal and reputational purposes, as well as forming a foundation for ethical practice (Waite, Beevers, Small, Tomlinson, Hussain, 2021).  HR professionals have to look the organisation, and its employees, in the eye.  They are the arbiter on ‘doing the right thing’ in people practice, which impacts on how consistently people policy is applied. This then results in fairness (Templeman, 2022).  Having ethical policies that reflect an organisation’s vision and core values helps to create positive mindset and working environment.  Decisions made by HR professionals impact an organisation and its employees.  It’s about developing trust by role-modelling ethical behaviour (Waite, Beevers, Small, Tomlinson, Hussain, 2021). </w:t>
      </w:r>
    </w:p>
    <w:p w14:paraId="5B10B956" w14:textId="77777777" w:rsidR="00517EE0" w:rsidRDefault="00517EE0" w:rsidP="00517EE0">
      <w:r>
        <w:t>Ethics are collective codes of right or wrong.  There are a number of ethical perspectives an organisation can apply, like Utilitarianism, Deontology, Communitarianism and Altruism and rather than a situation being right or wrong, the judgement may vary depending on the perspective applied (Taylor and Woodhams, 2022).</w:t>
      </w:r>
    </w:p>
    <w:p w14:paraId="2BA2F228" w14:textId="16560386" w:rsidR="00517EE0" w:rsidRDefault="00517EE0" w:rsidP="00517EE0">
      <w:r>
        <w:t xml:space="preserve">Utilitarianism considers the greatest good for the greatest number of stakeholders.  It’s a moral theory, focussing on outcomes, </w:t>
      </w:r>
      <w:r w:rsidR="00583258">
        <w:t>where</w:t>
      </w:r>
      <w:r>
        <w:t xml:space="preserve"> decisions made result in happiness and wellbeing, as the ‘right thing’ has been done.  This framework means the ends do not justify the means, as long as there</w:t>
      </w:r>
      <w:r w:rsidR="008B1ECF">
        <w:t>’</w:t>
      </w:r>
      <w:r>
        <w:t>s an overall gain to the organisation (Taylor and Woodhams, 2022).  This can be applied in practical terms when considering redundancy in a non-profitable department, for example.  All employees in the department are impacted, but the decision benefits the organisation. Therefore a weakness is that it can ignore the rights of the minority.</w:t>
      </w:r>
    </w:p>
    <w:p w14:paraId="2530C12C" w14:textId="50084806" w:rsidR="00517EE0" w:rsidRDefault="00517EE0" w:rsidP="00517EE0">
      <w:r>
        <w:t xml:space="preserve">Deontology involves doing the ‘right thing’ based </w:t>
      </w:r>
      <w:r w:rsidR="004137DD">
        <w:t>f</w:t>
      </w:r>
      <w:r>
        <w:t xml:space="preserve">airness and equality, following the assumption there are fundamental ‘rights’ and ‘wrongs’, or a duty of care. (Waite, Beevers, Small, Tomlinson, Hussain, 2021).  It’s an individualistic approach and applies duties and rights, with emphasis on behaviour rather than outcome, unlike Utilitarianism.  The ends do not justify the means (Taylor and Woodhams, 2022).  An example of this would a fixed pay day </w:t>
      </w:r>
      <w:r w:rsidR="00C33488">
        <w:t>for all employees</w:t>
      </w:r>
      <w:r>
        <w:t xml:space="preserve">, because it’s </w:t>
      </w:r>
      <w:r>
        <w:lastRenderedPageBreak/>
        <w:t>the correct thing to do and money impacts lives.  However, a weakness is it may not suit how some live and could prefer weekly over monthly pay.  It can be rigid in its application.</w:t>
      </w:r>
    </w:p>
    <w:p w14:paraId="5A6F8A40" w14:textId="023ED478" w:rsidR="00517EE0" w:rsidRDefault="00517EE0" w:rsidP="00517EE0">
      <w:r>
        <w:t>Utilitarianism is beneficial for decisions involving large groups, whilst it can negatively impact some individuals. It’s flexible and focuses on an end goal that’s organisation based.  Deontology follows rules, fairness, but can be inflexible</w:t>
      </w:r>
      <w:r w:rsidR="000273B8">
        <w:t xml:space="preserve">, </w:t>
      </w:r>
      <w:r>
        <w:t>not consider</w:t>
      </w:r>
      <w:r w:rsidR="00912F45">
        <w:t>ing</w:t>
      </w:r>
      <w:r>
        <w:t xml:space="preserve"> consequences. Both are valid perspectives and offer valuable support to make ethical decisions.</w:t>
      </w:r>
    </w:p>
    <w:p w14:paraId="0417AE38" w14:textId="77777777" w:rsidR="00517EE0" w:rsidRDefault="00517EE0" w:rsidP="00517EE0">
      <w:r>
        <w:t xml:space="preserve">Having awareness of ethical perspectives, and an understanding of how employees are feeling, offers valuable insight into organisational culture and wellbeing.  HR professionals lead by example and are custodians of ethical practice.  Playing a vital role in an organisation, to help inform and influence morale, evidence-based, decision-making (Waite, Beevers, Small, Tomlinson, Hussain, 2021).  </w:t>
      </w:r>
    </w:p>
    <w:p w14:paraId="168EEC40" w14:textId="77777777" w:rsidR="00887B8B" w:rsidRDefault="00887B8B">
      <w:pPr>
        <w:rPr>
          <w:b/>
          <w:bCs/>
        </w:rPr>
      </w:pPr>
    </w:p>
    <w:p w14:paraId="1CA396CF" w14:textId="766ABD50" w:rsidR="00361C55" w:rsidRPr="00A46604" w:rsidRDefault="00E15952">
      <w:pPr>
        <w:rPr>
          <w:b/>
          <w:bCs/>
        </w:rPr>
      </w:pPr>
      <w:r w:rsidRPr="00A46604">
        <w:rPr>
          <w:b/>
          <w:bCs/>
        </w:rPr>
        <w:t xml:space="preserve">AC 3.1 </w:t>
      </w:r>
      <w:r w:rsidR="00A32F3B">
        <w:rPr>
          <w:b/>
          <w:bCs/>
        </w:rPr>
        <w:t>F</w:t>
      </w:r>
      <w:r w:rsidR="00A46604" w:rsidRPr="00A46604">
        <w:rPr>
          <w:b/>
          <w:bCs/>
        </w:rPr>
        <w:t>inancial and non-financial performance</w:t>
      </w:r>
      <w:r w:rsidR="00BE0E84">
        <w:rPr>
          <w:b/>
          <w:bCs/>
        </w:rPr>
        <w:t>.</w:t>
      </w:r>
    </w:p>
    <w:p w14:paraId="65ADA959" w14:textId="1220FFFA" w:rsidR="00ED7CB4" w:rsidRPr="00660BDB" w:rsidRDefault="00ED7CB4" w:rsidP="00ED7CB4">
      <w:r w:rsidRPr="00660BDB">
        <w:t xml:space="preserve">Performance is key to an organisations success and effectively measuring it is vital.  This is a cornerstone of EBP and helps with decision making.  The organisation collects and analyses performance data to enable it to identify where improvements can be made (Taylor and Woodhams, 2022). Performance management could be said to be about ‘doing the right things as well as doing things right’ (Waite, Beevers, Small, Tomlinson and Hussain, 2012) and this balance </w:t>
      </w:r>
      <w:r w:rsidR="00FB3B9F">
        <w:t>reflects</w:t>
      </w:r>
      <w:r w:rsidRPr="00660BDB">
        <w:t xml:space="preserve"> in both financial and non-financial measures, as a source of understanding an organisations health when making decisions.</w:t>
      </w:r>
    </w:p>
    <w:p w14:paraId="5246AE32" w14:textId="2654433C" w:rsidR="00ED7CB4" w:rsidRPr="00660BDB" w:rsidRDefault="00ED7CB4" w:rsidP="00ED7CB4">
      <w:r w:rsidRPr="00660BDB">
        <w:t xml:space="preserve">Financial metrics illustrate success.  They help an organisation to thrive and survive.  Measures like revenue, net profit, ROI and cash flow are examples.  Focussing specifically on net profit, this indicates how much money an organisation has made when expenses have been deducted.  It compares revenue to outgoings. It’s a raw figure showing how well a company is performing and helps increase stakeholder value.  An organisation introducing a new product to market will review its net profit in order to determine viability and future success.  Net profit helps decide if the product should be continued or removed from trading.  It allows organisations to plan, make decisions and consider its cash flow.  </w:t>
      </w:r>
    </w:p>
    <w:p w14:paraId="7C959F75" w14:textId="297FDCFA" w:rsidR="00ED7CB4" w:rsidRPr="00660BDB" w:rsidRDefault="00ED7CB4" w:rsidP="00ED7CB4">
      <w:r w:rsidRPr="00660BDB">
        <w:t xml:space="preserve">Cash flow in itself is another valuable measure.  A cash flow statement provides financial information </w:t>
      </w:r>
      <w:r w:rsidR="006219FB">
        <w:t>summarising</w:t>
      </w:r>
      <w:r w:rsidRPr="00660BDB">
        <w:t xml:space="preserve"> the amount of cash entering and leaving organisation (Waite, Beevers, Small, Tomlinson and Hussain, 2021).  They are reliable sources of data illustrating whether a company has enough capital to meet its debts.  In turn this inspires confidence with investors.  For example, when considering whether to purchase shares in a public company, cash flow statements are a reference of assets and whether the business is a sound investment. </w:t>
      </w:r>
    </w:p>
    <w:p w14:paraId="13134FE8" w14:textId="77777777" w:rsidR="00ED7CB4" w:rsidRPr="00660BDB" w:rsidRDefault="00ED7CB4" w:rsidP="00ED7CB4">
      <w:r w:rsidRPr="00660BDB">
        <w:t xml:space="preserve">Non-financial measures are also essential in demonstrating an organisations health, value and performance to stakeholders.  Measures like benchmarking, customer satisfaction, attrition and feedback.  Benchmarking is valuable, because it allows stakeholders to consider a business’ success compared to the industry and make informed decisions.  For example, regulatory complaint data as a source of how a business handles its unhappy customers can be used to inspire confidence. </w:t>
      </w:r>
    </w:p>
    <w:p w14:paraId="66ED2942" w14:textId="2C08347F" w:rsidR="00ED7CB4" w:rsidRPr="00660BDB" w:rsidRDefault="00ED7CB4" w:rsidP="00ED7CB4">
      <w:r w:rsidRPr="00660BDB">
        <w:t xml:space="preserve">Customer satisfaction is a non-financial measure and feedback is actively encouraged as a source of EBP.  Understanding both the good and bad is vital when </w:t>
      </w:r>
      <w:r w:rsidR="00293CDF">
        <w:t xml:space="preserve">assessing whether </w:t>
      </w:r>
      <w:r w:rsidRPr="00660BDB">
        <w:t xml:space="preserve">a customer’s needs are met. It results in loyalty and free marketing. Understanding the customer </w:t>
      </w:r>
      <w:r w:rsidRPr="00660BDB">
        <w:lastRenderedPageBreak/>
        <w:t>is key and many companies invest time and money in surveys to obtain this powerful insight.  Feedback is not only beneficial to the organisation</w:t>
      </w:r>
      <w:r w:rsidR="00293CDF">
        <w:t>,</w:t>
      </w:r>
      <w:r w:rsidRPr="00660BDB">
        <w:t xml:space="preserve"> but also to those receiving it. People who feel appreciated are more likely to engage in the workplace. Positive feedback is therefore one of the most helpful techniques (Waite, Beevers, Small, Tomlinson and Hussain, 2022).</w:t>
      </w:r>
    </w:p>
    <w:p w14:paraId="3354A8BC" w14:textId="77777777" w:rsidR="00ED7CB4" w:rsidRDefault="00ED7CB4" w:rsidP="00ED7CB4">
      <w:r w:rsidRPr="00660BDB">
        <w:t>Both measures help highlight evidence of the performance.  They work hand-in-hand to demonstrate success. Financial measures like benchmarking are a source if immediate insight, while non-financial measures like customer satisfaction help foster legacy and value.</w:t>
      </w:r>
    </w:p>
    <w:p w14:paraId="2CDFCD2D" w14:textId="77777777" w:rsidR="000E0522" w:rsidRDefault="000E0522"/>
    <w:p w14:paraId="71773190" w14:textId="32418BB7" w:rsidR="00E04BF3" w:rsidRDefault="00E04BF3">
      <w:pPr>
        <w:rPr>
          <w:b/>
          <w:bCs/>
        </w:rPr>
      </w:pPr>
      <w:r w:rsidRPr="000F5448">
        <w:rPr>
          <w:b/>
          <w:bCs/>
        </w:rPr>
        <w:t>AC. 3.2</w:t>
      </w:r>
      <w:r w:rsidR="000F5448" w:rsidRPr="000F5448">
        <w:rPr>
          <w:b/>
          <w:bCs/>
        </w:rPr>
        <w:t xml:space="preserve"> Adding Value and Measuring Impact</w:t>
      </w:r>
      <w:r w:rsidR="009D5BA9">
        <w:rPr>
          <w:b/>
          <w:bCs/>
        </w:rPr>
        <w:t>.</w:t>
      </w:r>
    </w:p>
    <w:p w14:paraId="4647903D" w14:textId="77777777" w:rsidR="000655B8" w:rsidRPr="00D639C0" w:rsidRDefault="000655B8" w:rsidP="000655B8">
      <w:r w:rsidRPr="00D639C0">
        <w:t>A crucial part of any HR professional’s role is the requirement to add value to the organisation through people practices.  We should consider adding value as a perpetual state of being, always aiming to add value to the business we serve (Templeman, 2022). Employee learning and development, talent management, recruitment and selection are examples. Having strategies help structure day to day and long-term projects or initiatives and add value.  This inspires confidence in stakeholders and aligns with morale, productivity, culture and contributes to the success of an organisation.</w:t>
      </w:r>
    </w:p>
    <w:p w14:paraId="42754FB9" w14:textId="77777777" w:rsidR="000655B8" w:rsidRPr="00D639C0" w:rsidRDefault="000655B8" w:rsidP="000655B8">
      <w:r w:rsidRPr="00D639C0">
        <w:t>Measuring the success of practices is also a requirement of HR professionals.  Considering training, it’s always been a difficult practice to measure.  As are wellbeing initiatives.  ROI can be applied to support outcomes with both and has been met with mixed responses when considering the value of training delivered, for example.  Through data we can Identify development with skill gaps, analysing KPI’s from before and after delivery.  Also, evaluating confidence levels before and after to support outcomes and confidence. With wellbeing, looking at improved overall health and happiness we can attribute certain outcomes (such as a reduction in absence levels) to specific wellbeing activities and apply ROI to support this (Taylor and Woodhams, 2022). ROI looks at cost benefits and enhances the value and impact of training through providing quantitative data. In turn, it inspires trust for stakeholders.</w:t>
      </w:r>
    </w:p>
    <w:p w14:paraId="298044B3" w14:textId="77777777" w:rsidR="000655B8" w:rsidRPr="00D639C0" w:rsidRDefault="000655B8" w:rsidP="000655B8">
      <w:r w:rsidRPr="00D639C0">
        <w:t>Data in itself is another obvious measure of people practices.  As a corner stone of EBP, it helps to validate the success and contribution of HR projects and initiatives.  Data like attrition rates, outcomes from staff satisfaction and end of training surveys. Data can be subjective and depends on effective interpretation, so it’s important the value for each practice is measured differently depending on the stakeholder (Taylor and Woodhams, 2022) and when measuring data we need to be agile and utilise human dynamics.</w:t>
      </w:r>
    </w:p>
    <w:p w14:paraId="38D84E5C" w14:textId="77777777" w:rsidR="000655B8" w:rsidRDefault="000655B8" w:rsidP="000655B8">
      <w:r w:rsidRPr="00D639C0">
        <w:t>HR practices are used to foster value in organisations. Supporting the careful selection and hiring of employees; ensuring that a systematic induction process is provided for new employees; gathering employees’ opinions on work matters, rewarding performance and developing employees (Waite, Beevers, Small, Tomlinson, Hussain, 2022).  Measurement is essential and the overreaching purpose of this is to provide HR professionals with tools and techniques to make justified management decisions.  This relies on being able to identify good quality data (Taylor and Woodhams, 2022) and is the basis of impactful and trustworthy EBP.</w:t>
      </w:r>
      <w:r>
        <w:t xml:space="preserve"> </w:t>
      </w:r>
    </w:p>
    <w:p w14:paraId="59525833" w14:textId="3CB1DBC5" w:rsidR="006F007E" w:rsidRPr="00631F4C" w:rsidRDefault="006F007E"/>
    <w:p w14:paraId="3C662C58" w14:textId="77777777" w:rsidR="00C97880" w:rsidRDefault="00C97880">
      <w:pPr>
        <w:rPr>
          <w:b/>
          <w:bCs/>
        </w:rPr>
      </w:pPr>
    </w:p>
    <w:p w14:paraId="7EA613A3" w14:textId="77777777" w:rsidR="00C97880" w:rsidRDefault="00C97880">
      <w:pPr>
        <w:rPr>
          <w:b/>
          <w:bCs/>
        </w:rPr>
      </w:pPr>
    </w:p>
    <w:p w14:paraId="4FECE599" w14:textId="36BFFEFD" w:rsidR="00166984" w:rsidRPr="001003A9" w:rsidRDefault="00166984">
      <w:pPr>
        <w:rPr>
          <w:b/>
          <w:bCs/>
        </w:rPr>
      </w:pPr>
      <w:r w:rsidRPr="001003A9">
        <w:rPr>
          <w:b/>
          <w:bCs/>
        </w:rPr>
        <w:lastRenderedPageBreak/>
        <w:t xml:space="preserve">Part two – Quantitative and qualitative analysis review </w:t>
      </w:r>
    </w:p>
    <w:p w14:paraId="3E04E776" w14:textId="2EB5E263" w:rsidR="000E0522" w:rsidRDefault="001646F7">
      <w:pPr>
        <w:rPr>
          <w:b/>
          <w:bCs/>
        </w:rPr>
      </w:pPr>
      <w:r w:rsidRPr="001003A9">
        <w:rPr>
          <w:b/>
          <w:bCs/>
        </w:rPr>
        <w:t>AC</w:t>
      </w:r>
      <w:r w:rsidR="00453BC9" w:rsidRPr="001003A9">
        <w:rPr>
          <w:b/>
          <w:bCs/>
        </w:rPr>
        <w:t xml:space="preserve"> 2.1,</w:t>
      </w:r>
      <w:r w:rsidR="00FC72CA">
        <w:rPr>
          <w:b/>
          <w:bCs/>
        </w:rPr>
        <w:t xml:space="preserve"> AC 2.2 and AC 2.3</w:t>
      </w:r>
    </w:p>
    <w:p w14:paraId="4287F14C" w14:textId="59EA5EC7" w:rsidR="00FD3CF2" w:rsidRPr="00BE6BCA" w:rsidRDefault="00BE6BCA">
      <w:pPr>
        <w:rPr>
          <w:b/>
          <w:bCs/>
        </w:rPr>
      </w:pPr>
      <w:r w:rsidRPr="00BE6BCA">
        <w:rPr>
          <w:b/>
          <w:bCs/>
        </w:rPr>
        <w:t>Part one – Performance data</w:t>
      </w:r>
    </w:p>
    <w:p w14:paraId="54CD4309" w14:textId="42FB6CF4" w:rsidR="00563208" w:rsidRDefault="00712701">
      <w:r w:rsidRPr="00712701">
        <w:t>The</w:t>
      </w:r>
      <w:r w:rsidR="009419E8">
        <w:t xml:space="preserve"> </w:t>
      </w:r>
      <w:r w:rsidRPr="00712701">
        <w:t xml:space="preserve">tables below </w:t>
      </w:r>
      <w:r w:rsidR="00DB1D5B">
        <w:t>evidence</w:t>
      </w:r>
      <w:r w:rsidR="001668BC">
        <w:t xml:space="preserve"> </w:t>
      </w:r>
      <w:r w:rsidR="00881A7D">
        <w:t>performance review judgements as a</w:t>
      </w:r>
      <w:r w:rsidR="00A01D81">
        <w:t xml:space="preserve"> percentage</w:t>
      </w:r>
      <w:r w:rsidR="000B23C3">
        <w:t xml:space="preserve"> f</w:t>
      </w:r>
      <w:r w:rsidR="00B95E40">
        <w:t>o</w:t>
      </w:r>
      <w:r w:rsidR="000B23C3">
        <w:t xml:space="preserve">r quarter </w:t>
      </w:r>
      <w:r w:rsidR="00A325B6">
        <w:t>one</w:t>
      </w:r>
      <w:r w:rsidR="000B23C3">
        <w:t xml:space="preserve"> and </w:t>
      </w:r>
      <w:r w:rsidR="00A325B6">
        <w:t>two</w:t>
      </w:r>
      <w:r w:rsidR="000B23C3">
        <w:t xml:space="preserve"> in th</w:t>
      </w:r>
      <w:r w:rsidR="00D80999">
        <w:t xml:space="preserve">e Administration, Sales, Research and </w:t>
      </w:r>
      <w:r w:rsidR="00774E84">
        <w:t>D</w:t>
      </w:r>
      <w:r w:rsidR="00D80999">
        <w:t xml:space="preserve">evelopment and </w:t>
      </w:r>
      <w:r w:rsidR="00774E84">
        <w:t>L</w:t>
      </w:r>
      <w:r w:rsidR="00D80999">
        <w:t xml:space="preserve">ogistics </w:t>
      </w:r>
      <w:r w:rsidR="005E69AC">
        <w:t>departments.</w:t>
      </w:r>
      <w:r w:rsidR="00DB1D5B">
        <w:t xml:space="preserve">  </w:t>
      </w:r>
      <w:r w:rsidR="00412697">
        <w:t>Both</w:t>
      </w:r>
      <w:r w:rsidR="00B450BA">
        <w:t xml:space="preserve"> </w:t>
      </w:r>
      <w:r w:rsidR="00A01D81">
        <w:t>indicate</w:t>
      </w:r>
      <w:r w:rsidR="00B450BA">
        <w:t xml:space="preserve"> the</w:t>
      </w:r>
      <w:r w:rsidR="00A01D81">
        <w:t xml:space="preserve"> percentage of</w:t>
      </w:r>
      <w:r w:rsidR="00B450BA">
        <w:t xml:space="preserve"> employees</w:t>
      </w:r>
      <w:r w:rsidR="00731EDA">
        <w:t xml:space="preserve"> </w:t>
      </w:r>
      <w:r w:rsidR="00B450BA">
        <w:t xml:space="preserve">who </w:t>
      </w:r>
      <w:r w:rsidR="00D3277A">
        <w:t>were rated</w:t>
      </w:r>
      <w:r w:rsidR="00B450BA">
        <w:t xml:space="preserve"> </w:t>
      </w:r>
      <w:r w:rsidR="00A01D81">
        <w:t>out</w:t>
      </w:r>
      <w:r w:rsidR="0014093B">
        <w:t xml:space="preserve">standing, meets set individual KPI’s, </w:t>
      </w:r>
      <w:r w:rsidR="004D56A5">
        <w:t xml:space="preserve">scored </w:t>
      </w:r>
      <w:r w:rsidR="0014093B">
        <w:t>not quite</w:t>
      </w:r>
      <w:r w:rsidR="00FA03C3">
        <w:t xml:space="preserve"> there yet </w:t>
      </w:r>
      <w:r w:rsidR="004D56A5">
        <w:t>or</w:t>
      </w:r>
      <w:r w:rsidR="00FA03C3">
        <w:t xml:space="preserve"> underperforming</w:t>
      </w:r>
      <w:r w:rsidR="00731EDA">
        <w:t xml:space="preserve">.  Numbers are also included for </w:t>
      </w:r>
      <w:r w:rsidR="00320A56">
        <w:t xml:space="preserve">those employees </w:t>
      </w:r>
      <w:r w:rsidR="00731EDA">
        <w:t>absent</w:t>
      </w:r>
      <w:r w:rsidR="00320A56">
        <w:t xml:space="preserve"> when the survey was completed</w:t>
      </w:r>
      <w:r w:rsidR="007B6D63">
        <w:t xml:space="preserve">. </w:t>
      </w:r>
      <w:r w:rsidR="00731EDA">
        <w:t xml:space="preserve"> </w:t>
      </w:r>
      <w:r w:rsidR="007B6D63">
        <w:t>I</w:t>
      </w:r>
      <w:r w:rsidR="00A74631">
        <w:t xml:space="preserve">t’s worth noting missing data for </w:t>
      </w:r>
      <w:r w:rsidR="0064797E">
        <w:t xml:space="preserve">employee </w:t>
      </w:r>
      <w:r w:rsidR="00A74631">
        <w:t xml:space="preserve">Sally Starling in </w:t>
      </w:r>
      <w:r w:rsidR="00A325B6">
        <w:t>quarter two</w:t>
      </w:r>
      <w:r w:rsidR="00A74631">
        <w:t xml:space="preserve">, </w:t>
      </w:r>
      <w:r w:rsidR="0064797E">
        <w:t>this</w:t>
      </w:r>
      <w:r w:rsidR="00A74631">
        <w:t xml:space="preserve"> been included in the absen</w:t>
      </w:r>
      <w:r w:rsidR="003233E0">
        <w:t>t</w:t>
      </w:r>
      <w:r w:rsidR="00A74631">
        <w:t xml:space="preserve"> figure.</w:t>
      </w:r>
      <w:r w:rsidR="004F18E0">
        <w:t xml:space="preserve">  </w:t>
      </w:r>
    </w:p>
    <w:p w14:paraId="40109B95" w14:textId="1D11F413" w:rsidR="0045179F" w:rsidRDefault="0045179F">
      <w:pPr>
        <w:rPr>
          <w:b/>
          <w:bCs/>
        </w:rPr>
      </w:pPr>
      <w:r>
        <w:rPr>
          <w:b/>
          <w:bCs/>
        </w:rPr>
        <w:t>Table 1:</w:t>
      </w:r>
    </w:p>
    <w:p w14:paraId="4CEA5D47" w14:textId="4406068E" w:rsidR="00C97880" w:rsidRDefault="00B43CF0">
      <w:pPr>
        <w:rPr>
          <w:b/>
          <w:bCs/>
        </w:rPr>
      </w:pPr>
      <w:r>
        <w:rPr>
          <w:noProof/>
        </w:rPr>
        <w:drawing>
          <wp:inline distT="0" distB="0" distL="0" distR="0" wp14:anchorId="36365233" wp14:editId="53EC5BE2">
            <wp:extent cx="5731510" cy="2560320"/>
            <wp:effectExtent l="0" t="0" r="2540" b="11430"/>
            <wp:docPr id="1186017781" name="Chart 1">
              <a:extLst xmlns:a="http://schemas.openxmlformats.org/drawingml/2006/main">
                <a:ext uri="{FF2B5EF4-FFF2-40B4-BE49-F238E27FC236}">
                  <a16:creationId xmlns:a16="http://schemas.microsoft.com/office/drawing/2014/main" id="{CD5F2BB5-EDEE-0204-00E8-D11464216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D4F42CA" w14:textId="5A709C43" w:rsidR="0045179F" w:rsidRDefault="0045179F">
      <w:pPr>
        <w:rPr>
          <w:b/>
          <w:bCs/>
        </w:rPr>
      </w:pPr>
      <w:r>
        <w:rPr>
          <w:b/>
          <w:bCs/>
        </w:rPr>
        <w:t>Table</w:t>
      </w:r>
      <w:r w:rsidR="00A0458E">
        <w:rPr>
          <w:b/>
          <w:bCs/>
        </w:rPr>
        <w:t xml:space="preserve"> 2:</w:t>
      </w:r>
    </w:p>
    <w:p w14:paraId="35C7902E" w14:textId="58D00C64" w:rsidR="00B43CF0" w:rsidRPr="001003A9" w:rsidRDefault="0045179F">
      <w:pPr>
        <w:rPr>
          <w:b/>
          <w:bCs/>
        </w:rPr>
      </w:pPr>
      <w:r>
        <w:rPr>
          <w:noProof/>
        </w:rPr>
        <w:drawing>
          <wp:inline distT="0" distB="0" distL="0" distR="0" wp14:anchorId="40783517" wp14:editId="04056033">
            <wp:extent cx="5731510" cy="2820035"/>
            <wp:effectExtent l="0" t="0" r="2540" b="18415"/>
            <wp:docPr id="792094871" name="Chart 1">
              <a:extLst xmlns:a="http://schemas.openxmlformats.org/drawingml/2006/main">
                <a:ext uri="{FF2B5EF4-FFF2-40B4-BE49-F238E27FC236}">
                  <a16:creationId xmlns:a16="http://schemas.microsoft.com/office/drawing/2014/main" id="{08AC3A3E-88DE-C550-114C-AEBF25B6A8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3DDB6CB" w14:textId="77777777" w:rsidR="005B04BF" w:rsidRDefault="005B04BF"/>
    <w:p w14:paraId="4FBDA721" w14:textId="77777777" w:rsidR="00C7302D" w:rsidRDefault="00C7302D"/>
    <w:p w14:paraId="62F98074" w14:textId="0CE62457" w:rsidR="00C7302D" w:rsidRDefault="00DB0C53">
      <w:r>
        <w:lastRenderedPageBreak/>
        <w:t>The table below sho</w:t>
      </w:r>
      <w:r w:rsidR="00E41E23">
        <w:t xml:space="preserve">ws employees who were rated </w:t>
      </w:r>
      <w:r w:rsidR="00AF56CA">
        <w:t xml:space="preserve">outstanding in either or both quarter </w:t>
      </w:r>
      <w:r w:rsidR="001711FD">
        <w:t>one</w:t>
      </w:r>
      <w:r w:rsidR="00AF56CA">
        <w:t xml:space="preserve"> and </w:t>
      </w:r>
      <w:r w:rsidR="001711FD">
        <w:t>two</w:t>
      </w:r>
      <w:r w:rsidR="00AF56CA">
        <w:t xml:space="preserve">.  </w:t>
      </w:r>
      <w:r w:rsidR="00783572">
        <w:t xml:space="preserve">Employees </w:t>
      </w:r>
      <w:r w:rsidR="001711FD">
        <w:t>earn a</w:t>
      </w:r>
      <w:r w:rsidR="00FE1D98">
        <w:t xml:space="preserve"> four</w:t>
      </w:r>
      <w:r w:rsidR="001711FD">
        <w:t xml:space="preserve"> percent bonus for each quarter they achieve</w:t>
      </w:r>
      <w:r w:rsidR="00FE1D98">
        <w:t>d</w:t>
      </w:r>
      <w:r w:rsidR="001711FD">
        <w:t xml:space="preserve"> </w:t>
      </w:r>
      <w:r w:rsidR="005B04BF">
        <w:t xml:space="preserve">outstanding.  </w:t>
      </w:r>
    </w:p>
    <w:p w14:paraId="550DAC8F" w14:textId="77777777" w:rsidR="00160010" w:rsidRDefault="00160010"/>
    <w:tbl>
      <w:tblPr>
        <w:tblW w:w="9191" w:type="dxa"/>
        <w:tblLook w:val="04A0" w:firstRow="1" w:lastRow="0" w:firstColumn="1" w:lastColumn="0" w:noHBand="0" w:noVBand="1"/>
      </w:tblPr>
      <w:tblGrid>
        <w:gridCol w:w="2786"/>
        <w:gridCol w:w="1810"/>
        <w:gridCol w:w="1188"/>
        <w:gridCol w:w="1242"/>
        <w:gridCol w:w="2165"/>
      </w:tblGrid>
      <w:tr w:rsidR="00C7302D" w:rsidRPr="002D758A" w14:paraId="272C0162" w14:textId="77777777" w:rsidTr="00930A9B">
        <w:trPr>
          <w:trHeight w:val="517"/>
        </w:trPr>
        <w:tc>
          <w:tcPr>
            <w:tcW w:w="27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B3D020"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Team</w:t>
            </w:r>
          </w:p>
        </w:tc>
        <w:tc>
          <w:tcPr>
            <w:tcW w:w="1810" w:type="dxa"/>
            <w:tcBorders>
              <w:top w:val="single" w:sz="4" w:space="0" w:color="auto"/>
              <w:left w:val="nil"/>
              <w:bottom w:val="single" w:sz="4" w:space="0" w:color="auto"/>
              <w:right w:val="nil"/>
            </w:tcBorders>
            <w:shd w:val="clear" w:color="000000" w:fill="FFFFFF"/>
            <w:noWrap/>
            <w:vAlign w:val="center"/>
            <w:hideMark/>
          </w:tcPr>
          <w:p w14:paraId="78445C6C"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Employee Name</w:t>
            </w:r>
          </w:p>
        </w:tc>
        <w:tc>
          <w:tcPr>
            <w:tcW w:w="11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9AA4A6"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Q1 Bonus</w:t>
            </w:r>
          </w:p>
        </w:tc>
        <w:tc>
          <w:tcPr>
            <w:tcW w:w="1242" w:type="dxa"/>
            <w:tcBorders>
              <w:top w:val="single" w:sz="4" w:space="0" w:color="auto"/>
              <w:left w:val="nil"/>
              <w:bottom w:val="single" w:sz="4" w:space="0" w:color="auto"/>
              <w:right w:val="single" w:sz="4" w:space="0" w:color="auto"/>
            </w:tcBorders>
            <w:shd w:val="clear" w:color="000000" w:fill="FFFFFF"/>
            <w:noWrap/>
            <w:vAlign w:val="center"/>
            <w:hideMark/>
          </w:tcPr>
          <w:p w14:paraId="54AB799A"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Q2 Bonus</w:t>
            </w:r>
          </w:p>
        </w:tc>
        <w:tc>
          <w:tcPr>
            <w:tcW w:w="2165" w:type="dxa"/>
            <w:tcBorders>
              <w:top w:val="single" w:sz="4" w:space="0" w:color="auto"/>
              <w:left w:val="nil"/>
              <w:bottom w:val="single" w:sz="4" w:space="0" w:color="auto"/>
              <w:right w:val="single" w:sz="4" w:space="0" w:color="auto"/>
            </w:tcBorders>
            <w:shd w:val="clear" w:color="auto" w:fill="auto"/>
            <w:noWrap/>
            <w:vAlign w:val="center"/>
            <w:hideMark/>
          </w:tcPr>
          <w:p w14:paraId="5164E82E"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Total Bonus Payment</w:t>
            </w:r>
          </w:p>
        </w:tc>
      </w:tr>
      <w:tr w:rsidR="00C7302D" w:rsidRPr="002D758A" w14:paraId="5B1B715B" w14:textId="77777777" w:rsidTr="00930A9B">
        <w:trPr>
          <w:trHeight w:val="517"/>
        </w:trPr>
        <w:tc>
          <w:tcPr>
            <w:tcW w:w="27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E3DC9D1"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 xml:space="preserve">Administration Department </w:t>
            </w:r>
          </w:p>
        </w:tc>
        <w:tc>
          <w:tcPr>
            <w:tcW w:w="1810" w:type="dxa"/>
            <w:tcBorders>
              <w:top w:val="nil"/>
              <w:left w:val="nil"/>
              <w:bottom w:val="single" w:sz="4" w:space="0" w:color="auto"/>
              <w:right w:val="nil"/>
            </w:tcBorders>
            <w:shd w:val="clear" w:color="000000" w:fill="FFFFFF"/>
            <w:noWrap/>
            <w:vAlign w:val="center"/>
            <w:hideMark/>
          </w:tcPr>
          <w:p w14:paraId="0374402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Robin Bird</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14:paraId="1DCCE65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£1,260</w:t>
            </w:r>
          </w:p>
        </w:tc>
        <w:tc>
          <w:tcPr>
            <w:tcW w:w="1242" w:type="dxa"/>
            <w:tcBorders>
              <w:top w:val="nil"/>
              <w:left w:val="nil"/>
              <w:bottom w:val="single" w:sz="4" w:space="0" w:color="auto"/>
              <w:right w:val="nil"/>
            </w:tcBorders>
            <w:shd w:val="clear" w:color="000000" w:fill="FFFFFF"/>
            <w:noWrap/>
            <w:vAlign w:val="center"/>
            <w:hideMark/>
          </w:tcPr>
          <w:p w14:paraId="58AE5659"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33388F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£1,260</w:t>
            </w:r>
          </w:p>
        </w:tc>
      </w:tr>
      <w:tr w:rsidR="00C7302D" w:rsidRPr="002D758A" w14:paraId="745A0760"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46D89E47"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7F3CEB0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 xml:space="preserve">Saffron Finch </w:t>
            </w:r>
          </w:p>
        </w:tc>
        <w:tc>
          <w:tcPr>
            <w:tcW w:w="1188" w:type="dxa"/>
            <w:tcBorders>
              <w:top w:val="nil"/>
              <w:left w:val="single" w:sz="4" w:space="0" w:color="auto"/>
              <w:bottom w:val="single" w:sz="4" w:space="0" w:color="auto"/>
              <w:right w:val="nil"/>
            </w:tcBorders>
            <w:shd w:val="clear" w:color="000000" w:fill="FFFFFF"/>
            <w:noWrap/>
            <w:vAlign w:val="center"/>
            <w:hideMark/>
          </w:tcPr>
          <w:p w14:paraId="5F1222B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£960</w:t>
            </w:r>
          </w:p>
        </w:tc>
        <w:tc>
          <w:tcPr>
            <w:tcW w:w="1242" w:type="dxa"/>
            <w:tcBorders>
              <w:top w:val="nil"/>
              <w:left w:val="single" w:sz="4" w:space="0" w:color="auto"/>
              <w:bottom w:val="single" w:sz="4" w:space="0" w:color="auto"/>
              <w:right w:val="nil"/>
            </w:tcBorders>
            <w:shd w:val="clear" w:color="000000" w:fill="FFFFFF"/>
            <w:noWrap/>
            <w:vAlign w:val="center"/>
            <w:hideMark/>
          </w:tcPr>
          <w:p w14:paraId="55CAD452"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£960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614021B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£1,920</w:t>
            </w:r>
          </w:p>
        </w:tc>
      </w:tr>
      <w:tr w:rsidR="00C7302D" w:rsidRPr="002D758A" w14:paraId="1D596E6E" w14:textId="77777777" w:rsidTr="00930A9B">
        <w:trPr>
          <w:trHeight w:val="517"/>
        </w:trPr>
        <w:tc>
          <w:tcPr>
            <w:tcW w:w="27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CD9D9EC"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 xml:space="preserve">Logistics Department </w:t>
            </w:r>
          </w:p>
        </w:tc>
        <w:tc>
          <w:tcPr>
            <w:tcW w:w="1810" w:type="dxa"/>
            <w:tcBorders>
              <w:top w:val="nil"/>
              <w:left w:val="nil"/>
              <w:bottom w:val="single" w:sz="4" w:space="0" w:color="auto"/>
              <w:right w:val="nil"/>
            </w:tcBorders>
            <w:shd w:val="clear" w:color="000000" w:fill="FFFFFF"/>
            <w:noWrap/>
            <w:vAlign w:val="center"/>
            <w:hideMark/>
          </w:tcPr>
          <w:p w14:paraId="0C8A09E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Ruth Sixsmith</w:t>
            </w:r>
          </w:p>
        </w:tc>
        <w:tc>
          <w:tcPr>
            <w:tcW w:w="1188" w:type="dxa"/>
            <w:tcBorders>
              <w:top w:val="nil"/>
              <w:left w:val="single" w:sz="4" w:space="0" w:color="auto"/>
              <w:bottom w:val="single" w:sz="4" w:space="0" w:color="auto"/>
              <w:right w:val="nil"/>
            </w:tcBorders>
            <w:shd w:val="clear" w:color="000000" w:fill="FFFFFF"/>
            <w:noWrap/>
            <w:vAlign w:val="center"/>
            <w:hideMark/>
          </w:tcPr>
          <w:p w14:paraId="26A9B9BB"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c>
          <w:tcPr>
            <w:tcW w:w="1242" w:type="dxa"/>
            <w:tcBorders>
              <w:top w:val="nil"/>
              <w:left w:val="single" w:sz="4" w:space="0" w:color="auto"/>
              <w:bottom w:val="single" w:sz="4" w:space="0" w:color="auto"/>
              <w:right w:val="nil"/>
            </w:tcBorders>
            <w:shd w:val="clear" w:color="000000" w:fill="FFFFFF"/>
            <w:noWrap/>
            <w:vAlign w:val="center"/>
            <w:hideMark/>
          </w:tcPr>
          <w:p w14:paraId="58470F3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9200B2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r>
      <w:tr w:rsidR="00C7302D" w:rsidRPr="002D758A" w14:paraId="144177E9"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0AEE2477"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6CF9AD0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Wendy Boot</w:t>
            </w:r>
          </w:p>
        </w:tc>
        <w:tc>
          <w:tcPr>
            <w:tcW w:w="1188" w:type="dxa"/>
            <w:tcBorders>
              <w:top w:val="nil"/>
              <w:left w:val="single" w:sz="4" w:space="0" w:color="auto"/>
              <w:bottom w:val="single" w:sz="4" w:space="0" w:color="auto"/>
              <w:right w:val="nil"/>
            </w:tcBorders>
            <w:shd w:val="clear" w:color="000000" w:fill="FFFFFF"/>
            <w:noWrap/>
            <w:vAlign w:val="center"/>
            <w:hideMark/>
          </w:tcPr>
          <w:p w14:paraId="4170413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0A83642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6DA5FF56"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r>
      <w:tr w:rsidR="00C7302D" w:rsidRPr="002D758A" w14:paraId="175C8553"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2EA1EE40"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53DE777"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Sally Rigbye</w:t>
            </w:r>
          </w:p>
        </w:tc>
        <w:tc>
          <w:tcPr>
            <w:tcW w:w="1188" w:type="dxa"/>
            <w:tcBorders>
              <w:top w:val="nil"/>
              <w:left w:val="single" w:sz="4" w:space="0" w:color="auto"/>
              <w:bottom w:val="single" w:sz="4" w:space="0" w:color="auto"/>
              <w:right w:val="nil"/>
            </w:tcBorders>
            <w:shd w:val="clear" w:color="000000" w:fill="FFFFFF"/>
            <w:noWrap/>
            <w:vAlign w:val="center"/>
            <w:hideMark/>
          </w:tcPr>
          <w:p w14:paraId="02E58E62"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c>
          <w:tcPr>
            <w:tcW w:w="1242" w:type="dxa"/>
            <w:tcBorders>
              <w:top w:val="nil"/>
              <w:left w:val="single" w:sz="4" w:space="0" w:color="auto"/>
              <w:bottom w:val="single" w:sz="4" w:space="0" w:color="auto"/>
              <w:right w:val="nil"/>
            </w:tcBorders>
            <w:shd w:val="clear" w:color="000000" w:fill="FFFFFF"/>
            <w:noWrap/>
            <w:vAlign w:val="center"/>
            <w:hideMark/>
          </w:tcPr>
          <w:p w14:paraId="3B940A6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95F481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r>
      <w:tr w:rsidR="00C7302D" w:rsidRPr="002D758A" w14:paraId="59ED14B8"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53739020"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36D06B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Jean Livesey</w:t>
            </w:r>
          </w:p>
        </w:tc>
        <w:tc>
          <w:tcPr>
            <w:tcW w:w="1188" w:type="dxa"/>
            <w:tcBorders>
              <w:top w:val="nil"/>
              <w:left w:val="single" w:sz="4" w:space="0" w:color="auto"/>
              <w:bottom w:val="single" w:sz="4" w:space="0" w:color="auto"/>
              <w:right w:val="nil"/>
            </w:tcBorders>
            <w:shd w:val="clear" w:color="000000" w:fill="FFFFFF"/>
            <w:noWrap/>
            <w:vAlign w:val="center"/>
            <w:hideMark/>
          </w:tcPr>
          <w:p w14:paraId="58A6CA2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11A6452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£1,040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2B80D90"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£1,040</w:t>
            </w:r>
          </w:p>
        </w:tc>
      </w:tr>
      <w:tr w:rsidR="00C7302D" w:rsidRPr="002D758A" w14:paraId="4C6A3543"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7740B4A7"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085F546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Julie Chisnall</w:t>
            </w:r>
          </w:p>
        </w:tc>
        <w:tc>
          <w:tcPr>
            <w:tcW w:w="1188" w:type="dxa"/>
            <w:tcBorders>
              <w:top w:val="nil"/>
              <w:left w:val="single" w:sz="4" w:space="0" w:color="auto"/>
              <w:bottom w:val="single" w:sz="4" w:space="0" w:color="auto"/>
              <w:right w:val="nil"/>
            </w:tcBorders>
            <w:shd w:val="clear" w:color="000000" w:fill="FFFFFF"/>
            <w:noWrap/>
            <w:vAlign w:val="center"/>
            <w:hideMark/>
          </w:tcPr>
          <w:p w14:paraId="4C35658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1242" w:type="dxa"/>
            <w:tcBorders>
              <w:top w:val="nil"/>
              <w:left w:val="single" w:sz="4" w:space="0" w:color="auto"/>
              <w:bottom w:val="single" w:sz="4" w:space="0" w:color="auto"/>
              <w:right w:val="nil"/>
            </w:tcBorders>
            <w:shd w:val="clear" w:color="000000" w:fill="FFFFFF"/>
            <w:noWrap/>
            <w:vAlign w:val="center"/>
            <w:hideMark/>
          </w:tcPr>
          <w:p w14:paraId="3785E1A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262DF70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£1,560</w:t>
            </w:r>
          </w:p>
        </w:tc>
      </w:tr>
      <w:tr w:rsidR="00C7302D" w:rsidRPr="002D758A" w14:paraId="6F4F4BEF"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218A18E5"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49E9BC9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Rick Lovall</w:t>
            </w:r>
          </w:p>
        </w:tc>
        <w:tc>
          <w:tcPr>
            <w:tcW w:w="1188" w:type="dxa"/>
            <w:tcBorders>
              <w:top w:val="nil"/>
              <w:left w:val="single" w:sz="4" w:space="0" w:color="auto"/>
              <w:bottom w:val="single" w:sz="4" w:space="0" w:color="auto"/>
              <w:right w:val="nil"/>
            </w:tcBorders>
            <w:shd w:val="clear" w:color="000000" w:fill="FFFFFF"/>
            <w:noWrap/>
            <w:vAlign w:val="center"/>
            <w:hideMark/>
          </w:tcPr>
          <w:p w14:paraId="26F4DDED"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1242" w:type="dxa"/>
            <w:tcBorders>
              <w:top w:val="nil"/>
              <w:left w:val="single" w:sz="4" w:space="0" w:color="auto"/>
              <w:bottom w:val="single" w:sz="4" w:space="0" w:color="auto"/>
              <w:right w:val="nil"/>
            </w:tcBorders>
            <w:shd w:val="clear" w:color="000000" w:fill="FFFFFF"/>
            <w:noWrap/>
            <w:vAlign w:val="center"/>
            <w:hideMark/>
          </w:tcPr>
          <w:p w14:paraId="1AF2843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64C832B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r>
      <w:tr w:rsidR="00C7302D" w:rsidRPr="002D758A" w14:paraId="2D905C35"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5020F068"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AB3A4D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Gill Jamieson</w:t>
            </w:r>
          </w:p>
        </w:tc>
        <w:tc>
          <w:tcPr>
            <w:tcW w:w="1188" w:type="dxa"/>
            <w:tcBorders>
              <w:top w:val="nil"/>
              <w:left w:val="single" w:sz="4" w:space="0" w:color="auto"/>
              <w:bottom w:val="single" w:sz="4" w:space="0" w:color="auto"/>
              <w:right w:val="nil"/>
            </w:tcBorders>
            <w:shd w:val="clear" w:color="000000" w:fill="FFFFFF"/>
            <w:noWrap/>
            <w:vAlign w:val="center"/>
            <w:hideMark/>
          </w:tcPr>
          <w:p w14:paraId="78C89F6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1242" w:type="dxa"/>
            <w:tcBorders>
              <w:top w:val="nil"/>
              <w:left w:val="single" w:sz="4" w:space="0" w:color="auto"/>
              <w:bottom w:val="single" w:sz="4" w:space="0" w:color="auto"/>
              <w:right w:val="nil"/>
            </w:tcBorders>
            <w:shd w:val="clear" w:color="000000" w:fill="FFFFFF"/>
            <w:noWrap/>
            <w:vAlign w:val="center"/>
            <w:hideMark/>
          </w:tcPr>
          <w:p w14:paraId="4397380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1B4E7FF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£1,560</w:t>
            </w:r>
          </w:p>
        </w:tc>
      </w:tr>
      <w:tr w:rsidR="00C7302D" w:rsidRPr="002D758A" w14:paraId="4355B37B" w14:textId="77777777" w:rsidTr="00930A9B">
        <w:trPr>
          <w:trHeight w:val="517"/>
        </w:trPr>
        <w:tc>
          <w:tcPr>
            <w:tcW w:w="27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62E348C"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 xml:space="preserve">Research and Development  </w:t>
            </w:r>
          </w:p>
        </w:tc>
        <w:tc>
          <w:tcPr>
            <w:tcW w:w="1810" w:type="dxa"/>
            <w:tcBorders>
              <w:top w:val="nil"/>
              <w:left w:val="nil"/>
              <w:bottom w:val="single" w:sz="4" w:space="0" w:color="auto"/>
              <w:right w:val="nil"/>
            </w:tcBorders>
            <w:shd w:val="clear" w:color="000000" w:fill="FFFFFF"/>
            <w:noWrap/>
            <w:vAlign w:val="center"/>
            <w:hideMark/>
          </w:tcPr>
          <w:p w14:paraId="05A2A9CB"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Ethan Brar</w:t>
            </w:r>
          </w:p>
        </w:tc>
        <w:tc>
          <w:tcPr>
            <w:tcW w:w="1188" w:type="dxa"/>
            <w:tcBorders>
              <w:top w:val="nil"/>
              <w:left w:val="single" w:sz="4" w:space="0" w:color="auto"/>
              <w:bottom w:val="single" w:sz="4" w:space="0" w:color="auto"/>
              <w:right w:val="nil"/>
            </w:tcBorders>
            <w:shd w:val="clear" w:color="000000" w:fill="FFFFFF"/>
            <w:noWrap/>
            <w:vAlign w:val="center"/>
            <w:hideMark/>
          </w:tcPr>
          <w:p w14:paraId="4C58766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c>
          <w:tcPr>
            <w:tcW w:w="1242" w:type="dxa"/>
            <w:tcBorders>
              <w:top w:val="nil"/>
              <w:left w:val="single" w:sz="4" w:space="0" w:color="auto"/>
              <w:bottom w:val="single" w:sz="4" w:space="0" w:color="auto"/>
              <w:right w:val="nil"/>
            </w:tcBorders>
            <w:shd w:val="clear" w:color="000000" w:fill="FFFFFF"/>
            <w:noWrap/>
            <w:vAlign w:val="center"/>
            <w:hideMark/>
          </w:tcPr>
          <w:p w14:paraId="78C4682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21DD56B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£2,600</w:t>
            </w:r>
          </w:p>
        </w:tc>
      </w:tr>
      <w:tr w:rsidR="00C7302D" w:rsidRPr="002D758A" w14:paraId="43258530"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49D34435"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48EC8CE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Harrison Briggs</w:t>
            </w:r>
          </w:p>
        </w:tc>
        <w:tc>
          <w:tcPr>
            <w:tcW w:w="1188" w:type="dxa"/>
            <w:tcBorders>
              <w:top w:val="nil"/>
              <w:left w:val="single" w:sz="4" w:space="0" w:color="auto"/>
              <w:bottom w:val="single" w:sz="4" w:space="0" w:color="auto"/>
              <w:right w:val="nil"/>
            </w:tcBorders>
            <w:shd w:val="clear" w:color="000000" w:fill="FFFFFF"/>
            <w:noWrap/>
            <w:vAlign w:val="center"/>
            <w:hideMark/>
          </w:tcPr>
          <w:p w14:paraId="35E5759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3EDD2A9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45B81C6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r>
      <w:tr w:rsidR="00C7302D" w:rsidRPr="002D758A" w14:paraId="0D6F2CF7"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11735503"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0910E0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Steve Owens</w:t>
            </w:r>
          </w:p>
        </w:tc>
        <w:tc>
          <w:tcPr>
            <w:tcW w:w="1188" w:type="dxa"/>
            <w:tcBorders>
              <w:top w:val="nil"/>
              <w:left w:val="single" w:sz="4" w:space="0" w:color="auto"/>
              <w:bottom w:val="single" w:sz="4" w:space="0" w:color="auto"/>
              <w:right w:val="nil"/>
            </w:tcBorders>
            <w:shd w:val="clear" w:color="000000" w:fill="FFFFFF"/>
            <w:noWrap/>
            <w:vAlign w:val="center"/>
            <w:hideMark/>
          </w:tcPr>
          <w:p w14:paraId="27D34C3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70201D5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1B119AD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r>
      <w:tr w:rsidR="00C7302D" w:rsidRPr="002D758A" w14:paraId="1C1BBF5A"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7D1CABEF"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4FFCF67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Tasha Graham</w:t>
            </w:r>
          </w:p>
        </w:tc>
        <w:tc>
          <w:tcPr>
            <w:tcW w:w="1188" w:type="dxa"/>
            <w:tcBorders>
              <w:top w:val="nil"/>
              <w:left w:val="single" w:sz="4" w:space="0" w:color="auto"/>
              <w:bottom w:val="single" w:sz="4" w:space="0" w:color="auto"/>
              <w:right w:val="nil"/>
            </w:tcBorders>
            <w:shd w:val="clear" w:color="000000" w:fill="FFFFFF"/>
            <w:noWrap/>
            <w:vAlign w:val="center"/>
            <w:hideMark/>
          </w:tcPr>
          <w:p w14:paraId="3688432B"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1242" w:type="dxa"/>
            <w:tcBorders>
              <w:top w:val="nil"/>
              <w:left w:val="single" w:sz="4" w:space="0" w:color="auto"/>
              <w:bottom w:val="single" w:sz="4" w:space="0" w:color="auto"/>
              <w:right w:val="nil"/>
            </w:tcBorders>
            <w:shd w:val="clear" w:color="000000" w:fill="FFFFFF"/>
            <w:noWrap/>
            <w:vAlign w:val="center"/>
            <w:hideMark/>
          </w:tcPr>
          <w:p w14:paraId="24859FD7"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551BF1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£2,360</w:t>
            </w:r>
          </w:p>
        </w:tc>
      </w:tr>
      <w:tr w:rsidR="00C7302D" w:rsidRPr="002D758A" w14:paraId="177C15CA"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6F88A0CE"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678DF91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Jennifer Frost</w:t>
            </w:r>
          </w:p>
        </w:tc>
        <w:tc>
          <w:tcPr>
            <w:tcW w:w="1188" w:type="dxa"/>
            <w:tcBorders>
              <w:top w:val="nil"/>
              <w:left w:val="single" w:sz="4" w:space="0" w:color="auto"/>
              <w:bottom w:val="single" w:sz="4" w:space="0" w:color="auto"/>
              <w:right w:val="nil"/>
            </w:tcBorders>
            <w:shd w:val="clear" w:color="000000" w:fill="FFFFFF"/>
            <w:noWrap/>
            <w:vAlign w:val="center"/>
            <w:hideMark/>
          </w:tcPr>
          <w:p w14:paraId="4C9ADE8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1242" w:type="dxa"/>
            <w:tcBorders>
              <w:top w:val="nil"/>
              <w:left w:val="single" w:sz="4" w:space="0" w:color="auto"/>
              <w:bottom w:val="single" w:sz="4" w:space="0" w:color="auto"/>
              <w:right w:val="nil"/>
            </w:tcBorders>
            <w:shd w:val="clear" w:color="000000" w:fill="FFFFFF"/>
            <w:noWrap/>
            <w:vAlign w:val="center"/>
            <w:hideMark/>
          </w:tcPr>
          <w:p w14:paraId="6C57805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73E446C6"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£2,360</w:t>
            </w:r>
          </w:p>
        </w:tc>
      </w:tr>
      <w:tr w:rsidR="00C7302D" w:rsidRPr="002D758A" w14:paraId="5D89EF83" w14:textId="77777777" w:rsidTr="00930A9B">
        <w:trPr>
          <w:trHeight w:val="517"/>
        </w:trPr>
        <w:tc>
          <w:tcPr>
            <w:tcW w:w="2786" w:type="dxa"/>
            <w:tcBorders>
              <w:top w:val="nil"/>
              <w:left w:val="nil"/>
              <w:bottom w:val="nil"/>
              <w:right w:val="nil"/>
            </w:tcBorders>
            <w:shd w:val="clear" w:color="auto" w:fill="auto"/>
            <w:noWrap/>
            <w:vAlign w:val="center"/>
            <w:hideMark/>
          </w:tcPr>
          <w:p w14:paraId="0E5CA39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p>
        </w:tc>
        <w:tc>
          <w:tcPr>
            <w:tcW w:w="1810" w:type="dxa"/>
            <w:tcBorders>
              <w:top w:val="nil"/>
              <w:left w:val="nil"/>
              <w:bottom w:val="nil"/>
              <w:right w:val="nil"/>
            </w:tcBorders>
            <w:shd w:val="clear" w:color="auto" w:fill="auto"/>
            <w:noWrap/>
            <w:vAlign w:val="center"/>
            <w:hideMark/>
          </w:tcPr>
          <w:p w14:paraId="12FD0DC9" w14:textId="77777777" w:rsidR="00C7302D" w:rsidRPr="002D758A" w:rsidRDefault="00C7302D" w:rsidP="00930A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14:paraId="11068C66"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£10,120</w:t>
            </w:r>
          </w:p>
        </w:tc>
        <w:tc>
          <w:tcPr>
            <w:tcW w:w="1242" w:type="dxa"/>
            <w:tcBorders>
              <w:top w:val="nil"/>
              <w:left w:val="nil"/>
              <w:bottom w:val="single" w:sz="4" w:space="0" w:color="auto"/>
              <w:right w:val="single" w:sz="4" w:space="0" w:color="auto"/>
            </w:tcBorders>
            <w:shd w:val="clear" w:color="auto" w:fill="auto"/>
            <w:noWrap/>
            <w:vAlign w:val="center"/>
            <w:hideMark/>
          </w:tcPr>
          <w:p w14:paraId="4344D742"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£10,650</w:t>
            </w:r>
          </w:p>
        </w:tc>
        <w:tc>
          <w:tcPr>
            <w:tcW w:w="2165" w:type="dxa"/>
            <w:tcBorders>
              <w:top w:val="nil"/>
              <w:left w:val="nil"/>
              <w:bottom w:val="single" w:sz="4" w:space="0" w:color="auto"/>
              <w:right w:val="single" w:sz="4" w:space="0" w:color="auto"/>
            </w:tcBorders>
            <w:shd w:val="clear" w:color="auto" w:fill="auto"/>
            <w:noWrap/>
            <w:vAlign w:val="center"/>
            <w:hideMark/>
          </w:tcPr>
          <w:p w14:paraId="4302CD47"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£20,770</w:t>
            </w:r>
          </w:p>
        </w:tc>
      </w:tr>
    </w:tbl>
    <w:p w14:paraId="447D68C3" w14:textId="77777777" w:rsidR="00B60CBD" w:rsidRDefault="00B60CBD"/>
    <w:p w14:paraId="6AC8E81D" w14:textId="257AFE00" w:rsidR="001B4413" w:rsidRDefault="00EB0033">
      <w:r>
        <w:t xml:space="preserve">The total cost of </w:t>
      </w:r>
      <w:r w:rsidR="0068292F">
        <w:t>bonus payments for the organisation was £20,770</w:t>
      </w:r>
      <w:r w:rsidR="00A71B9E">
        <w:t xml:space="preserve"> (based on the data provided)</w:t>
      </w:r>
      <w:r w:rsidR="0068292F">
        <w:t xml:space="preserve">.  </w:t>
      </w:r>
      <w:r w:rsidR="0001777B">
        <w:t xml:space="preserve">It would be </w:t>
      </w:r>
      <w:r w:rsidR="001202BD">
        <w:t>recommended to obtain the missing information and to update this accordingly.</w:t>
      </w:r>
    </w:p>
    <w:p w14:paraId="110350DD" w14:textId="417E74A9" w:rsidR="001202BD" w:rsidRDefault="001202BD">
      <w:r>
        <w:t xml:space="preserve">It’s evident from the table </w:t>
      </w:r>
      <w:r w:rsidR="00774E84">
        <w:t xml:space="preserve">the </w:t>
      </w:r>
      <w:proofErr w:type="gramStart"/>
      <w:r w:rsidR="00774E84">
        <w:t>Logistics</w:t>
      </w:r>
      <w:proofErr w:type="gramEnd"/>
      <w:r w:rsidR="00774E84">
        <w:t xml:space="preserve"> </w:t>
      </w:r>
      <w:r w:rsidR="00D47896">
        <w:t xml:space="preserve">department had the </w:t>
      </w:r>
      <w:r w:rsidR="00D308EA">
        <w:t xml:space="preserve">highest number of employees earning a bonus.  </w:t>
      </w:r>
      <w:r w:rsidR="00822E5F">
        <w:t xml:space="preserve">However the Research and Development department </w:t>
      </w:r>
      <w:r w:rsidR="006618D3">
        <w:t xml:space="preserve">earned the highest </w:t>
      </w:r>
      <w:r w:rsidR="00A440F7">
        <w:t xml:space="preserve">amount of the total </w:t>
      </w:r>
      <w:r w:rsidR="00D66F2F">
        <w:t>bonus payment cost, because the staff who achieved the bonus a</w:t>
      </w:r>
      <w:r w:rsidR="00507749">
        <w:t>re on</w:t>
      </w:r>
      <w:r w:rsidR="00D66F2F">
        <w:t xml:space="preserve"> higher salaries. </w:t>
      </w:r>
      <w:r w:rsidR="00876980">
        <w:t>The sales team had no employees earning the bonus</w:t>
      </w:r>
      <w:r w:rsidR="00507749">
        <w:t xml:space="preserve">. For both quarter one and two </w:t>
      </w:r>
      <w:r w:rsidR="00623F1F">
        <w:t>all sales department employees were rated meets se</w:t>
      </w:r>
      <w:r w:rsidR="00105B2C">
        <w:t>t</w:t>
      </w:r>
      <w:r w:rsidR="00623F1F">
        <w:t xml:space="preserve"> individual KPIs.</w:t>
      </w:r>
      <w:r w:rsidR="001232EE">
        <w:t xml:space="preserve"> Whilst this outcome may be positive, it’s worth </w:t>
      </w:r>
      <w:r w:rsidR="000A00F3">
        <w:t>deeper analysis.</w:t>
      </w:r>
    </w:p>
    <w:p w14:paraId="75A666F1" w14:textId="77777777" w:rsidR="00105B2C" w:rsidRDefault="00105B2C"/>
    <w:p w14:paraId="177A515A" w14:textId="77777777" w:rsidR="00105B2C" w:rsidRDefault="00105B2C"/>
    <w:p w14:paraId="032923D2" w14:textId="2D087320" w:rsidR="00AF22E1" w:rsidRPr="008B3D3A" w:rsidRDefault="00BE6BCA">
      <w:pPr>
        <w:rPr>
          <w:b/>
          <w:bCs/>
        </w:rPr>
      </w:pPr>
      <w:r w:rsidRPr="008B3D3A">
        <w:rPr>
          <w:b/>
          <w:bCs/>
        </w:rPr>
        <w:lastRenderedPageBreak/>
        <w:t xml:space="preserve">Part </w:t>
      </w:r>
      <w:r w:rsidR="008B3D3A" w:rsidRPr="008B3D3A">
        <w:rPr>
          <w:b/>
          <w:bCs/>
        </w:rPr>
        <w:t>two – Performance review survey responses</w:t>
      </w:r>
    </w:p>
    <w:p w14:paraId="725941B2" w14:textId="1B8040DC" w:rsidR="0068292F" w:rsidRDefault="00ED0849">
      <w:r>
        <w:t xml:space="preserve">50 </w:t>
      </w:r>
      <w:r w:rsidR="00413D07">
        <w:t xml:space="preserve">Managers and </w:t>
      </w:r>
      <w:r>
        <w:t xml:space="preserve">235 </w:t>
      </w:r>
      <w:r w:rsidR="00413D07">
        <w:t xml:space="preserve">employees </w:t>
      </w:r>
      <w:r w:rsidR="00765ABB">
        <w:t>were asked their opinion on</w:t>
      </w:r>
      <w:r w:rsidR="000F0D45">
        <w:t xml:space="preserve"> the organisations approach to </w:t>
      </w:r>
      <w:r w:rsidR="00ED0698">
        <w:t xml:space="preserve">monitoring performance, </w:t>
      </w:r>
      <w:r w:rsidR="005127E8">
        <w:t>considering</w:t>
      </w:r>
      <w:r w:rsidR="00C05142">
        <w:t xml:space="preserve"> how appraisals, reviews and feedback are conducted</w:t>
      </w:r>
      <w:r w:rsidR="00457549">
        <w:t xml:space="preserve"> and their outcomes. </w:t>
      </w:r>
      <w:r w:rsidR="002C3656">
        <w:t xml:space="preserve">  </w:t>
      </w:r>
      <w:r w:rsidR="00422589">
        <w:t xml:space="preserve">Below are patterns, themes and trends </w:t>
      </w:r>
      <w:r w:rsidR="008C1F26">
        <w:t xml:space="preserve">from the feedback and recommendations on how improve outcomes. </w:t>
      </w:r>
    </w:p>
    <w:p w14:paraId="1D953A76" w14:textId="51659FF4" w:rsidR="003B7871" w:rsidRDefault="002E4BF6">
      <w:r>
        <w:t>There</w:t>
      </w:r>
      <w:r w:rsidR="0091352D">
        <w:t>’s</w:t>
      </w:r>
      <w:r w:rsidR="00F42AE0">
        <w:t xml:space="preserve"> a</w:t>
      </w:r>
      <w:r>
        <w:t xml:space="preserve"> pattern with managers feeling confident in the appraisal process</w:t>
      </w:r>
      <w:r w:rsidR="006868A6">
        <w:t xml:space="preserve"> itself</w:t>
      </w:r>
      <w:r w:rsidR="00DD1FB4">
        <w:t>,</w:t>
      </w:r>
      <w:r>
        <w:t xml:space="preserve"> but not </w:t>
      </w:r>
      <w:r w:rsidR="006868A6">
        <w:t xml:space="preserve">in </w:t>
      </w:r>
      <w:r>
        <w:t xml:space="preserve">the training </w:t>
      </w:r>
      <w:r w:rsidR="006868A6">
        <w:t xml:space="preserve">received </w:t>
      </w:r>
      <w:r>
        <w:t xml:space="preserve">to deliver effectively.  </w:t>
      </w:r>
      <w:r w:rsidR="009C594C">
        <w:t xml:space="preserve">48% of managers lack </w:t>
      </w:r>
      <w:r w:rsidR="00CA4AE9">
        <w:t xml:space="preserve">in </w:t>
      </w:r>
      <w:r w:rsidR="009C594C">
        <w:t xml:space="preserve">confidence </w:t>
      </w:r>
      <w:r w:rsidR="002B6A94">
        <w:t xml:space="preserve">carrying out an appraisal. </w:t>
      </w:r>
      <w:r w:rsidR="00627CB6">
        <w:t>Employees are comfortable with how manage</w:t>
      </w:r>
      <w:r w:rsidR="003E4AF1">
        <w:t>r</w:t>
      </w:r>
      <w:r w:rsidR="00627CB6">
        <w:t>s feedback to them</w:t>
      </w:r>
      <w:r w:rsidR="002B6A94">
        <w:t xml:space="preserve"> an</w:t>
      </w:r>
      <w:r w:rsidR="00864291">
        <w:t>d</w:t>
      </w:r>
      <w:r w:rsidR="004275B4">
        <w:t xml:space="preserve">, its </w:t>
      </w:r>
      <w:r w:rsidR="003E4AF1">
        <w:t xml:space="preserve">generally </w:t>
      </w:r>
      <w:r w:rsidR="004275B4">
        <w:t xml:space="preserve">positive and constructive, </w:t>
      </w:r>
      <w:r w:rsidR="00890C00">
        <w:t xml:space="preserve">scoring 63% and 57% respectively.  However, </w:t>
      </w:r>
      <w:r w:rsidR="004275B4">
        <w:t xml:space="preserve">they would prefer a more balanced approach and </w:t>
      </w:r>
      <w:r w:rsidR="00CF6202">
        <w:t xml:space="preserve">are open </w:t>
      </w:r>
      <w:r w:rsidR="002B0144">
        <w:t xml:space="preserve">to </w:t>
      </w:r>
      <w:r w:rsidR="00F232F8">
        <w:t xml:space="preserve">more </w:t>
      </w:r>
      <w:r w:rsidR="002B0144">
        <w:t>focussed</w:t>
      </w:r>
      <w:r w:rsidR="00F232F8">
        <w:t xml:space="preserve"> feedback to support their development and utilise the skills</w:t>
      </w:r>
      <w:r w:rsidR="002B0144">
        <w:t xml:space="preserve"> they already have</w:t>
      </w:r>
      <w:r w:rsidR="00E71060">
        <w:t xml:space="preserve">.  61% </w:t>
      </w:r>
      <w:r w:rsidR="002B0144">
        <w:t xml:space="preserve">of employees </w:t>
      </w:r>
      <w:r w:rsidR="00833E0A">
        <w:t>agreed with this point.</w:t>
      </w:r>
    </w:p>
    <w:p w14:paraId="2828FB97" w14:textId="0CD728A1" w:rsidR="00387006" w:rsidRDefault="003012D7" w:rsidP="00387006">
      <w:r>
        <w:t>Themes included</w:t>
      </w:r>
      <w:r w:rsidR="00967CC5">
        <w:t xml:space="preserve"> just over half of </w:t>
      </w:r>
      <w:r>
        <w:t>managers lac</w:t>
      </w:r>
      <w:r w:rsidR="00617003">
        <w:t xml:space="preserve">k </w:t>
      </w:r>
      <w:r>
        <w:t xml:space="preserve">confidence </w:t>
      </w:r>
      <w:r w:rsidR="00617003">
        <w:t xml:space="preserve">when it comes to </w:t>
      </w:r>
      <w:r w:rsidR="0042586C">
        <w:t xml:space="preserve">getting the </w:t>
      </w:r>
      <w:r>
        <w:t>best out of an appraisal</w:t>
      </w:r>
      <w:r w:rsidR="00914247">
        <w:t xml:space="preserve"> (52%</w:t>
      </w:r>
      <w:r w:rsidR="00B12FBE">
        <w:t xml:space="preserve"> agree with this</w:t>
      </w:r>
      <w:r w:rsidR="00914247">
        <w:t>)</w:t>
      </w:r>
      <w:r w:rsidR="00B12FBE">
        <w:t xml:space="preserve">.  This was echoed when it comes to </w:t>
      </w:r>
      <w:r>
        <w:t xml:space="preserve">setting </w:t>
      </w:r>
      <w:r w:rsidR="00D60AAA">
        <w:t xml:space="preserve">performance </w:t>
      </w:r>
      <w:r>
        <w:t xml:space="preserve">targets </w:t>
      </w:r>
      <w:r w:rsidR="00914247">
        <w:t xml:space="preserve">or </w:t>
      </w:r>
      <w:r>
        <w:t>providing feedback</w:t>
      </w:r>
      <w:r w:rsidR="00C308B1">
        <w:t>, collectively scoring a low 32%</w:t>
      </w:r>
      <w:r w:rsidR="00D60AAA">
        <w:t xml:space="preserve">.  Managers </w:t>
      </w:r>
      <w:r w:rsidR="009D71AE">
        <w:t>are comfortable</w:t>
      </w:r>
      <w:r w:rsidR="00D60AAA">
        <w:t xml:space="preserve"> interpreting </w:t>
      </w:r>
      <w:r w:rsidR="00674F90">
        <w:t>performance and rating employees based on this</w:t>
      </w:r>
      <w:r w:rsidR="00E5221D">
        <w:t xml:space="preserve">.  </w:t>
      </w:r>
      <w:r w:rsidR="00C308B1">
        <w:t xml:space="preserve">This was their highest scoring outcome, with 82% </w:t>
      </w:r>
      <w:r w:rsidR="00A4471C">
        <w:t xml:space="preserve">agreeing. </w:t>
      </w:r>
      <w:r w:rsidR="00E5221D">
        <w:t>The</w:t>
      </w:r>
      <w:r w:rsidR="006F1C7E">
        <w:t xml:space="preserve"> majority are </w:t>
      </w:r>
      <w:r w:rsidR="00A1592B">
        <w:t xml:space="preserve">happy they </w:t>
      </w:r>
      <w:r w:rsidR="00E5221D">
        <w:t>have time to</w:t>
      </w:r>
      <w:r w:rsidR="009C03B8">
        <w:t xml:space="preserve"> prepare for appraisals</w:t>
      </w:r>
      <w:r w:rsidR="00A4471C">
        <w:t xml:space="preserve">, with </w:t>
      </w:r>
      <w:r w:rsidR="00FF72EC">
        <w:t xml:space="preserve">64% agreeing here.  This </w:t>
      </w:r>
      <w:r w:rsidR="009C03B8">
        <w:t xml:space="preserve">suggests they are more reflective and less </w:t>
      </w:r>
      <w:r w:rsidR="007D5CFC">
        <w:t xml:space="preserve">confident driving performance </w:t>
      </w:r>
      <w:r w:rsidR="00A1592B">
        <w:t>and future thinking</w:t>
      </w:r>
      <w:r w:rsidR="007D5CFC">
        <w:t xml:space="preserve">.  </w:t>
      </w:r>
      <w:r w:rsidR="00387006">
        <w:t xml:space="preserve">Employees </w:t>
      </w:r>
      <w:r w:rsidR="00C138C7">
        <w:t>are</w:t>
      </w:r>
      <w:r w:rsidR="00387006">
        <w:t xml:space="preserve"> happy to receive a more balanced approach to appraisals and none fe</w:t>
      </w:r>
      <w:r w:rsidR="00284462">
        <w:t>el there’s</w:t>
      </w:r>
      <w:r w:rsidR="00387006">
        <w:t xml:space="preserve"> strong balance</w:t>
      </w:r>
      <w:r w:rsidR="00B347EA">
        <w:t xml:space="preserve"> with the feedback delivered to them</w:t>
      </w:r>
      <w:r w:rsidR="00387006">
        <w:t xml:space="preserve">. </w:t>
      </w:r>
      <w:r w:rsidR="0037747A">
        <w:t xml:space="preserve">The fact 61% agreed implies managers </w:t>
      </w:r>
      <w:r w:rsidR="00387006">
        <w:t>are being too positive with feedback and</w:t>
      </w:r>
      <w:r w:rsidR="00880258">
        <w:t xml:space="preserve"> reflects</w:t>
      </w:r>
      <w:r w:rsidR="00387006">
        <w:t xml:space="preserve"> in their </w:t>
      </w:r>
      <w:r w:rsidR="0087119F">
        <w:t xml:space="preserve">own </w:t>
      </w:r>
      <w:r w:rsidR="00387006">
        <w:t xml:space="preserve">lack of confidence </w:t>
      </w:r>
      <w:r w:rsidR="0087119F">
        <w:t>when</w:t>
      </w:r>
      <w:r w:rsidR="00387006">
        <w:t xml:space="preserve"> provid</w:t>
      </w:r>
      <w:r w:rsidR="0087119F">
        <w:t>ing</w:t>
      </w:r>
      <w:r w:rsidR="00387006">
        <w:t xml:space="preserve"> feedback.</w:t>
      </w:r>
    </w:p>
    <w:p w14:paraId="17B3FD24" w14:textId="67DC6A1B" w:rsidR="00902A2F" w:rsidRDefault="007F331A" w:rsidP="00902A2F">
      <w:r>
        <w:t xml:space="preserve">Trends </w:t>
      </w:r>
      <w:r w:rsidR="00AE27BC">
        <w:t xml:space="preserve">with the data </w:t>
      </w:r>
      <w:r>
        <w:t xml:space="preserve">are the </w:t>
      </w:r>
      <w:r w:rsidR="00902A2F">
        <w:t>m</w:t>
      </w:r>
      <w:r w:rsidR="00902A2F" w:rsidRPr="00C226AF">
        <w:t>ajority of managers</w:t>
      </w:r>
      <w:r w:rsidR="00902A2F">
        <w:t xml:space="preserve"> and employees</w:t>
      </w:r>
      <w:r w:rsidR="00902A2F" w:rsidRPr="00C226AF">
        <w:t xml:space="preserve"> responded with agree or disagree</w:t>
      </w:r>
      <w:r w:rsidR="00902A2F">
        <w:t>,</w:t>
      </w:r>
      <w:r w:rsidR="00902A2F" w:rsidRPr="00C226AF">
        <w:t xml:space="preserve"> so neither f</w:t>
      </w:r>
      <w:r w:rsidR="00AE27BC">
        <w:t>elt</w:t>
      </w:r>
      <w:r w:rsidR="00902A2F" w:rsidRPr="00C226AF">
        <w:t xml:space="preserve"> strongly in agreeance nor disagree</w:t>
      </w:r>
      <w:r w:rsidR="00902A2F">
        <w:t xml:space="preserve"> with the </w:t>
      </w:r>
      <w:r w:rsidR="00C47027">
        <w:t xml:space="preserve">particular </w:t>
      </w:r>
      <w:r w:rsidR="00902A2F">
        <w:t>questions presented</w:t>
      </w:r>
      <w:r w:rsidR="00C47027">
        <w:t xml:space="preserve"> to them</w:t>
      </w:r>
      <w:r w:rsidR="00902A2F">
        <w:t>.</w:t>
      </w:r>
      <w:r w:rsidR="00BF0A7E">
        <w:t xml:space="preserve">  Managers have time to listen, but employee feedback indicates they are not listening and </w:t>
      </w:r>
      <w:r w:rsidR="004E7825">
        <w:t>taking</w:t>
      </w:r>
      <w:r w:rsidR="004B08A9">
        <w:t xml:space="preserve"> </w:t>
      </w:r>
      <w:r w:rsidR="004E7825">
        <w:t xml:space="preserve">ideas on board. </w:t>
      </w:r>
      <w:r w:rsidR="00287491">
        <w:t xml:space="preserve">Only 19% </w:t>
      </w:r>
      <w:r w:rsidR="004B08A9">
        <w:t xml:space="preserve">of employees </w:t>
      </w:r>
      <w:r w:rsidR="00287491">
        <w:t xml:space="preserve">agreed their manager listens to them.  </w:t>
      </w:r>
      <w:r w:rsidR="004E7825">
        <w:t xml:space="preserve">Whilst managers lack confidence </w:t>
      </w:r>
      <w:r w:rsidR="00155286">
        <w:t xml:space="preserve">with providing feedback, employee </w:t>
      </w:r>
      <w:r w:rsidR="00454E73">
        <w:t xml:space="preserve">responses would </w:t>
      </w:r>
      <w:r w:rsidR="004B08A9">
        <w:t xml:space="preserve">actually </w:t>
      </w:r>
      <w:r w:rsidR="00454E73">
        <w:t xml:space="preserve">provide </w:t>
      </w:r>
      <w:r w:rsidR="00DB29F8">
        <w:t xml:space="preserve">them with </w:t>
      </w:r>
      <w:r w:rsidR="00454E73">
        <w:t>reassurance they are</w:t>
      </w:r>
      <w:r w:rsidR="00DB29F8">
        <w:t xml:space="preserve"> </w:t>
      </w:r>
      <w:r w:rsidR="0060429F">
        <w:t xml:space="preserve">approaching it </w:t>
      </w:r>
      <w:r w:rsidR="00EA163A">
        <w:t xml:space="preserve">both </w:t>
      </w:r>
      <w:r w:rsidR="0060429F">
        <w:t>positively and constructively</w:t>
      </w:r>
      <w:r w:rsidR="00DB29F8">
        <w:t>.</w:t>
      </w:r>
    </w:p>
    <w:p w14:paraId="2A73ECB5" w14:textId="55E38057" w:rsidR="00E70DEB" w:rsidRDefault="00E70DEB" w:rsidP="00902A2F">
      <w:r>
        <w:t>Recommendations</w:t>
      </w:r>
      <w:r w:rsidR="003F6A44">
        <w:t xml:space="preserve"> based on the survey data would be</w:t>
      </w:r>
      <w:r w:rsidR="00283518">
        <w:t xml:space="preserve"> </w:t>
      </w:r>
      <w:r w:rsidR="003F6A44">
        <w:t xml:space="preserve">arranging the </w:t>
      </w:r>
      <w:r w:rsidR="00E71C8C">
        <w:t xml:space="preserve">delivery of </w:t>
      </w:r>
      <w:r w:rsidR="005F2F8D">
        <w:t xml:space="preserve">appraisal training </w:t>
      </w:r>
      <w:r w:rsidR="006813EB">
        <w:t xml:space="preserve">for all line </w:t>
      </w:r>
      <w:r w:rsidR="005F2F8D">
        <w:t xml:space="preserve">managers, to include setting constructive </w:t>
      </w:r>
      <w:r w:rsidR="00DE29CD">
        <w:t>objectives</w:t>
      </w:r>
      <w:r w:rsidR="006813EB">
        <w:t>/targets</w:t>
      </w:r>
      <w:r w:rsidR="005F2F8D">
        <w:t xml:space="preserve"> and how to provide </w:t>
      </w:r>
      <w:r w:rsidR="00DC57A6">
        <w:t>balanced</w:t>
      </w:r>
      <w:r w:rsidR="005F2F8D">
        <w:t xml:space="preserve"> </w:t>
      </w:r>
      <w:r w:rsidR="006813EB">
        <w:t xml:space="preserve">constructive </w:t>
      </w:r>
      <w:r w:rsidR="005F2F8D">
        <w:t xml:space="preserve">feedback.   </w:t>
      </w:r>
      <w:r w:rsidR="006B4000">
        <w:t xml:space="preserve">This will incur financial </w:t>
      </w:r>
      <w:r w:rsidR="00C71B36">
        <w:t>implications and cost analysis (</w:t>
      </w:r>
      <w:r w:rsidR="001E4E5B">
        <w:t>ROI) is prudent.  However, it</w:t>
      </w:r>
      <w:r w:rsidR="00DC3C08">
        <w:t xml:space="preserve"> will in tur</w:t>
      </w:r>
      <w:r w:rsidR="002E1930">
        <w:t>n</w:t>
      </w:r>
      <w:r w:rsidR="00DC3C08">
        <w:t xml:space="preserve"> </w:t>
      </w:r>
      <w:r w:rsidR="00E645A2">
        <w:t xml:space="preserve">enhance the performance management skills </w:t>
      </w:r>
      <w:r w:rsidR="00716826">
        <w:t xml:space="preserve">of the group </w:t>
      </w:r>
      <w:r w:rsidR="00E645A2">
        <w:t xml:space="preserve">and also </w:t>
      </w:r>
      <w:r w:rsidR="00DC3C08">
        <w:t xml:space="preserve">build </w:t>
      </w:r>
      <w:r w:rsidR="00E645A2">
        <w:t xml:space="preserve">their </w:t>
      </w:r>
      <w:r w:rsidR="00DC3C08">
        <w:t>confi</w:t>
      </w:r>
      <w:r w:rsidR="00EF090F">
        <w:t xml:space="preserve">dence. </w:t>
      </w:r>
      <w:r w:rsidR="002E1930">
        <w:t xml:space="preserve">Another </w:t>
      </w:r>
      <w:r w:rsidR="00CD2928">
        <w:t xml:space="preserve">source of </w:t>
      </w:r>
      <w:r w:rsidR="006F5AFA">
        <w:t xml:space="preserve">possible </w:t>
      </w:r>
      <w:r w:rsidR="00CD2928">
        <w:t>improv</w:t>
      </w:r>
      <w:r w:rsidR="001E076C">
        <w:t xml:space="preserve">ement </w:t>
      </w:r>
      <w:r w:rsidR="006F5AFA">
        <w:t xml:space="preserve">with </w:t>
      </w:r>
      <w:r w:rsidR="00CD2928">
        <w:t xml:space="preserve">confidence </w:t>
      </w:r>
      <w:r w:rsidR="006F5AFA">
        <w:t>for</w:t>
      </w:r>
      <w:r w:rsidR="00CD2928">
        <w:t xml:space="preserve"> managers would be </w:t>
      </w:r>
      <w:r w:rsidR="00E773F5">
        <w:t>through the</w:t>
      </w:r>
      <w:r w:rsidR="001E076C">
        <w:t xml:space="preserve"> </w:t>
      </w:r>
      <w:r w:rsidR="00CD2928">
        <w:t xml:space="preserve">sharing </w:t>
      </w:r>
      <w:r w:rsidR="00E773F5">
        <w:t xml:space="preserve">of </w:t>
      </w:r>
      <w:r w:rsidR="001E076C">
        <w:t xml:space="preserve">the </w:t>
      </w:r>
      <w:r w:rsidR="006D4683">
        <w:t>employee survey</w:t>
      </w:r>
      <w:r w:rsidR="00CD2928">
        <w:t xml:space="preserve"> data on </w:t>
      </w:r>
      <w:r w:rsidR="00E773F5">
        <w:t xml:space="preserve">positive and constructive </w:t>
      </w:r>
      <w:r w:rsidR="00CD2928">
        <w:t>feedback</w:t>
      </w:r>
      <w:r w:rsidR="001E076C">
        <w:t xml:space="preserve"> with them</w:t>
      </w:r>
      <w:r w:rsidR="00C8203F">
        <w:t xml:space="preserve">, </w:t>
      </w:r>
      <w:r w:rsidR="00487F1D">
        <w:t xml:space="preserve">whilst reviewing the whole survey outcome data, </w:t>
      </w:r>
      <w:r w:rsidR="00C8203F">
        <w:t xml:space="preserve">possibly </w:t>
      </w:r>
      <w:r w:rsidR="00A84447">
        <w:t xml:space="preserve">using </w:t>
      </w:r>
      <w:r w:rsidR="00487F1D">
        <w:t>the</w:t>
      </w:r>
      <w:r w:rsidR="00A84447">
        <w:t xml:space="preserve"> SWOT analysis</w:t>
      </w:r>
      <w:r w:rsidR="00187C5F">
        <w:t xml:space="preserve"> tool</w:t>
      </w:r>
      <w:r w:rsidR="006D4683">
        <w:t>.</w:t>
      </w:r>
      <w:r w:rsidR="00CD2928">
        <w:t xml:space="preserve">  </w:t>
      </w:r>
      <w:r w:rsidR="005F2F8D">
        <w:t xml:space="preserve">Managers would also benefit from listening skills training, </w:t>
      </w:r>
      <w:r w:rsidR="00151262">
        <w:t xml:space="preserve">to understand the difference between </w:t>
      </w:r>
      <w:r w:rsidR="00084FA3">
        <w:t xml:space="preserve">looking like </w:t>
      </w:r>
      <w:r w:rsidR="006D4683">
        <w:t>their</w:t>
      </w:r>
      <w:r w:rsidR="00084FA3">
        <w:t xml:space="preserve"> listening</w:t>
      </w:r>
      <w:r w:rsidR="00151262">
        <w:t xml:space="preserve"> and acting upon ideas, though </w:t>
      </w:r>
      <w:r w:rsidR="00652145">
        <w:t>actually</w:t>
      </w:r>
      <w:r w:rsidR="00084FA3">
        <w:t xml:space="preserve"> </w:t>
      </w:r>
      <w:r w:rsidR="00151262">
        <w:t xml:space="preserve">listening and </w:t>
      </w:r>
      <w:r w:rsidR="00DE29CD">
        <w:t xml:space="preserve">understanding.  </w:t>
      </w:r>
      <w:r w:rsidR="00A023F4">
        <w:t>Again, this would need a cost benefit analysis</w:t>
      </w:r>
      <w:r w:rsidR="0009091A">
        <w:t xml:space="preserve">. </w:t>
      </w:r>
      <w:r w:rsidR="00A023F4">
        <w:t xml:space="preserve"> </w:t>
      </w:r>
      <w:r w:rsidR="0009091A">
        <w:t xml:space="preserve">Any training costs </w:t>
      </w:r>
      <w:r w:rsidR="00A061A6">
        <w:t xml:space="preserve">incurred could potentially also outweigh any risks of not upskilling managers.  Risks such as </w:t>
      </w:r>
      <w:r w:rsidR="002E21C2">
        <w:t>poor performance management</w:t>
      </w:r>
      <w:r w:rsidR="0096187D">
        <w:t xml:space="preserve"> effecting the quality of work</w:t>
      </w:r>
      <w:r w:rsidR="002E21C2">
        <w:t xml:space="preserve">, the impact on employee morale </w:t>
      </w:r>
      <w:r w:rsidR="008C74B3">
        <w:t xml:space="preserve">and engagement and the value and confidence of managers.  </w:t>
      </w:r>
      <w:r w:rsidR="00652145">
        <w:t xml:space="preserve">A final recommendation would be to consider whether this survey has achieved the </w:t>
      </w:r>
      <w:r w:rsidR="0087106D">
        <w:t xml:space="preserve">desired outcome.  Given the majority of managers and employees were neutral when it came to their </w:t>
      </w:r>
      <w:r w:rsidR="0089316E">
        <w:t>responses,</w:t>
      </w:r>
      <w:r w:rsidR="001C1B5D">
        <w:t xml:space="preserve"> consideration needs to be </w:t>
      </w:r>
      <w:r w:rsidR="00103318">
        <w:t>given</w:t>
      </w:r>
      <w:r w:rsidR="001C1B5D">
        <w:t xml:space="preserve"> as to whether </w:t>
      </w:r>
      <w:r w:rsidR="0089316E">
        <w:t>a survey</w:t>
      </w:r>
      <w:r w:rsidR="00B57926">
        <w:t xml:space="preserve"> was</w:t>
      </w:r>
      <w:r w:rsidR="0089316E">
        <w:t xml:space="preserve"> the best analysis</w:t>
      </w:r>
      <w:r w:rsidR="00772873">
        <w:t xml:space="preserve"> metho</w:t>
      </w:r>
      <w:r w:rsidR="00B57926">
        <w:t>d</w:t>
      </w:r>
      <w:r w:rsidR="00772873">
        <w:t xml:space="preserve"> to utilise</w:t>
      </w:r>
      <w:r w:rsidR="00C5044B">
        <w:t xml:space="preserve"> </w:t>
      </w:r>
      <w:r w:rsidR="00C5044B">
        <w:lastRenderedPageBreak/>
        <w:t>for feedback</w:t>
      </w:r>
      <w:r w:rsidR="00772873">
        <w:t xml:space="preserve">.  </w:t>
      </w:r>
      <w:r w:rsidR="004A3FD1">
        <w:t>M</w:t>
      </w:r>
      <w:r w:rsidR="00772873">
        <w:t xml:space="preserve">ore concentrated focus groups would result in improved honesty and </w:t>
      </w:r>
      <w:r w:rsidR="0027170A">
        <w:t xml:space="preserve">improve the </w:t>
      </w:r>
      <w:r w:rsidR="00103318">
        <w:t>credib</w:t>
      </w:r>
      <w:r w:rsidR="0027170A">
        <w:t>ility of</w:t>
      </w:r>
      <w:r w:rsidR="00772873">
        <w:t xml:space="preserve"> </w:t>
      </w:r>
      <w:r w:rsidR="0027170A">
        <w:t xml:space="preserve">outcome </w:t>
      </w:r>
      <w:r w:rsidR="00C31A8D">
        <w:t xml:space="preserve">data, as a means of </w:t>
      </w:r>
      <w:r w:rsidR="00103318">
        <w:t xml:space="preserve">successful </w:t>
      </w:r>
      <w:r w:rsidR="0027170A">
        <w:t>evidence-based practice.</w:t>
      </w:r>
    </w:p>
    <w:p w14:paraId="38D3E1DF" w14:textId="77777777" w:rsidR="006A3ADC" w:rsidRPr="002876E4" w:rsidRDefault="006A3ADC" w:rsidP="006A3ADC">
      <w:pPr>
        <w:pStyle w:val="NormalWeb"/>
        <w:rPr>
          <w:b/>
          <w:bCs/>
        </w:rPr>
      </w:pPr>
      <w:r w:rsidRPr="002876E4">
        <w:rPr>
          <w:b/>
          <w:bCs/>
        </w:rPr>
        <w:t>Bibliography</w:t>
      </w:r>
    </w:p>
    <w:p w14:paraId="338D0659" w14:textId="77777777" w:rsidR="006A3ADC" w:rsidRPr="00D506B4" w:rsidRDefault="006A3ADC" w:rsidP="006A3ADC">
      <w:pPr>
        <w:pStyle w:val="NormalWeb"/>
        <w:ind w:left="567" w:hanging="567"/>
        <w:rPr>
          <w:rFonts w:eastAsiaTheme="majorEastAsia"/>
        </w:rPr>
      </w:pPr>
      <w:r w:rsidRPr="00D506B4">
        <w:t xml:space="preserve">Briner, R. (2018) Rob Briner on Evidence-Based Management. Available at: </w:t>
      </w:r>
      <w:hyperlink r:id="rId7" w:history="1">
        <w:r w:rsidRPr="00D506B4">
          <w:rPr>
            <w:rStyle w:val="Hyperlink"/>
            <w:rFonts w:eastAsiaTheme="majorEastAsia"/>
            <w:u w:val="none"/>
          </w:rPr>
          <w:t>https://www.youtube.com/watch?v=G5NXMG3Yykg</w:t>
        </w:r>
      </w:hyperlink>
    </w:p>
    <w:p w14:paraId="4439521C" w14:textId="77777777" w:rsidR="006A3ADC" w:rsidRPr="00D506B4" w:rsidRDefault="006A3ADC" w:rsidP="006A3ADC">
      <w:pPr>
        <w:pStyle w:val="NormalWeb"/>
        <w:ind w:left="567" w:hanging="567"/>
        <w:rPr>
          <w:rFonts w:eastAsiaTheme="majorEastAsia"/>
        </w:rPr>
      </w:pPr>
      <w:r w:rsidRPr="00D506B4">
        <w:rPr>
          <w:rFonts w:eastAsiaTheme="majorEastAsia"/>
        </w:rPr>
        <w:t xml:space="preserve">Briner, R (2024) What Is Evidence Based HR And Why Is It Important? Available at: </w:t>
      </w:r>
      <w:hyperlink r:id="rId8" w:history="1">
        <w:r w:rsidRPr="00D506B4">
          <w:rPr>
            <w:rStyle w:val="Hyperlink"/>
            <w:rFonts w:eastAsiaTheme="majorEastAsia"/>
            <w:u w:val="none"/>
          </w:rPr>
          <w:t>https://www.youtube.com/watch?v=udnBorQwP-g</w:t>
        </w:r>
      </w:hyperlink>
    </w:p>
    <w:p w14:paraId="660FC47A" w14:textId="77777777" w:rsidR="006A3ADC" w:rsidRPr="00D506B4" w:rsidRDefault="006A3ADC" w:rsidP="006A3ADC">
      <w:pPr>
        <w:pStyle w:val="NormalWeb"/>
        <w:ind w:left="567" w:hanging="567"/>
        <w:rPr>
          <w:rFonts w:eastAsiaTheme="majorEastAsia"/>
        </w:rPr>
      </w:pPr>
      <w:r w:rsidRPr="00D506B4">
        <w:rPr>
          <w:rFonts w:eastAsiaTheme="majorEastAsia"/>
        </w:rPr>
        <w:t xml:space="preserve">Critical </w:t>
      </w:r>
      <w:r>
        <w:rPr>
          <w:rFonts w:eastAsiaTheme="majorEastAsia"/>
        </w:rPr>
        <w:t>t</w:t>
      </w:r>
      <w:r w:rsidRPr="00D506B4">
        <w:rPr>
          <w:rFonts w:eastAsiaTheme="majorEastAsia"/>
        </w:rPr>
        <w:t>hinking</w:t>
      </w:r>
      <w:r>
        <w:rPr>
          <w:rFonts w:eastAsiaTheme="majorEastAsia"/>
        </w:rPr>
        <w:t>: YouTube</w:t>
      </w:r>
      <w:r w:rsidRPr="00D506B4">
        <w:rPr>
          <w:rFonts w:eastAsiaTheme="majorEastAsia"/>
        </w:rPr>
        <w:t xml:space="preserve"> (2024) CIPD Level 5 5CO02 1.3 Critical Thinking. Available at: https://www.youtube.com/watch?v=wWoiP9ySeaU</w:t>
      </w:r>
    </w:p>
    <w:p w14:paraId="05F16107" w14:textId="77777777" w:rsidR="006A3ADC" w:rsidRPr="00D506B4" w:rsidRDefault="006A3ADC" w:rsidP="006A3ADC">
      <w:pPr>
        <w:pStyle w:val="NormalWeb"/>
        <w:ind w:left="567" w:hanging="567"/>
      </w:pPr>
      <w:r w:rsidRPr="00D506B4">
        <w:t>Critical thinking: Podcast (2019) CIPD. Available at: https://www.cipd.org/uk/knowledge/podcasts/critical-thinking</w:t>
      </w:r>
    </w:p>
    <w:p w14:paraId="182401D1" w14:textId="77777777" w:rsidR="006A3ADC" w:rsidRPr="00D506B4" w:rsidRDefault="006A3ADC" w:rsidP="006A3ADC">
      <w:pPr>
        <w:pStyle w:val="NormalWeb"/>
      </w:pPr>
      <w:r w:rsidRPr="00D506B4">
        <w:t xml:space="preserve">Engelhardt, H. (2020) Think Lead Succeed </w:t>
      </w:r>
      <w:proofErr w:type="gramStart"/>
      <w:r w:rsidRPr="00D506B4">
        <w:t>The</w:t>
      </w:r>
      <w:proofErr w:type="gramEnd"/>
      <w:r w:rsidRPr="00D506B4">
        <w:t xml:space="preserve"> Admiral Way. Henry Englehardt. </w:t>
      </w:r>
    </w:p>
    <w:p w14:paraId="38667236" w14:textId="77777777" w:rsidR="006A3ADC" w:rsidRPr="00D506B4" w:rsidRDefault="006A3ADC" w:rsidP="006A3ADC">
      <w:pPr>
        <w:pStyle w:val="NormalWeb"/>
        <w:ind w:left="567" w:hanging="567"/>
      </w:pPr>
      <w:r w:rsidRPr="00D506B4">
        <w:t xml:space="preserve">Evidence-based practice for effective decision-making: Factsheets (2024) CIPD. Available at: https://www.cipd.org/en/knowledge/factsheets/evidence-based-practice-factsheet </w:t>
      </w:r>
    </w:p>
    <w:p w14:paraId="4D385FCD" w14:textId="77777777" w:rsidR="006A3ADC" w:rsidRDefault="006A3ADC" w:rsidP="006A3ADC">
      <w:pPr>
        <w:pStyle w:val="NormalWeb"/>
        <w:ind w:left="567" w:hanging="567"/>
      </w:pPr>
      <w:r w:rsidRPr="00D506B4">
        <w:t xml:space="preserve">Evidence-based L&amp;D - ‘why does evidence matter?’: Podcast (2021) CIPD. Available at: </w:t>
      </w:r>
      <w:hyperlink r:id="rId9" w:history="1">
        <w:r w:rsidRPr="00D506B4">
          <w:rPr>
            <w:rStyle w:val="Hyperlink"/>
            <w:u w:val="none"/>
          </w:rPr>
          <w:t>https://www.cipd.org/uk/knowledge/podcasts/ld-why-does-evidence-matter</w:t>
        </w:r>
      </w:hyperlink>
    </w:p>
    <w:p w14:paraId="06C021AE" w14:textId="77777777" w:rsidR="006A3ADC" w:rsidRPr="00D506B4" w:rsidRDefault="006A3ADC" w:rsidP="006A3ADC">
      <w:pPr>
        <w:pStyle w:val="NormalWeb"/>
        <w:ind w:left="567" w:hanging="567"/>
      </w:pPr>
      <w:r>
        <w:t xml:space="preserve">File. A </w:t>
      </w:r>
      <w:r w:rsidRPr="00D506B4">
        <w:t xml:space="preserve">(2020) Decision making, CMI. Available at: https://www.managers.org.uk/knowledge-and-insights/resource/decision-making </w:t>
      </w:r>
    </w:p>
    <w:p w14:paraId="13D8BA66" w14:textId="77777777" w:rsidR="006A3ADC" w:rsidRPr="00D506B4" w:rsidRDefault="006A3ADC" w:rsidP="006A3ADC">
      <w:pPr>
        <w:pStyle w:val="NormalWeb"/>
        <w:ind w:left="567" w:hanging="567"/>
      </w:pPr>
      <w:r w:rsidRPr="00D506B4">
        <w:t xml:space="preserve">People analytics: Factsheets (2023) CIPD. Available at: </w:t>
      </w:r>
      <w:hyperlink r:id="rId10" w:history="1">
        <w:r w:rsidRPr="00D506B4">
          <w:rPr>
            <w:rStyle w:val="Hyperlink"/>
            <w:u w:val="none"/>
          </w:rPr>
          <w:t>https://www.cipd.org/en/knowledge/factsheets/analytics-factsheet</w:t>
        </w:r>
      </w:hyperlink>
    </w:p>
    <w:p w14:paraId="7C7398A4" w14:textId="77777777" w:rsidR="006A3ADC" w:rsidRPr="00D506B4" w:rsidRDefault="006A3ADC" w:rsidP="006A3ADC">
      <w:pPr>
        <w:pStyle w:val="NormalWeb"/>
        <w:ind w:left="567" w:hanging="567"/>
      </w:pPr>
      <w:r w:rsidRPr="00D506B4">
        <w:t>SWOT analysis: Factsheets (2024) CIPD. Available at: https://www.cipd.org/en/knowledge/factsheets/swot-analysis-factsheet</w:t>
      </w:r>
    </w:p>
    <w:p w14:paraId="79B3D79E" w14:textId="77777777" w:rsidR="006A3ADC" w:rsidRPr="00D506B4" w:rsidRDefault="006A3ADC" w:rsidP="006A3ADC">
      <w:pPr>
        <w:pStyle w:val="NormalWeb"/>
        <w:ind w:left="567" w:hanging="567"/>
      </w:pPr>
      <w:r w:rsidRPr="00D506B4">
        <w:t xml:space="preserve">Taylor, S. and Woodhams, C. (2022) Human Resource Management: People and organisations. New York, NY: Kogan Page Inc. </w:t>
      </w:r>
    </w:p>
    <w:p w14:paraId="0363B4F9" w14:textId="77777777" w:rsidR="006A3ADC" w:rsidRPr="00D506B4" w:rsidRDefault="006A3ADC" w:rsidP="006A3ADC">
      <w:pPr>
        <w:pStyle w:val="NormalWeb"/>
        <w:ind w:left="567" w:hanging="567"/>
      </w:pPr>
      <w:r w:rsidRPr="00D506B4">
        <w:t xml:space="preserve">TAYLOR, S.W., CAROL (2022) Studying Human Resource Management A Guide to the study, context and practice of hr. </w:t>
      </w:r>
      <w:proofErr w:type="spellStart"/>
      <w:r w:rsidRPr="00D506B4">
        <w:t>S.l.</w:t>
      </w:r>
      <w:proofErr w:type="spellEnd"/>
      <w:r w:rsidRPr="00D506B4">
        <w:t xml:space="preserve">: KOGAN PAGE. </w:t>
      </w:r>
    </w:p>
    <w:p w14:paraId="23226F94" w14:textId="77777777" w:rsidR="006A3ADC" w:rsidRPr="00D506B4" w:rsidRDefault="006A3ADC" w:rsidP="006A3ADC">
      <w:pPr>
        <w:pStyle w:val="NormalWeb"/>
        <w:ind w:left="567" w:hanging="567"/>
      </w:pPr>
      <w:r w:rsidRPr="00D506B4">
        <w:t xml:space="preserve">Templeman, G. (2022) The HR Business Partner Handbook: A practical guide to being your organization’s strategic people expert. New York, NY: Kogan Page Inc. </w:t>
      </w:r>
    </w:p>
    <w:p w14:paraId="7B1F404D" w14:textId="77777777" w:rsidR="006A3ADC" w:rsidRPr="00D506B4" w:rsidRDefault="006A3ADC" w:rsidP="006A3ADC">
      <w:pPr>
        <w:pStyle w:val="NormalWeb"/>
        <w:ind w:left="567" w:hanging="567"/>
      </w:pPr>
      <w:r w:rsidRPr="00D506B4">
        <w:t xml:space="preserve">Waite, K. (2021) People practice: A complete guide. London, United Kingdom: Kogan Page. </w:t>
      </w:r>
    </w:p>
    <w:p w14:paraId="78F2CB5F" w14:textId="77777777" w:rsidR="006A3ADC" w:rsidRPr="00D506B4" w:rsidRDefault="006A3ADC" w:rsidP="006A3ADC">
      <w:pPr>
        <w:pStyle w:val="NormalWeb"/>
        <w:ind w:left="567" w:hanging="567"/>
      </w:pPr>
      <w:r w:rsidRPr="00D506B4">
        <w:t>Wang, T (2016) The human insights missing from big data. Available at: https://www.ted.com/talks/tricia_wang_the_human_insights_missing_from_big_data?220ba6d7_page=3&amp;769ca0dd_page=13&amp;99edf393_page=24&amp;subtitle=en</w:t>
      </w:r>
    </w:p>
    <w:p w14:paraId="22523A1C" w14:textId="77777777" w:rsidR="0034293D" w:rsidRDefault="0034293D"/>
    <w:p w14:paraId="630AEBEA" w14:textId="77777777" w:rsidR="0034293D" w:rsidRDefault="0034293D"/>
    <w:p w14:paraId="04130C70" w14:textId="77777777" w:rsidR="00913135" w:rsidRDefault="00913135"/>
    <w:p w14:paraId="59C04A27" w14:textId="77777777" w:rsidR="003C57D6" w:rsidRDefault="003C57D6">
      <w:pPr>
        <w:rPr>
          <w:b/>
          <w:bCs/>
        </w:rPr>
      </w:pPr>
    </w:p>
    <w:p w14:paraId="7D7AFE23" w14:textId="77777777" w:rsidR="00EE1D37" w:rsidRPr="007243D0" w:rsidRDefault="00EE1D37">
      <w:pPr>
        <w:rPr>
          <w:b/>
          <w:bCs/>
        </w:rPr>
      </w:pPr>
    </w:p>
    <w:p w14:paraId="178F5048" w14:textId="77777777" w:rsidR="00342A5D" w:rsidRDefault="00342A5D"/>
    <w:p w14:paraId="3A1EF156" w14:textId="77777777" w:rsidR="00906927" w:rsidRDefault="00906927"/>
    <w:p w14:paraId="595833EC" w14:textId="77777777" w:rsidR="004250BD" w:rsidRDefault="004250BD"/>
    <w:p w14:paraId="70A974BC" w14:textId="77777777" w:rsidR="004250BD" w:rsidRDefault="004250BD"/>
    <w:p w14:paraId="5C873263" w14:textId="77777777" w:rsidR="002A3827" w:rsidRDefault="002A3827"/>
    <w:p w14:paraId="27AEC81D" w14:textId="77777777" w:rsidR="00934DC9" w:rsidRDefault="00934DC9"/>
    <w:p w14:paraId="59388C9F" w14:textId="77777777" w:rsidR="00223F41" w:rsidRPr="00280CD0" w:rsidRDefault="00223F41"/>
    <w:p w14:paraId="5E57AA07" w14:textId="77777777" w:rsidR="00401BA3" w:rsidRPr="00F65DBC" w:rsidRDefault="00401BA3">
      <w:pPr>
        <w:rPr>
          <w:b/>
          <w:bCs/>
        </w:rPr>
      </w:pPr>
    </w:p>
    <w:p w14:paraId="27AAA68B" w14:textId="77777777" w:rsidR="00AC58B5" w:rsidRDefault="00AC58B5"/>
    <w:p w14:paraId="585BB33B" w14:textId="77777777" w:rsidR="009A4E99" w:rsidRDefault="009A4E99"/>
    <w:p w14:paraId="3BBC5C34" w14:textId="77777777" w:rsidR="00713433" w:rsidRPr="00787F05" w:rsidRDefault="00713433"/>
    <w:p w14:paraId="03FCAF1F" w14:textId="77777777" w:rsidR="00AC0FF2" w:rsidRDefault="00AC0FF2"/>
    <w:p w14:paraId="7AD433B0" w14:textId="77777777" w:rsidR="00C627AC" w:rsidRDefault="00C627AC"/>
    <w:p w14:paraId="589D2A3E" w14:textId="77777777" w:rsidR="00B558D2" w:rsidRDefault="00B558D2"/>
    <w:p w14:paraId="146DA6FC" w14:textId="77777777" w:rsidR="00C52BD3" w:rsidRDefault="00C52BD3"/>
    <w:sectPr w:rsidR="00C52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Body">
    <w:altName w:val="Calibr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E0403"/>
    <w:multiLevelType w:val="hybridMultilevel"/>
    <w:tmpl w:val="4DF2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F061BE"/>
    <w:multiLevelType w:val="hybridMultilevel"/>
    <w:tmpl w:val="E42E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731105">
    <w:abstractNumId w:val="1"/>
  </w:num>
  <w:num w:numId="2" w16cid:durableId="109860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0F3"/>
    <w:rsid w:val="00001EF9"/>
    <w:rsid w:val="000028A0"/>
    <w:rsid w:val="00003248"/>
    <w:rsid w:val="00006831"/>
    <w:rsid w:val="000144FE"/>
    <w:rsid w:val="0001777B"/>
    <w:rsid w:val="00017F56"/>
    <w:rsid w:val="000211E9"/>
    <w:rsid w:val="0002237F"/>
    <w:rsid w:val="00022ADD"/>
    <w:rsid w:val="000251E0"/>
    <w:rsid w:val="0002660D"/>
    <w:rsid w:val="000273B8"/>
    <w:rsid w:val="000339FD"/>
    <w:rsid w:val="00037C98"/>
    <w:rsid w:val="00045461"/>
    <w:rsid w:val="000467DF"/>
    <w:rsid w:val="00046B26"/>
    <w:rsid w:val="00046E4A"/>
    <w:rsid w:val="000507FB"/>
    <w:rsid w:val="0005088F"/>
    <w:rsid w:val="00051D82"/>
    <w:rsid w:val="00054619"/>
    <w:rsid w:val="000557CB"/>
    <w:rsid w:val="000601CC"/>
    <w:rsid w:val="00060278"/>
    <w:rsid w:val="0006036F"/>
    <w:rsid w:val="00060A2B"/>
    <w:rsid w:val="00061868"/>
    <w:rsid w:val="0006228B"/>
    <w:rsid w:val="0006305E"/>
    <w:rsid w:val="000645C2"/>
    <w:rsid w:val="00064731"/>
    <w:rsid w:val="000655B8"/>
    <w:rsid w:val="0007401E"/>
    <w:rsid w:val="00076A3C"/>
    <w:rsid w:val="00077ED1"/>
    <w:rsid w:val="0008001A"/>
    <w:rsid w:val="0008148E"/>
    <w:rsid w:val="000821DA"/>
    <w:rsid w:val="00084FA3"/>
    <w:rsid w:val="0009091A"/>
    <w:rsid w:val="0009505E"/>
    <w:rsid w:val="00095CC2"/>
    <w:rsid w:val="000A00F3"/>
    <w:rsid w:val="000A12D3"/>
    <w:rsid w:val="000A340F"/>
    <w:rsid w:val="000A3C88"/>
    <w:rsid w:val="000A432C"/>
    <w:rsid w:val="000A4A1B"/>
    <w:rsid w:val="000B02E6"/>
    <w:rsid w:val="000B23C3"/>
    <w:rsid w:val="000B4E8D"/>
    <w:rsid w:val="000B5D62"/>
    <w:rsid w:val="000C308A"/>
    <w:rsid w:val="000C6F4E"/>
    <w:rsid w:val="000C76D7"/>
    <w:rsid w:val="000C790A"/>
    <w:rsid w:val="000D05A0"/>
    <w:rsid w:val="000D107E"/>
    <w:rsid w:val="000D1CF0"/>
    <w:rsid w:val="000D29F1"/>
    <w:rsid w:val="000D3497"/>
    <w:rsid w:val="000D354D"/>
    <w:rsid w:val="000D40F3"/>
    <w:rsid w:val="000D4A56"/>
    <w:rsid w:val="000E0522"/>
    <w:rsid w:val="000E1A2F"/>
    <w:rsid w:val="000E2E6D"/>
    <w:rsid w:val="000E37EA"/>
    <w:rsid w:val="000E6288"/>
    <w:rsid w:val="000F0D45"/>
    <w:rsid w:val="000F0F44"/>
    <w:rsid w:val="000F132D"/>
    <w:rsid w:val="000F25A0"/>
    <w:rsid w:val="000F2925"/>
    <w:rsid w:val="000F3714"/>
    <w:rsid w:val="000F49DA"/>
    <w:rsid w:val="000F5448"/>
    <w:rsid w:val="000F67DD"/>
    <w:rsid w:val="000F699F"/>
    <w:rsid w:val="001003A9"/>
    <w:rsid w:val="00100437"/>
    <w:rsid w:val="001008FF"/>
    <w:rsid w:val="00102D26"/>
    <w:rsid w:val="00102DC2"/>
    <w:rsid w:val="00103318"/>
    <w:rsid w:val="00103727"/>
    <w:rsid w:val="0010487E"/>
    <w:rsid w:val="00104AF0"/>
    <w:rsid w:val="00105B2C"/>
    <w:rsid w:val="00106861"/>
    <w:rsid w:val="0010691C"/>
    <w:rsid w:val="00111E1E"/>
    <w:rsid w:val="00112E57"/>
    <w:rsid w:val="00113C49"/>
    <w:rsid w:val="00116BDE"/>
    <w:rsid w:val="001173D9"/>
    <w:rsid w:val="001173DB"/>
    <w:rsid w:val="001202BD"/>
    <w:rsid w:val="0012062A"/>
    <w:rsid w:val="001232EE"/>
    <w:rsid w:val="00123F74"/>
    <w:rsid w:val="00124FF4"/>
    <w:rsid w:val="00126C6B"/>
    <w:rsid w:val="00127664"/>
    <w:rsid w:val="00127ADE"/>
    <w:rsid w:val="00127AE6"/>
    <w:rsid w:val="0013022C"/>
    <w:rsid w:val="001307DF"/>
    <w:rsid w:val="00130C8E"/>
    <w:rsid w:val="0013268B"/>
    <w:rsid w:val="00132A02"/>
    <w:rsid w:val="001333C8"/>
    <w:rsid w:val="00133434"/>
    <w:rsid w:val="00134025"/>
    <w:rsid w:val="001350D1"/>
    <w:rsid w:val="00135506"/>
    <w:rsid w:val="00136052"/>
    <w:rsid w:val="00136775"/>
    <w:rsid w:val="00136E25"/>
    <w:rsid w:val="0014093B"/>
    <w:rsid w:val="0014545D"/>
    <w:rsid w:val="0014628D"/>
    <w:rsid w:val="00146AB2"/>
    <w:rsid w:val="00150625"/>
    <w:rsid w:val="00150B31"/>
    <w:rsid w:val="00151262"/>
    <w:rsid w:val="00152DF5"/>
    <w:rsid w:val="00155286"/>
    <w:rsid w:val="001567E1"/>
    <w:rsid w:val="00157A9C"/>
    <w:rsid w:val="00160010"/>
    <w:rsid w:val="001601FD"/>
    <w:rsid w:val="00161CDC"/>
    <w:rsid w:val="00161CFB"/>
    <w:rsid w:val="00162F3C"/>
    <w:rsid w:val="001646F7"/>
    <w:rsid w:val="001649F6"/>
    <w:rsid w:val="0016584B"/>
    <w:rsid w:val="0016642D"/>
    <w:rsid w:val="0016677C"/>
    <w:rsid w:val="001668BC"/>
    <w:rsid w:val="00166984"/>
    <w:rsid w:val="001678B2"/>
    <w:rsid w:val="00167B86"/>
    <w:rsid w:val="00167FDD"/>
    <w:rsid w:val="001711FD"/>
    <w:rsid w:val="00174B5D"/>
    <w:rsid w:val="001773CF"/>
    <w:rsid w:val="0017751C"/>
    <w:rsid w:val="001803F1"/>
    <w:rsid w:val="001806E8"/>
    <w:rsid w:val="00180EEC"/>
    <w:rsid w:val="00181224"/>
    <w:rsid w:val="001842FD"/>
    <w:rsid w:val="001843ED"/>
    <w:rsid w:val="00184ABB"/>
    <w:rsid w:val="00186015"/>
    <w:rsid w:val="00187C5F"/>
    <w:rsid w:val="0019138D"/>
    <w:rsid w:val="001930A5"/>
    <w:rsid w:val="00195F42"/>
    <w:rsid w:val="001A0CDC"/>
    <w:rsid w:val="001A2CA5"/>
    <w:rsid w:val="001A3A34"/>
    <w:rsid w:val="001A45B1"/>
    <w:rsid w:val="001A5438"/>
    <w:rsid w:val="001A5BEB"/>
    <w:rsid w:val="001B263A"/>
    <w:rsid w:val="001B2FBD"/>
    <w:rsid w:val="001B3082"/>
    <w:rsid w:val="001B42D2"/>
    <w:rsid w:val="001B4413"/>
    <w:rsid w:val="001B48A1"/>
    <w:rsid w:val="001B54A7"/>
    <w:rsid w:val="001B6532"/>
    <w:rsid w:val="001B6CF7"/>
    <w:rsid w:val="001C0772"/>
    <w:rsid w:val="001C0ED1"/>
    <w:rsid w:val="001C1B5D"/>
    <w:rsid w:val="001C2358"/>
    <w:rsid w:val="001C3684"/>
    <w:rsid w:val="001C3B85"/>
    <w:rsid w:val="001C7E93"/>
    <w:rsid w:val="001D1746"/>
    <w:rsid w:val="001D2157"/>
    <w:rsid w:val="001D35A0"/>
    <w:rsid w:val="001D40BA"/>
    <w:rsid w:val="001D4BDC"/>
    <w:rsid w:val="001D535F"/>
    <w:rsid w:val="001D5869"/>
    <w:rsid w:val="001D60B1"/>
    <w:rsid w:val="001D6587"/>
    <w:rsid w:val="001D7F9B"/>
    <w:rsid w:val="001E0728"/>
    <w:rsid w:val="001E076C"/>
    <w:rsid w:val="001E180E"/>
    <w:rsid w:val="001E2754"/>
    <w:rsid w:val="001E44A3"/>
    <w:rsid w:val="001E4E5B"/>
    <w:rsid w:val="001E52CF"/>
    <w:rsid w:val="001E585E"/>
    <w:rsid w:val="001F6E77"/>
    <w:rsid w:val="00201083"/>
    <w:rsid w:val="00203CE3"/>
    <w:rsid w:val="002073D3"/>
    <w:rsid w:val="00210DA3"/>
    <w:rsid w:val="00210EAC"/>
    <w:rsid w:val="0021387B"/>
    <w:rsid w:val="00214973"/>
    <w:rsid w:val="00215A54"/>
    <w:rsid w:val="002238F2"/>
    <w:rsid w:val="00223A23"/>
    <w:rsid w:val="00223F41"/>
    <w:rsid w:val="00224062"/>
    <w:rsid w:val="00224404"/>
    <w:rsid w:val="002250D9"/>
    <w:rsid w:val="00225AF0"/>
    <w:rsid w:val="00226407"/>
    <w:rsid w:val="002325CA"/>
    <w:rsid w:val="002326DD"/>
    <w:rsid w:val="00236FA9"/>
    <w:rsid w:val="002412C5"/>
    <w:rsid w:val="00242ABA"/>
    <w:rsid w:val="00243844"/>
    <w:rsid w:val="002456EF"/>
    <w:rsid w:val="0024584A"/>
    <w:rsid w:val="00247808"/>
    <w:rsid w:val="002500AD"/>
    <w:rsid w:val="0025559E"/>
    <w:rsid w:val="00255FA7"/>
    <w:rsid w:val="00256C50"/>
    <w:rsid w:val="0025769A"/>
    <w:rsid w:val="00260CD0"/>
    <w:rsid w:val="00262000"/>
    <w:rsid w:val="00265E15"/>
    <w:rsid w:val="00266D66"/>
    <w:rsid w:val="0027170A"/>
    <w:rsid w:val="00276204"/>
    <w:rsid w:val="00276D65"/>
    <w:rsid w:val="00276DFA"/>
    <w:rsid w:val="00280CD0"/>
    <w:rsid w:val="00283518"/>
    <w:rsid w:val="00283E91"/>
    <w:rsid w:val="00284462"/>
    <w:rsid w:val="00284D20"/>
    <w:rsid w:val="00285424"/>
    <w:rsid w:val="002863F8"/>
    <w:rsid w:val="0028667E"/>
    <w:rsid w:val="00287491"/>
    <w:rsid w:val="00290F4A"/>
    <w:rsid w:val="00291289"/>
    <w:rsid w:val="00292470"/>
    <w:rsid w:val="00293CDF"/>
    <w:rsid w:val="00293D46"/>
    <w:rsid w:val="002954CD"/>
    <w:rsid w:val="002962C5"/>
    <w:rsid w:val="002A1D9F"/>
    <w:rsid w:val="002A2B4B"/>
    <w:rsid w:val="002A2C36"/>
    <w:rsid w:val="002A3827"/>
    <w:rsid w:val="002A6E38"/>
    <w:rsid w:val="002B0144"/>
    <w:rsid w:val="002B01C8"/>
    <w:rsid w:val="002B1367"/>
    <w:rsid w:val="002B42A0"/>
    <w:rsid w:val="002B602D"/>
    <w:rsid w:val="002B605B"/>
    <w:rsid w:val="002B6A94"/>
    <w:rsid w:val="002C1696"/>
    <w:rsid w:val="002C3656"/>
    <w:rsid w:val="002C5758"/>
    <w:rsid w:val="002C6891"/>
    <w:rsid w:val="002C7ABB"/>
    <w:rsid w:val="002D064B"/>
    <w:rsid w:val="002D0B13"/>
    <w:rsid w:val="002D0F73"/>
    <w:rsid w:val="002D24F4"/>
    <w:rsid w:val="002D4858"/>
    <w:rsid w:val="002D6F7B"/>
    <w:rsid w:val="002D71EE"/>
    <w:rsid w:val="002D74BB"/>
    <w:rsid w:val="002D7639"/>
    <w:rsid w:val="002E082D"/>
    <w:rsid w:val="002E1930"/>
    <w:rsid w:val="002E1A7F"/>
    <w:rsid w:val="002E21C2"/>
    <w:rsid w:val="002E43E3"/>
    <w:rsid w:val="002E4BF6"/>
    <w:rsid w:val="002E7A87"/>
    <w:rsid w:val="002F0BB8"/>
    <w:rsid w:val="002F24A1"/>
    <w:rsid w:val="002F3EEA"/>
    <w:rsid w:val="002F5161"/>
    <w:rsid w:val="003012D7"/>
    <w:rsid w:val="00302DD7"/>
    <w:rsid w:val="0030352A"/>
    <w:rsid w:val="00303EC1"/>
    <w:rsid w:val="00304A1C"/>
    <w:rsid w:val="00306FC8"/>
    <w:rsid w:val="0030768A"/>
    <w:rsid w:val="003129B6"/>
    <w:rsid w:val="0031310D"/>
    <w:rsid w:val="00313F75"/>
    <w:rsid w:val="003169B9"/>
    <w:rsid w:val="00316DAD"/>
    <w:rsid w:val="00317C9E"/>
    <w:rsid w:val="00320A56"/>
    <w:rsid w:val="003233E0"/>
    <w:rsid w:val="003308E8"/>
    <w:rsid w:val="00332F70"/>
    <w:rsid w:val="00334CA5"/>
    <w:rsid w:val="00334DFC"/>
    <w:rsid w:val="0033597E"/>
    <w:rsid w:val="00336D4E"/>
    <w:rsid w:val="00336EBD"/>
    <w:rsid w:val="00340BAB"/>
    <w:rsid w:val="00340D42"/>
    <w:rsid w:val="00342758"/>
    <w:rsid w:val="0034293D"/>
    <w:rsid w:val="00342A5D"/>
    <w:rsid w:val="00346186"/>
    <w:rsid w:val="003475F3"/>
    <w:rsid w:val="00351662"/>
    <w:rsid w:val="00351E91"/>
    <w:rsid w:val="0035599E"/>
    <w:rsid w:val="003571AB"/>
    <w:rsid w:val="00360FA2"/>
    <w:rsid w:val="003610C1"/>
    <w:rsid w:val="00361C55"/>
    <w:rsid w:val="003632DA"/>
    <w:rsid w:val="00364134"/>
    <w:rsid w:val="00364353"/>
    <w:rsid w:val="003655A9"/>
    <w:rsid w:val="00365F1C"/>
    <w:rsid w:val="00367A55"/>
    <w:rsid w:val="00370C3F"/>
    <w:rsid w:val="0037479B"/>
    <w:rsid w:val="00376EC1"/>
    <w:rsid w:val="0037747A"/>
    <w:rsid w:val="00380A0A"/>
    <w:rsid w:val="00382AA2"/>
    <w:rsid w:val="003863AA"/>
    <w:rsid w:val="00386C47"/>
    <w:rsid w:val="00387006"/>
    <w:rsid w:val="003873B0"/>
    <w:rsid w:val="00391023"/>
    <w:rsid w:val="0039131D"/>
    <w:rsid w:val="0039624F"/>
    <w:rsid w:val="003A05A7"/>
    <w:rsid w:val="003A07D4"/>
    <w:rsid w:val="003A4EC0"/>
    <w:rsid w:val="003B0B9B"/>
    <w:rsid w:val="003B1576"/>
    <w:rsid w:val="003B33CD"/>
    <w:rsid w:val="003B3B65"/>
    <w:rsid w:val="003B46C3"/>
    <w:rsid w:val="003B5EFA"/>
    <w:rsid w:val="003B7871"/>
    <w:rsid w:val="003C151F"/>
    <w:rsid w:val="003C34A6"/>
    <w:rsid w:val="003C57D6"/>
    <w:rsid w:val="003C6EC5"/>
    <w:rsid w:val="003C7515"/>
    <w:rsid w:val="003C7756"/>
    <w:rsid w:val="003C7DDD"/>
    <w:rsid w:val="003D17B0"/>
    <w:rsid w:val="003E07BC"/>
    <w:rsid w:val="003E0E16"/>
    <w:rsid w:val="003E2028"/>
    <w:rsid w:val="003E2BB7"/>
    <w:rsid w:val="003E382F"/>
    <w:rsid w:val="003E3D06"/>
    <w:rsid w:val="003E4862"/>
    <w:rsid w:val="003E4AF1"/>
    <w:rsid w:val="003E5DE5"/>
    <w:rsid w:val="003E67B2"/>
    <w:rsid w:val="003E7001"/>
    <w:rsid w:val="003F54C6"/>
    <w:rsid w:val="003F59B4"/>
    <w:rsid w:val="003F6348"/>
    <w:rsid w:val="003F6658"/>
    <w:rsid w:val="003F696A"/>
    <w:rsid w:val="003F6A44"/>
    <w:rsid w:val="003F6CDB"/>
    <w:rsid w:val="0040079E"/>
    <w:rsid w:val="00401BA3"/>
    <w:rsid w:val="004044E6"/>
    <w:rsid w:val="004054DF"/>
    <w:rsid w:val="004062B8"/>
    <w:rsid w:val="00412697"/>
    <w:rsid w:val="004137DD"/>
    <w:rsid w:val="00413D07"/>
    <w:rsid w:val="00414017"/>
    <w:rsid w:val="004149C1"/>
    <w:rsid w:val="00416381"/>
    <w:rsid w:val="00420006"/>
    <w:rsid w:val="0042202B"/>
    <w:rsid w:val="00422589"/>
    <w:rsid w:val="0042293A"/>
    <w:rsid w:val="00423CAD"/>
    <w:rsid w:val="004241AE"/>
    <w:rsid w:val="00424641"/>
    <w:rsid w:val="00424824"/>
    <w:rsid w:val="004250BD"/>
    <w:rsid w:val="0042586C"/>
    <w:rsid w:val="00425939"/>
    <w:rsid w:val="004264C3"/>
    <w:rsid w:val="004273E7"/>
    <w:rsid w:val="004275B4"/>
    <w:rsid w:val="004346E3"/>
    <w:rsid w:val="00436573"/>
    <w:rsid w:val="00440CE5"/>
    <w:rsid w:val="00445F87"/>
    <w:rsid w:val="00446FFD"/>
    <w:rsid w:val="004474F7"/>
    <w:rsid w:val="0045179F"/>
    <w:rsid w:val="00453BC9"/>
    <w:rsid w:val="00454C64"/>
    <w:rsid w:val="00454E73"/>
    <w:rsid w:val="00457549"/>
    <w:rsid w:val="00457BCA"/>
    <w:rsid w:val="00460960"/>
    <w:rsid w:val="004617C9"/>
    <w:rsid w:val="00462235"/>
    <w:rsid w:val="00463057"/>
    <w:rsid w:val="004633F4"/>
    <w:rsid w:val="0046660A"/>
    <w:rsid w:val="00470F03"/>
    <w:rsid w:val="00472E57"/>
    <w:rsid w:val="00485287"/>
    <w:rsid w:val="00485D67"/>
    <w:rsid w:val="00486027"/>
    <w:rsid w:val="00487F1D"/>
    <w:rsid w:val="00490812"/>
    <w:rsid w:val="004931FA"/>
    <w:rsid w:val="00493C16"/>
    <w:rsid w:val="00497B5A"/>
    <w:rsid w:val="004A0326"/>
    <w:rsid w:val="004A0E4B"/>
    <w:rsid w:val="004A168C"/>
    <w:rsid w:val="004A2158"/>
    <w:rsid w:val="004A320A"/>
    <w:rsid w:val="004A3C5F"/>
    <w:rsid w:val="004A3D51"/>
    <w:rsid w:val="004A3FD1"/>
    <w:rsid w:val="004A559B"/>
    <w:rsid w:val="004A5769"/>
    <w:rsid w:val="004A664E"/>
    <w:rsid w:val="004B08A9"/>
    <w:rsid w:val="004B0A57"/>
    <w:rsid w:val="004B448C"/>
    <w:rsid w:val="004C021B"/>
    <w:rsid w:val="004C2D84"/>
    <w:rsid w:val="004C3584"/>
    <w:rsid w:val="004C38FE"/>
    <w:rsid w:val="004C424A"/>
    <w:rsid w:val="004C5257"/>
    <w:rsid w:val="004C6EBB"/>
    <w:rsid w:val="004C76C4"/>
    <w:rsid w:val="004D56A5"/>
    <w:rsid w:val="004E00BA"/>
    <w:rsid w:val="004E42E6"/>
    <w:rsid w:val="004E44E1"/>
    <w:rsid w:val="004E62C8"/>
    <w:rsid w:val="004E7825"/>
    <w:rsid w:val="004F18E0"/>
    <w:rsid w:val="004F1FE3"/>
    <w:rsid w:val="004F6566"/>
    <w:rsid w:val="004F7B21"/>
    <w:rsid w:val="0050044C"/>
    <w:rsid w:val="00500BD2"/>
    <w:rsid w:val="00500CFA"/>
    <w:rsid w:val="00501473"/>
    <w:rsid w:val="00501660"/>
    <w:rsid w:val="00502930"/>
    <w:rsid w:val="00502C40"/>
    <w:rsid w:val="00503795"/>
    <w:rsid w:val="00507749"/>
    <w:rsid w:val="00510AB1"/>
    <w:rsid w:val="005126C7"/>
    <w:rsid w:val="005127E8"/>
    <w:rsid w:val="00516D9B"/>
    <w:rsid w:val="00517D2B"/>
    <w:rsid w:val="00517EE0"/>
    <w:rsid w:val="00517EF0"/>
    <w:rsid w:val="005217EB"/>
    <w:rsid w:val="00521EA2"/>
    <w:rsid w:val="005220FF"/>
    <w:rsid w:val="00524D5B"/>
    <w:rsid w:val="0052562B"/>
    <w:rsid w:val="00525E56"/>
    <w:rsid w:val="0052635B"/>
    <w:rsid w:val="0052636B"/>
    <w:rsid w:val="00526FFB"/>
    <w:rsid w:val="00527A06"/>
    <w:rsid w:val="00527C03"/>
    <w:rsid w:val="00530934"/>
    <w:rsid w:val="00531B17"/>
    <w:rsid w:val="00532CE2"/>
    <w:rsid w:val="005359F8"/>
    <w:rsid w:val="005364DE"/>
    <w:rsid w:val="00537A34"/>
    <w:rsid w:val="00540313"/>
    <w:rsid w:val="0054171E"/>
    <w:rsid w:val="00544248"/>
    <w:rsid w:val="00545CD9"/>
    <w:rsid w:val="00546765"/>
    <w:rsid w:val="00547235"/>
    <w:rsid w:val="00551F4B"/>
    <w:rsid w:val="005601D2"/>
    <w:rsid w:val="005605DE"/>
    <w:rsid w:val="00561BF3"/>
    <w:rsid w:val="00563208"/>
    <w:rsid w:val="00563322"/>
    <w:rsid w:val="00563607"/>
    <w:rsid w:val="0056600D"/>
    <w:rsid w:val="00571461"/>
    <w:rsid w:val="00575402"/>
    <w:rsid w:val="005757FF"/>
    <w:rsid w:val="00575E51"/>
    <w:rsid w:val="0058270E"/>
    <w:rsid w:val="00583258"/>
    <w:rsid w:val="005849CC"/>
    <w:rsid w:val="00587909"/>
    <w:rsid w:val="0059091A"/>
    <w:rsid w:val="00591223"/>
    <w:rsid w:val="00593071"/>
    <w:rsid w:val="00594F49"/>
    <w:rsid w:val="005A0DD6"/>
    <w:rsid w:val="005A3155"/>
    <w:rsid w:val="005A5C95"/>
    <w:rsid w:val="005A6AFA"/>
    <w:rsid w:val="005A6F87"/>
    <w:rsid w:val="005A710B"/>
    <w:rsid w:val="005A75F1"/>
    <w:rsid w:val="005B04BF"/>
    <w:rsid w:val="005B0E27"/>
    <w:rsid w:val="005B1D3C"/>
    <w:rsid w:val="005C0829"/>
    <w:rsid w:val="005C180E"/>
    <w:rsid w:val="005C3BB4"/>
    <w:rsid w:val="005C4415"/>
    <w:rsid w:val="005C517E"/>
    <w:rsid w:val="005C684A"/>
    <w:rsid w:val="005C6A98"/>
    <w:rsid w:val="005D49B9"/>
    <w:rsid w:val="005D6F8C"/>
    <w:rsid w:val="005E0556"/>
    <w:rsid w:val="005E172B"/>
    <w:rsid w:val="005E3783"/>
    <w:rsid w:val="005E3DAB"/>
    <w:rsid w:val="005E69AC"/>
    <w:rsid w:val="005E7367"/>
    <w:rsid w:val="005F1886"/>
    <w:rsid w:val="005F2F8D"/>
    <w:rsid w:val="005F5B6F"/>
    <w:rsid w:val="005F650D"/>
    <w:rsid w:val="0060429F"/>
    <w:rsid w:val="0060744C"/>
    <w:rsid w:val="0061006A"/>
    <w:rsid w:val="00611491"/>
    <w:rsid w:val="006114A6"/>
    <w:rsid w:val="00611E48"/>
    <w:rsid w:val="00612A55"/>
    <w:rsid w:val="006160B0"/>
    <w:rsid w:val="00616C0D"/>
    <w:rsid w:val="00616EBA"/>
    <w:rsid w:val="00617003"/>
    <w:rsid w:val="0062072D"/>
    <w:rsid w:val="00621239"/>
    <w:rsid w:val="006219FB"/>
    <w:rsid w:val="00623F1F"/>
    <w:rsid w:val="00626BB2"/>
    <w:rsid w:val="006271BB"/>
    <w:rsid w:val="00627CB6"/>
    <w:rsid w:val="00631F4C"/>
    <w:rsid w:val="00634D65"/>
    <w:rsid w:val="006353E9"/>
    <w:rsid w:val="00637A55"/>
    <w:rsid w:val="00637A8C"/>
    <w:rsid w:val="006405AC"/>
    <w:rsid w:val="00641631"/>
    <w:rsid w:val="00641B1E"/>
    <w:rsid w:val="00642B80"/>
    <w:rsid w:val="0064797E"/>
    <w:rsid w:val="00650882"/>
    <w:rsid w:val="00650B06"/>
    <w:rsid w:val="00650D5F"/>
    <w:rsid w:val="0065102F"/>
    <w:rsid w:val="00652145"/>
    <w:rsid w:val="006525B8"/>
    <w:rsid w:val="0065306B"/>
    <w:rsid w:val="006549B9"/>
    <w:rsid w:val="00654DAD"/>
    <w:rsid w:val="00660847"/>
    <w:rsid w:val="00660990"/>
    <w:rsid w:val="006618D3"/>
    <w:rsid w:val="00662781"/>
    <w:rsid w:val="0066494F"/>
    <w:rsid w:val="00666DD8"/>
    <w:rsid w:val="006675CC"/>
    <w:rsid w:val="00671EC8"/>
    <w:rsid w:val="0067467A"/>
    <w:rsid w:val="00674F90"/>
    <w:rsid w:val="006813EB"/>
    <w:rsid w:val="0068292F"/>
    <w:rsid w:val="006868A6"/>
    <w:rsid w:val="00686A88"/>
    <w:rsid w:val="00686FAC"/>
    <w:rsid w:val="00690197"/>
    <w:rsid w:val="00694D6A"/>
    <w:rsid w:val="00696593"/>
    <w:rsid w:val="0069761C"/>
    <w:rsid w:val="006A1C97"/>
    <w:rsid w:val="006A2DF5"/>
    <w:rsid w:val="006A3ADC"/>
    <w:rsid w:val="006A4144"/>
    <w:rsid w:val="006A6440"/>
    <w:rsid w:val="006A7CE7"/>
    <w:rsid w:val="006B2083"/>
    <w:rsid w:val="006B4000"/>
    <w:rsid w:val="006B5927"/>
    <w:rsid w:val="006B59F8"/>
    <w:rsid w:val="006B5C95"/>
    <w:rsid w:val="006B688B"/>
    <w:rsid w:val="006B6FAE"/>
    <w:rsid w:val="006C1870"/>
    <w:rsid w:val="006C2646"/>
    <w:rsid w:val="006D04C1"/>
    <w:rsid w:val="006D2D67"/>
    <w:rsid w:val="006D444F"/>
    <w:rsid w:val="006D4683"/>
    <w:rsid w:val="006D5697"/>
    <w:rsid w:val="006D6E79"/>
    <w:rsid w:val="006E1E33"/>
    <w:rsid w:val="006E5EE1"/>
    <w:rsid w:val="006E66F2"/>
    <w:rsid w:val="006E6B26"/>
    <w:rsid w:val="006F007E"/>
    <w:rsid w:val="006F0B0D"/>
    <w:rsid w:val="006F1487"/>
    <w:rsid w:val="006F1C7E"/>
    <w:rsid w:val="006F24C2"/>
    <w:rsid w:val="006F29DA"/>
    <w:rsid w:val="006F456A"/>
    <w:rsid w:val="006F55C2"/>
    <w:rsid w:val="006F5AFA"/>
    <w:rsid w:val="007007C9"/>
    <w:rsid w:val="00700C57"/>
    <w:rsid w:val="00701413"/>
    <w:rsid w:val="0070327F"/>
    <w:rsid w:val="00706BAD"/>
    <w:rsid w:val="00712701"/>
    <w:rsid w:val="007128D1"/>
    <w:rsid w:val="00713433"/>
    <w:rsid w:val="00714769"/>
    <w:rsid w:val="00714CBF"/>
    <w:rsid w:val="00716826"/>
    <w:rsid w:val="007176E3"/>
    <w:rsid w:val="00723A60"/>
    <w:rsid w:val="007243D0"/>
    <w:rsid w:val="007247AF"/>
    <w:rsid w:val="0072713B"/>
    <w:rsid w:val="00730317"/>
    <w:rsid w:val="00731EDA"/>
    <w:rsid w:val="00732704"/>
    <w:rsid w:val="00732D28"/>
    <w:rsid w:val="00736A1E"/>
    <w:rsid w:val="0073712C"/>
    <w:rsid w:val="007403CF"/>
    <w:rsid w:val="00741CA2"/>
    <w:rsid w:val="00742C7B"/>
    <w:rsid w:val="00746C96"/>
    <w:rsid w:val="00747A92"/>
    <w:rsid w:val="00751A3B"/>
    <w:rsid w:val="00752330"/>
    <w:rsid w:val="00752F2F"/>
    <w:rsid w:val="00753CA6"/>
    <w:rsid w:val="00756EA4"/>
    <w:rsid w:val="00760777"/>
    <w:rsid w:val="007657CF"/>
    <w:rsid w:val="00765ABB"/>
    <w:rsid w:val="00766207"/>
    <w:rsid w:val="007664B4"/>
    <w:rsid w:val="0076712C"/>
    <w:rsid w:val="007714AF"/>
    <w:rsid w:val="00772873"/>
    <w:rsid w:val="007742BC"/>
    <w:rsid w:val="00774A3D"/>
    <w:rsid w:val="00774E84"/>
    <w:rsid w:val="00776471"/>
    <w:rsid w:val="00776DB0"/>
    <w:rsid w:val="0078197B"/>
    <w:rsid w:val="00783572"/>
    <w:rsid w:val="0078545C"/>
    <w:rsid w:val="00786E96"/>
    <w:rsid w:val="00787F05"/>
    <w:rsid w:val="007923BA"/>
    <w:rsid w:val="007954BE"/>
    <w:rsid w:val="00795BEB"/>
    <w:rsid w:val="007A2300"/>
    <w:rsid w:val="007B1CD1"/>
    <w:rsid w:val="007B3DAA"/>
    <w:rsid w:val="007B4644"/>
    <w:rsid w:val="007B4F42"/>
    <w:rsid w:val="007B6D63"/>
    <w:rsid w:val="007B7388"/>
    <w:rsid w:val="007C3D90"/>
    <w:rsid w:val="007C3FD7"/>
    <w:rsid w:val="007C51D5"/>
    <w:rsid w:val="007D06B1"/>
    <w:rsid w:val="007D1BA8"/>
    <w:rsid w:val="007D2760"/>
    <w:rsid w:val="007D3AD4"/>
    <w:rsid w:val="007D3F58"/>
    <w:rsid w:val="007D5979"/>
    <w:rsid w:val="007D59A7"/>
    <w:rsid w:val="007D5CFC"/>
    <w:rsid w:val="007D6F7D"/>
    <w:rsid w:val="007D7BE4"/>
    <w:rsid w:val="007D7F5F"/>
    <w:rsid w:val="007E11F1"/>
    <w:rsid w:val="007E21D3"/>
    <w:rsid w:val="007E2306"/>
    <w:rsid w:val="007E39F9"/>
    <w:rsid w:val="007E58AA"/>
    <w:rsid w:val="007E6CE8"/>
    <w:rsid w:val="007E789C"/>
    <w:rsid w:val="007F0C46"/>
    <w:rsid w:val="007F331A"/>
    <w:rsid w:val="007F37F5"/>
    <w:rsid w:val="007F40E1"/>
    <w:rsid w:val="007F65ED"/>
    <w:rsid w:val="007F6964"/>
    <w:rsid w:val="008028FD"/>
    <w:rsid w:val="00803ED8"/>
    <w:rsid w:val="00804EC6"/>
    <w:rsid w:val="00805E9B"/>
    <w:rsid w:val="00806113"/>
    <w:rsid w:val="008108A9"/>
    <w:rsid w:val="00812D60"/>
    <w:rsid w:val="00815951"/>
    <w:rsid w:val="0082029A"/>
    <w:rsid w:val="008203FE"/>
    <w:rsid w:val="00820A2C"/>
    <w:rsid w:val="008218F3"/>
    <w:rsid w:val="00822E5F"/>
    <w:rsid w:val="00823295"/>
    <w:rsid w:val="00823C96"/>
    <w:rsid w:val="00826AF4"/>
    <w:rsid w:val="00830516"/>
    <w:rsid w:val="00831086"/>
    <w:rsid w:val="008327FD"/>
    <w:rsid w:val="00833E0A"/>
    <w:rsid w:val="00835A81"/>
    <w:rsid w:val="00835E61"/>
    <w:rsid w:val="00835EA6"/>
    <w:rsid w:val="0084023B"/>
    <w:rsid w:val="00841B4E"/>
    <w:rsid w:val="0084466A"/>
    <w:rsid w:val="00846AFA"/>
    <w:rsid w:val="00846F20"/>
    <w:rsid w:val="00853802"/>
    <w:rsid w:val="00857400"/>
    <w:rsid w:val="00857D1A"/>
    <w:rsid w:val="008600D0"/>
    <w:rsid w:val="008609BB"/>
    <w:rsid w:val="008622E9"/>
    <w:rsid w:val="00864291"/>
    <w:rsid w:val="00864456"/>
    <w:rsid w:val="0086487D"/>
    <w:rsid w:val="00865075"/>
    <w:rsid w:val="00867126"/>
    <w:rsid w:val="0087106D"/>
    <w:rsid w:val="0087119F"/>
    <w:rsid w:val="008727D0"/>
    <w:rsid w:val="00874A38"/>
    <w:rsid w:val="00876980"/>
    <w:rsid w:val="00877575"/>
    <w:rsid w:val="00880258"/>
    <w:rsid w:val="00881A7D"/>
    <w:rsid w:val="00884C3B"/>
    <w:rsid w:val="00887B8B"/>
    <w:rsid w:val="00890C00"/>
    <w:rsid w:val="0089316E"/>
    <w:rsid w:val="00893F7F"/>
    <w:rsid w:val="00894DE0"/>
    <w:rsid w:val="00896197"/>
    <w:rsid w:val="00896F67"/>
    <w:rsid w:val="008A26B7"/>
    <w:rsid w:val="008A7083"/>
    <w:rsid w:val="008A776A"/>
    <w:rsid w:val="008B1009"/>
    <w:rsid w:val="008B1ECF"/>
    <w:rsid w:val="008B2295"/>
    <w:rsid w:val="008B3D3A"/>
    <w:rsid w:val="008B50CF"/>
    <w:rsid w:val="008B682E"/>
    <w:rsid w:val="008B75BF"/>
    <w:rsid w:val="008C023E"/>
    <w:rsid w:val="008C1ED7"/>
    <w:rsid w:val="008C1F26"/>
    <w:rsid w:val="008C24B9"/>
    <w:rsid w:val="008C3F85"/>
    <w:rsid w:val="008C5AF1"/>
    <w:rsid w:val="008C74B3"/>
    <w:rsid w:val="008D0B51"/>
    <w:rsid w:val="008D196C"/>
    <w:rsid w:val="008D6A13"/>
    <w:rsid w:val="008D6DCF"/>
    <w:rsid w:val="008D6FC0"/>
    <w:rsid w:val="008E0E8F"/>
    <w:rsid w:val="008E31FC"/>
    <w:rsid w:val="008E5502"/>
    <w:rsid w:val="008E759D"/>
    <w:rsid w:val="008F17C6"/>
    <w:rsid w:val="008F2036"/>
    <w:rsid w:val="008F28BF"/>
    <w:rsid w:val="008F2DF6"/>
    <w:rsid w:val="008F46B2"/>
    <w:rsid w:val="008F6FB0"/>
    <w:rsid w:val="00900701"/>
    <w:rsid w:val="00901B99"/>
    <w:rsid w:val="00902A2F"/>
    <w:rsid w:val="009033A0"/>
    <w:rsid w:val="00903E83"/>
    <w:rsid w:val="00906927"/>
    <w:rsid w:val="00911F40"/>
    <w:rsid w:val="00912F45"/>
    <w:rsid w:val="00913135"/>
    <w:rsid w:val="0091352D"/>
    <w:rsid w:val="00913A0A"/>
    <w:rsid w:val="00914247"/>
    <w:rsid w:val="00916BD5"/>
    <w:rsid w:val="009175A3"/>
    <w:rsid w:val="00922814"/>
    <w:rsid w:val="009228BA"/>
    <w:rsid w:val="00923920"/>
    <w:rsid w:val="00924731"/>
    <w:rsid w:val="009253BE"/>
    <w:rsid w:val="00930089"/>
    <w:rsid w:val="009331FF"/>
    <w:rsid w:val="009340BE"/>
    <w:rsid w:val="00934DC9"/>
    <w:rsid w:val="009363D6"/>
    <w:rsid w:val="00936ECA"/>
    <w:rsid w:val="00937E07"/>
    <w:rsid w:val="009419E8"/>
    <w:rsid w:val="00941C75"/>
    <w:rsid w:val="00943311"/>
    <w:rsid w:val="00944C2B"/>
    <w:rsid w:val="0094725E"/>
    <w:rsid w:val="0094764F"/>
    <w:rsid w:val="00947C86"/>
    <w:rsid w:val="00953432"/>
    <w:rsid w:val="0095654D"/>
    <w:rsid w:val="00956DDE"/>
    <w:rsid w:val="009574A3"/>
    <w:rsid w:val="009601F7"/>
    <w:rsid w:val="0096150F"/>
    <w:rsid w:val="0096187D"/>
    <w:rsid w:val="009618F6"/>
    <w:rsid w:val="0096191B"/>
    <w:rsid w:val="00961DC4"/>
    <w:rsid w:val="0096384F"/>
    <w:rsid w:val="009645CE"/>
    <w:rsid w:val="00964CBC"/>
    <w:rsid w:val="00965FC6"/>
    <w:rsid w:val="009673A1"/>
    <w:rsid w:val="00967CC5"/>
    <w:rsid w:val="0097421B"/>
    <w:rsid w:val="009748B6"/>
    <w:rsid w:val="00982D4D"/>
    <w:rsid w:val="009838C5"/>
    <w:rsid w:val="00984389"/>
    <w:rsid w:val="00985059"/>
    <w:rsid w:val="00987633"/>
    <w:rsid w:val="00987BF7"/>
    <w:rsid w:val="00990108"/>
    <w:rsid w:val="00992DC2"/>
    <w:rsid w:val="009934CA"/>
    <w:rsid w:val="009935B0"/>
    <w:rsid w:val="009937F2"/>
    <w:rsid w:val="00993A69"/>
    <w:rsid w:val="00994090"/>
    <w:rsid w:val="00994FAE"/>
    <w:rsid w:val="00995BBF"/>
    <w:rsid w:val="009973D6"/>
    <w:rsid w:val="009A2305"/>
    <w:rsid w:val="009A4D84"/>
    <w:rsid w:val="009A4E99"/>
    <w:rsid w:val="009A7334"/>
    <w:rsid w:val="009A779D"/>
    <w:rsid w:val="009B0E37"/>
    <w:rsid w:val="009B4249"/>
    <w:rsid w:val="009B471D"/>
    <w:rsid w:val="009B7574"/>
    <w:rsid w:val="009B7B6A"/>
    <w:rsid w:val="009C03B8"/>
    <w:rsid w:val="009C4787"/>
    <w:rsid w:val="009C4CF0"/>
    <w:rsid w:val="009C594C"/>
    <w:rsid w:val="009C6284"/>
    <w:rsid w:val="009C6C4C"/>
    <w:rsid w:val="009D0112"/>
    <w:rsid w:val="009D0C88"/>
    <w:rsid w:val="009D5BA9"/>
    <w:rsid w:val="009D5F10"/>
    <w:rsid w:val="009D71AE"/>
    <w:rsid w:val="009E2D40"/>
    <w:rsid w:val="009E77F6"/>
    <w:rsid w:val="009F2511"/>
    <w:rsid w:val="009F616E"/>
    <w:rsid w:val="009F6489"/>
    <w:rsid w:val="009F69D0"/>
    <w:rsid w:val="00A01010"/>
    <w:rsid w:val="00A01D81"/>
    <w:rsid w:val="00A0231A"/>
    <w:rsid w:val="00A023F4"/>
    <w:rsid w:val="00A03493"/>
    <w:rsid w:val="00A03CAD"/>
    <w:rsid w:val="00A0458E"/>
    <w:rsid w:val="00A061A6"/>
    <w:rsid w:val="00A0667A"/>
    <w:rsid w:val="00A1466D"/>
    <w:rsid w:val="00A1546D"/>
    <w:rsid w:val="00A1592B"/>
    <w:rsid w:val="00A16397"/>
    <w:rsid w:val="00A20144"/>
    <w:rsid w:val="00A20B0A"/>
    <w:rsid w:val="00A214D8"/>
    <w:rsid w:val="00A25D11"/>
    <w:rsid w:val="00A27F4D"/>
    <w:rsid w:val="00A27F7E"/>
    <w:rsid w:val="00A325B6"/>
    <w:rsid w:val="00A32F3B"/>
    <w:rsid w:val="00A34774"/>
    <w:rsid w:val="00A35A5B"/>
    <w:rsid w:val="00A35F57"/>
    <w:rsid w:val="00A4122F"/>
    <w:rsid w:val="00A440F7"/>
    <w:rsid w:val="00A4471C"/>
    <w:rsid w:val="00A46604"/>
    <w:rsid w:val="00A5184E"/>
    <w:rsid w:val="00A531FF"/>
    <w:rsid w:val="00A5336D"/>
    <w:rsid w:val="00A549FB"/>
    <w:rsid w:val="00A54ECC"/>
    <w:rsid w:val="00A5549C"/>
    <w:rsid w:val="00A5600D"/>
    <w:rsid w:val="00A569E3"/>
    <w:rsid w:val="00A56B9C"/>
    <w:rsid w:val="00A6118D"/>
    <w:rsid w:val="00A65809"/>
    <w:rsid w:val="00A7003C"/>
    <w:rsid w:val="00A702BC"/>
    <w:rsid w:val="00A713C5"/>
    <w:rsid w:val="00A71B9E"/>
    <w:rsid w:val="00A74631"/>
    <w:rsid w:val="00A748A5"/>
    <w:rsid w:val="00A75718"/>
    <w:rsid w:val="00A75916"/>
    <w:rsid w:val="00A81C03"/>
    <w:rsid w:val="00A8219C"/>
    <w:rsid w:val="00A83A37"/>
    <w:rsid w:val="00A842B5"/>
    <w:rsid w:val="00A84447"/>
    <w:rsid w:val="00A87DA9"/>
    <w:rsid w:val="00A949A2"/>
    <w:rsid w:val="00AA0830"/>
    <w:rsid w:val="00AA7DD8"/>
    <w:rsid w:val="00AB1A04"/>
    <w:rsid w:val="00AB2C3A"/>
    <w:rsid w:val="00AB68F0"/>
    <w:rsid w:val="00AB7E48"/>
    <w:rsid w:val="00AC0FF2"/>
    <w:rsid w:val="00AC1850"/>
    <w:rsid w:val="00AC2169"/>
    <w:rsid w:val="00AC21D6"/>
    <w:rsid w:val="00AC58B5"/>
    <w:rsid w:val="00AC6395"/>
    <w:rsid w:val="00AD3C28"/>
    <w:rsid w:val="00AD44B6"/>
    <w:rsid w:val="00AD4B8C"/>
    <w:rsid w:val="00AD4EF9"/>
    <w:rsid w:val="00AD660E"/>
    <w:rsid w:val="00AD6675"/>
    <w:rsid w:val="00AE0079"/>
    <w:rsid w:val="00AE137B"/>
    <w:rsid w:val="00AE2727"/>
    <w:rsid w:val="00AE27BC"/>
    <w:rsid w:val="00AE49E9"/>
    <w:rsid w:val="00AE7537"/>
    <w:rsid w:val="00AE7AE3"/>
    <w:rsid w:val="00AF0DB1"/>
    <w:rsid w:val="00AF186E"/>
    <w:rsid w:val="00AF1B1E"/>
    <w:rsid w:val="00AF1BE2"/>
    <w:rsid w:val="00AF22E1"/>
    <w:rsid w:val="00AF56CA"/>
    <w:rsid w:val="00AF68A0"/>
    <w:rsid w:val="00B01516"/>
    <w:rsid w:val="00B030C5"/>
    <w:rsid w:val="00B0317C"/>
    <w:rsid w:val="00B035E7"/>
    <w:rsid w:val="00B03AA3"/>
    <w:rsid w:val="00B04BA2"/>
    <w:rsid w:val="00B05720"/>
    <w:rsid w:val="00B12FBE"/>
    <w:rsid w:val="00B13B48"/>
    <w:rsid w:val="00B13C46"/>
    <w:rsid w:val="00B175DE"/>
    <w:rsid w:val="00B17D7F"/>
    <w:rsid w:val="00B25F83"/>
    <w:rsid w:val="00B26D1D"/>
    <w:rsid w:val="00B32C50"/>
    <w:rsid w:val="00B32E87"/>
    <w:rsid w:val="00B33B86"/>
    <w:rsid w:val="00B34429"/>
    <w:rsid w:val="00B347EA"/>
    <w:rsid w:val="00B3584B"/>
    <w:rsid w:val="00B37842"/>
    <w:rsid w:val="00B40044"/>
    <w:rsid w:val="00B40D87"/>
    <w:rsid w:val="00B42004"/>
    <w:rsid w:val="00B43CF0"/>
    <w:rsid w:val="00B450BA"/>
    <w:rsid w:val="00B51B0D"/>
    <w:rsid w:val="00B53163"/>
    <w:rsid w:val="00B558D2"/>
    <w:rsid w:val="00B569A0"/>
    <w:rsid w:val="00B57926"/>
    <w:rsid w:val="00B60CBD"/>
    <w:rsid w:val="00B6123D"/>
    <w:rsid w:val="00B637F1"/>
    <w:rsid w:val="00B645C8"/>
    <w:rsid w:val="00B66F34"/>
    <w:rsid w:val="00B70EFE"/>
    <w:rsid w:val="00B71532"/>
    <w:rsid w:val="00B716D2"/>
    <w:rsid w:val="00B807E0"/>
    <w:rsid w:val="00B82A59"/>
    <w:rsid w:val="00B83B34"/>
    <w:rsid w:val="00B84FCD"/>
    <w:rsid w:val="00B85418"/>
    <w:rsid w:val="00B85840"/>
    <w:rsid w:val="00B85881"/>
    <w:rsid w:val="00B865D9"/>
    <w:rsid w:val="00B86DFD"/>
    <w:rsid w:val="00B86F41"/>
    <w:rsid w:val="00B92E6F"/>
    <w:rsid w:val="00B93132"/>
    <w:rsid w:val="00B95644"/>
    <w:rsid w:val="00B95E40"/>
    <w:rsid w:val="00B96471"/>
    <w:rsid w:val="00B967BB"/>
    <w:rsid w:val="00BA1ABC"/>
    <w:rsid w:val="00BA1D4F"/>
    <w:rsid w:val="00BA217C"/>
    <w:rsid w:val="00BA540F"/>
    <w:rsid w:val="00BA5688"/>
    <w:rsid w:val="00BA5AAE"/>
    <w:rsid w:val="00BB07A8"/>
    <w:rsid w:val="00BB36C7"/>
    <w:rsid w:val="00BB5B11"/>
    <w:rsid w:val="00BB6A0C"/>
    <w:rsid w:val="00BC0F4D"/>
    <w:rsid w:val="00BC2A41"/>
    <w:rsid w:val="00BC40E6"/>
    <w:rsid w:val="00BC4701"/>
    <w:rsid w:val="00BC5D82"/>
    <w:rsid w:val="00BC5DAB"/>
    <w:rsid w:val="00BC659B"/>
    <w:rsid w:val="00BD15EE"/>
    <w:rsid w:val="00BD22F9"/>
    <w:rsid w:val="00BD6378"/>
    <w:rsid w:val="00BE0E84"/>
    <w:rsid w:val="00BE358D"/>
    <w:rsid w:val="00BE49AC"/>
    <w:rsid w:val="00BE6BCA"/>
    <w:rsid w:val="00BF0609"/>
    <w:rsid w:val="00BF0A7E"/>
    <w:rsid w:val="00BF2AC7"/>
    <w:rsid w:val="00BF2FFE"/>
    <w:rsid w:val="00BF7517"/>
    <w:rsid w:val="00C01A13"/>
    <w:rsid w:val="00C05142"/>
    <w:rsid w:val="00C104F0"/>
    <w:rsid w:val="00C1210E"/>
    <w:rsid w:val="00C138C7"/>
    <w:rsid w:val="00C13FE6"/>
    <w:rsid w:val="00C25EC6"/>
    <w:rsid w:val="00C26930"/>
    <w:rsid w:val="00C308B1"/>
    <w:rsid w:val="00C31A8D"/>
    <w:rsid w:val="00C32AC9"/>
    <w:rsid w:val="00C33419"/>
    <w:rsid w:val="00C33488"/>
    <w:rsid w:val="00C34BF1"/>
    <w:rsid w:val="00C35A39"/>
    <w:rsid w:val="00C40E8A"/>
    <w:rsid w:val="00C41D85"/>
    <w:rsid w:val="00C438ED"/>
    <w:rsid w:val="00C43DE0"/>
    <w:rsid w:val="00C47027"/>
    <w:rsid w:val="00C5044B"/>
    <w:rsid w:val="00C51710"/>
    <w:rsid w:val="00C52810"/>
    <w:rsid w:val="00C52BD3"/>
    <w:rsid w:val="00C552E2"/>
    <w:rsid w:val="00C5658F"/>
    <w:rsid w:val="00C57DBD"/>
    <w:rsid w:val="00C60205"/>
    <w:rsid w:val="00C627AC"/>
    <w:rsid w:val="00C62958"/>
    <w:rsid w:val="00C66366"/>
    <w:rsid w:val="00C6639E"/>
    <w:rsid w:val="00C66D93"/>
    <w:rsid w:val="00C7066E"/>
    <w:rsid w:val="00C70966"/>
    <w:rsid w:val="00C70B07"/>
    <w:rsid w:val="00C71243"/>
    <w:rsid w:val="00C71B36"/>
    <w:rsid w:val="00C7302D"/>
    <w:rsid w:val="00C76B50"/>
    <w:rsid w:val="00C77C61"/>
    <w:rsid w:val="00C77D70"/>
    <w:rsid w:val="00C8203F"/>
    <w:rsid w:val="00C83889"/>
    <w:rsid w:val="00C83A3F"/>
    <w:rsid w:val="00C849B7"/>
    <w:rsid w:val="00C85C23"/>
    <w:rsid w:val="00C90003"/>
    <w:rsid w:val="00C91BAF"/>
    <w:rsid w:val="00C91D65"/>
    <w:rsid w:val="00C93009"/>
    <w:rsid w:val="00C97880"/>
    <w:rsid w:val="00CA4AE9"/>
    <w:rsid w:val="00CA6730"/>
    <w:rsid w:val="00CB3DE1"/>
    <w:rsid w:val="00CC0588"/>
    <w:rsid w:val="00CC1EE2"/>
    <w:rsid w:val="00CC3CCA"/>
    <w:rsid w:val="00CC47E5"/>
    <w:rsid w:val="00CD0C40"/>
    <w:rsid w:val="00CD2928"/>
    <w:rsid w:val="00CD2D82"/>
    <w:rsid w:val="00CD460C"/>
    <w:rsid w:val="00CD52C0"/>
    <w:rsid w:val="00CD5B4E"/>
    <w:rsid w:val="00CE09CB"/>
    <w:rsid w:val="00CE24E5"/>
    <w:rsid w:val="00CE604E"/>
    <w:rsid w:val="00CE65A3"/>
    <w:rsid w:val="00CE75EB"/>
    <w:rsid w:val="00CF1B5B"/>
    <w:rsid w:val="00CF3444"/>
    <w:rsid w:val="00CF567E"/>
    <w:rsid w:val="00CF5C12"/>
    <w:rsid w:val="00CF6202"/>
    <w:rsid w:val="00CF6A56"/>
    <w:rsid w:val="00CF7C21"/>
    <w:rsid w:val="00D0014F"/>
    <w:rsid w:val="00D00492"/>
    <w:rsid w:val="00D010EF"/>
    <w:rsid w:val="00D03564"/>
    <w:rsid w:val="00D03C6E"/>
    <w:rsid w:val="00D043BA"/>
    <w:rsid w:val="00D0508A"/>
    <w:rsid w:val="00D05450"/>
    <w:rsid w:val="00D14101"/>
    <w:rsid w:val="00D15509"/>
    <w:rsid w:val="00D16016"/>
    <w:rsid w:val="00D16898"/>
    <w:rsid w:val="00D21728"/>
    <w:rsid w:val="00D21B61"/>
    <w:rsid w:val="00D23126"/>
    <w:rsid w:val="00D24E5B"/>
    <w:rsid w:val="00D25DAE"/>
    <w:rsid w:val="00D26850"/>
    <w:rsid w:val="00D308EA"/>
    <w:rsid w:val="00D31EE3"/>
    <w:rsid w:val="00D3277A"/>
    <w:rsid w:val="00D37A10"/>
    <w:rsid w:val="00D409F4"/>
    <w:rsid w:val="00D45437"/>
    <w:rsid w:val="00D4730D"/>
    <w:rsid w:val="00D47896"/>
    <w:rsid w:val="00D50EC1"/>
    <w:rsid w:val="00D53DA2"/>
    <w:rsid w:val="00D54CFA"/>
    <w:rsid w:val="00D55445"/>
    <w:rsid w:val="00D60AAA"/>
    <w:rsid w:val="00D6303E"/>
    <w:rsid w:val="00D63A83"/>
    <w:rsid w:val="00D63E66"/>
    <w:rsid w:val="00D65006"/>
    <w:rsid w:val="00D657CA"/>
    <w:rsid w:val="00D66E8E"/>
    <w:rsid w:val="00D66F2F"/>
    <w:rsid w:val="00D67E8F"/>
    <w:rsid w:val="00D70AF8"/>
    <w:rsid w:val="00D71286"/>
    <w:rsid w:val="00D71671"/>
    <w:rsid w:val="00D71A1E"/>
    <w:rsid w:val="00D725AC"/>
    <w:rsid w:val="00D725E9"/>
    <w:rsid w:val="00D72F54"/>
    <w:rsid w:val="00D737BB"/>
    <w:rsid w:val="00D740AE"/>
    <w:rsid w:val="00D741F8"/>
    <w:rsid w:val="00D7521A"/>
    <w:rsid w:val="00D76751"/>
    <w:rsid w:val="00D8060A"/>
    <w:rsid w:val="00D80999"/>
    <w:rsid w:val="00D85B9E"/>
    <w:rsid w:val="00D86381"/>
    <w:rsid w:val="00D878A0"/>
    <w:rsid w:val="00D90985"/>
    <w:rsid w:val="00D960C1"/>
    <w:rsid w:val="00DA12DA"/>
    <w:rsid w:val="00DA2F03"/>
    <w:rsid w:val="00DA46D2"/>
    <w:rsid w:val="00DA6445"/>
    <w:rsid w:val="00DA7DA1"/>
    <w:rsid w:val="00DB0C53"/>
    <w:rsid w:val="00DB0F78"/>
    <w:rsid w:val="00DB17FD"/>
    <w:rsid w:val="00DB1D5B"/>
    <w:rsid w:val="00DB29F8"/>
    <w:rsid w:val="00DB3DE8"/>
    <w:rsid w:val="00DB5BD3"/>
    <w:rsid w:val="00DB6A41"/>
    <w:rsid w:val="00DB736D"/>
    <w:rsid w:val="00DC00AA"/>
    <w:rsid w:val="00DC0622"/>
    <w:rsid w:val="00DC2650"/>
    <w:rsid w:val="00DC2793"/>
    <w:rsid w:val="00DC3C08"/>
    <w:rsid w:val="00DC57A6"/>
    <w:rsid w:val="00DD1A74"/>
    <w:rsid w:val="00DD1FB4"/>
    <w:rsid w:val="00DD5186"/>
    <w:rsid w:val="00DD61DF"/>
    <w:rsid w:val="00DE29CD"/>
    <w:rsid w:val="00DE3203"/>
    <w:rsid w:val="00DE383B"/>
    <w:rsid w:val="00DE5583"/>
    <w:rsid w:val="00DE70F3"/>
    <w:rsid w:val="00DF26AC"/>
    <w:rsid w:val="00DF2803"/>
    <w:rsid w:val="00DF4A06"/>
    <w:rsid w:val="00DF6630"/>
    <w:rsid w:val="00DF7ACF"/>
    <w:rsid w:val="00E04BF3"/>
    <w:rsid w:val="00E05D25"/>
    <w:rsid w:val="00E077B5"/>
    <w:rsid w:val="00E10E03"/>
    <w:rsid w:val="00E15952"/>
    <w:rsid w:val="00E15A35"/>
    <w:rsid w:val="00E207B0"/>
    <w:rsid w:val="00E20C6E"/>
    <w:rsid w:val="00E23113"/>
    <w:rsid w:val="00E246E2"/>
    <w:rsid w:val="00E2657E"/>
    <w:rsid w:val="00E26868"/>
    <w:rsid w:val="00E278C4"/>
    <w:rsid w:val="00E3445D"/>
    <w:rsid w:val="00E35442"/>
    <w:rsid w:val="00E37882"/>
    <w:rsid w:val="00E41DEB"/>
    <w:rsid w:val="00E41E23"/>
    <w:rsid w:val="00E421D6"/>
    <w:rsid w:val="00E43196"/>
    <w:rsid w:val="00E443DE"/>
    <w:rsid w:val="00E45F0C"/>
    <w:rsid w:val="00E45F2B"/>
    <w:rsid w:val="00E46431"/>
    <w:rsid w:val="00E46545"/>
    <w:rsid w:val="00E521FB"/>
    <w:rsid w:val="00E5221D"/>
    <w:rsid w:val="00E530E2"/>
    <w:rsid w:val="00E53B41"/>
    <w:rsid w:val="00E546A7"/>
    <w:rsid w:val="00E546FF"/>
    <w:rsid w:val="00E54CF0"/>
    <w:rsid w:val="00E55E04"/>
    <w:rsid w:val="00E5789D"/>
    <w:rsid w:val="00E57B4D"/>
    <w:rsid w:val="00E57E2D"/>
    <w:rsid w:val="00E60D35"/>
    <w:rsid w:val="00E645A2"/>
    <w:rsid w:val="00E66383"/>
    <w:rsid w:val="00E66AA6"/>
    <w:rsid w:val="00E70DEB"/>
    <w:rsid w:val="00E71060"/>
    <w:rsid w:val="00E71C8C"/>
    <w:rsid w:val="00E72309"/>
    <w:rsid w:val="00E73A7F"/>
    <w:rsid w:val="00E773F5"/>
    <w:rsid w:val="00E82023"/>
    <w:rsid w:val="00E82497"/>
    <w:rsid w:val="00E83F4E"/>
    <w:rsid w:val="00E850A8"/>
    <w:rsid w:val="00E86D7C"/>
    <w:rsid w:val="00E87A14"/>
    <w:rsid w:val="00E90EDA"/>
    <w:rsid w:val="00E920D0"/>
    <w:rsid w:val="00E94388"/>
    <w:rsid w:val="00E94C04"/>
    <w:rsid w:val="00E961F5"/>
    <w:rsid w:val="00EA163A"/>
    <w:rsid w:val="00EA1E92"/>
    <w:rsid w:val="00EA25E8"/>
    <w:rsid w:val="00EA3984"/>
    <w:rsid w:val="00EA5FF1"/>
    <w:rsid w:val="00EA7485"/>
    <w:rsid w:val="00EB0033"/>
    <w:rsid w:val="00EB0843"/>
    <w:rsid w:val="00EB19B3"/>
    <w:rsid w:val="00EB32EA"/>
    <w:rsid w:val="00EB38F6"/>
    <w:rsid w:val="00EB419D"/>
    <w:rsid w:val="00EB6602"/>
    <w:rsid w:val="00EB75D0"/>
    <w:rsid w:val="00EB7FBE"/>
    <w:rsid w:val="00EC1E36"/>
    <w:rsid w:val="00EC5DBA"/>
    <w:rsid w:val="00EC6F15"/>
    <w:rsid w:val="00ED0698"/>
    <w:rsid w:val="00ED0849"/>
    <w:rsid w:val="00ED3C86"/>
    <w:rsid w:val="00ED5181"/>
    <w:rsid w:val="00ED6389"/>
    <w:rsid w:val="00ED7A4D"/>
    <w:rsid w:val="00ED7CB4"/>
    <w:rsid w:val="00EE0577"/>
    <w:rsid w:val="00EE1D37"/>
    <w:rsid w:val="00EE2058"/>
    <w:rsid w:val="00EE2F9E"/>
    <w:rsid w:val="00EE308A"/>
    <w:rsid w:val="00EE4A19"/>
    <w:rsid w:val="00EF090F"/>
    <w:rsid w:val="00EF1559"/>
    <w:rsid w:val="00EF2F86"/>
    <w:rsid w:val="00EF6550"/>
    <w:rsid w:val="00EF7B50"/>
    <w:rsid w:val="00F01F56"/>
    <w:rsid w:val="00F0295C"/>
    <w:rsid w:val="00F0353A"/>
    <w:rsid w:val="00F05169"/>
    <w:rsid w:val="00F077A1"/>
    <w:rsid w:val="00F1112E"/>
    <w:rsid w:val="00F12F12"/>
    <w:rsid w:val="00F136EB"/>
    <w:rsid w:val="00F232F8"/>
    <w:rsid w:val="00F263DE"/>
    <w:rsid w:val="00F277A5"/>
    <w:rsid w:val="00F31380"/>
    <w:rsid w:val="00F40052"/>
    <w:rsid w:val="00F42AE0"/>
    <w:rsid w:val="00F43BC7"/>
    <w:rsid w:val="00F43FDE"/>
    <w:rsid w:val="00F46046"/>
    <w:rsid w:val="00F52B97"/>
    <w:rsid w:val="00F558CD"/>
    <w:rsid w:val="00F57CF2"/>
    <w:rsid w:val="00F60F8C"/>
    <w:rsid w:val="00F61BAF"/>
    <w:rsid w:val="00F62547"/>
    <w:rsid w:val="00F63BDB"/>
    <w:rsid w:val="00F64433"/>
    <w:rsid w:val="00F65DBC"/>
    <w:rsid w:val="00F667CA"/>
    <w:rsid w:val="00F70E29"/>
    <w:rsid w:val="00F72EB9"/>
    <w:rsid w:val="00F73600"/>
    <w:rsid w:val="00F74278"/>
    <w:rsid w:val="00F7499A"/>
    <w:rsid w:val="00F768E9"/>
    <w:rsid w:val="00F82DDD"/>
    <w:rsid w:val="00F82E47"/>
    <w:rsid w:val="00F84718"/>
    <w:rsid w:val="00F8593A"/>
    <w:rsid w:val="00F911DF"/>
    <w:rsid w:val="00F93C5F"/>
    <w:rsid w:val="00F96607"/>
    <w:rsid w:val="00FA03C3"/>
    <w:rsid w:val="00FA2CAE"/>
    <w:rsid w:val="00FA3E2E"/>
    <w:rsid w:val="00FA4C3B"/>
    <w:rsid w:val="00FA4EE8"/>
    <w:rsid w:val="00FA5A3E"/>
    <w:rsid w:val="00FA6EC2"/>
    <w:rsid w:val="00FA7069"/>
    <w:rsid w:val="00FB13F7"/>
    <w:rsid w:val="00FB1564"/>
    <w:rsid w:val="00FB3B9F"/>
    <w:rsid w:val="00FB61B3"/>
    <w:rsid w:val="00FB7435"/>
    <w:rsid w:val="00FC10CE"/>
    <w:rsid w:val="00FC29C8"/>
    <w:rsid w:val="00FC2AFF"/>
    <w:rsid w:val="00FC4188"/>
    <w:rsid w:val="00FC5CA8"/>
    <w:rsid w:val="00FC6E42"/>
    <w:rsid w:val="00FC72CA"/>
    <w:rsid w:val="00FD0D26"/>
    <w:rsid w:val="00FD2B8E"/>
    <w:rsid w:val="00FD31C6"/>
    <w:rsid w:val="00FD3CF2"/>
    <w:rsid w:val="00FD4DEC"/>
    <w:rsid w:val="00FD7F3B"/>
    <w:rsid w:val="00FE1D98"/>
    <w:rsid w:val="00FE29B0"/>
    <w:rsid w:val="00FE336C"/>
    <w:rsid w:val="00FE369A"/>
    <w:rsid w:val="00FE3B2E"/>
    <w:rsid w:val="00FE4129"/>
    <w:rsid w:val="00FE4178"/>
    <w:rsid w:val="00FE4AED"/>
    <w:rsid w:val="00FE578E"/>
    <w:rsid w:val="00FE6F11"/>
    <w:rsid w:val="00FF03C7"/>
    <w:rsid w:val="00FF294B"/>
    <w:rsid w:val="00FF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8630"/>
  <w15:chartTrackingRefBased/>
  <w15:docId w15:val="{B499D6F4-2759-4817-BCB4-CE7EC3002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4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4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0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0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0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0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4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4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0F3"/>
    <w:rPr>
      <w:rFonts w:eastAsiaTheme="majorEastAsia" w:cstheme="majorBidi"/>
      <w:color w:val="272727" w:themeColor="text1" w:themeTint="D8"/>
    </w:rPr>
  </w:style>
  <w:style w:type="paragraph" w:styleId="Title">
    <w:name w:val="Title"/>
    <w:basedOn w:val="Normal"/>
    <w:next w:val="Normal"/>
    <w:link w:val="TitleChar"/>
    <w:uiPriority w:val="10"/>
    <w:qFormat/>
    <w:rsid w:val="000D4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0F3"/>
    <w:pPr>
      <w:spacing w:before="160"/>
      <w:jc w:val="center"/>
    </w:pPr>
    <w:rPr>
      <w:i/>
      <w:iCs/>
      <w:color w:val="404040" w:themeColor="text1" w:themeTint="BF"/>
    </w:rPr>
  </w:style>
  <w:style w:type="character" w:customStyle="1" w:styleId="QuoteChar">
    <w:name w:val="Quote Char"/>
    <w:basedOn w:val="DefaultParagraphFont"/>
    <w:link w:val="Quote"/>
    <w:uiPriority w:val="29"/>
    <w:rsid w:val="000D40F3"/>
    <w:rPr>
      <w:i/>
      <w:iCs/>
      <w:color w:val="404040" w:themeColor="text1" w:themeTint="BF"/>
    </w:rPr>
  </w:style>
  <w:style w:type="paragraph" w:styleId="ListParagraph">
    <w:name w:val="List Paragraph"/>
    <w:basedOn w:val="Normal"/>
    <w:uiPriority w:val="34"/>
    <w:qFormat/>
    <w:rsid w:val="000D40F3"/>
    <w:pPr>
      <w:ind w:left="720"/>
      <w:contextualSpacing/>
    </w:pPr>
  </w:style>
  <w:style w:type="character" w:styleId="IntenseEmphasis">
    <w:name w:val="Intense Emphasis"/>
    <w:basedOn w:val="DefaultParagraphFont"/>
    <w:uiPriority w:val="21"/>
    <w:qFormat/>
    <w:rsid w:val="000D40F3"/>
    <w:rPr>
      <w:i/>
      <w:iCs/>
      <w:color w:val="0F4761" w:themeColor="accent1" w:themeShade="BF"/>
    </w:rPr>
  </w:style>
  <w:style w:type="paragraph" w:styleId="IntenseQuote">
    <w:name w:val="Intense Quote"/>
    <w:basedOn w:val="Normal"/>
    <w:next w:val="Normal"/>
    <w:link w:val="IntenseQuoteChar"/>
    <w:uiPriority w:val="30"/>
    <w:qFormat/>
    <w:rsid w:val="000D4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0F3"/>
    <w:rPr>
      <w:i/>
      <w:iCs/>
      <w:color w:val="0F4761" w:themeColor="accent1" w:themeShade="BF"/>
    </w:rPr>
  </w:style>
  <w:style w:type="character" w:styleId="IntenseReference">
    <w:name w:val="Intense Reference"/>
    <w:basedOn w:val="DefaultParagraphFont"/>
    <w:uiPriority w:val="32"/>
    <w:qFormat/>
    <w:rsid w:val="000D40F3"/>
    <w:rPr>
      <w:b/>
      <w:bCs/>
      <w:smallCaps/>
      <w:color w:val="0F4761" w:themeColor="accent1" w:themeShade="BF"/>
      <w:spacing w:val="5"/>
    </w:rPr>
  </w:style>
  <w:style w:type="paragraph" w:styleId="NormalWeb">
    <w:name w:val="Normal (Web)"/>
    <w:basedOn w:val="Normal"/>
    <w:uiPriority w:val="99"/>
    <w:semiHidden/>
    <w:unhideWhenUsed/>
    <w:rsid w:val="006A3A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A3A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dnBorQwP-g" TargetMode="External"/><Relationship Id="rId3" Type="http://schemas.openxmlformats.org/officeDocument/2006/relationships/settings" Target="settings.xml"/><Relationship Id="rId7" Type="http://schemas.openxmlformats.org/officeDocument/2006/relationships/hyperlink" Target="https://www.youtube.com/watch?v=G5NXMG3Yyk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s://www.cipd.org/en/knowledge/factsheets/analytics-factsheet" TargetMode="External"/><Relationship Id="rId4" Type="http://schemas.openxmlformats.org/officeDocument/2006/relationships/webSettings" Target="webSettings.xml"/><Relationship Id="rId9" Type="http://schemas.openxmlformats.org/officeDocument/2006/relationships/hyperlink" Target="https://www.cipd.org/uk/knowledge/podcasts/ld-why-does-evidence-matter"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Q</a:t>
            </a:r>
            <a:r>
              <a:rPr lang="en-GB" baseline="0"/>
              <a:t>1 Performance Review Judgements %</a:t>
            </a:r>
            <a:endParaRPr lang="en-GB"/>
          </a:p>
        </c:rich>
      </c:tx>
      <c:layout>
        <c:manualLayout>
          <c:xMode val="edge"/>
          <c:yMode val="edge"/>
          <c:x val="0.28768055887540978"/>
          <c:y val="3.0973472065991752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pt idx="0">
                  <c:v>Administration Department </c:v>
                </c:pt>
              </c:strCache>
            </c:strRef>
          </c:tx>
          <c:spPr>
            <a:solidFill>
              <a:schemeClr val="accent1"/>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Sheet1!$C$3:$G$3</c:f>
              <c:numCache>
                <c:formatCode>0%</c:formatCode>
                <c:ptCount val="5"/>
                <c:pt idx="0">
                  <c:v>0.182</c:v>
                </c:pt>
                <c:pt idx="1">
                  <c:v>0.182</c:v>
                </c:pt>
                <c:pt idx="2">
                  <c:v>0.27300000000000002</c:v>
                </c:pt>
                <c:pt idx="3">
                  <c:v>0.27300000000000002</c:v>
                </c:pt>
                <c:pt idx="4">
                  <c:v>9.0999999999999998E-2</c:v>
                </c:pt>
              </c:numCache>
            </c:numRef>
          </c:val>
          <c:extLst>
            <c:ext xmlns:c16="http://schemas.microsoft.com/office/drawing/2014/chart" uri="{C3380CC4-5D6E-409C-BE32-E72D297353CC}">
              <c16:uniqueId val="{00000000-4FE3-49EB-8968-0EB151E19D89}"/>
            </c:ext>
          </c:extLst>
        </c:ser>
        <c:ser>
          <c:idx val="1"/>
          <c:order val="1"/>
          <c:tx>
            <c:strRef>
              <c:f>Sheet1!$B$4</c:f>
              <c:strCache>
                <c:ptCount val="1"/>
                <c:pt idx="0">
                  <c:v>Sales Department </c:v>
                </c:pt>
              </c:strCache>
            </c:strRef>
          </c:tx>
          <c:spPr>
            <a:solidFill>
              <a:schemeClr val="accent2"/>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Sheet1!$C$4:$G$4</c:f>
              <c:numCache>
                <c:formatCode>0%</c:formatCode>
                <c:ptCount val="5"/>
                <c:pt idx="0">
                  <c:v>0</c:v>
                </c:pt>
                <c:pt idx="1">
                  <c:v>1</c:v>
                </c:pt>
                <c:pt idx="2">
                  <c:v>0</c:v>
                </c:pt>
                <c:pt idx="3">
                  <c:v>0</c:v>
                </c:pt>
                <c:pt idx="4">
                  <c:v>0</c:v>
                </c:pt>
              </c:numCache>
            </c:numRef>
          </c:val>
          <c:extLst>
            <c:ext xmlns:c16="http://schemas.microsoft.com/office/drawing/2014/chart" uri="{C3380CC4-5D6E-409C-BE32-E72D297353CC}">
              <c16:uniqueId val="{00000001-4FE3-49EB-8968-0EB151E19D89}"/>
            </c:ext>
          </c:extLst>
        </c:ser>
        <c:ser>
          <c:idx val="2"/>
          <c:order val="2"/>
          <c:tx>
            <c:strRef>
              <c:f>Sheet1!$B$5</c:f>
              <c:strCache>
                <c:ptCount val="1"/>
                <c:pt idx="0">
                  <c:v>Logistics Department </c:v>
                </c:pt>
              </c:strCache>
            </c:strRef>
          </c:tx>
          <c:spPr>
            <a:solidFill>
              <a:schemeClr val="accent3"/>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Sheet1!$C$5:$G$5</c:f>
              <c:numCache>
                <c:formatCode>0%</c:formatCode>
                <c:ptCount val="5"/>
                <c:pt idx="0">
                  <c:v>0.2</c:v>
                </c:pt>
                <c:pt idx="1">
                  <c:v>0.4</c:v>
                </c:pt>
                <c:pt idx="2">
                  <c:v>0.3</c:v>
                </c:pt>
                <c:pt idx="3">
                  <c:v>0.1</c:v>
                </c:pt>
                <c:pt idx="4">
                  <c:v>0</c:v>
                </c:pt>
              </c:numCache>
            </c:numRef>
          </c:val>
          <c:extLst>
            <c:ext xmlns:c16="http://schemas.microsoft.com/office/drawing/2014/chart" uri="{C3380CC4-5D6E-409C-BE32-E72D297353CC}">
              <c16:uniqueId val="{00000002-4FE3-49EB-8968-0EB151E19D89}"/>
            </c:ext>
          </c:extLst>
        </c:ser>
        <c:ser>
          <c:idx val="3"/>
          <c:order val="3"/>
          <c:tx>
            <c:strRef>
              <c:f>Sheet1!$B$6</c:f>
              <c:strCache>
                <c:ptCount val="1"/>
                <c:pt idx="0">
                  <c:v>Research and Development  </c:v>
                </c:pt>
              </c:strCache>
            </c:strRef>
          </c:tx>
          <c:spPr>
            <a:solidFill>
              <a:schemeClr val="accent4"/>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Sheet1!$C$6:$G$6</c:f>
              <c:numCache>
                <c:formatCode>0%</c:formatCode>
                <c:ptCount val="5"/>
                <c:pt idx="0">
                  <c:v>0.3</c:v>
                </c:pt>
                <c:pt idx="1">
                  <c:v>0.3</c:v>
                </c:pt>
                <c:pt idx="2">
                  <c:v>0.1</c:v>
                </c:pt>
                <c:pt idx="3">
                  <c:v>0.3</c:v>
                </c:pt>
                <c:pt idx="4">
                  <c:v>0</c:v>
                </c:pt>
              </c:numCache>
            </c:numRef>
          </c:val>
          <c:extLst>
            <c:ext xmlns:c16="http://schemas.microsoft.com/office/drawing/2014/chart" uri="{C3380CC4-5D6E-409C-BE32-E72D297353CC}">
              <c16:uniqueId val="{00000003-4FE3-49EB-8968-0EB151E19D89}"/>
            </c:ext>
          </c:extLst>
        </c:ser>
        <c:dLbls>
          <c:showLegendKey val="0"/>
          <c:showVal val="0"/>
          <c:showCatName val="0"/>
          <c:showSerName val="0"/>
          <c:showPercent val="0"/>
          <c:showBubbleSize val="0"/>
        </c:dLbls>
        <c:gapWidth val="219"/>
        <c:overlap val="-27"/>
        <c:axId val="746717728"/>
        <c:axId val="746710048"/>
      </c:barChart>
      <c:catAx>
        <c:axId val="74671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710048"/>
        <c:crosses val="autoZero"/>
        <c:auto val="1"/>
        <c:lblAlgn val="ctr"/>
        <c:lblOffset val="100"/>
        <c:noMultiLvlLbl val="0"/>
      </c:catAx>
      <c:valAx>
        <c:axId val="746710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717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Q2</a:t>
            </a:r>
            <a:r>
              <a:rPr lang="en-GB" baseline="0"/>
              <a:t> Performance Review Judgements %</a:t>
            </a:r>
            <a:endParaRPr lang="en-GB"/>
          </a:p>
        </c:rich>
      </c:tx>
      <c:layout>
        <c:manualLayout>
          <c:xMode val="edge"/>
          <c:yMode val="edge"/>
          <c:x val="0.2870428560710877"/>
          <c:y val="2.702094122945282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Sheet1!$B$4:$D$4</c:f>
              <c:strCache>
                <c:ptCount val="3"/>
                <c:pt idx="0">
                  <c:v>Administration Department </c:v>
                </c:pt>
              </c:strCache>
            </c:strRef>
          </c:tx>
          <c:spPr>
            <a:solidFill>
              <a:schemeClr val="accent1"/>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Sheet1!$E$4:$I$4</c:f>
              <c:numCache>
                <c:formatCode>0%</c:formatCode>
                <c:ptCount val="5"/>
                <c:pt idx="0">
                  <c:v>9.0999999999999998E-2</c:v>
                </c:pt>
                <c:pt idx="1">
                  <c:v>0.36399999999999999</c:v>
                </c:pt>
                <c:pt idx="2">
                  <c:v>0.36399999999999999</c:v>
                </c:pt>
                <c:pt idx="3">
                  <c:v>9.0999999999999998E-2</c:v>
                </c:pt>
                <c:pt idx="4">
                  <c:v>9.0999999999999998E-2</c:v>
                </c:pt>
              </c:numCache>
            </c:numRef>
          </c:val>
          <c:extLst>
            <c:ext xmlns:c16="http://schemas.microsoft.com/office/drawing/2014/chart" uri="{C3380CC4-5D6E-409C-BE32-E72D297353CC}">
              <c16:uniqueId val="{00000000-B44D-475E-9F19-AE782D63FB93}"/>
            </c:ext>
          </c:extLst>
        </c:ser>
        <c:ser>
          <c:idx val="1"/>
          <c:order val="1"/>
          <c:tx>
            <c:strRef>
              <c:f>Sheet1!$B$5:$D$5</c:f>
              <c:strCache>
                <c:ptCount val="3"/>
                <c:pt idx="0">
                  <c:v>Sales Department </c:v>
                </c:pt>
              </c:strCache>
            </c:strRef>
          </c:tx>
          <c:spPr>
            <a:solidFill>
              <a:schemeClr val="accent2"/>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Sheet1!$E$5:$I$5</c:f>
              <c:numCache>
                <c:formatCode>0%</c:formatCode>
                <c:ptCount val="5"/>
                <c:pt idx="0">
                  <c:v>0</c:v>
                </c:pt>
                <c:pt idx="1">
                  <c:v>1</c:v>
                </c:pt>
                <c:pt idx="2">
                  <c:v>0</c:v>
                </c:pt>
                <c:pt idx="3">
                  <c:v>0</c:v>
                </c:pt>
                <c:pt idx="4">
                  <c:v>0</c:v>
                </c:pt>
              </c:numCache>
            </c:numRef>
          </c:val>
          <c:extLst>
            <c:ext xmlns:c16="http://schemas.microsoft.com/office/drawing/2014/chart" uri="{C3380CC4-5D6E-409C-BE32-E72D297353CC}">
              <c16:uniqueId val="{00000001-B44D-475E-9F19-AE782D63FB93}"/>
            </c:ext>
          </c:extLst>
        </c:ser>
        <c:ser>
          <c:idx val="2"/>
          <c:order val="2"/>
          <c:tx>
            <c:strRef>
              <c:f>Sheet1!$B$6:$D$6</c:f>
              <c:strCache>
                <c:ptCount val="3"/>
                <c:pt idx="0">
                  <c:v>Logistics Department </c:v>
                </c:pt>
              </c:strCache>
            </c:strRef>
          </c:tx>
          <c:spPr>
            <a:solidFill>
              <a:schemeClr val="accent3"/>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Sheet1!$E$6:$I$6</c:f>
              <c:numCache>
                <c:formatCode>0%</c:formatCode>
                <c:ptCount val="5"/>
                <c:pt idx="0">
                  <c:v>0.25</c:v>
                </c:pt>
                <c:pt idx="1">
                  <c:v>0.45</c:v>
                </c:pt>
                <c:pt idx="2">
                  <c:v>0.2</c:v>
                </c:pt>
                <c:pt idx="3">
                  <c:v>0</c:v>
                </c:pt>
                <c:pt idx="4">
                  <c:v>0.1</c:v>
                </c:pt>
              </c:numCache>
            </c:numRef>
          </c:val>
          <c:extLst>
            <c:ext xmlns:c16="http://schemas.microsoft.com/office/drawing/2014/chart" uri="{C3380CC4-5D6E-409C-BE32-E72D297353CC}">
              <c16:uniqueId val="{00000002-B44D-475E-9F19-AE782D63FB93}"/>
            </c:ext>
          </c:extLst>
        </c:ser>
        <c:ser>
          <c:idx val="3"/>
          <c:order val="3"/>
          <c:tx>
            <c:strRef>
              <c:f>Sheet1!$B$7:$D$7</c:f>
              <c:strCache>
                <c:ptCount val="3"/>
                <c:pt idx="0">
                  <c:v>Research and Development  </c:v>
                </c:pt>
              </c:strCache>
            </c:strRef>
          </c:tx>
          <c:spPr>
            <a:solidFill>
              <a:schemeClr val="accent4"/>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Sheet1!$E$7:$I$7</c:f>
              <c:numCache>
                <c:formatCode>0%</c:formatCode>
                <c:ptCount val="5"/>
                <c:pt idx="0">
                  <c:v>0.5</c:v>
                </c:pt>
                <c:pt idx="1">
                  <c:v>0.3</c:v>
                </c:pt>
                <c:pt idx="2">
                  <c:v>0.1</c:v>
                </c:pt>
                <c:pt idx="3">
                  <c:v>0</c:v>
                </c:pt>
                <c:pt idx="4">
                  <c:v>0.1</c:v>
                </c:pt>
              </c:numCache>
            </c:numRef>
          </c:val>
          <c:extLst>
            <c:ext xmlns:c16="http://schemas.microsoft.com/office/drawing/2014/chart" uri="{C3380CC4-5D6E-409C-BE32-E72D297353CC}">
              <c16:uniqueId val="{00000003-B44D-475E-9F19-AE782D63FB93}"/>
            </c:ext>
          </c:extLst>
        </c:ser>
        <c:dLbls>
          <c:showLegendKey val="0"/>
          <c:showVal val="0"/>
          <c:showCatName val="0"/>
          <c:showSerName val="0"/>
          <c:showPercent val="0"/>
          <c:showBubbleSize val="0"/>
        </c:dLbls>
        <c:gapWidth val="219"/>
        <c:overlap val="-27"/>
        <c:axId val="1075741248"/>
        <c:axId val="1075761408"/>
      </c:barChart>
      <c:catAx>
        <c:axId val="107574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761408"/>
        <c:crosses val="autoZero"/>
        <c:auto val="1"/>
        <c:lblAlgn val="ctr"/>
        <c:lblOffset val="100"/>
        <c:noMultiLvlLbl val="0"/>
      </c:catAx>
      <c:valAx>
        <c:axId val="1075761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74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2070</TotalTime>
  <Pages>11</Pages>
  <Words>4425</Words>
  <Characters>25224</Characters>
  <Application>Microsoft Office Word</Application>
  <DocSecurity>0</DocSecurity>
  <Lines>210</Lines>
  <Paragraphs>59</Paragraphs>
  <ScaleCrop>false</ScaleCrop>
  <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WILLIAMS-JONES, Steven</dc:creator>
  <cp:keywords/>
  <dc:description/>
  <cp:lastModifiedBy>WILLIAMS-JONES, Steven</cp:lastModifiedBy>
  <cp:revision>1497</cp:revision>
  <dcterms:created xsi:type="dcterms:W3CDTF">2024-11-16T09:25:00Z</dcterms:created>
  <dcterms:modified xsi:type="dcterms:W3CDTF">2024-11-25T11:34:00Z</dcterms:modified>
</cp:coreProperties>
</file>