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6EABBF" w14:textId="4B02008E" w:rsidR="00757404" w:rsidRPr="00C93117" w:rsidRDefault="00757404" w:rsidP="000167C0">
      <w:pPr>
        <w:rPr>
          <w:rFonts w:ascii="Bookman Old Style" w:hAnsi="Bookman Old Style"/>
          <w:sz w:val="40"/>
          <w:szCs w:val="40"/>
        </w:rPr>
      </w:pPr>
      <w:r w:rsidRPr="000546FD">
        <w:rPr>
          <w:rFonts w:ascii="Bookman Old Style" w:hAnsi="Bookman Old Style"/>
          <w:sz w:val="40"/>
          <w:szCs w:val="40"/>
        </w:rPr>
        <w:t xml:space="preserve">Primary Analysis </w:t>
      </w:r>
    </w:p>
    <w:p w14:paraId="27100421" w14:textId="77777777" w:rsidR="000167C0" w:rsidRDefault="00757404" w:rsidP="000167C0">
      <w:pPr>
        <w:rPr>
          <w:rFonts w:ascii="Bookman Old Style" w:hAnsi="Bookman Old Style"/>
        </w:rPr>
      </w:pPr>
      <w:r w:rsidRPr="000546FD">
        <w:rPr>
          <w:rFonts w:ascii="Bookman Old Style" w:hAnsi="Bookman Old Style"/>
        </w:rPr>
        <w:t xml:space="preserve">Ania d’Abdank Kunicki </w:t>
      </w:r>
    </w:p>
    <w:p w14:paraId="41C06378" w14:textId="010B3C2C" w:rsidR="00757404" w:rsidRDefault="00757404" w:rsidP="000167C0">
      <w:pPr>
        <w:rPr>
          <w:rFonts w:ascii="Bookman Old Style" w:hAnsi="Bookman Old Style"/>
        </w:rPr>
      </w:pPr>
      <w:r w:rsidRPr="000546FD">
        <w:rPr>
          <w:rFonts w:ascii="Bookman Old Style" w:hAnsi="Bookman Old Style"/>
        </w:rPr>
        <w:t>(2306132)</w:t>
      </w:r>
    </w:p>
    <w:p w14:paraId="0EDC6A3C" w14:textId="57FDBC95" w:rsidR="000167C0" w:rsidRPr="000546FD" w:rsidRDefault="000167C0" w:rsidP="000167C0">
      <w:pPr>
        <w:rPr>
          <w:rFonts w:ascii="Bookman Old Style" w:hAnsi="Bookman Old Style"/>
        </w:rPr>
      </w:pPr>
      <w:r>
        <w:rPr>
          <w:rFonts w:ascii="Bookman Old Style" w:hAnsi="Bookman Old Style"/>
        </w:rPr>
        <w:t>HPHI</w:t>
      </w:r>
      <w:r w:rsidR="00FD5DF9">
        <w:rPr>
          <w:rFonts w:ascii="Bookman Old Style" w:hAnsi="Bookman Old Style"/>
        </w:rPr>
        <w:t>5029</w:t>
      </w:r>
    </w:p>
    <w:p w14:paraId="3E4D713C" w14:textId="77777777" w:rsidR="00757404" w:rsidRPr="000546FD" w:rsidRDefault="00757404" w:rsidP="00757404">
      <w:pPr>
        <w:jc w:val="center"/>
        <w:rPr>
          <w:rFonts w:ascii="Bookman Old Style" w:hAnsi="Bookman Old Style"/>
        </w:rPr>
      </w:pPr>
    </w:p>
    <w:p w14:paraId="5AD1A6EC" w14:textId="77777777" w:rsidR="00503837" w:rsidRDefault="00C93117" w:rsidP="00201A71">
      <w:pPr>
        <w:pStyle w:val="ListParagraph"/>
        <w:spacing w:line="480" w:lineRule="auto"/>
        <w:rPr>
          <w:rFonts w:ascii="Bookman Old Style" w:hAnsi="Bookman Old Style"/>
          <w:sz w:val="22"/>
          <w:szCs w:val="22"/>
        </w:rPr>
      </w:pPr>
      <w:r>
        <w:rPr>
          <w:rFonts w:ascii="Bookman Old Style" w:hAnsi="Bookman Old Style"/>
          <w:sz w:val="22"/>
          <w:szCs w:val="22"/>
        </w:rPr>
        <w:tab/>
      </w:r>
    </w:p>
    <w:p w14:paraId="6534CD31" w14:textId="3381975D" w:rsidR="00C93117" w:rsidRPr="00503837" w:rsidRDefault="00C93117" w:rsidP="00503837">
      <w:pPr>
        <w:spacing w:line="480" w:lineRule="auto"/>
        <w:ind w:firstLine="720"/>
        <w:rPr>
          <w:rFonts w:ascii="Bookman Old Style" w:hAnsi="Bookman Old Style"/>
          <w:sz w:val="22"/>
          <w:szCs w:val="22"/>
        </w:rPr>
      </w:pPr>
      <w:r w:rsidRPr="00503837">
        <w:rPr>
          <w:rFonts w:ascii="Bookman Old Style" w:hAnsi="Bookman Old Style"/>
          <w:sz w:val="22"/>
          <w:szCs w:val="22"/>
        </w:rPr>
        <w:t xml:space="preserve">This analysis will be of an extract from the transcript of Witness “DD”’s testimony in the trial of Radislav Krstic. This document contains a firsthand recounting of the events of the Srebrenica massacre in the form of a legal transcript. </w:t>
      </w:r>
      <w:r w:rsidR="0076700F" w:rsidRPr="00503837">
        <w:rPr>
          <w:rFonts w:ascii="Bookman Old Style" w:hAnsi="Bookman Old Style"/>
          <w:sz w:val="22"/>
          <w:szCs w:val="22"/>
        </w:rPr>
        <w:t xml:space="preserve">It was one of five hundred testimonies taken over years from witnesses of the events in Srebrenica to use in the trial. </w:t>
      </w:r>
      <w:r w:rsidR="0079797C" w:rsidRPr="00503837">
        <w:rPr>
          <w:rFonts w:ascii="Bookman Old Style" w:hAnsi="Bookman Old Style"/>
          <w:sz w:val="22"/>
          <w:szCs w:val="22"/>
        </w:rPr>
        <w:t>The trial in itself would result in Krstic being found guilty of genocide, crimes against humanity, and war crimes and he would sentenced to life imprisonment in 2017, 22 years after the war had finished.</w:t>
      </w:r>
      <w:r w:rsidR="00176921">
        <w:rPr>
          <w:rStyle w:val="FootnoteReference"/>
          <w:rFonts w:ascii="Bookman Old Style" w:hAnsi="Bookman Old Style"/>
          <w:sz w:val="22"/>
          <w:szCs w:val="22"/>
        </w:rPr>
        <w:footnoteReference w:id="1"/>
      </w:r>
    </w:p>
    <w:p w14:paraId="5DDA3CDE" w14:textId="7B0FA115" w:rsidR="005F1BC6" w:rsidRPr="00503837" w:rsidRDefault="005F1BC6" w:rsidP="00176921">
      <w:pPr>
        <w:spacing w:line="480" w:lineRule="auto"/>
        <w:ind w:firstLine="720"/>
        <w:rPr>
          <w:rFonts w:ascii="Bookman Old Style" w:hAnsi="Bookman Old Style"/>
          <w:sz w:val="22"/>
          <w:szCs w:val="22"/>
        </w:rPr>
      </w:pPr>
      <w:r w:rsidRPr="00503837">
        <w:rPr>
          <w:rFonts w:ascii="Bookman Old Style" w:hAnsi="Bookman Old Style"/>
          <w:sz w:val="22"/>
          <w:szCs w:val="22"/>
        </w:rPr>
        <w:t>The author</w:t>
      </w:r>
      <w:r w:rsidR="00176921">
        <w:rPr>
          <w:rFonts w:ascii="Bookman Old Style" w:hAnsi="Bookman Old Style"/>
          <w:sz w:val="22"/>
          <w:szCs w:val="22"/>
        </w:rPr>
        <w:t xml:space="preserve"> w</w:t>
      </w:r>
      <w:r w:rsidRPr="00503837">
        <w:rPr>
          <w:rFonts w:ascii="Bookman Old Style" w:hAnsi="Bookman Old Style"/>
          <w:sz w:val="22"/>
          <w:szCs w:val="22"/>
        </w:rPr>
        <w:t>ould technically be “Witness DD” who was living in a small enclave not far from Srebrenica. She was there at the time of the massacre when shells started falling around their house. During that time would be the last time she</w:t>
      </w:r>
      <w:r w:rsidR="008D538A">
        <w:rPr>
          <w:rFonts w:ascii="Bookman Old Style" w:hAnsi="Bookman Old Style"/>
          <w:sz w:val="22"/>
          <w:szCs w:val="22"/>
        </w:rPr>
        <w:t xml:space="preserve"> would</w:t>
      </w:r>
      <w:r w:rsidRPr="00503837">
        <w:rPr>
          <w:rFonts w:ascii="Bookman Old Style" w:hAnsi="Bookman Old Style"/>
          <w:sz w:val="22"/>
          <w:szCs w:val="22"/>
        </w:rPr>
        <w:t xml:space="preserve"> see her husband and two eldest sons as they are believed to have been victims in this genocide. The witness was testifying in the </w:t>
      </w:r>
      <w:r w:rsidR="00D01FCC" w:rsidRPr="00503837">
        <w:rPr>
          <w:rFonts w:ascii="Bookman Old Style" w:hAnsi="Bookman Old Style"/>
          <w:sz w:val="22"/>
          <w:szCs w:val="22"/>
        </w:rPr>
        <w:t>case against Radislav Krstić. She testified on July 26, 2000, five years after the massacre took place.</w:t>
      </w:r>
      <w:r w:rsidR="00C93117" w:rsidRPr="00503837">
        <w:rPr>
          <w:rFonts w:ascii="Bookman Old Style" w:hAnsi="Bookman Old Style"/>
          <w:sz w:val="22"/>
          <w:szCs w:val="22"/>
        </w:rPr>
        <w:t xml:space="preserve"> The woman’s identity is protected so that limits the ability to get to know who she is beforehand. All we are able to know about her is that she was born in Srebrenica and was living there at the time of the genocide.</w:t>
      </w:r>
      <w:r w:rsidR="00D01FCC" w:rsidRPr="00503837">
        <w:rPr>
          <w:rFonts w:ascii="Bookman Old Style" w:hAnsi="Bookman Old Style"/>
          <w:sz w:val="22"/>
          <w:szCs w:val="22"/>
        </w:rPr>
        <w:t xml:space="preserve"> </w:t>
      </w:r>
      <w:r w:rsidR="00464289" w:rsidRPr="00503837">
        <w:rPr>
          <w:rFonts w:ascii="Bookman Old Style" w:hAnsi="Bookman Old Style"/>
          <w:sz w:val="22"/>
          <w:szCs w:val="22"/>
        </w:rPr>
        <w:t xml:space="preserve">Her testimony was </w:t>
      </w:r>
      <w:r w:rsidR="00062342" w:rsidRPr="00503837">
        <w:rPr>
          <w:rFonts w:ascii="Bookman Old Style" w:hAnsi="Bookman Old Style"/>
          <w:sz w:val="22"/>
          <w:szCs w:val="22"/>
        </w:rPr>
        <w:t>one</w:t>
      </w:r>
      <w:r w:rsidR="00464289" w:rsidRPr="00503837">
        <w:rPr>
          <w:rFonts w:ascii="Bookman Old Style" w:hAnsi="Bookman Old Style"/>
          <w:sz w:val="22"/>
          <w:szCs w:val="22"/>
        </w:rPr>
        <w:t xml:space="preserve"> of over five hundred that were given in the </w:t>
      </w:r>
      <w:r w:rsidR="00464289" w:rsidRPr="00503837">
        <w:rPr>
          <w:rFonts w:ascii="Bookman Old Style" w:hAnsi="Bookman Old Style"/>
          <w:sz w:val="22"/>
          <w:szCs w:val="22"/>
        </w:rPr>
        <w:lastRenderedPageBreak/>
        <w:t>International Criminal Tribunal for the former Yugoslavia in the trial of Radislav Krstic.</w:t>
      </w:r>
      <w:r w:rsidR="00503837">
        <w:rPr>
          <w:rFonts w:ascii="Bookman Old Style" w:hAnsi="Bookman Old Style"/>
          <w:sz w:val="22"/>
          <w:szCs w:val="22"/>
        </w:rPr>
        <w:t xml:space="preserve"> Many trials would be held regarding the people involved in these wars, violence, and crimes committed during these wars and time of political instability.</w:t>
      </w:r>
      <w:r w:rsidR="00176921">
        <w:rPr>
          <w:rStyle w:val="FootnoteReference"/>
          <w:rFonts w:ascii="Bookman Old Style" w:hAnsi="Bookman Old Style"/>
          <w:sz w:val="22"/>
          <w:szCs w:val="22"/>
        </w:rPr>
        <w:footnoteReference w:id="2"/>
      </w:r>
      <w:r w:rsidR="00503837">
        <w:rPr>
          <w:rFonts w:ascii="Bookman Old Style" w:hAnsi="Bookman Old Style"/>
          <w:sz w:val="22"/>
          <w:szCs w:val="22"/>
        </w:rPr>
        <w:t xml:space="preserve"> </w:t>
      </w:r>
      <w:r w:rsidR="00464289" w:rsidRPr="00503837">
        <w:rPr>
          <w:rFonts w:ascii="Bookman Old Style" w:hAnsi="Bookman Old Style"/>
          <w:sz w:val="22"/>
          <w:szCs w:val="22"/>
        </w:rPr>
        <w:t xml:space="preserve"> </w:t>
      </w:r>
    </w:p>
    <w:p w14:paraId="73BD5B77" w14:textId="6D308055" w:rsidR="00D01FCC" w:rsidRPr="00503837" w:rsidRDefault="00D01FCC" w:rsidP="00503837">
      <w:pPr>
        <w:spacing w:line="480" w:lineRule="auto"/>
        <w:ind w:firstLine="720"/>
        <w:rPr>
          <w:rFonts w:ascii="Bookman Old Style" w:hAnsi="Bookman Old Style"/>
          <w:sz w:val="22"/>
          <w:szCs w:val="22"/>
        </w:rPr>
      </w:pPr>
      <w:r w:rsidRPr="00503837">
        <w:rPr>
          <w:rFonts w:ascii="Bookman Old Style" w:hAnsi="Bookman Old Style"/>
          <w:sz w:val="22"/>
          <w:szCs w:val="22"/>
        </w:rPr>
        <w:t>The testimony of Witness DD was taken on July 26, 200</w:t>
      </w:r>
      <w:r w:rsidR="00967604" w:rsidRPr="00503837">
        <w:rPr>
          <w:rFonts w:ascii="Bookman Old Style" w:hAnsi="Bookman Old Style"/>
          <w:sz w:val="22"/>
          <w:szCs w:val="22"/>
        </w:rPr>
        <w:t>0</w:t>
      </w:r>
      <w:r w:rsidRPr="00503837">
        <w:rPr>
          <w:rFonts w:ascii="Bookman Old Style" w:hAnsi="Bookman Old Style"/>
          <w:sz w:val="22"/>
          <w:szCs w:val="22"/>
        </w:rPr>
        <w:t xml:space="preserve">. This date is almost exactly 5 years after the massacre originally took place. </w:t>
      </w:r>
      <w:r w:rsidR="00CC776D" w:rsidRPr="00503837">
        <w:rPr>
          <w:rFonts w:ascii="Bookman Old Style" w:hAnsi="Bookman Old Style"/>
          <w:sz w:val="22"/>
          <w:szCs w:val="22"/>
        </w:rPr>
        <w:t xml:space="preserve">It was taken as evidence in the trial against Radislav Krstic when the International Criminal tribunal for the former Yugoslavia and prosecuting those involved. </w:t>
      </w:r>
      <w:r w:rsidR="00C93117" w:rsidRPr="00503837">
        <w:rPr>
          <w:rFonts w:ascii="Bookman Old Style" w:hAnsi="Bookman Old Style"/>
          <w:sz w:val="22"/>
          <w:szCs w:val="22"/>
        </w:rPr>
        <w:t>Although the actual trial for Radislav Krstic would not take place for another twelve years this along with many other testimonies from over five hundred witnesses would influence the result and impact of that case. There is also the fact that this testimony was taken not long after the massacre originally took place and it still showed this woman and her child, as well as her daughter and her children, struggling to get by and rebuild their lives with her daughter not even having accommodation whereas the woman is only given a small room to live in for her and her son.</w:t>
      </w:r>
      <w:r w:rsidR="00176921">
        <w:rPr>
          <w:rStyle w:val="FootnoteReference"/>
          <w:rFonts w:ascii="Bookman Old Style" w:hAnsi="Bookman Old Style"/>
          <w:sz w:val="22"/>
          <w:szCs w:val="22"/>
        </w:rPr>
        <w:footnoteReference w:id="3"/>
      </w:r>
    </w:p>
    <w:p w14:paraId="6DFBAC8F" w14:textId="6F180052" w:rsidR="00CC776D" w:rsidRPr="00503837" w:rsidRDefault="00CC776D" w:rsidP="00503837">
      <w:pPr>
        <w:spacing w:line="480" w:lineRule="auto"/>
        <w:ind w:firstLine="720"/>
        <w:rPr>
          <w:rFonts w:ascii="Bookman Old Style" w:hAnsi="Bookman Old Style"/>
          <w:sz w:val="22"/>
          <w:szCs w:val="22"/>
        </w:rPr>
      </w:pPr>
      <w:r w:rsidRPr="00503837">
        <w:rPr>
          <w:rFonts w:ascii="Bookman Old Style" w:hAnsi="Bookman Old Style"/>
          <w:sz w:val="22"/>
          <w:szCs w:val="22"/>
        </w:rPr>
        <w:t>The testimony appeared in the International Criminal Tribunal for the former Yugoslavia. This particular one was used in the trial of Radislav Krstić which would end in him being convicted of crimes against humanity and war crimes and he was sentenced to 35 years.</w:t>
      </w:r>
      <w:r w:rsidR="00B10948">
        <w:rPr>
          <w:rStyle w:val="FootnoteReference"/>
          <w:rFonts w:ascii="Bookman Old Style" w:hAnsi="Bookman Old Style"/>
          <w:sz w:val="22"/>
          <w:szCs w:val="22"/>
        </w:rPr>
        <w:footnoteReference w:id="4"/>
      </w:r>
      <w:r w:rsidRPr="00503837">
        <w:rPr>
          <w:rFonts w:ascii="Bookman Old Style" w:hAnsi="Bookman Old Style"/>
          <w:sz w:val="22"/>
          <w:szCs w:val="22"/>
        </w:rPr>
        <w:t xml:space="preserve"> The intended audience of this information was likely the judge, the prosecution, and the defense, as well as a jury if one was present</w:t>
      </w:r>
      <w:r w:rsidR="00C93117" w:rsidRPr="00503837">
        <w:rPr>
          <w:rFonts w:ascii="Bookman Old Style" w:hAnsi="Bookman Old Style"/>
          <w:sz w:val="22"/>
          <w:szCs w:val="22"/>
        </w:rPr>
        <w:t xml:space="preserve"> on top of all other legal staff within the court room</w:t>
      </w:r>
      <w:r w:rsidRPr="00503837">
        <w:rPr>
          <w:rFonts w:ascii="Bookman Old Style" w:hAnsi="Bookman Old Style"/>
          <w:sz w:val="22"/>
          <w:szCs w:val="22"/>
        </w:rPr>
        <w:t xml:space="preserve">. Perhaps the intended affect was to help get General Krstic sentenced, maybe she intended for a harsher sentence. Most likely the </w:t>
      </w:r>
      <w:r w:rsidRPr="00503837">
        <w:rPr>
          <w:rFonts w:ascii="Bookman Old Style" w:hAnsi="Bookman Old Style"/>
          <w:sz w:val="22"/>
          <w:szCs w:val="22"/>
        </w:rPr>
        <w:lastRenderedPageBreak/>
        <w:t>intended purpose of this testimony would have been to tell the truth and provide insight on what had been happening on that horrific day in a way that would leave no room for him to argue that it didn’t pan out that way</w:t>
      </w:r>
      <w:r w:rsidR="004E5362" w:rsidRPr="00503837">
        <w:rPr>
          <w:rFonts w:ascii="Bookman Old Style" w:hAnsi="Bookman Old Style"/>
          <w:sz w:val="22"/>
          <w:szCs w:val="22"/>
        </w:rPr>
        <w:t xml:space="preserve">. </w:t>
      </w:r>
      <w:r w:rsidR="00B6626A" w:rsidRPr="00503837">
        <w:rPr>
          <w:rFonts w:ascii="Bookman Old Style" w:hAnsi="Bookman Old Style"/>
          <w:sz w:val="22"/>
          <w:szCs w:val="22"/>
        </w:rPr>
        <w:t xml:space="preserve">After the ending of the trial, the records were made public about the cases involved including multiple witness testimonies to be consumed by the public and was also used as a form of memorialization of the </w:t>
      </w:r>
      <w:r w:rsidR="00176921">
        <w:rPr>
          <w:rFonts w:ascii="Bookman Old Style" w:hAnsi="Bookman Old Style"/>
          <w:sz w:val="22"/>
          <w:szCs w:val="22"/>
        </w:rPr>
        <w:t>e</w:t>
      </w:r>
      <w:r w:rsidR="00B6626A" w:rsidRPr="00503837">
        <w:rPr>
          <w:rFonts w:ascii="Bookman Old Style" w:hAnsi="Bookman Old Style"/>
          <w:sz w:val="22"/>
          <w:szCs w:val="22"/>
        </w:rPr>
        <w:t>vents that occurred during the wars.</w:t>
      </w:r>
    </w:p>
    <w:p w14:paraId="577B6264" w14:textId="2584B4C7" w:rsidR="00CC776D" w:rsidRPr="00503837" w:rsidRDefault="00CC776D" w:rsidP="00503837">
      <w:pPr>
        <w:spacing w:line="480" w:lineRule="auto"/>
        <w:ind w:firstLine="720"/>
        <w:rPr>
          <w:rFonts w:ascii="Bookman Old Style" w:hAnsi="Bookman Old Style"/>
          <w:sz w:val="22"/>
          <w:szCs w:val="22"/>
        </w:rPr>
      </w:pPr>
      <w:r w:rsidRPr="00503837">
        <w:rPr>
          <w:rFonts w:ascii="Bookman Old Style" w:hAnsi="Bookman Old Style"/>
          <w:sz w:val="22"/>
          <w:szCs w:val="22"/>
        </w:rPr>
        <w:t xml:space="preserve">This particular extract does leave out many details. Other testimonies have shed </w:t>
      </w:r>
      <w:r w:rsidR="00967604" w:rsidRPr="00503837">
        <w:rPr>
          <w:rFonts w:ascii="Bookman Old Style" w:hAnsi="Bookman Old Style"/>
          <w:sz w:val="22"/>
          <w:szCs w:val="22"/>
        </w:rPr>
        <w:t>light</w:t>
      </w:r>
      <w:r w:rsidRPr="00503837">
        <w:rPr>
          <w:rFonts w:ascii="Bookman Old Style" w:hAnsi="Bookman Old Style"/>
          <w:sz w:val="22"/>
          <w:szCs w:val="22"/>
        </w:rPr>
        <w:t xml:space="preserve"> o</w:t>
      </w:r>
      <w:r w:rsidR="00C93117" w:rsidRPr="00503837">
        <w:rPr>
          <w:rFonts w:ascii="Bookman Old Style" w:hAnsi="Bookman Old Style"/>
          <w:sz w:val="22"/>
          <w:szCs w:val="22"/>
        </w:rPr>
        <w:t>n</w:t>
      </w:r>
      <w:r w:rsidRPr="00503837">
        <w:rPr>
          <w:rFonts w:ascii="Bookman Old Style" w:hAnsi="Bookman Old Style"/>
          <w:sz w:val="22"/>
          <w:szCs w:val="22"/>
        </w:rPr>
        <w:t xml:space="preserve"> the events that took place including descriptions of the sexual violence experienced by women</w:t>
      </w:r>
      <w:r w:rsidR="00967604" w:rsidRPr="00503837">
        <w:rPr>
          <w:rFonts w:ascii="Bookman Old Style" w:hAnsi="Bookman Old Style"/>
          <w:sz w:val="22"/>
          <w:szCs w:val="22"/>
        </w:rPr>
        <w:t xml:space="preserve">. It also does not include all of this particular witness’ testimony. There is much more information and insight that this extract eaves out compared to the full transcript of the testimony from the ICTY. </w:t>
      </w:r>
      <w:r w:rsidR="00855395" w:rsidRPr="00503837">
        <w:rPr>
          <w:rFonts w:ascii="Bookman Old Style" w:hAnsi="Bookman Old Style"/>
          <w:sz w:val="22"/>
          <w:szCs w:val="22"/>
        </w:rPr>
        <w:t xml:space="preserve">There is also the fact that this testimony is limited to the perspective of one person and does not include others, most notably the male perspective of </w:t>
      </w:r>
      <w:r w:rsidR="00062342" w:rsidRPr="00503837">
        <w:rPr>
          <w:rFonts w:ascii="Bookman Old Style" w:hAnsi="Bookman Old Style"/>
          <w:sz w:val="22"/>
          <w:szCs w:val="22"/>
        </w:rPr>
        <w:t>this massacre but there are few men who survived to tell that perspective.</w:t>
      </w:r>
      <w:r w:rsidR="00B10948">
        <w:rPr>
          <w:rFonts w:ascii="Bookman Old Style" w:hAnsi="Bookman Old Style"/>
          <w:sz w:val="22"/>
          <w:szCs w:val="22"/>
        </w:rPr>
        <w:t xml:space="preserve"> It would obviously leave out details that other people might have experienced that this woman just happened to either not </w:t>
      </w:r>
      <w:proofErr w:type="spellStart"/>
      <w:r w:rsidR="00B10948">
        <w:rPr>
          <w:rFonts w:ascii="Bookman Old Style" w:hAnsi="Bookman Old Style"/>
          <w:sz w:val="22"/>
          <w:szCs w:val="22"/>
        </w:rPr>
        <w:t>notiv</w:t>
      </w:r>
      <w:proofErr w:type="spellEnd"/>
      <w:r w:rsidR="00B10948">
        <w:rPr>
          <w:rFonts w:ascii="Bookman Old Style" w:hAnsi="Bookman Old Style"/>
          <w:sz w:val="22"/>
          <w:szCs w:val="22"/>
        </w:rPr>
        <w:t>=</w:t>
      </w:r>
      <w:proofErr w:type="spellStart"/>
      <w:r w:rsidR="00B10948">
        <w:rPr>
          <w:rFonts w:ascii="Bookman Old Style" w:hAnsi="Bookman Old Style"/>
          <w:sz w:val="22"/>
          <w:szCs w:val="22"/>
        </w:rPr>
        <w:t>ce</w:t>
      </w:r>
      <w:proofErr w:type="spellEnd"/>
      <w:r w:rsidR="00B10948">
        <w:rPr>
          <w:rFonts w:ascii="Bookman Old Style" w:hAnsi="Bookman Old Style"/>
          <w:sz w:val="22"/>
          <w:szCs w:val="22"/>
        </w:rPr>
        <w:t xml:space="preserve"> or not have happen to her at all.</w:t>
      </w:r>
    </w:p>
    <w:p w14:paraId="28261842" w14:textId="41C4AEE2" w:rsidR="00CD416E" w:rsidRPr="00503837" w:rsidRDefault="00CD416E" w:rsidP="00503837">
      <w:pPr>
        <w:spacing w:line="480" w:lineRule="auto"/>
        <w:ind w:firstLine="720"/>
        <w:rPr>
          <w:rFonts w:ascii="Bookman Old Style" w:hAnsi="Bookman Old Style"/>
          <w:sz w:val="22"/>
          <w:szCs w:val="22"/>
        </w:rPr>
      </w:pPr>
      <w:r w:rsidRPr="00503837">
        <w:rPr>
          <w:rFonts w:ascii="Bookman Old Style" w:hAnsi="Bookman Old Style"/>
          <w:sz w:val="22"/>
          <w:szCs w:val="22"/>
        </w:rPr>
        <w:t xml:space="preserve">The source would be an official legal transcript. Some of the implications with this </w:t>
      </w:r>
      <w:r w:rsidR="00F70220" w:rsidRPr="00503837">
        <w:rPr>
          <w:rFonts w:ascii="Bookman Old Style" w:hAnsi="Bookman Old Style"/>
          <w:sz w:val="22"/>
          <w:szCs w:val="22"/>
        </w:rPr>
        <w:t>source</w:t>
      </w:r>
      <w:r w:rsidRPr="00503837">
        <w:rPr>
          <w:rFonts w:ascii="Bookman Old Style" w:hAnsi="Bookman Old Style"/>
          <w:sz w:val="22"/>
          <w:szCs w:val="22"/>
        </w:rPr>
        <w:t xml:space="preserve"> could obviously be the fact that its retelling of events is going to be biased towards the witness telling the testimony, in this case a victim of the crime committed. However, being an official legal doc</w:t>
      </w:r>
      <w:r w:rsidR="002F2758" w:rsidRPr="00503837">
        <w:rPr>
          <w:rFonts w:ascii="Bookman Old Style" w:hAnsi="Bookman Old Style"/>
          <w:sz w:val="22"/>
          <w:szCs w:val="22"/>
        </w:rPr>
        <w:t xml:space="preserve">ument as well as an exact transcript of what was said does mean its probably better for a first-hand account of the events that took place. </w:t>
      </w:r>
      <w:r w:rsidR="00062342" w:rsidRPr="00503837">
        <w:rPr>
          <w:rFonts w:ascii="Bookman Old Style" w:hAnsi="Bookman Old Style"/>
          <w:sz w:val="22"/>
          <w:szCs w:val="22"/>
        </w:rPr>
        <w:t xml:space="preserve">Being a witness testimony it is also structured into specific questions asked of the witness so while someone may be seeking the answer to another question it is limited to information provided as answers to the question. </w:t>
      </w:r>
      <w:r w:rsidR="00932BF1" w:rsidRPr="00503837">
        <w:rPr>
          <w:rFonts w:ascii="Bookman Old Style" w:hAnsi="Bookman Old Style"/>
          <w:sz w:val="22"/>
          <w:szCs w:val="22"/>
        </w:rPr>
        <w:t xml:space="preserve">It differs from things such </w:t>
      </w:r>
      <w:r w:rsidR="00932BF1" w:rsidRPr="00503837">
        <w:rPr>
          <w:rFonts w:ascii="Bookman Old Style" w:hAnsi="Bookman Old Style"/>
          <w:sz w:val="22"/>
          <w:szCs w:val="22"/>
        </w:rPr>
        <w:lastRenderedPageBreak/>
        <w:t xml:space="preserve">as diaries and personal written testimonies as the current question as well as the emotions of the witness could affect what is told rather than with diaries and written testimonies where the person can go back and add more information and context. Ther also likely would have been a time limit and a limit on questions for each witness which can impact the amount and type of information you receive from it. </w:t>
      </w:r>
    </w:p>
    <w:p w14:paraId="4F4F6C76" w14:textId="79E2C4EF" w:rsidR="002F2758" w:rsidRPr="00503837" w:rsidRDefault="002F2758" w:rsidP="00503837">
      <w:pPr>
        <w:spacing w:line="480" w:lineRule="auto"/>
        <w:ind w:firstLine="720"/>
        <w:rPr>
          <w:rFonts w:ascii="Bookman Old Style" w:hAnsi="Bookman Old Style"/>
          <w:sz w:val="22"/>
          <w:szCs w:val="22"/>
        </w:rPr>
      </w:pPr>
      <w:r w:rsidRPr="00503837">
        <w:rPr>
          <w:rFonts w:ascii="Bookman Old Style" w:hAnsi="Bookman Old Style"/>
          <w:sz w:val="22"/>
          <w:szCs w:val="22"/>
        </w:rPr>
        <w:t xml:space="preserve">The main strength of this source is probably that it’s a </w:t>
      </w:r>
      <w:r w:rsidR="00F70220" w:rsidRPr="00503837">
        <w:rPr>
          <w:rFonts w:ascii="Bookman Old Style" w:hAnsi="Bookman Old Style"/>
          <w:sz w:val="22"/>
          <w:szCs w:val="22"/>
        </w:rPr>
        <w:t>firsthand</w:t>
      </w:r>
      <w:r w:rsidRPr="00503837">
        <w:rPr>
          <w:rFonts w:ascii="Bookman Old Style" w:hAnsi="Bookman Old Style"/>
          <w:sz w:val="22"/>
          <w:szCs w:val="22"/>
        </w:rPr>
        <w:t xml:space="preserve"> witness account of the massacre, therefor it is probably one of the most useful and accurate sources when wanting to know information on what happened in Srebrenica on that day.</w:t>
      </w:r>
      <w:r w:rsidR="003318C0" w:rsidRPr="00503837">
        <w:rPr>
          <w:rFonts w:ascii="Bookman Old Style" w:hAnsi="Bookman Old Style"/>
          <w:sz w:val="22"/>
          <w:szCs w:val="22"/>
        </w:rPr>
        <w:t xml:space="preserve"> She gave insight into many aspects of the massacre. She gave an example of when they separated boys from the women and children as they were believed to be “fighting age” even if they just looked too old rather than if they were or not. </w:t>
      </w:r>
      <w:r w:rsidR="002B1CF5" w:rsidRPr="00503837">
        <w:rPr>
          <w:rFonts w:ascii="Bookman Old Style" w:hAnsi="Bookman Old Style"/>
          <w:sz w:val="22"/>
          <w:szCs w:val="22"/>
        </w:rPr>
        <w:t xml:space="preserve">A weakness for this specific extract would be that it doesn’t include the entire testimony and does miss some vital parts of information. One weakness I would say for the whole source is that unfortunately it only tells us one perspective of what happened </w:t>
      </w:r>
      <w:r w:rsidR="00F70220" w:rsidRPr="00503837">
        <w:rPr>
          <w:rFonts w:ascii="Bookman Old Style" w:hAnsi="Bookman Old Style"/>
          <w:sz w:val="22"/>
          <w:szCs w:val="22"/>
        </w:rPr>
        <w:t>and specifically an adult female perspective. It is limited in the particular experiences that happened, but it still provides great insight that we would not have without her, or others’, testimonies on this event. It also provides an insight into what life was like for this person after the war, where she admitted she was still living as a refugee in a small room with her son, as well as her daughter who has her own children and has no accommodation at all. So even though the massacre had happened, and the war had been over for about 5 years at this point, and they were still struggling to find there new home and that she didn’t believe Srebrenica was safe anymore and wouldn’t return even though it is her home.</w:t>
      </w:r>
      <w:r w:rsidR="00967604" w:rsidRPr="00503837">
        <w:rPr>
          <w:rFonts w:ascii="Bookman Old Style" w:hAnsi="Bookman Old Style"/>
          <w:sz w:val="22"/>
          <w:szCs w:val="22"/>
        </w:rPr>
        <w:t xml:space="preserve"> Another weakness of this source would also be that since she is a protected witness there are certain redacted details that could have furthered peoples understanding of the event such as location, age, name. there is </w:t>
      </w:r>
      <w:r w:rsidR="00967604" w:rsidRPr="00503837">
        <w:rPr>
          <w:rFonts w:ascii="Bookman Old Style" w:hAnsi="Bookman Old Style"/>
          <w:sz w:val="22"/>
          <w:szCs w:val="22"/>
        </w:rPr>
        <w:lastRenderedPageBreak/>
        <w:t>also the problem of the defense disputing the credibility of the testimony as it is their job to defend their client, even if he does happen to be a person who has committed genocidal acts and war crimes.</w:t>
      </w:r>
      <w:r w:rsidR="004A30BC" w:rsidRPr="00503837">
        <w:rPr>
          <w:rFonts w:ascii="Bookman Old Style" w:hAnsi="Bookman Old Style"/>
          <w:sz w:val="22"/>
          <w:szCs w:val="22"/>
        </w:rPr>
        <w:t xml:space="preserve"> The final weakness </w:t>
      </w:r>
      <w:r w:rsidR="00176921">
        <w:rPr>
          <w:rFonts w:ascii="Bookman Old Style" w:hAnsi="Bookman Old Style"/>
          <w:sz w:val="22"/>
          <w:szCs w:val="22"/>
        </w:rPr>
        <w:t>I would</w:t>
      </w:r>
      <w:r w:rsidR="004A30BC" w:rsidRPr="00503837">
        <w:rPr>
          <w:rFonts w:ascii="Bookman Old Style" w:hAnsi="Bookman Old Style"/>
          <w:sz w:val="22"/>
          <w:szCs w:val="22"/>
        </w:rPr>
        <w:t xml:space="preserve"> point out in this source would be the fact that what she says was translated as well as the questions being asked. The fact that it’s a translation means that anyone who uses the English version is subjected to the slight bias that the translator could have. It is likely to be the most accurate translation as it is a legal transcript, but there is also the fact that some words and phrases do not translate directly into English therefore meaning that we do not get the true emotion behind the transcript.</w:t>
      </w:r>
      <w:r w:rsidR="00176921">
        <w:rPr>
          <w:rFonts w:ascii="Bookman Old Style" w:hAnsi="Bookman Old Style"/>
          <w:sz w:val="22"/>
          <w:szCs w:val="22"/>
        </w:rPr>
        <w:t xml:space="preserve"> The woman would have had to speak through an interpreter as the trial was mostly done in English.</w:t>
      </w:r>
      <w:r w:rsidR="00B10948">
        <w:rPr>
          <w:rStyle w:val="FootnoteReference"/>
          <w:rFonts w:ascii="Bookman Old Style" w:hAnsi="Bookman Old Style"/>
          <w:sz w:val="22"/>
          <w:szCs w:val="22"/>
        </w:rPr>
        <w:footnoteReference w:id="5"/>
      </w:r>
      <w:r w:rsidR="004A30BC" w:rsidRPr="00503837">
        <w:rPr>
          <w:rFonts w:ascii="Bookman Old Style" w:hAnsi="Bookman Old Style"/>
          <w:sz w:val="22"/>
          <w:szCs w:val="22"/>
        </w:rPr>
        <w:t xml:space="preserve"> </w:t>
      </w:r>
    </w:p>
    <w:p w14:paraId="3EA0777C" w14:textId="309C188F" w:rsidR="004A30BC" w:rsidRPr="00503837" w:rsidRDefault="00E83897" w:rsidP="00503837">
      <w:pPr>
        <w:spacing w:line="480" w:lineRule="auto"/>
        <w:ind w:firstLine="720"/>
        <w:rPr>
          <w:rFonts w:ascii="Bookman Old Style" w:hAnsi="Bookman Old Style"/>
          <w:sz w:val="22"/>
          <w:szCs w:val="22"/>
        </w:rPr>
      </w:pPr>
      <w:r w:rsidRPr="00503837">
        <w:rPr>
          <w:rFonts w:ascii="Bookman Old Style" w:hAnsi="Bookman Old Style"/>
          <w:sz w:val="22"/>
          <w:szCs w:val="22"/>
        </w:rPr>
        <w:t xml:space="preserve">What this transcript can tell us is an exact account of what an individual living in Srebrenica experienced during that time in July 1995. It gives us a </w:t>
      </w:r>
      <w:r w:rsidR="004E5362" w:rsidRPr="00503837">
        <w:rPr>
          <w:rFonts w:ascii="Bookman Old Style" w:hAnsi="Bookman Old Style"/>
          <w:sz w:val="22"/>
          <w:szCs w:val="22"/>
        </w:rPr>
        <w:t>firsthand</w:t>
      </w:r>
      <w:r w:rsidRPr="00503837">
        <w:rPr>
          <w:rFonts w:ascii="Bookman Old Style" w:hAnsi="Bookman Old Style"/>
          <w:sz w:val="22"/>
          <w:szCs w:val="22"/>
        </w:rPr>
        <w:t xml:space="preserve"> account of how the genocide was committed. It says how the shelling started days before and that people were escaping their houses and hiding in the woods.</w:t>
      </w:r>
      <w:r w:rsidR="00176921">
        <w:rPr>
          <w:rStyle w:val="FootnoteReference"/>
          <w:rFonts w:ascii="Bookman Old Style" w:hAnsi="Bookman Old Style"/>
          <w:sz w:val="22"/>
          <w:szCs w:val="22"/>
        </w:rPr>
        <w:footnoteReference w:id="6"/>
      </w:r>
      <w:r w:rsidRPr="00503837">
        <w:rPr>
          <w:rFonts w:ascii="Bookman Old Style" w:hAnsi="Bookman Old Style"/>
          <w:sz w:val="22"/>
          <w:szCs w:val="22"/>
        </w:rPr>
        <w:t xml:space="preserve"> It tells us how when they were heading towards the known safe area that Serb forces were there and stared separating women, children, and the elderly from the men and boys. It gives an account </w:t>
      </w:r>
      <w:r w:rsidR="004E5362" w:rsidRPr="00503837">
        <w:rPr>
          <w:rFonts w:ascii="Bookman Old Style" w:hAnsi="Bookman Old Style"/>
          <w:sz w:val="22"/>
          <w:szCs w:val="22"/>
        </w:rPr>
        <w:t>from the perspective of a woman who was first separated from her husband and eldest son just to then have her other s</w:t>
      </w:r>
      <w:r w:rsidR="00176921">
        <w:rPr>
          <w:rFonts w:ascii="Bookman Old Style" w:hAnsi="Bookman Old Style"/>
          <w:sz w:val="22"/>
          <w:szCs w:val="22"/>
        </w:rPr>
        <w:t>o</w:t>
      </w:r>
      <w:r w:rsidR="004E5362" w:rsidRPr="00503837">
        <w:rPr>
          <w:rFonts w:ascii="Bookman Old Style" w:hAnsi="Bookman Old Style"/>
          <w:sz w:val="22"/>
          <w:szCs w:val="22"/>
        </w:rPr>
        <w:t>n taken away from her and that day being the last time she would ever see them. It also tells us of the aftermath experienced by the survivors of this genocide.</w:t>
      </w:r>
      <w:r w:rsidR="0076700F" w:rsidRPr="00503837">
        <w:rPr>
          <w:rFonts w:ascii="Bookman Old Style" w:hAnsi="Bookman Old Style"/>
          <w:sz w:val="22"/>
          <w:szCs w:val="22"/>
        </w:rPr>
        <w:t xml:space="preserve"> She also confirms that sexual violence against women was not an uncommon thing and was a rather targeted and planned part of this massacre.</w:t>
      </w:r>
      <w:r w:rsidR="004E5362" w:rsidRPr="00503837">
        <w:rPr>
          <w:rFonts w:ascii="Bookman Old Style" w:hAnsi="Bookman Old Style"/>
          <w:sz w:val="22"/>
          <w:szCs w:val="22"/>
        </w:rPr>
        <w:t xml:space="preserve"> Since this testimony was given in 2000, it would have been five </w:t>
      </w:r>
      <w:r w:rsidR="004E5362" w:rsidRPr="00503837">
        <w:rPr>
          <w:rFonts w:ascii="Bookman Old Style" w:hAnsi="Bookman Old Style"/>
          <w:sz w:val="22"/>
          <w:szCs w:val="22"/>
        </w:rPr>
        <w:lastRenderedPageBreak/>
        <w:t>years after the massacre originally occurred, and how this woman was just one of many refugees struggling to get by and struggling to get through the day when they are constantly reminded of what they have lost due to this violence committed against them.</w:t>
      </w:r>
      <w:r w:rsidR="00C81E89" w:rsidRPr="00503837">
        <w:rPr>
          <w:rFonts w:ascii="Bookman Old Style" w:hAnsi="Bookman Old Style"/>
          <w:sz w:val="22"/>
          <w:szCs w:val="22"/>
        </w:rPr>
        <w:t xml:space="preserve"> It shows the fear and humiliation that her people still faced after the war as well as during the conflict. Knowing that there weren’t many places within their own country that were safe enough for them.</w:t>
      </w:r>
      <w:r w:rsidR="004E5362" w:rsidRPr="00503837">
        <w:rPr>
          <w:rFonts w:ascii="Bookman Old Style" w:hAnsi="Bookman Old Style"/>
          <w:sz w:val="22"/>
          <w:szCs w:val="22"/>
        </w:rPr>
        <w:t xml:space="preserve"> This testimony also gives insight on the ruling and sentencing of the ICTY. If these case documents and testimonies had not been available to the public it would have given academics less reasoning behind the ruling and maybe what the general public knows today of that massacre would be significantly less as there would have been fewer primary sources to use.</w:t>
      </w:r>
      <w:r w:rsidR="00B10948">
        <w:rPr>
          <w:rStyle w:val="FootnoteReference"/>
          <w:rFonts w:ascii="Bookman Old Style" w:hAnsi="Bookman Old Style"/>
          <w:sz w:val="22"/>
          <w:szCs w:val="22"/>
        </w:rPr>
        <w:footnoteReference w:id="7"/>
      </w:r>
      <w:r w:rsidR="004E5362" w:rsidRPr="00503837">
        <w:rPr>
          <w:rFonts w:ascii="Bookman Old Style" w:hAnsi="Bookman Old Style"/>
          <w:sz w:val="22"/>
          <w:szCs w:val="22"/>
        </w:rPr>
        <w:t xml:space="preserve"> </w:t>
      </w:r>
    </w:p>
    <w:p w14:paraId="6C433D75" w14:textId="6A99A27E" w:rsidR="00176921" w:rsidRDefault="003C109C" w:rsidP="00176921">
      <w:pPr>
        <w:spacing w:line="480" w:lineRule="auto"/>
        <w:ind w:firstLine="720"/>
        <w:rPr>
          <w:rFonts w:ascii="Bookman Old Style" w:hAnsi="Bookman Old Style"/>
          <w:sz w:val="22"/>
          <w:szCs w:val="22"/>
        </w:rPr>
      </w:pPr>
      <w:r w:rsidRPr="00503837">
        <w:rPr>
          <w:rFonts w:ascii="Bookman Old Style" w:hAnsi="Bookman Old Style"/>
          <w:sz w:val="22"/>
          <w:szCs w:val="22"/>
        </w:rPr>
        <w:t>The testimony of Witness “DD”</w:t>
      </w:r>
      <w:r w:rsidR="00063BE9" w:rsidRPr="00503837">
        <w:rPr>
          <w:rFonts w:ascii="Bookman Old Style" w:hAnsi="Bookman Old Style"/>
          <w:sz w:val="22"/>
          <w:szCs w:val="22"/>
        </w:rPr>
        <w:t xml:space="preserve"> provides a great insight into the events at Srebrenica and a witness account of the horrors perpetrated on the orders of Radislav Krstic</w:t>
      </w:r>
      <w:r w:rsidR="001B45DC" w:rsidRPr="00503837">
        <w:rPr>
          <w:rFonts w:ascii="Bookman Old Style" w:hAnsi="Bookman Old Style"/>
          <w:sz w:val="22"/>
          <w:szCs w:val="22"/>
        </w:rPr>
        <w:t xml:space="preserve">. While Krstic has gone on to deny that he had a significant role in the genocide and ethnic cleansing in the area this is one piece of evidence that has proven that it still happened and is one way to discredit him and helped to sentence those responsible for the horrific acts of Serbians against Bosnian Muslims. </w:t>
      </w:r>
    </w:p>
    <w:p w14:paraId="2DE8BD2F" w14:textId="77777777" w:rsidR="00176921" w:rsidRDefault="00176921" w:rsidP="00176921">
      <w:pPr>
        <w:spacing w:line="480" w:lineRule="auto"/>
        <w:rPr>
          <w:rFonts w:ascii="Bookman Old Style" w:hAnsi="Bookman Old Style"/>
          <w:sz w:val="22"/>
          <w:szCs w:val="22"/>
        </w:rPr>
      </w:pPr>
    </w:p>
    <w:p w14:paraId="45E36E90" w14:textId="77777777" w:rsidR="00176921" w:rsidRDefault="00176921" w:rsidP="00176921">
      <w:pPr>
        <w:spacing w:line="480" w:lineRule="auto"/>
        <w:rPr>
          <w:rFonts w:ascii="Bookman Old Style" w:hAnsi="Bookman Old Style"/>
          <w:sz w:val="22"/>
          <w:szCs w:val="22"/>
        </w:rPr>
      </w:pPr>
    </w:p>
    <w:p w14:paraId="6ACD1390" w14:textId="77777777" w:rsidR="00176921" w:rsidRDefault="00176921" w:rsidP="00176921">
      <w:pPr>
        <w:spacing w:line="480" w:lineRule="auto"/>
        <w:rPr>
          <w:rFonts w:ascii="Bookman Old Style" w:hAnsi="Bookman Old Style"/>
          <w:sz w:val="22"/>
          <w:szCs w:val="22"/>
        </w:rPr>
      </w:pPr>
    </w:p>
    <w:p w14:paraId="07E70660" w14:textId="77777777" w:rsidR="00176921" w:rsidRDefault="00176921" w:rsidP="00176921">
      <w:pPr>
        <w:spacing w:line="480" w:lineRule="auto"/>
        <w:rPr>
          <w:rFonts w:ascii="Bookman Old Style" w:hAnsi="Bookman Old Style"/>
          <w:sz w:val="22"/>
          <w:szCs w:val="22"/>
        </w:rPr>
      </w:pPr>
    </w:p>
    <w:p w14:paraId="3862D2B8" w14:textId="77777777" w:rsidR="00176921" w:rsidRDefault="00176921" w:rsidP="00176921">
      <w:pPr>
        <w:spacing w:line="480" w:lineRule="auto"/>
        <w:rPr>
          <w:rFonts w:ascii="Bookman Old Style" w:hAnsi="Bookman Old Style"/>
          <w:sz w:val="22"/>
          <w:szCs w:val="22"/>
        </w:rPr>
      </w:pPr>
    </w:p>
    <w:p w14:paraId="6170C9E4" w14:textId="77777777" w:rsidR="00176921" w:rsidRDefault="00176921" w:rsidP="00176921">
      <w:pPr>
        <w:spacing w:line="480" w:lineRule="auto"/>
        <w:rPr>
          <w:rFonts w:ascii="Bookman Old Style" w:hAnsi="Bookman Old Style"/>
          <w:sz w:val="22"/>
          <w:szCs w:val="22"/>
        </w:rPr>
      </w:pPr>
    </w:p>
    <w:p w14:paraId="35CAF401" w14:textId="77777777" w:rsidR="00176921" w:rsidRDefault="00176921" w:rsidP="00176921">
      <w:pPr>
        <w:spacing w:line="480" w:lineRule="auto"/>
        <w:rPr>
          <w:rFonts w:ascii="Bookman Old Style" w:hAnsi="Bookman Old Style"/>
          <w:sz w:val="22"/>
          <w:szCs w:val="22"/>
        </w:rPr>
      </w:pPr>
    </w:p>
    <w:p w14:paraId="7BD24A7B" w14:textId="77777777" w:rsidR="00176921" w:rsidRDefault="00176921" w:rsidP="00176921">
      <w:pPr>
        <w:spacing w:line="480" w:lineRule="auto"/>
        <w:rPr>
          <w:rFonts w:ascii="Bookman Old Style" w:hAnsi="Bookman Old Style"/>
          <w:sz w:val="22"/>
          <w:szCs w:val="22"/>
        </w:rPr>
      </w:pPr>
    </w:p>
    <w:p w14:paraId="4E52CA25" w14:textId="77777777" w:rsidR="00176921" w:rsidRDefault="00176921" w:rsidP="00176921">
      <w:pPr>
        <w:spacing w:line="480" w:lineRule="auto"/>
        <w:rPr>
          <w:rFonts w:ascii="Bookman Old Style" w:hAnsi="Bookman Old Style"/>
          <w:sz w:val="22"/>
          <w:szCs w:val="22"/>
        </w:rPr>
      </w:pPr>
    </w:p>
    <w:p w14:paraId="01B41288" w14:textId="77777777" w:rsidR="00176921" w:rsidRDefault="00176921" w:rsidP="00176921">
      <w:pPr>
        <w:spacing w:line="480" w:lineRule="auto"/>
        <w:rPr>
          <w:rFonts w:ascii="Bookman Old Style" w:hAnsi="Bookman Old Style"/>
          <w:sz w:val="22"/>
          <w:szCs w:val="22"/>
        </w:rPr>
      </w:pPr>
    </w:p>
    <w:p w14:paraId="16D3DEE3" w14:textId="0E97B369" w:rsidR="00176921" w:rsidRDefault="00176921" w:rsidP="00176921">
      <w:pPr>
        <w:spacing w:line="480" w:lineRule="auto"/>
        <w:rPr>
          <w:rFonts w:ascii="Bookman Old Style" w:hAnsi="Bookman Old Style"/>
          <w:sz w:val="28"/>
          <w:szCs w:val="28"/>
          <w:u w:val="single"/>
        </w:rPr>
      </w:pPr>
      <w:r>
        <w:rPr>
          <w:rFonts w:ascii="Bookman Old Style" w:hAnsi="Bookman Old Style"/>
          <w:sz w:val="28"/>
          <w:szCs w:val="28"/>
          <w:u w:val="single"/>
        </w:rPr>
        <w:t>Bibliography:</w:t>
      </w:r>
    </w:p>
    <w:p w14:paraId="74CF088B" w14:textId="13D2E566" w:rsidR="00176921" w:rsidRDefault="00176921" w:rsidP="00176921">
      <w:pPr>
        <w:pStyle w:val="NormalWeb"/>
        <w:spacing w:before="0" w:beforeAutospacing="0" w:after="240" w:afterAutospacing="0" w:line="360" w:lineRule="auto"/>
        <w:ind w:left="720" w:hanging="720"/>
        <w:rPr>
          <w:rFonts w:ascii="Bookman Old Style" w:hAnsi="Bookman Old Style"/>
          <w:sz w:val="22"/>
          <w:szCs w:val="22"/>
        </w:rPr>
      </w:pPr>
      <w:r w:rsidRPr="00176921">
        <w:rPr>
          <w:rFonts w:ascii="Bookman Old Style" w:hAnsi="Bookman Old Style"/>
          <w:sz w:val="22"/>
          <w:szCs w:val="22"/>
        </w:rPr>
        <w:t xml:space="preserve">Jeffrey, Alex, and Michaelina Jakala, ‘Beyond Trial Justice in the Former Yugoslavia’, </w:t>
      </w:r>
      <w:r w:rsidRPr="00176921">
        <w:rPr>
          <w:rFonts w:ascii="Bookman Old Style" w:hAnsi="Bookman Old Style"/>
          <w:i/>
          <w:iCs/>
          <w:sz w:val="22"/>
          <w:szCs w:val="22"/>
        </w:rPr>
        <w:t>The Geographical Journal</w:t>
      </w:r>
      <w:r w:rsidRPr="00176921">
        <w:rPr>
          <w:rFonts w:ascii="Bookman Old Style" w:hAnsi="Bookman Old Style"/>
          <w:sz w:val="22"/>
          <w:szCs w:val="22"/>
        </w:rPr>
        <w:t xml:space="preserve">, 178.4 (2012), 290–95 </w:t>
      </w:r>
      <w:hyperlink r:id="rId8" w:history="1">
        <w:r w:rsidRPr="00FF0372">
          <w:rPr>
            <w:rStyle w:val="Hyperlink"/>
            <w:rFonts w:ascii="Bookman Old Style" w:hAnsi="Bookman Old Style"/>
            <w:sz w:val="22"/>
            <w:szCs w:val="22"/>
          </w:rPr>
          <w:t>https://doi.org/10.1111/j.1475-4959.2012.00461.x</w:t>
        </w:r>
      </w:hyperlink>
    </w:p>
    <w:p w14:paraId="02C6A860" w14:textId="77777777" w:rsidR="00176921" w:rsidRDefault="00176921" w:rsidP="00176921">
      <w:pPr>
        <w:pStyle w:val="NormalWeb"/>
        <w:spacing w:before="0" w:beforeAutospacing="0" w:after="240" w:afterAutospacing="0" w:line="360" w:lineRule="auto"/>
        <w:ind w:left="720" w:hanging="720"/>
        <w:rPr>
          <w:rFonts w:ascii="Bookman Old Style" w:hAnsi="Bookman Old Style"/>
          <w:sz w:val="22"/>
          <w:szCs w:val="22"/>
        </w:rPr>
      </w:pPr>
      <w:r w:rsidRPr="00176921">
        <w:rPr>
          <w:rFonts w:ascii="Bookman Old Style" w:hAnsi="Bookman Old Style"/>
          <w:sz w:val="22"/>
          <w:szCs w:val="22"/>
        </w:rPr>
        <w:t xml:space="preserve">‘Mladić (IT-09-92) | International Criminal Tribunal for the Former Yugoslavia’, </w:t>
      </w:r>
      <w:r w:rsidRPr="00176921">
        <w:rPr>
          <w:rFonts w:ascii="Bookman Old Style" w:hAnsi="Bookman Old Style"/>
          <w:i/>
          <w:iCs/>
          <w:sz w:val="22"/>
          <w:szCs w:val="22"/>
        </w:rPr>
        <w:t>Icty.org</w:t>
      </w:r>
      <w:r w:rsidRPr="00176921">
        <w:rPr>
          <w:rFonts w:ascii="Bookman Old Style" w:hAnsi="Bookman Old Style"/>
          <w:sz w:val="22"/>
          <w:szCs w:val="22"/>
        </w:rPr>
        <w:t>, 2017 &lt;https://www.icty.org/en/case/mladic/&gt; [accessed 9 February 2025]</w:t>
      </w:r>
    </w:p>
    <w:p w14:paraId="7FB1F337" w14:textId="1A227576" w:rsidR="00176921" w:rsidRDefault="00176921" w:rsidP="00176921">
      <w:pPr>
        <w:pStyle w:val="NormalWeb"/>
        <w:spacing w:before="0" w:beforeAutospacing="0" w:after="240" w:afterAutospacing="0" w:line="360" w:lineRule="auto"/>
        <w:ind w:left="720" w:hanging="720"/>
        <w:rPr>
          <w:rFonts w:ascii="Bookman Old Style" w:hAnsi="Bookman Old Style"/>
          <w:sz w:val="22"/>
          <w:szCs w:val="22"/>
        </w:rPr>
      </w:pPr>
      <w:r w:rsidRPr="00176921">
        <w:rPr>
          <w:rFonts w:ascii="Bookman Old Style" w:hAnsi="Bookman Old Style"/>
          <w:sz w:val="22"/>
          <w:szCs w:val="22"/>
        </w:rPr>
        <w:t xml:space="preserve">‘Witness DD | International Criminal Tribunal for the Former Yugoslavia’, </w:t>
      </w:r>
      <w:r w:rsidRPr="00176921">
        <w:rPr>
          <w:rFonts w:ascii="Bookman Old Style" w:hAnsi="Bookman Old Style"/>
          <w:i/>
          <w:iCs/>
          <w:sz w:val="22"/>
          <w:szCs w:val="22"/>
        </w:rPr>
        <w:t>Www.icty.org</w:t>
      </w:r>
      <w:r w:rsidRPr="00176921">
        <w:rPr>
          <w:rFonts w:ascii="Bookman Old Style" w:hAnsi="Bookman Old Style"/>
          <w:sz w:val="22"/>
          <w:szCs w:val="22"/>
        </w:rPr>
        <w:t xml:space="preserve"> </w:t>
      </w:r>
      <w:hyperlink r:id="rId9" w:history="1">
        <w:r w:rsidRPr="00FF0372">
          <w:rPr>
            <w:rStyle w:val="Hyperlink"/>
            <w:rFonts w:ascii="Bookman Old Style" w:hAnsi="Bookman Old Style"/>
            <w:sz w:val="22"/>
            <w:szCs w:val="22"/>
          </w:rPr>
          <w:t>https://www.icty.org/en/content/witness-dd</w:t>
        </w:r>
      </w:hyperlink>
    </w:p>
    <w:p w14:paraId="55EBA106" w14:textId="28EC4C9E" w:rsidR="00176921" w:rsidRDefault="00176921" w:rsidP="00176921">
      <w:pPr>
        <w:pStyle w:val="NormalWeb"/>
        <w:spacing w:before="0" w:beforeAutospacing="0" w:after="240" w:afterAutospacing="0" w:line="360" w:lineRule="auto"/>
        <w:ind w:left="720" w:hanging="720"/>
        <w:rPr>
          <w:rFonts w:ascii="Bookman Old Style" w:hAnsi="Bookman Old Style"/>
          <w:sz w:val="22"/>
          <w:szCs w:val="22"/>
        </w:rPr>
      </w:pPr>
      <w:r w:rsidRPr="00176921">
        <w:rPr>
          <w:rFonts w:ascii="Bookman Old Style" w:hAnsi="Bookman Old Style"/>
          <w:sz w:val="22"/>
          <w:szCs w:val="22"/>
        </w:rPr>
        <w:t xml:space="preserve">ICTY, ‘About the ICTY | International Criminal Tribunal for the Former Yugoslavia’, </w:t>
      </w:r>
      <w:r w:rsidRPr="00176921">
        <w:rPr>
          <w:rFonts w:ascii="Bookman Old Style" w:hAnsi="Bookman Old Style"/>
          <w:i/>
          <w:iCs/>
          <w:sz w:val="22"/>
          <w:szCs w:val="22"/>
        </w:rPr>
        <w:t>Icty.org</w:t>
      </w:r>
      <w:r w:rsidRPr="00176921">
        <w:rPr>
          <w:rFonts w:ascii="Bookman Old Style" w:hAnsi="Bookman Old Style"/>
          <w:sz w:val="22"/>
          <w:szCs w:val="22"/>
        </w:rPr>
        <w:t xml:space="preserve">, 2017 </w:t>
      </w:r>
      <w:hyperlink r:id="rId10" w:history="1">
        <w:r w:rsidR="00691914" w:rsidRPr="00FF0372">
          <w:rPr>
            <w:rStyle w:val="Hyperlink"/>
            <w:rFonts w:ascii="Bookman Old Style" w:hAnsi="Bookman Old Style"/>
            <w:sz w:val="22"/>
            <w:szCs w:val="22"/>
          </w:rPr>
          <w:t>https://www.icty.org/en/about</w:t>
        </w:r>
      </w:hyperlink>
    </w:p>
    <w:p w14:paraId="5D1A50F9" w14:textId="40DEBB24" w:rsidR="00691914" w:rsidRPr="00691914" w:rsidRDefault="00691914" w:rsidP="00691914">
      <w:pPr>
        <w:pStyle w:val="NormalWeb"/>
        <w:spacing w:after="240" w:line="360" w:lineRule="auto"/>
        <w:ind w:left="720" w:hanging="720"/>
        <w:rPr>
          <w:rFonts w:ascii="Bookman Old Style" w:hAnsi="Bookman Old Style"/>
          <w:sz w:val="22"/>
          <w:szCs w:val="22"/>
          <w:lang w:val="en-US"/>
        </w:rPr>
      </w:pPr>
      <w:r w:rsidRPr="00691914">
        <w:rPr>
          <w:rFonts w:ascii="Bookman Old Style" w:hAnsi="Bookman Old Style"/>
          <w:sz w:val="22"/>
          <w:szCs w:val="22"/>
          <w:lang w:val="en-US"/>
        </w:rPr>
        <w:t>Extract from transcript of testimony ‘Witness DD</w:t>
      </w:r>
      <w:proofErr w:type="gramStart"/>
      <w:r w:rsidRPr="00691914">
        <w:rPr>
          <w:rFonts w:ascii="Bookman Old Style" w:hAnsi="Bookman Old Style"/>
          <w:sz w:val="22"/>
          <w:szCs w:val="22"/>
          <w:lang w:val="en-US"/>
        </w:rPr>
        <w:t>’,</w:t>
      </w:r>
      <w:proofErr w:type="gramEnd"/>
      <w:r w:rsidRPr="00691914">
        <w:rPr>
          <w:rFonts w:ascii="Bookman Old Style" w:hAnsi="Bookman Old Style"/>
          <w:sz w:val="22"/>
          <w:szCs w:val="22"/>
          <w:lang w:val="en-US"/>
        </w:rPr>
        <w:t xml:space="preserve"> International Criminal Tribunal for the Former Yugoslavia, Case No IT-98-33-T, 26 July 2000</w:t>
      </w:r>
    </w:p>
    <w:p w14:paraId="62AD0081" w14:textId="77777777" w:rsidR="00691914" w:rsidRPr="00691914" w:rsidRDefault="00691914" w:rsidP="00176921">
      <w:pPr>
        <w:pStyle w:val="NormalWeb"/>
        <w:spacing w:before="0" w:beforeAutospacing="0" w:after="240" w:afterAutospacing="0" w:line="360" w:lineRule="auto"/>
        <w:ind w:left="720" w:hanging="720"/>
        <w:rPr>
          <w:rFonts w:ascii="Bookman Old Style" w:hAnsi="Bookman Old Style"/>
          <w:sz w:val="22"/>
          <w:szCs w:val="22"/>
          <w:lang w:val="en-US"/>
        </w:rPr>
      </w:pPr>
    </w:p>
    <w:p w14:paraId="246770AD" w14:textId="77777777" w:rsidR="00176921" w:rsidRPr="00176921" w:rsidRDefault="00176921" w:rsidP="00176921">
      <w:pPr>
        <w:pStyle w:val="NormalWeb"/>
        <w:spacing w:before="0" w:beforeAutospacing="0" w:after="240" w:afterAutospacing="0" w:line="360" w:lineRule="auto"/>
        <w:ind w:left="720" w:hanging="720"/>
        <w:rPr>
          <w:rFonts w:ascii="Bookman Old Style" w:hAnsi="Bookman Old Style"/>
          <w:sz w:val="22"/>
          <w:szCs w:val="22"/>
        </w:rPr>
      </w:pPr>
    </w:p>
    <w:p w14:paraId="0D69E2D8" w14:textId="77777777" w:rsidR="00176921" w:rsidRPr="00176921" w:rsidRDefault="00176921" w:rsidP="00176921">
      <w:pPr>
        <w:pStyle w:val="NormalWeb"/>
        <w:spacing w:before="0" w:beforeAutospacing="0" w:after="240" w:afterAutospacing="0" w:line="360" w:lineRule="auto"/>
        <w:ind w:left="720" w:hanging="720"/>
        <w:rPr>
          <w:rFonts w:ascii="Bookman Old Style" w:hAnsi="Bookman Old Style"/>
          <w:sz w:val="22"/>
          <w:szCs w:val="22"/>
        </w:rPr>
      </w:pPr>
    </w:p>
    <w:p w14:paraId="0647E0A2" w14:textId="77777777" w:rsidR="00176921" w:rsidRPr="00176921" w:rsidRDefault="00176921" w:rsidP="00176921">
      <w:pPr>
        <w:pStyle w:val="NormalWeb"/>
        <w:spacing w:before="0" w:beforeAutospacing="0" w:after="240" w:afterAutospacing="0" w:line="360" w:lineRule="auto"/>
        <w:ind w:left="720" w:hanging="720"/>
        <w:rPr>
          <w:rFonts w:ascii="Bookman Old Style" w:hAnsi="Bookman Old Style"/>
          <w:sz w:val="22"/>
          <w:szCs w:val="22"/>
        </w:rPr>
      </w:pPr>
    </w:p>
    <w:p w14:paraId="2ED39C52" w14:textId="62E48BAB" w:rsidR="00176921" w:rsidRPr="00176921" w:rsidRDefault="00176921" w:rsidP="00176921">
      <w:pPr>
        <w:spacing w:line="480" w:lineRule="auto"/>
        <w:rPr>
          <w:rFonts w:ascii="Bookman Old Style" w:hAnsi="Bookman Old Style"/>
          <w:sz w:val="22"/>
          <w:szCs w:val="22"/>
        </w:rPr>
      </w:pPr>
    </w:p>
    <w:sectPr w:rsidR="00176921" w:rsidRPr="001769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1B251" w14:textId="77777777" w:rsidR="00656B9F" w:rsidRPr="000546FD" w:rsidRDefault="00656B9F" w:rsidP="000546FD">
      <w:pPr>
        <w:spacing w:after="0" w:line="240" w:lineRule="auto"/>
      </w:pPr>
      <w:r w:rsidRPr="000546FD">
        <w:separator/>
      </w:r>
    </w:p>
  </w:endnote>
  <w:endnote w:type="continuationSeparator" w:id="0">
    <w:p w14:paraId="15890975" w14:textId="77777777" w:rsidR="00656B9F" w:rsidRPr="000546FD" w:rsidRDefault="00656B9F" w:rsidP="000546FD">
      <w:pPr>
        <w:spacing w:after="0" w:line="240" w:lineRule="auto"/>
      </w:pPr>
      <w:r w:rsidRPr="000546F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94252D" w14:textId="77777777" w:rsidR="00656B9F" w:rsidRPr="000546FD" w:rsidRDefault="00656B9F" w:rsidP="000546FD">
      <w:pPr>
        <w:spacing w:after="0" w:line="240" w:lineRule="auto"/>
      </w:pPr>
      <w:r w:rsidRPr="000546FD">
        <w:separator/>
      </w:r>
    </w:p>
  </w:footnote>
  <w:footnote w:type="continuationSeparator" w:id="0">
    <w:p w14:paraId="09CA1428" w14:textId="77777777" w:rsidR="00656B9F" w:rsidRPr="000546FD" w:rsidRDefault="00656B9F" w:rsidP="000546FD">
      <w:pPr>
        <w:spacing w:after="0" w:line="240" w:lineRule="auto"/>
      </w:pPr>
      <w:r w:rsidRPr="000546FD">
        <w:continuationSeparator/>
      </w:r>
    </w:p>
  </w:footnote>
  <w:footnote w:id="1">
    <w:p w14:paraId="0D989498" w14:textId="51B16CF2" w:rsidR="00176921" w:rsidRPr="00176921" w:rsidRDefault="00176921">
      <w:pPr>
        <w:pStyle w:val="FootnoteText"/>
        <w:rPr>
          <w:rFonts w:ascii="Bookman Old Style" w:hAnsi="Bookman Old Style"/>
          <w:sz w:val="18"/>
          <w:szCs w:val="18"/>
        </w:rPr>
      </w:pPr>
      <w:r w:rsidRPr="00176921">
        <w:rPr>
          <w:rStyle w:val="FootnoteReference"/>
          <w:rFonts w:ascii="Bookman Old Style" w:hAnsi="Bookman Old Style"/>
          <w:sz w:val="18"/>
          <w:szCs w:val="18"/>
        </w:rPr>
        <w:footnoteRef/>
      </w:r>
      <w:r w:rsidRPr="00176921">
        <w:rPr>
          <w:rFonts w:ascii="Bookman Old Style" w:hAnsi="Bookman Old Style"/>
          <w:sz w:val="18"/>
          <w:szCs w:val="18"/>
        </w:rPr>
        <w:t xml:space="preserve"> </w:t>
      </w:r>
      <w:r w:rsidRPr="00176921">
        <w:rPr>
          <w:rFonts w:ascii="Bookman Old Style" w:hAnsi="Bookman Old Style"/>
          <w:sz w:val="18"/>
          <w:szCs w:val="18"/>
        </w:rPr>
        <w:t xml:space="preserve">‘Mladić (IT-09-92) | International Criminal Tribunal for the Former Yugoslavia’, </w:t>
      </w:r>
      <w:r w:rsidRPr="00176921">
        <w:rPr>
          <w:rFonts w:ascii="Bookman Old Style" w:hAnsi="Bookman Old Style"/>
          <w:i/>
          <w:iCs/>
          <w:sz w:val="18"/>
          <w:szCs w:val="18"/>
        </w:rPr>
        <w:t>Icty.org</w:t>
      </w:r>
      <w:r w:rsidRPr="00176921">
        <w:rPr>
          <w:rFonts w:ascii="Bookman Old Style" w:hAnsi="Bookman Old Style"/>
          <w:sz w:val="18"/>
          <w:szCs w:val="18"/>
        </w:rPr>
        <w:t>, 2017 &lt;</w:t>
      </w:r>
      <w:hyperlink r:id="rId1" w:history="1">
        <w:r w:rsidRPr="00176921">
          <w:rPr>
            <w:rStyle w:val="Hyperlink"/>
            <w:rFonts w:ascii="Bookman Old Style" w:hAnsi="Bookman Old Style"/>
            <w:sz w:val="18"/>
            <w:szCs w:val="18"/>
          </w:rPr>
          <w:t>https://www.icty.org/en/case/mladic/</w:t>
        </w:r>
      </w:hyperlink>
      <w:r w:rsidRPr="00176921">
        <w:rPr>
          <w:rFonts w:ascii="Bookman Old Style" w:hAnsi="Bookman Old Style"/>
          <w:sz w:val="18"/>
          <w:szCs w:val="18"/>
        </w:rPr>
        <w:t>&gt; [accessed 9 February 2025].</w:t>
      </w:r>
    </w:p>
  </w:footnote>
  <w:footnote w:id="2">
    <w:p w14:paraId="7BFCEB69" w14:textId="53B8BB40" w:rsidR="00176921" w:rsidRPr="00176921" w:rsidRDefault="00176921">
      <w:pPr>
        <w:pStyle w:val="FootnoteText"/>
        <w:rPr>
          <w:rFonts w:ascii="Bookman Old Style" w:hAnsi="Bookman Old Style"/>
          <w:sz w:val="18"/>
          <w:szCs w:val="18"/>
        </w:rPr>
      </w:pPr>
      <w:r w:rsidRPr="00176921">
        <w:rPr>
          <w:rStyle w:val="FootnoteReference"/>
          <w:rFonts w:ascii="Bookman Old Style" w:hAnsi="Bookman Old Style"/>
          <w:sz w:val="18"/>
          <w:szCs w:val="18"/>
        </w:rPr>
        <w:footnoteRef/>
      </w:r>
      <w:r w:rsidRPr="00176921">
        <w:rPr>
          <w:rFonts w:ascii="Bookman Old Style" w:hAnsi="Bookman Old Style"/>
          <w:sz w:val="18"/>
          <w:szCs w:val="18"/>
        </w:rPr>
        <w:t xml:space="preserve"> </w:t>
      </w:r>
      <w:r w:rsidRPr="00176921">
        <w:rPr>
          <w:rFonts w:ascii="Bookman Old Style" w:hAnsi="Bookman Old Style"/>
          <w:sz w:val="18"/>
          <w:szCs w:val="18"/>
        </w:rPr>
        <w:t xml:space="preserve">‘Witness DD | International Criminal Tribunal for the Former Yugoslavia’, </w:t>
      </w:r>
      <w:r w:rsidRPr="00176921">
        <w:rPr>
          <w:rFonts w:ascii="Bookman Old Style" w:hAnsi="Bookman Old Style"/>
          <w:i/>
          <w:iCs/>
          <w:sz w:val="18"/>
          <w:szCs w:val="18"/>
        </w:rPr>
        <w:t>Www.icty.org</w:t>
      </w:r>
      <w:r w:rsidRPr="00176921">
        <w:rPr>
          <w:rFonts w:ascii="Bookman Old Style" w:hAnsi="Bookman Old Style"/>
          <w:sz w:val="18"/>
          <w:szCs w:val="18"/>
        </w:rPr>
        <w:t xml:space="preserve"> &lt;</w:t>
      </w:r>
      <w:hyperlink r:id="rId2" w:history="1">
        <w:r w:rsidRPr="00176921">
          <w:rPr>
            <w:rStyle w:val="Hyperlink"/>
            <w:rFonts w:ascii="Bookman Old Style" w:hAnsi="Bookman Old Style"/>
            <w:sz w:val="18"/>
            <w:szCs w:val="18"/>
          </w:rPr>
          <w:t>https://www.icty.org/en/content/witness-dd</w:t>
        </w:r>
      </w:hyperlink>
      <w:r w:rsidRPr="00176921">
        <w:rPr>
          <w:rFonts w:ascii="Bookman Old Style" w:hAnsi="Bookman Old Style"/>
          <w:sz w:val="18"/>
          <w:szCs w:val="18"/>
        </w:rPr>
        <w:t>&gt;.</w:t>
      </w:r>
    </w:p>
  </w:footnote>
  <w:footnote w:id="3">
    <w:p w14:paraId="78B823E7" w14:textId="22D95F2F" w:rsidR="00176921" w:rsidRPr="00F27A77" w:rsidRDefault="00176921">
      <w:pPr>
        <w:pStyle w:val="FootnoteText"/>
        <w:rPr>
          <w:rFonts w:ascii="Bookman Old Style" w:hAnsi="Bookman Old Style"/>
          <w:sz w:val="18"/>
          <w:szCs w:val="18"/>
          <w:lang w:val="en-US"/>
        </w:rPr>
      </w:pPr>
      <w:r>
        <w:rPr>
          <w:rStyle w:val="FootnoteReference"/>
        </w:rPr>
        <w:footnoteRef/>
      </w:r>
      <w:r>
        <w:t xml:space="preserve"> </w:t>
      </w:r>
      <w:r w:rsidR="00F27A77">
        <w:rPr>
          <w:rFonts w:ascii="Bookman Old Style" w:hAnsi="Bookman Old Style"/>
          <w:sz w:val="18"/>
          <w:szCs w:val="18"/>
          <w:lang w:val="en-US"/>
        </w:rPr>
        <w:t>Extract from transcript of testimony ‘Witness DD</w:t>
      </w:r>
      <w:proofErr w:type="gramStart"/>
      <w:r w:rsidR="00F27A77">
        <w:rPr>
          <w:rFonts w:ascii="Bookman Old Style" w:hAnsi="Bookman Old Style"/>
          <w:sz w:val="18"/>
          <w:szCs w:val="18"/>
          <w:lang w:val="en-US"/>
        </w:rPr>
        <w:t>’,</w:t>
      </w:r>
      <w:proofErr w:type="gramEnd"/>
      <w:r w:rsidR="00F27A77">
        <w:rPr>
          <w:rFonts w:ascii="Bookman Old Style" w:hAnsi="Bookman Old Style"/>
          <w:sz w:val="18"/>
          <w:szCs w:val="18"/>
          <w:lang w:val="en-US"/>
        </w:rPr>
        <w:t xml:space="preserve"> International Criminal Tribunal for the Former Yugoslavia, Case No IT-98-33-T, 26 July 2000</w:t>
      </w:r>
    </w:p>
  </w:footnote>
  <w:footnote w:id="4">
    <w:p w14:paraId="06D13551" w14:textId="51C7EED2" w:rsidR="00B10948" w:rsidRPr="00B10948" w:rsidRDefault="00B10948">
      <w:pPr>
        <w:pStyle w:val="FootnoteText"/>
        <w:rPr>
          <w:rFonts w:ascii="Bookman Old Style" w:hAnsi="Bookman Old Style"/>
          <w:sz w:val="18"/>
          <w:szCs w:val="18"/>
        </w:rPr>
      </w:pPr>
      <w:r w:rsidRPr="00B10948">
        <w:rPr>
          <w:rStyle w:val="FootnoteReference"/>
          <w:rFonts w:ascii="Bookman Old Style" w:hAnsi="Bookman Old Style"/>
          <w:sz w:val="18"/>
          <w:szCs w:val="18"/>
        </w:rPr>
        <w:footnoteRef/>
      </w:r>
      <w:r w:rsidRPr="00B10948">
        <w:rPr>
          <w:rFonts w:ascii="Bookman Old Style" w:hAnsi="Bookman Old Style"/>
          <w:sz w:val="18"/>
          <w:szCs w:val="18"/>
        </w:rPr>
        <w:t xml:space="preserve"> </w:t>
      </w:r>
      <w:r w:rsidRPr="00B10948">
        <w:rPr>
          <w:rFonts w:ascii="Bookman Old Style" w:hAnsi="Bookman Old Style"/>
          <w:sz w:val="18"/>
          <w:szCs w:val="18"/>
        </w:rPr>
        <w:t xml:space="preserve">‘Mladić (IT-09-92) | International Criminal Tribunal for the Former Yugoslavia’, </w:t>
      </w:r>
      <w:r w:rsidRPr="00B10948">
        <w:rPr>
          <w:rFonts w:ascii="Bookman Old Style" w:hAnsi="Bookman Old Style"/>
          <w:i/>
          <w:iCs/>
          <w:sz w:val="18"/>
          <w:szCs w:val="18"/>
        </w:rPr>
        <w:t>Icty.org</w:t>
      </w:r>
      <w:r w:rsidRPr="00B10948">
        <w:rPr>
          <w:rFonts w:ascii="Bookman Old Style" w:hAnsi="Bookman Old Style"/>
          <w:sz w:val="18"/>
          <w:szCs w:val="18"/>
        </w:rPr>
        <w:t>, 2017 &lt;</w:t>
      </w:r>
      <w:hyperlink r:id="rId3" w:history="1">
        <w:r w:rsidRPr="00B10948">
          <w:rPr>
            <w:rStyle w:val="Hyperlink"/>
            <w:rFonts w:ascii="Bookman Old Style" w:hAnsi="Bookman Old Style"/>
            <w:sz w:val="18"/>
            <w:szCs w:val="18"/>
          </w:rPr>
          <w:t>https://www.icty.org/en/case/mladic/</w:t>
        </w:r>
      </w:hyperlink>
      <w:r w:rsidRPr="00B10948">
        <w:rPr>
          <w:rFonts w:ascii="Bookman Old Style" w:hAnsi="Bookman Old Style"/>
          <w:sz w:val="18"/>
          <w:szCs w:val="18"/>
        </w:rPr>
        <w:t>&gt; [accessed 9 February 2025].</w:t>
      </w:r>
    </w:p>
  </w:footnote>
  <w:footnote w:id="5">
    <w:p w14:paraId="0BAA010F" w14:textId="4C0F0B41" w:rsidR="00B10948" w:rsidRPr="00B10948" w:rsidRDefault="00B10948">
      <w:pPr>
        <w:pStyle w:val="FootnoteText"/>
        <w:rPr>
          <w:rFonts w:ascii="Bookman Old Style" w:hAnsi="Bookman Old Style"/>
          <w:sz w:val="18"/>
          <w:szCs w:val="18"/>
          <w:lang w:val="en-US"/>
        </w:rPr>
      </w:pPr>
      <w:r>
        <w:rPr>
          <w:rStyle w:val="FootnoteReference"/>
        </w:rPr>
        <w:footnoteRef/>
      </w:r>
      <w:r>
        <w:t xml:space="preserve"> </w:t>
      </w:r>
      <w:r>
        <w:rPr>
          <w:rFonts w:ascii="Bookman Old Style" w:hAnsi="Bookman Old Style"/>
          <w:sz w:val="18"/>
          <w:szCs w:val="18"/>
          <w:lang w:val="en-US"/>
        </w:rPr>
        <w:t>Extract from transcript of testimony ‘Witness DD</w:t>
      </w:r>
      <w:proofErr w:type="gramStart"/>
      <w:r>
        <w:rPr>
          <w:rFonts w:ascii="Bookman Old Style" w:hAnsi="Bookman Old Style"/>
          <w:sz w:val="18"/>
          <w:szCs w:val="18"/>
          <w:lang w:val="en-US"/>
        </w:rPr>
        <w:t>’,</w:t>
      </w:r>
      <w:proofErr w:type="gramEnd"/>
      <w:r>
        <w:rPr>
          <w:rFonts w:ascii="Bookman Old Style" w:hAnsi="Bookman Old Style"/>
          <w:sz w:val="18"/>
          <w:szCs w:val="18"/>
          <w:lang w:val="en-US"/>
        </w:rPr>
        <w:t xml:space="preserve"> International Criminal Tribunal for the Former Yugoslavia, Case No IT-98-33-T, 26 July 2000</w:t>
      </w:r>
    </w:p>
  </w:footnote>
  <w:footnote w:id="6">
    <w:p w14:paraId="1767C300" w14:textId="36A770DB" w:rsidR="00176921" w:rsidRPr="00F27A77" w:rsidRDefault="00176921">
      <w:pPr>
        <w:pStyle w:val="FootnoteText"/>
        <w:rPr>
          <w:rFonts w:ascii="Bookman Old Style" w:hAnsi="Bookman Old Style"/>
          <w:sz w:val="18"/>
          <w:szCs w:val="18"/>
          <w:lang w:val="en-US"/>
        </w:rPr>
      </w:pPr>
      <w:r>
        <w:rPr>
          <w:rStyle w:val="FootnoteReference"/>
        </w:rPr>
        <w:footnoteRef/>
      </w:r>
      <w:r w:rsidR="00F27A77">
        <w:rPr>
          <w:rFonts w:ascii="Bookman Old Style" w:hAnsi="Bookman Old Style"/>
          <w:sz w:val="18"/>
          <w:szCs w:val="18"/>
          <w:lang w:val="en-US"/>
        </w:rPr>
        <w:t xml:space="preserve"> </w:t>
      </w:r>
      <w:r w:rsidR="00F27A77">
        <w:rPr>
          <w:rFonts w:ascii="Bookman Old Style" w:hAnsi="Bookman Old Style"/>
          <w:sz w:val="18"/>
          <w:szCs w:val="18"/>
          <w:lang w:val="en-US"/>
        </w:rPr>
        <w:t>Extract from transcript of testimony ‘Witness DD</w:t>
      </w:r>
      <w:proofErr w:type="gramStart"/>
      <w:r w:rsidR="00F27A77">
        <w:rPr>
          <w:rFonts w:ascii="Bookman Old Style" w:hAnsi="Bookman Old Style"/>
          <w:sz w:val="18"/>
          <w:szCs w:val="18"/>
          <w:lang w:val="en-US"/>
        </w:rPr>
        <w:t>’,</w:t>
      </w:r>
      <w:proofErr w:type="gramEnd"/>
      <w:r w:rsidR="00F27A77">
        <w:rPr>
          <w:rFonts w:ascii="Bookman Old Style" w:hAnsi="Bookman Old Style"/>
          <w:sz w:val="18"/>
          <w:szCs w:val="18"/>
          <w:lang w:val="en-US"/>
        </w:rPr>
        <w:t xml:space="preserve"> International Criminal Tribunal for the Former Yugoslavia, Case No IT-98-33-T, 26 July 2000</w:t>
      </w:r>
    </w:p>
  </w:footnote>
  <w:footnote w:id="7">
    <w:p w14:paraId="4D99C223" w14:textId="7FB19CAB" w:rsidR="00B10948" w:rsidRPr="00F27A77" w:rsidRDefault="00B10948" w:rsidP="00B10948">
      <w:pPr>
        <w:pStyle w:val="FootnoteText"/>
        <w:rPr>
          <w:rFonts w:ascii="Bookman Old Style" w:hAnsi="Bookman Old Style"/>
          <w:sz w:val="18"/>
          <w:szCs w:val="18"/>
          <w:lang w:val="en-US"/>
        </w:rPr>
      </w:pPr>
      <w:r>
        <w:rPr>
          <w:rStyle w:val="FootnoteReference"/>
        </w:rPr>
        <w:footnoteRef/>
      </w:r>
      <w:r>
        <w:t xml:space="preserve"> </w:t>
      </w:r>
      <w:r>
        <w:rPr>
          <w:rFonts w:ascii="Bookman Old Style" w:hAnsi="Bookman Old Style"/>
          <w:sz w:val="18"/>
          <w:szCs w:val="18"/>
          <w:lang w:val="en-US"/>
        </w:rPr>
        <w:t>Extract from transcript of testimony ‘Witness DD</w:t>
      </w:r>
      <w:proofErr w:type="gramStart"/>
      <w:r>
        <w:rPr>
          <w:rFonts w:ascii="Bookman Old Style" w:hAnsi="Bookman Old Style"/>
          <w:sz w:val="18"/>
          <w:szCs w:val="18"/>
          <w:lang w:val="en-US"/>
        </w:rPr>
        <w:t>’,</w:t>
      </w:r>
      <w:proofErr w:type="gramEnd"/>
      <w:r>
        <w:rPr>
          <w:rFonts w:ascii="Bookman Old Style" w:hAnsi="Bookman Old Style"/>
          <w:sz w:val="18"/>
          <w:szCs w:val="18"/>
          <w:lang w:val="en-US"/>
        </w:rPr>
        <w:t xml:space="preserve"> International Criminal Tribunal for the Former Yugoslavia, Case No IT-98-33-T, 26 July 2000</w:t>
      </w:r>
    </w:p>
    <w:p w14:paraId="6F66EA82" w14:textId="1EB99627" w:rsidR="00B10948" w:rsidRPr="00B10948" w:rsidRDefault="00B10948">
      <w:pPr>
        <w:pStyle w:val="FootnoteText"/>
        <w:rPr>
          <w:lang w:val="en-US"/>
        </w:rPr>
      </w:pP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2E4CA3"/>
    <w:multiLevelType w:val="hybridMultilevel"/>
    <w:tmpl w:val="9C5CF9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346101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7404"/>
    <w:rsid w:val="000167C0"/>
    <w:rsid w:val="000546FD"/>
    <w:rsid w:val="00062342"/>
    <w:rsid w:val="00063BE9"/>
    <w:rsid w:val="00176921"/>
    <w:rsid w:val="001B45DC"/>
    <w:rsid w:val="00201A71"/>
    <w:rsid w:val="0027233F"/>
    <w:rsid w:val="002B1CF5"/>
    <w:rsid w:val="002F2758"/>
    <w:rsid w:val="003318C0"/>
    <w:rsid w:val="0033685E"/>
    <w:rsid w:val="003B14F8"/>
    <w:rsid w:val="003C109C"/>
    <w:rsid w:val="00464289"/>
    <w:rsid w:val="004A30BC"/>
    <w:rsid w:val="004E5362"/>
    <w:rsid w:val="00501F23"/>
    <w:rsid w:val="00503837"/>
    <w:rsid w:val="005F1BC6"/>
    <w:rsid w:val="00656B9F"/>
    <w:rsid w:val="00691914"/>
    <w:rsid w:val="00757404"/>
    <w:rsid w:val="0076700F"/>
    <w:rsid w:val="007837B8"/>
    <w:rsid w:val="0079797C"/>
    <w:rsid w:val="00846D16"/>
    <w:rsid w:val="00855395"/>
    <w:rsid w:val="008B0611"/>
    <w:rsid w:val="008D538A"/>
    <w:rsid w:val="00932BF1"/>
    <w:rsid w:val="00967604"/>
    <w:rsid w:val="009C7445"/>
    <w:rsid w:val="00A70FC5"/>
    <w:rsid w:val="00B10948"/>
    <w:rsid w:val="00B6626A"/>
    <w:rsid w:val="00BE568F"/>
    <w:rsid w:val="00C81E89"/>
    <w:rsid w:val="00C93117"/>
    <w:rsid w:val="00CC776D"/>
    <w:rsid w:val="00CD416E"/>
    <w:rsid w:val="00D01FCC"/>
    <w:rsid w:val="00E15A1C"/>
    <w:rsid w:val="00E83897"/>
    <w:rsid w:val="00ED78E2"/>
    <w:rsid w:val="00F27A77"/>
    <w:rsid w:val="00F70220"/>
    <w:rsid w:val="00FD5DF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CE409"/>
  <w15:chartTrackingRefBased/>
  <w15:docId w15:val="{D29D6CCD-4FA5-4BD4-8A91-B32CB4E7F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74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574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574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574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74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74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74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74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74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74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574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574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574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74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74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74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74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7404"/>
    <w:rPr>
      <w:rFonts w:eastAsiaTheme="majorEastAsia" w:cstheme="majorBidi"/>
      <w:color w:val="272727" w:themeColor="text1" w:themeTint="D8"/>
    </w:rPr>
  </w:style>
  <w:style w:type="paragraph" w:styleId="Title">
    <w:name w:val="Title"/>
    <w:basedOn w:val="Normal"/>
    <w:next w:val="Normal"/>
    <w:link w:val="TitleChar"/>
    <w:uiPriority w:val="10"/>
    <w:qFormat/>
    <w:rsid w:val="007574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574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574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574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57404"/>
    <w:pPr>
      <w:spacing w:before="160"/>
      <w:jc w:val="center"/>
    </w:pPr>
    <w:rPr>
      <w:i/>
      <w:iCs/>
      <w:color w:val="404040" w:themeColor="text1" w:themeTint="BF"/>
    </w:rPr>
  </w:style>
  <w:style w:type="character" w:customStyle="1" w:styleId="QuoteChar">
    <w:name w:val="Quote Char"/>
    <w:basedOn w:val="DefaultParagraphFont"/>
    <w:link w:val="Quote"/>
    <w:uiPriority w:val="29"/>
    <w:rsid w:val="00757404"/>
    <w:rPr>
      <w:i/>
      <w:iCs/>
      <w:color w:val="404040" w:themeColor="text1" w:themeTint="BF"/>
    </w:rPr>
  </w:style>
  <w:style w:type="paragraph" w:styleId="ListParagraph">
    <w:name w:val="List Paragraph"/>
    <w:basedOn w:val="Normal"/>
    <w:uiPriority w:val="34"/>
    <w:qFormat/>
    <w:rsid w:val="00757404"/>
    <w:pPr>
      <w:ind w:left="720"/>
      <w:contextualSpacing/>
    </w:pPr>
  </w:style>
  <w:style w:type="character" w:styleId="IntenseEmphasis">
    <w:name w:val="Intense Emphasis"/>
    <w:basedOn w:val="DefaultParagraphFont"/>
    <w:uiPriority w:val="21"/>
    <w:qFormat/>
    <w:rsid w:val="00757404"/>
    <w:rPr>
      <w:i/>
      <w:iCs/>
      <w:color w:val="0F4761" w:themeColor="accent1" w:themeShade="BF"/>
    </w:rPr>
  </w:style>
  <w:style w:type="paragraph" w:styleId="IntenseQuote">
    <w:name w:val="Intense Quote"/>
    <w:basedOn w:val="Normal"/>
    <w:next w:val="Normal"/>
    <w:link w:val="IntenseQuoteChar"/>
    <w:uiPriority w:val="30"/>
    <w:qFormat/>
    <w:rsid w:val="007574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7404"/>
    <w:rPr>
      <w:i/>
      <w:iCs/>
      <w:color w:val="0F4761" w:themeColor="accent1" w:themeShade="BF"/>
    </w:rPr>
  </w:style>
  <w:style w:type="character" w:styleId="IntenseReference">
    <w:name w:val="Intense Reference"/>
    <w:basedOn w:val="DefaultParagraphFont"/>
    <w:uiPriority w:val="32"/>
    <w:qFormat/>
    <w:rsid w:val="00757404"/>
    <w:rPr>
      <w:b/>
      <w:bCs/>
      <w:smallCaps/>
      <w:color w:val="0F4761" w:themeColor="accent1" w:themeShade="BF"/>
      <w:spacing w:val="5"/>
    </w:rPr>
  </w:style>
  <w:style w:type="paragraph" w:styleId="Header">
    <w:name w:val="header"/>
    <w:basedOn w:val="Normal"/>
    <w:link w:val="HeaderChar"/>
    <w:uiPriority w:val="99"/>
    <w:unhideWhenUsed/>
    <w:rsid w:val="000546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0546FD"/>
  </w:style>
  <w:style w:type="paragraph" w:styleId="Footer">
    <w:name w:val="footer"/>
    <w:basedOn w:val="Normal"/>
    <w:link w:val="FooterChar"/>
    <w:uiPriority w:val="99"/>
    <w:unhideWhenUsed/>
    <w:rsid w:val="000546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0546FD"/>
  </w:style>
  <w:style w:type="character" w:styleId="Hyperlink">
    <w:name w:val="Hyperlink"/>
    <w:basedOn w:val="DefaultParagraphFont"/>
    <w:uiPriority w:val="99"/>
    <w:unhideWhenUsed/>
    <w:rsid w:val="00D01FCC"/>
    <w:rPr>
      <w:color w:val="467886" w:themeColor="hyperlink"/>
      <w:u w:val="single"/>
    </w:rPr>
  </w:style>
  <w:style w:type="character" w:styleId="UnresolvedMention">
    <w:name w:val="Unresolved Mention"/>
    <w:basedOn w:val="DefaultParagraphFont"/>
    <w:uiPriority w:val="99"/>
    <w:semiHidden/>
    <w:unhideWhenUsed/>
    <w:rsid w:val="00D01FCC"/>
    <w:rPr>
      <w:color w:val="605E5C"/>
      <w:shd w:val="clear" w:color="auto" w:fill="E1DFDD"/>
    </w:rPr>
  </w:style>
  <w:style w:type="paragraph" w:styleId="FootnoteText">
    <w:name w:val="footnote text"/>
    <w:basedOn w:val="Normal"/>
    <w:link w:val="FootnoteTextChar"/>
    <w:uiPriority w:val="99"/>
    <w:semiHidden/>
    <w:unhideWhenUsed/>
    <w:rsid w:val="0017692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6921"/>
    <w:rPr>
      <w:sz w:val="20"/>
      <w:szCs w:val="20"/>
    </w:rPr>
  </w:style>
  <w:style w:type="character" w:styleId="FootnoteReference">
    <w:name w:val="footnote reference"/>
    <w:basedOn w:val="DefaultParagraphFont"/>
    <w:uiPriority w:val="99"/>
    <w:semiHidden/>
    <w:unhideWhenUsed/>
    <w:rsid w:val="00176921"/>
    <w:rPr>
      <w:vertAlign w:val="superscript"/>
    </w:rPr>
  </w:style>
  <w:style w:type="paragraph" w:styleId="NormalWeb">
    <w:name w:val="Normal (Web)"/>
    <w:basedOn w:val="Normal"/>
    <w:uiPriority w:val="99"/>
    <w:semiHidden/>
    <w:unhideWhenUsed/>
    <w:rsid w:val="00176921"/>
    <w:pPr>
      <w:spacing w:before="100" w:beforeAutospacing="1" w:after="100" w:afterAutospacing="1" w:line="240" w:lineRule="auto"/>
    </w:pPr>
    <w:rPr>
      <w:rFonts w:ascii="Times New Roman" w:eastAsia="Times New Roman" w:hAnsi="Times New Roman" w:cs="Times New Roman"/>
      <w:kern w:val="0"/>
      <w:lang w:eastAsia="en-C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799188">
      <w:bodyDiv w:val="1"/>
      <w:marLeft w:val="0"/>
      <w:marRight w:val="0"/>
      <w:marTop w:val="0"/>
      <w:marBottom w:val="0"/>
      <w:divBdr>
        <w:top w:val="none" w:sz="0" w:space="0" w:color="auto"/>
        <w:left w:val="none" w:sz="0" w:space="0" w:color="auto"/>
        <w:bottom w:val="none" w:sz="0" w:space="0" w:color="auto"/>
        <w:right w:val="none" w:sz="0" w:space="0" w:color="auto"/>
      </w:divBdr>
    </w:div>
    <w:div w:id="837310492">
      <w:bodyDiv w:val="1"/>
      <w:marLeft w:val="0"/>
      <w:marRight w:val="0"/>
      <w:marTop w:val="0"/>
      <w:marBottom w:val="0"/>
      <w:divBdr>
        <w:top w:val="none" w:sz="0" w:space="0" w:color="auto"/>
        <w:left w:val="none" w:sz="0" w:space="0" w:color="auto"/>
        <w:bottom w:val="none" w:sz="0" w:space="0" w:color="auto"/>
        <w:right w:val="none" w:sz="0" w:space="0" w:color="auto"/>
      </w:divBdr>
    </w:div>
    <w:div w:id="1153642042">
      <w:bodyDiv w:val="1"/>
      <w:marLeft w:val="0"/>
      <w:marRight w:val="0"/>
      <w:marTop w:val="0"/>
      <w:marBottom w:val="0"/>
      <w:divBdr>
        <w:top w:val="none" w:sz="0" w:space="0" w:color="auto"/>
        <w:left w:val="none" w:sz="0" w:space="0" w:color="auto"/>
        <w:bottom w:val="none" w:sz="0" w:space="0" w:color="auto"/>
        <w:right w:val="none" w:sz="0" w:space="0" w:color="auto"/>
      </w:divBdr>
      <w:divsChild>
        <w:div w:id="791093525">
          <w:marLeft w:val="-720"/>
          <w:marRight w:val="0"/>
          <w:marTop w:val="0"/>
          <w:marBottom w:val="0"/>
          <w:divBdr>
            <w:top w:val="none" w:sz="0" w:space="0" w:color="auto"/>
            <w:left w:val="none" w:sz="0" w:space="0" w:color="auto"/>
            <w:bottom w:val="none" w:sz="0" w:space="0" w:color="auto"/>
            <w:right w:val="none" w:sz="0" w:space="0" w:color="auto"/>
          </w:divBdr>
        </w:div>
      </w:divsChild>
    </w:div>
    <w:div w:id="1557352342">
      <w:bodyDiv w:val="1"/>
      <w:marLeft w:val="0"/>
      <w:marRight w:val="0"/>
      <w:marTop w:val="0"/>
      <w:marBottom w:val="0"/>
      <w:divBdr>
        <w:top w:val="none" w:sz="0" w:space="0" w:color="auto"/>
        <w:left w:val="none" w:sz="0" w:space="0" w:color="auto"/>
        <w:bottom w:val="none" w:sz="0" w:space="0" w:color="auto"/>
        <w:right w:val="none" w:sz="0" w:space="0" w:color="auto"/>
      </w:divBdr>
    </w:div>
    <w:div w:id="1705521924">
      <w:bodyDiv w:val="1"/>
      <w:marLeft w:val="0"/>
      <w:marRight w:val="0"/>
      <w:marTop w:val="0"/>
      <w:marBottom w:val="0"/>
      <w:divBdr>
        <w:top w:val="none" w:sz="0" w:space="0" w:color="auto"/>
        <w:left w:val="none" w:sz="0" w:space="0" w:color="auto"/>
        <w:bottom w:val="none" w:sz="0" w:space="0" w:color="auto"/>
        <w:right w:val="none" w:sz="0" w:space="0" w:color="auto"/>
      </w:divBdr>
      <w:divsChild>
        <w:div w:id="153035958">
          <w:marLeft w:val="-720"/>
          <w:marRight w:val="0"/>
          <w:marTop w:val="0"/>
          <w:marBottom w:val="0"/>
          <w:divBdr>
            <w:top w:val="none" w:sz="0" w:space="0" w:color="auto"/>
            <w:left w:val="none" w:sz="0" w:space="0" w:color="auto"/>
            <w:bottom w:val="none" w:sz="0" w:space="0" w:color="auto"/>
            <w:right w:val="none" w:sz="0" w:space="0" w:color="auto"/>
          </w:divBdr>
        </w:div>
      </w:divsChild>
    </w:div>
    <w:div w:id="1792749213">
      <w:bodyDiv w:val="1"/>
      <w:marLeft w:val="0"/>
      <w:marRight w:val="0"/>
      <w:marTop w:val="0"/>
      <w:marBottom w:val="0"/>
      <w:divBdr>
        <w:top w:val="none" w:sz="0" w:space="0" w:color="auto"/>
        <w:left w:val="none" w:sz="0" w:space="0" w:color="auto"/>
        <w:bottom w:val="none" w:sz="0" w:space="0" w:color="auto"/>
        <w:right w:val="none" w:sz="0" w:space="0" w:color="auto"/>
      </w:divBdr>
      <w:divsChild>
        <w:div w:id="1782215477">
          <w:marLeft w:val="-720"/>
          <w:marRight w:val="0"/>
          <w:marTop w:val="0"/>
          <w:marBottom w:val="0"/>
          <w:divBdr>
            <w:top w:val="none" w:sz="0" w:space="0" w:color="auto"/>
            <w:left w:val="none" w:sz="0" w:space="0" w:color="auto"/>
            <w:bottom w:val="none" w:sz="0" w:space="0" w:color="auto"/>
            <w:right w:val="none" w:sz="0" w:space="0" w:color="auto"/>
          </w:divBdr>
        </w:div>
      </w:divsChild>
    </w:div>
    <w:div w:id="1860779744">
      <w:bodyDiv w:val="1"/>
      <w:marLeft w:val="0"/>
      <w:marRight w:val="0"/>
      <w:marTop w:val="0"/>
      <w:marBottom w:val="0"/>
      <w:divBdr>
        <w:top w:val="none" w:sz="0" w:space="0" w:color="auto"/>
        <w:left w:val="none" w:sz="0" w:space="0" w:color="auto"/>
        <w:bottom w:val="none" w:sz="0" w:space="0" w:color="auto"/>
        <w:right w:val="none" w:sz="0" w:space="0" w:color="auto"/>
      </w:divBdr>
      <w:divsChild>
        <w:div w:id="1077216706">
          <w:marLeft w:val="-720"/>
          <w:marRight w:val="0"/>
          <w:marTop w:val="0"/>
          <w:marBottom w:val="0"/>
          <w:divBdr>
            <w:top w:val="none" w:sz="0" w:space="0" w:color="auto"/>
            <w:left w:val="none" w:sz="0" w:space="0" w:color="auto"/>
            <w:bottom w:val="none" w:sz="0" w:space="0" w:color="auto"/>
            <w:right w:val="none" w:sz="0" w:space="0" w:color="auto"/>
          </w:divBdr>
        </w:div>
      </w:divsChild>
    </w:div>
    <w:div w:id="1922904252">
      <w:bodyDiv w:val="1"/>
      <w:marLeft w:val="0"/>
      <w:marRight w:val="0"/>
      <w:marTop w:val="0"/>
      <w:marBottom w:val="0"/>
      <w:divBdr>
        <w:top w:val="none" w:sz="0" w:space="0" w:color="auto"/>
        <w:left w:val="none" w:sz="0" w:space="0" w:color="auto"/>
        <w:bottom w:val="none" w:sz="0" w:space="0" w:color="auto"/>
        <w:right w:val="none" w:sz="0" w:space="0" w:color="auto"/>
      </w:divBdr>
      <w:divsChild>
        <w:div w:id="113116981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j.1475-4959.2012.00461.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icty.org/en/about" TargetMode="External"/><Relationship Id="rId4" Type="http://schemas.openxmlformats.org/officeDocument/2006/relationships/settings" Target="settings.xml"/><Relationship Id="rId9" Type="http://schemas.openxmlformats.org/officeDocument/2006/relationships/hyperlink" Target="https://www.icty.org/en/content/witness-dd"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icty.org/en/case/mladic/" TargetMode="External"/><Relationship Id="rId2" Type="http://schemas.openxmlformats.org/officeDocument/2006/relationships/hyperlink" Target="https://www.icty.org/en/content/witness-dd" TargetMode="External"/><Relationship Id="rId1" Type="http://schemas.openxmlformats.org/officeDocument/2006/relationships/hyperlink" Target="https://www.icty.org/en/case/mladi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6A468C-302C-42A3-B494-8C621503A9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2913</TotalTime>
  <Pages>7</Pages>
  <Words>1672</Words>
  <Characters>9531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Kunicki</dc:creator>
  <cp:keywords/>
  <dc:description/>
  <cp:lastModifiedBy>Ania Kunicki</cp:lastModifiedBy>
  <cp:revision>16</cp:revision>
  <dcterms:created xsi:type="dcterms:W3CDTF">2025-02-04T21:45:00Z</dcterms:created>
  <dcterms:modified xsi:type="dcterms:W3CDTF">2025-02-09T16:56:00Z</dcterms:modified>
</cp:coreProperties>
</file>