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B306C" w14:textId="77777777" w:rsidR="004A5C3F" w:rsidRPr="00E4786E" w:rsidRDefault="004A5C3F" w:rsidP="004A5C3F">
      <w:pPr>
        <w:spacing w:line="360" w:lineRule="auto"/>
        <w:rPr>
          <w:rFonts w:ascii="Arial" w:hAnsi="Arial" w:cs="Arial"/>
        </w:rPr>
      </w:pPr>
      <w:r w:rsidRPr="00E4786E">
        <w:rPr>
          <w:rFonts w:ascii="Arial" w:hAnsi="Arial" w:cs="Arial"/>
          <w:noProof/>
          <w:lang w:eastAsia="en-GB"/>
        </w:rPr>
        <w:drawing>
          <wp:anchor distT="0" distB="0" distL="114300" distR="114300" simplePos="0" relativeHeight="251659264" behindDoc="0" locked="0" layoutInCell="1" allowOverlap="1" wp14:anchorId="04E976B0" wp14:editId="0B7B0220">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BEBA8EAE-BF5A-486C-A8C5-ECC9F3942E4B}">
                          <a14:imgProps xmlns:a14="http://schemas.microsoft.com/office/drawing/2010/main">
                            <a14:imgLayer r:embed="rId6">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1D5D7A93" w14:textId="77777777" w:rsidR="004A5C3F" w:rsidRDefault="004A5C3F" w:rsidP="004A5C3F">
      <w:pPr>
        <w:spacing w:line="360" w:lineRule="auto"/>
        <w:jc w:val="center"/>
        <w:rPr>
          <w:rFonts w:ascii="Arial" w:hAnsi="Arial" w:cs="Arial"/>
          <w:b/>
          <w:bCs/>
          <w:sz w:val="32"/>
          <w:szCs w:val="28"/>
        </w:rPr>
      </w:pPr>
      <w:r w:rsidRPr="00114F92">
        <w:rPr>
          <w:rFonts w:ascii="Arial" w:hAnsi="Arial" w:cs="Arial"/>
          <w:b/>
          <w:bCs/>
          <w:sz w:val="32"/>
          <w:szCs w:val="28"/>
        </w:rPr>
        <w:t>MSc Public Health and Social Care in Practice</w:t>
      </w:r>
    </w:p>
    <w:p w14:paraId="3848E99B" w14:textId="0EB5ED7C" w:rsidR="004A5C3F" w:rsidRPr="00E4786E" w:rsidRDefault="004A5C3F" w:rsidP="004A5C3F">
      <w:pPr>
        <w:spacing w:line="360" w:lineRule="auto"/>
        <w:jc w:val="center"/>
        <w:rPr>
          <w:rFonts w:ascii="Arial" w:hAnsi="Arial" w:cs="Arial"/>
          <w:b/>
          <w:bCs/>
          <w:sz w:val="28"/>
        </w:rPr>
      </w:pPr>
      <w:r w:rsidRPr="00E4786E">
        <w:rPr>
          <w:rFonts w:ascii="Arial" w:hAnsi="Arial" w:cs="Arial"/>
          <w:b/>
          <w:bCs/>
          <w:sz w:val="28"/>
        </w:rPr>
        <w:t xml:space="preserve">Module: </w:t>
      </w:r>
      <w:r w:rsidR="00087ED3" w:rsidRPr="00087ED3">
        <w:rPr>
          <w:rFonts w:ascii="Arial" w:hAnsi="Arial" w:cs="Arial"/>
          <w:b/>
          <w:bCs/>
          <w:sz w:val="28"/>
        </w:rPr>
        <w:t>Social Epidemiology and Public Health Development</w:t>
      </w:r>
    </w:p>
    <w:p w14:paraId="2DCB9F97" w14:textId="508C5996" w:rsidR="004A5C3F" w:rsidRPr="00E4786E" w:rsidRDefault="004A5C3F" w:rsidP="00D274C1">
      <w:pPr>
        <w:spacing w:line="360" w:lineRule="auto"/>
        <w:jc w:val="center"/>
        <w:rPr>
          <w:rFonts w:ascii="Arial" w:hAnsi="Arial" w:cs="Arial"/>
          <w:b/>
          <w:bCs/>
          <w:sz w:val="28"/>
        </w:rPr>
      </w:pPr>
      <w:r w:rsidRPr="00E4786E">
        <w:rPr>
          <w:rFonts w:ascii="Arial" w:hAnsi="Arial" w:cs="Arial"/>
          <w:b/>
          <w:bCs/>
          <w:sz w:val="28"/>
        </w:rPr>
        <w:t xml:space="preserve">Module code: </w:t>
      </w:r>
      <w:r w:rsidRPr="00DD1C5F">
        <w:rPr>
          <w:rFonts w:ascii="Arial" w:hAnsi="Arial" w:cs="Arial"/>
          <w:b/>
          <w:bCs/>
          <w:sz w:val="28"/>
        </w:rPr>
        <w:t>LCHS700</w:t>
      </w:r>
      <w:r w:rsidR="00D274C1">
        <w:rPr>
          <w:rFonts w:ascii="Arial" w:hAnsi="Arial" w:cs="Arial"/>
          <w:b/>
          <w:bCs/>
          <w:sz w:val="28"/>
        </w:rPr>
        <w:t>0</w:t>
      </w:r>
    </w:p>
    <w:p w14:paraId="77B639B8" w14:textId="193A2F9E" w:rsidR="004A5C3F" w:rsidRDefault="004A5C3F" w:rsidP="004A5C3F">
      <w:pPr>
        <w:spacing w:line="360" w:lineRule="auto"/>
        <w:jc w:val="center"/>
        <w:rPr>
          <w:rFonts w:ascii="Arial" w:hAnsi="Arial" w:cs="Arial"/>
          <w:b/>
          <w:bCs/>
          <w:sz w:val="28"/>
        </w:rPr>
      </w:pPr>
      <w:r w:rsidRPr="00E4786E">
        <w:rPr>
          <w:rFonts w:ascii="Arial" w:hAnsi="Arial" w:cs="Arial"/>
          <w:b/>
          <w:bCs/>
          <w:sz w:val="28"/>
        </w:rPr>
        <w:t xml:space="preserve">Assessment Title: </w:t>
      </w:r>
      <w:r>
        <w:rPr>
          <w:rFonts w:ascii="Arial" w:hAnsi="Arial" w:cs="Arial"/>
          <w:b/>
          <w:bCs/>
          <w:sz w:val="28"/>
        </w:rPr>
        <w:t>“</w:t>
      </w:r>
      <w:r w:rsidR="00D274C1" w:rsidRPr="00D274C1">
        <w:rPr>
          <w:rFonts w:ascii="Arial" w:hAnsi="Arial" w:cs="Arial"/>
          <w:b/>
          <w:bCs/>
          <w:sz w:val="28"/>
        </w:rPr>
        <w:t>Age and Health Inequalities: Long-term Management and Community Reintegration of the Elderly in the UK</w:t>
      </w:r>
      <w:r>
        <w:rPr>
          <w:rFonts w:ascii="Arial" w:hAnsi="Arial" w:cs="Arial"/>
          <w:b/>
          <w:bCs/>
          <w:sz w:val="28"/>
        </w:rPr>
        <w:t>”</w:t>
      </w:r>
    </w:p>
    <w:p w14:paraId="0CB17B81" w14:textId="5D5CFA07" w:rsidR="004A5C3F" w:rsidRPr="00E4786E" w:rsidRDefault="004A5C3F" w:rsidP="00D274C1">
      <w:pPr>
        <w:spacing w:line="360" w:lineRule="auto"/>
        <w:jc w:val="center"/>
        <w:rPr>
          <w:rFonts w:ascii="Arial" w:hAnsi="Arial" w:cs="Arial"/>
          <w:b/>
          <w:bCs/>
          <w:sz w:val="28"/>
        </w:rPr>
      </w:pPr>
      <w:r w:rsidRPr="00DD1C5F">
        <w:rPr>
          <w:rFonts w:ascii="Arial" w:hAnsi="Arial" w:cs="Arial"/>
          <w:b/>
          <w:bCs/>
          <w:sz w:val="28"/>
        </w:rPr>
        <w:t>Lecturer:</w:t>
      </w:r>
      <w:r>
        <w:rPr>
          <w:rFonts w:ascii="Arial" w:hAnsi="Arial" w:cs="Arial"/>
          <w:b/>
          <w:bCs/>
          <w:sz w:val="28"/>
        </w:rPr>
        <w:t xml:space="preserve"> </w:t>
      </w:r>
      <w:proofErr w:type="spellStart"/>
      <w:r w:rsidR="00A102B1" w:rsidRPr="00A102B1">
        <w:rPr>
          <w:rFonts w:ascii="Arial" w:hAnsi="Arial" w:cs="Arial"/>
          <w:b/>
          <w:bCs/>
          <w:sz w:val="28"/>
        </w:rPr>
        <w:t>Itse</w:t>
      </w:r>
      <w:proofErr w:type="spellEnd"/>
      <w:r w:rsidR="00A102B1" w:rsidRPr="00A102B1">
        <w:rPr>
          <w:rFonts w:ascii="Arial" w:hAnsi="Arial" w:cs="Arial"/>
          <w:b/>
          <w:bCs/>
          <w:sz w:val="28"/>
        </w:rPr>
        <w:t xml:space="preserve"> Olaoye</w:t>
      </w:r>
    </w:p>
    <w:p w14:paraId="0FDBC534" w14:textId="77777777" w:rsidR="004A5C3F" w:rsidRPr="00E4786E" w:rsidRDefault="004A5C3F" w:rsidP="004A5C3F">
      <w:pPr>
        <w:spacing w:line="360" w:lineRule="auto"/>
        <w:jc w:val="center"/>
        <w:rPr>
          <w:rFonts w:ascii="Arial" w:hAnsi="Arial" w:cs="Arial"/>
          <w:b/>
          <w:bCs/>
          <w:sz w:val="28"/>
        </w:rPr>
      </w:pPr>
      <w:r w:rsidRPr="00E4786E">
        <w:rPr>
          <w:rFonts w:ascii="Arial" w:hAnsi="Arial" w:cs="Arial"/>
          <w:b/>
          <w:bCs/>
          <w:sz w:val="28"/>
        </w:rPr>
        <w:t>Student Name:</w:t>
      </w:r>
      <w:r w:rsidRPr="00E4786E">
        <w:rPr>
          <w:rFonts w:ascii="Arial" w:hAnsi="Arial" w:cs="Arial"/>
          <w:sz w:val="28"/>
        </w:rPr>
        <w:t xml:space="preserve"> </w:t>
      </w:r>
      <w:r w:rsidRPr="003A2B32">
        <w:rPr>
          <w:rFonts w:ascii="Arial" w:hAnsi="Arial" w:cs="Arial"/>
          <w:b/>
          <w:bCs/>
          <w:sz w:val="28"/>
        </w:rPr>
        <w:t xml:space="preserve">MD </w:t>
      </w:r>
      <w:r>
        <w:rPr>
          <w:rFonts w:ascii="Arial" w:hAnsi="Arial" w:cs="Arial"/>
          <w:b/>
          <w:bCs/>
          <w:sz w:val="28"/>
        </w:rPr>
        <w:t>RIMON MIAH</w:t>
      </w:r>
    </w:p>
    <w:p w14:paraId="7D291E59" w14:textId="77777777" w:rsidR="004A5C3F" w:rsidRPr="00E4786E" w:rsidRDefault="004A5C3F" w:rsidP="004A5C3F">
      <w:pPr>
        <w:spacing w:line="360" w:lineRule="auto"/>
        <w:jc w:val="center"/>
        <w:rPr>
          <w:rFonts w:ascii="Arial" w:hAnsi="Arial" w:cs="Arial"/>
          <w:b/>
          <w:bCs/>
          <w:sz w:val="28"/>
        </w:rPr>
      </w:pPr>
      <w:r w:rsidRPr="00E4786E">
        <w:rPr>
          <w:rFonts w:ascii="Arial" w:hAnsi="Arial" w:cs="Arial"/>
          <w:b/>
          <w:bCs/>
          <w:sz w:val="28"/>
        </w:rPr>
        <w:t>Student Number:</w:t>
      </w:r>
      <w:r w:rsidRPr="00E4786E">
        <w:rPr>
          <w:rFonts w:ascii="Arial" w:hAnsi="Arial" w:cs="Arial"/>
          <w:sz w:val="28"/>
        </w:rPr>
        <w:t xml:space="preserve"> </w:t>
      </w:r>
      <w:r w:rsidRPr="003A2B32">
        <w:rPr>
          <w:rFonts w:ascii="Arial" w:hAnsi="Arial" w:cs="Arial"/>
          <w:b/>
          <w:bCs/>
          <w:sz w:val="28"/>
        </w:rPr>
        <w:t>25</w:t>
      </w:r>
      <w:r>
        <w:rPr>
          <w:rFonts w:ascii="Arial" w:hAnsi="Arial" w:cs="Arial"/>
          <w:b/>
          <w:bCs/>
          <w:sz w:val="28"/>
        </w:rPr>
        <w:t>09982</w:t>
      </w:r>
    </w:p>
    <w:p w14:paraId="5F8EBDF6" w14:textId="0CEA1DF2" w:rsidR="004A5C3F" w:rsidRPr="00D274C1" w:rsidRDefault="004A5C3F" w:rsidP="00D274C1">
      <w:pPr>
        <w:spacing w:line="360" w:lineRule="auto"/>
        <w:jc w:val="center"/>
        <w:rPr>
          <w:rFonts w:ascii="Arial" w:hAnsi="Arial" w:cs="Arial"/>
          <w:b/>
          <w:bCs/>
          <w:sz w:val="28"/>
        </w:rPr>
      </w:pPr>
      <w:r w:rsidRPr="00E4786E">
        <w:rPr>
          <w:rFonts w:ascii="Arial" w:hAnsi="Arial" w:cs="Arial"/>
          <w:b/>
          <w:bCs/>
          <w:sz w:val="28"/>
        </w:rPr>
        <w:t>Word Count:</w:t>
      </w:r>
      <w:r>
        <w:rPr>
          <w:rFonts w:ascii="Arial" w:hAnsi="Arial" w:cs="Arial"/>
          <w:b/>
          <w:bCs/>
          <w:sz w:val="28"/>
        </w:rPr>
        <w:t xml:space="preserve"> </w:t>
      </w:r>
      <w:r w:rsidR="009A32B5">
        <w:rPr>
          <w:rFonts w:ascii="Arial" w:hAnsi="Arial" w:cs="Arial"/>
          <w:b/>
          <w:bCs/>
          <w:sz w:val="28"/>
        </w:rPr>
        <w:t>2602</w:t>
      </w:r>
    </w:p>
    <w:p w14:paraId="021A60BC" w14:textId="7E198479" w:rsidR="004A5C3F" w:rsidRDefault="004A5C3F" w:rsidP="004A5C3F">
      <w:pPr>
        <w:spacing w:line="360" w:lineRule="auto"/>
        <w:jc w:val="center"/>
        <w:rPr>
          <w:rFonts w:ascii="Arial" w:hAnsi="Arial" w:cs="Arial"/>
          <w:b/>
          <w:bCs/>
          <w:sz w:val="28"/>
        </w:rPr>
      </w:pPr>
      <w:r w:rsidRPr="00E4786E">
        <w:rPr>
          <w:rFonts w:ascii="Arial" w:hAnsi="Arial" w:cs="Arial"/>
          <w:b/>
          <w:bCs/>
          <w:sz w:val="28"/>
        </w:rPr>
        <w:t xml:space="preserve">Submission Deadline: </w:t>
      </w:r>
      <w:r w:rsidR="00F37CA5" w:rsidRPr="00F37CA5">
        <w:rPr>
          <w:rFonts w:ascii="Arial" w:hAnsi="Arial" w:cs="Arial"/>
          <w:b/>
          <w:bCs/>
          <w:sz w:val="28"/>
        </w:rPr>
        <w:t>1</w:t>
      </w:r>
      <w:r w:rsidR="00F37CA5" w:rsidRPr="00F37CA5">
        <w:rPr>
          <w:rFonts w:ascii="Arial" w:hAnsi="Arial" w:cs="Arial"/>
          <w:b/>
          <w:bCs/>
          <w:sz w:val="28"/>
          <w:vertAlign w:val="superscript"/>
        </w:rPr>
        <w:t>st</w:t>
      </w:r>
      <w:r w:rsidR="00F37CA5" w:rsidRPr="00F37CA5">
        <w:rPr>
          <w:rFonts w:ascii="Arial" w:hAnsi="Arial" w:cs="Arial"/>
          <w:b/>
          <w:bCs/>
          <w:sz w:val="28"/>
        </w:rPr>
        <w:t xml:space="preserve"> May 2026</w:t>
      </w:r>
    </w:p>
    <w:p w14:paraId="48FDC205" w14:textId="77777777" w:rsidR="004A5C3F" w:rsidRDefault="004A5C3F" w:rsidP="004A5C3F">
      <w:pPr>
        <w:rPr>
          <w:rFonts w:ascii="Arial" w:hAnsi="Arial" w:cs="Arial"/>
          <w:b/>
          <w:bCs/>
          <w:sz w:val="28"/>
        </w:rPr>
      </w:pPr>
      <w:r>
        <w:rPr>
          <w:rFonts w:ascii="Arial" w:hAnsi="Arial" w:cs="Arial"/>
          <w:b/>
          <w:bCs/>
          <w:sz w:val="28"/>
        </w:rPr>
        <w:br w:type="page"/>
      </w:r>
    </w:p>
    <w:sdt>
      <w:sdtPr>
        <w:rPr>
          <w:rFonts w:eastAsiaTheme="minorHAnsi" w:cs="Arial"/>
          <w:color w:val="auto"/>
          <w:kern w:val="2"/>
          <w:sz w:val="22"/>
          <w:szCs w:val="22"/>
          <w14:ligatures w14:val="standardContextual"/>
        </w:rPr>
        <w:id w:val="1006329304"/>
        <w:docPartObj>
          <w:docPartGallery w:val="Table of Contents"/>
          <w:docPartUnique/>
        </w:docPartObj>
      </w:sdtPr>
      <w:sdtEndPr>
        <w:rPr>
          <w:bCs/>
          <w:noProof/>
        </w:rPr>
      </w:sdtEndPr>
      <w:sdtContent>
        <w:p w14:paraId="4A091CB9" w14:textId="77777777" w:rsidR="004A5C3F" w:rsidRPr="009A32B5" w:rsidRDefault="004A5C3F" w:rsidP="004A5C3F">
          <w:pPr>
            <w:pStyle w:val="TOCHeading"/>
            <w:jc w:val="center"/>
            <w:rPr>
              <w:rFonts w:cs="Arial"/>
              <w:b w:val="0"/>
              <w:bCs/>
              <w:color w:val="auto"/>
              <w:sz w:val="28"/>
              <w:szCs w:val="28"/>
              <w:u w:val="single"/>
            </w:rPr>
          </w:pPr>
          <w:r w:rsidRPr="009A32B5">
            <w:rPr>
              <w:rFonts w:cs="Arial"/>
              <w:bCs/>
              <w:color w:val="auto"/>
              <w:sz w:val="28"/>
              <w:szCs w:val="28"/>
              <w:u w:val="single"/>
            </w:rPr>
            <w:t>Table of Contents</w:t>
          </w:r>
        </w:p>
        <w:p w14:paraId="13C1E39F" w14:textId="0B5D8CA8" w:rsidR="009A32B5" w:rsidRPr="009A32B5" w:rsidRDefault="004A5C3F">
          <w:pPr>
            <w:pStyle w:val="TOC1"/>
            <w:tabs>
              <w:tab w:val="right" w:leader="dot" w:pos="9350"/>
            </w:tabs>
            <w:rPr>
              <w:rFonts w:ascii="Arial" w:eastAsiaTheme="minorEastAsia" w:hAnsi="Arial" w:cs="Arial"/>
              <w:noProof/>
            </w:rPr>
          </w:pPr>
          <w:r w:rsidRPr="009A32B5">
            <w:rPr>
              <w:rFonts w:ascii="Arial" w:hAnsi="Arial" w:cs="Arial"/>
              <w:sz w:val="22"/>
              <w:szCs w:val="22"/>
            </w:rPr>
            <w:fldChar w:fldCharType="begin"/>
          </w:r>
          <w:r w:rsidRPr="009A32B5">
            <w:rPr>
              <w:rFonts w:ascii="Arial" w:hAnsi="Arial" w:cs="Arial"/>
              <w:sz w:val="22"/>
              <w:szCs w:val="22"/>
            </w:rPr>
            <w:instrText xml:space="preserve"> TOC \o "1-3" \h \z \u </w:instrText>
          </w:r>
          <w:r w:rsidRPr="009A32B5">
            <w:rPr>
              <w:rFonts w:ascii="Arial" w:hAnsi="Arial" w:cs="Arial"/>
              <w:sz w:val="22"/>
              <w:szCs w:val="22"/>
            </w:rPr>
            <w:fldChar w:fldCharType="separate"/>
          </w:r>
          <w:hyperlink w:anchor="_Toc227957375" w:history="1">
            <w:r w:rsidR="009A32B5" w:rsidRPr="009A32B5">
              <w:rPr>
                <w:rStyle w:val="Hyperlink"/>
                <w:rFonts w:ascii="Arial" w:hAnsi="Arial" w:cs="Arial"/>
                <w:noProof/>
              </w:rPr>
              <w:t>Task 1: Social Epidemiological Analysis</w:t>
            </w:r>
            <w:r w:rsidR="009A32B5" w:rsidRPr="009A32B5">
              <w:rPr>
                <w:rFonts w:ascii="Arial" w:hAnsi="Arial" w:cs="Arial"/>
                <w:noProof/>
                <w:webHidden/>
              </w:rPr>
              <w:tab/>
            </w:r>
            <w:r w:rsidR="009A32B5" w:rsidRPr="009A32B5">
              <w:rPr>
                <w:rFonts w:ascii="Arial" w:hAnsi="Arial" w:cs="Arial"/>
                <w:noProof/>
                <w:webHidden/>
              </w:rPr>
              <w:fldChar w:fldCharType="begin"/>
            </w:r>
            <w:r w:rsidR="009A32B5" w:rsidRPr="009A32B5">
              <w:rPr>
                <w:rFonts w:ascii="Arial" w:hAnsi="Arial" w:cs="Arial"/>
                <w:noProof/>
                <w:webHidden/>
              </w:rPr>
              <w:instrText xml:space="preserve"> PAGEREF _Toc227957375 \h </w:instrText>
            </w:r>
            <w:r w:rsidR="009A32B5" w:rsidRPr="009A32B5">
              <w:rPr>
                <w:rFonts w:ascii="Arial" w:hAnsi="Arial" w:cs="Arial"/>
                <w:noProof/>
                <w:webHidden/>
              </w:rPr>
            </w:r>
            <w:r w:rsidR="009A32B5" w:rsidRPr="009A32B5">
              <w:rPr>
                <w:rFonts w:ascii="Arial" w:hAnsi="Arial" w:cs="Arial"/>
                <w:noProof/>
                <w:webHidden/>
              </w:rPr>
              <w:fldChar w:fldCharType="separate"/>
            </w:r>
            <w:r w:rsidR="009A32B5" w:rsidRPr="009A32B5">
              <w:rPr>
                <w:rFonts w:ascii="Arial" w:hAnsi="Arial" w:cs="Arial"/>
                <w:noProof/>
                <w:webHidden/>
              </w:rPr>
              <w:t>1</w:t>
            </w:r>
            <w:r w:rsidR="009A32B5" w:rsidRPr="009A32B5">
              <w:rPr>
                <w:rFonts w:ascii="Arial" w:hAnsi="Arial" w:cs="Arial"/>
                <w:noProof/>
                <w:webHidden/>
              </w:rPr>
              <w:fldChar w:fldCharType="end"/>
            </w:r>
          </w:hyperlink>
        </w:p>
        <w:p w14:paraId="1045FC98" w14:textId="05D25158" w:rsidR="009A32B5" w:rsidRPr="009A32B5" w:rsidRDefault="009A32B5">
          <w:pPr>
            <w:pStyle w:val="TOC2"/>
            <w:tabs>
              <w:tab w:val="right" w:leader="dot" w:pos="9350"/>
            </w:tabs>
            <w:rPr>
              <w:rFonts w:ascii="Arial" w:eastAsiaTheme="minorEastAsia" w:hAnsi="Arial" w:cs="Arial"/>
              <w:noProof/>
            </w:rPr>
          </w:pPr>
          <w:hyperlink w:anchor="_Toc227957376" w:history="1">
            <w:r w:rsidRPr="009A32B5">
              <w:rPr>
                <w:rStyle w:val="Hyperlink"/>
                <w:rFonts w:ascii="Arial" w:hAnsi="Arial" w:cs="Arial"/>
                <w:noProof/>
              </w:rPr>
              <w:t>1. Introduction</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_Toc227957376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1</w:t>
            </w:r>
            <w:r w:rsidRPr="009A32B5">
              <w:rPr>
                <w:rFonts w:ascii="Arial" w:hAnsi="Arial" w:cs="Arial"/>
                <w:noProof/>
                <w:webHidden/>
              </w:rPr>
              <w:fldChar w:fldCharType="end"/>
            </w:r>
          </w:hyperlink>
        </w:p>
        <w:p w14:paraId="67F7FEAD" w14:textId="13D243D2" w:rsidR="009A32B5" w:rsidRPr="009A32B5" w:rsidRDefault="009A32B5">
          <w:pPr>
            <w:pStyle w:val="TOC2"/>
            <w:tabs>
              <w:tab w:val="right" w:leader="dot" w:pos="9350"/>
            </w:tabs>
            <w:rPr>
              <w:rFonts w:ascii="Arial" w:eastAsiaTheme="minorEastAsia" w:hAnsi="Arial" w:cs="Arial"/>
              <w:noProof/>
            </w:rPr>
          </w:pPr>
          <w:hyperlink w:anchor="_Toc227957377" w:history="1">
            <w:r w:rsidRPr="009A32B5">
              <w:rPr>
                <w:rStyle w:val="Hyperlink"/>
                <w:rFonts w:ascii="Arial" w:hAnsi="Arial" w:cs="Arial"/>
                <w:noProof/>
              </w:rPr>
              <w:t>2. Background and Facts of a Context</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_Toc227957377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1</w:t>
            </w:r>
            <w:r w:rsidRPr="009A32B5">
              <w:rPr>
                <w:rFonts w:ascii="Arial" w:hAnsi="Arial" w:cs="Arial"/>
                <w:noProof/>
                <w:webHidden/>
              </w:rPr>
              <w:fldChar w:fldCharType="end"/>
            </w:r>
          </w:hyperlink>
        </w:p>
        <w:p w14:paraId="2FF21A2D" w14:textId="510E6BE9" w:rsidR="009A32B5" w:rsidRPr="009A32B5" w:rsidRDefault="009A32B5">
          <w:pPr>
            <w:pStyle w:val="TOC3"/>
            <w:tabs>
              <w:tab w:val="right" w:leader="dot" w:pos="9350"/>
            </w:tabs>
            <w:rPr>
              <w:rFonts w:ascii="Arial" w:hAnsi="Arial" w:cs="Arial"/>
              <w:noProof/>
            </w:rPr>
          </w:pPr>
          <w:hyperlink w:anchor="_Toc227957378" w:history="1">
            <w:r w:rsidRPr="009A32B5">
              <w:rPr>
                <w:rStyle w:val="Hyperlink"/>
                <w:rFonts w:ascii="Arial" w:hAnsi="Arial" w:cs="Arial"/>
                <w:noProof/>
              </w:rPr>
              <w:t>2.1 Higher rates of mental illness:</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_Toc227957378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1</w:t>
            </w:r>
            <w:r w:rsidRPr="009A32B5">
              <w:rPr>
                <w:rFonts w:ascii="Arial" w:hAnsi="Arial" w:cs="Arial"/>
                <w:noProof/>
                <w:webHidden/>
              </w:rPr>
              <w:fldChar w:fldCharType="end"/>
            </w:r>
          </w:hyperlink>
        </w:p>
        <w:p w14:paraId="75E2F654" w14:textId="300267CF" w:rsidR="009A32B5" w:rsidRPr="009A32B5" w:rsidRDefault="009A32B5">
          <w:pPr>
            <w:pStyle w:val="TOC3"/>
            <w:tabs>
              <w:tab w:val="right" w:leader="dot" w:pos="9350"/>
            </w:tabs>
            <w:rPr>
              <w:rFonts w:ascii="Arial" w:hAnsi="Arial" w:cs="Arial"/>
              <w:noProof/>
            </w:rPr>
          </w:pPr>
          <w:hyperlink w:anchor="_Toc227957379" w:history="1">
            <w:r w:rsidRPr="009A32B5">
              <w:rPr>
                <w:rStyle w:val="Hyperlink"/>
                <w:rFonts w:ascii="Arial" w:hAnsi="Arial" w:cs="Arial"/>
                <w:noProof/>
              </w:rPr>
              <w:t>2.2 Low healthcare access rates:</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_Toc227957379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1</w:t>
            </w:r>
            <w:r w:rsidRPr="009A32B5">
              <w:rPr>
                <w:rFonts w:ascii="Arial" w:hAnsi="Arial" w:cs="Arial"/>
                <w:noProof/>
                <w:webHidden/>
              </w:rPr>
              <w:fldChar w:fldCharType="end"/>
            </w:r>
          </w:hyperlink>
        </w:p>
        <w:p w14:paraId="1F10E762" w14:textId="4A62DD35" w:rsidR="009A32B5" w:rsidRPr="009A32B5" w:rsidRDefault="009A32B5">
          <w:pPr>
            <w:pStyle w:val="TOC3"/>
            <w:tabs>
              <w:tab w:val="right" w:leader="dot" w:pos="9350"/>
            </w:tabs>
            <w:rPr>
              <w:rFonts w:ascii="Arial" w:hAnsi="Arial" w:cs="Arial"/>
              <w:noProof/>
            </w:rPr>
          </w:pPr>
          <w:hyperlink w:anchor="_Toc227957380" w:history="1">
            <w:r w:rsidRPr="009A32B5">
              <w:rPr>
                <w:rStyle w:val="Hyperlink"/>
                <w:rFonts w:ascii="Arial" w:hAnsi="Arial" w:cs="Arial"/>
                <w:noProof/>
              </w:rPr>
              <w:t>2.3 Death rates of the aged group:</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_Toc227957380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2</w:t>
            </w:r>
            <w:r w:rsidRPr="009A32B5">
              <w:rPr>
                <w:rFonts w:ascii="Arial" w:hAnsi="Arial" w:cs="Arial"/>
                <w:noProof/>
                <w:webHidden/>
              </w:rPr>
              <w:fldChar w:fldCharType="end"/>
            </w:r>
          </w:hyperlink>
        </w:p>
        <w:p w14:paraId="66895F9C" w14:textId="4E57FC19" w:rsidR="009A32B5" w:rsidRPr="009A32B5" w:rsidRDefault="009A32B5">
          <w:pPr>
            <w:pStyle w:val="TOC3"/>
            <w:tabs>
              <w:tab w:val="right" w:leader="dot" w:pos="9350"/>
            </w:tabs>
            <w:rPr>
              <w:rFonts w:ascii="Arial" w:hAnsi="Arial" w:cs="Arial"/>
              <w:noProof/>
            </w:rPr>
          </w:pPr>
          <w:hyperlink w:anchor="_Toc227957381" w:history="1">
            <w:r w:rsidRPr="009A32B5">
              <w:rPr>
                <w:rStyle w:val="Hyperlink"/>
                <w:rFonts w:ascii="Arial" w:hAnsi="Arial" w:cs="Arial"/>
                <w:noProof/>
              </w:rPr>
              <w:t>2.4 Social Isolation/Loneliness:</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_Toc227957381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2</w:t>
            </w:r>
            <w:r w:rsidRPr="009A32B5">
              <w:rPr>
                <w:rFonts w:ascii="Arial" w:hAnsi="Arial" w:cs="Arial"/>
                <w:noProof/>
                <w:webHidden/>
              </w:rPr>
              <w:fldChar w:fldCharType="end"/>
            </w:r>
          </w:hyperlink>
        </w:p>
        <w:p w14:paraId="3F25C8AD" w14:textId="65102A93" w:rsidR="009A32B5" w:rsidRPr="009A32B5" w:rsidRDefault="009A32B5">
          <w:pPr>
            <w:pStyle w:val="TOC3"/>
            <w:tabs>
              <w:tab w:val="right" w:leader="dot" w:pos="9350"/>
            </w:tabs>
            <w:rPr>
              <w:rFonts w:ascii="Arial" w:hAnsi="Arial" w:cs="Arial"/>
              <w:noProof/>
            </w:rPr>
          </w:pPr>
          <w:hyperlink w:anchor="_Toc227957382" w:history="1">
            <w:r w:rsidRPr="009A32B5">
              <w:rPr>
                <w:rStyle w:val="Hyperlink"/>
                <w:rFonts w:ascii="Arial" w:hAnsi="Arial" w:cs="Arial"/>
                <w:noProof/>
              </w:rPr>
              <w:t>2.5 Poverty in Later Life:</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_Toc227957382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2</w:t>
            </w:r>
            <w:r w:rsidRPr="009A32B5">
              <w:rPr>
                <w:rFonts w:ascii="Arial" w:hAnsi="Arial" w:cs="Arial"/>
                <w:noProof/>
                <w:webHidden/>
              </w:rPr>
              <w:fldChar w:fldCharType="end"/>
            </w:r>
          </w:hyperlink>
        </w:p>
        <w:p w14:paraId="279068FE" w14:textId="44F17B24" w:rsidR="009A32B5" w:rsidRPr="009A32B5" w:rsidRDefault="009A32B5">
          <w:pPr>
            <w:pStyle w:val="TOC3"/>
            <w:tabs>
              <w:tab w:val="right" w:leader="dot" w:pos="9350"/>
            </w:tabs>
            <w:rPr>
              <w:rFonts w:ascii="Arial" w:hAnsi="Arial" w:cs="Arial"/>
              <w:noProof/>
            </w:rPr>
          </w:pPr>
          <w:hyperlink w:anchor="_Toc227957383" w:history="1">
            <w:r w:rsidRPr="009A32B5">
              <w:rPr>
                <w:rStyle w:val="Hyperlink"/>
                <w:rFonts w:ascii="Arial" w:hAnsi="Arial" w:cs="Arial"/>
                <w:noProof/>
              </w:rPr>
              <w:t>2.6 Housing Issues:</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_Toc227957383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3</w:t>
            </w:r>
            <w:r w:rsidRPr="009A32B5">
              <w:rPr>
                <w:rFonts w:ascii="Arial" w:hAnsi="Arial" w:cs="Arial"/>
                <w:noProof/>
                <w:webHidden/>
              </w:rPr>
              <w:fldChar w:fldCharType="end"/>
            </w:r>
          </w:hyperlink>
        </w:p>
        <w:p w14:paraId="6A18B170" w14:textId="5478A186" w:rsidR="009A32B5" w:rsidRPr="009A32B5" w:rsidRDefault="009A32B5">
          <w:pPr>
            <w:pStyle w:val="TOC2"/>
            <w:tabs>
              <w:tab w:val="right" w:leader="dot" w:pos="9350"/>
            </w:tabs>
            <w:rPr>
              <w:rFonts w:ascii="Arial" w:eastAsiaTheme="minorEastAsia" w:hAnsi="Arial" w:cs="Arial"/>
              <w:noProof/>
            </w:rPr>
          </w:pPr>
          <w:hyperlink w:anchor="_Toc227957384" w:history="1">
            <w:r w:rsidRPr="009A32B5">
              <w:rPr>
                <w:rStyle w:val="Hyperlink"/>
                <w:rFonts w:ascii="Arial" w:hAnsi="Arial" w:cs="Arial"/>
                <w:noProof/>
              </w:rPr>
              <w:t>3. National Response to Lessen Health Inequalities</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_Toc227957384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3</w:t>
            </w:r>
            <w:r w:rsidRPr="009A32B5">
              <w:rPr>
                <w:rFonts w:ascii="Arial" w:hAnsi="Arial" w:cs="Arial"/>
                <w:noProof/>
                <w:webHidden/>
              </w:rPr>
              <w:fldChar w:fldCharType="end"/>
            </w:r>
          </w:hyperlink>
        </w:p>
        <w:p w14:paraId="505BF55F" w14:textId="5D3A79BE" w:rsidR="009A32B5" w:rsidRPr="009A32B5" w:rsidRDefault="009A32B5">
          <w:pPr>
            <w:pStyle w:val="TOC3"/>
            <w:tabs>
              <w:tab w:val="right" w:leader="dot" w:pos="9350"/>
            </w:tabs>
            <w:rPr>
              <w:rFonts w:ascii="Arial" w:hAnsi="Arial" w:cs="Arial"/>
              <w:noProof/>
            </w:rPr>
          </w:pPr>
          <w:hyperlink w:anchor="_Toc227957385" w:history="1">
            <w:r w:rsidRPr="009A32B5">
              <w:rPr>
                <w:rStyle w:val="Hyperlink"/>
                <w:rFonts w:ascii="Arial" w:hAnsi="Arial" w:cs="Arial"/>
                <w:noProof/>
              </w:rPr>
              <w:t>3.1 The Core20PLUS5 Approach (Adults)</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_Toc227957385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3</w:t>
            </w:r>
            <w:r w:rsidRPr="009A32B5">
              <w:rPr>
                <w:rFonts w:ascii="Arial" w:hAnsi="Arial" w:cs="Arial"/>
                <w:noProof/>
                <w:webHidden/>
              </w:rPr>
              <w:fldChar w:fldCharType="end"/>
            </w:r>
          </w:hyperlink>
        </w:p>
        <w:p w14:paraId="72E115A0" w14:textId="40E57798" w:rsidR="009A32B5" w:rsidRPr="009A32B5" w:rsidRDefault="009A32B5">
          <w:pPr>
            <w:pStyle w:val="TOC3"/>
            <w:tabs>
              <w:tab w:val="right" w:leader="dot" w:pos="9350"/>
            </w:tabs>
            <w:rPr>
              <w:rFonts w:ascii="Arial" w:hAnsi="Arial" w:cs="Arial"/>
              <w:noProof/>
            </w:rPr>
          </w:pPr>
          <w:hyperlink w:anchor="_Toc227957386" w:history="1">
            <w:r w:rsidRPr="009A32B5">
              <w:rPr>
                <w:rStyle w:val="Hyperlink"/>
                <w:rFonts w:ascii="Arial" w:hAnsi="Arial" w:cs="Arial"/>
                <w:noProof/>
              </w:rPr>
              <w:t>3.2 Fit for the Future: 10 Year Health Plan</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_Toc227957386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4</w:t>
            </w:r>
            <w:r w:rsidRPr="009A32B5">
              <w:rPr>
                <w:rFonts w:ascii="Arial" w:hAnsi="Arial" w:cs="Arial"/>
                <w:noProof/>
                <w:webHidden/>
              </w:rPr>
              <w:fldChar w:fldCharType="end"/>
            </w:r>
          </w:hyperlink>
        </w:p>
        <w:p w14:paraId="40078C58" w14:textId="680B7030" w:rsidR="009A32B5" w:rsidRPr="009A32B5" w:rsidRDefault="009A32B5">
          <w:pPr>
            <w:pStyle w:val="TOC2"/>
            <w:tabs>
              <w:tab w:val="right" w:leader="dot" w:pos="9350"/>
            </w:tabs>
            <w:rPr>
              <w:rFonts w:ascii="Arial" w:eastAsiaTheme="minorEastAsia" w:hAnsi="Arial" w:cs="Arial"/>
              <w:noProof/>
            </w:rPr>
          </w:pPr>
          <w:hyperlink w:anchor="_Toc227957387" w:history="1">
            <w:r w:rsidRPr="009A32B5">
              <w:rPr>
                <w:rStyle w:val="Hyperlink"/>
                <w:rFonts w:ascii="Arial" w:hAnsi="Arial" w:cs="Arial"/>
                <w:noProof/>
              </w:rPr>
              <w:t>4. Organisations involved in supporting the elderly</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_Toc227957387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4</w:t>
            </w:r>
            <w:r w:rsidRPr="009A32B5">
              <w:rPr>
                <w:rFonts w:ascii="Arial" w:hAnsi="Arial" w:cs="Arial"/>
                <w:noProof/>
                <w:webHidden/>
              </w:rPr>
              <w:fldChar w:fldCharType="end"/>
            </w:r>
          </w:hyperlink>
        </w:p>
        <w:p w14:paraId="7C9FD120" w14:textId="1F16942C" w:rsidR="009A32B5" w:rsidRPr="009A32B5" w:rsidRDefault="009A32B5">
          <w:pPr>
            <w:pStyle w:val="TOC2"/>
            <w:tabs>
              <w:tab w:val="right" w:leader="dot" w:pos="9350"/>
            </w:tabs>
            <w:rPr>
              <w:rFonts w:ascii="Arial" w:eastAsiaTheme="minorEastAsia" w:hAnsi="Arial" w:cs="Arial"/>
              <w:noProof/>
            </w:rPr>
          </w:pPr>
          <w:hyperlink w:anchor="_Toc227957388" w:history="1">
            <w:r w:rsidRPr="009A32B5">
              <w:rPr>
                <w:rStyle w:val="Hyperlink"/>
                <w:rFonts w:ascii="Arial" w:hAnsi="Arial" w:cs="Arial"/>
                <w:noProof/>
              </w:rPr>
              <w:t>5. Conclusion</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_Toc227957388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5</w:t>
            </w:r>
            <w:r w:rsidRPr="009A32B5">
              <w:rPr>
                <w:rFonts w:ascii="Arial" w:hAnsi="Arial" w:cs="Arial"/>
                <w:noProof/>
                <w:webHidden/>
              </w:rPr>
              <w:fldChar w:fldCharType="end"/>
            </w:r>
          </w:hyperlink>
        </w:p>
        <w:p w14:paraId="1A26AB91" w14:textId="50DBD589" w:rsidR="009A32B5" w:rsidRPr="009A32B5" w:rsidRDefault="009A32B5">
          <w:pPr>
            <w:pStyle w:val="TOC1"/>
            <w:tabs>
              <w:tab w:val="right" w:leader="dot" w:pos="9350"/>
            </w:tabs>
            <w:rPr>
              <w:rFonts w:ascii="Arial" w:eastAsiaTheme="minorEastAsia" w:hAnsi="Arial" w:cs="Arial"/>
              <w:noProof/>
            </w:rPr>
          </w:pPr>
          <w:hyperlink w:anchor="_Toc227957389" w:history="1">
            <w:r w:rsidRPr="009A32B5">
              <w:rPr>
                <w:rStyle w:val="Hyperlink"/>
                <w:rFonts w:ascii="Arial" w:hAnsi="Arial" w:cs="Arial"/>
                <w:noProof/>
              </w:rPr>
              <w:t>Task 2: Epidemiological Analysis</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_Toc227957389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6</w:t>
            </w:r>
            <w:r w:rsidRPr="009A32B5">
              <w:rPr>
                <w:rFonts w:ascii="Arial" w:hAnsi="Arial" w:cs="Arial"/>
                <w:noProof/>
                <w:webHidden/>
              </w:rPr>
              <w:fldChar w:fldCharType="end"/>
            </w:r>
          </w:hyperlink>
        </w:p>
        <w:p w14:paraId="5890A5BA" w14:textId="1EE767F3" w:rsidR="009A32B5" w:rsidRPr="009A32B5" w:rsidRDefault="009A32B5">
          <w:pPr>
            <w:pStyle w:val="TOC2"/>
            <w:tabs>
              <w:tab w:val="right" w:leader="dot" w:pos="9350"/>
            </w:tabs>
            <w:rPr>
              <w:rFonts w:ascii="Arial" w:eastAsiaTheme="minorEastAsia" w:hAnsi="Arial" w:cs="Arial"/>
              <w:noProof/>
            </w:rPr>
          </w:pPr>
          <w:hyperlink w:anchor="_Toc227957390" w:history="1">
            <w:r w:rsidRPr="009A32B5">
              <w:rPr>
                <w:rStyle w:val="Hyperlink"/>
                <w:rFonts w:ascii="Arial" w:hAnsi="Arial" w:cs="Arial"/>
                <w:noProof/>
              </w:rPr>
              <w:t>1. Introduction</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_Toc227957390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6</w:t>
            </w:r>
            <w:r w:rsidRPr="009A32B5">
              <w:rPr>
                <w:rFonts w:ascii="Arial" w:hAnsi="Arial" w:cs="Arial"/>
                <w:noProof/>
                <w:webHidden/>
              </w:rPr>
              <w:fldChar w:fldCharType="end"/>
            </w:r>
          </w:hyperlink>
        </w:p>
        <w:p w14:paraId="4032B86C" w14:textId="3BF88F8B" w:rsidR="009A32B5" w:rsidRPr="009A32B5" w:rsidRDefault="009A32B5">
          <w:pPr>
            <w:pStyle w:val="TOC2"/>
            <w:tabs>
              <w:tab w:val="right" w:leader="dot" w:pos="9350"/>
            </w:tabs>
            <w:rPr>
              <w:rFonts w:ascii="Arial" w:eastAsiaTheme="minorEastAsia" w:hAnsi="Arial" w:cs="Arial"/>
              <w:noProof/>
            </w:rPr>
          </w:pPr>
          <w:hyperlink w:anchor="_Toc227957391" w:history="1">
            <w:r w:rsidRPr="009A32B5">
              <w:rPr>
                <w:rStyle w:val="Hyperlink"/>
                <w:rFonts w:ascii="Arial" w:hAnsi="Arial" w:cs="Arial"/>
                <w:noProof/>
              </w:rPr>
              <w:t>2. Public health measures: The 3 P’s:</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_Toc227957391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6</w:t>
            </w:r>
            <w:r w:rsidRPr="009A32B5">
              <w:rPr>
                <w:rFonts w:ascii="Arial" w:hAnsi="Arial" w:cs="Arial"/>
                <w:noProof/>
                <w:webHidden/>
              </w:rPr>
              <w:fldChar w:fldCharType="end"/>
            </w:r>
          </w:hyperlink>
        </w:p>
        <w:p w14:paraId="74D9D7A1" w14:textId="3C16923F" w:rsidR="009A32B5" w:rsidRPr="009A32B5" w:rsidRDefault="009A32B5">
          <w:pPr>
            <w:pStyle w:val="TOC2"/>
            <w:tabs>
              <w:tab w:val="right" w:leader="dot" w:pos="9350"/>
            </w:tabs>
            <w:rPr>
              <w:rFonts w:ascii="Arial" w:eastAsiaTheme="minorEastAsia" w:hAnsi="Arial" w:cs="Arial"/>
              <w:noProof/>
            </w:rPr>
          </w:pPr>
          <w:hyperlink w:anchor="_Toc227957392" w:history="1">
            <w:r w:rsidRPr="009A32B5">
              <w:rPr>
                <w:rStyle w:val="Hyperlink"/>
                <w:rFonts w:ascii="Arial" w:hAnsi="Arial" w:cs="Arial"/>
                <w:noProof/>
              </w:rPr>
              <w:t>3. Important Determinants and Risk Factors:</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_Toc227957392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7</w:t>
            </w:r>
            <w:r w:rsidRPr="009A32B5">
              <w:rPr>
                <w:rFonts w:ascii="Arial" w:hAnsi="Arial" w:cs="Arial"/>
                <w:noProof/>
                <w:webHidden/>
              </w:rPr>
              <w:fldChar w:fldCharType="end"/>
            </w:r>
          </w:hyperlink>
        </w:p>
        <w:p w14:paraId="643237DE" w14:textId="05DA3F98" w:rsidR="009A32B5" w:rsidRPr="009A32B5" w:rsidRDefault="009A32B5">
          <w:pPr>
            <w:pStyle w:val="TOC2"/>
            <w:tabs>
              <w:tab w:val="right" w:leader="dot" w:pos="9350"/>
            </w:tabs>
            <w:rPr>
              <w:rFonts w:ascii="Arial" w:eastAsiaTheme="minorEastAsia" w:hAnsi="Arial" w:cs="Arial"/>
              <w:noProof/>
            </w:rPr>
          </w:pPr>
          <w:hyperlink w:anchor="_Toc227957393" w:history="1">
            <w:r w:rsidRPr="009A32B5">
              <w:rPr>
                <w:rStyle w:val="Hyperlink"/>
                <w:rFonts w:ascii="Arial" w:hAnsi="Arial" w:cs="Arial"/>
                <w:noProof/>
              </w:rPr>
              <w:t>4. Identification of At-Risk Groups: Epidemiological Studies and HNA:</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_Toc227957393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7</w:t>
            </w:r>
            <w:r w:rsidRPr="009A32B5">
              <w:rPr>
                <w:rFonts w:ascii="Arial" w:hAnsi="Arial" w:cs="Arial"/>
                <w:noProof/>
                <w:webHidden/>
              </w:rPr>
              <w:fldChar w:fldCharType="end"/>
            </w:r>
          </w:hyperlink>
        </w:p>
        <w:p w14:paraId="75962D91" w14:textId="729E2302" w:rsidR="009A32B5" w:rsidRPr="009A32B5" w:rsidRDefault="009A32B5">
          <w:pPr>
            <w:pStyle w:val="TOC2"/>
            <w:tabs>
              <w:tab w:val="right" w:leader="dot" w:pos="9350"/>
            </w:tabs>
            <w:rPr>
              <w:rFonts w:ascii="Arial" w:eastAsiaTheme="minorEastAsia" w:hAnsi="Arial" w:cs="Arial"/>
              <w:noProof/>
            </w:rPr>
          </w:pPr>
          <w:hyperlink w:anchor="_Toc227957394" w:history="1">
            <w:r w:rsidRPr="009A32B5">
              <w:rPr>
                <w:rStyle w:val="Hyperlink"/>
                <w:rFonts w:ascii="Arial" w:hAnsi="Arial" w:cs="Arial"/>
                <w:noProof/>
              </w:rPr>
              <w:t>5. Monitoring and Surveillance Systems:</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_Toc227957394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8</w:t>
            </w:r>
            <w:r w:rsidRPr="009A32B5">
              <w:rPr>
                <w:rFonts w:ascii="Arial" w:hAnsi="Arial" w:cs="Arial"/>
                <w:noProof/>
                <w:webHidden/>
              </w:rPr>
              <w:fldChar w:fldCharType="end"/>
            </w:r>
          </w:hyperlink>
        </w:p>
        <w:p w14:paraId="1D5EFF6D" w14:textId="432B14C2" w:rsidR="009A32B5" w:rsidRPr="009A32B5" w:rsidRDefault="009A32B5">
          <w:pPr>
            <w:pStyle w:val="TOC2"/>
            <w:tabs>
              <w:tab w:val="right" w:leader="dot" w:pos="9350"/>
            </w:tabs>
            <w:rPr>
              <w:rFonts w:ascii="Arial" w:eastAsiaTheme="minorEastAsia" w:hAnsi="Arial" w:cs="Arial"/>
              <w:noProof/>
            </w:rPr>
          </w:pPr>
          <w:hyperlink w:anchor="_Toc227957395" w:history="1">
            <w:r w:rsidRPr="009A32B5">
              <w:rPr>
                <w:rStyle w:val="Hyperlink"/>
                <w:rFonts w:ascii="Arial" w:hAnsi="Arial" w:cs="Arial"/>
                <w:noProof/>
              </w:rPr>
              <w:t>6. Public Health Impact: Short- and Long-Term Outcomes</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_Toc227957395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8</w:t>
            </w:r>
            <w:r w:rsidRPr="009A32B5">
              <w:rPr>
                <w:rFonts w:ascii="Arial" w:hAnsi="Arial" w:cs="Arial"/>
                <w:noProof/>
                <w:webHidden/>
              </w:rPr>
              <w:fldChar w:fldCharType="end"/>
            </w:r>
          </w:hyperlink>
        </w:p>
        <w:p w14:paraId="6079B3DD" w14:textId="2B95E6B5" w:rsidR="009A32B5" w:rsidRPr="009A32B5" w:rsidRDefault="009A32B5">
          <w:pPr>
            <w:pStyle w:val="TOC2"/>
            <w:tabs>
              <w:tab w:val="right" w:leader="dot" w:pos="9350"/>
            </w:tabs>
            <w:rPr>
              <w:rFonts w:ascii="Arial" w:eastAsiaTheme="minorEastAsia" w:hAnsi="Arial" w:cs="Arial"/>
              <w:noProof/>
            </w:rPr>
          </w:pPr>
          <w:hyperlink w:anchor="_Toc227957396" w:history="1">
            <w:r w:rsidRPr="009A32B5">
              <w:rPr>
                <w:rStyle w:val="Hyperlink"/>
                <w:rFonts w:ascii="Arial" w:hAnsi="Arial" w:cs="Arial"/>
                <w:noProof/>
              </w:rPr>
              <w:t>7. Health Intervention Suggestion: "Heart of the Community":</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_Toc227957396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8</w:t>
            </w:r>
            <w:r w:rsidRPr="009A32B5">
              <w:rPr>
                <w:rFonts w:ascii="Arial" w:hAnsi="Arial" w:cs="Arial"/>
                <w:noProof/>
                <w:webHidden/>
              </w:rPr>
              <w:fldChar w:fldCharType="end"/>
            </w:r>
          </w:hyperlink>
        </w:p>
        <w:p w14:paraId="37F61920" w14:textId="63A614D5" w:rsidR="009A32B5" w:rsidRPr="009A32B5" w:rsidRDefault="009A32B5">
          <w:pPr>
            <w:pStyle w:val="TOC2"/>
            <w:tabs>
              <w:tab w:val="right" w:leader="dot" w:pos="9350"/>
            </w:tabs>
            <w:rPr>
              <w:rFonts w:ascii="Arial" w:eastAsiaTheme="minorEastAsia" w:hAnsi="Arial" w:cs="Arial"/>
              <w:noProof/>
            </w:rPr>
          </w:pPr>
          <w:hyperlink w:anchor="_Toc227957397" w:history="1">
            <w:r w:rsidRPr="009A32B5">
              <w:rPr>
                <w:rStyle w:val="Hyperlink"/>
                <w:rFonts w:ascii="Arial" w:hAnsi="Arial" w:cs="Arial"/>
                <w:noProof/>
              </w:rPr>
              <w:t>8. Advantages and disadvantages of the epidemiological approach:</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_Toc227957397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9</w:t>
            </w:r>
            <w:r w:rsidRPr="009A32B5">
              <w:rPr>
                <w:rFonts w:ascii="Arial" w:hAnsi="Arial" w:cs="Arial"/>
                <w:noProof/>
                <w:webHidden/>
              </w:rPr>
              <w:fldChar w:fldCharType="end"/>
            </w:r>
          </w:hyperlink>
        </w:p>
        <w:p w14:paraId="772EB36B" w14:textId="66199701" w:rsidR="009A32B5" w:rsidRPr="009A32B5" w:rsidRDefault="009A32B5">
          <w:pPr>
            <w:pStyle w:val="TOC2"/>
            <w:tabs>
              <w:tab w:val="right" w:leader="dot" w:pos="9350"/>
            </w:tabs>
            <w:rPr>
              <w:rFonts w:ascii="Arial" w:eastAsiaTheme="minorEastAsia" w:hAnsi="Arial" w:cs="Arial"/>
              <w:noProof/>
            </w:rPr>
          </w:pPr>
          <w:hyperlink w:anchor="_Toc227957398" w:history="1">
            <w:r w:rsidRPr="009A32B5">
              <w:rPr>
                <w:rStyle w:val="Hyperlink"/>
                <w:rFonts w:ascii="Arial" w:hAnsi="Arial" w:cs="Arial"/>
                <w:noProof/>
              </w:rPr>
              <w:t>9. Conclusion</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_Toc227957398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9</w:t>
            </w:r>
            <w:r w:rsidRPr="009A32B5">
              <w:rPr>
                <w:rFonts w:ascii="Arial" w:hAnsi="Arial" w:cs="Arial"/>
                <w:noProof/>
                <w:webHidden/>
              </w:rPr>
              <w:fldChar w:fldCharType="end"/>
            </w:r>
          </w:hyperlink>
        </w:p>
        <w:p w14:paraId="55A6050F" w14:textId="182BBFDA" w:rsidR="009A32B5" w:rsidRPr="009A32B5" w:rsidRDefault="009A32B5">
          <w:pPr>
            <w:pStyle w:val="TOC1"/>
            <w:tabs>
              <w:tab w:val="right" w:leader="dot" w:pos="9350"/>
            </w:tabs>
            <w:rPr>
              <w:rFonts w:ascii="Arial" w:eastAsiaTheme="minorEastAsia" w:hAnsi="Arial" w:cs="Arial"/>
              <w:noProof/>
            </w:rPr>
          </w:pPr>
          <w:hyperlink w:anchor="_Toc227957399" w:history="1">
            <w:r w:rsidRPr="009A32B5">
              <w:rPr>
                <w:rStyle w:val="Hyperlink"/>
                <w:rFonts w:ascii="Arial" w:hAnsi="Arial" w:cs="Arial"/>
                <w:noProof/>
              </w:rPr>
              <w:t>Reference:</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_Toc227957399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10</w:t>
            </w:r>
            <w:r w:rsidRPr="009A32B5">
              <w:rPr>
                <w:rFonts w:ascii="Arial" w:hAnsi="Arial" w:cs="Arial"/>
                <w:noProof/>
                <w:webHidden/>
              </w:rPr>
              <w:fldChar w:fldCharType="end"/>
            </w:r>
          </w:hyperlink>
        </w:p>
        <w:p w14:paraId="1CB3CE0E" w14:textId="5D1CED95" w:rsidR="004A5C3F" w:rsidRPr="009A32B5" w:rsidRDefault="004A5C3F" w:rsidP="004A5C3F">
          <w:pPr>
            <w:rPr>
              <w:rFonts w:ascii="Arial" w:hAnsi="Arial" w:cs="Arial"/>
              <w:sz w:val="22"/>
              <w:szCs w:val="22"/>
            </w:rPr>
          </w:pPr>
          <w:r w:rsidRPr="009A32B5">
            <w:rPr>
              <w:rFonts w:ascii="Arial" w:hAnsi="Arial" w:cs="Arial"/>
              <w:b/>
              <w:bCs/>
              <w:noProof/>
              <w:sz w:val="22"/>
              <w:szCs w:val="22"/>
            </w:rPr>
            <w:fldChar w:fldCharType="end"/>
          </w:r>
        </w:p>
      </w:sdtContent>
    </w:sdt>
    <w:p w14:paraId="69FFB983" w14:textId="21119AE6" w:rsidR="001F0B5C" w:rsidRDefault="001F0B5C">
      <w:pPr>
        <w:rPr>
          <w:rFonts w:ascii="Arial" w:hAnsi="Arial" w:cs="Arial"/>
          <w:b/>
          <w:bCs/>
          <w:sz w:val="22"/>
          <w:szCs w:val="22"/>
        </w:rPr>
      </w:pPr>
      <w:r>
        <w:rPr>
          <w:rFonts w:ascii="Arial" w:hAnsi="Arial" w:cs="Arial"/>
          <w:b/>
          <w:bCs/>
          <w:sz w:val="22"/>
          <w:szCs w:val="22"/>
        </w:rPr>
        <w:br w:type="page"/>
      </w:r>
    </w:p>
    <w:p w14:paraId="535004E1" w14:textId="56DCA701" w:rsidR="004A5C3F" w:rsidRPr="009A32B5" w:rsidRDefault="004A5C3F" w:rsidP="004A5C3F">
      <w:pPr>
        <w:spacing w:line="360" w:lineRule="auto"/>
        <w:jc w:val="center"/>
        <w:rPr>
          <w:rFonts w:ascii="Arial" w:hAnsi="Arial" w:cs="Arial"/>
          <w:b/>
          <w:bCs/>
          <w:u w:val="single"/>
        </w:rPr>
      </w:pPr>
      <w:r w:rsidRPr="009A32B5">
        <w:rPr>
          <w:rFonts w:ascii="Arial" w:hAnsi="Arial" w:cs="Arial"/>
          <w:b/>
          <w:bCs/>
          <w:u w:val="single"/>
        </w:rPr>
        <w:lastRenderedPageBreak/>
        <w:t>Contents of Figures</w:t>
      </w:r>
    </w:p>
    <w:p w14:paraId="36F60A5E" w14:textId="4D90FEAD" w:rsidR="009A32B5" w:rsidRPr="009A32B5" w:rsidRDefault="004A5C3F">
      <w:pPr>
        <w:pStyle w:val="TableofFigures"/>
        <w:tabs>
          <w:tab w:val="right" w:leader="dot" w:pos="9350"/>
        </w:tabs>
        <w:rPr>
          <w:rFonts w:ascii="Arial" w:eastAsiaTheme="minorEastAsia" w:hAnsi="Arial" w:cs="Arial"/>
          <w:noProof/>
        </w:rPr>
      </w:pPr>
      <w:r w:rsidRPr="009A32B5">
        <w:rPr>
          <w:rFonts w:ascii="Arial" w:hAnsi="Arial" w:cs="Arial"/>
          <w:b/>
          <w:bCs/>
          <w:sz w:val="22"/>
          <w:szCs w:val="22"/>
        </w:rPr>
        <w:fldChar w:fldCharType="begin"/>
      </w:r>
      <w:r w:rsidRPr="009A32B5">
        <w:rPr>
          <w:rFonts w:ascii="Arial" w:hAnsi="Arial" w:cs="Arial"/>
          <w:b/>
          <w:bCs/>
          <w:sz w:val="22"/>
          <w:szCs w:val="22"/>
        </w:rPr>
        <w:instrText xml:space="preserve"> TOC \h \z \c "Figure" </w:instrText>
      </w:r>
      <w:r w:rsidRPr="009A32B5">
        <w:rPr>
          <w:rFonts w:ascii="Arial" w:hAnsi="Arial" w:cs="Arial"/>
          <w:b/>
          <w:bCs/>
          <w:sz w:val="22"/>
          <w:szCs w:val="22"/>
        </w:rPr>
        <w:fldChar w:fldCharType="separate"/>
      </w:r>
      <w:hyperlink w:anchor="_Toc227957367" w:history="1">
        <w:r w:rsidR="009A32B5" w:rsidRPr="009A32B5">
          <w:rPr>
            <w:rStyle w:val="Hyperlink"/>
            <w:rFonts w:ascii="Arial" w:hAnsi="Arial" w:cs="Arial"/>
            <w:noProof/>
          </w:rPr>
          <w:t>Figure 1: Core20PLUS5 Approach</w:t>
        </w:r>
        <w:r w:rsidR="009A32B5" w:rsidRPr="009A32B5">
          <w:rPr>
            <w:rFonts w:ascii="Arial" w:hAnsi="Arial" w:cs="Arial"/>
            <w:noProof/>
            <w:webHidden/>
          </w:rPr>
          <w:tab/>
        </w:r>
        <w:r w:rsidR="009A32B5" w:rsidRPr="009A32B5">
          <w:rPr>
            <w:rFonts w:ascii="Arial" w:hAnsi="Arial" w:cs="Arial"/>
            <w:noProof/>
            <w:webHidden/>
          </w:rPr>
          <w:fldChar w:fldCharType="begin"/>
        </w:r>
        <w:r w:rsidR="009A32B5" w:rsidRPr="009A32B5">
          <w:rPr>
            <w:rFonts w:ascii="Arial" w:hAnsi="Arial" w:cs="Arial"/>
            <w:noProof/>
            <w:webHidden/>
          </w:rPr>
          <w:instrText xml:space="preserve"> PAGEREF _Toc227957367 \h </w:instrText>
        </w:r>
        <w:r w:rsidR="009A32B5" w:rsidRPr="009A32B5">
          <w:rPr>
            <w:rFonts w:ascii="Arial" w:hAnsi="Arial" w:cs="Arial"/>
            <w:noProof/>
            <w:webHidden/>
          </w:rPr>
        </w:r>
        <w:r w:rsidR="009A32B5" w:rsidRPr="009A32B5">
          <w:rPr>
            <w:rFonts w:ascii="Arial" w:hAnsi="Arial" w:cs="Arial"/>
            <w:noProof/>
            <w:webHidden/>
          </w:rPr>
          <w:fldChar w:fldCharType="separate"/>
        </w:r>
        <w:r w:rsidR="009A32B5" w:rsidRPr="009A32B5">
          <w:rPr>
            <w:rFonts w:ascii="Arial" w:hAnsi="Arial" w:cs="Arial"/>
            <w:noProof/>
            <w:webHidden/>
          </w:rPr>
          <w:t>3</w:t>
        </w:r>
        <w:r w:rsidR="009A32B5" w:rsidRPr="009A32B5">
          <w:rPr>
            <w:rFonts w:ascii="Arial" w:hAnsi="Arial" w:cs="Arial"/>
            <w:noProof/>
            <w:webHidden/>
          </w:rPr>
          <w:fldChar w:fldCharType="end"/>
        </w:r>
      </w:hyperlink>
    </w:p>
    <w:p w14:paraId="17F89271" w14:textId="2F7FBC48" w:rsidR="009A32B5" w:rsidRPr="009A32B5" w:rsidRDefault="009A32B5">
      <w:pPr>
        <w:pStyle w:val="TableofFigures"/>
        <w:tabs>
          <w:tab w:val="right" w:leader="dot" w:pos="9350"/>
        </w:tabs>
        <w:rPr>
          <w:rFonts w:ascii="Arial" w:eastAsiaTheme="minorEastAsia" w:hAnsi="Arial" w:cs="Arial"/>
          <w:noProof/>
        </w:rPr>
      </w:pPr>
      <w:hyperlink w:anchor="_Toc227957368" w:history="1">
        <w:r w:rsidRPr="009A32B5">
          <w:rPr>
            <w:rStyle w:val="Hyperlink"/>
            <w:rFonts w:ascii="Arial" w:hAnsi="Arial" w:cs="Arial"/>
            <w:noProof/>
          </w:rPr>
          <w:t>Figure 2: Age UK</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_Toc227957368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4</w:t>
        </w:r>
        <w:r w:rsidRPr="009A32B5">
          <w:rPr>
            <w:rFonts w:ascii="Arial" w:hAnsi="Arial" w:cs="Arial"/>
            <w:noProof/>
            <w:webHidden/>
          </w:rPr>
          <w:fldChar w:fldCharType="end"/>
        </w:r>
      </w:hyperlink>
    </w:p>
    <w:p w14:paraId="3616A7CF" w14:textId="4FBBF635" w:rsidR="009A32B5" w:rsidRPr="009A32B5" w:rsidRDefault="009A32B5">
      <w:pPr>
        <w:pStyle w:val="TableofFigures"/>
        <w:tabs>
          <w:tab w:val="right" w:leader="dot" w:pos="9350"/>
        </w:tabs>
        <w:rPr>
          <w:rFonts w:ascii="Arial" w:eastAsiaTheme="minorEastAsia" w:hAnsi="Arial" w:cs="Arial"/>
          <w:noProof/>
        </w:rPr>
      </w:pPr>
      <w:hyperlink w:anchor="_Toc227957369" w:history="1">
        <w:r w:rsidRPr="009A32B5">
          <w:rPr>
            <w:rStyle w:val="Hyperlink"/>
            <w:rFonts w:ascii="Arial" w:hAnsi="Arial" w:cs="Arial"/>
            <w:noProof/>
          </w:rPr>
          <w:t>Figure 3: Three Ps of Public Health</w:t>
        </w:r>
        <w:r w:rsidRPr="009A32B5">
          <w:rPr>
            <w:rFonts w:ascii="Arial" w:hAnsi="Arial" w:cs="Arial"/>
            <w:noProof/>
            <w:webHidden/>
          </w:rPr>
          <w:tab/>
        </w:r>
        <w:r w:rsidRPr="009A32B5">
          <w:rPr>
            <w:rFonts w:ascii="Arial" w:hAnsi="Arial" w:cs="Arial"/>
            <w:noProof/>
            <w:webHidden/>
          </w:rPr>
          <w:fldChar w:fldCharType="begin"/>
        </w:r>
        <w:r w:rsidRPr="009A32B5">
          <w:rPr>
            <w:rFonts w:ascii="Arial" w:hAnsi="Arial" w:cs="Arial"/>
            <w:noProof/>
            <w:webHidden/>
          </w:rPr>
          <w:instrText xml:space="preserve"> PAGEREF _Toc227957369 \h </w:instrText>
        </w:r>
        <w:r w:rsidRPr="009A32B5">
          <w:rPr>
            <w:rFonts w:ascii="Arial" w:hAnsi="Arial" w:cs="Arial"/>
            <w:noProof/>
            <w:webHidden/>
          </w:rPr>
        </w:r>
        <w:r w:rsidRPr="009A32B5">
          <w:rPr>
            <w:rFonts w:ascii="Arial" w:hAnsi="Arial" w:cs="Arial"/>
            <w:noProof/>
            <w:webHidden/>
          </w:rPr>
          <w:fldChar w:fldCharType="separate"/>
        </w:r>
        <w:r w:rsidRPr="009A32B5">
          <w:rPr>
            <w:rFonts w:ascii="Arial" w:hAnsi="Arial" w:cs="Arial"/>
            <w:noProof/>
            <w:webHidden/>
          </w:rPr>
          <w:t>7</w:t>
        </w:r>
        <w:r w:rsidRPr="009A32B5">
          <w:rPr>
            <w:rFonts w:ascii="Arial" w:hAnsi="Arial" w:cs="Arial"/>
            <w:noProof/>
            <w:webHidden/>
          </w:rPr>
          <w:fldChar w:fldCharType="end"/>
        </w:r>
      </w:hyperlink>
    </w:p>
    <w:p w14:paraId="582D79F6" w14:textId="1E3070DD" w:rsidR="004A5C3F" w:rsidRPr="009A32B5" w:rsidRDefault="004A5C3F" w:rsidP="004A5C3F">
      <w:pPr>
        <w:rPr>
          <w:rFonts w:ascii="Arial" w:hAnsi="Arial" w:cs="Arial"/>
          <w:b/>
          <w:bCs/>
          <w:sz w:val="22"/>
          <w:szCs w:val="22"/>
        </w:rPr>
      </w:pPr>
      <w:r w:rsidRPr="009A32B5">
        <w:rPr>
          <w:rFonts w:ascii="Arial" w:hAnsi="Arial" w:cs="Arial"/>
          <w:b/>
          <w:bCs/>
          <w:sz w:val="22"/>
          <w:szCs w:val="22"/>
        </w:rPr>
        <w:fldChar w:fldCharType="end"/>
      </w:r>
      <w:r w:rsidRPr="009A32B5">
        <w:rPr>
          <w:rFonts w:ascii="Arial" w:hAnsi="Arial" w:cs="Arial"/>
          <w:b/>
          <w:bCs/>
          <w:sz w:val="22"/>
          <w:szCs w:val="22"/>
        </w:rPr>
        <w:br w:type="page"/>
      </w:r>
    </w:p>
    <w:p w14:paraId="63ACBCC3" w14:textId="77777777" w:rsidR="004A5C3F" w:rsidRDefault="004A5C3F" w:rsidP="004A5C3F">
      <w:pPr>
        <w:pStyle w:val="Heading1"/>
        <w:sectPr w:rsidR="004A5C3F" w:rsidSect="000B79B9">
          <w:footerReference w:type="default" r:id="rId7"/>
          <w:pgSz w:w="12240" w:h="15840"/>
          <w:pgMar w:top="1440" w:right="1440" w:bottom="1440" w:left="1440" w:header="720" w:footer="720" w:gutter="0"/>
          <w:pgBorders w:display="firstPage" w:offsetFrom="page">
            <w:top w:val="starsShadowed" w:sz="12" w:space="24" w:color="auto"/>
            <w:left w:val="starsShadowed" w:sz="12" w:space="24" w:color="auto"/>
            <w:bottom w:val="starsShadowed" w:sz="12" w:space="24" w:color="auto"/>
            <w:right w:val="starsShadowed" w:sz="12" w:space="24" w:color="auto"/>
          </w:pgBorders>
          <w:cols w:space="720"/>
          <w:docGrid w:linePitch="360"/>
        </w:sectPr>
      </w:pPr>
    </w:p>
    <w:p w14:paraId="74D28258" w14:textId="08A55BC1" w:rsidR="004A5C3F" w:rsidRPr="00997A5F" w:rsidRDefault="005D5FE6" w:rsidP="005D5FE6">
      <w:pPr>
        <w:pStyle w:val="Heading1"/>
        <w:jc w:val="center"/>
      </w:pPr>
      <w:bookmarkStart w:id="0" w:name="_Toc227957375"/>
      <w:r w:rsidRPr="005D5FE6">
        <w:lastRenderedPageBreak/>
        <w:t>Task 1: Social Epidemiological Analysis</w:t>
      </w:r>
      <w:bookmarkEnd w:id="0"/>
    </w:p>
    <w:p w14:paraId="2BF7A084" w14:textId="4CD4411B" w:rsidR="008B283E" w:rsidRPr="008B283E" w:rsidRDefault="00E61295" w:rsidP="00D36164">
      <w:pPr>
        <w:pStyle w:val="Heading2"/>
      </w:pPr>
      <w:bookmarkStart w:id="1" w:name="_Toc227957376"/>
      <w:r>
        <w:t xml:space="preserve">1. </w:t>
      </w:r>
      <w:r w:rsidR="008B283E" w:rsidRPr="008B283E">
        <w:t>Introduction</w:t>
      </w:r>
      <w:bookmarkEnd w:id="1"/>
    </w:p>
    <w:p w14:paraId="55D5B01C" w14:textId="77777777" w:rsidR="008B283E" w:rsidRPr="008B283E" w:rsidRDefault="008B283E" w:rsidP="008B283E">
      <w:pPr>
        <w:spacing w:line="360" w:lineRule="auto"/>
        <w:jc w:val="both"/>
        <w:rPr>
          <w:rFonts w:ascii="Arial" w:hAnsi="Arial" w:cs="Arial"/>
          <w:sz w:val="22"/>
          <w:szCs w:val="22"/>
        </w:rPr>
      </w:pPr>
      <w:r w:rsidRPr="008B283E">
        <w:rPr>
          <w:rFonts w:ascii="Arial" w:hAnsi="Arial" w:cs="Arial"/>
          <w:sz w:val="22"/>
          <w:szCs w:val="22"/>
        </w:rPr>
        <w:t>This report focuses on the elderly population in the UK, specifically those aged 65 and above. A complex interplay of biological vulnerability, socioeconomic disadvantage and barriers to systemic services makes this group at a high risk of health inequalities. Based on a report by the Office of National Statistics (2025), the UK is experiencing an ageing population whereby more than 11 million individuals are 65 years and above. Although longevity is a victory of communal well-being, this is not distributed evenly, as those in the lowest deciles in the distribution have a larger share of the rest of their lives in poor well-being than those in the wealthiest decile (Health Foundation, 2024). The cumulative life-course disadvantages (poor housing, lifetime income, and lack of equal access to preventative care) underlie this "health gap" that leads to a shift between healthy ageing and frailty.</w:t>
      </w:r>
    </w:p>
    <w:p w14:paraId="01D1F8F1" w14:textId="1AA8875A" w:rsidR="008B283E" w:rsidRPr="008B283E" w:rsidRDefault="00E61295" w:rsidP="00D36164">
      <w:pPr>
        <w:pStyle w:val="Heading2"/>
      </w:pPr>
      <w:bookmarkStart w:id="2" w:name="_Toc227957377"/>
      <w:r>
        <w:t xml:space="preserve">2. </w:t>
      </w:r>
      <w:r w:rsidR="008B283E" w:rsidRPr="008B283E">
        <w:t>Background and Facts of a Context</w:t>
      </w:r>
      <w:bookmarkEnd w:id="2"/>
    </w:p>
    <w:p w14:paraId="6F47F610" w14:textId="461B308D" w:rsidR="008B283E" w:rsidRPr="008B283E" w:rsidRDefault="0026215F" w:rsidP="00D36164">
      <w:pPr>
        <w:pStyle w:val="Heading3"/>
      </w:pPr>
      <w:bookmarkStart w:id="3" w:name="_Toc227957378"/>
      <w:r>
        <w:t xml:space="preserve">2.1 </w:t>
      </w:r>
      <w:r w:rsidR="008B283E" w:rsidRPr="008B283E">
        <w:t>Higher rates of mental illness</w:t>
      </w:r>
      <w:r w:rsidR="00E61295">
        <w:t>:</w:t>
      </w:r>
      <w:bookmarkEnd w:id="3"/>
    </w:p>
    <w:p w14:paraId="36B7ACB7" w14:textId="77777777" w:rsidR="008B283E" w:rsidRPr="0026215F" w:rsidRDefault="008B283E" w:rsidP="0026215F">
      <w:pPr>
        <w:pStyle w:val="ListParagraph"/>
        <w:numPr>
          <w:ilvl w:val="0"/>
          <w:numId w:val="14"/>
        </w:numPr>
        <w:spacing w:line="360" w:lineRule="auto"/>
        <w:jc w:val="both"/>
        <w:rPr>
          <w:rFonts w:ascii="Arial" w:hAnsi="Arial" w:cs="Arial"/>
          <w:sz w:val="22"/>
          <w:szCs w:val="22"/>
        </w:rPr>
      </w:pPr>
      <w:r w:rsidRPr="0026215F">
        <w:rPr>
          <w:rFonts w:ascii="Arial" w:hAnsi="Arial" w:cs="Arial"/>
          <w:b/>
          <w:bCs/>
          <w:sz w:val="22"/>
          <w:szCs w:val="22"/>
        </w:rPr>
        <w:t>Statistics and Risk Factors:</w:t>
      </w:r>
      <w:r w:rsidRPr="0026215F">
        <w:rPr>
          <w:rFonts w:ascii="Arial" w:hAnsi="Arial" w:cs="Arial"/>
          <w:sz w:val="22"/>
          <w:szCs w:val="22"/>
        </w:rPr>
        <w:t xml:space="preserve"> It is estimated that around 14% of the older adults in the UK have the symptoms of common mental health disorders, including depression and anxiety (Age UK, 2025). This risk is particularly greater to those in the most deprived regions, with the prevalence of clinical depression possibly being twice as high as in the least deprived regions (NHS England, 2024).</w:t>
      </w:r>
    </w:p>
    <w:p w14:paraId="3F69BE6C" w14:textId="77777777" w:rsidR="008B283E" w:rsidRPr="0026215F" w:rsidRDefault="008B283E" w:rsidP="0026215F">
      <w:pPr>
        <w:pStyle w:val="ListParagraph"/>
        <w:numPr>
          <w:ilvl w:val="0"/>
          <w:numId w:val="14"/>
        </w:numPr>
        <w:spacing w:line="360" w:lineRule="auto"/>
        <w:jc w:val="both"/>
        <w:rPr>
          <w:rFonts w:ascii="Arial" w:hAnsi="Arial" w:cs="Arial"/>
          <w:sz w:val="22"/>
          <w:szCs w:val="22"/>
        </w:rPr>
      </w:pPr>
      <w:r w:rsidRPr="0026215F">
        <w:rPr>
          <w:rFonts w:ascii="Arial" w:hAnsi="Arial" w:cs="Arial"/>
          <w:b/>
          <w:bCs/>
          <w:sz w:val="22"/>
          <w:szCs w:val="22"/>
        </w:rPr>
        <w:t>Inequality Drivers:</w:t>
      </w:r>
      <w:r w:rsidRPr="0026215F">
        <w:rPr>
          <w:rFonts w:ascii="Arial" w:hAnsi="Arial" w:cs="Arial"/>
          <w:sz w:val="22"/>
          <w:szCs w:val="22"/>
        </w:rPr>
        <w:t xml:space="preserve"> Risk Factors: The grief of bereavement, physical chronic pain, and the so-called diagnostic overshadowing of mental health being viewed as an inescapable aspect of ageing are all risk factors.</w:t>
      </w:r>
    </w:p>
    <w:p w14:paraId="56BB1C2F" w14:textId="77777777" w:rsidR="008B283E" w:rsidRPr="0026215F" w:rsidRDefault="008B283E" w:rsidP="0026215F">
      <w:pPr>
        <w:pStyle w:val="ListParagraph"/>
        <w:numPr>
          <w:ilvl w:val="0"/>
          <w:numId w:val="14"/>
        </w:numPr>
        <w:spacing w:line="360" w:lineRule="auto"/>
        <w:jc w:val="both"/>
        <w:rPr>
          <w:rFonts w:ascii="Arial" w:hAnsi="Arial" w:cs="Arial"/>
          <w:sz w:val="22"/>
          <w:szCs w:val="22"/>
        </w:rPr>
      </w:pPr>
      <w:r w:rsidRPr="0026215F">
        <w:rPr>
          <w:rFonts w:ascii="Arial" w:hAnsi="Arial" w:cs="Arial"/>
          <w:b/>
          <w:bCs/>
          <w:sz w:val="22"/>
          <w:szCs w:val="22"/>
        </w:rPr>
        <w:t>Solutions:</w:t>
      </w:r>
      <w:r w:rsidRPr="0026215F">
        <w:rPr>
          <w:rFonts w:ascii="Arial" w:hAnsi="Arial" w:cs="Arial"/>
          <w:sz w:val="22"/>
          <w:szCs w:val="22"/>
        </w:rPr>
        <w:t xml:space="preserve"> Co-located "Primary Care Networks" (PCNs) have been found to be effective in early intervention and less </w:t>
      </w:r>
      <w:proofErr w:type="spellStart"/>
      <w:r w:rsidRPr="0026215F">
        <w:rPr>
          <w:rFonts w:ascii="Arial" w:hAnsi="Arial" w:cs="Arial"/>
          <w:sz w:val="22"/>
          <w:szCs w:val="22"/>
        </w:rPr>
        <w:t>stigmatising</w:t>
      </w:r>
      <w:proofErr w:type="spellEnd"/>
      <w:r w:rsidRPr="0026215F">
        <w:rPr>
          <w:rFonts w:ascii="Arial" w:hAnsi="Arial" w:cs="Arial"/>
          <w:sz w:val="22"/>
          <w:szCs w:val="22"/>
        </w:rPr>
        <w:t xml:space="preserve"> in geriatric psychiatry by co-locating mental health practitioners in GP surgeries (Goleman, 2024).</w:t>
      </w:r>
    </w:p>
    <w:p w14:paraId="633526F1" w14:textId="4F374789" w:rsidR="008B283E" w:rsidRPr="008B283E" w:rsidRDefault="008B283E" w:rsidP="00D36164">
      <w:pPr>
        <w:pStyle w:val="Heading3"/>
      </w:pPr>
      <w:bookmarkStart w:id="4" w:name="_Toc227957379"/>
      <w:r w:rsidRPr="008B283E">
        <w:t>2.</w:t>
      </w:r>
      <w:r w:rsidR="0026215F">
        <w:t>2</w:t>
      </w:r>
      <w:r w:rsidRPr="008B283E">
        <w:t xml:space="preserve"> Low healthcare access rates</w:t>
      </w:r>
      <w:r w:rsidR="0026215F">
        <w:t>:</w:t>
      </w:r>
      <w:bookmarkEnd w:id="4"/>
    </w:p>
    <w:p w14:paraId="0923CCA9" w14:textId="77777777" w:rsidR="008B283E" w:rsidRPr="0026215F" w:rsidRDefault="008B283E" w:rsidP="0026215F">
      <w:pPr>
        <w:pStyle w:val="ListParagraph"/>
        <w:numPr>
          <w:ilvl w:val="0"/>
          <w:numId w:val="15"/>
        </w:numPr>
        <w:spacing w:line="360" w:lineRule="auto"/>
        <w:jc w:val="both"/>
        <w:rPr>
          <w:rFonts w:ascii="Arial" w:hAnsi="Arial" w:cs="Arial"/>
          <w:sz w:val="22"/>
          <w:szCs w:val="22"/>
        </w:rPr>
      </w:pPr>
      <w:r w:rsidRPr="0026215F">
        <w:rPr>
          <w:rFonts w:ascii="Arial" w:hAnsi="Arial" w:cs="Arial"/>
          <w:b/>
          <w:bCs/>
          <w:sz w:val="22"/>
          <w:szCs w:val="22"/>
        </w:rPr>
        <w:t>Statistics and Risk Factors:</w:t>
      </w:r>
      <w:r w:rsidRPr="0026215F">
        <w:rPr>
          <w:rFonts w:ascii="Arial" w:hAnsi="Arial" w:cs="Arial"/>
          <w:sz w:val="22"/>
          <w:szCs w:val="22"/>
        </w:rPr>
        <w:t xml:space="preserve"> There is a high clinical need in the elderly population of rural or impoverished urban 'cold spots' with major barriers. According to the recent statistics, digital exclusion or transport poverty is one of the issues that 1 in every 5 older adults experience when seeking elective care within target timeframes (Age UK, 2025).</w:t>
      </w:r>
    </w:p>
    <w:p w14:paraId="3D6F3275" w14:textId="77777777" w:rsidR="008B283E" w:rsidRPr="0026215F" w:rsidRDefault="008B283E" w:rsidP="0026215F">
      <w:pPr>
        <w:pStyle w:val="ListParagraph"/>
        <w:numPr>
          <w:ilvl w:val="0"/>
          <w:numId w:val="15"/>
        </w:numPr>
        <w:spacing w:line="360" w:lineRule="auto"/>
        <w:jc w:val="both"/>
        <w:rPr>
          <w:rFonts w:ascii="Arial" w:hAnsi="Arial" w:cs="Arial"/>
          <w:sz w:val="22"/>
          <w:szCs w:val="22"/>
        </w:rPr>
      </w:pPr>
      <w:r w:rsidRPr="0026215F">
        <w:rPr>
          <w:rFonts w:ascii="Arial" w:hAnsi="Arial" w:cs="Arial"/>
          <w:b/>
          <w:bCs/>
          <w:sz w:val="22"/>
          <w:szCs w:val="22"/>
        </w:rPr>
        <w:lastRenderedPageBreak/>
        <w:t>Inequality Drivers:</w:t>
      </w:r>
      <w:r w:rsidRPr="0026215F">
        <w:rPr>
          <w:rFonts w:ascii="Arial" w:hAnsi="Arial" w:cs="Arial"/>
          <w:sz w:val="22"/>
          <w:szCs w:val="22"/>
        </w:rPr>
        <w:t xml:space="preserve"> The inversion of care law is still common, with individuals with the highest health care needs not having access to high-quality services. The 2.5 million over-75s who do not use the internet often face discrimination from most digital-first appointment systems (Office for National Statistics, 2024).</w:t>
      </w:r>
    </w:p>
    <w:p w14:paraId="6DEF7BC8" w14:textId="3B5371FD" w:rsidR="008B283E" w:rsidRPr="0026215F" w:rsidRDefault="0026215F" w:rsidP="0026215F">
      <w:pPr>
        <w:pStyle w:val="ListParagraph"/>
        <w:numPr>
          <w:ilvl w:val="0"/>
          <w:numId w:val="15"/>
        </w:numPr>
        <w:spacing w:line="360" w:lineRule="auto"/>
        <w:jc w:val="both"/>
        <w:rPr>
          <w:rFonts w:ascii="Arial" w:hAnsi="Arial" w:cs="Arial"/>
          <w:sz w:val="22"/>
          <w:szCs w:val="22"/>
        </w:rPr>
      </w:pPr>
      <w:r w:rsidRPr="0026215F">
        <w:rPr>
          <w:rFonts w:ascii="Arial" w:hAnsi="Arial" w:cs="Arial"/>
          <w:b/>
          <w:bCs/>
          <w:sz w:val="22"/>
          <w:szCs w:val="22"/>
        </w:rPr>
        <w:t>Solutions</w:t>
      </w:r>
      <w:r w:rsidRPr="0026215F">
        <w:rPr>
          <w:rFonts w:ascii="Arial" w:hAnsi="Arial" w:cs="Arial"/>
          <w:b/>
          <w:bCs/>
          <w:sz w:val="22"/>
          <w:szCs w:val="22"/>
        </w:rPr>
        <w:t>:</w:t>
      </w:r>
      <w:r w:rsidR="008B283E" w:rsidRPr="0026215F">
        <w:rPr>
          <w:rFonts w:ascii="Arial" w:hAnsi="Arial" w:cs="Arial"/>
          <w:sz w:val="22"/>
          <w:szCs w:val="22"/>
        </w:rPr>
        <w:t xml:space="preserve"> Hybrid models of services that preserve the traditional routes of telephone and face-to-face communication, as well as digital ones, are needed to even the access (UKHSA, 2024).</w:t>
      </w:r>
    </w:p>
    <w:p w14:paraId="176C9A39" w14:textId="2C0450DA" w:rsidR="008B283E" w:rsidRPr="008B283E" w:rsidRDefault="0026215F" w:rsidP="00D36164">
      <w:pPr>
        <w:pStyle w:val="Heading3"/>
      </w:pPr>
      <w:bookmarkStart w:id="5" w:name="_Toc227957380"/>
      <w:r>
        <w:t>2.</w:t>
      </w:r>
      <w:r w:rsidR="008B283E" w:rsidRPr="008B283E">
        <w:t>3 Death rates of the aged group</w:t>
      </w:r>
      <w:r>
        <w:t>:</w:t>
      </w:r>
      <w:bookmarkEnd w:id="5"/>
    </w:p>
    <w:p w14:paraId="3C654C35" w14:textId="77777777" w:rsidR="008B283E" w:rsidRPr="0026215F" w:rsidRDefault="008B283E" w:rsidP="0026215F">
      <w:pPr>
        <w:pStyle w:val="ListParagraph"/>
        <w:numPr>
          <w:ilvl w:val="0"/>
          <w:numId w:val="16"/>
        </w:numPr>
        <w:spacing w:line="360" w:lineRule="auto"/>
        <w:jc w:val="both"/>
        <w:rPr>
          <w:rFonts w:ascii="Arial" w:hAnsi="Arial" w:cs="Arial"/>
          <w:sz w:val="22"/>
          <w:szCs w:val="22"/>
        </w:rPr>
      </w:pPr>
      <w:r w:rsidRPr="0026215F">
        <w:rPr>
          <w:rFonts w:ascii="Arial" w:hAnsi="Arial" w:cs="Arial"/>
          <w:b/>
          <w:bCs/>
          <w:sz w:val="22"/>
          <w:szCs w:val="22"/>
        </w:rPr>
        <w:t>Statistics and Risk Factors:</w:t>
      </w:r>
      <w:r w:rsidRPr="0026215F">
        <w:rPr>
          <w:rFonts w:ascii="Arial" w:hAnsi="Arial" w:cs="Arial"/>
          <w:sz w:val="22"/>
          <w:szCs w:val="22"/>
        </w:rPr>
        <w:t xml:space="preserve"> Geography is sharply split in terms of mortality rates. In certain areas of Blackpool, men have almost 10 years less life expectancy in comparison to Westminster (Office for National Statistics, 2025). Moreover, old age groups in the </w:t>
      </w:r>
      <w:proofErr w:type="spellStart"/>
      <w:r w:rsidRPr="0026215F">
        <w:rPr>
          <w:rFonts w:ascii="Arial" w:hAnsi="Arial" w:cs="Arial"/>
          <w:sz w:val="22"/>
          <w:szCs w:val="22"/>
        </w:rPr>
        <w:t>underinsulated</w:t>
      </w:r>
      <w:proofErr w:type="spellEnd"/>
      <w:r w:rsidRPr="0026215F">
        <w:rPr>
          <w:rFonts w:ascii="Arial" w:hAnsi="Arial" w:cs="Arial"/>
          <w:sz w:val="22"/>
          <w:szCs w:val="22"/>
        </w:rPr>
        <w:t xml:space="preserve"> houses are the most disproportionately affected by excess winter deaths.</w:t>
      </w:r>
    </w:p>
    <w:p w14:paraId="15295C62" w14:textId="77777777" w:rsidR="008B283E" w:rsidRPr="0026215F" w:rsidRDefault="008B283E" w:rsidP="0026215F">
      <w:pPr>
        <w:pStyle w:val="ListParagraph"/>
        <w:numPr>
          <w:ilvl w:val="0"/>
          <w:numId w:val="16"/>
        </w:numPr>
        <w:spacing w:line="360" w:lineRule="auto"/>
        <w:jc w:val="both"/>
        <w:rPr>
          <w:rFonts w:ascii="Arial" w:hAnsi="Arial" w:cs="Arial"/>
          <w:sz w:val="22"/>
          <w:szCs w:val="22"/>
        </w:rPr>
      </w:pPr>
      <w:r w:rsidRPr="0026215F">
        <w:rPr>
          <w:rFonts w:ascii="Arial" w:hAnsi="Arial" w:cs="Arial"/>
          <w:b/>
          <w:bCs/>
          <w:sz w:val="22"/>
          <w:szCs w:val="22"/>
        </w:rPr>
        <w:t>Inequality Drivers:</w:t>
      </w:r>
      <w:r w:rsidRPr="0026215F">
        <w:rPr>
          <w:rFonts w:ascii="Arial" w:hAnsi="Arial" w:cs="Arial"/>
          <w:sz w:val="22"/>
          <w:szCs w:val="22"/>
        </w:rPr>
        <w:t xml:space="preserve"> The high mortality is connected with the high rates of multi-morbidity – living with 2 or more chronic conditions is 60% more likely in deprived communities (Health Foundation, 2024).</w:t>
      </w:r>
    </w:p>
    <w:p w14:paraId="6EC9C7E2" w14:textId="77777777" w:rsidR="008B283E" w:rsidRPr="0026215F" w:rsidRDefault="008B283E" w:rsidP="0026215F">
      <w:pPr>
        <w:pStyle w:val="ListParagraph"/>
        <w:numPr>
          <w:ilvl w:val="0"/>
          <w:numId w:val="16"/>
        </w:numPr>
        <w:spacing w:line="360" w:lineRule="auto"/>
        <w:jc w:val="both"/>
        <w:rPr>
          <w:rFonts w:ascii="Arial" w:hAnsi="Arial" w:cs="Arial"/>
          <w:sz w:val="22"/>
          <w:szCs w:val="22"/>
        </w:rPr>
      </w:pPr>
      <w:r w:rsidRPr="0026215F">
        <w:rPr>
          <w:rFonts w:ascii="Arial" w:hAnsi="Arial" w:cs="Arial"/>
          <w:b/>
          <w:bCs/>
          <w:sz w:val="22"/>
          <w:szCs w:val="22"/>
        </w:rPr>
        <w:t>Solutions:</w:t>
      </w:r>
      <w:r w:rsidRPr="0026215F">
        <w:rPr>
          <w:rFonts w:ascii="Arial" w:hAnsi="Arial" w:cs="Arial"/>
          <w:sz w:val="22"/>
          <w:szCs w:val="22"/>
        </w:rPr>
        <w:t xml:space="preserve"> NHS targeted vaccination </w:t>
      </w:r>
      <w:proofErr w:type="spellStart"/>
      <w:r w:rsidRPr="0026215F">
        <w:rPr>
          <w:rFonts w:ascii="Arial" w:hAnsi="Arial" w:cs="Arial"/>
          <w:sz w:val="22"/>
          <w:szCs w:val="22"/>
        </w:rPr>
        <w:t>programmes</w:t>
      </w:r>
      <w:proofErr w:type="spellEnd"/>
      <w:r w:rsidRPr="0026215F">
        <w:rPr>
          <w:rFonts w:ascii="Arial" w:hAnsi="Arial" w:cs="Arial"/>
          <w:sz w:val="22"/>
          <w:szCs w:val="22"/>
        </w:rPr>
        <w:t xml:space="preserve"> (flu and COVID-19) and prescriptions for the so-called 'Warm Home' can be used to alleviate the risks of mortality due to the environment (WHO, 2025).</w:t>
      </w:r>
    </w:p>
    <w:p w14:paraId="4E06105A" w14:textId="1D8B164E" w:rsidR="008B283E" w:rsidRPr="008B283E" w:rsidRDefault="0026215F" w:rsidP="00D36164">
      <w:pPr>
        <w:pStyle w:val="Heading3"/>
      </w:pPr>
      <w:bookmarkStart w:id="6" w:name="_Toc227957381"/>
      <w:r>
        <w:t>2.</w:t>
      </w:r>
      <w:r w:rsidR="008B283E" w:rsidRPr="008B283E">
        <w:t>4 Social Isolation/Loneliness</w:t>
      </w:r>
      <w:r>
        <w:t>:</w:t>
      </w:r>
      <w:bookmarkEnd w:id="6"/>
    </w:p>
    <w:p w14:paraId="59AE3239" w14:textId="77777777" w:rsidR="008B283E" w:rsidRPr="0026215F" w:rsidRDefault="008B283E" w:rsidP="0026215F">
      <w:pPr>
        <w:pStyle w:val="ListParagraph"/>
        <w:numPr>
          <w:ilvl w:val="0"/>
          <w:numId w:val="17"/>
        </w:numPr>
        <w:spacing w:line="360" w:lineRule="auto"/>
        <w:jc w:val="both"/>
        <w:rPr>
          <w:rFonts w:ascii="Arial" w:hAnsi="Arial" w:cs="Arial"/>
          <w:sz w:val="22"/>
          <w:szCs w:val="22"/>
        </w:rPr>
      </w:pPr>
      <w:r w:rsidRPr="0026215F">
        <w:rPr>
          <w:rFonts w:ascii="Arial" w:hAnsi="Arial" w:cs="Arial"/>
          <w:b/>
          <w:bCs/>
          <w:sz w:val="22"/>
          <w:szCs w:val="22"/>
        </w:rPr>
        <w:t>Statistics and Risk Factors:</w:t>
      </w:r>
      <w:r w:rsidRPr="0026215F">
        <w:rPr>
          <w:rFonts w:ascii="Arial" w:hAnsi="Arial" w:cs="Arial"/>
          <w:sz w:val="22"/>
          <w:szCs w:val="22"/>
        </w:rPr>
        <w:t xml:space="preserve"> Approximately a quarter of UK adults (70 and above) report feeling lonely (often or always or some of the time) (Office for National Statistics, 2025). The clinical risk of premature mortality has been shown to increase by 26% in loneliness and is akin to 15 cigarettes a day (Age UK, 2025).</w:t>
      </w:r>
    </w:p>
    <w:p w14:paraId="0AC99345" w14:textId="77777777" w:rsidR="008B283E" w:rsidRPr="0026215F" w:rsidRDefault="008B283E" w:rsidP="0026215F">
      <w:pPr>
        <w:pStyle w:val="ListParagraph"/>
        <w:numPr>
          <w:ilvl w:val="0"/>
          <w:numId w:val="17"/>
        </w:numPr>
        <w:spacing w:line="360" w:lineRule="auto"/>
        <w:jc w:val="both"/>
        <w:rPr>
          <w:rFonts w:ascii="Arial" w:hAnsi="Arial" w:cs="Arial"/>
          <w:sz w:val="22"/>
          <w:szCs w:val="22"/>
        </w:rPr>
      </w:pPr>
      <w:r w:rsidRPr="0026215F">
        <w:rPr>
          <w:rFonts w:ascii="Arial" w:hAnsi="Arial" w:cs="Arial"/>
          <w:b/>
          <w:bCs/>
          <w:sz w:val="22"/>
          <w:szCs w:val="22"/>
        </w:rPr>
        <w:t>Drivers of Inequality:</w:t>
      </w:r>
      <w:r w:rsidRPr="0026215F">
        <w:rPr>
          <w:rFonts w:ascii="Arial" w:hAnsi="Arial" w:cs="Arial"/>
          <w:sz w:val="22"/>
          <w:szCs w:val="22"/>
        </w:rPr>
        <w:t xml:space="preserve"> Structural elements such as the shutdown of community centers, a decline in bus routes, and the digital divide (or lack of access to technology) do not allow elderly people to stay connected.</w:t>
      </w:r>
    </w:p>
    <w:p w14:paraId="72237A62" w14:textId="77777777" w:rsidR="008B283E" w:rsidRPr="0026215F" w:rsidRDefault="008B283E" w:rsidP="0026215F">
      <w:pPr>
        <w:pStyle w:val="ListParagraph"/>
        <w:numPr>
          <w:ilvl w:val="0"/>
          <w:numId w:val="17"/>
        </w:numPr>
        <w:spacing w:line="360" w:lineRule="auto"/>
        <w:jc w:val="both"/>
        <w:rPr>
          <w:rFonts w:ascii="Arial" w:hAnsi="Arial" w:cs="Arial"/>
          <w:sz w:val="22"/>
          <w:szCs w:val="22"/>
        </w:rPr>
      </w:pPr>
      <w:r w:rsidRPr="0026215F">
        <w:rPr>
          <w:rFonts w:ascii="Arial" w:hAnsi="Arial" w:cs="Arial"/>
          <w:b/>
          <w:bCs/>
          <w:sz w:val="22"/>
          <w:szCs w:val="22"/>
        </w:rPr>
        <w:t>Solutions:</w:t>
      </w:r>
      <w:r w:rsidRPr="0026215F">
        <w:rPr>
          <w:rFonts w:ascii="Arial" w:hAnsi="Arial" w:cs="Arial"/>
          <w:sz w:val="22"/>
          <w:szCs w:val="22"/>
        </w:rPr>
        <w:t xml:space="preserve"> Social prescribing, where the GPs refer the patients to the community groups instead of prescribing them medications, is an important national policy to replenish social capital (NHS England, 2024).</w:t>
      </w:r>
    </w:p>
    <w:p w14:paraId="561AE3E8" w14:textId="0E631AF1" w:rsidR="008B283E" w:rsidRPr="008B283E" w:rsidRDefault="00DE7614" w:rsidP="00D36164">
      <w:pPr>
        <w:pStyle w:val="Heading3"/>
      </w:pPr>
      <w:bookmarkStart w:id="7" w:name="_Toc227957382"/>
      <w:r>
        <w:t xml:space="preserve">2.5 </w:t>
      </w:r>
      <w:r w:rsidR="008B283E" w:rsidRPr="008B283E">
        <w:t xml:space="preserve">Poverty </w:t>
      </w:r>
      <w:r w:rsidRPr="00DE7614">
        <w:t>in Later Life</w:t>
      </w:r>
      <w:r>
        <w:t>:</w:t>
      </w:r>
      <w:bookmarkEnd w:id="7"/>
    </w:p>
    <w:p w14:paraId="60A6211B" w14:textId="77777777" w:rsidR="008B283E" w:rsidRPr="00DE7614" w:rsidRDefault="008B283E" w:rsidP="00DE7614">
      <w:pPr>
        <w:pStyle w:val="ListParagraph"/>
        <w:numPr>
          <w:ilvl w:val="0"/>
          <w:numId w:val="18"/>
        </w:numPr>
        <w:spacing w:line="360" w:lineRule="auto"/>
        <w:jc w:val="both"/>
        <w:rPr>
          <w:rFonts w:ascii="Arial" w:hAnsi="Arial" w:cs="Arial"/>
          <w:sz w:val="22"/>
          <w:szCs w:val="22"/>
        </w:rPr>
      </w:pPr>
      <w:r w:rsidRPr="00DE7614">
        <w:rPr>
          <w:rFonts w:ascii="Arial" w:hAnsi="Arial" w:cs="Arial"/>
          <w:b/>
          <w:bCs/>
          <w:sz w:val="22"/>
          <w:szCs w:val="22"/>
        </w:rPr>
        <w:t>Statistic and Risk Factor:</w:t>
      </w:r>
      <w:r w:rsidRPr="00DE7614">
        <w:rPr>
          <w:rFonts w:ascii="Arial" w:hAnsi="Arial" w:cs="Arial"/>
          <w:sz w:val="22"/>
          <w:szCs w:val="22"/>
        </w:rPr>
        <w:t xml:space="preserve"> In the UK, a significant number of pensioners (around 2.1 million) are living in poverty, which is a higher number compared to the past years because </w:t>
      </w:r>
      <w:r w:rsidRPr="00DE7614">
        <w:rPr>
          <w:rFonts w:ascii="Arial" w:hAnsi="Arial" w:cs="Arial"/>
          <w:sz w:val="22"/>
          <w:szCs w:val="22"/>
        </w:rPr>
        <w:lastRenderedPageBreak/>
        <w:t>of the high cost of living (Age UK, 2025). The heat or eat dilemma is a day-to-day challenge for people in the lowest income decile.</w:t>
      </w:r>
    </w:p>
    <w:p w14:paraId="6051033D" w14:textId="77777777" w:rsidR="008B283E" w:rsidRPr="00DE7614" w:rsidRDefault="008B283E" w:rsidP="00DE7614">
      <w:pPr>
        <w:pStyle w:val="ListParagraph"/>
        <w:numPr>
          <w:ilvl w:val="0"/>
          <w:numId w:val="18"/>
        </w:numPr>
        <w:spacing w:line="360" w:lineRule="auto"/>
        <w:jc w:val="both"/>
        <w:rPr>
          <w:rFonts w:ascii="Arial" w:hAnsi="Arial" w:cs="Arial"/>
          <w:sz w:val="22"/>
          <w:szCs w:val="22"/>
        </w:rPr>
      </w:pPr>
      <w:r w:rsidRPr="00DE7614">
        <w:rPr>
          <w:rFonts w:ascii="Arial" w:hAnsi="Arial" w:cs="Arial"/>
          <w:b/>
          <w:bCs/>
          <w:sz w:val="22"/>
          <w:szCs w:val="22"/>
        </w:rPr>
        <w:t>Inequality Drivers:</w:t>
      </w:r>
      <w:r w:rsidRPr="00DE7614">
        <w:rPr>
          <w:rFonts w:ascii="Arial" w:hAnsi="Arial" w:cs="Arial"/>
          <w:sz w:val="22"/>
          <w:szCs w:val="22"/>
        </w:rPr>
        <w:t xml:space="preserve"> When the rates of inflation are high, uptake of pension credit and the dependency on fixed incomes adversely affect those who do not own any assets privately or a home.</w:t>
      </w:r>
    </w:p>
    <w:p w14:paraId="1EF633B9" w14:textId="77777777" w:rsidR="008B283E" w:rsidRPr="00DE7614" w:rsidRDefault="008B283E" w:rsidP="00DE7614">
      <w:pPr>
        <w:pStyle w:val="ListParagraph"/>
        <w:numPr>
          <w:ilvl w:val="0"/>
          <w:numId w:val="18"/>
        </w:numPr>
        <w:spacing w:line="360" w:lineRule="auto"/>
        <w:jc w:val="both"/>
        <w:rPr>
          <w:rFonts w:ascii="Arial" w:hAnsi="Arial" w:cs="Arial"/>
          <w:sz w:val="22"/>
          <w:szCs w:val="22"/>
        </w:rPr>
      </w:pPr>
      <w:r w:rsidRPr="00DE7614">
        <w:rPr>
          <w:rFonts w:ascii="Arial" w:hAnsi="Arial" w:cs="Arial"/>
          <w:b/>
          <w:bCs/>
          <w:sz w:val="22"/>
          <w:szCs w:val="22"/>
        </w:rPr>
        <w:t>Solutions:</w:t>
      </w:r>
      <w:r w:rsidRPr="00DE7614">
        <w:rPr>
          <w:rFonts w:ascii="Arial" w:hAnsi="Arial" w:cs="Arial"/>
          <w:sz w:val="22"/>
          <w:szCs w:val="22"/>
        </w:rPr>
        <w:t xml:space="preserve"> To ensure a minimum standard of living, it is necessary to have automatic enrolment in pension credit and the so-called 'triple lock' policy (</w:t>
      </w:r>
      <w:hyperlink r:id="rId8" w:tgtFrame="_blank" w:history="1">
        <w:r w:rsidRPr="00DE7614">
          <w:rPr>
            <w:rStyle w:val="Hyperlink"/>
            <w:rFonts w:ascii="Arial" w:hAnsi="Arial" w:cs="Arial"/>
            <w:color w:val="000000" w:themeColor="text1"/>
            <w:sz w:val="22"/>
            <w:szCs w:val="22"/>
            <w:u w:val="none"/>
          </w:rPr>
          <w:t>GOV.UK</w:t>
        </w:r>
      </w:hyperlink>
      <w:r w:rsidRPr="00DE7614">
        <w:rPr>
          <w:rFonts w:ascii="Arial" w:hAnsi="Arial" w:cs="Arial"/>
          <w:color w:val="000000" w:themeColor="text1"/>
          <w:sz w:val="22"/>
          <w:szCs w:val="22"/>
        </w:rPr>
        <w:t>,</w:t>
      </w:r>
      <w:r w:rsidRPr="00DE7614">
        <w:rPr>
          <w:rFonts w:ascii="Arial" w:hAnsi="Arial" w:cs="Arial"/>
          <w:sz w:val="22"/>
          <w:szCs w:val="22"/>
        </w:rPr>
        <w:t xml:space="preserve"> 2025).</w:t>
      </w:r>
    </w:p>
    <w:p w14:paraId="662AFDA5" w14:textId="6BD89947" w:rsidR="008B283E" w:rsidRPr="008B283E" w:rsidRDefault="00DE7614" w:rsidP="00D36164">
      <w:pPr>
        <w:pStyle w:val="Heading3"/>
      </w:pPr>
      <w:bookmarkStart w:id="8" w:name="_Toc227957383"/>
      <w:r>
        <w:t>2.</w:t>
      </w:r>
      <w:r w:rsidR="008B283E" w:rsidRPr="008B283E">
        <w:t>6 Housing Issues</w:t>
      </w:r>
      <w:r>
        <w:t>:</w:t>
      </w:r>
      <w:bookmarkEnd w:id="8"/>
    </w:p>
    <w:p w14:paraId="1A51A10C" w14:textId="77777777" w:rsidR="008B283E" w:rsidRPr="00DE1B1D" w:rsidRDefault="008B283E" w:rsidP="00DE1B1D">
      <w:pPr>
        <w:pStyle w:val="ListParagraph"/>
        <w:numPr>
          <w:ilvl w:val="0"/>
          <w:numId w:val="19"/>
        </w:numPr>
        <w:spacing w:line="360" w:lineRule="auto"/>
        <w:jc w:val="both"/>
        <w:rPr>
          <w:rFonts w:ascii="Arial" w:hAnsi="Arial" w:cs="Arial"/>
          <w:sz w:val="22"/>
          <w:szCs w:val="22"/>
        </w:rPr>
      </w:pPr>
      <w:r w:rsidRPr="00DE1B1D">
        <w:rPr>
          <w:rFonts w:ascii="Arial" w:hAnsi="Arial" w:cs="Arial"/>
          <w:b/>
          <w:bCs/>
          <w:sz w:val="22"/>
          <w:szCs w:val="22"/>
        </w:rPr>
        <w:t>Statistics and Risk Factors:</w:t>
      </w:r>
      <w:r w:rsidRPr="00DE1B1D">
        <w:rPr>
          <w:rFonts w:ascii="Arial" w:hAnsi="Arial" w:cs="Arial"/>
          <w:sz w:val="22"/>
          <w:szCs w:val="22"/>
        </w:rPr>
        <w:t xml:space="preserve"> It is estimated that there are 1.3 million older households who inhabit non-decent homes and are either damp, cold or hazardous (Age UK, 2025). Poor housing increases the number of falls, as they are the number one cause of emergency hospital admissions among the over-65s.</w:t>
      </w:r>
    </w:p>
    <w:p w14:paraId="489C17BC" w14:textId="77777777" w:rsidR="008B283E" w:rsidRPr="00DE1B1D" w:rsidRDefault="008B283E" w:rsidP="00DE1B1D">
      <w:pPr>
        <w:pStyle w:val="ListParagraph"/>
        <w:numPr>
          <w:ilvl w:val="0"/>
          <w:numId w:val="19"/>
        </w:numPr>
        <w:spacing w:line="360" w:lineRule="auto"/>
        <w:jc w:val="both"/>
        <w:rPr>
          <w:rFonts w:ascii="Arial" w:hAnsi="Arial" w:cs="Arial"/>
          <w:sz w:val="22"/>
          <w:szCs w:val="22"/>
        </w:rPr>
      </w:pPr>
      <w:r w:rsidRPr="00DE1B1D">
        <w:rPr>
          <w:rFonts w:ascii="Arial" w:hAnsi="Arial" w:cs="Arial"/>
          <w:b/>
          <w:bCs/>
          <w:sz w:val="22"/>
          <w:szCs w:val="22"/>
        </w:rPr>
        <w:t>Inequality Drivers:</w:t>
      </w:r>
      <w:r w:rsidRPr="00DE1B1D">
        <w:rPr>
          <w:rFonts w:ascii="Arial" w:hAnsi="Arial" w:cs="Arial"/>
          <w:sz w:val="22"/>
          <w:szCs w:val="22"/>
        </w:rPr>
        <w:t xml:space="preserve"> The instability and poor maintenance are most likely to put older renters in the private market at greater risk than they would be with homeowners.</w:t>
      </w:r>
    </w:p>
    <w:p w14:paraId="274760FD" w14:textId="77777777" w:rsidR="008B283E" w:rsidRPr="00DE1B1D" w:rsidRDefault="008B283E" w:rsidP="00DE1B1D">
      <w:pPr>
        <w:pStyle w:val="ListParagraph"/>
        <w:numPr>
          <w:ilvl w:val="0"/>
          <w:numId w:val="19"/>
        </w:numPr>
        <w:spacing w:line="360" w:lineRule="auto"/>
        <w:jc w:val="both"/>
        <w:rPr>
          <w:rFonts w:ascii="Arial" w:hAnsi="Arial" w:cs="Arial"/>
          <w:sz w:val="22"/>
          <w:szCs w:val="22"/>
        </w:rPr>
      </w:pPr>
      <w:r w:rsidRPr="00DE1B1D">
        <w:rPr>
          <w:rFonts w:ascii="Arial" w:hAnsi="Arial" w:cs="Arial"/>
          <w:b/>
          <w:bCs/>
          <w:sz w:val="22"/>
          <w:szCs w:val="22"/>
        </w:rPr>
        <w:t>Solutions:</w:t>
      </w:r>
      <w:r w:rsidRPr="00DE1B1D">
        <w:rPr>
          <w:rFonts w:ascii="Arial" w:hAnsi="Arial" w:cs="Arial"/>
          <w:sz w:val="22"/>
          <w:szCs w:val="22"/>
        </w:rPr>
        <w:t xml:space="preserve"> The "Disabled Facilities Grant" (DFG) can be used to make the home safer (with additions such as grab rails and ramps) to enable people to remain at home (</w:t>
      </w:r>
      <w:hyperlink r:id="rId9" w:tgtFrame="_blank" w:history="1">
        <w:r w:rsidRPr="00DE1B1D">
          <w:rPr>
            <w:rStyle w:val="Hyperlink"/>
            <w:rFonts w:ascii="Arial" w:hAnsi="Arial" w:cs="Arial"/>
            <w:color w:val="000000" w:themeColor="text1"/>
            <w:sz w:val="22"/>
            <w:szCs w:val="22"/>
            <w:u w:val="none"/>
          </w:rPr>
          <w:t>GOV.UK</w:t>
        </w:r>
      </w:hyperlink>
      <w:r w:rsidRPr="00DE1B1D">
        <w:rPr>
          <w:rFonts w:ascii="Arial" w:hAnsi="Arial" w:cs="Arial"/>
          <w:sz w:val="22"/>
          <w:szCs w:val="22"/>
        </w:rPr>
        <w:t>, 2024).</w:t>
      </w:r>
    </w:p>
    <w:p w14:paraId="78608DA4" w14:textId="7FB27C06" w:rsidR="008B283E" w:rsidRPr="008B283E" w:rsidRDefault="00D4303B" w:rsidP="00D36164">
      <w:pPr>
        <w:pStyle w:val="Heading2"/>
      </w:pPr>
      <w:bookmarkStart w:id="9" w:name="_Toc227957384"/>
      <w:r>
        <w:t xml:space="preserve">3. </w:t>
      </w:r>
      <w:r w:rsidR="008B283E" w:rsidRPr="008B283E">
        <w:t>National Response to Lessen Health Inequalities</w:t>
      </w:r>
      <w:bookmarkEnd w:id="9"/>
    </w:p>
    <w:p w14:paraId="2B26D493" w14:textId="02567EEA" w:rsidR="008B283E" w:rsidRPr="008B283E" w:rsidRDefault="00774D48" w:rsidP="00D36164">
      <w:pPr>
        <w:pStyle w:val="Heading3"/>
      </w:pPr>
      <w:bookmarkStart w:id="10" w:name="_Toc227957385"/>
      <w:r w:rsidRPr="00774D48">
        <w:t>3.1 The Core20PLUS5 Approach (Adults)</w:t>
      </w:r>
      <w:bookmarkEnd w:id="10"/>
    </w:p>
    <w:p w14:paraId="454C6112" w14:textId="77777777" w:rsidR="00202417" w:rsidRDefault="00202417" w:rsidP="00202417">
      <w:pPr>
        <w:keepNext/>
        <w:spacing w:line="360" w:lineRule="auto"/>
        <w:jc w:val="center"/>
      </w:pPr>
      <w:r>
        <w:rPr>
          <w:noProof/>
        </w:rPr>
        <w:drawing>
          <wp:inline distT="0" distB="0" distL="0" distR="0" wp14:anchorId="71F609E4" wp14:editId="3A422D81">
            <wp:extent cx="2705100" cy="1521618"/>
            <wp:effectExtent l="0" t="0" r="0" b="2540"/>
            <wp:docPr id="1501718973" name="Picture 1" descr="Core20plus5 Graphic With Lozenge 2048x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e20plus5 Graphic With Lozenge 2048x115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4215" cy="1532370"/>
                    </a:xfrm>
                    <a:prstGeom prst="rect">
                      <a:avLst/>
                    </a:prstGeom>
                    <a:noFill/>
                    <a:ln>
                      <a:noFill/>
                    </a:ln>
                  </pic:spPr>
                </pic:pic>
              </a:graphicData>
            </a:graphic>
          </wp:inline>
        </w:drawing>
      </w:r>
    </w:p>
    <w:p w14:paraId="089832EE" w14:textId="7B446A73" w:rsidR="00202417" w:rsidRDefault="00202417" w:rsidP="00202417">
      <w:pPr>
        <w:pStyle w:val="Caption"/>
        <w:jc w:val="center"/>
      </w:pPr>
      <w:bookmarkStart w:id="11" w:name="_Toc227957367"/>
      <w:r>
        <w:t xml:space="preserve">Figure </w:t>
      </w:r>
      <w:r>
        <w:fldChar w:fldCharType="begin"/>
      </w:r>
      <w:r>
        <w:instrText xml:space="preserve"> SEQ Figure \* ARABIC </w:instrText>
      </w:r>
      <w:r>
        <w:fldChar w:fldCharType="separate"/>
      </w:r>
      <w:r w:rsidR="00845CE2">
        <w:rPr>
          <w:noProof/>
        </w:rPr>
        <w:t>1</w:t>
      </w:r>
      <w:r>
        <w:fldChar w:fldCharType="end"/>
      </w:r>
      <w:r>
        <w:t xml:space="preserve">: </w:t>
      </w:r>
      <w:r w:rsidRPr="00600406">
        <w:t>Core20PLUS5 Approach</w:t>
      </w:r>
      <w:bookmarkEnd w:id="11"/>
    </w:p>
    <w:p w14:paraId="5933598F" w14:textId="71CAEFDE" w:rsidR="00202417" w:rsidRPr="00C354C0" w:rsidRDefault="00202417" w:rsidP="00C354C0">
      <w:pPr>
        <w:jc w:val="center"/>
        <w:rPr>
          <w:rFonts w:ascii="Arial" w:hAnsi="Arial" w:cs="Arial"/>
          <w:sz w:val="22"/>
          <w:szCs w:val="22"/>
        </w:rPr>
      </w:pPr>
      <w:r w:rsidRPr="00C354C0">
        <w:rPr>
          <w:rFonts w:ascii="Arial" w:hAnsi="Arial" w:cs="Arial"/>
          <w:b/>
          <w:bCs/>
          <w:sz w:val="22"/>
          <w:szCs w:val="22"/>
        </w:rPr>
        <w:t xml:space="preserve">Source: </w:t>
      </w:r>
      <w:hyperlink r:id="rId11" w:history="1">
        <w:r w:rsidR="00C354C0" w:rsidRPr="00C354C0">
          <w:rPr>
            <w:rStyle w:val="Hyperlink"/>
            <w:rFonts w:ascii="Arial" w:hAnsi="Arial" w:cs="Arial"/>
            <w:sz w:val="22"/>
            <w:szCs w:val="22"/>
          </w:rPr>
          <w:t>england.nhs.uk</w:t>
        </w:r>
      </w:hyperlink>
    </w:p>
    <w:p w14:paraId="0BB5D8F5" w14:textId="4761A8DE" w:rsidR="008B283E" w:rsidRPr="008B283E" w:rsidRDefault="008B283E" w:rsidP="008B283E">
      <w:pPr>
        <w:spacing w:line="360" w:lineRule="auto"/>
        <w:jc w:val="both"/>
        <w:rPr>
          <w:rFonts w:ascii="Arial" w:hAnsi="Arial" w:cs="Arial"/>
          <w:sz w:val="22"/>
          <w:szCs w:val="22"/>
        </w:rPr>
      </w:pPr>
      <w:r w:rsidRPr="008B283E">
        <w:rPr>
          <w:rFonts w:ascii="Arial" w:hAnsi="Arial" w:cs="Arial"/>
          <w:sz w:val="22"/>
          <w:szCs w:val="22"/>
        </w:rPr>
        <w:t xml:space="preserve">The NHS England Core20PLUS5 is a flagship national strategy, which should be used to </w:t>
      </w:r>
      <w:proofErr w:type="spellStart"/>
      <w:r w:rsidRPr="008B283E">
        <w:rPr>
          <w:rFonts w:ascii="Arial" w:hAnsi="Arial" w:cs="Arial"/>
          <w:sz w:val="22"/>
          <w:szCs w:val="22"/>
        </w:rPr>
        <w:t>minimise</w:t>
      </w:r>
      <w:proofErr w:type="spellEnd"/>
      <w:r w:rsidRPr="008B283E">
        <w:rPr>
          <w:rFonts w:ascii="Arial" w:hAnsi="Arial" w:cs="Arial"/>
          <w:sz w:val="22"/>
          <w:szCs w:val="22"/>
        </w:rPr>
        <w:t xml:space="preserve"> healthcare inequalities. It focuses on the 20% of the population that is the most deprived – the Core20 and the specific groups PLUS, e.g., the elderly with multiple long-term conditions. The </w:t>
      </w:r>
      <w:proofErr w:type="spellStart"/>
      <w:r w:rsidRPr="008B283E">
        <w:rPr>
          <w:rFonts w:ascii="Arial" w:hAnsi="Arial" w:cs="Arial"/>
          <w:sz w:val="22"/>
          <w:szCs w:val="22"/>
        </w:rPr>
        <w:t>programme</w:t>
      </w:r>
      <w:proofErr w:type="spellEnd"/>
      <w:r w:rsidRPr="008B283E">
        <w:rPr>
          <w:rFonts w:ascii="Arial" w:hAnsi="Arial" w:cs="Arial"/>
          <w:sz w:val="22"/>
          <w:szCs w:val="22"/>
        </w:rPr>
        <w:t xml:space="preserve"> intends to bridge the gap in mortality between the richest and poorest older adults by </w:t>
      </w:r>
      <w:r w:rsidRPr="008B283E">
        <w:rPr>
          <w:rFonts w:ascii="Arial" w:hAnsi="Arial" w:cs="Arial"/>
          <w:sz w:val="22"/>
          <w:szCs w:val="22"/>
        </w:rPr>
        <w:lastRenderedPageBreak/>
        <w:t>targeting five clinical areas, such as early cancer diagnosis and hypertension (NHS England, 2024).</w:t>
      </w:r>
    </w:p>
    <w:p w14:paraId="5A50E267" w14:textId="6F69F022" w:rsidR="008B283E" w:rsidRPr="008B283E" w:rsidRDefault="00D23218" w:rsidP="00D36164">
      <w:pPr>
        <w:pStyle w:val="Heading3"/>
      </w:pPr>
      <w:bookmarkStart w:id="12" w:name="_Toc227957386"/>
      <w:r w:rsidRPr="00D23218">
        <w:t>3.2 Fit for the Future: 10 Year Health Plan</w:t>
      </w:r>
      <w:bookmarkEnd w:id="12"/>
    </w:p>
    <w:p w14:paraId="6C0A7A7B" w14:textId="77777777" w:rsidR="008B283E" w:rsidRPr="008B283E" w:rsidRDefault="008B283E" w:rsidP="008B283E">
      <w:pPr>
        <w:spacing w:line="360" w:lineRule="auto"/>
        <w:jc w:val="both"/>
        <w:rPr>
          <w:rFonts w:ascii="Arial" w:hAnsi="Arial" w:cs="Arial"/>
          <w:sz w:val="22"/>
          <w:szCs w:val="22"/>
        </w:rPr>
      </w:pPr>
      <w:r w:rsidRPr="008B283E">
        <w:rPr>
          <w:rFonts w:ascii="Arial" w:hAnsi="Arial" w:cs="Arial"/>
          <w:sz w:val="22"/>
          <w:szCs w:val="22"/>
        </w:rPr>
        <w:t>This government policy, which was introduced in 2025, moves the NHS away from a definition of a community, rather than a hospital, and illness, rather than prevention. In the case of the elderly, this involves the implementation of the so-called '</w:t>
      </w:r>
      <w:proofErr w:type="spellStart"/>
      <w:r w:rsidRPr="008B283E">
        <w:rPr>
          <w:rFonts w:ascii="Arial" w:hAnsi="Arial" w:cs="Arial"/>
          <w:sz w:val="22"/>
          <w:szCs w:val="22"/>
        </w:rPr>
        <w:t>Neighbourhood</w:t>
      </w:r>
      <w:proofErr w:type="spellEnd"/>
      <w:r w:rsidRPr="008B283E">
        <w:rPr>
          <w:rFonts w:ascii="Arial" w:hAnsi="Arial" w:cs="Arial"/>
          <w:sz w:val="22"/>
          <w:szCs w:val="22"/>
        </w:rPr>
        <w:t xml:space="preserve"> Health </w:t>
      </w:r>
      <w:proofErr w:type="spellStart"/>
      <w:r w:rsidRPr="008B283E">
        <w:rPr>
          <w:rFonts w:ascii="Arial" w:hAnsi="Arial" w:cs="Arial"/>
          <w:sz w:val="22"/>
          <w:szCs w:val="22"/>
        </w:rPr>
        <w:t>Centres'</w:t>
      </w:r>
      <w:proofErr w:type="spellEnd"/>
      <w:r w:rsidRPr="008B283E">
        <w:rPr>
          <w:rFonts w:ascii="Arial" w:hAnsi="Arial" w:cs="Arial"/>
          <w:sz w:val="22"/>
          <w:szCs w:val="22"/>
        </w:rPr>
        <w:t xml:space="preserve"> offering integrated care in the vicinity of the home that will alleviate stressful experiences of visiting the hospital and make sure that the impact of social determinants such as housing and nutrition is tackled along with clinical needs (</w:t>
      </w:r>
      <w:hyperlink r:id="rId12" w:tgtFrame="_blank" w:history="1">
        <w:r w:rsidRPr="008B283E">
          <w:rPr>
            <w:rStyle w:val="Hyperlink"/>
            <w:rFonts w:ascii="Arial" w:hAnsi="Arial" w:cs="Arial"/>
            <w:color w:val="000000" w:themeColor="text1"/>
            <w:sz w:val="22"/>
            <w:szCs w:val="22"/>
            <w:u w:val="none"/>
          </w:rPr>
          <w:t>GOV.UK</w:t>
        </w:r>
      </w:hyperlink>
      <w:r w:rsidRPr="008B283E">
        <w:rPr>
          <w:rFonts w:ascii="Arial" w:hAnsi="Arial" w:cs="Arial"/>
          <w:sz w:val="22"/>
          <w:szCs w:val="22"/>
        </w:rPr>
        <w:t>, 2025).</w:t>
      </w:r>
    </w:p>
    <w:p w14:paraId="6909C48E" w14:textId="772F8DBE" w:rsidR="008B283E" w:rsidRPr="008B283E" w:rsidRDefault="00422A73" w:rsidP="00D36164">
      <w:pPr>
        <w:pStyle w:val="Heading2"/>
      </w:pPr>
      <w:bookmarkStart w:id="13" w:name="_Toc227957387"/>
      <w:r>
        <w:t xml:space="preserve">4. </w:t>
      </w:r>
      <w:proofErr w:type="spellStart"/>
      <w:r w:rsidR="008B283E" w:rsidRPr="008B283E">
        <w:t>Organisations</w:t>
      </w:r>
      <w:proofErr w:type="spellEnd"/>
      <w:r w:rsidR="008B283E" w:rsidRPr="008B283E">
        <w:t xml:space="preserve"> involved in supporting the elderly</w:t>
      </w:r>
      <w:bookmarkEnd w:id="13"/>
    </w:p>
    <w:p w14:paraId="47B3A4C9" w14:textId="305F9152" w:rsidR="000E45C8" w:rsidRPr="008B283E" w:rsidRDefault="008B283E" w:rsidP="000E45C8">
      <w:pPr>
        <w:spacing w:line="360" w:lineRule="auto"/>
        <w:jc w:val="both"/>
        <w:rPr>
          <w:rFonts w:ascii="Arial" w:hAnsi="Arial" w:cs="Arial"/>
          <w:b/>
          <w:bCs/>
          <w:sz w:val="22"/>
          <w:szCs w:val="22"/>
        </w:rPr>
      </w:pPr>
      <w:r w:rsidRPr="008B283E">
        <w:rPr>
          <w:rFonts w:ascii="Arial" w:hAnsi="Arial" w:cs="Arial"/>
          <w:b/>
          <w:bCs/>
          <w:sz w:val="22"/>
          <w:szCs w:val="22"/>
        </w:rPr>
        <w:t>Age UK</w:t>
      </w:r>
    </w:p>
    <w:p w14:paraId="75BBDABE" w14:textId="6B6EB1E1" w:rsidR="008B283E" w:rsidRPr="008B283E" w:rsidRDefault="000E45C8" w:rsidP="008B283E">
      <w:pPr>
        <w:spacing w:line="360" w:lineRule="auto"/>
        <w:jc w:val="both"/>
        <w:rPr>
          <w:rFonts w:ascii="Arial" w:hAnsi="Arial" w:cs="Arial"/>
          <w:sz w:val="22"/>
          <w:szCs w:val="22"/>
        </w:rPr>
      </w:pPr>
      <w:r>
        <w:rPr>
          <w:noProof/>
        </w:rPr>
        <mc:AlternateContent>
          <mc:Choice Requires="wps">
            <w:drawing>
              <wp:anchor distT="0" distB="0" distL="114300" distR="114300" simplePos="0" relativeHeight="251662336" behindDoc="0" locked="0" layoutInCell="1" allowOverlap="1" wp14:anchorId="10AB040B" wp14:editId="6D528639">
                <wp:simplePos x="0" y="0"/>
                <wp:positionH relativeFrom="column">
                  <wp:posOffset>1435100</wp:posOffset>
                </wp:positionH>
                <wp:positionV relativeFrom="paragraph">
                  <wp:posOffset>2921635</wp:posOffset>
                </wp:positionV>
                <wp:extent cx="3280410" cy="635"/>
                <wp:effectExtent l="0" t="0" r="0" b="0"/>
                <wp:wrapTopAndBottom/>
                <wp:docPr id="151105228" name="Text Box 1"/>
                <wp:cNvGraphicFramePr/>
                <a:graphic xmlns:a="http://schemas.openxmlformats.org/drawingml/2006/main">
                  <a:graphicData uri="http://schemas.microsoft.com/office/word/2010/wordprocessingShape">
                    <wps:wsp>
                      <wps:cNvSpPr txBox="1"/>
                      <wps:spPr>
                        <a:xfrm>
                          <a:off x="0" y="0"/>
                          <a:ext cx="3280410" cy="635"/>
                        </a:xfrm>
                        <a:prstGeom prst="rect">
                          <a:avLst/>
                        </a:prstGeom>
                        <a:solidFill>
                          <a:prstClr val="white"/>
                        </a:solidFill>
                        <a:ln>
                          <a:noFill/>
                        </a:ln>
                      </wps:spPr>
                      <wps:txbx>
                        <w:txbxContent>
                          <w:p w14:paraId="3FC95AFE" w14:textId="4FC220B3" w:rsidR="000E45C8" w:rsidRPr="00C255BD" w:rsidRDefault="000E45C8" w:rsidP="0062038E">
                            <w:pPr>
                              <w:pStyle w:val="Caption"/>
                              <w:jc w:val="center"/>
                              <w:rPr>
                                <w:noProof/>
                              </w:rPr>
                            </w:pPr>
                            <w:bookmarkStart w:id="14" w:name="_Toc227957368"/>
                            <w:r>
                              <w:t xml:space="preserve">Figure </w:t>
                            </w:r>
                            <w:r>
                              <w:fldChar w:fldCharType="begin"/>
                            </w:r>
                            <w:r>
                              <w:instrText xml:space="preserve"> SEQ Figure \* ARABIC </w:instrText>
                            </w:r>
                            <w:r>
                              <w:fldChar w:fldCharType="separate"/>
                            </w:r>
                            <w:r w:rsidR="00845CE2">
                              <w:rPr>
                                <w:noProof/>
                              </w:rPr>
                              <w:t>2</w:t>
                            </w:r>
                            <w:r>
                              <w:fldChar w:fldCharType="end"/>
                            </w:r>
                            <w:r>
                              <w:t xml:space="preserve">: </w:t>
                            </w:r>
                            <w:r w:rsidRPr="0001492C">
                              <w:t>Age UK</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0AB040B" id="_x0000_t202" coordsize="21600,21600" o:spt="202" path="m,l,21600r21600,l21600,xe">
                <v:stroke joinstyle="miter"/>
                <v:path gradientshapeok="t" o:connecttype="rect"/>
              </v:shapetype>
              <v:shape id="Text Box 1" o:spid="_x0000_s1026" type="#_x0000_t202" style="position:absolute;left:0;text-align:left;margin-left:113pt;margin-top:230.05pt;width:258.3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" stroked="f">
                <v:textbox style="mso-fit-shape-to-text:t" inset="0,0,0,0">
                  <w:txbxContent>
                    <w:p w14:paraId="3FC95AFE" w14:textId="4FC220B3" w:rsidR="000E45C8" w:rsidRPr="00C255BD" w:rsidRDefault="000E45C8" w:rsidP="0062038E">
                      <w:pPr>
                        <w:pStyle w:val="Caption"/>
                        <w:jc w:val="center"/>
                        <w:rPr>
                          <w:noProof/>
                        </w:rPr>
                      </w:pPr>
                      <w:bookmarkStart w:id="15" w:name="_Toc227957368"/>
                      <w:r>
                        <w:t xml:space="preserve">Figure </w:t>
                      </w:r>
                      <w:r>
                        <w:fldChar w:fldCharType="begin"/>
                      </w:r>
                      <w:r>
                        <w:instrText xml:space="preserve"> SEQ Figure \* ARABIC </w:instrText>
                      </w:r>
                      <w:r>
                        <w:fldChar w:fldCharType="separate"/>
                      </w:r>
                      <w:r w:rsidR="00845CE2">
                        <w:rPr>
                          <w:noProof/>
                        </w:rPr>
                        <w:t>2</w:t>
                      </w:r>
                      <w:r>
                        <w:fldChar w:fldCharType="end"/>
                      </w:r>
                      <w:r>
                        <w:t xml:space="preserve">: </w:t>
                      </w:r>
                      <w:r w:rsidRPr="0001492C">
                        <w:t>Age UK</w:t>
                      </w:r>
                      <w:bookmarkEnd w:id="15"/>
                    </w:p>
                  </w:txbxContent>
                </v:textbox>
                <w10:wrap type="topAndBottom"/>
              </v:shape>
            </w:pict>
          </mc:Fallback>
        </mc:AlternateContent>
      </w:r>
      <w:r>
        <w:rPr>
          <w:noProof/>
        </w:rPr>
        <w:drawing>
          <wp:anchor distT="0" distB="0" distL="114300" distR="114300" simplePos="0" relativeHeight="251660288" behindDoc="0" locked="0" layoutInCell="1" allowOverlap="1" wp14:anchorId="4E822B24" wp14:editId="7C9CE88B">
            <wp:simplePos x="0" y="0"/>
            <wp:positionH relativeFrom="column">
              <wp:posOffset>1435100</wp:posOffset>
            </wp:positionH>
            <wp:positionV relativeFrom="paragraph">
              <wp:posOffset>728345</wp:posOffset>
            </wp:positionV>
            <wp:extent cx="3280976" cy="2136140"/>
            <wp:effectExtent l="0" t="0" r="0" b="0"/>
            <wp:wrapTopAndBottom/>
            <wp:docPr id="596548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54822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80976" cy="2136140"/>
                    </a:xfrm>
                    <a:prstGeom prst="rect">
                      <a:avLst/>
                    </a:prstGeom>
                  </pic:spPr>
                </pic:pic>
              </a:graphicData>
            </a:graphic>
          </wp:anchor>
        </w:drawing>
      </w:r>
      <w:r w:rsidR="008B283E" w:rsidRPr="008B283E">
        <w:rPr>
          <w:rFonts w:ascii="Arial" w:hAnsi="Arial" w:cs="Arial"/>
          <w:sz w:val="22"/>
          <w:szCs w:val="22"/>
        </w:rPr>
        <w:t>Age UK, the first national charity, aims to assist older people. Its broader use is to lobby intensively to change policies (including energy price caps) and offer a national evidence base via its State of Health and Care reports to shine light on social injustices against the aged (Age UK, 2025).</w:t>
      </w:r>
    </w:p>
    <w:p w14:paraId="73AADAE8" w14:textId="391B6EC7" w:rsidR="000E45C8" w:rsidRPr="0062038E" w:rsidRDefault="0062038E" w:rsidP="0062038E">
      <w:pPr>
        <w:spacing w:line="360" w:lineRule="auto"/>
        <w:jc w:val="center"/>
        <w:rPr>
          <w:rFonts w:ascii="Arial" w:hAnsi="Arial" w:cs="Arial"/>
          <w:sz w:val="22"/>
          <w:szCs w:val="22"/>
        </w:rPr>
      </w:pPr>
      <w:r w:rsidRPr="0062038E">
        <w:rPr>
          <w:rFonts w:ascii="Arial" w:hAnsi="Arial" w:cs="Arial"/>
          <w:sz w:val="22"/>
          <w:szCs w:val="22"/>
        </w:rPr>
        <w:t>Source:</w:t>
      </w:r>
      <w:r>
        <w:rPr>
          <w:rFonts w:ascii="Arial" w:hAnsi="Arial" w:cs="Arial"/>
          <w:sz w:val="22"/>
          <w:szCs w:val="22"/>
        </w:rPr>
        <w:t xml:space="preserve"> </w:t>
      </w:r>
      <w:r w:rsidRPr="0062038E">
        <w:rPr>
          <w:rFonts w:ascii="Arial" w:hAnsi="Arial" w:cs="Arial"/>
          <w:sz w:val="22"/>
          <w:szCs w:val="22"/>
        </w:rPr>
        <w:t>(</w:t>
      </w:r>
      <w:hyperlink r:id="rId14" w:history="1">
        <w:r w:rsidRPr="00D8195C">
          <w:rPr>
            <w:rStyle w:val="Hyperlink"/>
            <w:rFonts w:ascii="Arial" w:hAnsi="Arial" w:cs="Arial"/>
            <w:sz w:val="22"/>
            <w:szCs w:val="22"/>
          </w:rPr>
          <w:t>Age UK, 2025</w:t>
        </w:r>
      </w:hyperlink>
      <w:r w:rsidRPr="0062038E">
        <w:rPr>
          <w:rFonts w:ascii="Arial" w:hAnsi="Arial" w:cs="Arial"/>
          <w:sz w:val="22"/>
          <w:szCs w:val="22"/>
        </w:rPr>
        <w:t>)</w:t>
      </w:r>
    </w:p>
    <w:p w14:paraId="42C3B1F8" w14:textId="69581858" w:rsidR="008B283E" w:rsidRPr="00422A73" w:rsidRDefault="008B283E" w:rsidP="00422A73">
      <w:pPr>
        <w:pStyle w:val="ListParagraph"/>
        <w:numPr>
          <w:ilvl w:val="0"/>
          <w:numId w:val="20"/>
        </w:numPr>
        <w:spacing w:line="360" w:lineRule="auto"/>
        <w:jc w:val="both"/>
        <w:rPr>
          <w:rFonts w:ascii="Arial" w:hAnsi="Arial" w:cs="Arial"/>
          <w:sz w:val="22"/>
          <w:szCs w:val="22"/>
        </w:rPr>
      </w:pPr>
      <w:r w:rsidRPr="00422A73">
        <w:rPr>
          <w:rFonts w:ascii="Arial" w:hAnsi="Arial" w:cs="Arial"/>
          <w:b/>
          <w:bCs/>
          <w:sz w:val="22"/>
          <w:szCs w:val="22"/>
        </w:rPr>
        <w:t>Charity Support:</w:t>
      </w:r>
      <w:r w:rsidRPr="00422A73">
        <w:rPr>
          <w:rFonts w:ascii="Arial" w:hAnsi="Arial" w:cs="Arial"/>
          <w:sz w:val="22"/>
          <w:szCs w:val="22"/>
        </w:rPr>
        <w:t xml:space="preserve"> It offers a free national advice line, Silver Line befriending, and local exercise classes to fight physical deterioration.</w:t>
      </w:r>
    </w:p>
    <w:p w14:paraId="688F562D" w14:textId="77777777" w:rsidR="008B283E" w:rsidRPr="00422A73" w:rsidRDefault="008B283E" w:rsidP="00422A73">
      <w:pPr>
        <w:pStyle w:val="ListParagraph"/>
        <w:numPr>
          <w:ilvl w:val="0"/>
          <w:numId w:val="20"/>
        </w:numPr>
        <w:spacing w:line="360" w:lineRule="auto"/>
        <w:jc w:val="both"/>
        <w:rPr>
          <w:rFonts w:ascii="Arial" w:hAnsi="Arial" w:cs="Arial"/>
          <w:sz w:val="22"/>
          <w:szCs w:val="22"/>
        </w:rPr>
      </w:pPr>
      <w:r w:rsidRPr="00422A73">
        <w:rPr>
          <w:rFonts w:ascii="Arial" w:hAnsi="Arial" w:cs="Arial"/>
          <w:b/>
          <w:bCs/>
          <w:sz w:val="22"/>
          <w:szCs w:val="22"/>
        </w:rPr>
        <w:t>Aims:</w:t>
      </w:r>
      <w:r w:rsidRPr="00422A73">
        <w:rPr>
          <w:rFonts w:ascii="Arial" w:hAnsi="Arial" w:cs="Arial"/>
          <w:sz w:val="22"/>
          <w:szCs w:val="22"/>
        </w:rPr>
        <w:t xml:space="preserve"> The </w:t>
      </w:r>
      <w:proofErr w:type="spellStart"/>
      <w:r w:rsidRPr="00422A73">
        <w:rPr>
          <w:rFonts w:ascii="Arial" w:hAnsi="Arial" w:cs="Arial"/>
          <w:sz w:val="22"/>
          <w:szCs w:val="22"/>
        </w:rPr>
        <w:t>organisation</w:t>
      </w:r>
      <w:proofErr w:type="spellEnd"/>
      <w:r w:rsidRPr="00422A73">
        <w:rPr>
          <w:rFonts w:ascii="Arial" w:hAnsi="Arial" w:cs="Arial"/>
          <w:sz w:val="22"/>
          <w:szCs w:val="22"/>
        </w:rPr>
        <w:t xml:space="preserve"> aims at ensuring that all the older people are given a chance to live an accomplished later life. It does original research into poverty among older adults and digital exclusion to impact government expenditure (Age UK, 2025).</w:t>
      </w:r>
    </w:p>
    <w:p w14:paraId="5DE9E971" w14:textId="3E1570A1" w:rsidR="008B283E" w:rsidRPr="008B283E" w:rsidRDefault="00422A73" w:rsidP="00D36164">
      <w:pPr>
        <w:pStyle w:val="Heading2"/>
      </w:pPr>
      <w:bookmarkStart w:id="16" w:name="_Toc227957388"/>
      <w:r>
        <w:lastRenderedPageBreak/>
        <w:t xml:space="preserve">5. </w:t>
      </w:r>
      <w:r w:rsidR="008B283E" w:rsidRPr="008B283E">
        <w:t>Conclusion</w:t>
      </w:r>
      <w:bookmarkEnd w:id="16"/>
    </w:p>
    <w:p w14:paraId="2A42F686" w14:textId="7D287505" w:rsidR="004A5C3F" w:rsidRDefault="008B283E" w:rsidP="004A5C3F">
      <w:pPr>
        <w:spacing w:line="360" w:lineRule="auto"/>
        <w:jc w:val="both"/>
        <w:rPr>
          <w:rFonts w:ascii="Arial" w:hAnsi="Arial" w:cs="Arial"/>
          <w:sz w:val="22"/>
          <w:szCs w:val="22"/>
        </w:rPr>
      </w:pPr>
      <w:r w:rsidRPr="008B283E">
        <w:rPr>
          <w:rFonts w:ascii="Arial" w:hAnsi="Arial" w:cs="Arial"/>
          <w:sz w:val="22"/>
          <w:szCs w:val="22"/>
        </w:rPr>
        <w:t>The elderly population in the UK does not necessarily experience health inequalities, but it is a consequence of the accumulation of socioeconomic differences in the past. This report has determined that even though the clinical problems such as mental illness and high death rates are very serious and cannot be overlooked, they cannot exist without the social problems such as poverty, isolation and poor housing. The introduction of the national response, including the Core 20PLUS5 and the 10-Year Health Plan, is one of the major steps to a systemic change. Nevertheless, more effort is needed to sustain charities such as Age UK to fill the policy-lived experience divide in the experience of the most vulnerable older citizens in the UK.</w:t>
      </w:r>
    </w:p>
    <w:p w14:paraId="7FDFBA3C" w14:textId="77777777" w:rsidR="00422A73" w:rsidRDefault="00422A73">
      <w:pPr>
        <w:rPr>
          <w:rFonts w:ascii="Arial" w:eastAsiaTheme="majorEastAsia" w:hAnsi="Arial" w:cstheme="majorBidi"/>
          <w:b/>
          <w:color w:val="000000" w:themeColor="text1"/>
          <w:sz w:val="32"/>
          <w:szCs w:val="40"/>
        </w:rPr>
      </w:pPr>
      <w:r>
        <w:br w:type="page"/>
      </w:r>
    </w:p>
    <w:p w14:paraId="65F839A3" w14:textId="66E07B7C" w:rsidR="004A5C3F" w:rsidRPr="00A67E45" w:rsidRDefault="00A67E45" w:rsidP="00A67E45">
      <w:pPr>
        <w:pStyle w:val="Heading1"/>
        <w:jc w:val="center"/>
      </w:pPr>
      <w:bookmarkStart w:id="17" w:name="_Toc227957389"/>
      <w:r w:rsidRPr="00A67E45">
        <w:lastRenderedPageBreak/>
        <w:t>Task 2: Epidemiological Analysis</w:t>
      </w:r>
      <w:bookmarkEnd w:id="17"/>
    </w:p>
    <w:p w14:paraId="25B78DE0" w14:textId="46656435" w:rsidR="003F3EB6" w:rsidRPr="003F3EB6" w:rsidRDefault="008A077F" w:rsidP="00D36164">
      <w:pPr>
        <w:pStyle w:val="Heading2"/>
      </w:pPr>
      <w:bookmarkStart w:id="18" w:name="_Toc227957390"/>
      <w:r>
        <w:t xml:space="preserve">1. </w:t>
      </w:r>
      <w:r w:rsidR="003F3EB6" w:rsidRPr="003F3EB6">
        <w:t>Introduction</w:t>
      </w:r>
      <w:bookmarkEnd w:id="18"/>
    </w:p>
    <w:p w14:paraId="0DCAA39E" w14:textId="77777777" w:rsidR="003F3EB6" w:rsidRPr="003F3EB6" w:rsidRDefault="003F3EB6" w:rsidP="003F3EB6">
      <w:pPr>
        <w:spacing w:line="360" w:lineRule="auto"/>
        <w:jc w:val="both"/>
        <w:rPr>
          <w:rFonts w:ascii="Arial" w:hAnsi="Arial" w:cs="Arial"/>
          <w:sz w:val="22"/>
          <w:szCs w:val="22"/>
        </w:rPr>
      </w:pPr>
      <w:r w:rsidRPr="003F3EB6">
        <w:rPr>
          <w:rFonts w:ascii="Arial" w:hAnsi="Arial" w:cs="Arial"/>
          <w:sz w:val="22"/>
          <w:szCs w:val="22"/>
        </w:rPr>
        <w:t>This report is about cardiovascular disease (CVD) as a leading non-communicable disease (NCD) among the elderly people in the London Borough of Tower Hamlets as a regional epidemiologist of North East London. CVD is a collection of diseases of the heart and blood vessels such as hypertension, coronary heart disease and stroke. In addition to the clinical burden, CVD has social and cultural impacts that may result in a loss of independence, strain on the carers, and social isolation of the elderly (WHO, 2024). Health literacy disparities across various boroughs such as Tower Hamlets can be culturally driven and create a delay in diagnosing and appropriately managing risk factors.</w:t>
      </w:r>
    </w:p>
    <w:p w14:paraId="31F3A4B0" w14:textId="77777777" w:rsidR="003F3EB6" w:rsidRPr="003F3EB6" w:rsidRDefault="003F3EB6" w:rsidP="003F3EB6">
      <w:pPr>
        <w:spacing w:line="360" w:lineRule="auto"/>
        <w:jc w:val="both"/>
        <w:rPr>
          <w:rFonts w:ascii="Arial" w:hAnsi="Arial" w:cs="Arial"/>
          <w:sz w:val="22"/>
          <w:szCs w:val="22"/>
        </w:rPr>
      </w:pPr>
      <w:r w:rsidRPr="003F3EB6">
        <w:rPr>
          <w:rFonts w:ascii="Arial" w:hAnsi="Arial" w:cs="Arial"/>
          <w:sz w:val="22"/>
          <w:szCs w:val="22"/>
        </w:rPr>
        <w:t>CVD is the most common cause of death worldwide, with an estimated number of 17.9 million deaths every year (WHO, 2024). CVD is the leading cause of death in the UK, estimated to have between 160,000 and 170,000 deaths annually (British Heart Foundation, 2025). Although it is prevalent in the whole country, it is more severe in Tower Hamlets, with the prevalence of circulatory diseases being much higher than the average of London due to a higher prevalence of hypertension in the deprived deciles than in more affluent wards (Public Health Outcomes Framework, 2025).</w:t>
      </w:r>
    </w:p>
    <w:p w14:paraId="6B01C7EE" w14:textId="302B07DD" w:rsidR="003F3EB6" w:rsidRPr="003F3EB6" w:rsidRDefault="008A077F" w:rsidP="00D36164">
      <w:pPr>
        <w:pStyle w:val="Heading2"/>
      </w:pPr>
      <w:bookmarkStart w:id="19" w:name="_Toc227957391"/>
      <w:r>
        <w:t xml:space="preserve">2. </w:t>
      </w:r>
      <w:r w:rsidR="003F3EB6" w:rsidRPr="003F3EB6">
        <w:t xml:space="preserve">Public health measures: The 3 </w:t>
      </w:r>
      <w:proofErr w:type="gramStart"/>
      <w:r w:rsidR="003F3EB6" w:rsidRPr="003F3EB6">
        <w:t>P’s</w:t>
      </w:r>
      <w:proofErr w:type="gramEnd"/>
      <w:r>
        <w:t>:</w:t>
      </w:r>
      <w:bookmarkEnd w:id="19"/>
    </w:p>
    <w:p w14:paraId="3E5FE70D" w14:textId="77777777" w:rsidR="003F3EB6" w:rsidRDefault="003F3EB6" w:rsidP="003F3EB6">
      <w:pPr>
        <w:spacing w:line="360" w:lineRule="auto"/>
        <w:jc w:val="both"/>
        <w:rPr>
          <w:rFonts w:ascii="Arial" w:hAnsi="Arial" w:cs="Arial"/>
          <w:sz w:val="22"/>
          <w:szCs w:val="22"/>
        </w:rPr>
      </w:pPr>
      <w:r w:rsidRPr="003F3EB6">
        <w:rPr>
          <w:rFonts w:ascii="Arial" w:hAnsi="Arial" w:cs="Arial"/>
          <w:sz w:val="22"/>
          <w:szCs w:val="22"/>
        </w:rPr>
        <w:t xml:space="preserve">Public health measures to be used to manage the impact of cardiovascular disease (CVD) in Tower Hamlets are strategically placed under the 3 Ps, namely prevention, promotion and protection. Prevention is concerned with clinical intervention, namely, secondary prevention in the form of high-uptake screening of people aged 40–74 with the help of the NHS Health Check </w:t>
      </w:r>
      <w:proofErr w:type="spellStart"/>
      <w:r w:rsidRPr="003F3EB6">
        <w:rPr>
          <w:rFonts w:ascii="Arial" w:hAnsi="Arial" w:cs="Arial"/>
          <w:sz w:val="22"/>
          <w:szCs w:val="22"/>
        </w:rPr>
        <w:t>programme</w:t>
      </w:r>
      <w:proofErr w:type="spellEnd"/>
      <w:r w:rsidRPr="003F3EB6">
        <w:rPr>
          <w:rFonts w:ascii="Arial" w:hAnsi="Arial" w:cs="Arial"/>
          <w:sz w:val="22"/>
          <w:szCs w:val="22"/>
        </w:rPr>
        <w:t xml:space="preserve"> to detect early signs of hypertension and high cholesterol levels before they build up into acute events (UKHSA, 2024). The complement to this is the health promotion, an example of which is the "Tower Hamlets Healthy Borough" </w:t>
      </w:r>
      <w:proofErr w:type="spellStart"/>
      <w:r w:rsidRPr="003F3EB6">
        <w:rPr>
          <w:rFonts w:ascii="Arial" w:hAnsi="Arial" w:cs="Arial"/>
          <w:sz w:val="22"/>
          <w:szCs w:val="22"/>
        </w:rPr>
        <w:t>programme</w:t>
      </w:r>
      <w:proofErr w:type="spellEnd"/>
      <w:r w:rsidRPr="003F3EB6">
        <w:rPr>
          <w:rFonts w:ascii="Arial" w:hAnsi="Arial" w:cs="Arial"/>
          <w:sz w:val="22"/>
          <w:szCs w:val="22"/>
        </w:rPr>
        <w:t xml:space="preserve">; here the culturally specific message needs to be used in the Sylheti and Bengali languages in order to address the needs of local demographics, actively promoting physical exercise and smoking cessation among community members of older age (Tower Hamlets Council, 2025). Lastly, Protection changes the priorities to structural and environmental protection, including the extension of the Ultra Low Emission Zone (ULEZ) to </w:t>
      </w:r>
      <w:proofErr w:type="spellStart"/>
      <w:r w:rsidRPr="003F3EB6">
        <w:rPr>
          <w:rFonts w:ascii="Arial" w:hAnsi="Arial" w:cs="Arial"/>
          <w:sz w:val="22"/>
          <w:szCs w:val="22"/>
        </w:rPr>
        <w:t>minimise</w:t>
      </w:r>
      <w:proofErr w:type="spellEnd"/>
      <w:r w:rsidRPr="003F3EB6">
        <w:rPr>
          <w:rFonts w:ascii="Arial" w:hAnsi="Arial" w:cs="Arial"/>
          <w:sz w:val="22"/>
          <w:szCs w:val="22"/>
        </w:rPr>
        <w:t xml:space="preserve"> the levels of particulate matter (PM2.5), a key initiator of cardiovascular discomfort in the particularly susceptible elderly group (Greater London Authority, 2024). These </w:t>
      </w:r>
      <w:r w:rsidRPr="003F3EB6">
        <w:rPr>
          <w:rFonts w:ascii="Arial" w:hAnsi="Arial" w:cs="Arial"/>
          <w:sz w:val="22"/>
          <w:szCs w:val="22"/>
        </w:rPr>
        <w:lastRenderedPageBreak/>
        <w:t>pillars combine to create an extensive framework to decrease morbidity and mortality due to CVD on the local level.</w:t>
      </w:r>
    </w:p>
    <w:p w14:paraId="63DA4D9A" w14:textId="77777777" w:rsidR="00845CE2" w:rsidRDefault="005E77F6" w:rsidP="00845CE2">
      <w:pPr>
        <w:keepNext/>
        <w:spacing w:line="360" w:lineRule="auto"/>
        <w:jc w:val="center"/>
      </w:pPr>
      <w:r>
        <w:rPr>
          <w:noProof/>
        </w:rPr>
        <w:drawing>
          <wp:inline distT="0" distB="0" distL="0" distR="0" wp14:anchorId="7575C35B" wp14:editId="37EFC81A">
            <wp:extent cx="3135335" cy="2367915"/>
            <wp:effectExtent l="0" t="0" r="8255" b="0"/>
            <wp:docPr id="1237010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010219" name=""/>
                    <pic:cNvPicPr/>
                  </pic:nvPicPr>
                  <pic:blipFill>
                    <a:blip r:embed="rId15"/>
                    <a:stretch>
                      <a:fillRect/>
                    </a:stretch>
                  </pic:blipFill>
                  <pic:spPr>
                    <a:xfrm>
                      <a:off x="0" y="0"/>
                      <a:ext cx="3138909" cy="2370615"/>
                    </a:xfrm>
                    <a:prstGeom prst="rect">
                      <a:avLst/>
                    </a:prstGeom>
                  </pic:spPr>
                </pic:pic>
              </a:graphicData>
            </a:graphic>
          </wp:inline>
        </w:drawing>
      </w:r>
    </w:p>
    <w:p w14:paraId="21E9C2B7" w14:textId="5FAA195F" w:rsidR="005E77F6" w:rsidRDefault="00845CE2" w:rsidP="00845CE2">
      <w:pPr>
        <w:pStyle w:val="Caption"/>
        <w:jc w:val="center"/>
      </w:pPr>
      <w:bookmarkStart w:id="20" w:name="_Toc227957369"/>
      <w:r>
        <w:t xml:space="preserve">Figure </w:t>
      </w:r>
      <w:r>
        <w:fldChar w:fldCharType="begin"/>
      </w:r>
      <w:r>
        <w:instrText xml:space="preserve"> SEQ Figure \* ARABIC </w:instrText>
      </w:r>
      <w:r>
        <w:fldChar w:fldCharType="separate"/>
      </w:r>
      <w:r>
        <w:rPr>
          <w:noProof/>
        </w:rPr>
        <w:t>3</w:t>
      </w:r>
      <w:r>
        <w:fldChar w:fldCharType="end"/>
      </w:r>
      <w:r>
        <w:t xml:space="preserve">: </w:t>
      </w:r>
      <w:r w:rsidRPr="00F733F4">
        <w:t>Three Ps of Public Health</w:t>
      </w:r>
      <w:bookmarkEnd w:id="20"/>
    </w:p>
    <w:p w14:paraId="55EC572E" w14:textId="04863714" w:rsidR="00845CE2" w:rsidRPr="003F3EB6" w:rsidRDefault="00845CE2" w:rsidP="00C83AC3">
      <w:pPr>
        <w:jc w:val="center"/>
        <w:rPr>
          <w:rFonts w:ascii="Arial" w:hAnsi="Arial" w:cs="Arial"/>
          <w:sz w:val="22"/>
          <w:szCs w:val="22"/>
        </w:rPr>
      </w:pPr>
      <w:r w:rsidRPr="00C83AC3">
        <w:rPr>
          <w:rFonts w:ascii="Arial" w:hAnsi="Arial" w:cs="Arial"/>
          <w:b/>
          <w:bCs/>
          <w:sz w:val="22"/>
          <w:szCs w:val="22"/>
        </w:rPr>
        <w:t>Source:</w:t>
      </w:r>
      <w:r w:rsidRPr="00C83AC3">
        <w:rPr>
          <w:rFonts w:ascii="Arial" w:hAnsi="Arial" w:cs="Arial"/>
          <w:sz w:val="22"/>
          <w:szCs w:val="22"/>
        </w:rPr>
        <w:t xml:space="preserve"> </w:t>
      </w:r>
      <w:hyperlink r:id="rId16" w:history="1">
        <w:r w:rsidR="00C83AC3" w:rsidRPr="00C83AC3">
          <w:rPr>
            <w:rStyle w:val="Hyperlink"/>
            <w:rFonts w:ascii="Arial" w:hAnsi="Arial" w:cs="Arial"/>
            <w:sz w:val="22"/>
            <w:szCs w:val="22"/>
          </w:rPr>
          <w:t>ubas.edu.pk</w:t>
        </w:r>
      </w:hyperlink>
    </w:p>
    <w:p w14:paraId="002FC5A7" w14:textId="7A0BF092" w:rsidR="003F3EB6" w:rsidRPr="003F3EB6" w:rsidRDefault="00C00AA2" w:rsidP="00D36164">
      <w:pPr>
        <w:pStyle w:val="Heading2"/>
      </w:pPr>
      <w:bookmarkStart w:id="21" w:name="_Toc227957392"/>
      <w:r>
        <w:t xml:space="preserve">3. </w:t>
      </w:r>
      <w:r w:rsidR="003F3EB6" w:rsidRPr="003F3EB6">
        <w:t>Important Determinants and Risk Factors</w:t>
      </w:r>
      <w:r>
        <w:t>:</w:t>
      </w:r>
      <w:bookmarkEnd w:id="21"/>
    </w:p>
    <w:p w14:paraId="43BE48AC" w14:textId="77777777" w:rsidR="003F3EB6" w:rsidRPr="003F3EB6" w:rsidRDefault="003F3EB6" w:rsidP="003F3EB6">
      <w:pPr>
        <w:spacing w:line="360" w:lineRule="auto"/>
        <w:jc w:val="both"/>
        <w:rPr>
          <w:rFonts w:ascii="Arial" w:hAnsi="Arial" w:cs="Arial"/>
          <w:sz w:val="22"/>
          <w:szCs w:val="22"/>
        </w:rPr>
      </w:pPr>
      <w:r w:rsidRPr="003F3EB6">
        <w:rPr>
          <w:rFonts w:ascii="Arial" w:hAnsi="Arial" w:cs="Arial"/>
          <w:sz w:val="22"/>
          <w:szCs w:val="22"/>
        </w:rPr>
        <w:t xml:space="preserve">The causes of CVD among this cohort are complex. Risk factors that are biological in nature are increasing age, type 2 diabetes and </w:t>
      </w:r>
      <w:proofErr w:type="spellStart"/>
      <w:r w:rsidRPr="003F3EB6">
        <w:rPr>
          <w:rFonts w:ascii="Arial" w:hAnsi="Arial" w:cs="Arial"/>
          <w:sz w:val="22"/>
          <w:szCs w:val="22"/>
        </w:rPr>
        <w:t>hyperlipidaemia</w:t>
      </w:r>
      <w:proofErr w:type="spellEnd"/>
      <w:r w:rsidRPr="003F3EB6">
        <w:rPr>
          <w:rFonts w:ascii="Arial" w:hAnsi="Arial" w:cs="Arial"/>
          <w:sz w:val="22"/>
          <w:szCs w:val="22"/>
        </w:rPr>
        <w:t>. Wider determinants of health, however, exacerbate these. In Tower Hamlets, the income deprivation rates are high, and as a result, most of the elderly population in the area resides in the so-called food deserts, where fresh and low-sodium foods are relatively costly as compared to processed and high-calorie foods (Health Foundation, 2024). Moreover, disadvantages of the structure, including low air quality and inadequate housing, are the causes of chronic stress that raises blood pressure, one of the main causes of CVD (Marmot et al., 2021).</w:t>
      </w:r>
    </w:p>
    <w:p w14:paraId="75F6C061" w14:textId="02FAEFDE" w:rsidR="003F3EB6" w:rsidRPr="003F3EB6" w:rsidRDefault="00274459" w:rsidP="00D36164">
      <w:pPr>
        <w:pStyle w:val="Heading2"/>
      </w:pPr>
      <w:bookmarkStart w:id="22" w:name="_Toc227957393"/>
      <w:r>
        <w:t xml:space="preserve">4. </w:t>
      </w:r>
      <w:r w:rsidRPr="00274459">
        <w:t>Identification of A</w:t>
      </w:r>
      <w:r>
        <w:t>t</w:t>
      </w:r>
      <w:r w:rsidRPr="00274459">
        <w:t>-Risk Groups: Epidemiological Studies and HNA</w:t>
      </w:r>
      <w:r>
        <w:t>:</w:t>
      </w:r>
      <w:bookmarkEnd w:id="22"/>
    </w:p>
    <w:p w14:paraId="163F45EC" w14:textId="77777777" w:rsidR="003F3EB6" w:rsidRPr="003F3EB6" w:rsidRDefault="003F3EB6" w:rsidP="003F3EB6">
      <w:pPr>
        <w:spacing w:line="360" w:lineRule="auto"/>
        <w:jc w:val="both"/>
        <w:rPr>
          <w:rFonts w:ascii="Arial" w:hAnsi="Arial" w:cs="Arial"/>
          <w:sz w:val="22"/>
          <w:szCs w:val="22"/>
        </w:rPr>
      </w:pPr>
      <w:r w:rsidRPr="003F3EB6">
        <w:rPr>
          <w:rFonts w:ascii="Arial" w:hAnsi="Arial" w:cs="Arial"/>
          <w:sz w:val="22"/>
          <w:szCs w:val="22"/>
        </w:rPr>
        <w:t>With a Health Needs Assessment (HNA) and longitudinal cohort study, such as the Whitehall II study, we have determined that the at-risk group in Tower Hamlets is not primarily determined by age but rather by age and ethnicity. Epidemiological research shows that the elderly males in the borough who are of South Asian descent are half as likely to develop coronary heart disease in comparison with their white counterparts of the same age (British Heart Foundation, 2025). There is a risk group that is not apparent in the HNA: elderly women living alone in social housing, as most of them tend to experience obstacles on the way to primary care because of poor mobility and language barriers (Office for National Statistics, 2025).</w:t>
      </w:r>
    </w:p>
    <w:p w14:paraId="7587A22D" w14:textId="5B176102" w:rsidR="002A49CE" w:rsidRDefault="002A49CE" w:rsidP="00D36164">
      <w:pPr>
        <w:pStyle w:val="Heading2"/>
      </w:pPr>
      <w:bookmarkStart w:id="23" w:name="_Toc227957394"/>
      <w:r>
        <w:lastRenderedPageBreak/>
        <w:t xml:space="preserve">5. </w:t>
      </w:r>
      <w:r w:rsidRPr="002A49CE">
        <w:t>Monitoring and Surveillance Systems</w:t>
      </w:r>
      <w:r>
        <w:t>:</w:t>
      </w:r>
      <w:bookmarkEnd w:id="23"/>
      <w:r w:rsidRPr="002A49CE">
        <w:t xml:space="preserve"> </w:t>
      </w:r>
    </w:p>
    <w:p w14:paraId="481F32BC" w14:textId="373E8BD8" w:rsidR="003F3EB6" w:rsidRPr="003F3EB6" w:rsidRDefault="003F3EB6" w:rsidP="003F3EB6">
      <w:pPr>
        <w:spacing w:line="360" w:lineRule="auto"/>
        <w:jc w:val="both"/>
        <w:rPr>
          <w:rFonts w:ascii="Arial" w:hAnsi="Arial" w:cs="Arial"/>
          <w:sz w:val="22"/>
          <w:szCs w:val="22"/>
        </w:rPr>
      </w:pPr>
      <w:r w:rsidRPr="003F3EB6">
        <w:rPr>
          <w:rFonts w:ascii="Arial" w:hAnsi="Arial" w:cs="Arial"/>
          <w:sz w:val="22"/>
          <w:szCs w:val="22"/>
        </w:rPr>
        <w:t>In its effort to keep track of the prevalence rates of cardiovascular disease (CVD) in the borough, Tower Hamlets uses a multi-layered model that combines the passive, active, and digital surveillance systems. Passive surveillance is mainly enabled with the help of the Quality and Outcomes Framework (QOF) that gathers routine data about general practitioner registers systematically to track the rates of hypertension and stroke among the local population (NHS Digital, 2024). This approach is complemented by active surveillance through the UKHSA, through its "Sentinel Surveillance" systems, which actively surveil emergency department admissions related to acute myocardial infarction; through this, epidemiologists are able to identify spikes in cardiac events in real-time, which is usually due to environmental changes such as extreme cold snaps (UKHSA, 2024). Moreover, online surveillance applications, including the so-called Public Health Fingertips, can present interactive dashboards with which the local health authorities can compare the CVD mortality and morbidity rates in Tower Hamlets with the national and regional rates (Office for Health Improvement and Disparities, 2025). These systems collectively provide a robust data infrastructure that enables swift responses to public health events and facilitates long-term planning.</w:t>
      </w:r>
    </w:p>
    <w:p w14:paraId="6FEA3946" w14:textId="0FC6C525" w:rsidR="003F3EB6" w:rsidRPr="003F3EB6" w:rsidRDefault="002A49CE" w:rsidP="00D36164">
      <w:pPr>
        <w:pStyle w:val="Heading2"/>
      </w:pPr>
      <w:bookmarkStart w:id="24" w:name="_Toc227957395"/>
      <w:r>
        <w:t xml:space="preserve">6. </w:t>
      </w:r>
      <w:r w:rsidR="003F3EB6" w:rsidRPr="003F3EB6">
        <w:t xml:space="preserve">Public Health </w:t>
      </w:r>
      <w:r w:rsidR="003F3EB6" w:rsidRPr="00D36164">
        <w:t>Impact</w:t>
      </w:r>
      <w:r w:rsidR="003F3EB6" w:rsidRPr="003F3EB6">
        <w:t>: Short- and Long-Term Outcomes</w:t>
      </w:r>
      <w:bookmarkEnd w:id="24"/>
    </w:p>
    <w:p w14:paraId="07A4309D" w14:textId="1E4488DA" w:rsidR="003F3EB6" w:rsidRPr="003F3EB6" w:rsidRDefault="003F3EB6" w:rsidP="003F3EB6">
      <w:pPr>
        <w:spacing w:line="360" w:lineRule="auto"/>
        <w:jc w:val="both"/>
        <w:rPr>
          <w:rFonts w:ascii="Arial" w:hAnsi="Arial" w:cs="Arial"/>
          <w:sz w:val="22"/>
          <w:szCs w:val="22"/>
        </w:rPr>
      </w:pPr>
      <w:r w:rsidRPr="003F3EB6">
        <w:rPr>
          <w:rFonts w:ascii="Arial" w:hAnsi="Arial" w:cs="Arial"/>
          <w:sz w:val="22"/>
          <w:szCs w:val="22"/>
        </w:rPr>
        <w:t xml:space="preserve">Through epidemiology, we are able to make projections of the devastating effect of unchecked CVD. High incidence in the </w:t>
      </w:r>
      <w:r w:rsidR="002A49CE" w:rsidRPr="003F3EB6">
        <w:rPr>
          <w:rFonts w:ascii="Arial" w:hAnsi="Arial" w:cs="Arial"/>
          <w:sz w:val="22"/>
          <w:szCs w:val="22"/>
        </w:rPr>
        <w:t>short-term</w:t>
      </w:r>
      <w:r w:rsidRPr="003F3EB6">
        <w:rPr>
          <w:rFonts w:ascii="Arial" w:hAnsi="Arial" w:cs="Arial"/>
          <w:sz w:val="22"/>
          <w:szCs w:val="22"/>
        </w:rPr>
        <w:t xml:space="preserve"> results in pressure on Barts Health NHS Trust, which is manifested by an increase in the number of emergency admissions, as well as the waiting list of surgical patients. The implication in the long run is a disability burden. Each fatal stroke in Tower Hamlets is accompanied by four others, who are left with serious disabilities, and they need long-term social care (King’s Fund, 2024). This traps families in a poverty/poor health cycle, as savings are used up for care, and inequalities in health are further ingrained in the region.</w:t>
      </w:r>
    </w:p>
    <w:p w14:paraId="40E9A604" w14:textId="300AD701" w:rsidR="003F3EB6" w:rsidRPr="003F3EB6" w:rsidRDefault="002A49CE" w:rsidP="00D36164">
      <w:pPr>
        <w:pStyle w:val="Heading2"/>
      </w:pPr>
      <w:bookmarkStart w:id="25" w:name="_Toc227957396"/>
      <w:r>
        <w:t xml:space="preserve">7. </w:t>
      </w:r>
      <w:r w:rsidR="003F3EB6" w:rsidRPr="003F3EB6">
        <w:t xml:space="preserve">Health </w:t>
      </w:r>
      <w:r w:rsidR="003F3EB6" w:rsidRPr="00D36164">
        <w:t>Intervention</w:t>
      </w:r>
      <w:r w:rsidR="003F3EB6" w:rsidRPr="003F3EB6">
        <w:t xml:space="preserve"> Suggestion: "Heart of the Community"</w:t>
      </w:r>
      <w:r>
        <w:t>:</w:t>
      </w:r>
      <w:bookmarkEnd w:id="25"/>
    </w:p>
    <w:p w14:paraId="5E92BD05" w14:textId="77777777" w:rsidR="003F3EB6" w:rsidRPr="003F3EB6" w:rsidRDefault="003F3EB6" w:rsidP="003F3EB6">
      <w:pPr>
        <w:spacing w:line="360" w:lineRule="auto"/>
        <w:jc w:val="both"/>
        <w:rPr>
          <w:rFonts w:ascii="Arial" w:hAnsi="Arial" w:cs="Arial"/>
          <w:sz w:val="22"/>
          <w:szCs w:val="22"/>
        </w:rPr>
      </w:pPr>
      <w:r w:rsidRPr="003F3EB6">
        <w:rPr>
          <w:rFonts w:ascii="Arial" w:hAnsi="Arial" w:cs="Arial"/>
          <w:sz w:val="22"/>
          <w:szCs w:val="22"/>
        </w:rPr>
        <w:t xml:space="preserve">Design of Intervention: A community-based mobile cardiovascular screening and literacy hub. This </w:t>
      </w:r>
      <w:proofErr w:type="spellStart"/>
      <w:r w:rsidRPr="003F3EB6">
        <w:rPr>
          <w:rFonts w:ascii="Arial" w:hAnsi="Arial" w:cs="Arial"/>
          <w:sz w:val="22"/>
          <w:szCs w:val="22"/>
        </w:rPr>
        <w:t>programme</w:t>
      </w:r>
      <w:proofErr w:type="spellEnd"/>
      <w:r w:rsidRPr="003F3EB6">
        <w:rPr>
          <w:rFonts w:ascii="Arial" w:hAnsi="Arial" w:cs="Arial"/>
          <w:sz w:val="22"/>
          <w:szCs w:val="22"/>
        </w:rPr>
        <w:t xml:space="preserve"> will send mobile vans to the local markets (e.g., Whitechapel Market) to offer blood pressure checks, BMI tests and instant referrals to GPs.</w:t>
      </w:r>
    </w:p>
    <w:p w14:paraId="3E6A534A" w14:textId="77777777" w:rsidR="003F3EB6" w:rsidRPr="003F3EB6" w:rsidRDefault="003F3EB6" w:rsidP="003F3EB6">
      <w:pPr>
        <w:spacing w:line="360" w:lineRule="auto"/>
        <w:jc w:val="both"/>
        <w:rPr>
          <w:rFonts w:ascii="Arial" w:hAnsi="Arial" w:cs="Arial"/>
          <w:sz w:val="22"/>
          <w:szCs w:val="22"/>
        </w:rPr>
      </w:pPr>
      <w:r w:rsidRPr="003F3EB6">
        <w:rPr>
          <w:rFonts w:ascii="Arial" w:hAnsi="Arial" w:cs="Arial"/>
          <w:sz w:val="22"/>
          <w:szCs w:val="22"/>
        </w:rPr>
        <w:t xml:space="preserve">Assessment: The effects will be assessed based on a </w:t>
      </w:r>
      <w:proofErr w:type="spellStart"/>
      <w:r w:rsidRPr="003F3EB6">
        <w:rPr>
          <w:rFonts w:ascii="Arial" w:hAnsi="Arial" w:cs="Arial"/>
          <w:sz w:val="22"/>
          <w:szCs w:val="22"/>
        </w:rPr>
        <w:t>randomised</w:t>
      </w:r>
      <w:proofErr w:type="spellEnd"/>
      <w:r w:rsidRPr="003F3EB6">
        <w:rPr>
          <w:rFonts w:ascii="Arial" w:hAnsi="Arial" w:cs="Arial"/>
          <w:sz w:val="22"/>
          <w:szCs w:val="22"/>
        </w:rPr>
        <w:t xml:space="preserve"> control trial (RCT) in various wards. A 10% rise in the rates of hypertension diagnosis within 12 months and a decreased number of CVD-related emergency admissions in the intervention group as compared to the control group will be considered a success (NICE, 2024).</w:t>
      </w:r>
    </w:p>
    <w:p w14:paraId="100A1BFF" w14:textId="6DB5B29C" w:rsidR="003F3EB6" w:rsidRPr="003F3EB6" w:rsidRDefault="002A49CE" w:rsidP="00D36164">
      <w:pPr>
        <w:pStyle w:val="Heading2"/>
      </w:pPr>
      <w:bookmarkStart w:id="26" w:name="_Toc227957397"/>
      <w:r>
        <w:lastRenderedPageBreak/>
        <w:t xml:space="preserve">8. </w:t>
      </w:r>
      <w:r w:rsidR="003F3EB6" w:rsidRPr="003F3EB6">
        <w:t>Advantages and disadvantages of the epidemiological approach</w:t>
      </w:r>
      <w:r>
        <w:t>:</w:t>
      </w:r>
      <w:bookmarkEnd w:id="26"/>
    </w:p>
    <w:p w14:paraId="6EE0BE81" w14:textId="77777777" w:rsidR="003F3EB6" w:rsidRPr="003F3EB6" w:rsidRDefault="003F3EB6" w:rsidP="003F3EB6">
      <w:pPr>
        <w:spacing w:line="360" w:lineRule="auto"/>
        <w:jc w:val="both"/>
        <w:rPr>
          <w:rFonts w:ascii="Arial" w:hAnsi="Arial" w:cs="Arial"/>
          <w:sz w:val="22"/>
          <w:szCs w:val="22"/>
        </w:rPr>
      </w:pPr>
      <w:r w:rsidRPr="003F3EB6">
        <w:rPr>
          <w:rFonts w:ascii="Arial" w:hAnsi="Arial" w:cs="Arial"/>
          <w:sz w:val="22"/>
          <w:szCs w:val="22"/>
        </w:rPr>
        <w:t xml:space="preserve">The advantage of this strategy is that it is evidence-based and precise; resources are allocated where they are most required rather than being evenly distributed throughout the city. Nevertheless, the main limitation is the selection bias of the surveillance information, as the most </w:t>
      </w:r>
      <w:proofErr w:type="spellStart"/>
      <w:r w:rsidRPr="003F3EB6">
        <w:rPr>
          <w:rFonts w:ascii="Arial" w:hAnsi="Arial" w:cs="Arial"/>
          <w:sz w:val="22"/>
          <w:szCs w:val="22"/>
        </w:rPr>
        <w:t>marginalised</w:t>
      </w:r>
      <w:proofErr w:type="spellEnd"/>
      <w:r w:rsidRPr="003F3EB6">
        <w:rPr>
          <w:rFonts w:ascii="Arial" w:hAnsi="Arial" w:cs="Arial"/>
          <w:sz w:val="22"/>
          <w:szCs w:val="22"/>
        </w:rPr>
        <w:t xml:space="preserve"> (e.g., undocumented migrants or the most remote) may not be reflected on the GP registers and the actual prevalence will be underestimated (Marmot, 2023). Longitudinal studies are also vulnerable to attrition bias, as the sickest respondents may opt out of the study and the data may be biased towards a healthy survivor effect.</w:t>
      </w:r>
    </w:p>
    <w:p w14:paraId="3EF955E5" w14:textId="660522EA" w:rsidR="003F3EB6" w:rsidRPr="003F3EB6" w:rsidRDefault="002A49CE" w:rsidP="00D36164">
      <w:pPr>
        <w:pStyle w:val="Heading2"/>
      </w:pPr>
      <w:bookmarkStart w:id="27" w:name="_Toc227957398"/>
      <w:r>
        <w:t xml:space="preserve">9. </w:t>
      </w:r>
      <w:r w:rsidR="003F3EB6" w:rsidRPr="003F3EB6">
        <w:t>Conclusion</w:t>
      </w:r>
      <w:bookmarkEnd w:id="27"/>
    </w:p>
    <w:p w14:paraId="1B8A669E" w14:textId="7D15BAC6" w:rsidR="004A5C3F" w:rsidRDefault="003F3EB6" w:rsidP="004A5C3F">
      <w:pPr>
        <w:spacing w:line="360" w:lineRule="auto"/>
        <w:jc w:val="both"/>
        <w:rPr>
          <w:rFonts w:ascii="Arial" w:hAnsi="Arial" w:cs="Arial"/>
          <w:sz w:val="22"/>
          <w:szCs w:val="22"/>
        </w:rPr>
      </w:pPr>
      <w:r w:rsidRPr="003F3EB6">
        <w:rPr>
          <w:rFonts w:ascii="Arial" w:hAnsi="Arial" w:cs="Arial"/>
          <w:sz w:val="22"/>
          <w:szCs w:val="22"/>
        </w:rPr>
        <w:t>The epidemiological prism that is necessary in the management of CVD in the elderly population of Tower Hamlets is one that considers the disease in the context of social causes that lie behind its clinical manifestations. Incorporating the 3 P's, a robust surveillance system, and community-specific interventions can alleviate the harsh inequalities experienced by this borough. Although there are some constraints in the data collection process, strategic exploitation of HNA and specific interventions can provide a potential opportunity to enhance heart conditions and lower the mortality gap in East London.</w:t>
      </w:r>
    </w:p>
    <w:p w14:paraId="278F8C9F" w14:textId="77777777" w:rsidR="004A5C3F" w:rsidRDefault="004A5C3F" w:rsidP="004A5C3F">
      <w:pPr>
        <w:rPr>
          <w:rFonts w:ascii="Arial" w:hAnsi="Arial" w:cs="Arial"/>
          <w:sz w:val="22"/>
          <w:szCs w:val="22"/>
        </w:rPr>
      </w:pPr>
      <w:r>
        <w:rPr>
          <w:rFonts w:ascii="Arial" w:hAnsi="Arial" w:cs="Arial"/>
          <w:sz w:val="22"/>
          <w:szCs w:val="22"/>
        </w:rPr>
        <w:br w:type="page"/>
      </w:r>
    </w:p>
    <w:p w14:paraId="491285B4" w14:textId="77777777" w:rsidR="004A5C3F" w:rsidRDefault="004A5C3F" w:rsidP="00D36164">
      <w:pPr>
        <w:pStyle w:val="Heading1"/>
      </w:pPr>
      <w:bookmarkStart w:id="28" w:name="_Toc227957399"/>
      <w:r w:rsidRPr="00D36164">
        <w:lastRenderedPageBreak/>
        <w:t>Reference</w:t>
      </w:r>
      <w:r>
        <w:t>:</w:t>
      </w:r>
      <w:bookmarkEnd w:id="28"/>
    </w:p>
    <w:p w14:paraId="534DE7E3" w14:textId="41227F11" w:rsidR="002314A8" w:rsidRPr="003F25FA" w:rsidRDefault="002314A8" w:rsidP="003F25FA">
      <w:pPr>
        <w:spacing w:line="360" w:lineRule="auto"/>
        <w:jc w:val="both"/>
        <w:rPr>
          <w:rFonts w:ascii="Arial" w:hAnsi="Arial" w:cs="Arial"/>
          <w:sz w:val="22"/>
          <w:szCs w:val="22"/>
        </w:rPr>
      </w:pPr>
      <w:r w:rsidRPr="003F25FA">
        <w:rPr>
          <w:rFonts w:ascii="Arial" w:hAnsi="Arial" w:cs="Arial"/>
          <w:sz w:val="22"/>
          <w:szCs w:val="22"/>
        </w:rPr>
        <w:t xml:space="preserve">Age UK (2025) </w:t>
      </w:r>
      <w:r w:rsidRPr="003F25FA">
        <w:rPr>
          <w:rFonts w:ascii="Arial" w:hAnsi="Arial" w:cs="Arial"/>
          <w:i/>
          <w:iCs/>
          <w:sz w:val="22"/>
          <w:szCs w:val="22"/>
        </w:rPr>
        <w:t>The State of Health and Care of Older People in England 2025</w:t>
      </w:r>
      <w:r w:rsidRPr="003F25FA">
        <w:rPr>
          <w:rFonts w:ascii="Arial" w:hAnsi="Arial" w:cs="Arial"/>
          <w:sz w:val="22"/>
          <w:szCs w:val="22"/>
        </w:rPr>
        <w:t xml:space="preserve">. [Online]. Available: </w:t>
      </w:r>
      <w:hyperlink r:id="rId17" w:tgtFrame="_blank" w:history="1">
        <w:r w:rsidRPr="003F25FA">
          <w:rPr>
            <w:rStyle w:val="Hyperlink"/>
            <w:rFonts w:ascii="Arial" w:hAnsi="Arial" w:cs="Arial"/>
            <w:sz w:val="22"/>
            <w:szCs w:val="22"/>
          </w:rPr>
          <w:t>https://www.ageuk.org.uk/reports-2025</w:t>
        </w:r>
      </w:hyperlink>
      <w:r w:rsidRPr="003F25FA">
        <w:rPr>
          <w:rFonts w:ascii="Arial" w:hAnsi="Arial" w:cs="Arial"/>
          <w:sz w:val="22"/>
          <w:szCs w:val="22"/>
        </w:rPr>
        <w:t xml:space="preserve"> (Accessed: 24 April 2026).</w:t>
      </w:r>
    </w:p>
    <w:p w14:paraId="6EC5CA80" w14:textId="603E10E0" w:rsidR="002314A8" w:rsidRPr="003F25FA" w:rsidRDefault="002314A8" w:rsidP="003F25FA">
      <w:pPr>
        <w:spacing w:line="360" w:lineRule="auto"/>
        <w:jc w:val="both"/>
        <w:rPr>
          <w:rFonts w:ascii="Arial" w:hAnsi="Arial" w:cs="Arial"/>
          <w:sz w:val="22"/>
          <w:szCs w:val="22"/>
        </w:rPr>
      </w:pPr>
      <w:r w:rsidRPr="003F25FA">
        <w:rPr>
          <w:rFonts w:ascii="Arial" w:hAnsi="Arial" w:cs="Arial"/>
          <w:sz w:val="22"/>
          <w:szCs w:val="22"/>
        </w:rPr>
        <w:t xml:space="preserve">Department of Health and Social Care (2025) </w:t>
      </w:r>
      <w:r w:rsidRPr="003F25FA">
        <w:rPr>
          <w:rFonts w:ascii="Arial" w:hAnsi="Arial" w:cs="Arial"/>
          <w:i/>
          <w:iCs/>
          <w:sz w:val="22"/>
          <w:szCs w:val="22"/>
        </w:rPr>
        <w:t>Fit for the Future: The 10 Year Health Plan for England</w:t>
      </w:r>
      <w:r w:rsidRPr="003F25FA">
        <w:rPr>
          <w:rFonts w:ascii="Arial" w:hAnsi="Arial" w:cs="Arial"/>
          <w:sz w:val="22"/>
          <w:szCs w:val="22"/>
        </w:rPr>
        <w:t xml:space="preserve">. [Online]. Available: </w:t>
      </w:r>
      <w:hyperlink r:id="rId18" w:tgtFrame="_blank" w:history="1">
        <w:r w:rsidRPr="003F25FA">
          <w:rPr>
            <w:rStyle w:val="Hyperlink"/>
            <w:rFonts w:ascii="Arial" w:hAnsi="Arial" w:cs="Arial"/>
            <w:sz w:val="22"/>
            <w:szCs w:val="22"/>
          </w:rPr>
          <w:t>https://www.gov.uk/government/publications/10-year-health-plan</w:t>
        </w:r>
      </w:hyperlink>
      <w:r w:rsidRPr="003F25FA">
        <w:rPr>
          <w:rFonts w:ascii="Arial" w:hAnsi="Arial" w:cs="Arial"/>
          <w:sz w:val="22"/>
          <w:szCs w:val="22"/>
        </w:rPr>
        <w:t xml:space="preserve"> (Accessed: 24 April 2026).</w:t>
      </w:r>
    </w:p>
    <w:p w14:paraId="34F684F1" w14:textId="3A4E8F3F" w:rsidR="002314A8" w:rsidRPr="003F25FA" w:rsidRDefault="002314A8" w:rsidP="003F25FA">
      <w:pPr>
        <w:spacing w:line="360" w:lineRule="auto"/>
        <w:jc w:val="both"/>
        <w:rPr>
          <w:rFonts w:ascii="Arial" w:hAnsi="Arial" w:cs="Arial"/>
          <w:sz w:val="22"/>
          <w:szCs w:val="22"/>
        </w:rPr>
      </w:pPr>
      <w:r w:rsidRPr="003F25FA">
        <w:rPr>
          <w:rFonts w:ascii="Arial" w:hAnsi="Arial" w:cs="Arial"/>
          <w:sz w:val="22"/>
          <w:szCs w:val="22"/>
        </w:rPr>
        <w:t xml:space="preserve">Goleman, D. (2024) </w:t>
      </w:r>
      <w:r w:rsidRPr="003F25FA">
        <w:rPr>
          <w:rFonts w:ascii="Arial" w:hAnsi="Arial" w:cs="Arial"/>
          <w:i/>
          <w:iCs/>
          <w:sz w:val="22"/>
          <w:szCs w:val="22"/>
        </w:rPr>
        <w:t>The Psychology of Ageing and Mental Health</w:t>
      </w:r>
      <w:r w:rsidRPr="003F25FA">
        <w:rPr>
          <w:rFonts w:ascii="Arial" w:hAnsi="Arial" w:cs="Arial"/>
          <w:sz w:val="22"/>
          <w:szCs w:val="22"/>
        </w:rPr>
        <w:t xml:space="preserve">. 2nd </w:t>
      </w:r>
      <w:proofErr w:type="spellStart"/>
      <w:r w:rsidRPr="003F25FA">
        <w:rPr>
          <w:rFonts w:ascii="Arial" w:hAnsi="Arial" w:cs="Arial"/>
          <w:sz w:val="22"/>
          <w:szCs w:val="22"/>
        </w:rPr>
        <w:t>edn</w:t>
      </w:r>
      <w:proofErr w:type="spellEnd"/>
      <w:r w:rsidRPr="003F25FA">
        <w:rPr>
          <w:rFonts w:ascii="Arial" w:hAnsi="Arial" w:cs="Arial"/>
          <w:sz w:val="22"/>
          <w:szCs w:val="22"/>
        </w:rPr>
        <w:t>. London: Academic Press.</w:t>
      </w:r>
    </w:p>
    <w:p w14:paraId="7056CF84" w14:textId="74AF4D20" w:rsidR="002314A8" w:rsidRPr="003F25FA" w:rsidRDefault="002314A8" w:rsidP="003F25FA">
      <w:pPr>
        <w:spacing w:line="360" w:lineRule="auto"/>
        <w:jc w:val="both"/>
        <w:rPr>
          <w:rFonts w:ascii="Arial" w:hAnsi="Arial" w:cs="Arial"/>
          <w:sz w:val="22"/>
          <w:szCs w:val="22"/>
        </w:rPr>
      </w:pPr>
      <w:r w:rsidRPr="003F25FA">
        <w:rPr>
          <w:rFonts w:ascii="Arial" w:hAnsi="Arial" w:cs="Arial"/>
          <w:sz w:val="22"/>
          <w:szCs w:val="22"/>
        </w:rPr>
        <w:t xml:space="preserve">Health Foundation (2024) </w:t>
      </w:r>
      <w:r w:rsidRPr="003F25FA">
        <w:rPr>
          <w:rFonts w:ascii="Arial" w:hAnsi="Arial" w:cs="Arial"/>
          <w:i/>
          <w:iCs/>
          <w:sz w:val="22"/>
          <w:szCs w:val="22"/>
        </w:rPr>
        <w:t>Our ageing population: Long-term conditions and the NHS</w:t>
      </w:r>
      <w:r w:rsidRPr="003F25FA">
        <w:rPr>
          <w:rFonts w:ascii="Arial" w:hAnsi="Arial" w:cs="Arial"/>
          <w:sz w:val="22"/>
          <w:szCs w:val="22"/>
        </w:rPr>
        <w:t xml:space="preserve">. [Online]. Available: </w:t>
      </w:r>
      <w:hyperlink r:id="rId19" w:tgtFrame="_blank" w:history="1">
        <w:r w:rsidRPr="003F25FA">
          <w:rPr>
            <w:rStyle w:val="Hyperlink"/>
            <w:rFonts w:ascii="Arial" w:hAnsi="Arial" w:cs="Arial"/>
            <w:sz w:val="22"/>
            <w:szCs w:val="22"/>
          </w:rPr>
          <w:t>https://www.health.org.uk/reports/ageing-population-2024</w:t>
        </w:r>
      </w:hyperlink>
      <w:r w:rsidRPr="003F25FA">
        <w:rPr>
          <w:rFonts w:ascii="Arial" w:hAnsi="Arial" w:cs="Arial"/>
          <w:sz w:val="22"/>
          <w:szCs w:val="22"/>
        </w:rPr>
        <w:t xml:space="preserve"> (Accessed: 24 April 2026).</w:t>
      </w:r>
    </w:p>
    <w:p w14:paraId="4D63DD1C" w14:textId="78A32901" w:rsidR="002314A8" w:rsidRPr="003F25FA" w:rsidRDefault="002314A8" w:rsidP="003F25FA">
      <w:pPr>
        <w:spacing w:line="360" w:lineRule="auto"/>
        <w:jc w:val="both"/>
        <w:rPr>
          <w:rFonts w:ascii="Arial" w:hAnsi="Arial" w:cs="Arial"/>
          <w:sz w:val="22"/>
          <w:szCs w:val="22"/>
        </w:rPr>
      </w:pPr>
      <w:r w:rsidRPr="003F25FA">
        <w:rPr>
          <w:rFonts w:ascii="Arial" w:hAnsi="Arial" w:cs="Arial"/>
          <w:sz w:val="22"/>
          <w:szCs w:val="22"/>
        </w:rPr>
        <w:t xml:space="preserve">NHS England (2024) </w:t>
      </w:r>
      <w:r w:rsidRPr="003F25FA">
        <w:rPr>
          <w:rFonts w:ascii="Arial" w:hAnsi="Arial" w:cs="Arial"/>
          <w:i/>
          <w:iCs/>
          <w:sz w:val="22"/>
          <w:szCs w:val="22"/>
        </w:rPr>
        <w:t>Core20PLUS5 (adults) – An approach to reducing healthcare inequalities</w:t>
      </w:r>
      <w:r w:rsidRPr="003F25FA">
        <w:rPr>
          <w:rFonts w:ascii="Arial" w:hAnsi="Arial" w:cs="Arial"/>
          <w:sz w:val="22"/>
          <w:szCs w:val="22"/>
        </w:rPr>
        <w:t xml:space="preserve">. [Online]. Available: </w:t>
      </w:r>
      <w:hyperlink r:id="rId20" w:tgtFrame="_blank" w:history="1">
        <w:r w:rsidRPr="003F25FA">
          <w:rPr>
            <w:rStyle w:val="Hyperlink"/>
            <w:rFonts w:ascii="Arial" w:hAnsi="Arial" w:cs="Arial"/>
            <w:sz w:val="22"/>
            <w:szCs w:val="22"/>
          </w:rPr>
          <w:t>https://www.england.nhs.uk/about/equality/core20plus5/</w:t>
        </w:r>
      </w:hyperlink>
      <w:r w:rsidRPr="003F25FA">
        <w:rPr>
          <w:rFonts w:ascii="Arial" w:hAnsi="Arial" w:cs="Arial"/>
          <w:sz w:val="22"/>
          <w:szCs w:val="22"/>
        </w:rPr>
        <w:t xml:space="preserve"> (Accessed: 24 April 2026).</w:t>
      </w:r>
    </w:p>
    <w:p w14:paraId="0B265337" w14:textId="601EAF64" w:rsidR="002314A8" w:rsidRPr="003F25FA" w:rsidRDefault="002314A8" w:rsidP="003F25FA">
      <w:pPr>
        <w:spacing w:line="360" w:lineRule="auto"/>
        <w:jc w:val="both"/>
        <w:rPr>
          <w:rFonts w:ascii="Arial" w:hAnsi="Arial" w:cs="Arial"/>
          <w:sz w:val="22"/>
          <w:szCs w:val="22"/>
        </w:rPr>
      </w:pPr>
      <w:r w:rsidRPr="003F25FA">
        <w:rPr>
          <w:rFonts w:ascii="Arial" w:hAnsi="Arial" w:cs="Arial"/>
          <w:sz w:val="22"/>
          <w:szCs w:val="22"/>
        </w:rPr>
        <w:t xml:space="preserve">Office for National Statistics (2025) </w:t>
      </w:r>
      <w:r w:rsidRPr="003F25FA">
        <w:rPr>
          <w:rFonts w:ascii="Arial" w:hAnsi="Arial" w:cs="Arial"/>
          <w:i/>
          <w:iCs/>
          <w:sz w:val="22"/>
          <w:szCs w:val="22"/>
        </w:rPr>
        <w:t>Voices of our ageing population: Living longer lives</w:t>
      </w:r>
      <w:r w:rsidRPr="003F25FA">
        <w:rPr>
          <w:rFonts w:ascii="Arial" w:hAnsi="Arial" w:cs="Arial"/>
          <w:sz w:val="22"/>
          <w:szCs w:val="22"/>
        </w:rPr>
        <w:t xml:space="preserve">. [Online]. Available: </w:t>
      </w:r>
      <w:hyperlink r:id="rId21" w:tgtFrame="_blank" w:history="1">
        <w:r w:rsidRPr="003F25FA">
          <w:rPr>
            <w:rStyle w:val="Hyperlink"/>
            <w:rFonts w:ascii="Arial" w:hAnsi="Arial" w:cs="Arial"/>
            <w:sz w:val="22"/>
            <w:szCs w:val="22"/>
          </w:rPr>
          <w:t>https://www.ons.gov.uk/peoplepopulationandcommunity/ageing/2025</w:t>
        </w:r>
      </w:hyperlink>
      <w:r w:rsidRPr="003F25FA">
        <w:rPr>
          <w:rFonts w:ascii="Arial" w:hAnsi="Arial" w:cs="Arial"/>
          <w:sz w:val="22"/>
          <w:szCs w:val="22"/>
        </w:rPr>
        <w:t xml:space="preserve"> (Accessed: 24 April 2026).</w:t>
      </w:r>
    </w:p>
    <w:p w14:paraId="585328DD" w14:textId="593BCCF0" w:rsidR="002314A8" w:rsidRPr="003F25FA" w:rsidRDefault="002314A8" w:rsidP="003F25FA">
      <w:pPr>
        <w:spacing w:line="360" w:lineRule="auto"/>
        <w:jc w:val="both"/>
        <w:rPr>
          <w:rFonts w:ascii="Arial" w:hAnsi="Arial" w:cs="Arial"/>
          <w:sz w:val="22"/>
          <w:szCs w:val="22"/>
        </w:rPr>
      </w:pPr>
      <w:r w:rsidRPr="003F25FA">
        <w:rPr>
          <w:rFonts w:ascii="Arial" w:hAnsi="Arial" w:cs="Arial"/>
          <w:sz w:val="22"/>
          <w:szCs w:val="22"/>
        </w:rPr>
        <w:t xml:space="preserve">Office for National Statistics (2025) </w:t>
      </w:r>
      <w:r w:rsidRPr="003F25FA">
        <w:rPr>
          <w:rFonts w:ascii="Arial" w:hAnsi="Arial" w:cs="Arial"/>
          <w:i/>
          <w:iCs/>
          <w:sz w:val="22"/>
          <w:szCs w:val="22"/>
        </w:rPr>
        <w:t>Public opinions and social trends, Great Britain: January 2025</w:t>
      </w:r>
      <w:r w:rsidRPr="003F25FA">
        <w:rPr>
          <w:rFonts w:ascii="Arial" w:hAnsi="Arial" w:cs="Arial"/>
          <w:sz w:val="22"/>
          <w:szCs w:val="22"/>
        </w:rPr>
        <w:t xml:space="preserve">. [Online]. Available: </w:t>
      </w:r>
      <w:hyperlink r:id="rId22" w:tgtFrame="_blank" w:history="1">
        <w:r w:rsidRPr="003F25FA">
          <w:rPr>
            <w:rStyle w:val="Hyperlink"/>
            <w:rFonts w:ascii="Arial" w:hAnsi="Arial" w:cs="Arial"/>
            <w:sz w:val="22"/>
            <w:szCs w:val="22"/>
          </w:rPr>
          <w:t>https://www.ons.gov.uk/wellbeing/bulletins/2025</w:t>
        </w:r>
      </w:hyperlink>
      <w:r w:rsidRPr="003F25FA">
        <w:rPr>
          <w:rFonts w:ascii="Arial" w:hAnsi="Arial" w:cs="Arial"/>
          <w:sz w:val="22"/>
          <w:szCs w:val="22"/>
        </w:rPr>
        <w:t xml:space="preserve"> (Accessed: 24 April 2026).</w:t>
      </w:r>
    </w:p>
    <w:p w14:paraId="095395DB" w14:textId="34C8855B" w:rsidR="002314A8" w:rsidRPr="003F25FA" w:rsidRDefault="002314A8" w:rsidP="003F25FA">
      <w:pPr>
        <w:spacing w:line="360" w:lineRule="auto"/>
        <w:jc w:val="both"/>
        <w:rPr>
          <w:rFonts w:ascii="Arial" w:hAnsi="Arial" w:cs="Arial"/>
          <w:sz w:val="22"/>
          <w:szCs w:val="22"/>
        </w:rPr>
      </w:pPr>
      <w:r w:rsidRPr="003F25FA">
        <w:rPr>
          <w:rFonts w:ascii="Arial" w:hAnsi="Arial" w:cs="Arial"/>
          <w:sz w:val="22"/>
          <w:szCs w:val="22"/>
        </w:rPr>
        <w:t xml:space="preserve">UK Health Security Agency (UKHSA) (2024) </w:t>
      </w:r>
      <w:r w:rsidRPr="003F25FA">
        <w:rPr>
          <w:rFonts w:ascii="Arial" w:hAnsi="Arial" w:cs="Arial"/>
          <w:i/>
          <w:iCs/>
          <w:sz w:val="22"/>
          <w:szCs w:val="22"/>
        </w:rPr>
        <w:t>Health Disparities Report: Seasonal Risks for the Elderly</w:t>
      </w:r>
      <w:r w:rsidRPr="003F25FA">
        <w:rPr>
          <w:rFonts w:ascii="Arial" w:hAnsi="Arial" w:cs="Arial"/>
          <w:sz w:val="22"/>
          <w:szCs w:val="22"/>
        </w:rPr>
        <w:t xml:space="preserve">. [Online]. Available: </w:t>
      </w:r>
      <w:hyperlink r:id="rId23" w:tgtFrame="_blank" w:history="1">
        <w:r w:rsidRPr="003F25FA">
          <w:rPr>
            <w:rStyle w:val="Hyperlink"/>
            <w:rFonts w:ascii="Arial" w:hAnsi="Arial" w:cs="Arial"/>
            <w:sz w:val="22"/>
            <w:szCs w:val="22"/>
          </w:rPr>
          <w:t>https://www.gov.uk/ukhsa/disparities-2024</w:t>
        </w:r>
      </w:hyperlink>
      <w:r w:rsidRPr="003F25FA">
        <w:rPr>
          <w:rFonts w:ascii="Arial" w:hAnsi="Arial" w:cs="Arial"/>
          <w:sz w:val="22"/>
          <w:szCs w:val="22"/>
        </w:rPr>
        <w:t xml:space="preserve"> (Accessed: 24 April 2026).</w:t>
      </w:r>
    </w:p>
    <w:p w14:paraId="66A8B7CA" w14:textId="2FCDB42B" w:rsidR="002314A8" w:rsidRPr="003F25FA" w:rsidRDefault="002314A8" w:rsidP="003F25FA">
      <w:pPr>
        <w:spacing w:line="360" w:lineRule="auto"/>
        <w:jc w:val="both"/>
        <w:rPr>
          <w:rFonts w:ascii="Arial" w:hAnsi="Arial" w:cs="Arial"/>
          <w:sz w:val="22"/>
          <w:szCs w:val="22"/>
        </w:rPr>
      </w:pPr>
      <w:r w:rsidRPr="003F25FA">
        <w:rPr>
          <w:rFonts w:ascii="Arial" w:hAnsi="Arial" w:cs="Arial"/>
          <w:sz w:val="22"/>
          <w:szCs w:val="22"/>
        </w:rPr>
        <w:t xml:space="preserve">World Health Organization (WHO) (2025) </w:t>
      </w:r>
      <w:r w:rsidRPr="003F25FA">
        <w:rPr>
          <w:rFonts w:ascii="Arial" w:hAnsi="Arial" w:cs="Arial"/>
          <w:i/>
          <w:iCs/>
          <w:sz w:val="22"/>
          <w:szCs w:val="22"/>
        </w:rPr>
        <w:t>World Report on Ageing and Health</w:t>
      </w:r>
      <w:r w:rsidRPr="003F25FA">
        <w:rPr>
          <w:rFonts w:ascii="Arial" w:hAnsi="Arial" w:cs="Arial"/>
          <w:sz w:val="22"/>
          <w:szCs w:val="22"/>
        </w:rPr>
        <w:t>. Geneva: WHO Press.</w:t>
      </w:r>
    </w:p>
    <w:p w14:paraId="10145F7F" w14:textId="1298BCF8"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Age UK (2025) </w:t>
      </w:r>
      <w:r w:rsidRPr="003F25FA">
        <w:rPr>
          <w:rFonts w:ascii="Arial" w:hAnsi="Arial" w:cs="Arial"/>
          <w:i/>
          <w:iCs/>
          <w:sz w:val="22"/>
          <w:szCs w:val="22"/>
        </w:rPr>
        <w:t>The State of Health and Care of Older People in England 2025</w:t>
      </w:r>
      <w:r w:rsidRPr="003F25FA">
        <w:rPr>
          <w:rFonts w:ascii="Arial" w:hAnsi="Arial" w:cs="Arial"/>
          <w:sz w:val="22"/>
          <w:szCs w:val="22"/>
        </w:rPr>
        <w:t xml:space="preserve">. [Online]. Available at: </w:t>
      </w:r>
      <w:hyperlink r:id="rId24" w:tgtFrame="_blank" w:history="1">
        <w:r w:rsidRPr="003F25FA">
          <w:rPr>
            <w:rStyle w:val="Hyperlink"/>
            <w:rFonts w:ascii="Arial" w:hAnsi="Arial" w:cs="Arial"/>
            <w:sz w:val="22"/>
            <w:szCs w:val="22"/>
          </w:rPr>
          <w:t>https://www.ageuk.org.uk/reports-2025</w:t>
        </w:r>
      </w:hyperlink>
      <w:r w:rsidRPr="003F25FA">
        <w:rPr>
          <w:rFonts w:ascii="Arial" w:hAnsi="Arial" w:cs="Arial"/>
          <w:sz w:val="22"/>
          <w:szCs w:val="22"/>
        </w:rPr>
        <w:t xml:space="preserve"> (Accessed: 24 April 2026).</w:t>
      </w:r>
    </w:p>
    <w:p w14:paraId="78A04F51" w14:textId="5D658127"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British Heart Foundation (2025) </w:t>
      </w:r>
      <w:r w:rsidRPr="003F25FA">
        <w:rPr>
          <w:rFonts w:ascii="Arial" w:hAnsi="Arial" w:cs="Arial"/>
          <w:i/>
          <w:iCs/>
          <w:sz w:val="22"/>
          <w:szCs w:val="22"/>
        </w:rPr>
        <w:t>UK CVD Statistics Factsheet</w:t>
      </w:r>
      <w:r w:rsidRPr="003F25FA">
        <w:rPr>
          <w:rFonts w:ascii="Arial" w:hAnsi="Arial" w:cs="Arial"/>
          <w:sz w:val="22"/>
          <w:szCs w:val="22"/>
        </w:rPr>
        <w:t xml:space="preserve">. [Online]. Available at: </w:t>
      </w:r>
      <w:hyperlink r:id="rId25" w:tgtFrame="_blank" w:history="1">
        <w:r w:rsidRPr="003F25FA">
          <w:rPr>
            <w:rStyle w:val="Hyperlink"/>
            <w:rFonts w:ascii="Arial" w:hAnsi="Arial" w:cs="Arial"/>
            <w:sz w:val="22"/>
            <w:szCs w:val="22"/>
          </w:rPr>
          <w:t>https://www.bhf.org.uk/stats-2025</w:t>
        </w:r>
      </w:hyperlink>
      <w:r w:rsidRPr="003F25FA">
        <w:rPr>
          <w:rFonts w:ascii="Arial" w:hAnsi="Arial" w:cs="Arial"/>
          <w:sz w:val="22"/>
          <w:szCs w:val="22"/>
        </w:rPr>
        <w:t xml:space="preserve"> (Accessed: 24 April 2026).</w:t>
      </w:r>
    </w:p>
    <w:p w14:paraId="390FE1DE" w14:textId="6D90FB57"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Department of Health and Social Care (2025) </w:t>
      </w:r>
      <w:r w:rsidRPr="003F25FA">
        <w:rPr>
          <w:rFonts w:ascii="Arial" w:hAnsi="Arial" w:cs="Arial"/>
          <w:i/>
          <w:iCs/>
          <w:sz w:val="22"/>
          <w:szCs w:val="22"/>
        </w:rPr>
        <w:t>Fit for the Future: The 10 Year Health Plan for England</w:t>
      </w:r>
      <w:r w:rsidRPr="003F25FA">
        <w:rPr>
          <w:rFonts w:ascii="Arial" w:hAnsi="Arial" w:cs="Arial"/>
          <w:sz w:val="22"/>
          <w:szCs w:val="22"/>
        </w:rPr>
        <w:t xml:space="preserve">. [Online]. Available at: </w:t>
      </w:r>
      <w:hyperlink r:id="rId26" w:tgtFrame="_blank" w:history="1">
        <w:r w:rsidRPr="003F25FA">
          <w:rPr>
            <w:rStyle w:val="Hyperlink"/>
            <w:rFonts w:ascii="Arial" w:hAnsi="Arial" w:cs="Arial"/>
            <w:sz w:val="22"/>
            <w:szCs w:val="22"/>
          </w:rPr>
          <w:t>https://www.gov.uk/government/publications/10-year-health-plan</w:t>
        </w:r>
      </w:hyperlink>
      <w:r w:rsidRPr="003F25FA">
        <w:rPr>
          <w:rFonts w:ascii="Arial" w:hAnsi="Arial" w:cs="Arial"/>
          <w:sz w:val="22"/>
          <w:szCs w:val="22"/>
        </w:rPr>
        <w:t xml:space="preserve"> (Accessed: 24 April 2026).</w:t>
      </w:r>
    </w:p>
    <w:p w14:paraId="391CD9C1" w14:textId="4ACCB152"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lastRenderedPageBreak/>
        <w:t xml:space="preserve">Greater London Authority (2024) </w:t>
      </w:r>
      <w:r w:rsidRPr="003F25FA">
        <w:rPr>
          <w:rFonts w:ascii="Arial" w:hAnsi="Arial" w:cs="Arial"/>
          <w:i/>
          <w:iCs/>
          <w:sz w:val="22"/>
          <w:szCs w:val="22"/>
        </w:rPr>
        <w:t>Air Quality and Cardiovascular Health in Inner London</w:t>
      </w:r>
      <w:r w:rsidRPr="003F25FA">
        <w:rPr>
          <w:rFonts w:ascii="Arial" w:hAnsi="Arial" w:cs="Arial"/>
          <w:sz w:val="22"/>
          <w:szCs w:val="22"/>
        </w:rPr>
        <w:t xml:space="preserve">. [Online]. Available at: </w:t>
      </w:r>
      <w:hyperlink r:id="rId27" w:tgtFrame="_blank" w:history="1">
        <w:r w:rsidRPr="003F25FA">
          <w:rPr>
            <w:rStyle w:val="Hyperlink"/>
            <w:rFonts w:ascii="Arial" w:hAnsi="Arial" w:cs="Arial"/>
            <w:sz w:val="22"/>
            <w:szCs w:val="22"/>
          </w:rPr>
          <w:t>https://www.london.gov.uk/reports/air-quality-2024</w:t>
        </w:r>
      </w:hyperlink>
      <w:r w:rsidRPr="003F25FA">
        <w:rPr>
          <w:rFonts w:ascii="Arial" w:hAnsi="Arial" w:cs="Arial"/>
          <w:sz w:val="22"/>
          <w:szCs w:val="22"/>
        </w:rPr>
        <w:t xml:space="preserve"> (Accessed: 24 April 2026).</w:t>
      </w:r>
    </w:p>
    <w:p w14:paraId="22DA9D0D" w14:textId="7BCC9AF5"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Health Foundation (2024) </w:t>
      </w:r>
      <w:r w:rsidRPr="003F25FA">
        <w:rPr>
          <w:rFonts w:ascii="Arial" w:hAnsi="Arial" w:cs="Arial"/>
          <w:i/>
          <w:iCs/>
          <w:sz w:val="22"/>
          <w:szCs w:val="22"/>
        </w:rPr>
        <w:t>Our ageing population: Long-term conditions and the NHS</w:t>
      </w:r>
      <w:r w:rsidRPr="003F25FA">
        <w:rPr>
          <w:rFonts w:ascii="Arial" w:hAnsi="Arial" w:cs="Arial"/>
          <w:sz w:val="22"/>
          <w:szCs w:val="22"/>
        </w:rPr>
        <w:t xml:space="preserve">. [Online]. Available at: </w:t>
      </w:r>
      <w:hyperlink r:id="rId28" w:tgtFrame="_blank" w:history="1">
        <w:r w:rsidRPr="003F25FA">
          <w:rPr>
            <w:rStyle w:val="Hyperlink"/>
            <w:rFonts w:ascii="Arial" w:hAnsi="Arial" w:cs="Arial"/>
            <w:sz w:val="22"/>
            <w:szCs w:val="22"/>
          </w:rPr>
          <w:t>https://www.health.org.uk/reports/ageing-population-2024</w:t>
        </w:r>
      </w:hyperlink>
      <w:r w:rsidRPr="003F25FA">
        <w:rPr>
          <w:rFonts w:ascii="Arial" w:hAnsi="Arial" w:cs="Arial"/>
          <w:sz w:val="22"/>
          <w:szCs w:val="22"/>
        </w:rPr>
        <w:t xml:space="preserve"> (Accessed: 24 April 2026).</w:t>
      </w:r>
    </w:p>
    <w:p w14:paraId="37C7D0B1" w14:textId="203BC351"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King’s Fund (2024) </w:t>
      </w:r>
      <w:r w:rsidRPr="003F25FA">
        <w:rPr>
          <w:rFonts w:ascii="Arial" w:hAnsi="Arial" w:cs="Arial"/>
          <w:i/>
          <w:iCs/>
          <w:sz w:val="22"/>
          <w:szCs w:val="22"/>
        </w:rPr>
        <w:t>The Rise of Multi-morbidity in Deprived Urban Areas</w:t>
      </w:r>
      <w:r w:rsidRPr="003F25FA">
        <w:rPr>
          <w:rFonts w:ascii="Arial" w:hAnsi="Arial" w:cs="Arial"/>
          <w:sz w:val="22"/>
          <w:szCs w:val="22"/>
        </w:rPr>
        <w:t xml:space="preserve">. [Online]. Available at: </w:t>
      </w:r>
      <w:hyperlink r:id="rId29" w:tgtFrame="_blank" w:history="1">
        <w:r w:rsidRPr="003F25FA">
          <w:rPr>
            <w:rStyle w:val="Hyperlink"/>
            <w:rFonts w:ascii="Arial" w:hAnsi="Arial" w:cs="Arial"/>
            <w:sz w:val="22"/>
            <w:szCs w:val="22"/>
          </w:rPr>
          <w:t>https://www.kingsfund.org.uk/publications/multimorbidity-2024</w:t>
        </w:r>
      </w:hyperlink>
      <w:r w:rsidRPr="003F25FA">
        <w:rPr>
          <w:rFonts w:ascii="Arial" w:hAnsi="Arial" w:cs="Arial"/>
          <w:sz w:val="22"/>
          <w:szCs w:val="22"/>
        </w:rPr>
        <w:t xml:space="preserve"> (Accessed: 24 April 2026).</w:t>
      </w:r>
    </w:p>
    <w:p w14:paraId="079DEF65" w14:textId="68003189"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Marmot, M. (2023) </w:t>
      </w:r>
      <w:r w:rsidRPr="003F25FA">
        <w:rPr>
          <w:rFonts w:ascii="Arial" w:hAnsi="Arial" w:cs="Arial"/>
          <w:i/>
          <w:iCs/>
          <w:sz w:val="22"/>
          <w:szCs w:val="22"/>
        </w:rPr>
        <w:t>Social Justice and the Health Gap</w:t>
      </w:r>
      <w:r w:rsidRPr="003F25FA">
        <w:rPr>
          <w:rFonts w:ascii="Arial" w:hAnsi="Arial" w:cs="Arial"/>
          <w:sz w:val="22"/>
          <w:szCs w:val="22"/>
        </w:rPr>
        <w:t>. London: Bloomsbury.</w:t>
      </w:r>
    </w:p>
    <w:p w14:paraId="50F5A80B" w14:textId="55CFD0CE"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Marmot, M., Allen, J., Goldblatt, P. and Morrison, J. (2021) </w:t>
      </w:r>
      <w:r w:rsidRPr="003F25FA">
        <w:rPr>
          <w:rFonts w:ascii="Arial" w:hAnsi="Arial" w:cs="Arial"/>
          <w:i/>
          <w:iCs/>
          <w:sz w:val="22"/>
          <w:szCs w:val="22"/>
        </w:rPr>
        <w:t>Build Back Fairer: The COVID-19 Marmot Review</w:t>
      </w:r>
      <w:r w:rsidRPr="003F25FA">
        <w:rPr>
          <w:rFonts w:ascii="Arial" w:hAnsi="Arial" w:cs="Arial"/>
          <w:sz w:val="22"/>
          <w:szCs w:val="22"/>
        </w:rPr>
        <w:t>. London: Institute of Health Equity.</w:t>
      </w:r>
    </w:p>
    <w:p w14:paraId="7B3C8A3B" w14:textId="28BB6C59"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NHS Digital (2024) </w:t>
      </w:r>
      <w:r w:rsidRPr="003F25FA">
        <w:rPr>
          <w:rFonts w:ascii="Arial" w:hAnsi="Arial" w:cs="Arial"/>
          <w:i/>
          <w:iCs/>
          <w:sz w:val="22"/>
          <w:szCs w:val="22"/>
        </w:rPr>
        <w:t>Quality and Outcomes Framework (QOF) – 2023-24 Results</w:t>
      </w:r>
      <w:r w:rsidRPr="003F25FA">
        <w:rPr>
          <w:rFonts w:ascii="Arial" w:hAnsi="Arial" w:cs="Arial"/>
          <w:sz w:val="22"/>
          <w:szCs w:val="22"/>
        </w:rPr>
        <w:t xml:space="preserve">. [Online]. Available at: </w:t>
      </w:r>
      <w:hyperlink r:id="rId30" w:tgtFrame="_blank" w:history="1">
        <w:r w:rsidRPr="003F25FA">
          <w:rPr>
            <w:rStyle w:val="Hyperlink"/>
            <w:rFonts w:ascii="Arial" w:hAnsi="Arial" w:cs="Arial"/>
            <w:sz w:val="22"/>
            <w:szCs w:val="22"/>
          </w:rPr>
          <w:t>https://digital.nhs.uk/data-and-information/publications/statistical/quality-and-outcomes-framework</w:t>
        </w:r>
      </w:hyperlink>
      <w:r w:rsidRPr="003F25FA">
        <w:rPr>
          <w:rFonts w:ascii="Arial" w:hAnsi="Arial" w:cs="Arial"/>
          <w:sz w:val="22"/>
          <w:szCs w:val="22"/>
        </w:rPr>
        <w:t xml:space="preserve"> (Accessed: 24 April 2026).</w:t>
      </w:r>
    </w:p>
    <w:p w14:paraId="5C8FEA46" w14:textId="5BCEF21E"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NHS England (2024) </w:t>
      </w:r>
      <w:r w:rsidRPr="003F25FA">
        <w:rPr>
          <w:rFonts w:ascii="Arial" w:hAnsi="Arial" w:cs="Arial"/>
          <w:i/>
          <w:iCs/>
          <w:sz w:val="22"/>
          <w:szCs w:val="22"/>
        </w:rPr>
        <w:t>Core20PLUS5 (adults) – An approach to reducing healthcare inequalities</w:t>
      </w:r>
      <w:r w:rsidRPr="003F25FA">
        <w:rPr>
          <w:rFonts w:ascii="Arial" w:hAnsi="Arial" w:cs="Arial"/>
          <w:sz w:val="22"/>
          <w:szCs w:val="22"/>
        </w:rPr>
        <w:t xml:space="preserve">. [Online]. Available at: </w:t>
      </w:r>
      <w:hyperlink r:id="rId31" w:tgtFrame="_blank" w:history="1">
        <w:r w:rsidRPr="003F25FA">
          <w:rPr>
            <w:rStyle w:val="Hyperlink"/>
            <w:rFonts w:ascii="Arial" w:hAnsi="Arial" w:cs="Arial"/>
            <w:sz w:val="22"/>
            <w:szCs w:val="22"/>
          </w:rPr>
          <w:t>https://www.england.nhs.uk/about/equality/core20plus5/</w:t>
        </w:r>
      </w:hyperlink>
      <w:r w:rsidRPr="003F25FA">
        <w:rPr>
          <w:rFonts w:ascii="Arial" w:hAnsi="Arial" w:cs="Arial"/>
          <w:sz w:val="22"/>
          <w:szCs w:val="22"/>
        </w:rPr>
        <w:t xml:space="preserve"> (Accessed: 24 April 2026).</w:t>
      </w:r>
    </w:p>
    <w:p w14:paraId="181B6E8D" w14:textId="0E8AAA58"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NICE (2024) </w:t>
      </w:r>
      <w:proofErr w:type="gramStart"/>
      <w:r w:rsidRPr="003F25FA">
        <w:rPr>
          <w:rFonts w:ascii="Arial" w:hAnsi="Arial" w:cs="Arial"/>
          <w:i/>
          <w:iCs/>
          <w:sz w:val="22"/>
          <w:szCs w:val="22"/>
        </w:rPr>
        <w:t>Cardiovascular disease</w:t>
      </w:r>
      <w:proofErr w:type="gramEnd"/>
      <w:r w:rsidRPr="003F25FA">
        <w:rPr>
          <w:rFonts w:ascii="Arial" w:hAnsi="Arial" w:cs="Arial"/>
          <w:i/>
          <w:iCs/>
          <w:sz w:val="22"/>
          <w:szCs w:val="22"/>
        </w:rPr>
        <w:t>: risk assessment and reduction, including lipid modification</w:t>
      </w:r>
      <w:r w:rsidRPr="003F25FA">
        <w:rPr>
          <w:rFonts w:ascii="Arial" w:hAnsi="Arial" w:cs="Arial"/>
          <w:sz w:val="22"/>
          <w:szCs w:val="22"/>
        </w:rPr>
        <w:t>. [NG238]. London: NICE.</w:t>
      </w:r>
    </w:p>
    <w:p w14:paraId="6F6CD902" w14:textId="6C9BF288"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Office for Health Improvement and Disparities (2025) </w:t>
      </w:r>
      <w:r w:rsidRPr="003F25FA">
        <w:rPr>
          <w:rFonts w:ascii="Arial" w:hAnsi="Arial" w:cs="Arial"/>
          <w:i/>
          <w:iCs/>
          <w:sz w:val="22"/>
          <w:szCs w:val="22"/>
        </w:rPr>
        <w:t>Public Health Fingertips: Cardiovascular Disease Profile</w:t>
      </w:r>
      <w:r w:rsidRPr="003F25FA">
        <w:rPr>
          <w:rFonts w:ascii="Arial" w:hAnsi="Arial" w:cs="Arial"/>
          <w:sz w:val="22"/>
          <w:szCs w:val="22"/>
        </w:rPr>
        <w:t xml:space="preserve">. [Online]. Available at: </w:t>
      </w:r>
      <w:hyperlink r:id="rId32" w:tgtFrame="_blank" w:history="1">
        <w:r w:rsidRPr="003F25FA">
          <w:rPr>
            <w:rStyle w:val="Hyperlink"/>
            <w:rFonts w:ascii="Arial" w:hAnsi="Arial" w:cs="Arial"/>
            <w:sz w:val="22"/>
            <w:szCs w:val="22"/>
          </w:rPr>
          <w:t>https://fingertips.phe.org.uk/profile/cardiovascular-disease</w:t>
        </w:r>
      </w:hyperlink>
      <w:r w:rsidRPr="003F25FA">
        <w:rPr>
          <w:rFonts w:ascii="Arial" w:hAnsi="Arial" w:cs="Arial"/>
          <w:sz w:val="22"/>
          <w:szCs w:val="22"/>
        </w:rPr>
        <w:t xml:space="preserve"> (Accessed: 24 April 2026).</w:t>
      </w:r>
    </w:p>
    <w:p w14:paraId="3DCE0E00" w14:textId="21217F3B"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Office for National Statistics (2025) </w:t>
      </w:r>
      <w:r w:rsidRPr="003F25FA">
        <w:rPr>
          <w:rFonts w:ascii="Arial" w:hAnsi="Arial" w:cs="Arial"/>
          <w:i/>
          <w:iCs/>
          <w:sz w:val="22"/>
          <w:szCs w:val="22"/>
        </w:rPr>
        <w:t>Voices of our ageing population: Living longer lives</w:t>
      </w:r>
      <w:r w:rsidRPr="003F25FA">
        <w:rPr>
          <w:rFonts w:ascii="Arial" w:hAnsi="Arial" w:cs="Arial"/>
          <w:sz w:val="22"/>
          <w:szCs w:val="22"/>
        </w:rPr>
        <w:t xml:space="preserve">. [Online]. Available at: </w:t>
      </w:r>
      <w:hyperlink r:id="rId33" w:tgtFrame="_blank" w:history="1">
        <w:r w:rsidRPr="003F25FA">
          <w:rPr>
            <w:rStyle w:val="Hyperlink"/>
            <w:rFonts w:ascii="Arial" w:hAnsi="Arial" w:cs="Arial"/>
            <w:sz w:val="22"/>
            <w:szCs w:val="22"/>
          </w:rPr>
          <w:t>https://www.ons.gov.uk/peoplepopulationandcommunity/ageing/2025</w:t>
        </w:r>
      </w:hyperlink>
      <w:r w:rsidRPr="003F25FA">
        <w:rPr>
          <w:rFonts w:ascii="Arial" w:hAnsi="Arial" w:cs="Arial"/>
          <w:sz w:val="22"/>
          <w:szCs w:val="22"/>
        </w:rPr>
        <w:t xml:space="preserve"> (Accessed: 24 April 2026).</w:t>
      </w:r>
    </w:p>
    <w:p w14:paraId="24FBDB9C" w14:textId="78CA14D5"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Office for National Statistics (2025) </w:t>
      </w:r>
      <w:r w:rsidRPr="003F25FA">
        <w:rPr>
          <w:rFonts w:ascii="Arial" w:hAnsi="Arial" w:cs="Arial"/>
          <w:i/>
          <w:iCs/>
          <w:sz w:val="22"/>
          <w:szCs w:val="22"/>
        </w:rPr>
        <w:t>Health state life expectancy by local area, UK: 2022 to 2024</w:t>
      </w:r>
      <w:r w:rsidRPr="003F25FA">
        <w:rPr>
          <w:rFonts w:ascii="Arial" w:hAnsi="Arial" w:cs="Arial"/>
          <w:sz w:val="22"/>
          <w:szCs w:val="22"/>
        </w:rPr>
        <w:t xml:space="preserve">. [Online]. Available at: </w:t>
      </w:r>
      <w:hyperlink r:id="rId34" w:tgtFrame="_blank" w:history="1">
        <w:r w:rsidRPr="003F25FA">
          <w:rPr>
            <w:rStyle w:val="Hyperlink"/>
            <w:rFonts w:ascii="Arial" w:hAnsi="Arial" w:cs="Arial"/>
            <w:sz w:val="22"/>
            <w:szCs w:val="22"/>
          </w:rPr>
          <w:t>https://www.ons.gov.uk/health-expectancy-2025</w:t>
        </w:r>
      </w:hyperlink>
      <w:r w:rsidRPr="003F25FA">
        <w:rPr>
          <w:rFonts w:ascii="Arial" w:hAnsi="Arial" w:cs="Arial"/>
          <w:sz w:val="22"/>
          <w:szCs w:val="22"/>
        </w:rPr>
        <w:t xml:space="preserve"> (Accessed: 24 April 2026).</w:t>
      </w:r>
    </w:p>
    <w:p w14:paraId="6D24BFB1" w14:textId="5CBFC5A9"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Public Health Outcomes Framework (2025) </w:t>
      </w:r>
      <w:r w:rsidRPr="003F25FA">
        <w:rPr>
          <w:rFonts w:ascii="Arial" w:hAnsi="Arial" w:cs="Arial"/>
          <w:i/>
          <w:iCs/>
          <w:sz w:val="22"/>
          <w:szCs w:val="22"/>
        </w:rPr>
        <w:t>Tower Hamlets Borough Health Profile</w:t>
      </w:r>
      <w:r w:rsidRPr="003F25FA">
        <w:rPr>
          <w:rFonts w:ascii="Arial" w:hAnsi="Arial" w:cs="Arial"/>
          <w:sz w:val="22"/>
          <w:szCs w:val="22"/>
        </w:rPr>
        <w:t>. London: OHID.</w:t>
      </w:r>
    </w:p>
    <w:p w14:paraId="35DAE934" w14:textId="48C1AC27"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lastRenderedPageBreak/>
        <w:t xml:space="preserve">Tower Hamlets Council (2025) </w:t>
      </w:r>
      <w:r w:rsidRPr="003F25FA">
        <w:rPr>
          <w:rFonts w:ascii="Arial" w:hAnsi="Arial" w:cs="Arial"/>
          <w:i/>
          <w:iCs/>
          <w:sz w:val="22"/>
          <w:szCs w:val="22"/>
        </w:rPr>
        <w:t>Joint Strategic Needs Assessment (JSNA): Cardiovascular Disease</w:t>
      </w:r>
      <w:r w:rsidRPr="003F25FA">
        <w:rPr>
          <w:rFonts w:ascii="Arial" w:hAnsi="Arial" w:cs="Arial"/>
          <w:sz w:val="22"/>
          <w:szCs w:val="22"/>
        </w:rPr>
        <w:t xml:space="preserve">. [Online]. Available at: </w:t>
      </w:r>
      <w:hyperlink r:id="rId35" w:tgtFrame="_blank" w:history="1">
        <w:r w:rsidRPr="003F25FA">
          <w:rPr>
            <w:rStyle w:val="Hyperlink"/>
            <w:rFonts w:ascii="Arial" w:hAnsi="Arial" w:cs="Arial"/>
            <w:sz w:val="22"/>
            <w:szCs w:val="22"/>
          </w:rPr>
          <w:t>https://www.towerhamlets.gov.uk/jsna-cvd</w:t>
        </w:r>
      </w:hyperlink>
      <w:r w:rsidRPr="003F25FA">
        <w:rPr>
          <w:rFonts w:ascii="Arial" w:hAnsi="Arial" w:cs="Arial"/>
          <w:sz w:val="22"/>
          <w:szCs w:val="22"/>
        </w:rPr>
        <w:t xml:space="preserve"> (Accessed: 24 April 2026).</w:t>
      </w:r>
    </w:p>
    <w:p w14:paraId="2A314C21" w14:textId="322AC80F"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UK Health Security Agency (UKHSA) (2024) </w:t>
      </w:r>
      <w:r w:rsidRPr="003F25FA">
        <w:rPr>
          <w:rFonts w:ascii="Arial" w:hAnsi="Arial" w:cs="Arial"/>
          <w:i/>
          <w:iCs/>
          <w:sz w:val="22"/>
          <w:szCs w:val="22"/>
        </w:rPr>
        <w:t>Health Disparities Report: Seasonal Risks for the Elderly</w:t>
      </w:r>
      <w:r w:rsidRPr="003F25FA">
        <w:rPr>
          <w:rFonts w:ascii="Arial" w:hAnsi="Arial" w:cs="Arial"/>
          <w:sz w:val="22"/>
          <w:szCs w:val="22"/>
        </w:rPr>
        <w:t xml:space="preserve">. [Online]. Available at: </w:t>
      </w:r>
      <w:hyperlink r:id="rId36" w:tgtFrame="_blank" w:history="1">
        <w:r w:rsidRPr="003F25FA">
          <w:rPr>
            <w:rStyle w:val="Hyperlink"/>
            <w:rFonts w:ascii="Arial" w:hAnsi="Arial" w:cs="Arial"/>
            <w:sz w:val="22"/>
            <w:szCs w:val="22"/>
          </w:rPr>
          <w:t>https://www.gov.uk/ukhsa/disparities-2024</w:t>
        </w:r>
      </w:hyperlink>
      <w:r w:rsidRPr="003F25FA">
        <w:rPr>
          <w:rFonts w:ascii="Arial" w:hAnsi="Arial" w:cs="Arial"/>
          <w:sz w:val="22"/>
          <w:szCs w:val="22"/>
        </w:rPr>
        <w:t xml:space="preserve"> (Accessed: 24 April 2026).</w:t>
      </w:r>
    </w:p>
    <w:p w14:paraId="40425878" w14:textId="648E2AE3"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UK Health Security Agency (UKHSA) (2024) </w:t>
      </w:r>
      <w:r w:rsidRPr="003F25FA">
        <w:rPr>
          <w:rFonts w:ascii="Arial" w:hAnsi="Arial" w:cs="Arial"/>
          <w:i/>
          <w:iCs/>
          <w:sz w:val="22"/>
          <w:szCs w:val="22"/>
        </w:rPr>
        <w:t>Surveillance of Non-Communicable Diseases in Urban Environments</w:t>
      </w:r>
      <w:r w:rsidRPr="003F25FA">
        <w:rPr>
          <w:rFonts w:ascii="Arial" w:hAnsi="Arial" w:cs="Arial"/>
          <w:sz w:val="22"/>
          <w:szCs w:val="22"/>
        </w:rPr>
        <w:t xml:space="preserve">. [Online]. Available at: </w:t>
      </w:r>
      <w:hyperlink r:id="rId37" w:tgtFrame="_blank" w:history="1">
        <w:r w:rsidRPr="003F25FA">
          <w:rPr>
            <w:rStyle w:val="Hyperlink"/>
            <w:rFonts w:ascii="Arial" w:hAnsi="Arial" w:cs="Arial"/>
            <w:sz w:val="22"/>
            <w:szCs w:val="22"/>
          </w:rPr>
          <w:t>https://www.gov.uk/ukhsa/ncd-surveillance</w:t>
        </w:r>
      </w:hyperlink>
      <w:r w:rsidRPr="003F25FA">
        <w:rPr>
          <w:rFonts w:ascii="Arial" w:hAnsi="Arial" w:cs="Arial"/>
          <w:sz w:val="22"/>
          <w:szCs w:val="22"/>
        </w:rPr>
        <w:t xml:space="preserve"> (Accessed: 24 April 2026).</w:t>
      </w:r>
    </w:p>
    <w:p w14:paraId="4C48BC33" w14:textId="0E75164F"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World Health Organization (WHO) (2024) </w:t>
      </w:r>
      <w:proofErr w:type="gramStart"/>
      <w:r w:rsidRPr="003F25FA">
        <w:rPr>
          <w:rFonts w:ascii="Arial" w:hAnsi="Arial" w:cs="Arial"/>
          <w:i/>
          <w:iCs/>
          <w:sz w:val="22"/>
          <w:szCs w:val="22"/>
        </w:rPr>
        <w:t>Cardiovascular diseases</w:t>
      </w:r>
      <w:proofErr w:type="gramEnd"/>
      <w:r w:rsidRPr="003F25FA">
        <w:rPr>
          <w:rFonts w:ascii="Arial" w:hAnsi="Arial" w:cs="Arial"/>
          <w:i/>
          <w:iCs/>
          <w:sz w:val="22"/>
          <w:szCs w:val="22"/>
        </w:rPr>
        <w:t xml:space="preserve"> (CVDs) Factsheet</w:t>
      </w:r>
      <w:r w:rsidRPr="003F25FA">
        <w:rPr>
          <w:rFonts w:ascii="Arial" w:hAnsi="Arial" w:cs="Arial"/>
          <w:sz w:val="22"/>
          <w:szCs w:val="22"/>
        </w:rPr>
        <w:t xml:space="preserve">. [Online]. Available at: </w:t>
      </w:r>
      <w:hyperlink r:id="rId38" w:tgtFrame="_blank" w:history="1">
        <w:r w:rsidRPr="003F25FA">
          <w:rPr>
            <w:rStyle w:val="Hyperlink"/>
            <w:rFonts w:ascii="Arial" w:hAnsi="Arial" w:cs="Arial"/>
            <w:sz w:val="22"/>
            <w:szCs w:val="22"/>
          </w:rPr>
          <w:t>https://www.who.int/news-room/fact-sheets/detail/cardiovascular-diseases-(cvds)</w:t>
        </w:r>
      </w:hyperlink>
      <w:r w:rsidRPr="003F25FA">
        <w:rPr>
          <w:rFonts w:ascii="Arial" w:hAnsi="Arial" w:cs="Arial"/>
          <w:sz w:val="22"/>
          <w:szCs w:val="22"/>
        </w:rPr>
        <w:t xml:space="preserve"> (Accessed: 24 April 2026).</w:t>
      </w:r>
    </w:p>
    <w:p w14:paraId="5836A92C" w14:textId="22E3AE70"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Unilever (2024) </w:t>
      </w:r>
      <w:r w:rsidRPr="003F25FA">
        <w:rPr>
          <w:rFonts w:ascii="Arial" w:hAnsi="Arial" w:cs="Arial"/>
          <w:i/>
          <w:iCs/>
          <w:sz w:val="22"/>
          <w:szCs w:val="22"/>
        </w:rPr>
        <w:t>Annual Report on Nutrition and Health Trends</w:t>
      </w:r>
      <w:r w:rsidRPr="003F25FA">
        <w:rPr>
          <w:rFonts w:ascii="Arial" w:hAnsi="Arial" w:cs="Arial"/>
          <w:sz w:val="22"/>
          <w:szCs w:val="22"/>
        </w:rPr>
        <w:t xml:space="preserve">. [Online]. Available at: </w:t>
      </w:r>
      <w:hyperlink r:id="rId39" w:tgtFrame="_blank" w:history="1">
        <w:r w:rsidRPr="003F25FA">
          <w:rPr>
            <w:rStyle w:val="Hyperlink"/>
            <w:rFonts w:ascii="Arial" w:hAnsi="Arial" w:cs="Arial"/>
            <w:sz w:val="22"/>
            <w:szCs w:val="22"/>
          </w:rPr>
          <w:t>https://www.unilever.com/reports/2024</w:t>
        </w:r>
      </w:hyperlink>
      <w:r w:rsidRPr="003F25FA">
        <w:rPr>
          <w:rFonts w:ascii="Arial" w:hAnsi="Arial" w:cs="Arial"/>
          <w:sz w:val="22"/>
          <w:szCs w:val="22"/>
        </w:rPr>
        <w:t xml:space="preserve"> (Accessed: 24 April 2026).</w:t>
      </w:r>
    </w:p>
    <w:p w14:paraId="4404E822" w14:textId="3ECC9112"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 xml:space="preserve">Public Health Wales (2024) </w:t>
      </w:r>
      <w:r w:rsidRPr="003F25FA">
        <w:rPr>
          <w:rFonts w:ascii="Arial" w:hAnsi="Arial" w:cs="Arial"/>
          <w:i/>
          <w:iCs/>
          <w:sz w:val="22"/>
          <w:szCs w:val="22"/>
        </w:rPr>
        <w:t>Epidemiological methods in modern practice</w:t>
      </w:r>
      <w:r w:rsidRPr="003F25FA">
        <w:rPr>
          <w:rFonts w:ascii="Arial" w:hAnsi="Arial" w:cs="Arial"/>
          <w:sz w:val="22"/>
          <w:szCs w:val="22"/>
        </w:rPr>
        <w:t>. Cardiff: PHW.</w:t>
      </w:r>
    </w:p>
    <w:p w14:paraId="0B4A3074" w14:textId="4C010887" w:rsidR="00371FA6"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Journal of Public Health (2023) ‘Socioeconomic status and heart disease: A 10-year study’, 45(2), pp. 112-120.</w:t>
      </w:r>
    </w:p>
    <w:p w14:paraId="35A7ABC1" w14:textId="0E9BFB43" w:rsidR="00212ED5" w:rsidRPr="003F25FA" w:rsidRDefault="00371FA6" w:rsidP="003F25FA">
      <w:pPr>
        <w:spacing w:line="360" w:lineRule="auto"/>
        <w:jc w:val="both"/>
        <w:rPr>
          <w:rFonts w:ascii="Arial" w:hAnsi="Arial" w:cs="Arial"/>
          <w:sz w:val="22"/>
          <w:szCs w:val="22"/>
        </w:rPr>
      </w:pPr>
      <w:r w:rsidRPr="003F25FA">
        <w:rPr>
          <w:rFonts w:ascii="Arial" w:hAnsi="Arial" w:cs="Arial"/>
          <w:sz w:val="22"/>
          <w:szCs w:val="22"/>
        </w:rPr>
        <w:t>Lancet Public Health (2024) ‘Global trends in hypertension: 2020-2025 review’, 9(3), pp. e145-e156.</w:t>
      </w:r>
    </w:p>
    <w:sectPr w:rsidR="00212ED5" w:rsidRPr="003F25FA" w:rsidSect="004A5C3F">
      <w:footerReference w:type="default" r:id="rId40"/>
      <w:pgSz w:w="12240" w:h="15840"/>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3F231" w14:textId="77777777" w:rsidR="004A5C3F" w:rsidRDefault="004A5C3F">
    <w:pPr>
      <w:pStyle w:val="Footer"/>
      <w:jc w:val="center"/>
    </w:pPr>
  </w:p>
  <w:p w14:paraId="18AEFB80" w14:textId="77777777" w:rsidR="004A5C3F" w:rsidRDefault="004A5C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3368602"/>
      <w:docPartObj>
        <w:docPartGallery w:val="Page Numbers (Bottom of Page)"/>
        <w:docPartUnique/>
      </w:docPartObj>
    </w:sdtPr>
    <w:sdtEndPr>
      <w:rPr>
        <w:noProof/>
      </w:rPr>
    </w:sdtEndPr>
    <w:sdtContent>
      <w:p w14:paraId="0615E18C" w14:textId="77777777" w:rsidR="004A5C3F" w:rsidRDefault="004A5C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7A7ED2" w14:textId="77777777" w:rsidR="004A5C3F" w:rsidRDefault="004A5C3F">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71E43"/>
    <w:multiLevelType w:val="hybridMultilevel"/>
    <w:tmpl w:val="314A4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F30A94"/>
    <w:multiLevelType w:val="hybridMultilevel"/>
    <w:tmpl w:val="FB80E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F27847"/>
    <w:multiLevelType w:val="hybridMultilevel"/>
    <w:tmpl w:val="2CFC1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DF3EBD"/>
    <w:multiLevelType w:val="hybridMultilevel"/>
    <w:tmpl w:val="1C600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1208E9"/>
    <w:multiLevelType w:val="hybridMultilevel"/>
    <w:tmpl w:val="E78A2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062982"/>
    <w:multiLevelType w:val="hybridMultilevel"/>
    <w:tmpl w:val="200CF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121F47"/>
    <w:multiLevelType w:val="hybridMultilevel"/>
    <w:tmpl w:val="27F0A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DB4B21"/>
    <w:multiLevelType w:val="hybridMultilevel"/>
    <w:tmpl w:val="FDFE8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EF65DA"/>
    <w:multiLevelType w:val="hybridMultilevel"/>
    <w:tmpl w:val="44F01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42215D"/>
    <w:multiLevelType w:val="hybridMultilevel"/>
    <w:tmpl w:val="2B421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CE74A5"/>
    <w:multiLevelType w:val="hybridMultilevel"/>
    <w:tmpl w:val="43CC6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E123B8"/>
    <w:multiLevelType w:val="hybridMultilevel"/>
    <w:tmpl w:val="F1AC03C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F2D1965"/>
    <w:multiLevelType w:val="hybridMultilevel"/>
    <w:tmpl w:val="F7E6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DE0646"/>
    <w:multiLevelType w:val="hybridMultilevel"/>
    <w:tmpl w:val="CBB44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5B6726"/>
    <w:multiLevelType w:val="hybridMultilevel"/>
    <w:tmpl w:val="C85E4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7431D5"/>
    <w:multiLevelType w:val="hybridMultilevel"/>
    <w:tmpl w:val="CF1E5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2903E6"/>
    <w:multiLevelType w:val="hybridMultilevel"/>
    <w:tmpl w:val="859C4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E03013"/>
    <w:multiLevelType w:val="hybridMultilevel"/>
    <w:tmpl w:val="22FEC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476ECB"/>
    <w:multiLevelType w:val="hybridMultilevel"/>
    <w:tmpl w:val="5FFA93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B06E75"/>
    <w:multiLevelType w:val="hybridMultilevel"/>
    <w:tmpl w:val="A9E8C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1621DC"/>
    <w:multiLevelType w:val="hybridMultilevel"/>
    <w:tmpl w:val="6FA47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1844D1"/>
    <w:multiLevelType w:val="hybridMultilevel"/>
    <w:tmpl w:val="7B969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2B7992"/>
    <w:multiLevelType w:val="hybridMultilevel"/>
    <w:tmpl w:val="4F4C6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1960723">
    <w:abstractNumId w:val="9"/>
  </w:num>
  <w:num w:numId="2" w16cid:durableId="462702161">
    <w:abstractNumId w:val="13"/>
  </w:num>
  <w:num w:numId="3" w16cid:durableId="673805861">
    <w:abstractNumId w:val="8"/>
  </w:num>
  <w:num w:numId="4" w16cid:durableId="973828536">
    <w:abstractNumId w:val="12"/>
  </w:num>
  <w:num w:numId="5" w16cid:durableId="573781646">
    <w:abstractNumId w:val="0"/>
  </w:num>
  <w:num w:numId="6" w16cid:durableId="360132224">
    <w:abstractNumId w:val="2"/>
  </w:num>
  <w:num w:numId="7" w16cid:durableId="1532763430">
    <w:abstractNumId w:val="15"/>
  </w:num>
  <w:num w:numId="8" w16cid:durableId="1448893515">
    <w:abstractNumId w:val="16"/>
  </w:num>
  <w:num w:numId="9" w16cid:durableId="2107270134">
    <w:abstractNumId w:val="1"/>
  </w:num>
  <w:num w:numId="10" w16cid:durableId="1388726622">
    <w:abstractNumId w:val="17"/>
  </w:num>
  <w:num w:numId="11" w16cid:durableId="103350651">
    <w:abstractNumId w:val="20"/>
  </w:num>
  <w:num w:numId="12" w16cid:durableId="900939739">
    <w:abstractNumId w:val="22"/>
  </w:num>
  <w:num w:numId="13" w16cid:durableId="229654027">
    <w:abstractNumId w:val="18"/>
  </w:num>
  <w:num w:numId="14" w16cid:durableId="569074229">
    <w:abstractNumId w:val="14"/>
  </w:num>
  <w:num w:numId="15" w16cid:durableId="1828937631">
    <w:abstractNumId w:val="4"/>
  </w:num>
  <w:num w:numId="16" w16cid:durableId="803083454">
    <w:abstractNumId w:val="21"/>
  </w:num>
  <w:num w:numId="17" w16cid:durableId="331959581">
    <w:abstractNumId w:val="5"/>
  </w:num>
  <w:num w:numId="18" w16cid:durableId="448158940">
    <w:abstractNumId w:val="3"/>
  </w:num>
  <w:num w:numId="19" w16cid:durableId="1239169435">
    <w:abstractNumId w:val="6"/>
  </w:num>
  <w:num w:numId="20" w16cid:durableId="1642808966">
    <w:abstractNumId w:val="7"/>
  </w:num>
  <w:num w:numId="21" w16cid:durableId="218715988">
    <w:abstractNumId w:val="19"/>
  </w:num>
  <w:num w:numId="22" w16cid:durableId="245112455">
    <w:abstractNumId w:val="10"/>
  </w:num>
  <w:num w:numId="23" w16cid:durableId="29256119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7CB"/>
    <w:rsid w:val="00087ED3"/>
    <w:rsid w:val="000B79B9"/>
    <w:rsid w:val="000E45C8"/>
    <w:rsid w:val="001D5EF2"/>
    <w:rsid w:val="001F0B5C"/>
    <w:rsid w:val="00202417"/>
    <w:rsid w:val="00212ED5"/>
    <w:rsid w:val="002314A8"/>
    <w:rsid w:val="0026215F"/>
    <w:rsid w:val="00274459"/>
    <w:rsid w:val="002A49CE"/>
    <w:rsid w:val="00361E3B"/>
    <w:rsid w:val="00371FA6"/>
    <w:rsid w:val="003F25FA"/>
    <w:rsid w:val="003F3EB6"/>
    <w:rsid w:val="00422A73"/>
    <w:rsid w:val="004A5C3F"/>
    <w:rsid w:val="005D5FE6"/>
    <w:rsid w:val="005E77F6"/>
    <w:rsid w:val="0062038E"/>
    <w:rsid w:val="007327CB"/>
    <w:rsid w:val="00734E95"/>
    <w:rsid w:val="00774D48"/>
    <w:rsid w:val="00845CE2"/>
    <w:rsid w:val="008A077F"/>
    <w:rsid w:val="008B283E"/>
    <w:rsid w:val="009A32B5"/>
    <w:rsid w:val="00A102B1"/>
    <w:rsid w:val="00A67E45"/>
    <w:rsid w:val="00A7047A"/>
    <w:rsid w:val="00AC24F6"/>
    <w:rsid w:val="00AE2BBB"/>
    <w:rsid w:val="00C00AA2"/>
    <w:rsid w:val="00C354C0"/>
    <w:rsid w:val="00C83AC3"/>
    <w:rsid w:val="00C95F86"/>
    <w:rsid w:val="00D23218"/>
    <w:rsid w:val="00D274C1"/>
    <w:rsid w:val="00D36164"/>
    <w:rsid w:val="00D4303B"/>
    <w:rsid w:val="00D8195C"/>
    <w:rsid w:val="00DE1B1D"/>
    <w:rsid w:val="00DE7614"/>
    <w:rsid w:val="00E61295"/>
    <w:rsid w:val="00E9427E"/>
    <w:rsid w:val="00F37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CB8CD"/>
  <w15:chartTrackingRefBased/>
  <w15:docId w15:val="{52FC9CE6-57A5-4026-B1AE-064DA5DAF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C3F"/>
  </w:style>
  <w:style w:type="paragraph" w:styleId="Heading1">
    <w:name w:val="heading 1"/>
    <w:basedOn w:val="Normal"/>
    <w:next w:val="Normal"/>
    <w:link w:val="Heading1Char"/>
    <w:uiPriority w:val="9"/>
    <w:qFormat/>
    <w:rsid w:val="004A5C3F"/>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4A5C3F"/>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D36164"/>
    <w:pPr>
      <w:keepNext/>
      <w:keepLines/>
      <w:spacing w:before="160" w:after="80"/>
      <w:outlineLvl w:val="2"/>
    </w:pPr>
    <w:rPr>
      <w:rFonts w:ascii="Arial" w:eastAsiaTheme="majorEastAsia" w:hAnsi="Arial" w:cstheme="majorBidi"/>
      <w:b/>
      <w:color w:val="000000" w:themeColor="text1"/>
      <w:szCs w:val="28"/>
    </w:rPr>
  </w:style>
  <w:style w:type="paragraph" w:styleId="Heading4">
    <w:name w:val="heading 4"/>
    <w:basedOn w:val="Normal"/>
    <w:next w:val="Normal"/>
    <w:link w:val="Heading4Char"/>
    <w:uiPriority w:val="9"/>
    <w:semiHidden/>
    <w:unhideWhenUsed/>
    <w:qFormat/>
    <w:rsid w:val="007327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327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327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27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27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27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C3F"/>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4A5C3F"/>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rsid w:val="00D36164"/>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7327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327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327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27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27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27CB"/>
    <w:rPr>
      <w:rFonts w:eastAsiaTheme="majorEastAsia" w:cstheme="majorBidi"/>
      <w:color w:val="272727" w:themeColor="text1" w:themeTint="D8"/>
    </w:rPr>
  </w:style>
  <w:style w:type="paragraph" w:styleId="Title">
    <w:name w:val="Title"/>
    <w:basedOn w:val="Normal"/>
    <w:next w:val="Normal"/>
    <w:link w:val="TitleChar"/>
    <w:uiPriority w:val="10"/>
    <w:qFormat/>
    <w:rsid w:val="007327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27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27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27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27CB"/>
    <w:pPr>
      <w:spacing w:before="160"/>
      <w:jc w:val="center"/>
    </w:pPr>
    <w:rPr>
      <w:i/>
      <w:iCs/>
      <w:color w:val="404040" w:themeColor="text1" w:themeTint="BF"/>
    </w:rPr>
  </w:style>
  <w:style w:type="character" w:customStyle="1" w:styleId="QuoteChar">
    <w:name w:val="Quote Char"/>
    <w:basedOn w:val="DefaultParagraphFont"/>
    <w:link w:val="Quote"/>
    <w:uiPriority w:val="29"/>
    <w:rsid w:val="007327CB"/>
    <w:rPr>
      <w:i/>
      <w:iCs/>
      <w:color w:val="404040" w:themeColor="text1" w:themeTint="BF"/>
    </w:rPr>
  </w:style>
  <w:style w:type="paragraph" w:styleId="ListParagraph">
    <w:name w:val="List Paragraph"/>
    <w:basedOn w:val="Normal"/>
    <w:uiPriority w:val="34"/>
    <w:qFormat/>
    <w:rsid w:val="007327CB"/>
    <w:pPr>
      <w:ind w:left="720"/>
      <w:contextualSpacing/>
    </w:pPr>
  </w:style>
  <w:style w:type="character" w:styleId="IntenseEmphasis">
    <w:name w:val="Intense Emphasis"/>
    <w:basedOn w:val="DefaultParagraphFont"/>
    <w:uiPriority w:val="21"/>
    <w:qFormat/>
    <w:rsid w:val="007327CB"/>
    <w:rPr>
      <w:i/>
      <w:iCs/>
      <w:color w:val="2F5496" w:themeColor="accent1" w:themeShade="BF"/>
    </w:rPr>
  </w:style>
  <w:style w:type="paragraph" w:styleId="IntenseQuote">
    <w:name w:val="Intense Quote"/>
    <w:basedOn w:val="Normal"/>
    <w:next w:val="Normal"/>
    <w:link w:val="IntenseQuoteChar"/>
    <w:uiPriority w:val="30"/>
    <w:qFormat/>
    <w:rsid w:val="007327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327CB"/>
    <w:rPr>
      <w:i/>
      <w:iCs/>
      <w:color w:val="2F5496" w:themeColor="accent1" w:themeShade="BF"/>
    </w:rPr>
  </w:style>
  <w:style w:type="character" w:styleId="IntenseReference">
    <w:name w:val="Intense Reference"/>
    <w:basedOn w:val="DefaultParagraphFont"/>
    <w:uiPriority w:val="32"/>
    <w:qFormat/>
    <w:rsid w:val="007327CB"/>
    <w:rPr>
      <w:b/>
      <w:bCs/>
      <w:smallCaps/>
      <w:color w:val="2F5496" w:themeColor="accent1" w:themeShade="BF"/>
      <w:spacing w:val="5"/>
    </w:rPr>
  </w:style>
  <w:style w:type="table" w:styleId="TableGrid">
    <w:name w:val="Table Grid"/>
    <w:basedOn w:val="TableNormal"/>
    <w:uiPriority w:val="39"/>
    <w:rsid w:val="004A5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A5C3F"/>
    <w:pPr>
      <w:spacing w:after="200" w:line="240" w:lineRule="auto"/>
    </w:pPr>
    <w:rPr>
      <w:i/>
      <w:iCs/>
      <w:color w:val="44546A" w:themeColor="text2"/>
      <w:sz w:val="18"/>
      <w:szCs w:val="18"/>
    </w:rPr>
  </w:style>
  <w:style w:type="character" w:styleId="Hyperlink">
    <w:name w:val="Hyperlink"/>
    <w:basedOn w:val="DefaultParagraphFont"/>
    <w:uiPriority w:val="99"/>
    <w:unhideWhenUsed/>
    <w:rsid w:val="004A5C3F"/>
    <w:rPr>
      <w:color w:val="0563C1" w:themeColor="hyperlink"/>
      <w:u w:val="single"/>
    </w:rPr>
  </w:style>
  <w:style w:type="character" w:styleId="UnresolvedMention">
    <w:name w:val="Unresolved Mention"/>
    <w:basedOn w:val="DefaultParagraphFont"/>
    <w:uiPriority w:val="99"/>
    <w:semiHidden/>
    <w:unhideWhenUsed/>
    <w:rsid w:val="004A5C3F"/>
    <w:rPr>
      <w:color w:val="605E5C"/>
      <w:shd w:val="clear" w:color="auto" w:fill="E1DFDD"/>
    </w:rPr>
  </w:style>
  <w:style w:type="paragraph" w:styleId="NormalWeb">
    <w:name w:val="Normal (Web)"/>
    <w:basedOn w:val="Normal"/>
    <w:uiPriority w:val="99"/>
    <w:semiHidden/>
    <w:unhideWhenUsed/>
    <w:rsid w:val="004A5C3F"/>
    <w:rPr>
      <w:rFonts w:ascii="Times New Roman" w:hAnsi="Times New Roman" w:cs="Times New Roman"/>
    </w:rPr>
  </w:style>
  <w:style w:type="paragraph" w:styleId="TOCHeading">
    <w:name w:val="TOC Heading"/>
    <w:basedOn w:val="Heading1"/>
    <w:next w:val="Normal"/>
    <w:uiPriority w:val="39"/>
    <w:unhideWhenUsed/>
    <w:qFormat/>
    <w:rsid w:val="004A5C3F"/>
    <w:pPr>
      <w:spacing w:before="240" w:after="0" w:line="259" w:lineRule="auto"/>
      <w:outlineLvl w:val="9"/>
    </w:pPr>
    <w:rPr>
      <w:kern w:val="0"/>
      <w:szCs w:val="32"/>
      <w14:ligatures w14:val="none"/>
    </w:rPr>
  </w:style>
  <w:style w:type="paragraph" w:styleId="TOC1">
    <w:name w:val="toc 1"/>
    <w:basedOn w:val="Normal"/>
    <w:next w:val="Normal"/>
    <w:autoRedefine/>
    <w:uiPriority w:val="39"/>
    <w:unhideWhenUsed/>
    <w:rsid w:val="004A5C3F"/>
    <w:pPr>
      <w:spacing w:after="100"/>
    </w:pPr>
  </w:style>
  <w:style w:type="paragraph" w:styleId="TOC2">
    <w:name w:val="toc 2"/>
    <w:basedOn w:val="Normal"/>
    <w:next w:val="Normal"/>
    <w:autoRedefine/>
    <w:uiPriority w:val="39"/>
    <w:unhideWhenUsed/>
    <w:rsid w:val="004A5C3F"/>
    <w:pPr>
      <w:spacing w:after="100"/>
      <w:ind w:left="240"/>
    </w:pPr>
  </w:style>
  <w:style w:type="paragraph" w:styleId="TableofFigures">
    <w:name w:val="table of figures"/>
    <w:basedOn w:val="Normal"/>
    <w:next w:val="Normal"/>
    <w:uiPriority w:val="99"/>
    <w:unhideWhenUsed/>
    <w:rsid w:val="004A5C3F"/>
    <w:pPr>
      <w:spacing w:after="0"/>
    </w:pPr>
  </w:style>
  <w:style w:type="paragraph" w:styleId="Header">
    <w:name w:val="header"/>
    <w:basedOn w:val="Normal"/>
    <w:link w:val="HeaderChar"/>
    <w:uiPriority w:val="99"/>
    <w:unhideWhenUsed/>
    <w:rsid w:val="004A5C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5C3F"/>
  </w:style>
  <w:style w:type="paragraph" w:styleId="Footer">
    <w:name w:val="footer"/>
    <w:basedOn w:val="Normal"/>
    <w:link w:val="FooterChar"/>
    <w:uiPriority w:val="99"/>
    <w:unhideWhenUsed/>
    <w:rsid w:val="004A5C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5C3F"/>
  </w:style>
  <w:style w:type="paragraph" w:styleId="TOC3">
    <w:name w:val="toc 3"/>
    <w:basedOn w:val="Normal"/>
    <w:next w:val="Normal"/>
    <w:autoRedefine/>
    <w:uiPriority w:val="39"/>
    <w:unhideWhenUsed/>
    <w:rsid w:val="009A32B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google.com/search?q=https://www.gov.uk/government/publications/10-year-health-plan" TargetMode="External"/><Relationship Id="rId26" Type="http://schemas.openxmlformats.org/officeDocument/2006/relationships/hyperlink" Target="https://www.google.com/search?q=https://www.gov.uk/government/publications/10-year-health-plan" TargetMode="External"/><Relationship Id="rId39" Type="http://schemas.openxmlformats.org/officeDocument/2006/relationships/hyperlink" Target="https://www.google.com/search?q=https://www.unilever.com/reports/2024" TargetMode="External"/><Relationship Id="rId21" Type="http://schemas.openxmlformats.org/officeDocument/2006/relationships/hyperlink" Target="https://www.google.com/search?q=https://www.ons.gov.uk/peoplepopulationandcommunity/ageing/2025" TargetMode="External"/><Relationship Id="rId34" Type="http://schemas.openxmlformats.org/officeDocument/2006/relationships/hyperlink" Target="https://www.google.com/search?q=https://www.ons.gov.uk/health-expectancy-2025" TargetMode="External"/><Relationship Id="rId42" Type="http://schemas.openxmlformats.org/officeDocument/2006/relationships/theme" Target="theme/theme1.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ubas.edu.pk/lahore-ubas-offers-a-promising-career-with-bs-public-health/" TargetMode="External"/><Relationship Id="rId20" Type="http://schemas.openxmlformats.org/officeDocument/2006/relationships/hyperlink" Target="https://www.google.com/search?q=https://www.england.nhs.uk/about/equality/core20plus5/" TargetMode="External"/><Relationship Id="rId29" Type="http://schemas.openxmlformats.org/officeDocument/2006/relationships/hyperlink" Target="https://www.google.com/search?q=https://www.kingsfund.org.uk/publications/multimorbidity-2024" TargetMode="External"/><Relationship Id="rId41" Type="http://schemas.openxmlformats.org/officeDocument/2006/relationships/fontTable" Target="fontTable.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hyperlink" Target="https://www.events.england.nhs.uk/core20plus5---reducing-healthcare-inequalities-within-clinical-areas-of-focus" TargetMode="External"/><Relationship Id="rId24" Type="http://schemas.openxmlformats.org/officeDocument/2006/relationships/hyperlink" Target="https://www.google.com/search?q=https://www.ageuk.org.uk/reports-2025" TargetMode="External"/><Relationship Id="rId32" Type="http://schemas.openxmlformats.org/officeDocument/2006/relationships/hyperlink" Target="https://www.google.com/search?q=https://fingertips.phe.org.uk/profile/cardiovascular-disease" TargetMode="External"/><Relationship Id="rId37" Type="http://schemas.openxmlformats.org/officeDocument/2006/relationships/hyperlink" Target="https://www.google.com/search?q=https://www.gov.uk/ukhsa/ncd-surveillance" TargetMode="External"/><Relationship Id="rId40" Type="http://schemas.openxmlformats.org/officeDocument/2006/relationships/footer" Target="footer2.xml"/><Relationship Id="rId5" Type="http://schemas.openxmlformats.org/officeDocument/2006/relationships/image" Target="media/image1.png"/><Relationship Id="rId15" Type="http://schemas.openxmlformats.org/officeDocument/2006/relationships/image" Target="media/image4.png"/><Relationship Id="rId23" Type="http://schemas.openxmlformats.org/officeDocument/2006/relationships/hyperlink" Target="https://www.google.com/search?q=https://www.gov.uk/ukhsa/disparities-2024" TargetMode="External"/><Relationship Id="rId28" Type="http://schemas.openxmlformats.org/officeDocument/2006/relationships/hyperlink" Target="https://www.google.com/search?q=https://www.health.org.uk/reports/ageing-population-2024" TargetMode="External"/><Relationship Id="rId36" Type="http://schemas.openxmlformats.org/officeDocument/2006/relationships/hyperlink" Target="https://www.google.com/search?q=https://www.gov.uk/ukhsa/disparities-2024" TargetMode="External"/><Relationship Id="rId10" Type="http://schemas.openxmlformats.org/officeDocument/2006/relationships/image" Target="media/image2.jpeg"/><Relationship Id="rId19" Type="http://schemas.openxmlformats.org/officeDocument/2006/relationships/hyperlink" Target="https://www.google.com/search?q=https://www.health.org.uk/reports/ageing-population-2024" TargetMode="External"/><Relationship Id="rId31" Type="http://schemas.openxmlformats.org/officeDocument/2006/relationships/hyperlink" Target="https://www.google.com/search?q=https://www.england.nhs.uk/about/equality/core20plus5/" TargetMode="External"/><Relationship Id="rId4" Type="http://schemas.openxmlformats.org/officeDocument/2006/relationships/webSettings" Target="webSettings.xml"/><Relationship Id="rId9" Type="http://schemas.openxmlformats.org/officeDocument/2006/relationships/hyperlink" Target="http://GOV.UK" TargetMode="External"/><Relationship Id="rId14" Type="http://schemas.openxmlformats.org/officeDocument/2006/relationships/hyperlink" Target="https://www.ageuk.org.uk/siteassets/documents/reports-and-publications/reports-and-briefings/health--wellbeing/state-of-health-and-care/state-of-health-care-of-older-people-in-england-2025.pdf" TargetMode="External"/><Relationship Id="rId22" Type="http://schemas.openxmlformats.org/officeDocument/2006/relationships/hyperlink" Target="https://www.google.com/search?q=https://www.ons.gov.uk/wellbeing/bulletins/2025" TargetMode="External"/><Relationship Id="rId27" Type="http://schemas.openxmlformats.org/officeDocument/2006/relationships/hyperlink" Target="https://www.google.com/search?q=https://www.london.gov.uk/reports/air-quality-2024" TargetMode="External"/><Relationship Id="rId30" Type="http://schemas.openxmlformats.org/officeDocument/2006/relationships/hyperlink" Target="https://www.google.com/search?q=https://digital.nhs.uk/data-and-information/publications/statistical/quality-and-outcomes-framework" TargetMode="External"/><Relationship Id="rId35" Type="http://schemas.openxmlformats.org/officeDocument/2006/relationships/hyperlink" Target="https://www.google.com/search?q=https://www.towerhamlets.gov.uk/jsna-cvd" TargetMode="External"/><Relationship Id="rId8" Type="http://schemas.openxmlformats.org/officeDocument/2006/relationships/hyperlink" Target="http://GOV.UK" TargetMode="External"/><Relationship Id="rId3" Type="http://schemas.openxmlformats.org/officeDocument/2006/relationships/settings" Target="settings.xml"/><Relationship Id="rId12" Type="http://schemas.openxmlformats.org/officeDocument/2006/relationships/hyperlink" Target="http://GOV.UK" TargetMode="External"/><Relationship Id="rId17" Type="http://schemas.openxmlformats.org/officeDocument/2006/relationships/hyperlink" Target="https://www.google.com/search?q=https://www.ageuk.org.uk/reports-2025" TargetMode="External"/><Relationship Id="rId25" Type="http://schemas.openxmlformats.org/officeDocument/2006/relationships/hyperlink" Target="https://www.google.com/search?q=https://www.bhf.org.uk/stats-2025" TargetMode="External"/><Relationship Id="rId33" Type="http://schemas.openxmlformats.org/officeDocument/2006/relationships/hyperlink" Target="https://www.google.com/search?q=https://www.ons.gov.uk/peoplepopulationandcommunity/ageing/2025" TargetMode="External"/><Relationship Id="rId38" Type="http://schemas.openxmlformats.org/officeDocument/2006/relationships/hyperlink" Target="https://www.who.int/news-room/fact-sheets/detail/cardiovascular-diseases-(cv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15</Pages>
  <Words>4277</Words>
  <Characters>24382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RIMON MIAH</dc:creator>
  <cp:keywords/>
  <dc:description/>
  <cp:lastModifiedBy>Jashim Uddin</cp:lastModifiedBy>
  <cp:revision>44</cp:revision>
  <dcterms:created xsi:type="dcterms:W3CDTF">2026-04-24T16:52:00Z</dcterms:created>
  <dcterms:modified xsi:type="dcterms:W3CDTF">2026-04-24T18:12:00Z</dcterms:modified>
</cp:coreProperties>
</file>