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B98ACA" w14:textId="77777777" w:rsidR="00AE030E" w:rsidRDefault="00AE030E" w:rsidP="00AE030E">
      <w:pPr>
        <w:jc w:val="center"/>
        <w:rPr>
          <w:rFonts w:ascii="Arial" w:hAnsi="Arial" w:cs="Arial"/>
          <w:b/>
          <w:bCs/>
          <w:sz w:val="28"/>
          <w:szCs w:val="28"/>
        </w:rPr>
      </w:pPr>
    </w:p>
    <w:p w14:paraId="030E5EE6" w14:textId="77777777" w:rsidR="00AE030E" w:rsidRDefault="00AE030E" w:rsidP="00AE030E">
      <w:pPr>
        <w:jc w:val="center"/>
        <w:rPr>
          <w:rFonts w:ascii="Arial" w:hAnsi="Arial" w:cs="Arial"/>
          <w:b/>
          <w:bCs/>
          <w:sz w:val="28"/>
          <w:szCs w:val="28"/>
        </w:rPr>
      </w:pPr>
      <w:r w:rsidRPr="00F4799C">
        <w:rPr>
          <w:rFonts w:asciiTheme="minorBidi" w:hAnsiTheme="minorBidi"/>
          <w:noProof/>
        </w:rPr>
        <w:drawing>
          <wp:inline distT="0" distB="0" distL="0" distR="0" wp14:anchorId="3CE13F95" wp14:editId="28511E15">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D9FA456" w14:textId="77777777" w:rsidR="00AE030E" w:rsidRDefault="00AE030E" w:rsidP="00AE030E">
      <w:pPr>
        <w:rPr>
          <w:rFonts w:ascii="Arial" w:hAnsi="Arial" w:cs="Arial"/>
          <w:b/>
          <w:bCs/>
          <w:sz w:val="28"/>
          <w:szCs w:val="28"/>
        </w:rPr>
      </w:pPr>
    </w:p>
    <w:p w14:paraId="10703104" w14:textId="77777777" w:rsidR="00AE030E" w:rsidRPr="005D42F5" w:rsidRDefault="00AE030E" w:rsidP="00AE030E">
      <w:pPr>
        <w:jc w:val="center"/>
        <w:rPr>
          <w:rFonts w:ascii="Arial" w:hAnsi="Arial" w:cs="Arial"/>
          <w:b/>
          <w:bCs/>
          <w:sz w:val="28"/>
          <w:szCs w:val="28"/>
        </w:rPr>
      </w:pPr>
      <w:r w:rsidRPr="005D42F5">
        <w:rPr>
          <w:rFonts w:ascii="Arial" w:hAnsi="Arial" w:cs="Arial"/>
          <w:b/>
          <w:bCs/>
          <w:sz w:val="28"/>
          <w:szCs w:val="28"/>
        </w:rPr>
        <w:t xml:space="preserve">Student </w:t>
      </w:r>
      <w:proofErr w:type="gramStart"/>
      <w:r w:rsidRPr="005D42F5">
        <w:rPr>
          <w:rFonts w:ascii="Arial" w:hAnsi="Arial" w:cs="Arial"/>
          <w:b/>
          <w:bCs/>
          <w:sz w:val="28"/>
          <w:szCs w:val="28"/>
        </w:rPr>
        <w:t>Name</w:t>
      </w:r>
      <w:r>
        <w:rPr>
          <w:rFonts w:ascii="Arial" w:hAnsi="Arial" w:cs="Arial"/>
          <w:b/>
          <w:bCs/>
          <w:sz w:val="28"/>
          <w:szCs w:val="28"/>
        </w:rPr>
        <w:t xml:space="preserve"> </w:t>
      </w:r>
      <w:r w:rsidRPr="005D42F5">
        <w:rPr>
          <w:rFonts w:ascii="Arial" w:hAnsi="Arial" w:cs="Arial"/>
          <w:b/>
          <w:bCs/>
          <w:sz w:val="28"/>
          <w:szCs w:val="28"/>
        </w:rPr>
        <w:t>:</w:t>
      </w:r>
      <w:proofErr w:type="gramEnd"/>
      <w:r>
        <w:rPr>
          <w:rFonts w:ascii="Arial" w:hAnsi="Arial" w:cs="Arial"/>
          <w:b/>
          <w:bCs/>
          <w:sz w:val="28"/>
          <w:szCs w:val="28"/>
        </w:rPr>
        <w:t xml:space="preserve"> Yaxesh </w:t>
      </w:r>
      <w:proofErr w:type="spellStart"/>
      <w:r>
        <w:rPr>
          <w:rFonts w:ascii="Arial" w:hAnsi="Arial" w:cs="Arial"/>
          <w:b/>
          <w:bCs/>
          <w:sz w:val="28"/>
          <w:szCs w:val="28"/>
        </w:rPr>
        <w:t>Nimeshbhai</w:t>
      </w:r>
      <w:proofErr w:type="spellEnd"/>
      <w:r>
        <w:rPr>
          <w:rFonts w:ascii="Arial" w:hAnsi="Arial" w:cs="Arial"/>
          <w:b/>
          <w:bCs/>
          <w:sz w:val="28"/>
          <w:szCs w:val="28"/>
        </w:rPr>
        <w:t xml:space="preserve"> Ghoghari</w:t>
      </w:r>
    </w:p>
    <w:p w14:paraId="3B151BA7" w14:textId="77777777" w:rsidR="00AE030E" w:rsidRPr="005D42F5" w:rsidRDefault="00AE030E" w:rsidP="00AE030E">
      <w:pPr>
        <w:jc w:val="center"/>
        <w:rPr>
          <w:rFonts w:ascii="Arial" w:hAnsi="Arial" w:cs="Arial"/>
          <w:b/>
          <w:bCs/>
          <w:sz w:val="28"/>
          <w:szCs w:val="28"/>
        </w:rPr>
      </w:pPr>
    </w:p>
    <w:p w14:paraId="33D2AE29" w14:textId="77777777" w:rsidR="00AE030E" w:rsidRPr="00234DCC" w:rsidRDefault="00AE030E" w:rsidP="00AE030E">
      <w:pPr>
        <w:jc w:val="center"/>
        <w:rPr>
          <w:rFonts w:ascii="Arial" w:hAnsi="Arial" w:cs="Arial"/>
          <w:b/>
          <w:bCs/>
          <w:sz w:val="28"/>
          <w:szCs w:val="28"/>
        </w:rPr>
      </w:pPr>
      <w:r w:rsidRPr="005D42F5">
        <w:rPr>
          <w:rFonts w:ascii="Arial" w:hAnsi="Arial" w:cs="Arial"/>
          <w:b/>
          <w:bCs/>
          <w:sz w:val="28"/>
          <w:szCs w:val="28"/>
        </w:rPr>
        <w:t xml:space="preserve">Student </w:t>
      </w:r>
      <w:proofErr w:type="gramStart"/>
      <w:r w:rsidRPr="005D42F5">
        <w:rPr>
          <w:rFonts w:ascii="Arial" w:hAnsi="Arial" w:cs="Arial"/>
          <w:b/>
          <w:bCs/>
          <w:sz w:val="28"/>
          <w:szCs w:val="28"/>
        </w:rPr>
        <w:t>ID</w:t>
      </w:r>
      <w:r>
        <w:rPr>
          <w:rFonts w:ascii="Arial" w:hAnsi="Arial" w:cs="Arial"/>
          <w:b/>
          <w:bCs/>
          <w:sz w:val="28"/>
          <w:szCs w:val="28"/>
        </w:rPr>
        <w:t xml:space="preserve"> </w:t>
      </w:r>
      <w:r w:rsidRPr="005D42F5">
        <w:rPr>
          <w:rFonts w:ascii="Arial" w:hAnsi="Arial" w:cs="Arial"/>
          <w:b/>
          <w:bCs/>
          <w:sz w:val="28"/>
          <w:szCs w:val="28"/>
        </w:rPr>
        <w:t>:</w:t>
      </w:r>
      <w:proofErr w:type="gramEnd"/>
      <w:r>
        <w:rPr>
          <w:rFonts w:ascii="Arial" w:hAnsi="Arial" w:cs="Arial"/>
          <w:b/>
          <w:bCs/>
          <w:sz w:val="28"/>
          <w:szCs w:val="28"/>
        </w:rPr>
        <w:t xml:space="preserve"> 2532567</w:t>
      </w:r>
    </w:p>
    <w:p w14:paraId="3470223A" w14:textId="77777777" w:rsidR="00AE030E" w:rsidRPr="005D42F5" w:rsidRDefault="00AE030E" w:rsidP="00AE030E">
      <w:pPr>
        <w:jc w:val="center"/>
        <w:rPr>
          <w:rFonts w:ascii="Arial" w:hAnsi="Arial" w:cs="Arial"/>
          <w:sz w:val="28"/>
          <w:szCs w:val="28"/>
        </w:rPr>
      </w:pPr>
    </w:p>
    <w:p w14:paraId="4CDDE1E9" w14:textId="4BAF3B81" w:rsidR="00AE030E" w:rsidRPr="005D42F5" w:rsidRDefault="00AE030E" w:rsidP="00AE030E">
      <w:pPr>
        <w:jc w:val="center"/>
        <w:rPr>
          <w:rFonts w:ascii="Arial" w:hAnsi="Arial" w:cs="Arial"/>
          <w:b/>
          <w:bCs/>
          <w:sz w:val="28"/>
          <w:szCs w:val="28"/>
        </w:rPr>
      </w:pPr>
      <w:r w:rsidRPr="005D42F5">
        <w:rPr>
          <w:rFonts w:ascii="Arial" w:hAnsi="Arial" w:cs="Arial"/>
          <w:b/>
          <w:bCs/>
          <w:sz w:val="28"/>
          <w:szCs w:val="28"/>
        </w:rPr>
        <w:t xml:space="preserve">Module </w:t>
      </w:r>
      <w:proofErr w:type="gramStart"/>
      <w:r w:rsidRPr="005D42F5">
        <w:rPr>
          <w:rFonts w:ascii="Arial" w:hAnsi="Arial" w:cs="Arial"/>
          <w:b/>
          <w:bCs/>
          <w:sz w:val="28"/>
          <w:szCs w:val="28"/>
        </w:rPr>
        <w:t>Name</w:t>
      </w:r>
      <w:r>
        <w:rPr>
          <w:rFonts w:ascii="Arial" w:hAnsi="Arial" w:cs="Arial"/>
          <w:b/>
          <w:bCs/>
          <w:sz w:val="28"/>
          <w:szCs w:val="28"/>
        </w:rPr>
        <w:t xml:space="preserve"> </w:t>
      </w:r>
      <w:r w:rsidRPr="005D42F5">
        <w:rPr>
          <w:rFonts w:ascii="Arial" w:hAnsi="Arial" w:cs="Arial"/>
          <w:b/>
          <w:bCs/>
          <w:sz w:val="28"/>
          <w:szCs w:val="28"/>
        </w:rPr>
        <w:t>:</w:t>
      </w:r>
      <w:proofErr w:type="gramEnd"/>
      <w:r w:rsidRPr="005D42F5">
        <w:rPr>
          <w:rFonts w:ascii="Arial" w:hAnsi="Arial" w:cs="Arial"/>
          <w:b/>
          <w:bCs/>
          <w:sz w:val="28"/>
          <w:szCs w:val="28"/>
        </w:rPr>
        <w:t xml:space="preserve"> </w:t>
      </w:r>
      <w:r w:rsidR="00F30A47">
        <w:rPr>
          <w:rFonts w:ascii="Arial" w:hAnsi="Arial" w:cs="Arial"/>
          <w:b/>
          <w:bCs/>
          <w:sz w:val="28"/>
          <w:szCs w:val="28"/>
        </w:rPr>
        <w:t>Financial</w:t>
      </w:r>
      <w:r w:rsidRPr="005D42F5">
        <w:rPr>
          <w:rFonts w:ascii="Arial" w:hAnsi="Arial" w:cs="Arial"/>
          <w:b/>
          <w:bCs/>
          <w:sz w:val="28"/>
          <w:szCs w:val="28"/>
        </w:rPr>
        <w:t xml:space="preserve"> Management</w:t>
      </w:r>
    </w:p>
    <w:p w14:paraId="7730957D" w14:textId="77777777" w:rsidR="00AE030E" w:rsidRPr="005D42F5" w:rsidRDefault="00AE030E" w:rsidP="00AE030E">
      <w:pPr>
        <w:jc w:val="center"/>
        <w:rPr>
          <w:rFonts w:ascii="Arial" w:hAnsi="Arial" w:cs="Arial"/>
          <w:b/>
          <w:bCs/>
          <w:sz w:val="28"/>
          <w:szCs w:val="28"/>
        </w:rPr>
      </w:pPr>
    </w:p>
    <w:p w14:paraId="1DE3C131" w14:textId="53A7F9F6" w:rsidR="00AE030E" w:rsidRPr="005D42F5" w:rsidRDefault="00AE030E" w:rsidP="00AE030E">
      <w:pPr>
        <w:jc w:val="center"/>
        <w:rPr>
          <w:rFonts w:ascii="Arial" w:hAnsi="Arial" w:cs="Arial"/>
          <w:b/>
          <w:bCs/>
          <w:sz w:val="28"/>
          <w:szCs w:val="28"/>
        </w:rPr>
      </w:pPr>
      <w:r w:rsidRPr="005D42F5">
        <w:rPr>
          <w:rFonts w:ascii="Arial" w:hAnsi="Arial" w:cs="Arial"/>
          <w:b/>
          <w:bCs/>
          <w:sz w:val="28"/>
          <w:szCs w:val="28"/>
        </w:rPr>
        <w:t xml:space="preserve">Module </w:t>
      </w:r>
      <w:proofErr w:type="gramStart"/>
      <w:r w:rsidRPr="005D42F5">
        <w:rPr>
          <w:rFonts w:ascii="Arial" w:hAnsi="Arial" w:cs="Arial"/>
          <w:b/>
          <w:bCs/>
          <w:sz w:val="28"/>
          <w:szCs w:val="28"/>
        </w:rPr>
        <w:t>Code</w:t>
      </w:r>
      <w:r>
        <w:rPr>
          <w:rFonts w:ascii="Arial" w:hAnsi="Arial" w:cs="Arial"/>
          <w:b/>
          <w:bCs/>
          <w:sz w:val="28"/>
          <w:szCs w:val="28"/>
        </w:rPr>
        <w:t xml:space="preserve"> </w:t>
      </w:r>
      <w:r w:rsidRPr="005D42F5">
        <w:rPr>
          <w:rFonts w:ascii="Arial" w:hAnsi="Arial" w:cs="Arial"/>
          <w:b/>
          <w:bCs/>
          <w:sz w:val="28"/>
          <w:szCs w:val="28"/>
        </w:rPr>
        <w:t>:</w:t>
      </w:r>
      <w:proofErr w:type="gramEnd"/>
      <w:r w:rsidRPr="005D42F5">
        <w:rPr>
          <w:rFonts w:ascii="Arial" w:hAnsi="Arial" w:cs="Arial"/>
          <w:b/>
          <w:bCs/>
          <w:sz w:val="28"/>
          <w:szCs w:val="28"/>
        </w:rPr>
        <w:t xml:space="preserve"> LCMB70</w:t>
      </w:r>
      <w:r w:rsidR="00F30A47">
        <w:rPr>
          <w:rFonts w:ascii="Arial" w:hAnsi="Arial" w:cs="Arial"/>
          <w:b/>
          <w:bCs/>
          <w:sz w:val="28"/>
          <w:szCs w:val="28"/>
        </w:rPr>
        <w:t>02</w:t>
      </w:r>
    </w:p>
    <w:p w14:paraId="4577341D" w14:textId="77777777" w:rsidR="00AE030E" w:rsidRPr="005D42F5" w:rsidRDefault="00AE030E" w:rsidP="00AE030E">
      <w:pPr>
        <w:rPr>
          <w:rFonts w:ascii="Arial" w:hAnsi="Arial" w:cs="Arial"/>
          <w:b/>
          <w:bCs/>
          <w:sz w:val="28"/>
          <w:szCs w:val="28"/>
        </w:rPr>
      </w:pPr>
    </w:p>
    <w:p w14:paraId="09172909" w14:textId="4CF3421B" w:rsidR="00AE030E" w:rsidRDefault="00AE030E" w:rsidP="00AE030E">
      <w:pPr>
        <w:jc w:val="center"/>
        <w:rPr>
          <w:rFonts w:ascii="Arial" w:hAnsi="Arial" w:cs="Arial"/>
          <w:b/>
          <w:bCs/>
          <w:sz w:val="28"/>
          <w:szCs w:val="28"/>
        </w:rPr>
      </w:pPr>
      <w:r w:rsidRPr="005D42F5">
        <w:rPr>
          <w:rFonts w:ascii="Arial" w:hAnsi="Arial" w:cs="Arial"/>
          <w:b/>
          <w:bCs/>
          <w:sz w:val="28"/>
          <w:szCs w:val="28"/>
        </w:rPr>
        <w:t xml:space="preserve">Lecturer’s </w:t>
      </w:r>
      <w:proofErr w:type="gramStart"/>
      <w:r w:rsidRPr="005D42F5">
        <w:rPr>
          <w:rFonts w:ascii="Arial" w:hAnsi="Arial" w:cs="Arial"/>
          <w:b/>
          <w:bCs/>
          <w:sz w:val="28"/>
          <w:szCs w:val="28"/>
        </w:rPr>
        <w:t>Name</w:t>
      </w:r>
      <w:r>
        <w:rPr>
          <w:rFonts w:ascii="Arial" w:hAnsi="Arial" w:cs="Arial"/>
          <w:b/>
          <w:bCs/>
          <w:sz w:val="28"/>
          <w:szCs w:val="28"/>
        </w:rPr>
        <w:t xml:space="preserve"> </w:t>
      </w:r>
      <w:r w:rsidRPr="005D42F5">
        <w:rPr>
          <w:rFonts w:ascii="Arial" w:hAnsi="Arial" w:cs="Arial"/>
          <w:b/>
          <w:bCs/>
          <w:sz w:val="28"/>
          <w:szCs w:val="28"/>
        </w:rPr>
        <w:t>:</w:t>
      </w:r>
      <w:proofErr w:type="gramEnd"/>
      <w:r>
        <w:rPr>
          <w:rFonts w:ascii="Arial" w:hAnsi="Arial" w:cs="Arial"/>
          <w:b/>
          <w:bCs/>
          <w:sz w:val="28"/>
          <w:szCs w:val="28"/>
        </w:rPr>
        <w:t xml:space="preserve"> </w:t>
      </w:r>
      <w:r w:rsidR="00F30A47">
        <w:rPr>
          <w:rFonts w:ascii="Arial" w:hAnsi="Arial" w:cs="Arial"/>
          <w:b/>
          <w:bCs/>
          <w:sz w:val="28"/>
          <w:szCs w:val="28"/>
        </w:rPr>
        <w:t>Md Kalam</w:t>
      </w:r>
    </w:p>
    <w:p w14:paraId="588DF258" w14:textId="77777777" w:rsidR="00AE030E" w:rsidRPr="005D42F5" w:rsidRDefault="00AE030E" w:rsidP="00AE030E">
      <w:pPr>
        <w:jc w:val="center"/>
        <w:rPr>
          <w:rFonts w:ascii="Arial" w:hAnsi="Arial" w:cs="Arial"/>
          <w:b/>
          <w:bCs/>
          <w:sz w:val="28"/>
          <w:szCs w:val="28"/>
        </w:rPr>
      </w:pPr>
    </w:p>
    <w:p w14:paraId="5896FD06" w14:textId="202BB3B5" w:rsidR="00AE030E" w:rsidRDefault="00AE030E" w:rsidP="00AE030E">
      <w:pPr>
        <w:jc w:val="center"/>
        <w:rPr>
          <w:rFonts w:ascii="Arial" w:hAnsi="Arial" w:cs="Arial"/>
          <w:b/>
          <w:bCs/>
          <w:sz w:val="28"/>
          <w:szCs w:val="28"/>
        </w:rPr>
      </w:pPr>
      <w:r w:rsidRPr="005D42F5">
        <w:rPr>
          <w:rFonts w:ascii="Arial" w:hAnsi="Arial" w:cs="Arial"/>
          <w:b/>
          <w:bCs/>
          <w:sz w:val="28"/>
          <w:szCs w:val="28"/>
        </w:rPr>
        <w:t>Wor</w:t>
      </w:r>
      <w:r>
        <w:rPr>
          <w:rFonts w:ascii="Arial" w:hAnsi="Arial" w:cs="Arial"/>
          <w:b/>
          <w:bCs/>
          <w:sz w:val="28"/>
          <w:szCs w:val="28"/>
        </w:rPr>
        <w:t>d</w:t>
      </w:r>
      <w:r w:rsidRPr="005D42F5">
        <w:rPr>
          <w:rFonts w:ascii="Arial" w:hAnsi="Arial" w:cs="Arial"/>
          <w:b/>
          <w:bCs/>
          <w:sz w:val="28"/>
          <w:szCs w:val="28"/>
        </w:rPr>
        <w:t xml:space="preserve"> </w:t>
      </w:r>
      <w:proofErr w:type="gramStart"/>
      <w:r w:rsidRPr="005D42F5">
        <w:rPr>
          <w:rFonts w:ascii="Arial" w:hAnsi="Arial" w:cs="Arial"/>
          <w:b/>
          <w:bCs/>
          <w:sz w:val="28"/>
          <w:szCs w:val="28"/>
        </w:rPr>
        <w:t>Count</w:t>
      </w:r>
      <w:r>
        <w:rPr>
          <w:rFonts w:ascii="Arial" w:hAnsi="Arial" w:cs="Arial"/>
          <w:b/>
          <w:bCs/>
          <w:sz w:val="28"/>
          <w:szCs w:val="28"/>
        </w:rPr>
        <w:t xml:space="preserve"> </w:t>
      </w:r>
      <w:r w:rsidRPr="005D42F5">
        <w:rPr>
          <w:rFonts w:ascii="Arial" w:hAnsi="Arial" w:cs="Arial"/>
          <w:b/>
          <w:bCs/>
          <w:sz w:val="28"/>
          <w:szCs w:val="28"/>
        </w:rPr>
        <w:t>:</w:t>
      </w:r>
      <w:proofErr w:type="gramEnd"/>
      <w:r>
        <w:rPr>
          <w:rFonts w:ascii="Arial" w:hAnsi="Arial" w:cs="Arial"/>
          <w:b/>
          <w:bCs/>
          <w:sz w:val="28"/>
          <w:szCs w:val="28"/>
        </w:rPr>
        <w:t xml:space="preserve"> Around </w:t>
      </w:r>
      <w:r w:rsidR="00F30A47">
        <w:rPr>
          <w:rFonts w:ascii="Arial" w:hAnsi="Arial" w:cs="Arial"/>
          <w:b/>
          <w:bCs/>
          <w:sz w:val="28"/>
          <w:szCs w:val="28"/>
        </w:rPr>
        <w:t>5000</w:t>
      </w:r>
      <w:r>
        <w:rPr>
          <w:rFonts w:ascii="Arial" w:hAnsi="Arial" w:cs="Arial"/>
          <w:b/>
          <w:bCs/>
          <w:sz w:val="28"/>
          <w:szCs w:val="28"/>
        </w:rPr>
        <w:t xml:space="preserve"> Words</w:t>
      </w:r>
    </w:p>
    <w:p w14:paraId="3375ADF7" w14:textId="77777777" w:rsidR="00AE030E" w:rsidRDefault="00AE030E" w:rsidP="00AE030E">
      <w:pPr>
        <w:jc w:val="center"/>
        <w:rPr>
          <w:rFonts w:ascii="Arial" w:hAnsi="Arial" w:cs="Arial"/>
          <w:b/>
          <w:bCs/>
          <w:sz w:val="28"/>
          <w:szCs w:val="28"/>
        </w:rPr>
      </w:pPr>
    </w:p>
    <w:p w14:paraId="7B6C0471" w14:textId="449FADF4" w:rsidR="00094755" w:rsidRDefault="00AE030E" w:rsidP="00AE030E">
      <w:pPr>
        <w:jc w:val="center"/>
        <w:rPr>
          <w:rFonts w:ascii="Arial" w:eastAsia="Arial" w:hAnsi="Arial" w:cs="Arial"/>
          <w:b/>
          <w:bCs/>
          <w:sz w:val="32"/>
          <w:szCs w:val="32"/>
        </w:rPr>
      </w:pPr>
      <w:r w:rsidRPr="005D42F5">
        <w:rPr>
          <w:rFonts w:ascii="Arial" w:hAnsi="Arial" w:cs="Arial"/>
          <w:b/>
          <w:bCs/>
          <w:sz w:val="28"/>
          <w:szCs w:val="28"/>
        </w:rPr>
        <w:t>Term 1</w:t>
      </w:r>
    </w:p>
    <w:p w14:paraId="595666FB" w14:textId="77777777" w:rsidR="00AE030E" w:rsidRDefault="00AE030E" w:rsidP="00F30A47">
      <w:pPr>
        <w:rPr>
          <w:rFonts w:ascii="Arial" w:eastAsia="Arial" w:hAnsi="Arial" w:cs="Arial"/>
          <w:b/>
          <w:bCs/>
          <w:sz w:val="32"/>
          <w:szCs w:val="32"/>
        </w:rPr>
      </w:pPr>
    </w:p>
    <w:p w14:paraId="21F78D6A" w14:textId="77777777" w:rsidR="006373CB" w:rsidRDefault="006373CB" w:rsidP="00F30A47">
      <w:pPr>
        <w:rPr>
          <w:rFonts w:ascii="Arial" w:eastAsia="Arial" w:hAnsi="Arial" w:cs="Arial"/>
          <w:b/>
          <w:bCs/>
          <w:sz w:val="32"/>
          <w:szCs w:val="32"/>
        </w:rPr>
      </w:pPr>
    </w:p>
    <w:p w14:paraId="5BF6B0CC" w14:textId="77777777" w:rsidR="00094755" w:rsidRPr="00F30A47" w:rsidRDefault="009B1CB7">
      <w:pPr>
        <w:jc w:val="center"/>
        <w:rPr>
          <w:rFonts w:ascii="Arial" w:eastAsia="Arial" w:hAnsi="Arial" w:cs="Arial"/>
          <w:b/>
          <w:bCs/>
          <w:sz w:val="28"/>
          <w:szCs w:val="28"/>
        </w:rPr>
      </w:pPr>
      <w:r w:rsidRPr="00F30A47">
        <w:rPr>
          <w:rFonts w:ascii="Arial" w:eastAsia="Arial" w:hAnsi="Arial" w:cs="Arial"/>
          <w:b/>
          <w:bCs/>
          <w:sz w:val="28"/>
          <w:szCs w:val="28"/>
        </w:rPr>
        <w:t>Title: Strategic CFO Analysis of Tesla: Financial Performance, Working Capital Management, and Investment Appraisal</w:t>
      </w:r>
    </w:p>
    <w:p w14:paraId="2BD5DBC5" w14:textId="77777777" w:rsidR="006373CB" w:rsidRDefault="009B1CB7">
      <w:pPr>
        <w:jc w:val="center"/>
        <w:rPr>
          <w:rFonts w:ascii="Arial" w:eastAsia="Arial" w:hAnsi="Arial" w:cs="Arial"/>
          <w:b/>
          <w:bCs/>
          <w:sz w:val="28"/>
          <w:szCs w:val="28"/>
        </w:rPr>
      </w:pPr>
      <w:r w:rsidRPr="00F30A47">
        <w:rPr>
          <w:rFonts w:ascii="Arial" w:eastAsia="Arial" w:hAnsi="Arial" w:cs="Arial"/>
          <w:b/>
          <w:bCs/>
          <w:sz w:val="28"/>
          <w:szCs w:val="28"/>
        </w:rPr>
        <w:t>Report Topic: Strategic CFO Challenge</w:t>
      </w:r>
    </w:p>
    <w:p w14:paraId="716A548B" w14:textId="77777777" w:rsidR="006373CB" w:rsidRDefault="006373CB">
      <w:pPr>
        <w:jc w:val="center"/>
        <w:rPr>
          <w:rFonts w:ascii="Arial" w:eastAsia="Arial" w:hAnsi="Arial" w:cs="Arial"/>
          <w:b/>
          <w:bCs/>
          <w:sz w:val="28"/>
          <w:szCs w:val="28"/>
        </w:rPr>
      </w:pPr>
    </w:p>
    <w:p w14:paraId="5D363538" w14:textId="77777777" w:rsidR="006373CB" w:rsidRDefault="006373CB">
      <w:pPr>
        <w:jc w:val="center"/>
        <w:rPr>
          <w:rFonts w:ascii="Arial" w:eastAsia="Arial" w:hAnsi="Arial" w:cs="Arial"/>
          <w:b/>
          <w:bCs/>
          <w:sz w:val="28"/>
          <w:szCs w:val="28"/>
        </w:rPr>
      </w:pPr>
    </w:p>
    <w:p w14:paraId="56186446" w14:textId="77777777" w:rsidR="006373CB" w:rsidRDefault="006373CB">
      <w:pPr>
        <w:jc w:val="center"/>
        <w:rPr>
          <w:rFonts w:ascii="Arial" w:eastAsia="Arial" w:hAnsi="Arial" w:cs="Arial"/>
          <w:b/>
          <w:bCs/>
          <w:sz w:val="28"/>
          <w:szCs w:val="28"/>
        </w:rPr>
      </w:pPr>
    </w:p>
    <w:p w14:paraId="55D26F2E" w14:textId="77777777" w:rsidR="006373CB" w:rsidRPr="006373CB" w:rsidRDefault="006373CB" w:rsidP="006373CB">
      <w:pPr>
        <w:jc w:val="center"/>
        <w:rPr>
          <w:rFonts w:ascii="Arial" w:hAnsi="Arial" w:cs="Arial"/>
          <w:b/>
          <w:bCs/>
          <w:sz w:val="28"/>
          <w:szCs w:val="28"/>
        </w:rPr>
      </w:pPr>
      <w:r w:rsidRPr="006373CB">
        <w:rPr>
          <w:rFonts w:ascii="Arial" w:hAnsi="Arial" w:cs="Arial"/>
          <w:b/>
          <w:bCs/>
          <w:sz w:val="28"/>
          <w:szCs w:val="28"/>
        </w:rPr>
        <w:t>Executive Summary</w:t>
      </w:r>
    </w:p>
    <w:p w14:paraId="21E96CCF" w14:textId="6AE94935" w:rsidR="00094755" w:rsidRDefault="006373CB" w:rsidP="006373CB">
      <w:pPr>
        <w:jc w:val="left"/>
        <w:rPr>
          <w:rFonts w:ascii="Arial" w:eastAsia="Arial" w:hAnsi="Arial" w:cs="Arial"/>
        </w:rPr>
      </w:pPr>
      <w:r w:rsidRPr="006373CB">
        <w:rPr>
          <w:rFonts w:ascii="Arial" w:hAnsi="Arial" w:cs="Arial"/>
        </w:rPr>
        <w:t>The financial performance of Tesla is assessed during 2020</w:t>
      </w:r>
      <w:r>
        <w:rPr>
          <w:rFonts w:ascii="Arial" w:hAnsi="Arial" w:cs="Arial"/>
        </w:rPr>
        <w:t>-</w:t>
      </w:r>
      <w:r w:rsidRPr="006373CB">
        <w:rPr>
          <w:rFonts w:ascii="Arial" w:hAnsi="Arial" w:cs="Arial"/>
        </w:rPr>
        <w:t xml:space="preserve">2024, including financial health, working capital management, strategic restructuring, and investment appraisal. This analysis shows that the revenues have grown tremendously between 31,536m and 97,690m owing to the growth of the automotive business. Nevertheless, the profitability decreased beyond 2022, and operating margins and returns decreased because of increasing costs and competitive pricing pressures. Liquidity is also stable with a current ratio of 2.02, and there is an improvement in capital structure, as debt dependency is decreased, and growth of equity is high. The operating cycle cash became positive and not negative, which means that the working capital management became less efficient. Strategic suggestions involve enhancement of inventory, receivables, and payables management, and restructuring based on divestiture use, mergers, and financing by means of equity. The results of investment appraisal indicate that all the projects have negative NPVs, though Project C is </w:t>
      </w:r>
      <w:r w:rsidR="00C3588E" w:rsidRPr="006373CB">
        <w:rPr>
          <w:rFonts w:ascii="Arial" w:hAnsi="Arial" w:cs="Arial"/>
        </w:rPr>
        <w:t>favoured</w:t>
      </w:r>
      <w:r w:rsidRPr="006373CB">
        <w:rPr>
          <w:rFonts w:ascii="Arial" w:hAnsi="Arial" w:cs="Arial"/>
        </w:rPr>
        <w:t>, and under capital rationing, a combination of Projects B and C is suggested.</w:t>
      </w:r>
      <w:r w:rsidR="009B1CB7">
        <w:br w:type="page"/>
      </w:r>
    </w:p>
    <w:p w14:paraId="13000DDB" w14:textId="77777777" w:rsidR="00094755" w:rsidRDefault="009B1CB7">
      <w:pPr>
        <w:jc w:val="center"/>
        <w:rPr>
          <w:rFonts w:ascii="Arial" w:eastAsia="Arial" w:hAnsi="Arial" w:cs="Arial"/>
          <w:b/>
          <w:bCs/>
          <w:sz w:val="28"/>
          <w:szCs w:val="28"/>
        </w:rPr>
      </w:pPr>
      <w:r>
        <w:rPr>
          <w:rFonts w:ascii="Arial" w:eastAsia="Arial" w:hAnsi="Arial" w:cs="Arial"/>
          <w:b/>
          <w:bCs/>
          <w:sz w:val="28"/>
          <w:szCs w:val="28"/>
        </w:rPr>
        <w:lastRenderedPageBreak/>
        <w:t>Table of Contents</w:t>
      </w:r>
    </w:p>
    <w:sdt>
      <w:sdtPr>
        <w:id w:val="790413036"/>
        <w:docPartObj>
          <w:docPartGallery w:val="Table of Contents"/>
          <w:docPartUnique/>
        </w:docPartObj>
      </w:sdtPr>
      <w:sdtEndPr/>
      <w:sdtContent>
        <w:p w14:paraId="04203712" w14:textId="77777777" w:rsidR="00094755" w:rsidRDefault="00094755">
          <w:pPr>
            <w:widowControl w:val="0"/>
            <w:tabs>
              <w:tab w:val="right" w:leader="dot" w:pos="12000"/>
            </w:tabs>
            <w:spacing w:before="0" w:after="0"/>
            <w:rPr>
              <w:rFonts w:ascii="Arial" w:eastAsia="Arial" w:hAnsi="Arial" w:cs="Arial"/>
            </w:rPr>
          </w:pPr>
          <w:r>
            <w:fldChar w:fldCharType="begin"/>
          </w:r>
          <w:r w:rsidR="009B1CB7">
            <w:instrText xml:space="preserve"> TOC \h \u \z \t "Heading 1,1,Heading 2,2,Heading 3,3,Heading 4,4,Heading 5,5,Heading 6,6,"</w:instrText>
          </w:r>
          <w:r>
            <w:fldChar w:fldCharType="separate"/>
          </w:r>
          <w:hyperlink w:anchor="_n52cp3audab9">
            <w:r>
              <w:rPr>
                <w:rFonts w:ascii="Arial" w:eastAsia="Arial" w:hAnsi="Arial" w:cs="Arial"/>
              </w:rPr>
              <w:t>1. Introduction</w:t>
            </w:r>
            <w:r>
              <w:rPr>
                <w:rFonts w:ascii="Arial" w:eastAsia="Arial" w:hAnsi="Arial" w:cs="Arial"/>
              </w:rPr>
              <w:tab/>
              <w:t>4</w:t>
            </w:r>
          </w:hyperlink>
        </w:p>
        <w:p w14:paraId="62ED5CF8" w14:textId="77777777" w:rsidR="00094755" w:rsidRDefault="00094755">
          <w:pPr>
            <w:widowControl w:val="0"/>
            <w:tabs>
              <w:tab w:val="right" w:leader="dot" w:pos="12000"/>
            </w:tabs>
            <w:spacing w:before="0" w:after="0"/>
            <w:rPr>
              <w:rFonts w:ascii="Arial" w:eastAsia="Arial" w:hAnsi="Arial" w:cs="Arial"/>
            </w:rPr>
          </w:pPr>
          <w:hyperlink w:anchor="_yfw79fgpjw9k">
            <w:r>
              <w:rPr>
                <w:rFonts w:ascii="Arial" w:eastAsia="Arial" w:hAnsi="Arial" w:cs="Arial"/>
              </w:rPr>
              <w:t>2. Financial Health Check</w:t>
            </w:r>
            <w:r>
              <w:rPr>
                <w:rFonts w:ascii="Arial" w:eastAsia="Arial" w:hAnsi="Arial" w:cs="Arial"/>
              </w:rPr>
              <w:tab/>
              <w:t>5</w:t>
            </w:r>
          </w:hyperlink>
        </w:p>
        <w:p w14:paraId="47146F1C" w14:textId="77777777" w:rsidR="00094755" w:rsidRDefault="00094755">
          <w:pPr>
            <w:widowControl w:val="0"/>
            <w:tabs>
              <w:tab w:val="right" w:leader="dot" w:pos="12000"/>
            </w:tabs>
            <w:spacing w:before="0" w:after="0"/>
            <w:ind w:left="360"/>
            <w:rPr>
              <w:rFonts w:ascii="Arial" w:eastAsia="Arial" w:hAnsi="Arial" w:cs="Arial"/>
            </w:rPr>
          </w:pPr>
          <w:hyperlink w:anchor="_gewgrdwki8fg">
            <w:r>
              <w:rPr>
                <w:rFonts w:ascii="Arial" w:eastAsia="Arial" w:hAnsi="Arial" w:cs="Arial"/>
              </w:rPr>
              <w:t>2.1 Five-Year Financial Statements</w:t>
            </w:r>
            <w:r>
              <w:rPr>
                <w:rFonts w:ascii="Arial" w:eastAsia="Arial" w:hAnsi="Arial" w:cs="Arial"/>
              </w:rPr>
              <w:tab/>
              <w:t>5</w:t>
            </w:r>
          </w:hyperlink>
        </w:p>
        <w:p w14:paraId="75F756EA" w14:textId="77777777" w:rsidR="00094755" w:rsidRDefault="00094755">
          <w:pPr>
            <w:widowControl w:val="0"/>
            <w:tabs>
              <w:tab w:val="right" w:leader="dot" w:pos="12000"/>
            </w:tabs>
            <w:spacing w:before="0" w:after="0"/>
            <w:ind w:left="360"/>
            <w:rPr>
              <w:rFonts w:ascii="Arial" w:eastAsia="Arial" w:hAnsi="Arial" w:cs="Arial"/>
            </w:rPr>
          </w:pPr>
          <w:hyperlink w:anchor="_wcga3pk8ysts">
            <w:r>
              <w:rPr>
                <w:rFonts w:ascii="Arial" w:eastAsia="Arial" w:hAnsi="Arial" w:cs="Arial"/>
              </w:rPr>
              <w:t>2.2 Performance of Ratios from 2020-2024</w:t>
            </w:r>
            <w:r>
              <w:rPr>
                <w:rFonts w:ascii="Arial" w:eastAsia="Arial" w:hAnsi="Arial" w:cs="Arial"/>
              </w:rPr>
              <w:tab/>
              <w:t>8</w:t>
            </w:r>
          </w:hyperlink>
        </w:p>
        <w:p w14:paraId="2CCE55BB" w14:textId="77777777" w:rsidR="00094755" w:rsidRDefault="00094755">
          <w:pPr>
            <w:widowControl w:val="0"/>
            <w:tabs>
              <w:tab w:val="right" w:leader="dot" w:pos="12000"/>
            </w:tabs>
            <w:spacing w:before="0" w:after="0"/>
            <w:ind w:left="720"/>
            <w:rPr>
              <w:rFonts w:ascii="Arial" w:eastAsia="Arial" w:hAnsi="Arial" w:cs="Arial"/>
            </w:rPr>
          </w:pPr>
          <w:hyperlink w:anchor="_i4lpzjtbkhxw">
            <w:r>
              <w:rPr>
                <w:rFonts w:ascii="Arial" w:eastAsia="Arial" w:hAnsi="Arial" w:cs="Arial"/>
              </w:rPr>
              <w:t>“Profitability Ratios”</w:t>
            </w:r>
            <w:r>
              <w:rPr>
                <w:rFonts w:ascii="Arial" w:eastAsia="Arial" w:hAnsi="Arial" w:cs="Arial"/>
              </w:rPr>
              <w:tab/>
              <w:t>9</w:t>
            </w:r>
          </w:hyperlink>
        </w:p>
        <w:p w14:paraId="02BBB131" w14:textId="77777777" w:rsidR="00094755" w:rsidRDefault="00094755">
          <w:pPr>
            <w:widowControl w:val="0"/>
            <w:tabs>
              <w:tab w:val="right" w:leader="dot" w:pos="12000"/>
            </w:tabs>
            <w:spacing w:before="0" w:after="0"/>
            <w:ind w:left="720"/>
            <w:rPr>
              <w:rFonts w:ascii="Arial" w:eastAsia="Arial" w:hAnsi="Arial" w:cs="Arial"/>
            </w:rPr>
          </w:pPr>
          <w:hyperlink w:anchor="_o9326e5lx0qw">
            <w:r>
              <w:rPr>
                <w:rFonts w:ascii="Arial" w:eastAsia="Arial" w:hAnsi="Arial" w:cs="Arial"/>
              </w:rPr>
              <w:t>“Liquidity Ratios”</w:t>
            </w:r>
            <w:r>
              <w:rPr>
                <w:rFonts w:ascii="Arial" w:eastAsia="Arial" w:hAnsi="Arial" w:cs="Arial"/>
              </w:rPr>
              <w:tab/>
              <w:t>9</w:t>
            </w:r>
          </w:hyperlink>
        </w:p>
        <w:p w14:paraId="75895880" w14:textId="77777777" w:rsidR="00094755" w:rsidRDefault="00094755">
          <w:pPr>
            <w:widowControl w:val="0"/>
            <w:tabs>
              <w:tab w:val="right" w:leader="dot" w:pos="12000"/>
            </w:tabs>
            <w:spacing w:before="0" w:after="0"/>
            <w:ind w:left="720"/>
            <w:rPr>
              <w:rFonts w:ascii="Arial" w:eastAsia="Arial" w:hAnsi="Arial" w:cs="Arial"/>
            </w:rPr>
          </w:pPr>
          <w:hyperlink w:anchor="_tko8vqmpqiai">
            <w:r>
              <w:rPr>
                <w:rFonts w:ascii="Arial" w:eastAsia="Arial" w:hAnsi="Arial" w:cs="Arial"/>
              </w:rPr>
              <w:t>“Efficiency Ratios”</w:t>
            </w:r>
            <w:r>
              <w:rPr>
                <w:rFonts w:ascii="Arial" w:eastAsia="Arial" w:hAnsi="Arial" w:cs="Arial"/>
              </w:rPr>
              <w:tab/>
              <w:t>9</w:t>
            </w:r>
          </w:hyperlink>
        </w:p>
        <w:p w14:paraId="31150D15" w14:textId="77777777" w:rsidR="00094755" w:rsidRDefault="00094755">
          <w:pPr>
            <w:widowControl w:val="0"/>
            <w:tabs>
              <w:tab w:val="right" w:leader="dot" w:pos="12000"/>
            </w:tabs>
            <w:spacing w:before="0" w:after="0"/>
            <w:ind w:left="720"/>
            <w:rPr>
              <w:rFonts w:ascii="Arial" w:eastAsia="Arial" w:hAnsi="Arial" w:cs="Arial"/>
            </w:rPr>
          </w:pPr>
          <w:hyperlink w:anchor="_ww3gs3vccaj8">
            <w:r>
              <w:rPr>
                <w:rFonts w:ascii="Arial" w:eastAsia="Arial" w:hAnsi="Arial" w:cs="Arial"/>
              </w:rPr>
              <w:t>“Leverage (Gearing) Ratio”</w:t>
            </w:r>
            <w:r>
              <w:rPr>
                <w:rFonts w:ascii="Arial" w:eastAsia="Arial" w:hAnsi="Arial" w:cs="Arial"/>
              </w:rPr>
              <w:tab/>
              <w:t>10</w:t>
            </w:r>
          </w:hyperlink>
        </w:p>
        <w:p w14:paraId="0FA39C4C" w14:textId="77777777" w:rsidR="00094755" w:rsidRDefault="00094755">
          <w:pPr>
            <w:widowControl w:val="0"/>
            <w:tabs>
              <w:tab w:val="right" w:leader="dot" w:pos="12000"/>
            </w:tabs>
            <w:spacing w:before="0" w:after="0"/>
            <w:ind w:left="720"/>
            <w:rPr>
              <w:rFonts w:ascii="Arial" w:eastAsia="Arial" w:hAnsi="Arial" w:cs="Arial"/>
            </w:rPr>
          </w:pPr>
          <w:hyperlink w:anchor="_ngwumtfmb41g">
            <w:r>
              <w:rPr>
                <w:rFonts w:ascii="Arial" w:eastAsia="Arial" w:hAnsi="Arial" w:cs="Arial"/>
              </w:rPr>
              <w:t>“Investment Ratios”</w:t>
            </w:r>
            <w:r>
              <w:rPr>
                <w:rFonts w:ascii="Arial" w:eastAsia="Arial" w:hAnsi="Arial" w:cs="Arial"/>
              </w:rPr>
              <w:tab/>
              <w:t>10</w:t>
            </w:r>
          </w:hyperlink>
        </w:p>
        <w:p w14:paraId="12AFD5E5" w14:textId="77777777" w:rsidR="00094755" w:rsidRDefault="00094755">
          <w:pPr>
            <w:widowControl w:val="0"/>
            <w:tabs>
              <w:tab w:val="right" w:leader="dot" w:pos="12000"/>
            </w:tabs>
            <w:spacing w:before="0" w:after="0"/>
            <w:ind w:left="720"/>
            <w:rPr>
              <w:rFonts w:ascii="Arial" w:eastAsia="Arial" w:hAnsi="Arial" w:cs="Arial"/>
            </w:rPr>
          </w:pPr>
          <w:hyperlink w:anchor="_jtek5bz43zin">
            <w:r>
              <w:rPr>
                <w:rFonts w:ascii="Arial" w:eastAsia="Arial" w:hAnsi="Arial" w:cs="Arial"/>
              </w:rPr>
              <w:t>“Cash Flow Ratios”</w:t>
            </w:r>
            <w:r>
              <w:rPr>
                <w:rFonts w:ascii="Arial" w:eastAsia="Arial" w:hAnsi="Arial" w:cs="Arial"/>
              </w:rPr>
              <w:tab/>
              <w:t>10</w:t>
            </w:r>
          </w:hyperlink>
        </w:p>
        <w:p w14:paraId="7EAD7433" w14:textId="77777777" w:rsidR="00094755" w:rsidRDefault="00094755">
          <w:pPr>
            <w:widowControl w:val="0"/>
            <w:tabs>
              <w:tab w:val="right" w:leader="dot" w:pos="12000"/>
            </w:tabs>
            <w:spacing w:before="0" w:after="0"/>
            <w:ind w:left="360"/>
            <w:rPr>
              <w:rFonts w:ascii="Arial" w:eastAsia="Arial" w:hAnsi="Arial" w:cs="Arial"/>
            </w:rPr>
          </w:pPr>
          <w:hyperlink w:anchor="_kx0pq46ux61l">
            <w:r>
              <w:rPr>
                <w:rFonts w:ascii="Arial" w:eastAsia="Arial" w:hAnsi="Arial" w:cs="Arial"/>
              </w:rPr>
              <w:t>2.3 Trends, Strengths, and Threats</w:t>
            </w:r>
            <w:r>
              <w:rPr>
                <w:rFonts w:ascii="Arial" w:eastAsia="Arial" w:hAnsi="Arial" w:cs="Arial"/>
              </w:rPr>
              <w:tab/>
              <w:t>11</w:t>
            </w:r>
          </w:hyperlink>
        </w:p>
        <w:p w14:paraId="5F4FC9B4" w14:textId="77777777" w:rsidR="00094755" w:rsidRDefault="00094755">
          <w:pPr>
            <w:widowControl w:val="0"/>
            <w:tabs>
              <w:tab w:val="right" w:leader="dot" w:pos="12000"/>
            </w:tabs>
            <w:spacing w:before="0" w:after="0"/>
            <w:ind w:left="720"/>
            <w:rPr>
              <w:rFonts w:ascii="Arial" w:eastAsia="Arial" w:hAnsi="Arial" w:cs="Arial"/>
            </w:rPr>
          </w:pPr>
          <w:hyperlink w:anchor="_en1lkferifwu">
            <w:r>
              <w:rPr>
                <w:rFonts w:ascii="Arial" w:eastAsia="Arial" w:hAnsi="Arial" w:cs="Arial"/>
              </w:rPr>
              <w:t>Trends</w:t>
            </w:r>
            <w:r>
              <w:rPr>
                <w:rFonts w:ascii="Arial" w:eastAsia="Arial" w:hAnsi="Arial" w:cs="Arial"/>
              </w:rPr>
              <w:tab/>
              <w:t>11</w:t>
            </w:r>
          </w:hyperlink>
        </w:p>
        <w:p w14:paraId="12F9DDED" w14:textId="77777777" w:rsidR="00094755" w:rsidRDefault="00094755">
          <w:pPr>
            <w:widowControl w:val="0"/>
            <w:tabs>
              <w:tab w:val="right" w:leader="dot" w:pos="12000"/>
            </w:tabs>
            <w:spacing w:before="0" w:after="0"/>
            <w:ind w:left="720"/>
            <w:rPr>
              <w:rFonts w:ascii="Arial" w:eastAsia="Arial" w:hAnsi="Arial" w:cs="Arial"/>
            </w:rPr>
          </w:pPr>
          <w:hyperlink w:anchor="_ffb9izt5gpjf">
            <w:r>
              <w:rPr>
                <w:rFonts w:ascii="Arial" w:eastAsia="Arial" w:hAnsi="Arial" w:cs="Arial"/>
              </w:rPr>
              <w:t>Strengths</w:t>
            </w:r>
            <w:r>
              <w:rPr>
                <w:rFonts w:ascii="Arial" w:eastAsia="Arial" w:hAnsi="Arial" w:cs="Arial"/>
              </w:rPr>
              <w:tab/>
              <w:t>11</w:t>
            </w:r>
          </w:hyperlink>
        </w:p>
        <w:p w14:paraId="16C39748" w14:textId="77777777" w:rsidR="00094755" w:rsidRDefault="00094755">
          <w:pPr>
            <w:widowControl w:val="0"/>
            <w:tabs>
              <w:tab w:val="right" w:leader="dot" w:pos="12000"/>
            </w:tabs>
            <w:spacing w:before="0" w:after="0"/>
            <w:ind w:left="720"/>
            <w:rPr>
              <w:rFonts w:ascii="Arial" w:eastAsia="Arial" w:hAnsi="Arial" w:cs="Arial"/>
            </w:rPr>
          </w:pPr>
          <w:hyperlink w:anchor="_fiqa23mcl3fq">
            <w:r>
              <w:rPr>
                <w:rFonts w:ascii="Arial" w:eastAsia="Arial" w:hAnsi="Arial" w:cs="Arial"/>
              </w:rPr>
              <w:t>Threats</w:t>
            </w:r>
            <w:r>
              <w:rPr>
                <w:rFonts w:ascii="Arial" w:eastAsia="Arial" w:hAnsi="Arial" w:cs="Arial"/>
              </w:rPr>
              <w:tab/>
              <w:t>11</w:t>
            </w:r>
          </w:hyperlink>
        </w:p>
        <w:p w14:paraId="688F51E3" w14:textId="77777777" w:rsidR="00094755" w:rsidRDefault="00094755">
          <w:pPr>
            <w:widowControl w:val="0"/>
            <w:tabs>
              <w:tab w:val="right" w:leader="dot" w:pos="12000"/>
            </w:tabs>
            <w:spacing w:before="0" w:after="0"/>
            <w:rPr>
              <w:rFonts w:ascii="Arial" w:eastAsia="Arial" w:hAnsi="Arial" w:cs="Arial"/>
            </w:rPr>
          </w:pPr>
          <w:hyperlink w:anchor="_f0jz71p1rs3l">
            <w:r>
              <w:rPr>
                <w:rFonts w:ascii="Arial" w:eastAsia="Arial" w:hAnsi="Arial" w:cs="Arial"/>
              </w:rPr>
              <w:t>3. Working Capital Management Analysis</w:t>
            </w:r>
            <w:r>
              <w:rPr>
                <w:rFonts w:ascii="Arial" w:eastAsia="Arial" w:hAnsi="Arial" w:cs="Arial"/>
              </w:rPr>
              <w:tab/>
              <w:t>12</w:t>
            </w:r>
          </w:hyperlink>
        </w:p>
        <w:p w14:paraId="5D455C29" w14:textId="77777777" w:rsidR="00094755" w:rsidRDefault="00094755">
          <w:pPr>
            <w:widowControl w:val="0"/>
            <w:tabs>
              <w:tab w:val="right" w:leader="dot" w:pos="12000"/>
            </w:tabs>
            <w:spacing w:before="0" w:after="0"/>
            <w:ind w:left="360"/>
            <w:rPr>
              <w:rFonts w:ascii="Arial" w:eastAsia="Arial" w:hAnsi="Arial" w:cs="Arial"/>
            </w:rPr>
          </w:pPr>
          <w:hyperlink w:anchor="_33icevh00x7z">
            <w:r>
              <w:rPr>
                <w:rFonts w:ascii="Arial" w:eastAsia="Arial" w:hAnsi="Arial" w:cs="Arial"/>
              </w:rPr>
              <w:t>3.1 “Cash Operating Cycle”</w:t>
            </w:r>
            <w:r>
              <w:rPr>
                <w:rFonts w:ascii="Arial" w:eastAsia="Arial" w:hAnsi="Arial" w:cs="Arial"/>
              </w:rPr>
              <w:tab/>
              <w:t>12</w:t>
            </w:r>
          </w:hyperlink>
        </w:p>
        <w:p w14:paraId="48ED83E9" w14:textId="77777777" w:rsidR="00094755" w:rsidRDefault="00094755">
          <w:pPr>
            <w:widowControl w:val="0"/>
            <w:tabs>
              <w:tab w:val="right" w:leader="dot" w:pos="12000"/>
            </w:tabs>
            <w:spacing w:before="0" w:after="0"/>
            <w:ind w:left="360"/>
            <w:rPr>
              <w:rFonts w:ascii="Arial" w:eastAsia="Arial" w:hAnsi="Arial" w:cs="Arial"/>
            </w:rPr>
          </w:pPr>
          <w:hyperlink w:anchor="_jda5dgr7l045">
            <w:r>
              <w:rPr>
                <w:rFonts w:ascii="Arial" w:eastAsia="Arial" w:hAnsi="Arial" w:cs="Arial"/>
              </w:rPr>
              <w:t>3.2 Recommended Strategies for Improving Working Capital Management</w:t>
            </w:r>
            <w:r>
              <w:rPr>
                <w:rFonts w:ascii="Arial" w:eastAsia="Arial" w:hAnsi="Arial" w:cs="Arial"/>
              </w:rPr>
              <w:tab/>
              <w:t>13</w:t>
            </w:r>
          </w:hyperlink>
        </w:p>
        <w:p w14:paraId="5AEA5484" w14:textId="77777777" w:rsidR="00094755" w:rsidRDefault="00094755">
          <w:pPr>
            <w:widowControl w:val="0"/>
            <w:tabs>
              <w:tab w:val="right" w:leader="dot" w:pos="12000"/>
            </w:tabs>
            <w:spacing w:before="0" w:after="0"/>
            <w:ind w:left="720"/>
            <w:rPr>
              <w:rFonts w:ascii="Arial" w:eastAsia="Arial" w:hAnsi="Arial" w:cs="Arial"/>
            </w:rPr>
          </w:pPr>
          <w:hyperlink w:anchor="_m97oqefmj4e0">
            <w:r>
              <w:rPr>
                <w:rFonts w:ascii="Arial" w:eastAsia="Arial" w:hAnsi="Arial" w:cs="Arial"/>
              </w:rPr>
              <w:t>Optimisation of Inventory Management</w:t>
            </w:r>
            <w:r>
              <w:rPr>
                <w:rFonts w:ascii="Arial" w:eastAsia="Arial" w:hAnsi="Arial" w:cs="Arial"/>
              </w:rPr>
              <w:tab/>
              <w:t>13</w:t>
            </w:r>
          </w:hyperlink>
        </w:p>
        <w:p w14:paraId="6AB921BE" w14:textId="77777777" w:rsidR="00094755" w:rsidRDefault="00094755">
          <w:pPr>
            <w:widowControl w:val="0"/>
            <w:tabs>
              <w:tab w:val="right" w:leader="dot" w:pos="12000"/>
            </w:tabs>
            <w:spacing w:before="0" w:after="0"/>
            <w:ind w:left="720"/>
            <w:rPr>
              <w:rFonts w:ascii="Arial" w:eastAsia="Arial" w:hAnsi="Arial" w:cs="Arial"/>
            </w:rPr>
          </w:pPr>
          <w:hyperlink w:anchor="_u5vbq0xtqu4n">
            <w:r>
              <w:rPr>
                <w:rFonts w:ascii="Arial" w:eastAsia="Arial" w:hAnsi="Arial" w:cs="Arial"/>
              </w:rPr>
              <w:t>Strengthening Receivables Management</w:t>
            </w:r>
            <w:r>
              <w:rPr>
                <w:rFonts w:ascii="Arial" w:eastAsia="Arial" w:hAnsi="Arial" w:cs="Arial"/>
              </w:rPr>
              <w:tab/>
              <w:t>13</w:t>
            </w:r>
          </w:hyperlink>
        </w:p>
        <w:p w14:paraId="5B507566" w14:textId="77777777" w:rsidR="00094755" w:rsidRDefault="00094755">
          <w:pPr>
            <w:widowControl w:val="0"/>
            <w:tabs>
              <w:tab w:val="right" w:leader="dot" w:pos="12000"/>
            </w:tabs>
            <w:spacing w:before="0" w:after="0"/>
            <w:ind w:left="720"/>
            <w:rPr>
              <w:rFonts w:ascii="Arial" w:eastAsia="Arial" w:hAnsi="Arial" w:cs="Arial"/>
            </w:rPr>
          </w:pPr>
          <w:hyperlink w:anchor="_bsmu3ej5xzi5">
            <w:r>
              <w:rPr>
                <w:rFonts w:ascii="Arial" w:eastAsia="Arial" w:hAnsi="Arial" w:cs="Arial"/>
              </w:rPr>
              <w:t>Strategic Payables Management</w:t>
            </w:r>
            <w:r>
              <w:rPr>
                <w:rFonts w:ascii="Arial" w:eastAsia="Arial" w:hAnsi="Arial" w:cs="Arial"/>
              </w:rPr>
              <w:tab/>
              <w:t>13</w:t>
            </w:r>
          </w:hyperlink>
        </w:p>
        <w:p w14:paraId="38B4C22A" w14:textId="77777777" w:rsidR="00094755" w:rsidRDefault="00094755">
          <w:pPr>
            <w:widowControl w:val="0"/>
            <w:tabs>
              <w:tab w:val="right" w:leader="dot" w:pos="12000"/>
            </w:tabs>
            <w:spacing w:before="0" w:after="0"/>
            <w:ind w:left="720"/>
            <w:rPr>
              <w:rFonts w:ascii="Arial" w:eastAsia="Arial" w:hAnsi="Arial" w:cs="Arial"/>
            </w:rPr>
          </w:pPr>
          <w:hyperlink w:anchor="_ehcsdvuei9yi">
            <w:r>
              <w:rPr>
                <w:rFonts w:ascii="Arial" w:eastAsia="Arial" w:hAnsi="Arial" w:cs="Arial"/>
              </w:rPr>
              <w:t>Balanced Financing Strategy</w:t>
            </w:r>
            <w:r>
              <w:rPr>
                <w:rFonts w:ascii="Arial" w:eastAsia="Arial" w:hAnsi="Arial" w:cs="Arial"/>
              </w:rPr>
              <w:tab/>
              <w:t>14</w:t>
            </w:r>
          </w:hyperlink>
        </w:p>
        <w:p w14:paraId="0989A59F" w14:textId="77777777" w:rsidR="00094755" w:rsidRDefault="00094755">
          <w:pPr>
            <w:widowControl w:val="0"/>
            <w:tabs>
              <w:tab w:val="right" w:leader="dot" w:pos="12000"/>
            </w:tabs>
            <w:spacing w:before="0" w:after="0"/>
            <w:ind w:left="720"/>
            <w:rPr>
              <w:rFonts w:ascii="Arial" w:eastAsia="Arial" w:hAnsi="Arial" w:cs="Arial"/>
            </w:rPr>
          </w:pPr>
          <w:hyperlink w:anchor="_wtxfzf3r0oz1">
            <w:r>
              <w:rPr>
                <w:rFonts w:ascii="Arial" w:eastAsia="Arial" w:hAnsi="Arial" w:cs="Arial"/>
              </w:rPr>
              <w:t>Integration of Technology in Working Capital Management</w:t>
            </w:r>
            <w:r>
              <w:rPr>
                <w:rFonts w:ascii="Arial" w:eastAsia="Arial" w:hAnsi="Arial" w:cs="Arial"/>
              </w:rPr>
              <w:tab/>
              <w:t>14</w:t>
            </w:r>
          </w:hyperlink>
        </w:p>
        <w:p w14:paraId="00A36882" w14:textId="77777777" w:rsidR="00094755" w:rsidRDefault="00094755">
          <w:pPr>
            <w:widowControl w:val="0"/>
            <w:tabs>
              <w:tab w:val="right" w:leader="dot" w:pos="12000"/>
            </w:tabs>
            <w:spacing w:before="0" w:after="0"/>
            <w:ind w:left="360"/>
            <w:rPr>
              <w:rFonts w:ascii="Arial" w:eastAsia="Arial" w:hAnsi="Arial" w:cs="Arial"/>
            </w:rPr>
          </w:pPr>
          <w:hyperlink w:anchor="_at8zgc2ryv8y">
            <w:r>
              <w:rPr>
                <w:rFonts w:ascii="Arial" w:eastAsia="Arial" w:hAnsi="Arial" w:cs="Arial"/>
              </w:rPr>
              <w:t>3.2 Comparison of Short-Term vs Long-Term Financing Options</w:t>
            </w:r>
            <w:r>
              <w:rPr>
                <w:rFonts w:ascii="Arial" w:eastAsia="Arial" w:hAnsi="Arial" w:cs="Arial"/>
              </w:rPr>
              <w:tab/>
              <w:t>14</w:t>
            </w:r>
          </w:hyperlink>
        </w:p>
        <w:p w14:paraId="17ECE8FE" w14:textId="77777777" w:rsidR="00094755" w:rsidRDefault="00094755">
          <w:pPr>
            <w:widowControl w:val="0"/>
            <w:tabs>
              <w:tab w:val="right" w:leader="dot" w:pos="12000"/>
            </w:tabs>
            <w:spacing w:before="0" w:after="0"/>
            <w:ind w:left="720"/>
            <w:rPr>
              <w:rFonts w:ascii="Arial" w:eastAsia="Arial" w:hAnsi="Arial" w:cs="Arial"/>
            </w:rPr>
          </w:pPr>
          <w:hyperlink w:anchor="_b7rn5nw1qpcd">
            <w:r>
              <w:rPr>
                <w:rFonts w:ascii="Arial" w:eastAsia="Arial" w:hAnsi="Arial" w:cs="Arial"/>
              </w:rPr>
              <w:t>Short-Term Financing Options</w:t>
            </w:r>
            <w:r>
              <w:rPr>
                <w:rFonts w:ascii="Arial" w:eastAsia="Arial" w:hAnsi="Arial" w:cs="Arial"/>
              </w:rPr>
              <w:tab/>
              <w:t>14</w:t>
            </w:r>
          </w:hyperlink>
        </w:p>
        <w:p w14:paraId="76B320BA" w14:textId="77777777" w:rsidR="00094755" w:rsidRDefault="00094755">
          <w:pPr>
            <w:widowControl w:val="0"/>
            <w:tabs>
              <w:tab w:val="right" w:leader="dot" w:pos="12000"/>
            </w:tabs>
            <w:spacing w:before="0" w:after="0"/>
            <w:ind w:left="720"/>
            <w:rPr>
              <w:rFonts w:ascii="Arial" w:eastAsia="Arial" w:hAnsi="Arial" w:cs="Arial"/>
            </w:rPr>
          </w:pPr>
          <w:hyperlink w:anchor="_m0yskprp3lcu">
            <w:r>
              <w:rPr>
                <w:rFonts w:ascii="Arial" w:eastAsia="Arial" w:hAnsi="Arial" w:cs="Arial"/>
              </w:rPr>
              <w:t>Long-Term Financing Options</w:t>
            </w:r>
            <w:r>
              <w:rPr>
                <w:rFonts w:ascii="Arial" w:eastAsia="Arial" w:hAnsi="Arial" w:cs="Arial"/>
              </w:rPr>
              <w:tab/>
              <w:t>14</w:t>
            </w:r>
          </w:hyperlink>
        </w:p>
        <w:p w14:paraId="50FB7DB6" w14:textId="77777777" w:rsidR="00094755" w:rsidRDefault="00094755">
          <w:pPr>
            <w:widowControl w:val="0"/>
            <w:tabs>
              <w:tab w:val="right" w:leader="dot" w:pos="12000"/>
            </w:tabs>
            <w:spacing w:before="0" w:after="0"/>
            <w:ind w:left="720"/>
            <w:rPr>
              <w:rFonts w:ascii="Arial" w:eastAsia="Arial" w:hAnsi="Arial" w:cs="Arial"/>
            </w:rPr>
          </w:pPr>
          <w:hyperlink w:anchor="_gupy6mv9ofsz">
            <w:r>
              <w:rPr>
                <w:rFonts w:ascii="Arial" w:eastAsia="Arial" w:hAnsi="Arial" w:cs="Arial"/>
              </w:rPr>
              <w:t>Key Differences and Financial Implications</w:t>
            </w:r>
            <w:r>
              <w:rPr>
                <w:rFonts w:ascii="Arial" w:eastAsia="Arial" w:hAnsi="Arial" w:cs="Arial"/>
              </w:rPr>
              <w:tab/>
              <w:t>15</w:t>
            </w:r>
          </w:hyperlink>
        </w:p>
        <w:p w14:paraId="5B129432" w14:textId="77777777" w:rsidR="00094755" w:rsidRDefault="00094755">
          <w:pPr>
            <w:widowControl w:val="0"/>
            <w:tabs>
              <w:tab w:val="right" w:leader="dot" w:pos="12000"/>
            </w:tabs>
            <w:spacing w:before="0" w:after="0"/>
            <w:ind w:left="720"/>
            <w:rPr>
              <w:rFonts w:ascii="Arial" w:eastAsia="Arial" w:hAnsi="Arial" w:cs="Arial"/>
            </w:rPr>
          </w:pPr>
          <w:hyperlink w:anchor="_nn1s7v1sbf11">
            <w:r>
              <w:rPr>
                <w:rFonts w:ascii="Arial" w:eastAsia="Arial" w:hAnsi="Arial" w:cs="Arial"/>
              </w:rPr>
              <w:t>Recommended Approach for Tesla</w:t>
            </w:r>
            <w:r>
              <w:rPr>
                <w:rFonts w:ascii="Arial" w:eastAsia="Arial" w:hAnsi="Arial" w:cs="Arial"/>
              </w:rPr>
              <w:tab/>
              <w:t>15</w:t>
            </w:r>
          </w:hyperlink>
        </w:p>
        <w:p w14:paraId="72CC1D46" w14:textId="77777777" w:rsidR="00094755" w:rsidRDefault="00094755">
          <w:pPr>
            <w:widowControl w:val="0"/>
            <w:tabs>
              <w:tab w:val="right" w:leader="dot" w:pos="12000"/>
            </w:tabs>
            <w:spacing w:before="0" w:after="0"/>
            <w:rPr>
              <w:rFonts w:ascii="Arial" w:eastAsia="Arial" w:hAnsi="Arial" w:cs="Arial"/>
            </w:rPr>
          </w:pPr>
          <w:hyperlink w:anchor="_vt4p00q4f602">
            <w:r>
              <w:rPr>
                <w:rFonts w:ascii="Arial" w:eastAsia="Arial" w:hAnsi="Arial" w:cs="Arial"/>
              </w:rPr>
              <w:t>4. Strategic Financial Restructuring Plan</w:t>
            </w:r>
            <w:r>
              <w:rPr>
                <w:rFonts w:ascii="Arial" w:eastAsia="Arial" w:hAnsi="Arial" w:cs="Arial"/>
              </w:rPr>
              <w:tab/>
              <w:t>15</w:t>
            </w:r>
          </w:hyperlink>
        </w:p>
        <w:p w14:paraId="1B8C01D7" w14:textId="77777777" w:rsidR="00094755" w:rsidRDefault="00094755">
          <w:pPr>
            <w:widowControl w:val="0"/>
            <w:tabs>
              <w:tab w:val="right" w:leader="dot" w:pos="12000"/>
            </w:tabs>
            <w:spacing w:before="0" w:after="0"/>
            <w:ind w:left="360"/>
            <w:rPr>
              <w:rFonts w:ascii="Arial" w:eastAsia="Arial" w:hAnsi="Arial" w:cs="Arial"/>
            </w:rPr>
          </w:pPr>
          <w:hyperlink w:anchor="_ws3df8wsh4un">
            <w:r>
              <w:rPr>
                <w:rFonts w:ascii="Arial" w:eastAsia="Arial" w:hAnsi="Arial" w:cs="Arial"/>
              </w:rPr>
              <w:t>4.1 Recommend Financial Restructuring Options</w:t>
            </w:r>
            <w:r>
              <w:rPr>
                <w:rFonts w:ascii="Arial" w:eastAsia="Arial" w:hAnsi="Arial" w:cs="Arial"/>
              </w:rPr>
              <w:tab/>
              <w:t>15</w:t>
            </w:r>
          </w:hyperlink>
        </w:p>
        <w:p w14:paraId="652F4EE0" w14:textId="77777777" w:rsidR="00094755" w:rsidRDefault="00094755">
          <w:pPr>
            <w:widowControl w:val="0"/>
            <w:tabs>
              <w:tab w:val="right" w:leader="dot" w:pos="12000"/>
            </w:tabs>
            <w:spacing w:before="0" w:after="0"/>
            <w:ind w:left="720"/>
            <w:rPr>
              <w:rFonts w:ascii="Arial" w:eastAsia="Arial" w:hAnsi="Arial" w:cs="Arial"/>
            </w:rPr>
          </w:pPr>
          <w:hyperlink w:anchor="_wuwh6g114t6r">
            <w:r>
              <w:rPr>
                <w:rFonts w:ascii="Arial" w:eastAsia="Arial" w:hAnsi="Arial" w:cs="Arial"/>
              </w:rPr>
              <w:t>Divestiture</w:t>
            </w:r>
            <w:r>
              <w:rPr>
                <w:rFonts w:ascii="Arial" w:eastAsia="Arial" w:hAnsi="Arial" w:cs="Arial"/>
              </w:rPr>
              <w:tab/>
              <w:t>15</w:t>
            </w:r>
          </w:hyperlink>
        </w:p>
        <w:p w14:paraId="62F1C2F0" w14:textId="77777777" w:rsidR="00094755" w:rsidRDefault="00094755">
          <w:pPr>
            <w:widowControl w:val="0"/>
            <w:tabs>
              <w:tab w:val="right" w:leader="dot" w:pos="12000"/>
            </w:tabs>
            <w:spacing w:before="0" w:after="0"/>
            <w:ind w:left="720"/>
            <w:rPr>
              <w:rFonts w:ascii="Arial" w:eastAsia="Arial" w:hAnsi="Arial" w:cs="Arial"/>
            </w:rPr>
          </w:pPr>
          <w:hyperlink w:anchor="_nllbeibts4w6">
            <w:r>
              <w:rPr>
                <w:rFonts w:ascii="Arial" w:eastAsia="Arial" w:hAnsi="Arial" w:cs="Arial"/>
              </w:rPr>
              <w:t>Merger</w:t>
            </w:r>
            <w:r>
              <w:rPr>
                <w:rFonts w:ascii="Arial" w:eastAsia="Arial" w:hAnsi="Arial" w:cs="Arial"/>
              </w:rPr>
              <w:tab/>
              <w:t>16</w:t>
            </w:r>
          </w:hyperlink>
        </w:p>
        <w:p w14:paraId="6FD049AD" w14:textId="77777777" w:rsidR="00094755" w:rsidRDefault="00094755">
          <w:pPr>
            <w:widowControl w:val="0"/>
            <w:tabs>
              <w:tab w:val="right" w:leader="dot" w:pos="12000"/>
            </w:tabs>
            <w:spacing w:before="0" w:after="0"/>
            <w:ind w:left="720"/>
            <w:rPr>
              <w:rFonts w:ascii="Arial" w:eastAsia="Arial" w:hAnsi="Arial" w:cs="Arial"/>
            </w:rPr>
          </w:pPr>
          <w:hyperlink w:anchor="_lsyugf13eiwi">
            <w:r>
              <w:rPr>
                <w:rFonts w:ascii="Arial" w:eastAsia="Arial" w:hAnsi="Arial" w:cs="Arial"/>
              </w:rPr>
              <w:t>Equity Injection</w:t>
            </w:r>
            <w:r>
              <w:rPr>
                <w:rFonts w:ascii="Arial" w:eastAsia="Arial" w:hAnsi="Arial" w:cs="Arial"/>
              </w:rPr>
              <w:tab/>
              <w:t>16</w:t>
            </w:r>
          </w:hyperlink>
        </w:p>
        <w:p w14:paraId="24A75F8B" w14:textId="77777777" w:rsidR="00094755" w:rsidRDefault="00094755">
          <w:pPr>
            <w:widowControl w:val="0"/>
            <w:tabs>
              <w:tab w:val="right" w:leader="dot" w:pos="12000"/>
            </w:tabs>
            <w:spacing w:before="0" w:after="0"/>
            <w:ind w:left="360"/>
            <w:rPr>
              <w:rFonts w:ascii="Arial" w:eastAsia="Arial" w:hAnsi="Arial" w:cs="Arial"/>
            </w:rPr>
          </w:pPr>
          <w:hyperlink w:anchor="_msprocasrrcd">
            <w:r>
              <w:rPr>
                <w:rFonts w:ascii="Arial" w:eastAsia="Arial" w:hAnsi="Arial" w:cs="Arial"/>
              </w:rPr>
              <w:t>4.2 Evaluate Impact on Shareholder Value</w:t>
            </w:r>
            <w:r>
              <w:rPr>
                <w:rFonts w:ascii="Arial" w:eastAsia="Arial" w:hAnsi="Arial" w:cs="Arial"/>
              </w:rPr>
              <w:tab/>
              <w:t>16</w:t>
            </w:r>
          </w:hyperlink>
        </w:p>
        <w:p w14:paraId="44092E57" w14:textId="77777777" w:rsidR="00094755" w:rsidRDefault="00094755">
          <w:pPr>
            <w:widowControl w:val="0"/>
            <w:tabs>
              <w:tab w:val="right" w:leader="dot" w:pos="12000"/>
            </w:tabs>
            <w:spacing w:before="0" w:after="0"/>
            <w:ind w:left="360"/>
            <w:rPr>
              <w:rFonts w:ascii="Arial" w:eastAsia="Arial" w:hAnsi="Arial" w:cs="Arial"/>
            </w:rPr>
          </w:pPr>
          <w:hyperlink w:anchor="_5196uf45bqh">
            <w:r>
              <w:rPr>
                <w:rFonts w:ascii="Arial" w:eastAsia="Arial" w:hAnsi="Arial" w:cs="Arial"/>
              </w:rPr>
              <w:t>4.3 Evaluate Impact on Debt Structure</w:t>
            </w:r>
            <w:r>
              <w:rPr>
                <w:rFonts w:ascii="Arial" w:eastAsia="Arial" w:hAnsi="Arial" w:cs="Arial"/>
              </w:rPr>
              <w:tab/>
              <w:t>17</w:t>
            </w:r>
          </w:hyperlink>
        </w:p>
        <w:p w14:paraId="2F438717" w14:textId="77777777" w:rsidR="00094755" w:rsidRDefault="00094755">
          <w:pPr>
            <w:widowControl w:val="0"/>
            <w:tabs>
              <w:tab w:val="right" w:leader="dot" w:pos="12000"/>
            </w:tabs>
            <w:spacing w:before="0" w:after="0"/>
            <w:ind w:left="360"/>
            <w:rPr>
              <w:rFonts w:ascii="Arial" w:eastAsia="Arial" w:hAnsi="Arial" w:cs="Arial"/>
            </w:rPr>
          </w:pPr>
          <w:hyperlink w:anchor="_vqan6i4m6xq2">
            <w:r>
              <w:rPr>
                <w:rFonts w:ascii="Arial" w:eastAsia="Arial" w:hAnsi="Arial" w:cs="Arial"/>
              </w:rPr>
              <w:t>4.4 Evaluate Impact on Operational Flexibility</w:t>
            </w:r>
            <w:r>
              <w:rPr>
                <w:rFonts w:ascii="Arial" w:eastAsia="Arial" w:hAnsi="Arial" w:cs="Arial"/>
              </w:rPr>
              <w:tab/>
              <w:t>17</w:t>
            </w:r>
          </w:hyperlink>
        </w:p>
        <w:p w14:paraId="4CA23BC5" w14:textId="77777777" w:rsidR="00094755" w:rsidRDefault="00094755">
          <w:pPr>
            <w:widowControl w:val="0"/>
            <w:tabs>
              <w:tab w:val="right" w:leader="dot" w:pos="12000"/>
            </w:tabs>
            <w:spacing w:before="0" w:after="0"/>
            <w:ind w:left="360"/>
            <w:rPr>
              <w:rFonts w:ascii="Arial" w:eastAsia="Arial" w:hAnsi="Arial" w:cs="Arial"/>
            </w:rPr>
          </w:pPr>
          <w:hyperlink w:anchor="_t4xyi8m414n7">
            <w:r>
              <w:rPr>
                <w:rFonts w:ascii="Arial" w:eastAsia="Arial" w:hAnsi="Arial" w:cs="Arial"/>
              </w:rPr>
              <w:t>4.5 Included international and ethical considerations</w:t>
            </w:r>
            <w:r>
              <w:rPr>
                <w:rFonts w:ascii="Arial" w:eastAsia="Arial" w:hAnsi="Arial" w:cs="Arial"/>
              </w:rPr>
              <w:tab/>
              <w:t>18</w:t>
            </w:r>
          </w:hyperlink>
        </w:p>
        <w:p w14:paraId="06DBDA2C" w14:textId="77777777" w:rsidR="00094755" w:rsidRDefault="00094755">
          <w:pPr>
            <w:widowControl w:val="0"/>
            <w:tabs>
              <w:tab w:val="right" w:leader="dot" w:pos="12000"/>
            </w:tabs>
            <w:spacing w:before="0" w:after="0"/>
            <w:ind w:left="720"/>
            <w:rPr>
              <w:rFonts w:ascii="Arial" w:eastAsia="Arial" w:hAnsi="Arial" w:cs="Arial"/>
            </w:rPr>
          </w:pPr>
          <w:hyperlink w:anchor="_j79o7gyaodn">
            <w:r>
              <w:rPr>
                <w:rFonts w:ascii="Arial" w:eastAsia="Arial" w:hAnsi="Arial" w:cs="Arial"/>
              </w:rPr>
              <w:t>Taxation</w:t>
            </w:r>
            <w:r>
              <w:rPr>
                <w:rFonts w:ascii="Arial" w:eastAsia="Arial" w:hAnsi="Arial" w:cs="Arial"/>
              </w:rPr>
              <w:tab/>
              <w:t>18</w:t>
            </w:r>
          </w:hyperlink>
        </w:p>
        <w:p w14:paraId="3B4D8926" w14:textId="77777777" w:rsidR="00094755" w:rsidRDefault="00094755">
          <w:pPr>
            <w:widowControl w:val="0"/>
            <w:tabs>
              <w:tab w:val="right" w:leader="dot" w:pos="12000"/>
            </w:tabs>
            <w:spacing w:before="0" w:after="0"/>
            <w:ind w:left="720"/>
            <w:rPr>
              <w:rFonts w:ascii="Arial" w:eastAsia="Arial" w:hAnsi="Arial" w:cs="Arial"/>
            </w:rPr>
          </w:pPr>
          <w:hyperlink w:anchor="_rgtdp77vxvr5">
            <w:r>
              <w:rPr>
                <w:rFonts w:ascii="Arial" w:eastAsia="Arial" w:hAnsi="Arial" w:cs="Arial"/>
              </w:rPr>
              <w:t>Currency Risk</w:t>
            </w:r>
            <w:r>
              <w:rPr>
                <w:rFonts w:ascii="Arial" w:eastAsia="Arial" w:hAnsi="Arial" w:cs="Arial"/>
              </w:rPr>
              <w:tab/>
              <w:t>18</w:t>
            </w:r>
          </w:hyperlink>
        </w:p>
        <w:p w14:paraId="2893555E" w14:textId="77777777" w:rsidR="00094755" w:rsidRDefault="00094755">
          <w:pPr>
            <w:widowControl w:val="0"/>
            <w:tabs>
              <w:tab w:val="right" w:leader="dot" w:pos="12000"/>
            </w:tabs>
            <w:spacing w:before="0" w:after="0"/>
            <w:ind w:left="720"/>
            <w:rPr>
              <w:rFonts w:ascii="Arial" w:eastAsia="Arial" w:hAnsi="Arial" w:cs="Arial"/>
            </w:rPr>
          </w:pPr>
          <w:hyperlink w:anchor="_up445j87rmwl">
            <w:r>
              <w:rPr>
                <w:rFonts w:ascii="Arial" w:eastAsia="Arial" w:hAnsi="Arial" w:cs="Arial"/>
              </w:rPr>
              <w:t>Inflation</w:t>
            </w:r>
            <w:r>
              <w:rPr>
                <w:rFonts w:ascii="Arial" w:eastAsia="Arial" w:hAnsi="Arial" w:cs="Arial"/>
              </w:rPr>
              <w:tab/>
              <w:t>18</w:t>
            </w:r>
          </w:hyperlink>
        </w:p>
        <w:p w14:paraId="373EB377" w14:textId="77777777" w:rsidR="00094755" w:rsidRDefault="00094755">
          <w:pPr>
            <w:widowControl w:val="0"/>
            <w:tabs>
              <w:tab w:val="right" w:leader="dot" w:pos="12000"/>
            </w:tabs>
            <w:spacing w:before="0" w:after="0"/>
            <w:ind w:left="720"/>
            <w:rPr>
              <w:rFonts w:ascii="Arial" w:eastAsia="Arial" w:hAnsi="Arial" w:cs="Arial"/>
            </w:rPr>
          </w:pPr>
          <w:hyperlink w:anchor="_ekucl0hah5yw">
            <w:r>
              <w:rPr>
                <w:rFonts w:ascii="Arial" w:eastAsia="Arial" w:hAnsi="Arial" w:cs="Arial"/>
              </w:rPr>
              <w:t>Corporate Social Responsibility (CSR)</w:t>
            </w:r>
            <w:r>
              <w:rPr>
                <w:rFonts w:ascii="Arial" w:eastAsia="Arial" w:hAnsi="Arial" w:cs="Arial"/>
              </w:rPr>
              <w:tab/>
              <w:t>19</w:t>
            </w:r>
          </w:hyperlink>
        </w:p>
        <w:p w14:paraId="7B77BE88" w14:textId="77777777" w:rsidR="00094755" w:rsidRDefault="00094755">
          <w:pPr>
            <w:widowControl w:val="0"/>
            <w:tabs>
              <w:tab w:val="right" w:leader="dot" w:pos="12000"/>
            </w:tabs>
            <w:spacing w:before="0" w:after="0"/>
            <w:rPr>
              <w:rFonts w:ascii="Arial" w:eastAsia="Arial" w:hAnsi="Arial" w:cs="Arial"/>
            </w:rPr>
          </w:pPr>
          <w:hyperlink w:anchor="_16f4qih4rrc">
            <w:r>
              <w:rPr>
                <w:rFonts w:ascii="Arial" w:eastAsia="Arial" w:hAnsi="Arial" w:cs="Arial"/>
              </w:rPr>
              <w:t>5. Investment Appraisal and Capital Budgeting</w:t>
            </w:r>
            <w:r>
              <w:rPr>
                <w:rFonts w:ascii="Arial" w:eastAsia="Arial" w:hAnsi="Arial" w:cs="Arial"/>
              </w:rPr>
              <w:tab/>
              <w:t>19</w:t>
            </w:r>
          </w:hyperlink>
        </w:p>
        <w:p w14:paraId="3BD57399" w14:textId="77777777" w:rsidR="00094755" w:rsidRDefault="00094755">
          <w:pPr>
            <w:widowControl w:val="0"/>
            <w:tabs>
              <w:tab w:val="right" w:leader="dot" w:pos="12000"/>
            </w:tabs>
            <w:spacing w:before="0" w:after="0"/>
            <w:ind w:left="360"/>
            <w:rPr>
              <w:rFonts w:ascii="Arial" w:eastAsia="Arial" w:hAnsi="Arial" w:cs="Arial"/>
            </w:rPr>
          </w:pPr>
          <w:hyperlink w:anchor="_409i80nb68dp">
            <w:r>
              <w:rPr>
                <w:rFonts w:ascii="Arial" w:eastAsia="Arial" w:hAnsi="Arial" w:cs="Arial"/>
              </w:rPr>
              <w:t>5.1 Overview of PBP, ARR, NPV, PI, and IRR</w:t>
            </w:r>
            <w:r>
              <w:rPr>
                <w:rFonts w:ascii="Arial" w:eastAsia="Arial" w:hAnsi="Arial" w:cs="Arial"/>
              </w:rPr>
              <w:tab/>
              <w:t>19</w:t>
            </w:r>
          </w:hyperlink>
        </w:p>
        <w:p w14:paraId="06C088BB" w14:textId="77777777" w:rsidR="00094755" w:rsidRDefault="00094755">
          <w:pPr>
            <w:widowControl w:val="0"/>
            <w:tabs>
              <w:tab w:val="right" w:leader="dot" w:pos="12000"/>
            </w:tabs>
            <w:spacing w:before="0" w:after="0"/>
            <w:ind w:left="720"/>
            <w:rPr>
              <w:rFonts w:ascii="Arial" w:eastAsia="Arial" w:hAnsi="Arial" w:cs="Arial"/>
            </w:rPr>
          </w:pPr>
          <w:hyperlink w:anchor="_oyr1drngl8di">
            <w:r>
              <w:rPr>
                <w:rFonts w:ascii="Arial" w:eastAsia="Arial" w:hAnsi="Arial" w:cs="Arial"/>
              </w:rPr>
              <w:t>“Payback Period (PBP)”</w:t>
            </w:r>
            <w:r>
              <w:rPr>
                <w:rFonts w:ascii="Arial" w:eastAsia="Arial" w:hAnsi="Arial" w:cs="Arial"/>
              </w:rPr>
              <w:tab/>
              <w:t>19</w:t>
            </w:r>
          </w:hyperlink>
        </w:p>
        <w:p w14:paraId="234A20BD" w14:textId="77777777" w:rsidR="00094755" w:rsidRDefault="00094755">
          <w:pPr>
            <w:widowControl w:val="0"/>
            <w:tabs>
              <w:tab w:val="right" w:leader="dot" w:pos="12000"/>
            </w:tabs>
            <w:spacing w:before="0" w:after="0"/>
            <w:ind w:left="720"/>
            <w:rPr>
              <w:rFonts w:ascii="Arial" w:eastAsia="Arial" w:hAnsi="Arial" w:cs="Arial"/>
            </w:rPr>
          </w:pPr>
          <w:hyperlink w:anchor="_hvop1v1w3ef4">
            <w:r>
              <w:rPr>
                <w:rFonts w:ascii="Arial" w:eastAsia="Arial" w:hAnsi="Arial" w:cs="Arial"/>
              </w:rPr>
              <w:t>“Accounting Rate of Return (ARR)”</w:t>
            </w:r>
            <w:r>
              <w:rPr>
                <w:rFonts w:ascii="Arial" w:eastAsia="Arial" w:hAnsi="Arial" w:cs="Arial"/>
              </w:rPr>
              <w:tab/>
              <w:t>19</w:t>
            </w:r>
          </w:hyperlink>
        </w:p>
        <w:p w14:paraId="6DD6ABFA" w14:textId="77777777" w:rsidR="00094755" w:rsidRDefault="00094755">
          <w:pPr>
            <w:widowControl w:val="0"/>
            <w:tabs>
              <w:tab w:val="right" w:leader="dot" w:pos="12000"/>
            </w:tabs>
            <w:spacing w:before="0" w:after="0"/>
            <w:ind w:left="720"/>
            <w:rPr>
              <w:rFonts w:ascii="Arial" w:eastAsia="Arial" w:hAnsi="Arial" w:cs="Arial"/>
            </w:rPr>
          </w:pPr>
          <w:hyperlink w:anchor="_5hakod947662">
            <w:r>
              <w:rPr>
                <w:rFonts w:ascii="Arial" w:eastAsia="Arial" w:hAnsi="Arial" w:cs="Arial"/>
              </w:rPr>
              <w:t>“Net Present Value (NPV)”</w:t>
            </w:r>
            <w:r>
              <w:rPr>
                <w:rFonts w:ascii="Arial" w:eastAsia="Arial" w:hAnsi="Arial" w:cs="Arial"/>
              </w:rPr>
              <w:tab/>
              <w:t>20</w:t>
            </w:r>
          </w:hyperlink>
        </w:p>
        <w:p w14:paraId="5F90944C" w14:textId="77777777" w:rsidR="00094755" w:rsidRDefault="00094755">
          <w:pPr>
            <w:widowControl w:val="0"/>
            <w:tabs>
              <w:tab w:val="right" w:leader="dot" w:pos="12000"/>
            </w:tabs>
            <w:spacing w:before="0" w:after="0"/>
            <w:ind w:left="720"/>
            <w:rPr>
              <w:rFonts w:ascii="Arial" w:eastAsia="Arial" w:hAnsi="Arial" w:cs="Arial"/>
            </w:rPr>
          </w:pPr>
          <w:hyperlink w:anchor="_1uuvzfig4olu">
            <w:r>
              <w:rPr>
                <w:rFonts w:ascii="Arial" w:eastAsia="Arial" w:hAnsi="Arial" w:cs="Arial"/>
              </w:rPr>
              <w:t>“Profitability Index (PI)”</w:t>
            </w:r>
            <w:r>
              <w:rPr>
                <w:rFonts w:ascii="Arial" w:eastAsia="Arial" w:hAnsi="Arial" w:cs="Arial"/>
              </w:rPr>
              <w:tab/>
              <w:t>20</w:t>
            </w:r>
          </w:hyperlink>
        </w:p>
        <w:p w14:paraId="489618D3" w14:textId="77777777" w:rsidR="00094755" w:rsidRDefault="00094755">
          <w:pPr>
            <w:widowControl w:val="0"/>
            <w:tabs>
              <w:tab w:val="right" w:leader="dot" w:pos="12000"/>
            </w:tabs>
            <w:spacing w:before="0" w:after="0"/>
            <w:ind w:left="720"/>
            <w:rPr>
              <w:rFonts w:ascii="Arial" w:eastAsia="Arial" w:hAnsi="Arial" w:cs="Arial"/>
            </w:rPr>
          </w:pPr>
          <w:hyperlink w:anchor="_9emwqxb7ayip">
            <w:r>
              <w:rPr>
                <w:rFonts w:ascii="Arial" w:eastAsia="Arial" w:hAnsi="Arial" w:cs="Arial"/>
              </w:rPr>
              <w:t>“Internal Rate of Return (IRR)”</w:t>
            </w:r>
            <w:r>
              <w:rPr>
                <w:rFonts w:ascii="Arial" w:eastAsia="Arial" w:hAnsi="Arial" w:cs="Arial"/>
              </w:rPr>
              <w:tab/>
              <w:t>20</w:t>
            </w:r>
          </w:hyperlink>
        </w:p>
        <w:p w14:paraId="4143421A" w14:textId="77777777" w:rsidR="00094755" w:rsidRDefault="00094755">
          <w:pPr>
            <w:widowControl w:val="0"/>
            <w:tabs>
              <w:tab w:val="right" w:leader="dot" w:pos="12000"/>
            </w:tabs>
            <w:spacing w:before="0" w:after="0"/>
            <w:ind w:left="360"/>
            <w:rPr>
              <w:rFonts w:ascii="Arial" w:eastAsia="Arial" w:hAnsi="Arial" w:cs="Arial"/>
            </w:rPr>
          </w:pPr>
          <w:hyperlink w:anchor="_6ucxibppa1v3">
            <w:r>
              <w:rPr>
                <w:rFonts w:ascii="Arial" w:eastAsia="Arial" w:hAnsi="Arial" w:cs="Arial"/>
              </w:rPr>
              <w:t>5.2 Investment Projects</w:t>
            </w:r>
            <w:r>
              <w:rPr>
                <w:rFonts w:ascii="Arial" w:eastAsia="Arial" w:hAnsi="Arial" w:cs="Arial"/>
              </w:rPr>
              <w:tab/>
              <w:t>20</w:t>
            </w:r>
          </w:hyperlink>
        </w:p>
        <w:p w14:paraId="4C4BA50E" w14:textId="77777777" w:rsidR="00094755" w:rsidRDefault="00094755">
          <w:pPr>
            <w:widowControl w:val="0"/>
            <w:tabs>
              <w:tab w:val="right" w:leader="dot" w:pos="12000"/>
            </w:tabs>
            <w:spacing w:before="0" w:after="0"/>
            <w:ind w:left="360"/>
            <w:rPr>
              <w:rFonts w:ascii="Arial" w:eastAsia="Arial" w:hAnsi="Arial" w:cs="Arial"/>
            </w:rPr>
          </w:pPr>
          <w:hyperlink w:anchor="_bi7kzujxkej9">
            <w:r>
              <w:rPr>
                <w:rFonts w:ascii="Arial" w:eastAsia="Arial" w:hAnsi="Arial" w:cs="Arial"/>
              </w:rPr>
              <w:t>5.3 Project A Analysis</w:t>
            </w:r>
            <w:r>
              <w:rPr>
                <w:rFonts w:ascii="Arial" w:eastAsia="Arial" w:hAnsi="Arial" w:cs="Arial"/>
              </w:rPr>
              <w:tab/>
              <w:t>21</w:t>
            </w:r>
          </w:hyperlink>
        </w:p>
        <w:p w14:paraId="0D07DA1D" w14:textId="77777777" w:rsidR="00094755" w:rsidRDefault="00094755">
          <w:pPr>
            <w:widowControl w:val="0"/>
            <w:tabs>
              <w:tab w:val="right" w:leader="dot" w:pos="12000"/>
            </w:tabs>
            <w:spacing w:before="0" w:after="0"/>
            <w:ind w:left="360"/>
            <w:rPr>
              <w:rFonts w:ascii="Arial" w:eastAsia="Arial" w:hAnsi="Arial" w:cs="Arial"/>
            </w:rPr>
          </w:pPr>
          <w:hyperlink w:anchor="_ajcwoeiv5clp">
            <w:r>
              <w:rPr>
                <w:rFonts w:ascii="Arial" w:eastAsia="Arial" w:hAnsi="Arial" w:cs="Arial"/>
              </w:rPr>
              <w:t>5.4 Project B Analysis</w:t>
            </w:r>
            <w:r>
              <w:rPr>
                <w:rFonts w:ascii="Arial" w:eastAsia="Arial" w:hAnsi="Arial" w:cs="Arial"/>
              </w:rPr>
              <w:tab/>
              <w:t>21</w:t>
            </w:r>
          </w:hyperlink>
        </w:p>
        <w:p w14:paraId="01473DB7" w14:textId="77777777" w:rsidR="00094755" w:rsidRDefault="00094755">
          <w:pPr>
            <w:widowControl w:val="0"/>
            <w:tabs>
              <w:tab w:val="right" w:leader="dot" w:pos="12000"/>
            </w:tabs>
            <w:spacing w:before="0" w:after="0"/>
            <w:ind w:left="360"/>
            <w:rPr>
              <w:rFonts w:ascii="Arial" w:eastAsia="Arial" w:hAnsi="Arial" w:cs="Arial"/>
            </w:rPr>
          </w:pPr>
          <w:hyperlink w:anchor="_iiylhwxivjl5">
            <w:r>
              <w:rPr>
                <w:rFonts w:ascii="Arial" w:eastAsia="Arial" w:hAnsi="Arial" w:cs="Arial"/>
              </w:rPr>
              <w:t>5.5 Project C Analysis</w:t>
            </w:r>
            <w:r>
              <w:rPr>
                <w:rFonts w:ascii="Arial" w:eastAsia="Arial" w:hAnsi="Arial" w:cs="Arial"/>
              </w:rPr>
              <w:tab/>
              <w:t>21</w:t>
            </w:r>
          </w:hyperlink>
        </w:p>
        <w:p w14:paraId="25174B48" w14:textId="77777777" w:rsidR="00094755" w:rsidRDefault="00094755">
          <w:pPr>
            <w:widowControl w:val="0"/>
            <w:tabs>
              <w:tab w:val="right" w:leader="dot" w:pos="12000"/>
            </w:tabs>
            <w:spacing w:before="0" w:after="0"/>
            <w:ind w:left="360"/>
            <w:rPr>
              <w:rFonts w:ascii="Arial" w:eastAsia="Arial" w:hAnsi="Arial" w:cs="Arial"/>
            </w:rPr>
          </w:pPr>
          <w:hyperlink w:anchor="_iemncokkqst">
            <w:r>
              <w:rPr>
                <w:rFonts w:ascii="Arial" w:eastAsia="Arial" w:hAnsi="Arial" w:cs="Arial"/>
              </w:rPr>
              <w:t>5.6 Project Recommendation and Justification</w:t>
            </w:r>
            <w:r>
              <w:rPr>
                <w:rFonts w:ascii="Arial" w:eastAsia="Arial" w:hAnsi="Arial" w:cs="Arial"/>
              </w:rPr>
              <w:tab/>
              <w:t>21</w:t>
            </w:r>
          </w:hyperlink>
        </w:p>
        <w:p w14:paraId="09AFCCAC" w14:textId="77777777" w:rsidR="00094755" w:rsidRDefault="00094755">
          <w:pPr>
            <w:widowControl w:val="0"/>
            <w:tabs>
              <w:tab w:val="right" w:leader="dot" w:pos="12000"/>
            </w:tabs>
            <w:spacing w:before="0" w:after="0"/>
            <w:ind w:left="720"/>
            <w:rPr>
              <w:rFonts w:ascii="Arial" w:eastAsia="Arial" w:hAnsi="Arial" w:cs="Arial"/>
            </w:rPr>
          </w:pPr>
          <w:hyperlink w:anchor="_sx8pv770ihiq">
            <w:r>
              <w:rPr>
                <w:rFonts w:ascii="Arial" w:eastAsia="Arial" w:hAnsi="Arial" w:cs="Arial"/>
              </w:rPr>
              <w:t>Recommended Project: Project C</w:t>
            </w:r>
            <w:r>
              <w:rPr>
                <w:rFonts w:ascii="Arial" w:eastAsia="Arial" w:hAnsi="Arial" w:cs="Arial"/>
              </w:rPr>
              <w:tab/>
              <w:t>21</w:t>
            </w:r>
          </w:hyperlink>
        </w:p>
        <w:p w14:paraId="384B945A" w14:textId="77777777" w:rsidR="00094755" w:rsidRDefault="00094755">
          <w:pPr>
            <w:widowControl w:val="0"/>
            <w:tabs>
              <w:tab w:val="right" w:leader="dot" w:pos="12000"/>
            </w:tabs>
            <w:spacing w:before="0" w:after="0"/>
            <w:ind w:left="720"/>
            <w:rPr>
              <w:rFonts w:ascii="Arial" w:eastAsia="Arial" w:hAnsi="Arial" w:cs="Arial"/>
            </w:rPr>
          </w:pPr>
          <w:hyperlink w:anchor="_pm7nqawc7c2v">
            <w:r>
              <w:rPr>
                <w:rFonts w:ascii="Arial" w:eastAsia="Arial" w:hAnsi="Arial" w:cs="Arial"/>
              </w:rPr>
              <w:t>Justification Based on Financial Performance</w:t>
            </w:r>
            <w:r>
              <w:rPr>
                <w:rFonts w:ascii="Arial" w:eastAsia="Arial" w:hAnsi="Arial" w:cs="Arial"/>
              </w:rPr>
              <w:tab/>
              <w:t>22</w:t>
            </w:r>
          </w:hyperlink>
        </w:p>
        <w:p w14:paraId="468702D2" w14:textId="77777777" w:rsidR="00094755" w:rsidRDefault="00094755">
          <w:pPr>
            <w:widowControl w:val="0"/>
            <w:tabs>
              <w:tab w:val="right" w:leader="dot" w:pos="12000"/>
            </w:tabs>
            <w:spacing w:before="0" w:after="0"/>
            <w:ind w:left="720"/>
            <w:rPr>
              <w:rFonts w:ascii="Arial" w:eastAsia="Arial" w:hAnsi="Arial" w:cs="Arial"/>
            </w:rPr>
          </w:pPr>
          <w:hyperlink w:anchor="_t3vcjh5pqcsk">
            <w:r>
              <w:rPr>
                <w:rFonts w:ascii="Arial" w:eastAsia="Arial" w:hAnsi="Arial" w:cs="Arial"/>
              </w:rPr>
              <w:t>Consideration of Non-Financial Risks</w:t>
            </w:r>
            <w:r>
              <w:rPr>
                <w:rFonts w:ascii="Arial" w:eastAsia="Arial" w:hAnsi="Arial" w:cs="Arial"/>
              </w:rPr>
              <w:tab/>
              <w:t>22</w:t>
            </w:r>
          </w:hyperlink>
        </w:p>
        <w:p w14:paraId="44840469" w14:textId="77777777" w:rsidR="00094755" w:rsidRDefault="00094755">
          <w:pPr>
            <w:widowControl w:val="0"/>
            <w:tabs>
              <w:tab w:val="right" w:leader="dot" w:pos="12000"/>
            </w:tabs>
            <w:spacing w:before="0" w:after="0"/>
            <w:ind w:left="720"/>
            <w:rPr>
              <w:rFonts w:ascii="Arial" w:eastAsia="Arial" w:hAnsi="Arial" w:cs="Arial"/>
            </w:rPr>
          </w:pPr>
          <w:hyperlink w:anchor="_rickr4m7itfk">
            <w:r>
              <w:rPr>
                <w:rFonts w:ascii="Arial" w:eastAsia="Arial" w:hAnsi="Arial" w:cs="Arial"/>
              </w:rPr>
              <w:t>Conclusion of Recommendation</w:t>
            </w:r>
            <w:r>
              <w:rPr>
                <w:rFonts w:ascii="Arial" w:eastAsia="Arial" w:hAnsi="Arial" w:cs="Arial"/>
              </w:rPr>
              <w:tab/>
              <w:t>22</w:t>
            </w:r>
          </w:hyperlink>
        </w:p>
        <w:p w14:paraId="17AA0CFC" w14:textId="77777777" w:rsidR="00094755" w:rsidRDefault="00094755">
          <w:pPr>
            <w:widowControl w:val="0"/>
            <w:tabs>
              <w:tab w:val="right" w:leader="dot" w:pos="12000"/>
            </w:tabs>
            <w:spacing w:before="0" w:after="0"/>
            <w:ind w:left="360"/>
            <w:rPr>
              <w:rFonts w:ascii="Arial" w:eastAsia="Arial" w:hAnsi="Arial" w:cs="Arial"/>
            </w:rPr>
          </w:pPr>
          <w:hyperlink w:anchor="_qzul9wiz0apr">
            <w:r>
              <w:rPr>
                <w:rFonts w:ascii="Arial" w:eastAsia="Arial" w:hAnsi="Arial" w:cs="Arial"/>
              </w:rPr>
              <w:t>5.7 Capital Rationing Decision</w:t>
            </w:r>
            <w:r>
              <w:rPr>
                <w:rFonts w:ascii="Arial" w:eastAsia="Arial" w:hAnsi="Arial" w:cs="Arial"/>
              </w:rPr>
              <w:tab/>
              <w:t>22</w:t>
            </w:r>
          </w:hyperlink>
        </w:p>
        <w:p w14:paraId="71C0D50B" w14:textId="77777777" w:rsidR="00094755" w:rsidRDefault="00094755">
          <w:pPr>
            <w:widowControl w:val="0"/>
            <w:tabs>
              <w:tab w:val="right" w:leader="dot" w:pos="12000"/>
            </w:tabs>
            <w:spacing w:before="0" w:after="0"/>
            <w:ind w:left="720"/>
            <w:rPr>
              <w:rFonts w:ascii="Arial" w:eastAsia="Arial" w:hAnsi="Arial" w:cs="Arial"/>
            </w:rPr>
          </w:pPr>
          <w:hyperlink w:anchor="_grb5ugdoc9pt">
            <w:r>
              <w:rPr>
                <w:rFonts w:ascii="Arial" w:eastAsia="Arial" w:hAnsi="Arial" w:cs="Arial"/>
              </w:rPr>
              <w:t>Capital Constraint and Feasible Combinations</w:t>
            </w:r>
            <w:r>
              <w:rPr>
                <w:rFonts w:ascii="Arial" w:eastAsia="Arial" w:hAnsi="Arial" w:cs="Arial"/>
              </w:rPr>
              <w:tab/>
              <w:t>22</w:t>
            </w:r>
          </w:hyperlink>
        </w:p>
        <w:p w14:paraId="0DB9FB5D" w14:textId="77777777" w:rsidR="00094755" w:rsidRDefault="00094755">
          <w:pPr>
            <w:widowControl w:val="0"/>
            <w:tabs>
              <w:tab w:val="right" w:leader="dot" w:pos="12000"/>
            </w:tabs>
            <w:spacing w:before="0" w:after="0"/>
            <w:ind w:left="720"/>
            <w:rPr>
              <w:rFonts w:ascii="Arial" w:eastAsia="Arial" w:hAnsi="Arial" w:cs="Arial"/>
            </w:rPr>
          </w:pPr>
          <w:hyperlink w:anchor="_6f0zc5s8r942">
            <w:r>
              <w:rPr>
                <w:rFonts w:ascii="Arial" w:eastAsia="Arial" w:hAnsi="Arial" w:cs="Arial"/>
              </w:rPr>
              <w:t>Evaluation of Project Combinations</w:t>
            </w:r>
            <w:r>
              <w:rPr>
                <w:rFonts w:ascii="Arial" w:eastAsia="Arial" w:hAnsi="Arial" w:cs="Arial"/>
              </w:rPr>
              <w:tab/>
              <w:t>23</w:t>
            </w:r>
          </w:hyperlink>
        </w:p>
        <w:p w14:paraId="32ECD5B5" w14:textId="77777777" w:rsidR="00094755" w:rsidRDefault="00094755">
          <w:pPr>
            <w:widowControl w:val="0"/>
            <w:tabs>
              <w:tab w:val="right" w:leader="dot" w:pos="12000"/>
            </w:tabs>
            <w:spacing w:before="0" w:after="0"/>
            <w:ind w:left="720"/>
            <w:rPr>
              <w:rFonts w:ascii="Arial" w:eastAsia="Arial" w:hAnsi="Arial" w:cs="Arial"/>
            </w:rPr>
          </w:pPr>
          <w:hyperlink w:anchor="_hel1haxfla3j">
            <w:r>
              <w:rPr>
                <w:rFonts w:ascii="Arial" w:eastAsia="Arial" w:hAnsi="Arial" w:cs="Arial"/>
              </w:rPr>
              <w:t>Justification Based on the Capital Rationing Principle</w:t>
            </w:r>
            <w:r>
              <w:rPr>
                <w:rFonts w:ascii="Arial" w:eastAsia="Arial" w:hAnsi="Arial" w:cs="Arial"/>
              </w:rPr>
              <w:tab/>
              <w:t>23</w:t>
            </w:r>
          </w:hyperlink>
        </w:p>
        <w:p w14:paraId="42CF6010" w14:textId="77777777" w:rsidR="00094755" w:rsidRDefault="00094755">
          <w:pPr>
            <w:widowControl w:val="0"/>
            <w:tabs>
              <w:tab w:val="right" w:leader="dot" w:pos="12000"/>
            </w:tabs>
            <w:spacing w:before="0" w:after="0"/>
            <w:ind w:left="720"/>
            <w:rPr>
              <w:rFonts w:ascii="Arial" w:eastAsia="Arial" w:hAnsi="Arial" w:cs="Arial"/>
            </w:rPr>
          </w:pPr>
          <w:hyperlink w:anchor="_3aeat49hha8h">
            <w:r>
              <w:rPr>
                <w:rFonts w:ascii="Arial" w:eastAsia="Arial" w:hAnsi="Arial" w:cs="Arial"/>
              </w:rPr>
              <w:t>Strategic Alignment with Tesla</w:t>
            </w:r>
            <w:r>
              <w:rPr>
                <w:rFonts w:ascii="Arial" w:eastAsia="Arial" w:hAnsi="Arial" w:cs="Arial"/>
              </w:rPr>
              <w:tab/>
              <w:t>23</w:t>
            </w:r>
          </w:hyperlink>
        </w:p>
        <w:p w14:paraId="28A52174" w14:textId="77777777" w:rsidR="00094755" w:rsidRDefault="00094755">
          <w:pPr>
            <w:widowControl w:val="0"/>
            <w:tabs>
              <w:tab w:val="right" w:leader="dot" w:pos="12000"/>
            </w:tabs>
            <w:spacing w:before="0" w:after="0"/>
            <w:rPr>
              <w:rFonts w:ascii="Arial" w:eastAsia="Arial" w:hAnsi="Arial" w:cs="Arial"/>
            </w:rPr>
          </w:pPr>
          <w:hyperlink w:anchor="_wehytcr7ddyl">
            <w:r>
              <w:rPr>
                <w:rFonts w:ascii="Arial" w:eastAsia="Arial" w:hAnsi="Arial" w:cs="Arial"/>
              </w:rPr>
              <w:t>6. Conclusion</w:t>
            </w:r>
            <w:r>
              <w:rPr>
                <w:rFonts w:ascii="Arial" w:eastAsia="Arial" w:hAnsi="Arial" w:cs="Arial"/>
              </w:rPr>
              <w:tab/>
              <w:t>23</w:t>
            </w:r>
          </w:hyperlink>
        </w:p>
        <w:p w14:paraId="6201183C" w14:textId="77777777" w:rsidR="00094755" w:rsidRDefault="00094755">
          <w:pPr>
            <w:widowControl w:val="0"/>
            <w:tabs>
              <w:tab w:val="right" w:leader="dot" w:pos="12000"/>
            </w:tabs>
            <w:spacing w:before="0" w:after="0"/>
            <w:rPr>
              <w:rFonts w:ascii="Arial" w:eastAsia="Arial" w:hAnsi="Arial" w:cs="Arial"/>
            </w:rPr>
          </w:pPr>
          <w:hyperlink w:anchor="_sp6jpel6lzhb">
            <w:r>
              <w:rPr>
                <w:rFonts w:ascii="Arial" w:eastAsia="Arial" w:hAnsi="Arial" w:cs="Arial"/>
              </w:rPr>
              <w:t>7. Reference List</w:t>
            </w:r>
            <w:r>
              <w:rPr>
                <w:rFonts w:ascii="Arial" w:eastAsia="Arial" w:hAnsi="Arial" w:cs="Arial"/>
              </w:rPr>
              <w:tab/>
              <w:t>25</w:t>
            </w:r>
          </w:hyperlink>
        </w:p>
        <w:p w14:paraId="5F0B9F5F" w14:textId="77777777" w:rsidR="00094755" w:rsidRDefault="00094755">
          <w:pPr>
            <w:widowControl w:val="0"/>
            <w:tabs>
              <w:tab w:val="right" w:leader="dot" w:pos="12000"/>
            </w:tabs>
            <w:spacing w:before="0" w:after="0"/>
            <w:rPr>
              <w:rFonts w:ascii="Arial" w:eastAsia="Arial" w:hAnsi="Arial" w:cs="Arial"/>
            </w:rPr>
          </w:pPr>
          <w:hyperlink w:anchor="_fnccigw7jhr2">
            <w:r>
              <w:rPr>
                <w:rFonts w:ascii="Arial" w:eastAsia="Arial" w:hAnsi="Arial" w:cs="Arial"/>
              </w:rPr>
              <w:t>8. Appendices</w:t>
            </w:r>
            <w:r>
              <w:rPr>
                <w:rFonts w:ascii="Arial" w:eastAsia="Arial" w:hAnsi="Arial" w:cs="Arial"/>
              </w:rPr>
              <w:tab/>
              <w:t>30</w:t>
            </w:r>
          </w:hyperlink>
        </w:p>
        <w:p w14:paraId="5BEDD6BA" w14:textId="77777777" w:rsidR="00094755" w:rsidRDefault="00094755">
          <w:pPr>
            <w:widowControl w:val="0"/>
            <w:tabs>
              <w:tab w:val="right" w:leader="dot" w:pos="12000"/>
            </w:tabs>
            <w:spacing w:before="0" w:after="0"/>
            <w:ind w:left="360"/>
            <w:rPr>
              <w:rFonts w:ascii="Arial" w:eastAsia="Arial" w:hAnsi="Arial" w:cs="Arial"/>
            </w:rPr>
          </w:pPr>
          <w:hyperlink w:anchor="_icb0crmmpnxb">
            <w:r>
              <w:rPr>
                <w:rFonts w:ascii="Arial" w:eastAsia="Arial" w:hAnsi="Arial" w:cs="Arial"/>
              </w:rPr>
              <w:t>Appendix 1: Financial Statements</w:t>
            </w:r>
            <w:r>
              <w:rPr>
                <w:rFonts w:ascii="Arial" w:eastAsia="Arial" w:hAnsi="Arial" w:cs="Arial"/>
              </w:rPr>
              <w:tab/>
              <w:t>30</w:t>
            </w:r>
          </w:hyperlink>
        </w:p>
        <w:p w14:paraId="4E5387E5" w14:textId="77777777" w:rsidR="00094755" w:rsidRDefault="00094755">
          <w:pPr>
            <w:widowControl w:val="0"/>
            <w:tabs>
              <w:tab w:val="right" w:leader="dot" w:pos="12000"/>
            </w:tabs>
            <w:spacing w:before="0" w:after="0"/>
            <w:ind w:left="360"/>
            <w:rPr>
              <w:rFonts w:ascii="Arial" w:eastAsia="Arial" w:hAnsi="Arial" w:cs="Arial"/>
            </w:rPr>
          </w:pPr>
          <w:hyperlink w:anchor="_x05kawinunjd">
            <w:r>
              <w:rPr>
                <w:rFonts w:ascii="Arial" w:eastAsia="Arial" w:hAnsi="Arial" w:cs="Arial"/>
              </w:rPr>
              <w:t>Appendix 2: Ratio Tables</w:t>
            </w:r>
            <w:r>
              <w:rPr>
                <w:rFonts w:ascii="Arial" w:eastAsia="Arial" w:hAnsi="Arial" w:cs="Arial"/>
              </w:rPr>
              <w:tab/>
              <w:t>30</w:t>
            </w:r>
          </w:hyperlink>
        </w:p>
        <w:p w14:paraId="75912C5D" w14:textId="77777777" w:rsidR="00094755" w:rsidRDefault="00094755">
          <w:pPr>
            <w:widowControl w:val="0"/>
            <w:tabs>
              <w:tab w:val="right" w:leader="dot" w:pos="12000"/>
            </w:tabs>
            <w:spacing w:before="0" w:after="0"/>
            <w:ind w:left="360"/>
            <w:rPr>
              <w:rFonts w:ascii="Arial" w:eastAsia="Arial" w:hAnsi="Arial" w:cs="Arial"/>
            </w:rPr>
          </w:pPr>
          <w:hyperlink w:anchor="_l8mbk8v6h79q">
            <w:r>
              <w:rPr>
                <w:rFonts w:ascii="Arial" w:eastAsia="Arial" w:hAnsi="Arial" w:cs="Arial"/>
              </w:rPr>
              <w:t>Appendix 3: Ratio Graphs</w:t>
            </w:r>
            <w:r>
              <w:rPr>
                <w:rFonts w:ascii="Arial" w:eastAsia="Arial" w:hAnsi="Arial" w:cs="Arial"/>
              </w:rPr>
              <w:tab/>
              <w:t>30</w:t>
            </w:r>
          </w:hyperlink>
        </w:p>
        <w:p w14:paraId="5D5FD342" w14:textId="77777777" w:rsidR="00094755" w:rsidRDefault="00094755">
          <w:pPr>
            <w:widowControl w:val="0"/>
            <w:tabs>
              <w:tab w:val="right" w:leader="dot" w:pos="12000"/>
            </w:tabs>
            <w:spacing w:before="0" w:after="0"/>
            <w:ind w:left="360"/>
            <w:rPr>
              <w:rFonts w:ascii="Arial" w:eastAsia="Arial" w:hAnsi="Arial" w:cs="Arial"/>
            </w:rPr>
          </w:pPr>
          <w:hyperlink w:anchor="_g96qei810c5e">
            <w:r>
              <w:rPr>
                <w:rFonts w:ascii="Arial" w:eastAsia="Arial" w:hAnsi="Arial" w:cs="Arial"/>
              </w:rPr>
              <w:t>Appendix 4: “Cash Operating Cycle” Table</w:t>
            </w:r>
            <w:r>
              <w:rPr>
                <w:rFonts w:ascii="Arial" w:eastAsia="Arial" w:hAnsi="Arial" w:cs="Arial"/>
              </w:rPr>
              <w:tab/>
              <w:t>30</w:t>
            </w:r>
          </w:hyperlink>
        </w:p>
        <w:p w14:paraId="40388556" w14:textId="77777777" w:rsidR="00094755" w:rsidRDefault="00094755">
          <w:pPr>
            <w:widowControl w:val="0"/>
            <w:tabs>
              <w:tab w:val="right" w:leader="dot" w:pos="12000"/>
            </w:tabs>
            <w:spacing w:before="0" w:after="0"/>
            <w:ind w:left="360"/>
            <w:rPr>
              <w:rFonts w:ascii="Arial" w:eastAsia="Arial" w:hAnsi="Arial" w:cs="Arial"/>
            </w:rPr>
          </w:pPr>
          <w:hyperlink w:anchor="_s127c5cx0nqq">
            <w:r>
              <w:rPr>
                <w:rFonts w:ascii="Arial" w:eastAsia="Arial" w:hAnsi="Arial" w:cs="Arial"/>
              </w:rPr>
              <w:t>Appendix 5: “Cash Operating Cycle” Graph</w:t>
            </w:r>
            <w:r>
              <w:rPr>
                <w:rFonts w:ascii="Arial" w:eastAsia="Arial" w:hAnsi="Arial" w:cs="Arial"/>
              </w:rPr>
              <w:tab/>
              <w:t>30</w:t>
            </w:r>
          </w:hyperlink>
        </w:p>
        <w:p w14:paraId="535FFF78" w14:textId="77777777" w:rsidR="00094755" w:rsidRDefault="00094755">
          <w:pPr>
            <w:widowControl w:val="0"/>
            <w:tabs>
              <w:tab w:val="right" w:leader="dot" w:pos="12000"/>
            </w:tabs>
            <w:spacing w:before="0" w:after="0"/>
            <w:ind w:left="360"/>
            <w:rPr>
              <w:rFonts w:ascii="Arial" w:eastAsia="Arial" w:hAnsi="Arial" w:cs="Arial"/>
            </w:rPr>
          </w:pPr>
          <w:hyperlink w:anchor="_4cfklyvlen93">
            <w:r>
              <w:rPr>
                <w:rFonts w:ascii="Arial" w:eastAsia="Arial" w:hAnsi="Arial" w:cs="Arial"/>
              </w:rPr>
              <w:t>Appendix 6: Investment Appraisal Calculations</w:t>
            </w:r>
            <w:r>
              <w:rPr>
                <w:rFonts w:ascii="Arial" w:eastAsia="Arial" w:hAnsi="Arial" w:cs="Arial"/>
              </w:rPr>
              <w:tab/>
              <w:t>30</w:t>
            </w:r>
          </w:hyperlink>
          <w:r>
            <w:fldChar w:fldCharType="end"/>
          </w:r>
        </w:p>
      </w:sdtContent>
    </w:sdt>
    <w:p w14:paraId="24D88685" w14:textId="77777777" w:rsidR="00094755" w:rsidRDefault="009B1CB7">
      <w:pPr>
        <w:rPr>
          <w:rFonts w:ascii="Arial" w:eastAsia="Arial" w:hAnsi="Arial" w:cs="Arial"/>
        </w:rPr>
      </w:pPr>
      <w:r>
        <w:br w:type="page"/>
      </w:r>
    </w:p>
    <w:p w14:paraId="21AD73AF" w14:textId="77777777" w:rsidR="00094755" w:rsidRDefault="009B1CB7">
      <w:pPr>
        <w:pStyle w:val="Heading1"/>
      </w:pPr>
      <w:bookmarkStart w:id="0" w:name="_n52cp3audab9" w:colFirst="0" w:colLast="0"/>
      <w:bookmarkEnd w:id="0"/>
      <w:r>
        <w:lastRenderedPageBreak/>
        <w:t>1. Introduction</w:t>
      </w:r>
    </w:p>
    <w:p w14:paraId="163BD279" w14:textId="77777777" w:rsidR="00094755" w:rsidRDefault="009B1CB7">
      <w:pPr>
        <w:rPr>
          <w:rFonts w:ascii="Arial" w:eastAsia="Arial" w:hAnsi="Arial" w:cs="Arial"/>
        </w:rPr>
      </w:pPr>
      <w:r>
        <w:rPr>
          <w:rFonts w:ascii="Arial" w:eastAsia="Arial" w:hAnsi="Arial" w:cs="Arial"/>
        </w:rPr>
        <w:t xml:space="preserve">Financial management is essential in organisational sustainability, strategic development, and value creation, especially in capital-intensive sectors, including electric vehicles. Tesla, being one of the most powerful manufacturers of EVs in the world, has a very competitive and quickly developing market, and financial performance assessment is one of the key factors to make adequate decisions (Tesla, 2026). The objective of the </w:t>
      </w:r>
      <w:r w:rsidR="006F7D65">
        <w:rPr>
          <w:rFonts w:ascii="Arial" w:eastAsia="Arial" w:hAnsi="Arial" w:cs="Arial"/>
        </w:rPr>
        <w:t>assessment</w:t>
      </w:r>
      <w:r>
        <w:rPr>
          <w:rFonts w:ascii="Arial" w:eastAsia="Arial" w:hAnsi="Arial" w:cs="Arial"/>
        </w:rPr>
        <w:t xml:space="preserve"> is to examine Tesla's financial performance in the last five years, its major financial challenges, and to suggest strategic financial solutions. It </w:t>
      </w:r>
      <w:r w:rsidR="005A5E32">
        <w:rPr>
          <w:rFonts w:ascii="Arial" w:eastAsia="Arial" w:hAnsi="Arial" w:cs="Arial"/>
        </w:rPr>
        <w:t>analyses</w:t>
      </w:r>
      <w:r>
        <w:rPr>
          <w:rFonts w:ascii="Arial" w:eastAsia="Arial" w:hAnsi="Arial" w:cs="Arial"/>
        </w:rPr>
        <w:t xml:space="preserve"> the efficiency of working capital, restructuring opportunities, and investment appraisal decisions. The </w:t>
      </w:r>
      <w:r w:rsidR="006F7D65" w:rsidRPr="006F7D65">
        <w:rPr>
          <w:rFonts w:ascii="Arial" w:eastAsia="Arial" w:hAnsi="Arial" w:cs="Arial"/>
        </w:rPr>
        <w:t xml:space="preserve">assessment </w:t>
      </w:r>
      <w:r>
        <w:rPr>
          <w:rFonts w:ascii="Arial" w:eastAsia="Arial" w:hAnsi="Arial" w:cs="Arial"/>
        </w:rPr>
        <w:t>is organized in terms of financial analysis, working capital evaluation, strategic restructuring, and capital budgeting evaluation.</w:t>
      </w:r>
    </w:p>
    <w:p w14:paraId="100633E4" w14:textId="77777777" w:rsidR="00094755" w:rsidRDefault="009B1CB7">
      <w:pPr>
        <w:pStyle w:val="Heading1"/>
      </w:pPr>
      <w:bookmarkStart w:id="1" w:name="_yfw79fgpjw9k" w:colFirst="0" w:colLast="0"/>
      <w:bookmarkEnd w:id="1"/>
      <w:r>
        <w:t>2. Financial Health Check</w:t>
      </w:r>
    </w:p>
    <w:p w14:paraId="590173B0" w14:textId="77777777" w:rsidR="00094755" w:rsidRDefault="009B1CB7">
      <w:pPr>
        <w:pStyle w:val="Heading2"/>
      </w:pPr>
      <w:bookmarkStart w:id="2" w:name="_gewgrdwki8fg" w:colFirst="0" w:colLast="0"/>
      <w:bookmarkEnd w:id="2"/>
      <w:r>
        <w:t>2.1 Five-Year Financial Statements</w:t>
      </w:r>
    </w:p>
    <w:p w14:paraId="27C01A2E" w14:textId="77777777" w:rsidR="00094755" w:rsidRDefault="009B1CB7">
      <w:pPr>
        <w:jc w:val="center"/>
        <w:rPr>
          <w:rFonts w:ascii="Arial" w:eastAsia="Arial" w:hAnsi="Arial" w:cs="Arial"/>
        </w:rPr>
      </w:pPr>
      <w:r>
        <w:rPr>
          <w:rFonts w:ascii="Arial" w:eastAsia="Arial" w:hAnsi="Arial" w:cs="Arial"/>
          <w:noProof/>
        </w:rPr>
        <w:drawing>
          <wp:inline distT="114300" distB="114300" distL="114300" distR="114300" wp14:anchorId="45442041" wp14:editId="678455B3">
            <wp:extent cx="4732020" cy="32385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4732292" cy="3238686"/>
                    </a:xfrm>
                    <a:prstGeom prst="rect">
                      <a:avLst/>
                    </a:prstGeom>
                    <a:ln/>
                  </pic:spPr>
                </pic:pic>
              </a:graphicData>
            </a:graphic>
          </wp:inline>
        </w:drawing>
      </w:r>
    </w:p>
    <w:p w14:paraId="0FB91820" w14:textId="77777777" w:rsidR="00094755" w:rsidRDefault="009B1CB7">
      <w:pPr>
        <w:jc w:val="center"/>
        <w:rPr>
          <w:rFonts w:ascii="Arial" w:eastAsia="Arial" w:hAnsi="Arial" w:cs="Arial"/>
          <w:b/>
          <w:bCs/>
        </w:rPr>
      </w:pPr>
      <w:r>
        <w:rPr>
          <w:rFonts w:ascii="Arial" w:eastAsia="Arial" w:hAnsi="Arial" w:cs="Arial"/>
          <w:b/>
          <w:bCs/>
        </w:rPr>
        <w:t>Figure 1: Table of Income Statement</w:t>
      </w:r>
    </w:p>
    <w:p w14:paraId="4ADF4D0E" w14:textId="77777777" w:rsidR="00094755" w:rsidRDefault="009B1CB7">
      <w:pPr>
        <w:jc w:val="center"/>
        <w:rPr>
          <w:rFonts w:ascii="Arial" w:eastAsia="Arial" w:hAnsi="Arial" w:cs="Arial"/>
        </w:rPr>
      </w:pPr>
      <w:r>
        <w:rPr>
          <w:rFonts w:ascii="Arial" w:eastAsia="Arial" w:hAnsi="Arial" w:cs="Arial"/>
        </w:rPr>
        <w:t>(Source: MS-Excel)</w:t>
      </w:r>
    </w:p>
    <w:p w14:paraId="739BEC39" w14:textId="77777777" w:rsidR="00094755" w:rsidRDefault="009B1CB7">
      <w:pPr>
        <w:rPr>
          <w:rFonts w:ascii="Arial" w:eastAsia="Arial" w:hAnsi="Arial" w:cs="Arial"/>
        </w:rPr>
      </w:pPr>
      <w:r>
        <w:rPr>
          <w:rFonts w:ascii="Arial" w:eastAsia="Arial" w:hAnsi="Arial" w:cs="Arial"/>
        </w:rPr>
        <w:lastRenderedPageBreak/>
        <w:t>Tesla grew its revenue by a substantial margin as the revenue of the company rose by a significant margin between 2020 and 2024, with its revenue increasing to 97,690m. There was a minor decrease in the revenue of the company to 96,773m in 2023. Gross profit was highest in 2022 at 20,853m and in 2024 at 17,450m, which means that there is margin pressure because of increasing costs and lower prices. Operating income also decreased from $13,656m in 2022 to $7,076m in 2024, reflecting higher operating expenses</w:t>
      </w:r>
      <w:r>
        <w:rPr>
          <w:rFonts w:ascii="Arial" w:eastAsia="Arial" w:hAnsi="Arial" w:cs="Arial"/>
        </w:rPr>
        <w:t xml:space="preserve"> (Tesla, 2020; Tesla, 2022; Tesla, 2024). The net income decreased dramatically in 2024 compared to 2023 by $14,974m to $7,153m, indicating that despite an increase in revenues, the company faces profitability problems.</w:t>
      </w:r>
    </w:p>
    <w:p w14:paraId="3FC23441" w14:textId="77777777" w:rsidR="00094755" w:rsidRDefault="009B1CB7">
      <w:pPr>
        <w:jc w:val="center"/>
        <w:rPr>
          <w:rFonts w:ascii="Arial" w:eastAsia="Arial" w:hAnsi="Arial" w:cs="Arial"/>
        </w:rPr>
      </w:pPr>
      <w:r>
        <w:rPr>
          <w:rFonts w:ascii="Arial" w:eastAsia="Arial" w:hAnsi="Arial" w:cs="Arial"/>
          <w:noProof/>
        </w:rPr>
        <w:drawing>
          <wp:inline distT="114300" distB="114300" distL="114300" distR="114300" wp14:anchorId="5A9531EA" wp14:editId="6D487481">
            <wp:extent cx="5036820" cy="36576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037108" cy="3657809"/>
                    </a:xfrm>
                    <a:prstGeom prst="rect">
                      <a:avLst/>
                    </a:prstGeom>
                    <a:ln/>
                  </pic:spPr>
                </pic:pic>
              </a:graphicData>
            </a:graphic>
          </wp:inline>
        </w:drawing>
      </w:r>
    </w:p>
    <w:p w14:paraId="185B6AAC" w14:textId="77777777" w:rsidR="00094755" w:rsidRDefault="009B1CB7">
      <w:pPr>
        <w:jc w:val="center"/>
        <w:rPr>
          <w:rFonts w:ascii="Arial" w:eastAsia="Arial" w:hAnsi="Arial" w:cs="Arial"/>
          <w:b/>
          <w:bCs/>
        </w:rPr>
      </w:pPr>
      <w:r>
        <w:rPr>
          <w:rFonts w:ascii="Arial" w:eastAsia="Arial" w:hAnsi="Arial" w:cs="Arial"/>
          <w:b/>
          <w:bCs/>
        </w:rPr>
        <w:t>Figure 2: Table of Balance Sheet</w:t>
      </w:r>
    </w:p>
    <w:p w14:paraId="0617FFC9" w14:textId="77777777" w:rsidR="00094755" w:rsidRDefault="009B1CB7">
      <w:pPr>
        <w:jc w:val="center"/>
        <w:rPr>
          <w:rFonts w:ascii="Arial" w:eastAsia="Arial" w:hAnsi="Arial" w:cs="Arial"/>
        </w:rPr>
      </w:pPr>
      <w:r>
        <w:rPr>
          <w:rFonts w:ascii="Arial" w:eastAsia="Arial" w:hAnsi="Arial" w:cs="Arial"/>
        </w:rPr>
        <w:t>(Source: MS-Excel)</w:t>
      </w:r>
    </w:p>
    <w:p w14:paraId="61BC7771" w14:textId="77777777" w:rsidR="00094755" w:rsidRDefault="009B1CB7">
      <w:pPr>
        <w:rPr>
          <w:rFonts w:ascii="Arial" w:eastAsia="Arial" w:hAnsi="Arial" w:cs="Arial"/>
        </w:rPr>
      </w:pPr>
      <w:r>
        <w:rPr>
          <w:rFonts w:ascii="Arial" w:eastAsia="Arial" w:hAnsi="Arial" w:cs="Arial"/>
        </w:rPr>
        <w:t xml:space="preserve">The total assets of Tesla have grown considerably, with 2020 being 52,148m and 2024 at 122,070m, due to the increase in property, plant, and equipment, which grew to 35,836m. This increased the current assets to $58,360m with an increase in short-term investments (20,424m). The total liabilities moderately increased to $48,390m, whereas the equity increased significantly to 72,913m, which suggests that the </w:t>
      </w:r>
      <w:r>
        <w:rPr>
          <w:rFonts w:ascii="Arial" w:eastAsia="Arial" w:hAnsi="Arial" w:cs="Arial"/>
        </w:rPr>
        <w:lastRenderedPageBreak/>
        <w:t>situation improved in terms of financial stability (Tesla, 2020; Tesla, 2022; Tesla, 2024). The retained earnings changed from -5,399m in 2020 to 35,209m in 2024, which indicates the accumulation of profits, but the decrease in the debt position indicates a decreased financial risk.</w:t>
      </w:r>
    </w:p>
    <w:p w14:paraId="163F1773" w14:textId="77777777" w:rsidR="00094755" w:rsidRDefault="009B1CB7">
      <w:pPr>
        <w:jc w:val="center"/>
        <w:rPr>
          <w:rFonts w:ascii="Arial" w:eastAsia="Arial" w:hAnsi="Arial" w:cs="Arial"/>
        </w:rPr>
      </w:pPr>
      <w:r>
        <w:rPr>
          <w:rFonts w:ascii="Arial" w:eastAsia="Arial" w:hAnsi="Arial" w:cs="Arial"/>
          <w:noProof/>
        </w:rPr>
        <w:drawing>
          <wp:inline distT="114300" distB="114300" distL="114300" distR="114300" wp14:anchorId="6EE36BFF" wp14:editId="4842876E">
            <wp:extent cx="4975860" cy="3558540"/>
            <wp:effectExtent l="0" t="0" r="0" b="381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976145" cy="3558744"/>
                    </a:xfrm>
                    <a:prstGeom prst="rect">
                      <a:avLst/>
                    </a:prstGeom>
                    <a:ln/>
                  </pic:spPr>
                </pic:pic>
              </a:graphicData>
            </a:graphic>
          </wp:inline>
        </w:drawing>
      </w:r>
    </w:p>
    <w:p w14:paraId="0D7351C0" w14:textId="77777777" w:rsidR="00094755" w:rsidRDefault="009B1CB7">
      <w:pPr>
        <w:jc w:val="center"/>
        <w:rPr>
          <w:rFonts w:ascii="Arial" w:eastAsia="Arial" w:hAnsi="Arial" w:cs="Arial"/>
          <w:b/>
          <w:bCs/>
        </w:rPr>
      </w:pPr>
      <w:r>
        <w:rPr>
          <w:rFonts w:ascii="Arial" w:eastAsia="Arial" w:hAnsi="Arial" w:cs="Arial"/>
          <w:b/>
          <w:bCs/>
        </w:rPr>
        <w:t>Figure 3: Table of Cash Flow</w:t>
      </w:r>
    </w:p>
    <w:p w14:paraId="1C13E45B" w14:textId="77777777" w:rsidR="00094755" w:rsidRDefault="009B1CB7">
      <w:pPr>
        <w:jc w:val="center"/>
        <w:rPr>
          <w:rFonts w:ascii="Arial" w:eastAsia="Arial" w:hAnsi="Arial" w:cs="Arial"/>
        </w:rPr>
      </w:pPr>
      <w:r>
        <w:rPr>
          <w:rFonts w:ascii="Arial" w:eastAsia="Arial" w:hAnsi="Arial" w:cs="Arial"/>
        </w:rPr>
        <w:t>(Source: MS-Excel)</w:t>
      </w:r>
    </w:p>
    <w:p w14:paraId="422C33FA" w14:textId="77777777" w:rsidR="00094755" w:rsidRDefault="009B1CB7">
      <w:pPr>
        <w:rPr>
          <w:rFonts w:ascii="Arial" w:eastAsia="Arial" w:hAnsi="Arial" w:cs="Arial"/>
        </w:rPr>
      </w:pPr>
      <w:r>
        <w:rPr>
          <w:rFonts w:ascii="Arial" w:eastAsia="Arial" w:hAnsi="Arial" w:cs="Arial"/>
        </w:rPr>
        <w:t>Tesla's operating cash flow was also robust, growing from 5,943m in 2020 and 14,923m in 2024, which shows that Tesla has a solid core business performance, despite the deterioration of its net income to 7,153m in 2024. Outflows in investing activities are high, and they increase to -18,787m in 2024, predominantly through high investment purchases (-35,955m) and capital expenditure (-11,339m), as a sign of expansion strategy. In 2024, financing cash flow became positive at 3,853m and was facilitated by the i</w:t>
      </w:r>
      <w:r>
        <w:rPr>
          <w:rFonts w:ascii="Arial" w:eastAsia="Arial" w:hAnsi="Arial" w:cs="Arial"/>
        </w:rPr>
        <w:t>ssuance of debts (Tesla, 2020; Tesla, 2022; Tesla, 2024). Cash reduced by -152m, slightly indicating a high reinvestment and liquidity pressure despite high operation cash generation.</w:t>
      </w:r>
    </w:p>
    <w:p w14:paraId="34D2CB26" w14:textId="77777777" w:rsidR="00094755" w:rsidRDefault="009B1CB7">
      <w:pPr>
        <w:pStyle w:val="Heading2"/>
      </w:pPr>
      <w:bookmarkStart w:id="3" w:name="_wcga3pk8ysts" w:colFirst="0" w:colLast="0"/>
      <w:bookmarkEnd w:id="3"/>
      <w:r>
        <w:lastRenderedPageBreak/>
        <w:t xml:space="preserve">2.2 Performance of Ratios from 2020-2024 </w:t>
      </w:r>
    </w:p>
    <w:p w14:paraId="15C835AB" w14:textId="77777777" w:rsidR="00094755" w:rsidRDefault="003B0FFF">
      <w:pPr>
        <w:jc w:val="center"/>
        <w:rPr>
          <w:rFonts w:ascii="Arial" w:eastAsia="Arial" w:hAnsi="Arial" w:cs="Arial"/>
          <w:b/>
          <w:bCs/>
        </w:rPr>
      </w:pPr>
      <w:r w:rsidRPr="003B0FFF">
        <w:rPr>
          <w:rFonts w:ascii="Arial" w:eastAsia="Arial" w:hAnsi="Arial" w:cs="Arial"/>
          <w:b/>
          <w:bCs/>
          <w:noProof/>
        </w:rPr>
        <w:drawing>
          <wp:inline distT="0" distB="0" distL="0" distR="0" wp14:anchorId="2A46BD3E" wp14:editId="1E73CBFD">
            <wp:extent cx="4610100" cy="5722192"/>
            <wp:effectExtent l="0" t="0" r="0" b="0"/>
            <wp:docPr id="338590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590856" name=""/>
                    <pic:cNvPicPr/>
                  </pic:nvPicPr>
                  <pic:blipFill>
                    <a:blip r:embed="rId10"/>
                    <a:stretch>
                      <a:fillRect/>
                    </a:stretch>
                  </pic:blipFill>
                  <pic:spPr>
                    <a:xfrm>
                      <a:off x="0" y="0"/>
                      <a:ext cx="4619383" cy="5733714"/>
                    </a:xfrm>
                    <a:prstGeom prst="rect">
                      <a:avLst/>
                    </a:prstGeom>
                  </pic:spPr>
                </pic:pic>
              </a:graphicData>
            </a:graphic>
          </wp:inline>
        </w:drawing>
      </w:r>
    </w:p>
    <w:p w14:paraId="3CBF91D3" w14:textId="77777777" w:rsidR="00094755" w:rsidRDefault="009B1CB7">
      <w:pPr>
        <w:jc w:val="center"/>
        <w:rPr>
          <w:rFonts w:ascii="Arial" w:eastAsia="Arial" w:hAnsi="Arial" w:cs="Arial"/>
          <w:b/>
          <w:bCs/>
        </w:rPr>
      </w:pPr>
      <w:r>
        <w:rPr>
          <w:rFonts w:ascii="Arial" w:eastAsia="Arial" w:hAnsi="Arial" w:cs="Arial"/>
          <w:b/>
          <w:bCs/>
        </w:rPr>
        <w:t>Figure 4: Summary Ratios Calculation</w:t>
      </w:r>
    </w:p>
    <w:p w14:paraId="1C4A280B" w14:textId="77777777" w:rsidR="00094755" w:rsidRDefault="009B1CB7">
      <w:pPr>
        <w:jc w:val="center"/>
        <w:rPr>
          <w:rFonts w:ascii="Arial" w:eastAsia="Arial" w:hAnsi="Arial" w:cs="Arial"/>
        </w:rPr>
      </w:pPr>
      <w:r>
        <w:rPr>
          <w:rFonts w:ascii="Arial" w:eastAsia="Arial" w:hAnsi="Arial" w:cs="Arial"/>
        </w:rPr>
        <w:t>(Source: MS-Excel)</w:t>
      </w:r>
    </w:p>
    <w:p w14:paraId="63EEE00C" w14:textId="77777777" w:rsidR="00094755" w:rsidRDefault="009B1CB7">
      <w:pPr>
        <w:pStyle w:val="Heading3"/>
      </w:pPr>
      <w:bookmarkStart w:id="4" w:name="_i4lpzjtbkhxw" w:colFirst="0" w:colLast="0"/>
      <w:bookmarkEnd w:id="4"/>
      <w:r>
        <w:t>“Profitability Ratios”</w:t>
      </w:r>
    </w:p>
    <w:p w14:paraId="5E161316" w14:textId="77777777" w:rsidR="00094755" w:rsidRDefault="009B1CB7">
      <w:pPr>
        <w:rPr>
          <w:rFonts w:ascii="Arial" w:eastAsia="Arial" w:hAnsi="Arial" w:cs="Arial"/>
        </w:rPr>
      </w:pPr>
      <w:r>
        <w:rPr>
          <w:rFonts w:ascii="Arial" w:eastAsia="Arial" w:hAnsi="Arial" w:cs="Arial"/>
        </w:rPr>
        <w:t xml:space="preserve">Tesla became more profitable as ROCE increased to 2022, with ROCE rising from 3.04% (2020) to 24.66% (2022), before declining to 9.64% in 2024 due to margin pressure. The highest operating margin was 16.76% in </w:t>
      </w:r>
      <w:r w:rsidR="005A5E32">
        <w:rPr>
          <w:rFonts w:ascii="Arial" w:eastAsia="Arial" w:hAnsi="Arial" w:cs="Arial"/>
        </w:rPr>
        <w:t>2022 but</w:t>
      </w:r>
      <w:r>
        <w:rPr>
          <w:rFonts w:ascii="Arial" w:eastAsia="Arial" w:hAnsi="Arial" w:cs="Arial"/>
        </w:rPr>
        <w:t xml:space="preserve"> dropped to 7.24% in 2024 due to price decreases and increasing expenses. The net profit margin was lower </w:t>
      </w:r>
      <w:r>
        <w:rPr>
          <w:rFonts w:ascii="Arial" w:eastAsia="Arial" w:hAnsi="Arial" w:cs="Arial"/>
        </w:rPr>
        <w:lastRenderedPageBreak/>
        <w:t>than in 2022 (25.60%), dropping to 17.86% in 2024, and it shows the declining profitability despite the increase in revenue (Tesla, 2024). Gross profit margin also decreased 15.47% (2023) to 7.32% (2024), which indicates higher production expenses and competitive pricing policies affecting the general earnings performance.</w:t>
      </w:r>
    </w:p>
    <w:p w14:paraId="0FE70DF5" w14:textId="77777777" w:rsidR="00094755" w:rsidRDefault="009B1CB7">
      <w:pPr>
        <w:pStyle w:val="Heading3"/>
      </w:pPr>
      <w:bookmarkStart w:id="5" w:name="_o9326e5lx0qw" w:colFirst="0" w:colLast="0"/>
      <w:bookmarkEnd w:id="5"/>
      <w:r>
        <w:t>“Liquidity Ratios”</w:t>
      </w:r>
    </w:p>
    <w:p w14:paraId="2E0F371D" w14:textId="77777777" w:rsidR="00094755" w:rsidRDefault="009B1CB7">
      <w:pPr>
        <w:rPr>
          <w:rFonts w:ascii="Arial" w:eastAsia="Arial" w:hAnsi="Arial" w:cs="Arial"/>
        </w:rPr>
      </w:pPr>
      <w:r>
        <w:rPr>
          <w:rFonts w:ascii="Arial" w:eastAsia="Arial" w:hAnsi="Arial" w:cs="Arial"/>
        </w:rPr>
        <w:t xml:space="preserve">The liquidity position of Tesla improved consistently, and the current ratio rose to 2.02 in 2024 (as compared to 1.38 in 2021), which means that Tesla is more likely to pay off in the short-term. Quick ratio also increased to 1.61 (2024) as compared to 1.05 (2022), indicating a better capacity to </w:t>
      </w:r>
      <w:r w:rsidR="005A5E32">
        <w:rPr>
          <w:rFonts w:ascii="Arial" w:eastAsia="Arial" w:hAnsi="Arial" w:cs="Arial"/>
        </w:rPr>
        <w:t>fulfil</w:t>
      </w:r>
      <w:r>
        <w:rPr>
          <w:rFonts w:ascii="Arial" w:eastAsia="Arial" w:hAnsi="Arial" w:cs="Arial"/>
        </w:rPr>
        <w:t xml:space="preserve"> obligations without using inventory. Nevertheless, the cash ratio decreased, as compared to 1.36 in 2020 to 0.56 in 2024, which indicates less available cash in the short term since it was reinvested into its operations (Tesla, 2024). The company has sufficient liquidity with high current assets, although there is growing dependency on non-cash assets, which can lead to short-run liquidity issues.</w:t>
      </w:r>
    </w:p>
    <w:p w14:paraId="18C2157A" w14:textId="77777777" w:rsidR="00094755" w:rsidRDefault="009B1CB7">
      <w:pPr>
        <w:pStyle w:val="Heading3"/>
      </w:pPr>
      <w:bookmarkStart w:id="6" w:name="_tko8vqmpqiai" w:colFirst="0" w:colLast="0"/>
      <w:bookmarkEnd w:id="6"/>
      <w:r>
        <w:t>“Efficiency Ratios”</w:t>
      </w:r>
    </w:p>
    <w:p w14:paraId="68BE96CD" w14:textId="77777777" w:rsidR="00094755" w:rsidRDefault="009B1CB7">
      <w:pPr>
        <w:rPr>
          <w:rFonts w:ascii="Arial" w:eastAsia="Arial" w:hAnsi="Arial" w:cs="Arial"/>
        </w:rPr>
      </w:pPr>
      <w:r>
        <w:rPr>
          <w:rFonts w:ascii="Arial" w:eastAsia="Arial" w:hAnsi="Arial" w:cs="Arial"/>
        </w:rPr>
        <w:t xml:space="preserve">Efficiency ratios in Tesla demonstrate both positive and negative performance in the period. </w:t>
      </w:r>
      <w:r w:rsidR="003B0FFF" w:rsidRPr="003B0FFF">
        <w:rPr>
          <w:rFonts w:ascii="Arial" w:eastAsia="Arial" w:hAnsi="Arial" w:cs="Arial"/>
        </w:rPr>
        <w:t>The asset turnover reduced to 0.80 (2024) as compared to 0.99 (2022) signifying less effective use of the assets. The inventory turnover decreased by 12.15 (2020) to 6.26 (2024), indicating a slower sales rate or excessive inventory. Fixed asset turnover dropped from 3.46 (2022) to 2.73 (2024). The turnover is very low (0.04-0.05), which suggests slow collections or generous credit terms</w:t>
      </w:r>
      <w:r w:rsidR="00D74404">
        <w:rPr>
          <w:rFonts w:ascii="Arial" w:eastAsia="Arial" w:hAnsi="Arial" w:cs="Arial"/>
        </w:rPr>
        <w:t xml:space="preserve"> </w:t>
      </w:r>
      <w:r>
        <w:rPr>
          <w:rFonts w:ascii="Arial" w:eastAsia="Arial" w:hAnsi="Arial" w:cs="Arial"/>
        </w:rPr>
        <w:t>(Tesla, 2024). The efficiency has been undermined by a quick growth and increase in asset investments, which have decreas</w:t>
      </w:r>
      <w:r>
        <w:rPr>
          <w:rFonts w:ascii="Arial" w:eastAsia="Arial" w:hAnsi="Arial" w:cs="Arial"/>
        </w:rPr>
        <w:t>ed the productivity of operations despite increasing revenues.</w:t>
      </w:r>
    </w:p>
    <w:p w14:paraId="72AC1A20" w14:textId="77777777" w:rsidR="00094755" w:rsidRDefault="009B1CB7">
      <w:pPr>
        <w:pStyle w:val="Heading3"/>
      </w:pPr>
      <w:bookmarkStart w:id="7" w:name="_ww3gs3vccaj8" w:colFirst="0" w:colLast="0"/>
      <w:bookmarkEnd w:id="7"/>
      <w:r>
        <w:t>“Leverage (Gearing) Ratio”</w:t>
      </w:r>
    </w:p>
    <w:p w14:paraId="4F732DCB" w14:textId="77777777" w:rsidR="00094755" w:rsidRDefault="00D74404">
      <w:pPr>
        <w:rPr>
          <w:rFonts w:ascii="Arial" w:eastAsia="Arial" w:hAnsi="Arial" w:cs="Arial"/>
        </w:rPr>
      </w:pPr>
      <w:r w:rsidRPr="00D74404">
        <w:rPr>
          <w:rFonts w:ascii="Arial" w:eastAsia="Arial" w:hAnsi="Arial" w:cs="Arial"/>
        </w:rPr>
        <w:t>Debt-to-equity fell from 1.28 (2020) to 0.66 (2024), and debt-to-capital from 0.56 to 0.40, reducing financial risk. The equity multiplier reduced to 1.67, which implies that the company relied less on debt. Nonetheless, the net debt increased between 9,034 to 32,251, and interest coverage declined between 71.83 (2022) to 25.69 (2024), indicating higher repayment costs</w:t>
      </w:r>
      <w:r>
        <w:rPr>
          <w:rFonts w:ascii="Arial" w:eastAsia="Arial" w:hAnsi="Arial" w:cs="Arial"/>
        </w:rPr>
        <w:t xml:space="preserve"> (Tesla, 2024). Tesla has a more robust and stable capital structure.</w:t>
      </w:r>
    </w:p>
    <w:p w14:paraId="10B09B71" w14:textId="77777777" w:rsidR="00094755" w:rsidRDefault="009B1CB7">
      <w:pPr>
        <w:pStyle w:val="Heading3"/>
      </w:pPr>
      <w:bookmarkStart w:id="8" w:name="_ngwumtfmb41g" w:colFirst="0" w:colLast="0"/>
      <w:bookmarkEnd w:id="8"/>
      <w:r>
        <w:lastRenderedPageBreak/>
        <w:t>“Investment Ratios”</w:t>
      </w:r>
    </w:p>
    <w:p w14:paraId="6247F798" w14:textId="77777777" w:rsidR="00094755" w:rsidRDefault="009B1CB7">
      <w:pPr>
        <w:rPr>
          <w:rFonts w:ascii="Arial" w:eastAsia="Arial" w:hAnsi="Arial" w:cs="Arial"/>
        </w:rPr>
      </w:pPr>
      <w:r>
        <w:rPr>
          <w:rFonts w:ascii="Arial" w:eastAsia="Arial" w:hAnsi="Arial" w:cs="Arial"/>
        </w:rPr>
        <w:t xml:space="preserve">Tesla has investment ratios that show that investment returns are dropping following the best in 2022. </w:t>
      </w:r>
      <w:r w:rsidR="00D74404" w:rsidRPr="00D74404">
        <w:rPr>
          <w:rFonts w:ascii="Arial" w:eastAsia="Arial" w:hAnsi="Arial" w:cs="Arial"/>
        </w:rPr>
        <w:t>ROE declined from 1.82 (2022) to 1.34 (2024), and ROIC from 1.26 to 0.93, reflecting lower returns. EPS fell to 2.04 (2024) as compared to the previous 4.30 (2023), which decreased the shareholder profitability. Nonetheless, the P/E ratio shot up to 197.49 which signifies possible over valuation. The dividend payout was low (0.01-0.02) indicating low shareholder returns</w:t>
      </w:r>
      <w:r w:rsidR="00D74404">
        <w:rPr>
          <w:rFonts w:ascii="Arial" w:eastAsia="Arial" w:hAnsi="Arial" w:cs="Arial"/>
        </w:rPr>
        <w:t xml:space="preserve"> </w:t>
      </w:r>
      <w:r>
        <w:rPr>
          <w:rFonts w:ascii="Arial" w:eastAsia="Arial" w:hAnsi="Arial" w:cs="Arial"/>
        </w:rPr>
        <w:t xml:space="preserve">which means that Tesla is not distributing its shares to shareholders but is reinvesting instead (Tesla, 2024). The decrease in returns is </w:t>
      </w:r>
      <w:r>
        <w:rPr>
          <w:rFonts w:ascii="Arial" w:eastAsia="Arial" w:hAnsi="Arial" w:cs="Arial"/>
        </w:rPr>
        <w:t>mainly caused by margin pressures and growth of asset base, even though it has been growing and expanding.</w:t>
      </w:r>
    </w:p>
    <w:p w14:paraId="7DF26F3C" w14:textId="77777777" w:rsidR="00094755" w:rsidRDefault="009B1CB7">
      <w:pPr>
        <w:pStyle w:val="Heading3"/>
      </w:pPr>
      <w:bookmarkStart w:id="9" w:name="_jtek5bz43zin" w:colFirst="0" w:colLast="0"/>
      <w:bookmarkEnd w:id="9"/>
      <w:r>
        <w:t>“Cash Flow Ratios”</w:t>
      </w:r>
    </w:p>
    <w:p w14:paraId="58A25C03" w14:textId="77777777" w:rsidR="00094755" w:rsidRDefault="009B1CB7">
      <w:pPr>
        <w:rPr>
          <w:rFonts w:ascii="Arial" w:eastAsia="Arial" w:hAnsi="Arial" w:cs="Arial"/>
        </w:rPr>
      </w:pPr>
      <w:r>
        <w:rPr>
          <w:rFonts w:ascii="Arial" w:eastAsia="Arial" w:hAnsi="Arial" w:cs="Arial"/>
        </w:rPr>
        <w:t>The cash flow ratios of Tesla indicate a level but slightly decreasing performance. In comparison, the operating cash flow ratio increased to 0.52 in 2024 as compared to 0.42 in 2020, which represents a higher cash generation compared to the liabilities. Nevertheless, the cash flow to debt ratio decreased to 0.31 (2024) compared to 0.40 (2022), indicating more debt commitments. The cash flow margin dropped to 0.15 (2024) as compared to 0.21 (2021), and the free cash flow margin decreased to 0.04 compared to</w:t>
      </w:r>
      <w:r>
        <w:rPr>
          <w:rFonts w:ascii="Arial" w:eastAsia="Arial" w:hAnsi="Arial" w:cs="Arial"/>
        </w:rPr>
        <w:t xml:space="preserve"> 0.09, which means there is less cash surplus because of high capital investments (Tesla, 2024). Good operations are accompanied by high reinvestment needs.</w:t>
      </w:r>
    </w:p>
    <w:p w14:paraId="67B0CBCF" w14:textId="77777777" w:rsidR="00094755" w:rsidRDefault="009B1CB7">
      <w:pPr>
        <w:pStyle w:val="Heading2"/>
      </w:pPr>
      <w:bookmarkStart w:id="10" w:name="_kx0pq46ux61l" w:colFirst="0" w:colLast="0"/>
      <w:bookmarkEnd w:id="10"/>
      <w:r>
        <w:t>2.3 Trends, Strengths, and Threats</w:t>
      </w:r>
    </w:p>
    <w:p w14:paraId="0487B38C" w14:textId="77777777" w:rsidR="00094755" w:rsidRDefault="009B1CB7">
      <w:pPr>
        <w:pStyle w:val="Heading3"/>
      </w:pPr>
      <w:bookmarkStart w:id="11" w:name="_en1lkferifwu" w:colFirst="0" w:colLast="0"/>
      <w:bookmarkEnd w:id="11"/>
      <w:r>
        <w:t>Trends</w:t>
      </w:r>
    </w:p>
    <w:p w14:paraId="64FFB230" w14:textId="77777777" w:rsidR="00094755" w:rsidRDefault="009B1CB7">
      <w:pPr>
        <w:rPr>
          <w:rFonts w:ascii="Arial" w:eastAsia="Arial" w:hAnsi="Arial" w:cs="Arial"/>
        </w:rPr>
      </w:pPr>
      <w:r>
        <w:rPr>
          <w:rFonts w:ascii="Arial" w:eastAsia="Arial" w:hAnsi="Arial" w:cs="Arial"/>
        </w:rPr>
        <w:t>Tesla has a high growth potential over the long term as its earnings expanded to include 31,536m in 2020, and 97,690m in 2024, due to higher production and demand of electric cars worldwide. But the profitability trends show the peak in 2022 and the deterioration of profitability with the operating margin decreasing to 7.24% (2024) due to the pressure on prices and increasing costs. Assets are also growing with total assets of $122,070m in 2024 due to the high investment in property, plant, and equipment (T</w:t>
      </w:r>
      <w:r>
        <w:rPr>
          <w:rFonts w:ascii="Arial" w:eastAsia="Arial" w:hAnsi="Arial" w:cs="Arial"/>
        </w:rPr>
        <w:t xml:space="preserve">esla, 2024). Moreover, the liquidity has also been enhanced, as the </w:t>
      </w:r>
      <w:r>
        <w:rPr>
          <w:rFonts w:ascii="Arial" w:eastAsia="Arial" w:hAnsi="Arial" w:cs="Arial"/>
        </w:rPr>
        <w:lastRenderedPageBreak/>
        <w:t>current ratio is now at 2.02, which means that the short-term financial position is more stable.</w:t>
      </w:r>
    </w:p>
    <w:p w14:paraId="4063BB59" w14:textId="77777777" w:rsidR="00094755" w:rsidRDefault="009B1CB7">
      <w:pPr>
        <w:pStyle w:val="Heading3"/>
      </w:pPr>
      <w:bookmarkStart w:id="12" w:name="_ffb9izt5gpjf" w:colFirst="0" w:colLast="0"/>
      <w:bookmarkEnd w:id="12"/>
      <w:r>
        <w:t>Strengths</w:t>
      </w:r>
    </w:p>
    <w:p w14:paraId="4D170BFD" w14:textId="77777777" w:rsidR="00094755" w:rsidRDefault="009B1CB7">
      <w:pPr>
        <w:rPr>
          <w:rFonts w:ascii="Arial" w:eastAsia="Arial" w:hAnsi="Arial" w:cs="Arial"/>
        </w:rPr>
      </w:pPr>
      <w:r>
        <w:rPr>
          <w:rFonts w:ascii="Arial" w:eastAsia="Arial" w:hAnsi="Arial" w:cs="Arial"/>
        </w:rPr>
        <w:t xml:space="preserve">Tesla has a major strength of high revenue growth and cash flow generation in its operations since the operating cash flow is 14,923m in 2024, which reflects a good core business performance. The company has boosted its capital structure greatly as well, decreasing its debt-to-equity ratio by 1.28 (2020) to 0.66 (2024), which decreases financial risk and increases financial flexibility. The interest coverage of 25.69 is high, which is another indication that the firm can comfortably </w:t>
      </w:r>
      <w:proofErr w:type="spellStart"/>
      <w:r>
        <w:rPr>
          <w:rFonts w:ascii="Arial" w:eastAsia="Arial" w:hAnsi="Arial" w:cs="Arial"/>
        </w:rPr>
        <w:t>fulfill</w:t>
      </w:r>
      <w:proofErr w:type="spellEnd"/>
      <w:r>
        <w:rPr>
          <w:rFonts w:ascii="Arial" w:eastAsia="Arial" w:hAnsi="Arial" w:cs="Arial"/>
        </w:rPr>
        <w:t xml:space="preserve"> its financial obligations. Additionally, the growth in retained earnings, which is projected to be at 35,209m in 2024, indicates long-term profitability and the capability to invest in growth and innovation strategies (Tesla, 2024).</w:t>
      </w:r>
    </w:p>
    <w:p w14:paraId="0833CDC4" w14:textId="77777777" w:rsidR="00094755" w:rsidRDefault="009B1CB7">
      <w:pPr>
        <w:pStyle w:val="Heading3"/>
      </w:pPr>
      <w:bookmarkStart w:id="13" w:name="_fiqa23mcl3fq" w:colFirst="0" w:colLast="0"/>
      <w:bookmarkEnd w:id="13"/>
      <w:r>
        <w:t>Threats</w:t>
      </w:r>
    </w:p>
    <w:p w14:paraId="46699E69" w14:textId="77777777" w:rsidR="00094755" w:rsidRDefault="009B1CB7">
      <w:pPr>
        <w:rPr>
          <w:rFonts w:ascii="Arial" w:eastAsia="Arial" w:hAnsi="Arial" w:cs="Arial"/>
        </w:rPr>
      </w:pPr>
      <w:r>
        <w:rPr>
          <w:rFonts w:ascii="Arial" w:eastAsia="Arial" w:hAnsi="Arial" w:cs="Arial"/>
        </w:rPr>
        <w:t xml:space="preserve">Tesla has </w:t>
      </w:r>
      <w:r w:rsidR="005A5E32">
        <w:rPr>
          <w:rFonts w:ascii="Arial" w:eastAsia="Arial" w:hAnsi="Arial" w:cs="Arial"/>
        </w:rPr>
        <w:t>a few</w:t>
      </w:r>
      <w:r>
        <w:rPr>
          <w:rFonts w:ascii="Arial" w:eastAsia="Arial" w:hAnsi="Arial" w:cs="Arial"/>
        </w:rPr>
        <w:t xml:space="preserve"> financial threats despite its good growth. The profitability margins are also reduced as the net profit margin has decreased to 17.86% (2024) compared to 25.60% (2022), which means that the company is under the pressure of the competitive pricing and increasing production costs. Productivity has been diminished, with the turnover going down to 0.85 implying underutilisation of growing assets. Also, high reinvestment requirements are shown by the high capital expenditure and investment outflows of -$18</w:t>
      </w:r>
      <w:r>
        <w:rPr>
          <w:rFonts w:ascii="Arial" w:eastAsia="Arial" w:hAnsi="Arial" w:cs="Arial"/>
        </w:rPr>
        <w:t>,787m in 2024, and this can cause liquidity strain (Tesla, 2024). Financial risks are also compounded by external factors like the competition is on the rise in the EV market and the cost volatility, which can affect future profitability.</w:t>
      </w:r>
    </w:p>
    <w:p w14:paraId="5CEF038D" w14:textId="77777777" w:rsidR="00094755" w:rsidRDefault="009B1CB7">
      <w:pPr>
        <w:pStyle w:val="Heading1"/>
      </w:pPr>
      <w:bookmarkStart w:id="14" w:name="_f0jz71p1rs3l" w:colFirst="0" w:colLast="0"/>
      <w:bookmarkEnd w:id="14"/>
      <w:r>
        <w:t>3. Working Capital Management Analysis</w:t>
      </w:r>
    </w:p>
    <w:p w14:paraId="58681728" w14:textId="77777777" w:rsidR="00094755" w:rsidRDefault="009B1CB7">
      <w:pPr>
        <w:pStyle w:val="Heading2"/>
      </w:pPr>
      <w:bookmarkStart w:id="15" w:name="_33icevh00x7z" w:colFirst="0" w:colLast="0"/>
      <w:bookmarkEnd w:id="15"/>
      <w:r>
        <w:t>3.1 “Cash Operating Cycle”</w:t>
      </w:r>
    </w:p>
    <w:p w14:paraId="2C4D38B1" w14:textId="77777777" w:rsidR="00094755" w:rsidRDefault="009B1CB7">
      <w:pPr>
        <w:rPr>
          <w:rFonts w:ascii="Arial" w:eastAsia="Arial" w:hAnsi="Arial" w:cs="Arial"/>
        </w:rPr>
      </w:pPr>
      <w:r>
        <w:rPr>
          <w:rFonts w:ascii="Arial" w:eastAsia="Arial" w:hAnsi="Arial" w:cs="Arial"/>
        </w:rPr>
        <w:t xml:space="preserve">The “Cash Operating Cycle (CCC)” is used in the measurement of the time that a firm takes in converting its investments in inventory and receivables into cash after considering the payables. It is also important because it is a measure of liquidity efficiency and working capital management efficiency, and shorter cycles are a sign of better cash flow performance (Karim et al., 2024). The CCC of Tesla reveals a </w:t>
      </w:r>
      <w:r>
        <w:rPr>
          <w:rFonts w:ascii="Arial" w:eastAsia="Arial" w:hAnsi="Arial" w:cs="Arial"/>
        </w:rPr>
        <w:lastRenderedPageBreak/>
        <w:t>substantial change of negative to positive over time, which means the decreasing working capital efficiency. It was negative in 2021 (-15.97 days) and 2020 (-0.74 days), which implies that Tesla received cash before settling its payables. Nevertheless, CCC rose to 14.80 days in 2024, as lower payable days (46.61) than 70.03 in 2020 augmented its supplier financing benefits. Inventory days improved from 57.53 (2022) to 44.90 (2024), reflecting better inventory management (Tesla, 2024). But receivable days we</w:t>
      </w:r>
      <w:r>
        <w:rPr>
          <w:rFonts w:ascii="Arial" w:eastAsia="Arial" w:hAnsi="Arial" w:cs="Arial"/>
        </w:rPr>
        <w:t>nt up to 16.51, with slower collections. Overall, the rising CCC suggests increased cash tied in operations, impacting short-term liquidity efficiency.</w:t>
      </w:r>
    </w:p>
    <w:p w14:paraId="2984AC01" w14:textId="77777777" w:rsidR="00094755" w:rsidRDefault="009B1CB7">
      <w:pPr>
        <w:jc w:val="center"/>
        <w:rPr>
          <w:rFonts w:ascii="Arial" w:eastAsia="Arial" w:hAnsi="Arial" w:cs="Arial"/>
        </w:rPr>
      </w:pPr>
      <w:r>
        <w:rPr>
          <w:rFonts w:ascii="Arial" w:eastAsia="Arial" w:hAnsi="Arial" w:cs="Arial"/>
          <w:noProof/>
        </w:rPr>
        <w:drawing>
          <wp:inline distT="114300" distB="114300" distL="114300" distR="114300" wp14:anchorId="692DB9A8" wp14:editId="11A1A2E2">
            <wp:extent cx="4953000" cy="1714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953286" cy="1714599"/>
                    </a:xfrm>
                    <a:prstGeom prst="rect">
                      <a:avLst/>
                    </a:prstGeom>
                    <a:ln/>
                  </pic:spPr>
                </pic:pic>
              </a:graphicData>
            </a:graphic>
          </wp:inline>
        </w:drawing>
      </w:r>
    </w:p>
    <w:p w14:paraId="61C763B3" w14:textId="77777777" w:rsidR="00094755" w:rsidRDefault="009B1CB7">
      <w:pPr>
        <w:jc w:val="center"/>
        <w:rPr>
          <w:rFonts w:ascii="Arial" w:eastAsia="Arial" w:hAnsi="Arial" w:cs="Arial"/>
          <w:b/>
          <w:bCs/>
        </w:rPr>
      </w:pPr>
      <w:r>
        <w:rPr>
          <w:rFonts w:ascii="Arial" w:eastAsia="Arial" w:hAnsi="Arial" w:cs="Arial"/>
          <w:b/>
          <w:bCs/>
        </w:rPr>
        <w:t>Figure 5: Cash Operating Cycle Calculation</w:t>
      </w:r>
    </w:p>
    <w:p w14:paraId="3948B2DA" w14:textId="77777777" w:rsidR="00094755" w:rsidRDefault="009B1CB7">
      <w:pPr>
        <w:jc w:val="center"/>
        <w:rPr>
          <w:rFonts w:ascii="Arial" w:eastAsia="Arial" w:hAnsi="Arial" w:cs="Arial"/>
        </w:rPr>
      </w:pPr>
      <w:r>
        <w:rPr>
          <w:rFonts w:ascii="Arial" w:eastAsia="Arial" w:hAnsi="Arial" w:cs="Arial"/>
        </w:rPr>
        <w:t>(Source: MS-Excel)</w:t>
      </w:r>
    </w:p>
    <w:p w14:paraId="35023375" w14:textId="77777777" w:rsidR="00094755" w:rsidRDefault="009B1CB7">
      <w:pPr>
        <w:pStyle w:val="Heading2"/>
      </w:pPr>
      <w:bookmarkStart w:id="16" w:name="_jda5dgr7l045" w:colFirst="0" w:colLast="0"/>
      <w:bookmarkEnd w:id="16"/>
      <w:r>
        <w:t>3.2 Recommended Strategies for Improving Working Capital Management</w:t>
      </w:r>
    </w:p>
    <w:p w14:paraId="307CD650" w14:textId="77777777" w:rsidR="00094755" w:rsidRDefault="009B1CB7">
      <w:pPr>
        <w:pStyle w:val="Heading3"/>
      </w:pPr>
      <w:bookmarkStart w:id="17" w:name="_m97oqefmj4e0" w:colFirst="0" w:colLast="0"/>
      <w:bookmarkEnd w:id="17"/>
      <w:r>
        <w:t>Optimisation of Inventory Management</w:t>
      </w:r>
    </w:p>
    <w:p w14:paraId="4036877D" w14:textId="77777777" w:rsidR="00094755" w:rsidRDefault="009B1CB7">
      <w:pPr>
        <w:rPr>
          <w:rFonts w:ascii="Arial" w:eastAsia="Arial" w:hAnsi="Arial" w:cs="Arial"/>
        </w:rPr>
      </w:pPr>
      <w:r>
        <w:rPr>
          <w:rFonts w:ascii="Arial" w:eastAsia="Arial" w:hAnsi="Arial" w:cs="Arial"/>
        </w:rPr>
        <w:t>Tesla ought to increase the efficiency of its inventory by using advanced demand forecasts and just-in-time (JIT) systems. The inventory days have increased to 44.90 in 2024, although it is still higher than the ideal days witnessed in high-efficiency manufacturing conditions. Implementing AI in forecasting and supply chain integration will reduce the size of the surplus inventory and holding costs and increase access to demand variability (Pal, 2023). This would decrease the cash conversion cycle and relea</w:t>
      </w:r>
      <w:r>
        <w:rPr>
          <w:rFonts w:ascii="Arial" w:eastAsia="Arial" w:hAnsi="Arial" w:cs="Arial"/>
        </w:rPr>
        <w:t>se tied-up cash that can be reinvested.</w:t>
      </w:r>
    </w:p>
    <w:p w14:paraId="06F8AABE" w14:textId="77777777" w:rsidR="00094755" w:rsidRDefault="009B1CB7">
      <w:pPr>
        <w:pStyle w:val="Heading3"/>
      </w:pPr>
      <w:bookmarkStart w:id="18" w:name="_u5vbq0xtqu4n" w:colFirst="0" w:colLast="0"/>
      <w:bookmarkEnd w:id="18"/>
      <w:r>
        <w:t>Strengthening Receivables Management</w:t>
      </w:r>
    </w:p>
    <w:p w14:paraId="0CBAF6D2" w14:textId="77777777" w:rsidR="00094755" w:rsidRDefault="009B1CB7">
      <w:pPr>
        <w:rPr>
          <w:rFonts w:ascii="Arial" w:eastAsia="Arial" w:hAnsi="Arial" w:cs="Arial"/>
        </w:rPr>
      </w:pPr>
      <w:r>
        <w:rPr>
          <w:rFonts w:ascii="Arial" w:eastAsia="Arial" w:hAnsi="Arial" w:cs="Arial"/>
        </w:rPr>
        <w:t xml:space="preserve">The 2024 receivable days are 16.51, a slower turnover of the cash. Tesla needs to be more stringent in its credit control, provide incentives for early payment, and use </w:t>
      </w:r>
      <w:r>
        <w:rPr>
          <w:rFonts w:ascii="Arial" w:eastAsia="Arial" w:hAnsi="Arial" w:cs="Arial"/>
        </w:rPr>
        <w:lastRenderedPageBreak/>
        <w:t xml:space="preserve">automated billing and collection systems. The incoming cash can be secured by digital payment services and reducing the chance of default by monitoring these cash flows in real time (Oleti, 2025). Good receivables management enables increased liquidity and a greater cash </w:t>
      </w:r>
      <w:r w:rsidR="005A5E32">
        <w:rPr>
          <w:rFonts w:ascii="Arial" w:eastAsia="Arial" w:hAnsi="Arial" w:cs="Arial"/>
        </w:rPr>
        <w:t>turnover and</w:t>
      </w:r>
      <w:r>
        <w:rPr>
          <w:rFonts w:ascii="Arial" w:eastAsia="Arial" w:hAnsi="Arial" w:cs="Arial"/>
        </w:rPr>
        <w:t xml:space="preserve"> helps in the flexibility of operations.</w:t>
      </w:r>
    </w:p>
    <w:p w14:paraId="7B9B87D0" w14:textId="77777777" w:rsidR="00094755" w:rsidRDefault="009B1CB7">
      <w:pPr>
        <w:pStyle w:val="Heading3"/>
      </w:pPr>
      <w:bookmarkStart w:id="19" w:name="_bsmu3ej5xzi5" w:colFirst="0" w:colLast="0"/>
      <w:bookmarkEnd w:id="19"/>
      <w:r>
        <w:t>Strategic Payables Management</w:t>
      </w:r>
    </w:p>
    <w:p w14:paraId="18B6393D" w14:textId="77777777" w:rsidR="00094755" w:rsidRDefault="009B1CB7">
      <w:pPr>
        <w:rPr>
          <w:rFonts w:ascii="Arial" w:eastAsia="Arial" w:hAnsi="Arial" w:cs="Arial"/>
        </w:rPr>
      </w:pPr>
      <w:r>
        <w:rPr>
          <w:rFonts w:ascii="Arial" w:eastAsia="Arial" w:hAnsi="Arial" w:cs="Arial"/>
        </w:rPr>
        <w:t>Payable days decreased to 46.61 in 2024, compared to 70.03 in 2020, which diminished Tesla's capacity to enjoy the supplier financing. The company should also renegotiate supplier terms with the aim of extending payment terms, but at the same time without frustrating suppliers. Tesla can leverage its good market position to use dynamic discounting or supplier financing to ensure that it balances liquidity and supplier trust (</w:t>
      </w:r>
      <w:proofErr w:type="spellStart"/>
      <w:r>
        <w:rPr>
          <w:rFonts w:ascii="Arial" w:eastAsia="Arial" w:hAnsi="Arial" w:cs="Arial"/>
        </w:rPr>
        <w:t>Purnawan</w:t>
      </w:r>
      <w:proofErr w:type="spellEnd"/>
      <w:r>
        <w:rPr>
          <w:rFonts w:ascii="Arial" w:eastAsia="Arial" w:hAnsi="Arial" w:cs="Arial"/>
        </w:rPr>
        <w:t>, 2024). This would increase the cash operating cycle and the short-term financial stability.</w:t>
      </w:r>
    </w:p>
    <w:p w14:paraId="21BEAA9C" w14:textId="77777777" w:rsidR="00094755" w:rsidRDefault="009B1CB7">
      <w:pPr>
        <w:pStyle w:val="Heading3"/>
      </w:pPr>
      <w:bookmarkStart w:id="20" w:name="_ehcsdvuei9yi" w:colFirst="0" w:colLast="0"/>
      <w:bookmarkEnd w:id="20"/>
      <w:r>
        <w:t>Balanced Financing Strategy</w:t>
      </w:r>
    </w:p>
    <w:p w14:paraId="2AA3E728" w14:textId="77777777" w:rsidR="00094755" w:rsidRDefault="009B1CB7">
      <w:pPr>
        <w:rPr>
          <w:rFonts w:ascii="Arial" w:eastAsia="Arial" w:hAnsi="Arial" w:cs="Arial"/>
        </w:rPr>
      </w:pPr>
      <w:r>
        <w:rPr>
          <w:rFonts w:ascii="Arial" w:eastAsia="Arial" w:hAnsi="Arial" w:cs="Arial"/>
        </w:rPr>
        <w:t xml:space="preserve">Tesla should be able to think of a medium-term solution to short and long-term financing to meet working capital needs. Despite the flexibility of short-term finance, long-term finance is stable </w:t>
      </w:r>
      <w:r w:rsidR="005A5E32">
        <w:rPr>
          <w:rFonts w:ascii="Arial" w:eastAsia="Arial" w:hAnsi="Arial" w:cs="Arial"/>
        </w:rPr>
        <w:t>about</w:t>
      </w:r>
      <w:r>
        <w:rPr>
          <w:rFonts w:ascii="Arial" w:eastAsia="Arial" w:hAnsi="Arial" w:cs="Arial"/>
        </w:rPr>
        <w:t xml:space="preserve"> large-scale investments (Ding, 2025). As the capital expenditure increases, there will be a need to have an optimal financing structure that will be able to offer sufficient liquidity with minimum financial risk and cost of capital.</w:t>
      </w:r>
    </w:p>
    <w:p w14:paraId="6CE7C41E" w14:textId="77777777" w:rsidR="00094755" w:rsidRDefault="009B1CB7">
      <w:pPr>
        <w:pStyle w:val="Heading3"/>
      </w:pPr>
      <w:bookmarkStart w:id="21" w:name="_wtxfzf3r0oz1" w:colFirst="0" w:colLast="0"/>
      <w:bookmarkEnd w:id="21"/>
      <w:r>
        <w:t>Integration of Technology in Working Capital Management</w:t>
      </w:r>
    </w:p>
    <w:p w14:paraId="125BA3E5" w14:textId="77777777" w:rsidR="00094755" w:rsidRDefault="009B1CB7">
      <w:pPr>
        <w:rPr>
          <w:rFonts w:ascii="Arial" w:eastAsia="Arial" w:hAnsi="Arial" w:cs="Arial"/>
        </w:rPr>
      </w:pPr>
      <w:r>
        <w:rPr>
          <w:rFonts w:ascii="Arial" w:eastAsia="Arial" w:hAnsi="Arial" w:cs="Arial"/>
        </w:rPr>
        <w:t>In order to enhance working capital visibility and decision-making, digital tools (AI, blockchain, and real-time analytics) can be embraced. These technologies are more coordinated in inventory, receivables, and payables, thereby increasing efficiency and reducing delays in operations (</w:t>
      </w:r>
      <w:proofErr w:type="spellStart"/>
      <w:r>
        <w:rPr>
          <w:rFonts w:ascii="Arial" w:eastAsia="Arial" w:hAnsi="Arial" w:cs="Arial"/>
        </w:rPr>
        <w:t>Umeorah</w:t>
      </w:r>
      <w:proofErr w:type="spellEnd"/>
      <w:r>
        <w:rPr>
          <w:rFonts w:ascii="Arial" w:eastAsia="Arial" w:hAnsi="Arial" w:cs="Arial"/>
        </w:rPr>
        <w:t xml:space="preserve"> et al., 2024). Technology helps working capital management to provide sustainable financial performance and a competitive advantage in an ever-changing market environment.</w:t>
      </w:r>
    </w:p>
    <w:p w14:paraId="60AB385E" w14:textId="77777777" w:rsidR="00094755" w:rsidRDefault="009B1CB7">
      <w:pPr>
        <w:pStyle w:val="Heading2"/>
      </w:pPr>
      <w:bookmarkStart w:id="22" w:name="_at8zgc2ryv8y" w:colFirst="0" w:colLast="0"/>
      <w:bookmarkEnd w:id="22"/>
      <w:r>
        <w:lastRenderedPageBreak/>
        <w:t>3.2 Comparison of Short-Term vs Long-Term Financing Options</w:t>
      </w:r>
    </w:p>
    <w:p w14:paraId="239E667C" w14:textId="77777777" w:rsidR="00094755" w:rsidRDefault="009B1CB7">
      <w:pPr>
        <w:pStyle w:val="Heading3"/>
      </w:pPr>
      <w:bookmarkStart w:id="23" w:name="_b7rn5nw1qpcd" w:colFirst="0" w:colLast="0"/>
      <w:bookmarkEnd w:id="23"/>
      <w:r>
        <w:t>Short-Term Financing Options</w:t>
      </w:r>
    </w:p>
    <w:p w14:paraId="0ECE71F3" w14:textId="77777777" w:rsidR="00094755" w:rsidRDefault="009B1CB7">
      <w:pPr>
        <w:rPr>
          <w:rFonts w:ascii="Arial" w:eastAsia="Arial" w:hAnsi="Arial" w:cs="Arial"/>
        </w:rPr>
      </w:pPr>
      <w:r>
        <w:rPr>
          <w:rFonts w:ascii="Arial" w:eastAsia="Arial" w:hAnsi="Arial" w:cs="Arial"/>
        </w:rPr>
        <w:t>Short-term sources of finance are sources of finance that are expected to be less than one year in nature, like the bank overdraft, trade credit and short-term loans. These are very flexible and could be used in working capital requirements such as purchases of inventory and day-to-day operations (</w:t>
      </w:r>
      <w:proofErr w:type="spellStart"/>
      <w:r>
        <w:rPr>
          <w:rFonts w:ascii="Arial" w:eastAsia="Arial" w:hAnsi="Arial" w:cs="Arial"/>
        </w:rPr>
        <w:t>Koralun-Berezykina</w:t>
      </w:r>
      <w:proofErr w:type="spellEnd"/>
      <w:r>
        <w:rPr>
          <w:rFonts w:ascii="Arial" w:eastAsia="Arial" w:hAnsi="Arial" w:cs="Arial"/>
        </w:rPr>
        <w:t>, 2025). In the case of Tesla, liquidity in high-production and inventory-building times can be met with the aid of short-term financing. Moreover, trade credit enables the company to make late payments and enhance cash flow efficiency. But short-term financing is associated with refinancing risk and interest rate volatility, which can enhance financial uncertainty.</w:t>
      </w:r>
    </w:p>
    <w:p w14:paraId="20F63505" w14:textId="77777777" w:rsidR="00094755" w:rsidRDefault="009B1CB7">
      <w:pPr>
        <w:pStyle w:val="Heading3"/>
      </w:pPr>
      <w:bookmarkStart w:id="24" w:name="_m0yskprp3lcu" w:colFirst="0" w:colLast="0"/>
      <w:bookmarkEnd w:id="24"/>
      <w:r>
        <w:t>Long-Term Financing Options</w:t>
      </w:r>
    </w:p>
    <w:p w14:paraId="205CCE12" w14:textId="77777777" w:rsidR="00094755" w:rsidRDefault="009B1CB7">
      <w:pPr>
        <w:rPr>
          <w:rFonts w:ascii="Arial" w:eastAsia="Arial" w:hAnsi="Arial" w:cs="Arial"/>
        </w:rPr>
      </w:pPr>
      <w:r>
        <w:rPr>
          <w:rFonts w:ascii="Arial" w:eastAsia="Arial" w:hAnsi="Arial" w:cs="Arial"/>
        </w:rPr>
        <w:t>Long-term financing entails sources that have maturity over one year, such as equity issues, long-term debt and bonds. Traditionally, Tesla has been using equity and long-term capital to finance growth in property, plant and equipment. These are the most stable financing options, which are applicable in large-scale investments like the expansion of factories and technological development. Long-term financing minimizes the liquidity pressure by breaking the repayments into a long period (Krinichansky, 2025).</w:t>
      </w:r>
      <w:r>
        <w:rPr>
          <w:rFonts w:ascii="Arial" w:eastAsia="Arial" w:hAnsi="Arial" w:cs="Arial"/>
        </w:rPr>
        <w:t xml:space="preserve"> Nevertheless, it can be accompanied by increased expenses, watering down of the ownership (equity), and long-term financial obligations.</w:t>
      </w:r>
    </w:p>
    <w:p w14:paraId="235A466F" w14:textId="77777777" w:rsidR="00094755" w:rsidRDefault="009B1CB7">
      <w:pPr>
        <w:pStyle w:val="Heading3"/>
      </w:pPr>
      <w:bookmarkStart w:id="25" w:name="_gupy6mv9ofsz" w:colFirst="0" w:colLast="0"/>
      <w:bookmarkEnd w:id="25"/>
      <w:r>
        <w:t>Key Differences and Financial Implications</w:t>
      </w:r>
    </w:p>
    <w:p w14:paraId="594CC526" w14:textId="77777777" w:rsidR="00094755" w:rsidRDefault="009B1CB7">
      <w:pPr>
        <w:rPr>
          <w:rFonts w:ascii="Arial" w:eastAsia="Arial" w:hAnsi="Arial" w:cs="Arial"/>
        </w:rPr>
      </w:pPr>
      <w:r>
        <w:rPr>
          <w:rFonts w:ascii="Arial" w:eastAsia="Arial" w:hAnsi="Arial" w:cs="Arial"/>
        </w:rPr>
        <w:t xml:space="preserve">The main distinction is that of flexibility and stability. Short-term funding is cheaper and more </w:t>
      </w:r>
      <w:r w:rsidR="005A5E32">
        <w:rPr>
          <w:rFonts w:ascii="Arial" w:eastAsia="Arial" w:hAnsi="Arial" w:cs="Arial"/>
        </w:rPr>
        <w:t>flexible yet</w:t>
      </w:r>
      <w:r>
        <w:rPr>
          <w:rFonts w:ascii="Arial" w:eastAsia="Arial" w:hAnsi="Arial" w:cs="Arial"/>
        </w:rPr>
        <w:t xml:space="preserve"> puts Tesla at risk of liquidity and refinancing (</w:t>
      </w:r>
      <w:proofErr w:type="spellStart"/>
      <w:r>
        <w:rPr>
          <w:rFonts w:ascii="Arial" w:eastAsia="Arial" w:hAnsi="Arial" w:cs="Arial"/>
        </w:rPr>
        <w:t>Koralun</w:t>
      </w:r>
      <w:proofErr w:type="spellEnd"/>
      <w:r>
        <w:rPr>
          <w:rFonts w:ascii="Arial" w:eastAsia="Arial" w:hAnsi="Arial" w:cs="Arial"/>
        </w:rPr>
        <w:t xml:space="preserve">-Berezina, 2025). Conversely, long-term financing guarantees financial sustainability and facilitates strategic investments but can make capital more expensive and less financially flexible. The decreasing debt-to-equity ratio value (0.66 in 2024) indicates that Tesla increasingly uses equity and minimizes financial </w:t>
      </w:r>
      <w:r w:rsidR="005A5E32">
        <w:rPr>
          <w:rFonts w:ascii="Arial" w:eastAsia="Arial" w:hAnsi="Arial" w:cs="Arial"/>
        </w:rPr>
        <w:t>risk but</w:t>
      </w:r>
      <w:r>
        <w:rPr>
          <w:rFonts w:ascii="Arial" w:eastAsia="Arial" w:hAnsi="Arial" w:cs="Arial"/>
        </w:rPr>
        <w:t xml:space="preserve"> can still access long-term capital.</w:t>
      </w:r>
    </w:p>
    <w:p w14:paraId="71341ED0" w14:textId="77777777" w:rsidR="00094755" w:rsidRDefault="009B1CB7">
      <w:pPr>
        <w:pStyle w:val="Heading3"/>
      </w:pPr>
      <w:bookmarkStart w:id="26" w:name="_nn1s7v1sbf11" w:colFirst="0" w:colLast="0"/>
      <w:bookmarkEnd w:id="26"/>
      <w:r>
        <w:lastRenderedPageBreak/>
        <w:t>Recommended Approach for Tesla</w:t>
      </w:r>
    </w:p>
    <w:p w14:paraId="778F13DC" w14:textId="77777777" w:rsidR="00094755" w:rsidRDefault="009B1CB7">
      <w:pPr>
        <w:rPr>
          <w:rFonts w:ascii="Arial" w:eastAsia="Arial" w:hAnsi="Arial" w:cs="Arial"/>
        </w:rPr>
      </w:pPr>
      <w:r>
        <w:rPr>
          <w:rFonts w:ascii="Arial" w:eastAsia="Arial" w:hAnsi="Arial" w:cs="Arial"/>
        </w:rPr>
        <w:t>The balanced financing approach is also advised, which will consist of short-term financing to enable the company to operate and long-term financing to fund projects that consume capital. This is the strategy that Tesla should adopt in its growth strategy as it will enable it to manage its working capital efficiently and at the same time remain financially stable and limit its risk exposure (Tesla, 2026).</w:t>
      </w:r>
    </w:p>
    <w:p w14:paraId="46F9DA54" w14:textId="77777777" w:rsidR="00094755" w:rsidRDefault="009B1CB7">
      <w:pPr>
        <w:pStyle w:val="Heading1"/>
      </w:pPr>
      <w:bookmarkStart w:id="27" w:name="_vt4p00q4f602" w:colFirst="0" w:colLast="0"/>
      <w:bookmarkEnd w:id="27"/>
      <w:r>
        <w:t xml:space="preserve">4. Strategic Financial Restructuring Plan </w:t>
      </w:r>
    </w:p>
    <w:p w14:paraId="7A39A8A5" w14:textId="77777777" w:rsidR="00094755" w:rsidRDefault="009B1CB7">
      <w:pPr>
        <w:pStyle w:val="Heading2"/>
      </w:pPr>
      <w:bookmarkStart w:id="28" w:name="_ws3df8wsh4un" w:colFirst="0" w:colLast="0"/>
      <w:bookmarkEnd w:id="28"/>
      <w:r>
        <w:t>4.1 Recommend Financial Restructuring Options</w:t>
      </w:r>
    </w:p>
    <w:p w14:paraId="1107C3DF" w14:textId="77777777" w:rsidR="00094755" w:rsidRDefault="009B1CB7">
      <w:pPr>
        <w:pStyle w:val="Heading3"/>
      </w:pPr>
      <w:bookmarkStart w:id="29" w:name="_wuwh6g114t6r" w:colFirst="0" w:colLast="0"/>
      <w:bookmarkEnd w:id="29"/>
      <w:r>
        <w:t>Divestiture</w:t>
      </w:r>
    </w:p>
    <w:p w14:paraId="71F1F449" w14:textId="77777777" w:rsidR="00094755" w:rsidRDefault="009B1CB7">
      <w:pPr>
        <w:rPr>
          <w:rFonts w:ascii="Arial" w:eastAsia="Arial" w:hAnsi="Arial" w:cs="Arial"/>
        </w:rPr>
      </w:pPr>
      <w:r>
        <w:rPr>
          <w:rFonts w:ascii="Arial" w:eastAsia="Arial" w:hAnsi="Arial" w:cs="Arial"/>
        </w:rPr>
        <w:t xml:space="preserve">Divestiture is the selling or disposal of non-core or underperforming assets to enhance the financial efficiency and concentrate on core operations. In the case of Tesla, selling some less profitable business units, like some energy or services, could free up capital </w:t>
      </w:r>
      <w:r w:rsidR="005A5E32">
        <w:rPr>
          <w:rFonts w:ascii="Arial" w:eastAsia="Arial" w:hAnsi="Arial" w:cs="Arial"/>
        </w:rPr>
        <w:t>invest</w:t>
      </w:r>
      <w:r>
        <w:rPr>
          <w:rFonts w:ascii="Arial" w:eastAsia="Arial" w:hAnsi="Arial" w:cs="Arial"/>
        </w:rPr>
        <w:t xml:space="preserve"> in low-paying assets (</w:t>
      </w:r>
      <w:proofErr w:type="spellStart"/>
      <w:r>
        <w:rPr>
          <w:rFonts w:ascii="Arial" w:eastAsia="Arial" w:hAnsi="Arial" w:cs="Arial"/>
        </w:rPr>
        <w:t>Purnawan</w:t>
      </w:r>
      <w:proofErr w:type="spellEnd"/>
      <w:r>
        <w:rPr>
          <w:rFonts w:ascii="Arial" w:eastAsia="Arial" w:hAnsi="Arial" w:cs="Arial"/>
        </w:rPr>
        <w:t>, 2024). This would increase the rate of return on invested capital (ROIC), which dropped to 0.93 in 2024, and the general profitability. Besides, divestiture may enhance liquidity since it produces instant cash flows and simplifies operations (Tesla, 2023). Tesla will be able to maximise resource allocation and increase shareholder value by prioritising high-growth automotive and battery demand.</w:t>
      </w:r>
    </w:p>
    <w:p w14:paraId="6A359026" w14:textId="77777777" w:rsidR="00094755" w:rsidRDefault="009B1CB7">
      <w:pPr>
        <w:pStyle w:val="Heading3"/>
      </w:pPr>
      <w:bookmarkStart w:id="30" w:name="_nllbeibts4w6" w:colFirst="0" w:colLast="0"/>
      <w:bookmarkEnd w:id="30"/>
      <w:r>
        <w:t>Merger</w:t>
      </w:r>
    </w:p>
    <w:p w14:paraId="23E7F6EB" w14:textId="77777777" w:rsidR="00094755" w:rsidRDefault="009B1CB7">
      <w:pPr>
        <w:rPr>
          <w:rFonts w:ascii="Arial" w:eastAsia="Arial" w:hAnsi="Arial" w:cs="Arial"/>
        </w:rPr>
      </w:pPr>
      <w:r>
        <w:rPr>
          <w:rFonts w:ascii="Arial" w:eastAsia="Arial" w:hAnsi="Arial" w:cs="Arial"/>
        </w:rPr>
        <w:t>A merger refers to the act of integrating with another firm to attain strategic synergies, cost efficiency, and market expansion. Tesla may want to merge with battery technology, AI, or autonomous driving firms to enhance its technological strength. This would facilitate innovation as well as lower research and development expenses by sharing the resources. A merger would help Tesla to be efficient and enhance the pace of technology development since it has a high R&amp;D spending of 4,540m in 2024. Nonetheless</w:t>
      </w:r>
      <w:r>
        <w:rPr>
          <w:rFonts w:ascii="Arial" w:eastAsia="Arial" w:hAnsi="Arial" w:cs="Arial"/>
        </w:rPr>
        <w:t>, mergers have integration risks, cultural differences, and regulatory challenges (Chen, 2025). This strategy has the potential to strengthen competitive advantage and long-term growth if it is managed properly.</w:t>
      </w:r>
    </w:p>
    <w:p w14:paraId="14F86B8B" w14:textId="77777777" w:rsidR="00094755" w:rsidRDefault="009B1CB7">
      <w:pPr>
        <w:pStyle w:val="Heading3"/>
      </w:pPr>
      <w:bookmarkStart w:id="31" w:name="_lsyugf13eiwi" w:colFirst="0" w:colLast="0"/>
      <w:bookmarkEnd w:id="31"/>
      <w:r>
        <w:lastRenderedPageBreak/>
        <w:t>Equity Injection</w:t>
      </w:r>
    </w:p>
    <w:p w14:paraId="194262A1" w14:textId="77777777" w:rsidR="00094755" w:rsidRDefault="009B1CB7">
      <w:pPr>
        <w:rPr>
          <w:rFonts w:ascii="Arial" w:eastAsia="Arial" w:hAnsi="Arial" w:cs="Arial"/>
        </w:rPr>
      </w:pPr>
      <w:r>
        <w:rPr>
          <w:rFonts w:ascii="Arial" w:eastAsia="Arial" w:hAnsi="Arial" w:cs="Arial"/>
        </w:rPr>
        <w:t>Equity injection- is the raising of capital by the issue of new shares, thus expanding the financial flexibility, but not with the addition of debt. Tesla has already been characterized by robust equity growth, and the shareholders' equity is already as strong as 72,913m in 2024. Further finance through equity can be used to finance large investments, like the expansion of factories and new technologies, without raising the risk of financial consequences. This comes in handy, especially in the face of dimin</w:t>
      </w:r>
      <w:r>
        <w:rPr>
          <w:rFonts w:ascii="Arial" w:eastAsia="Arial" w:hAnsi="Arial" w:cs="Arial"/>
        </w:rPr>
        <w:t>ishing profitability margins and great capital expenditure demands. Nevertheless, equity injection can dilute the existing shareholders' ownership and earnings per share (Liu et al., 2025). Nonetheless, it is still a feasible plan of financing expansion and still having a healthy balance sheet.</w:t>
      </w:r>
    </w:p>
    <w:p w14:paraId="22CE77A2" w14:textId="77777777" w:rsidR="00094755" w:rsidRDefault="009B1CB7">
      <w:pPr>
        <w:pStyle w:val="Heading2"/>
      </w:pPr>
      <w:bookmarkStart w:id="32" w:name="_msprocasrrcd" w:colFirst="0" w:colLast="0"/>
      <w:bookmarkEnd w:id="32"/>
      <w:r>
        <w:t>4.2 Evaluate Impact on Shareholder Value</w:t>
      </w:r>
    </w:p>
    <w:p w14:paraId="65D03DB8" w14:textId="77777777" w:rsidR="00094755" w:rsidRDefault="009B1CB7">
      <w:pPr>
        <w:rPr>
          <w:rFonts w:ascii="Arial" w:eastAsia="Arial" w:hAnsi="Arial" w:cs="Arial"/>
        </w:rPr>
      </w:pPr>
      <w:r>
        <w:rPr>
          <w:rFonts w:ascii="Arial" w:eastAsia="Arial" w:hAnsi="Arial" w:cs="Arial"/>
        </w:rPr>
        <w:t xml:space="preserve">Financial restructuring measures can have a very dramatic impact on the value of the shareholders through the enhancement of profitability, efficiency, and growth potential. Divestiture </w:t>
      </w:r>
      <w:r w:rsidR="005A5E32">
        <w:rPr>
          <w:rFonts w:ascii="Arial" w:eastAsia="Arial" w:hAnsi="Arial" w:cs="Arial"/>
        </w:rPr>
        <w:t>can</w:t>
      </w:r>
      <w:r>
        <w:rPr>
          <w:rFonts w:ascii="Arial" w:eastAsia="Arial" w:hAnsi="Arial" w:cs="Arial"/>
        </w:rPr>
        <w:t xml:space="preserve"> add value, such as by disposing of underperforming assets and reinvesting to maximize the value of invested capital (Trivedi et al., 2024). Mergers can generate synergies, expand into more markets, and become more innovative, which enhances the long-term shareholder returns (Rahim, 2025). The injection of equity enhances financial base, enabling expansion without raising financial risk, albeit at the cost of dilution of earnings per share. All these strategies are basically to maximise the firm value th</w:t>
      </w:r>
      <w:r>
        <w:rPr>
          <w:rFonts w:ascii="Arial" w:eastAsia="Arial" w:hAnsi="Arial" w:cs="Arial"/>
        </w:rPr>
        <w:t>rough balancing the risk and the return, which is in line with the objectives of shareholder wealth maximisation.</w:t>
      </w:r>
    </w:p>
    <w:p w14:paraId="00DC9AB5" w14:textId="77777777" w:rsidR="00094755" w:rsidRDefault="009B1CB7">
      <w:pPr>
        <w:pStyle w:val="Heading2"/>
      </w:pPr>
      <w:bookmarkStart w:id="33" w:name="_5196uf45bqh" w:colFirst="0" w:colLast="0"/>
      <w:bookmarkEnd w:id="33"/>
      <w:r>
        <w:t>4.3 Evaluate Impact on Debt Structure</w:t>
      </w:r>
    </w:p>
    <w:p w14:paraId="2A27C395" w14:textId="77777777" w:rsidR="00094755" w:rsidRDefault="009B1CB7">
      <w:pPr>
        <w:rPr>
          <w:rFonts w:ascii="Arial" w:eastAsia="Arial" w:hAnsi="Arial" w:cs="Arial"/>
        </w:rPr>
      </w:pPr>
      <w:r>
        <w:rPr>
          <w:rFonts w:ascii="Arial" w:eastAsia="Arial" w:hAnsi="Arial" w:cs="Arial"/>
        </w:rPr>
        <w:t xml:space="preserve">Restructuring of finances, in direct proportion to Tesla, will have a direct impact on its debt structure through changing the </w:t>
      </w:r>
      <w:r w:rsidR="005A5E32">
        <w:rPr>
          <w:rFonts w:ascii="Arial" w:eastAsia="Arial" w:hAnsi="Arial" w:cs="Arial"/>
        </w:rPr>
        <w:t>debt-to-equity</w:t>
      </w:r>
      <w:r>
        <w:rPr>
          <w:rFonts w:ascii="Arial" w:eastAsia="Arial" w:hAnsi="Arial" w:cs="Arial"/>
        </w:rPr>
        <w:t xml:space="preserve"> ratio. The divestiture process can lessen the debt levels as it produces cash to settle debts, enhancing the solvency ratios (Nabieu et al., 2025). Mergers can result in either augmented or optimised debt based on how the deal is financed (Rahim, 2025). Equity injection decreases the dependence on debt, which can be observed in the decreasing debt-to-equity ratio of 0.66 in 2024, which increases financial stability in Tesla. Nevertheless, over </w:t>
      </w:r>
      <w:r>
        <w:rPr>
          <w:rFonts w:ascii="Arial" w:eastAsia="Arial" w:hAnsi="Arial" w:cs="Arial"/>
        </w:rPr>
        <w:lastRenderedPageBreak/>
        <w:t>dependency on equity can raise the cost of capita</w:t>
      </w:r>
      <w:r>
        <w:rPr>
          <w:rFonts w:ascii="Arial" w:eastAsia="Arial" w:hAnsi="Arial" w:cs="Arial"/>
        </w:rPr>
        <w:t>l. In general, the goal of restructuring is to attain an optimal capital structure that minimizes the financial risk and facilitates growth.</w:t>
      </w:r>
    </w:p>
    <w:p w14:paraId="5286FCF3" w14:textId="77777777" w:rsidR="00094755" w:rsidRDefault="009B1CB7">
      <w:pPr>
        <w:pStyle w:val="Heading2"/>
      </w:pPr>
      <w:bookmarkStart w:id="34" w:name="_vqan6i4m6xq2" w:colFirst="0" w:colLast="0"/>
      <w:bookmarkEnd w:id="34"/>
      <w:r>
        <w:t>4.4 Evaluate Impact on Operational Flexibility</w:t>
      </w:r>
    </w:p>
    <w:p w14:paraId="1FA2E91B" w14:textId="77777777" w:rsidR="00094755" w:rsidRDefault="009B1CB7">
      <w:pPr>
        <w:rPr>
          <w:rFonts w:ascii="Arial" w:eastAsia="Arial" w:hAnsi="Arial" w:cs="Arial"/>
        </w:rPr>
      </w:pPr>
      <w:r>
        <w:rPr>
          <w:rFonts w:ascii="Arial" w:eastAsia="Arial" w:hAnsi="Arial" w:cs="Arial"/>
        </w:rPr>
        <w:t>Operational flexibility is defined as the capability of a firm to respond to the fluctuating market conditions and investment opportunities. Divestiture also increases flexibility as it minimizes the complexity of activities and enables the management to concentrate on core activities. Mergers can enhance flexibility by availing new technologies, resources, and markets but integration issues can temporarily limit operations (Ju and Gao, 2022). Equity injection enhances financial flexibility by offering fund</w:t>
      </w:r>
      <w:r>
        <w:rPr>
          <w:rFonts w:ascii="Arial" w:eastAsia="Arial" w:hAnsi="Arial" w:cs="Arial"/>
        </w:rPr>
        <w:t>s devoid of an obligation to repay them at specified rates, thereby facilitating strategic investments and innovation (Liu et al., 2025). All these restructuring plans enhance the capability of Tesla to react to market dynamics, remain competitive, and underpin long-term strategic aims.</w:t>
      </w:r>
    </w:p>
    <w:p w14:paraId="47D5857A" w14:textId="77777777" w:rsidR="00094755" w:rsidRDefault="009B1CB7">
      <w:pPr>
        <w:pStyle w:val="Heading2"/>
      </w:pPr>
      <w:bookmarkStart w:id="35" w:name="_t4xyi8m414n7" w:colFirst="0" w:colLast="0"/>
      <w:bookmarkEnd w:id="35"/>
      <w:r>
        <w:t>4.5 Included international and ethical considerations</w:t>
      </w:r>
    </w:p>
    <w:p w14:paraId="656E7CE6" w14:textId="77777777" w:rsidR="00094755" w:rsidRDefault="009B1CB7">
      <w:pPr>
        <w:pStyle w:val="Heading3"/>
      </w:pPr>
      <w:bookmarkStart w:id="36" w:name="_j79o7gyaodn" w:colFirst="0" w:colLast="0"/>
      <w:bookmarkEnd w:id="36"/>
      <w:r>
        <w:t>Taxation</w:t>
      </w:r>
    </w:p>
    <w:p w14:paraId="5ABA6CC1" w14:textId="77777777" w:rsidR="00094755" w:rsidRDefault="009B1CB7">
      <w:pPr>
        <w:rPr>
          <w:rFonts w:ascii="Arial" w:eastAsia="Arial" w:hAnsi="Arial" w:cs="Arial"/>
        </w:rPr>
      </w:pPr>
      <w:r>
        <w:rPr>
          <w:rFonts w:ascii="Arial" w:eastAsia="Arial" w:hAnsi="Arial" w:cs="Arial"/>
        </w:rPr>
        <w:t>Taxation is also a vital factor in the decision-making process of Tesla with regard to financial restructuring, especially since it is a global company. The profitability, cash flow, and investment decisions are influenced by different tax regimes in different countries. After-tax returns can be improved through effective tax planning, such as the application of tax incentives to electric vehicles and renewable energy. Tesla should also make sure that it complies with global tax laws, including transfer pri</w:t>
      </w:r>
      <w:r>
        <w:rPr>
          <w:rFonts w:ascii="Arial" w:eastAsia="Arial" w:hAnsi="Arial" w:cs="Arial"/>
        </w:rPr>
        <w:t>cing and anti-tax avoidance provisions (Badolato, 2022). The ethical aspects demand openness and avoiding aggressive tax practices that can harm the corporate image. Effective tax management can help to maintain a sound financial performance, a high level of regulatory compliance, and public trust.</w:t>
      </w:r>
    </w:p>
    <w:p w14:paraId="3CEB02DA" w14:textId="77777777" w:rsidR="00094755" w:rsidRDefault="009B1CB7">
      <w:pPr>
        <w:pStyle w:val="Heading3"/>
      </w:pPr>
      <w:bookmarkStart w:id="37" w:name="_rgtdp77vxvr5" w:colFirst="0" w:colLast="0"/>
      <w:bookmarkEnd w:id="37"/>
      <w:r>
        <w:t>Currency Risk</w:t>
      </w:r>
    </w:p>
    <w:p w14:paraId="1ED93DC3" w14:textId="77777777" w:rsidR="00094755" w:rsidRDefault="009B1CB7">
      <w:pPr>
        <w:rPr>
          <w:rFonts w:ascii="Arial" w:eastAsia="Arial" w:hAnsi="Arial" w:cs="Arial"/>
        </w:rPr>
      </w:pPr>
      <w:r>
        <w:rPr>
          <w:rFonts w:ascii="Arial" w:eastAsia="Arial" w:hAnsi="Arial" w:cs="Arial"/>
        </w:rPr>
        <w:t xml:space="preserve">Tesla is exposed to a serious currency risk as the company manufactures and sells its products in several locations. When the transactions are made in other currencies, </w:t>
      </w:r>
      <w:r>
        <w:rPr>
          <w:rFonts w:ascii="Arial" w:eastAsia="Arial" w:hAnsi="Arial" w:cs="Arial"/>
        </w:rPr>
        <w:lastRenderedPageBreak/>
        <w:t xml:space="preserve">changes in exchange rates may affect revenues, costs, and profitability. As an illustration, a robust US dollar can cause a decrease in the value of foreign earnings in conversion (Osho and </w:t>
      </w:r>
      <w:proofErr w:type="spellStart"/>
      <w:r>
        <w:rPr>
          <w:rFonts w:ascii="Arial" w:eastAsia="Arial" w:hAnsi="Arial" w:cs="Arial"/>
        </w:rPr>
        <w:t>Fagbamila</w:t>
      </w:r>
      <w:proofErr w:type="spellEnd"/>
      <w:r>
        <w:rPr>
          <w:rFonts w:ascii="Arial" w:eastAsia="Arial" w:hAnsi="Arial" w:cs="Arial"/>
        </w:rPr>
        <w:t xml:space="preserve">, 2022). Forward contracts and currency diversification are some of the hedging strategies that Tesla can use to address this risk. Good currency risk management will provide financial stability and safeguard profit margins. Moreover, clear risk management practice is ethical, and it increases the confidence of </w:t>
      </w:r>
      <w:r>
        <w:rPr>
          <w:rFonts w:ascii="Arial" w:eastAsia="Arial" w:hAnsi="Arial" w:cs="Arial"/>
        </w:rPr>
        <w:t>the investors in global financial activities.</w:t>
      </w:r>
    </w:p>
    <w:p w14:paraId="0F233025" w14:textId="77777777" w:rsidR="00094755" w:rsidRDefault="009B1CB7">
      <w:pPr>
        <w:pStyle w:val="Heading3"/>
      </w:pPr>
      <w:bookmarkStart w:id="38" w:name="_up445j87rmwl" w:colFirst="0" w:colLast="0"/>
      <w:bookmarkEnd w:id="38"/>
      <w:r>
        <w:t>Inflation</w:t>
      </w:r>
    </w:p>
    <w:p w14:paraId="53FAA7CC" w14:textId="77777777" w:rsidR="00094755" w:rsidRDefault="009B1CB7">
      <w:pPr>
        <w:rPr>
          <w:rFonts w:ascii="Arial" w:eastAsia="Arial" w:hAnsi="Arial" w:cs="Arial"/>
        </w:rPr>
      </w:pPr>
      <w:r>
        <w:rPr>
          <w:rFonts w:ascii="Arial" w:eastAsia="Arial" w:hAnsi="Arial" w:cs="Arial"/>
        </w:rPr>
        <w:t>The issue of inflation impacts the cost setup of Tesla, especially the costs of raw materials like lithium, steel, and energy, which are required to manufacture electric vehicles. High inflation increases the cost of production and hence decreases the profit margin as indicated by the decreasing operating margins after 2022. Cost control, pricing, and supply chain optimisation are some of the strategies that Tesla should implement to reduce the inflationary pressures. Moreover, inflation affects interest ra</w:t>
      </w:r>
      <w:r>
        <w:rPr>
          <w:rFonts w:ascii="Arial" w:eastAsia="Arial" w:hAnsi="Arial" w:cs="Arial"/>
        </w:rPr>
        <w:t>tes, which affect the cost of borrowing and investment (Nabieu et al., 2025). Effective management of inflation is crucial in ensuring profitability and competitiveness, as well as financial sustainability in the long term in a volatile economic environment.</w:t>
      </w:r>
    </w:p>
    <w:p w14:paraId="52042B54" w14:textId="77777777" w:rsidR="00094755" w:rsidRDefault="009B1CB7">
      <w:pPr>
        <w:pStyle w:val="Heading3"/>
      </w:pPr>
      <w:bookmarkStart w:id="39" w:name="_ekucl0hah5yw" w:colFirst="0" w:colLast="0"/>
      <w:bookmarkEnd w:id="39"/>
      <w:r>
        <w:t>Corporate Social Responsibility (CSR)</w:t>
      </w:r>
    </w:p>
    <w:p w14:paraId="04FF16C7" w14:textId="77777777" w:rsidR="00094755" w:rsidRDefault="009B1CB7">
      <w:pPr>
        <w:rPr>
          <w:rFonts w:ascii="Arial" w:eastAsia="Arial" w:hAnsi="Arial" w:cs="Arial"/>
        </w:rPr>
      </w:pPr>
      <w:r>
        <w:rPr>
          <w:rFonts w:ascii="Arial" w:eastAsia="Arial" w:hAnsi="Arial" w:cs="Arial"/>
        </w:rPr>
        <w:t>CSR is an inherent part of Tesla's activities, as it pays attention to environmental innovativeness and sustainability. The ethical factors demand that Tesla needs to be responsible in the sourcing of materials, especially those used in batteries, and to reduce environmental and social effects. Good CSR activities promote brand image, consumer loyalty, and value generation in the long-term (Liu and Zhou, 2025). Nonetheless, Tesla needs to respond to the issues regarding labour practices, supply chain transp</w:t>
      </w:r>
      <w:r>
        <w:rPr>
          <w:rFonts w:ascii="Arial" w:eastAsia="Arial" w:hAnsi="Arial" w:cs="Arial"/>
        </w:rPr>
        <w:t>arency, and environmental impact. The incorporation of CSR into financial decision-making will guarantee that it complies with regulatory needs as well as the expectations of the stakeholders. This practice is conducive to sustainable development and ethical conduct of business at the global level.</w:t>
      </w:r>
    </w:p>
    <w:p w14:paraId="49197AED" w14:textId="77777777" w:rsidR="00094755" w:rsidRDefault="009B1CB7">
      <w:pPr>
        <w:pStyle w:val="Heading1"/>
      </w:pPr>
      <w:bookmarkStart w:id="40" w:name="_16f4qih4rrc" w:colFirst="0" w:colLast="0"/>
      <w:bookmarkEnd w:id="40"/>
      <w:r>
        <w:lastRenderedPageBreak/>
        <w:t xml:space="preserve">5. Investment Appraisal and Capital Budgeting </w:t>
      </w:r>
    </w:p>
    <w:p w14:paraId="718DBD7F" w14:textId="77777777" w:rsidR="00094755" w:rsidRDefault="009B1CB7">
      <w:pPr>
        <w:pStyle w:val="Heading2"/>
      </w:pPr>
      <w:bookmarkStart w:id="41" w:name="_409i80nb68dp" w:colFirst="0" w:colLast="0"/>
      <w:bookmarkEnd w:id="41"/>
      <w:r>
        <w:t>5.1 Overview of PBP, ARR, NPV, PI, and IRR</w:t>
      </w:r>
    </w:p>
    <w:p w14:paraId="65ABA473" w14:textId="77777777" w:rsidR="00094755" w:rsidRDefault="009B1CB7">
      <w:pPr>
        <w:pStyle w:val="Heading3"/>
      </w:pPr>
      <w:bookmarkStart w:id="42" w:name="_oyr1drngl8di" w:colFirst="0" w:colLast="0"/>
      <w:bookmarkEnd w:id="42"/>
      <w:r>
        <w:t>“Payback Period (PBP)”</w:t>
      </w:r>
    </w:p>
    <w:p w14:paraId="04D0BE9A" w14:textId="77777777" w:rsidR="00094755" w:rsidRDefault="009B1CB7">
      <w:pPr>
        <w:rPr>
          <w:rFonts w:ascii="Arial" w:eastAsia="Arial" w:hAnsi="Arial" w:cs="Arial"/>
        </w:rPr>
      </w:pPr>
      <w:r>
        <w:rPr>
          <w:rFonts w:ascii="Arial" w:eastAsia="Arial" w:hAnsi="Arial" w:cs="Arial"/>
        </w:rPr>
        <w:t>PBP quantifies how long it takes an investment to cover the initial investment in terms of cash inflows. It is significant as it assesses liquidity risk and capital recovery speed (Sinaga et al., 2023). A shorter payback period is desirable, especially in risky environments, but it disregards the time value of money.</w:t>
      </w:r>
    </w:p>
    <w:p w14:paraId="572CBFDC" w14:textId="77777777" w:rsidR="00094755" w:rsidRDefault="009B1CB7">
      <w:pPr>
        <w:pStyle w:val="Heading3"/>
      </w:pPr>
      <w:bookmarkStart w:id="43" w:name="_hvop1v1w3ef4" w:colFirst="0" w:colLast="0"/>
      <w:bookmarkEnd w:id="43"/>
      <w:r>
        <w:t xml:space="preserve">“Accounting Rate of Return (ARR)” </w:t>
      </w:r>
    </w:p>
    <w:p w14:paraId="6AC93150" w14:textId="77777777" w:rsidR="00094755" w:rsidRDefault="009B1CB7">
      <w:pPr>
        <w:rPr>
          <w:rFonts w:ascii="Arial" w:eastAsia="Arial" w:hAnsi="Arial" w:cs="Arial"/>
        </w:rPr>
      </w:pPr>
      <w:r>
        <w:rPr>
          <w:rFonts w:ascii="Arial" w:eastAsia="Arial" w:hAnsi="Arial" w:cs="Arial"/>
        </w:rPr>
        <w:t>ARR is used to assess the profitability of an investment based on the average accounting profit and the initial investment. It is important because it gives a straightforward measurement of the performance in terms of financial statements (Goel, 2026). ARR disregards cash flows and the time value of money, which restricts its accuracy in decision-making.</w:t>
      </w:r>
    </w:p>
    <w:p w14:paraId="4375B476" w14:textId="77777777" w:rsidR="00094755" w:rsidRDefault="009B1CB7">
      <w:pPr>
        <w:pStyle w:val="Heading3"/>
      </w:pPr>
      <w:bookmarkStart w:id="44" w:name="_5hakod947662" w:colFirst="0" w:colLast="0"/>
      <w:bookmarkEnd w:id="44"/>
      <w:r>
        <w:t xml:space="preserve">“Net Present Value (NPV)” </w:t>
      </w:r>
    </w:p>
    <w:p w14:paraId="1598EA03" w14:textId="77777777" w:rsidR="00094755" w:rsidRDefault="009B1CB7">
      <w:pPr>
        <w:rPr>
          <w:rFonts w:ascii="Arial" w:eastAsia="Arial" w:hAnsi="Arial" w:cs="Arial"/>
        </w:rPr>
      </w:pPr>
      <w:r>
        <w:rPr>
          <w:rFonts w:ascii="Arial" w:eastAsia="Arial" w:hAnsi="Arial" w:cs="Arial"/>
        </w:rPr>
        <w:t xml:space="preserve">NPV compares the present value of the cash receivables with </w:t>
      </w:r>
      <w:r w:rsidR="005A5E32">
        <w:rPr>
          <w:rFonts w:ascii="Arial" w:eastAsia="Arial" w:hAnsi="Arial" w:cs="Arial"/>
        </w:rPr>
        <w:t>outflows and</w:t>
      </w:r>
      <w:r>
        <w:rPr>
          <w:rFonts w:ascii="Arial" w:eastAsia="Arial" w:hAnsi="Arial" w:cs="Arial"/>
        </w:rPr>
        <w:t xml:space="preserve"> is discounted. It is notable in that it </w:t>
      </w:r>
      <w:r w:rsidR="005A5E32">
        <w:rPr>
          <w:rFonts w:ascii="Arial" w:eastAsia="Arial" w:hAnsi="Arial" w:cs="Arial"/>
        </w:rPr>
        <w:t>considers</w:t>
      </w:r>
      <w:r>
        <w:rPr>
          <w:rFonts w:ascii="Arial" w:eastAsia="Arial" w:hAnsi="Arial" w:cs="Arial"/>
        </w:rPr>
        <w:t xml:space="preserve"> the time value of money and quantifies directly value creation (Sinaga et al., 2023). When the NPV is positive, it means that the project increases shareholder wealth.</w:t>
      </w:r>
    </w:p>
    <w:p w14:paraId="26563215" w14:textId="77777777" w:rsidR="00094755" w:rsidRDefault="009B1CB7">
      <w:pPr>
        <w:pStyle w:val="Heading3"/>
      </w:pPr>
      <w:bookmarkStart w:id="45" w:name="_1uuvzfig4olu" w:colFirst="0" w:colLast="0"/>
      <w:bookmarkEnd w:id="45"/>
      <w:r>
        <w:t xml:space="preserve">“Profitability Index (PI)” </w:t>
      </w:r>
    </w:p>
    <w:p w14:paraId="53CC23EC" w14:textId="77777777" w:rsidR="00094755" w:rsidRDefault="009B1CB7">
      <w:pPr>
        <w:rPr>
          <w:rFonts w:ascii="Arial" w:eastAsia="Arial" w:hAnsi="Arial" w:cs="Arial"/>
        </w:rPr>
      </w:pPr>
      <w:r>
        <w:rPr>
          <w:rFonts w:ascii="Arial" w:eastAsia="Arial" w:hAnsi="Arial" w:cs="Arial"/>
        </w:rPr>
        <w:t>PI is the ratio of the value of future cash inflows at present to the initial investment. It is important in the rationing of capital, as it assists in ranking the projects in terms of value generated in relation to the amount of capital invested (</w:t>
      </w:r>
      <w:proofErr w:type="spellStart"/>
      <w:r>
        <w:rPr>
          <w:rFonts w:ascii="Arial" w:eastAsia="Arial" w:hAnsi="Arial" w:cs="Arial"/>
        </w:rPr>
        <w:t>Alamsah</w:t>
      </w:r>
      <w:proofErr w:type="spellEnd"/>
      <w:r>
        <w:rPr>
          <w:rFonts w:ascii="Arial" w:eastAsia="Arial" w:hAnsi="Arial" w:cs="Arial"/>
        </w:rPr>
        <w:t xml:space="preserve"> et al., 2025). PI above 1 means that the project is financially feasible.</w:t>
      </w:r>
    </w:p>
    <w:p w14:paraId="598AFBD6" w14:textId="77777777" w:rsidR="00094755" w:rsidRDefault="009B1CB7">
      <w:pPr>
        <w:pStyle w:val="Heading3"/>
      </w:pPr>
      <w:bookmarkStart w:id="46" w:name="_9emwqxb7ayip" w:colFirst="0" w:colLast="0"/>
      <w:bookmarkEnd w:id="46"/>
      <w:r>
        <w:t xml:space="preserve">“Internal Rate of Return (IRR)” </w:t>
      </w:r>
    </w:p>
    <w:p w14:paraId="43EC182F" w14:textId="77777777" w:rsidR="00094755" w:rsidRDefault="009B1CB7">
      <w:pPr>
        <w:rPr>
          <w:rFonts w:ascii="Arial" w:eastAsia="Arial" w:hAnsi="Arial" w:cs="Arial"/>
        </w:rPr>
      </w:pPr>
      <w:r>
        <w:rPr>
          <w:rFonts w:ascii="Arial" w:eastAsia="Arial" w:hAnsi="Arial" w:cs="Arial"/>
        </w:rPr>
        <w:t xml:space="preserve">IRR is the discount rate such that the net present value of a project is zero. It is important because it offers a percentage measure of returns, it is easy to compare </w:t>
      </w:r>
      <w:r>
        <w:rPr>
          <w:rFonts w:ascii="Arial" w:eastAsia="Arial" w:hAnsi="Arial" w:cs="Arial"/>
        </w:rPr>
        <w:lastRenderedPageBreak/>
        <w:t>projects (Sinaga et al., 2023). A project will be acceptable when the IRR is higher than the necessary rate of return.</w:t>
      </w:r>
    </w:p>
    <w:p w14:paraId="53689BF0" w14:textId="77777777" w:rsidR="00094755" w:rsidRDefault="009B1CB7">
      <w:pPr>
        <w:pStyle w:val="Heading2"/>
      </w:pPr>
      <w:bookmarkStart w:id="47" w:name="_6ucxibppa1v3" w:colFirst="0" w:colLast="0"/>
      <w:bookmarkEnd w:id="47"/>
      <w:r>
        <w:t xml:space="preserve">5.2 Investment Projects </w:t>
      </w:r>
    </w:p>
    <w:p w14:paraId="6F33305C" w14:textId="77777777" w:rsidR="00094755" w:rsidRDefault="009B1CB7" w:rsidP="003B0FFF">
      <w:pPr>
        <w:rPr>
          <w:rFonts w:ascii="Arial" w:eastAsia="Arial" w:hAnsi="Arial" w:cs="Arial"/>
        </w:rPr>
      </w:pPr>
      <w:r>
        <w:rPr>
          <w:rFonts w:ascii="Arial" w:eastAsia="Arial" w:hAnsi="Arial" w:cs="Arial"/>
        </w:rPr>
        <w:t>The investment projects are of three types (A, B, and C), and each has an initial investment of £50 million with different cash inflow patterns in five years. Project A represents modest and changing returns, Project B offers consistent cash flows, and Project C offers high but inconsistent returns. Financial appraisal techniques are used to evaluate these projects.</w:t>
      </w:r>
      <w:r w:rsidR="003B0FFF" w:rsidRPr="003B0FFF">
        <w:rPr>
          <w:noProof/>
        </w:rPr>
        <w:t xml:space="preserve">  </w:t>
      </w:r>
    </w:p>
    <w:p w14:paraId="19D32206" w14:textId="77777777" w:rsidR="00094755" w:rsidRDefault="009B1CB7">
      <w:pPr>
        <w:pStyle w:val="Heading2"/>
      </w:pPr>
      <w:bookmarkStart w:id="48" w:name="_bi7kzujxkej9" w:colFirst="0" w:colLast="0"/>
      <w:bookmarkEnd w:id="48"/>
      <w:r>
        <w:t xml:space="preserve">5.3 Project </w:t>
      </w:r>
      <w:proofErr w:type="gramStart"/>
      <w:r>
        <w:t>A</w:t>
      </w:r>
      <w:proofErr w:type="gramEnd"/>
      <w:r>
        <w:t xml:space="preserve"> Analysis</w:t>
      </w:r>
    </w:p>
    <w:p w14:paraId="53CD0989" w14:textId="77777777" w:rsidR="003B0FFF" w:rsidRDefault="003B0FFF" w:rsidP="003B0FFF">
      <w:pPr>
        <w:jc w:val="center"/>
        <w:rPr>
          <w:rFonts w:ascii="Arial" w:eastAsia="Arial" w:hAnsi="Arial" w:cs="Arial"/>
        </w:rPr>
      </w:pPr>
      <w:r w:rsidRPr="003B0FFF">
        <w:rPr>
          <w:rFonts w:ascii="Arial" w:eastAsia="Arial" w:hAnsi="Arial" w:cs="Arial"/>
          <w:noProof/>
        </w:rPr>
        <w:drawing>
          <wp:inline distT="0" distB="0" distL="0" distR="0" wp14:anchorId="2A8BE2F7" wp14:editId="0B7D6AF8">
            <wp:extent cx="5733415" cy="1975485"/>
            <wp:effectExtent l="76200" t="76200" r="133985" b="139065"/>
            <wp:docPr id="970749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749043" name=""/>
                    <pic:cNvPicPr/>
                  </pic:nvPicPr>
                  <pic:blipFill>
                    <a:blip r:embed="rId12"/>
                    <a:stretch>
                      <a:fillRect/>
                    </a:stretch>
                  </pic:blipFill>
                  <pic:spPr>
                    <a:xfrm>
                      <a:off x="0" y="0"/>
                      <a:ext cx="5733415" cy="19754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F39FF0" w14:textId="77777777" w:rsidR="003B0FFF" w:rsidRDefault="003B0FFF" w:rsidP="003B0FFF">
      <w:pPr>
        <w:jc w:val="center"/>
        <w:rPr>
          <w:rFonts w:ascii="Arial" w:eastAsia="Arial" w:hAnsi="Arial" w:cs="Arial"/>
          <w:b/>
          <w:bCs/>
        </w:rPr>
      </w:pPr>
      <w:r>
        <w:rPr>
          <w:rFonts w:ascii="Arial" w:eastAsia="Arial" w:hAnsi="Arial" w:cs="Arial"/>
          <w:b/>
          <w:bCs/>
        </w:rPr>
        <w:t>Figure 6: Investment Appraisal of Project A</w:t>
      </w:r>
    </w:p>
    <w:p w14:paraId="4C4BABDA" w14:textId="77777777" w:rsidR="003B0FFF" w:rsidRDefault="003B0FFF" w:rsidP="003B0FFF">
      <w:pPr>
        <w:jc w:val="center"/>
        <w:rPr>
          <w:rFonts w:ascii="Arial" w:eastAsia="Arial" w:hAnsi="Arial" w:cs="Arial"/>
        </w:rPr>
      </w:pPr>
      <w:r>
        <w:rPr>
          <w:rFonts w:ascii="Arial" w:eastAsia="Arial" w:hAnsi="Arial" w:cs="Arial"/>
        </w:rPr>
        <w:t>(Source: Ms-Excel)</w:t>
      </w:r>
    </w:p>
    <w:p w14:paraId="0E0CB92B" w14:textId="77777777" w:rsidR="00094755" w:rsidRDefault="009B1CB7">
      <w:pPr>
        <w:rPr>
          <w:rFonts w:ascii="Arial" w:eastAsia="Arial" w:hAnsi="Arial" w:cs="Arial"/>
        </w:rPr>
      </w:pPr>
      <w:r>
        <w:rPr>
          <w:rFonts w:ascii="Arial" w:eastAsia="Arial" w:hAnsi="Arial" w:cs="Arial"/>
        </w:rPr>
        <w:t>Project A has a negative NPV of -£8.68m, which represents value destruction. PI is 1.17, but it does not align with the results of NPV, indicating inconsistency. IRR is low at 2.72%, below the 10% required rate, and ARR is only 1.60%. The payback period is not recouped, showing bad liquidity and low viability of investments.</w:t>
      </w:r>
    </w:p>
    <w:p w14:paraId="19285A79" w14:textId="77777777" w:rsidR="00094755" w:rsidRDefault="009B1CB7">
      <w:pPr>
        <w:pStyle w:val="Heading2"/>
      </w:pPr>
      <w:bookmarkStart w:id="49" w:name="_ajcwoeiv5clp" w:colFirst="0" w:colLast="0"/>
      <w:bookmarkEnd w:id="49"/>
      <w:r>
        <w:lastRenderedPageBreak/>
        <w:t>5.4 Project B Analysis</w:t>
      </w:r>
    </w:p>
    <w:p w14:paraId="3C23A21C" w14:textId="77777777" w:rsidR="003B0FFF" w:rsidRDefault="003B0FFF" w:rsidP="003B0FFF">
      <w:pPr>
        <w:jc w:val="center"/>
        <w:rPr>
          <w:rFonts w:ascii="Arial" w:eastAsia="Arial" w:hAnsi="Arial" w:cs="Arial"/>
        </w:rPr>
      </w:pPr>
      <w:r w:rsidRPr="003B0FFF">
        <w:rPr>
          <w:rFonts w:ascii="Arial" w:eastAsia="Arial" w:hAnsi="Arial" w:cs="Arial"/>
          <w:noProof/>
        </w:rPr>
        <w:drawing>
          <wp:inline distT="0" distB="0" distL="0" distR="0" wp14:anchorId="66065368" wp14:editId="610992BE">
            <wp:extent cx="5733415" cy="1902460"/>
            <wp:effectExtent l="76200" t="76200" r="133985" b="135890"/>
            <wp:docPr id="1082873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873359" name=""/>
                    <pic:cNvPicPr/>
                  </pic:nvPicPr>
                  <pic:blipFill>
                    <a:blip r:embed="rId13"/>
                    <a:stretch>
                      <a:fillRect/>
                    </a:stretch>
                  </pic:blipFill>
                  <pic:spPr>
                    <a:xfrm>
                      <a:off x="0" y="0"/>
                      <a:ext cx="5733415" cy="19024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0ED0F5" w14:textId="77777777" w:rsidR="003B0FFF" w:rsidRDefault="003B0FFF" w:rsidP="003B0FFF">
      <w:pPr>
        <w:jc w:val="center"/>
        <w:rPr>
          <w:rFonts w:ascii="Arial" w:eastAsia="Arial" w:hAnsi="Arial" w:cs="Arial"/>
          <w:b/>
          <w:bCs/>
        </w:rPr>
      </w:pPr>
      <w:r>
        <w:rPr>
          <w:rFonts w:ascii="Arial" w:eastAsia="Arial" w:hAnsi="Arial" w:cs="Arial"/>
          <w:b/>
          <w:bCs/>
        </w:rPr>
        <w:t xml:space="preserve">Figure </w:t>
      </w:r>
      <w:r w:rsidR="00731149">
        <w:rPr>
          <w:rFonts w:ascii="Arial" w:eastAsia="Arial" w:hAnsi="Arial" w:cs="Arial"/>
          <w:b/>
          <w:bCs/>
        </w:rPr>
        <w:t>7</w:t>
      </w:r>
      <w:r>
        <w:rPr>
          <w:rFonts w:ascii="Arial" w:eastAsia="Arial" w:hAnsi="Arial" w:cs="Arial"/>
          <w:b/>
          <w:bCs/>
        </w:rPr>
        <w:t>: Investment Appraisal of Project B</w:t>
      </w:r>
    </w:p>
    <w:p w14:paraId="5973171A" w14:textId="77777777" w:rsidR="003B0FFF" w:rsidRDefault="003B0FFF" w:rsidP="003B0FFF">
      <w:pPr>
        <w:jc w:val="center"/>
        <w:rPr>
          <w:rFonts w:ascii="Arial" w:eastAsia="Arial" w:hAnsi="Arial" w:cs="Arial"/>
        </w:rPr>
      </w:pPr>
      <w:r>
        <w:rPr>
          <w:rFonts w:ascii="Arial" w:eastAsia="Arial" w:hAnsi="Arial" w:cs="Arial"/>
        </w:rPr>
        <w:t>(Source: Ms-Excel)</w:t>
      </w:r>
    </w:p>
    <w:p w14:paraId="2F4A20F4" w14:textId="77777777" w:rsidR="00094755" w:rsidRDefault="009B1CB7">
      <w:pPr>
        <w:rPr>
          <w:rFonts w:ascii="Arial" w:eastAsia="Arial" w:hAnsi="Arial" w:cs="Arial"/>
        </w:rPr>
      </w:pPr>
      <w:r>
        <w:rPr>
          <w:rFonts w:ascii="Arial" w:eastAsia="Arial" w:hAnsi="Arial" w:cs="Arial"/>
        </w:rPr>
        <w:t>Project B is also not financially viable, with a negative NPV of - £8.30m. Even with a PI of 1.17, IRR is at 3.26%, which is much less than the 10% discount rate. ARR is at 2.00%, and the payback period is not recovered, which implies that profitability is low and the risk of investment is high.</w:t>
      </w:r>
    </w:p>
    <w:p w14:paraId="49DF08AE" w14:textId="77777777" w:rsidR="00094755" w:rsidRDefault="009B1CB7">
      <w:pPr>
        <w:pStyle w:val="Heading2"/>
      </w:pPr>
      <w:bookmarkStart w:id="50" w:name="_iiylhwxivjl5" w:colFirst="0" w:colLast="0"/>
      <w:bookmarkEnd w:id="50"/>
      <w:r>
        <w:t>5.5 Project C Analysis</w:t>
      </w:r>
    </w:p>
    <w:p w14:paraId="0C5CE576" w14:textId="77777777" w:rsidR="003B0FFF" w:rsidRDefault="003B0FFF" w:rsidP="003B0FFF">
      <w:pPr>
        <w:jc w:val="center"/>
        <w:rPr>
          <w:rFonts w:ascii="Arial" w:eastAsia="Arial" w:hAnsi="Arial" w:cs="Arial"/>
        </w:rPr>
      </w:pPr>
      <w:r w:rsidRPr="003B0FFF">
        <w:rPr>
          <w:noProof/>
        </w:rPr>
        <w:drawing>
          <wp:inline distT="0" distB="0" distL="0" distR="0" wp14:anchorId="594A36CC" wp14:editId="0F2506A8">
            <wp:extent cx="5733415" cy="1748155"/>
            <wp:effectExtent l="76200" t="76200" r="133985" b="137795"/>
            <wp:docPr id="1146783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783458" name=""/>
                    <pic:cNvPicPr/>
                  </pic:nvPicPr>
                  <pic:blipFill>
                    <a:blip r:embed="rId14"/>
                    <a:stretch>
                      <a:fillRect/>
                    </a:stretch>
                  </pic:blipFill>
                  <pic:spPr>
                    <a:xfrm>
                      <a:off x="0" y="0"/>
                      <a:ext cx="5733415" cy="17481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DBA912" w14:textId="77777777" w:rsidR="003B0FFF" w:rsidRDefault="003B0FFF" w:rsidP="003B0FFF">
      <w:pPr>
        <w:jc w:val="center"/>
        <w:rPr>
          <w:rFonts w:ascii="Arial" w:eastAsia="Arial" w:hAnsi="Arial" w:cs="Arial"/>
          <w:b/>
          <w:bCs/>
        </w:rPr>
      </w:pPr>
      <w:r>
        <w:rPr>
          <w:rFonts w:ascii="Arial" w:eastAsia="Arial" w:hAnsi="Arial" w:cs="Arial"/>
          <w:b/>
          <w:bCs/>
        </w:rPr>
        <w:t xml:space="preserve">Figure </w:t>
      </w:r>
      <w:r w:rsidR="00731149">
        <w:rPr>
          <w:rFonts w:ascii="Arial" w:eastAsia="Arial" w:hAnsi="Arial" w:cs="Arial"/>
          <w:b/>
          <w:bCs/>
        </w:rPr>
        <w:t>8</w:t>
      </w:r>
      <w:r>
        <w:rPr>
          <w:rFonts w:ascii="Arial" w:eastAsia="Arial" w:hAnsi="Arial" w:cs="Arial"/>
          <w:b/>
          <w:bCs/>
        </w:rPr>
        <w:t>: Investment Appraisal of Project C</w:t>
      </w:r>
    </w:p>
    <w:p w14:paraId="1FF20323" w14:textId="77777777" w:rsidR="003B0FFF" w:rsidRDefault="003B0FFF" w:rsidP="003B0FFF">
      <w:pPr>
        <w:jc w:val="center"/>
        <w:rPr>
          <w:rFonts w:ascii="Arial" w:eastAsia="Arial" w:hAnsi="Arial" w:cs="Arial"/>
        </w:rPr>
      </w:pPr>
      <w:r>
        <w:rPr>
          <w:rFonts w:ascii="Arial" w:eastAsia="Arial" w:hAnsi="Arial" w:cs="Arial"/>
        </w:rPr>
        <w:t>(Source: Ms-Excel)</w:t>
      </w:r>
    </w:p>
    <w:p w14:paraId="226F2943" w14:textId="77777777" w:rsidR="00094755" w:rsidRDefault="009B1CB7">
      <w:pPr>
        <w:rPr>
          <w:rFonts w:ascii="Arial" w:eastAsia="Arial" w:hAnsi="Arial" w:cs="Arial"/>
        </w:rPr>
      </w:pPr>
      <w:r>
        <w:rPr>
          <w:rFonts w:ascii="Arial" w:eastAsia="Arial" w:hAnsi="Arial" w:cs="Arial"/>
        </w:rPr>
        <w:t xml:space="preserve">Project C is relatively better as it has the lowest negative NPV of -£1.98m and thus it does not lose value to a large extent. It is more profitable with the highest IRR of 8.59% </w:t>
      </w:r>
      <w:r>
        <w:rPr>
          <w:rFonts w:ascii="Arial" w:eastAsia="Arial" w:hAnsi="Arial" w:cs="Arial"/>
        </w:rPr>
        <w:lastRenderedPageBreak/>
        <w:t>and ARR of 6.00%. Nonetheless, IRR is lower than the 10 percent threshold, and the payback period is not recouped, which makes it less appealing.</w:t>
      </w:r>
    </w:p>
    <w:p w14:paraId="1D8EB720" w14:textId="77777777" w:rsidR="00094755" w:rsidRDefault="009B1CB7">
      <w:pPr>
        <w:pStyle w:val="Heading2"/>
      </w:pPr>
      <w:bookmarkStart w:id="51" w:name="_iemncokkqst" w:colFirst="0" w:colLast="0"/>
      <w:bookmarkEnd w:id="51"/>
      <w:r>
        <w:t>5.6 Project Recommendation and Justification</w:t>
      </w:r>
    </w:p>
    <w:p w14:paraId="0713FA8E" w14:textId="77777777" w:rsidR="00094755" w:rsidRDefault="009B1CB7">
      <w:pPr>
        <w:pStyle w:val="Heading3"/>
      </w:pPr>
      <w:bookmarkStart w:id="52" w:name="_sx8pv770ihiq" w:colFirst="0" w:colLast="0"/>
      <w:bookmarkEnd w:id="52"/>
      <w:r>
        <w:t>Recommended Project: Project C</w:t>
      </w:r>
    </w:p>
    <w:p w14:paraId="247FC858" w14:textId="77777777" w:rsidR="00AD6ABE" w:rsidRDefault="009B1CB7">
      <w:pPr>
        <w:rPr>
          <w:rFonts w:ascii="Arial" w:eastAsia="Arial" w:hAnsi="Arial" w:cs="Arial"/>
        </w:rPr>
      </w:pPr>
      <w:r>
        <w:rPr>
          <w:rFonts w:ascii="Arial" w:eastAsia="Arial" w:hAnsi="Arial" w:cs="Arial"/>
        </w:rPr>
        <w:t>Project C is suggested as the best choice based on the results of the investment appraisal. Despite the negative NPVs at a 10% discount rate in all the projects, Project C has the least negative NPV (-1.98m) than Project A (-8.68m) and Project B (-8.30m), which implies there is only a small loss in value. Furthermore, Project C is the most profitable (IRR of 8.59 and ARR of 6.00) with a relatively better profitability capacity. Although its IRR remains lower than the necessary rate, it is closer to the benc</w:t>
      </w:r>
      <w:r>
        <w:rPr>
          <w:rFonts w:ascii="Arial" w:eastAsia="Arial" w:hAnsi="Arial" w:cs="Arial"/>
        </w:rPr>
        <w:t>hmark, which makes it relatively more viable.</w:t>
      </w:r>
      <w:r w:rsidR="00B65E43">
        <w:rPr>
          <w:rFonts w:ascii="Arial" w:eastAsia="Arial" w:hAnsi="Arial" w:cs="Arial"/>
        </w:rPr>
        <w:t xml:space="preserve"> </w:t>
      </w:r>
      <w:r w:rsidR="00B65E43" w:rsidRPr="00B65E43">
        <w:rPr>
          <w:rFonts w:ascii="Arial" w:eastAsia="Arial" w:hAnsi="Arial" w:cs="Arial"/>
        </w:rPr>
        <w:t>Project C will also have a greater adaptability to the unpredictable market condition where the company will be able to adjust to the market change in demand, cost, and regulations. Its comparatively less downside risk is a wise step in a time of waning margins and cash flow strains</w:t>
      </w:r>
      <w:r w:rsidR="00B65E43">
        <w:rPr>
          <w:rFonts w:ascii="Arial" w:eastAsia="Arial" w:hAnsi="Arial" w:cs="Arial"/>
        </w:rPr>
        <w:t xml:space="preserve"> (</w:t>
      </w:r>
      <w:proofErr w:type="spellStart"/>
      <w:r w:rsidR="00B65E43">
        <w:rPr>
          <w:rFonts w:ascii="Arial" w:eastAsia="Arial" w:hAnsi="Arial" w:cs="Arial"/>
        </w:rPr>
        <w:t>Purnawan</w:t>
      </w:r>
      <w:proofErr w:type="spellEnd"/>
      <w:r w:rsidR="00B65E43">
        <w:rPr>
          <w:rFonts w:ascii="Arial" w:eastAsia="Arial" w:hAnsi="Arial" w:cs="Arial"/>
        </w:rPr>
        <w:t>, 2024)</w:t>
      </w:r>
      <w:r w:rsidR="00B65E43" w:rsidRPr="00B65E43">
        <w:rPr>
          <w:rFonts w:ascii="Arial" w:eastAsia="Arial" w:hAnsi="Arial" w:cs="Arial"/>
        </w:rPr>
        <w:t>. Project C allows a sustainable development without violating the financial stability, and it is a good investment project.</w:t>
      </w:r>
    </w:p>
    <w:p w14:paraId="553598A2" w14:textId="77777777" w:rsidR="00094755" w:rsidRDefault="009B1CB7">
      <w:pPr>
        <w:pStyle w:val="Heading3"/>
      </w:pPr>
      <w:bookmarkStart w:id="53" w:name="_pm7nqawc7c2v" w:colFirst="0" w:colLast="0"/>
      <w:bookmarkEnd w:id="53"/>
      <w:r>
        <w:t>Justification Based on Financial Performance</w:t>
      </w:r>
    </w:p>
    <w:p w14:paraId="042D4F54" w14:textId="77777777" w:rsidR="00094755" w:rsidRDefault="009B1CB7">
      <w:pPr>
        <w:rPr>
          <w:rFonts w:ascii="Arial" w:eastAsia="Arial" w:hAnsi="Arial" w:cs="Arial"/>
        </w:rPr>
      </w:pPr>
      <w:r>
        <w:rPr>
          <w:rFonts w:ascii="Arial" w:eastAsia="Arial" w:hAnsi="Arial" w:cs="Arial"/>
        </w:rPr>
        <w:t xml:space="preserve">The financial performance of Tesla shows that its profitability is decreasing, with an operating margin of 7.24% in 2024 and </w:t>
      </w:r>
      <w:proofErr w:type="gramStart"/>
      <w:r>
        <w:rPr>
          <w:rFonts w:ascii="Arial" w:eastAsia="Arial" w:hAnsi="Arial" w:cs="Arial"/>
        </w:rPr>
        <w:t>an</w:t>
      </w:r>
      <w:proofErr w:type="gramEnd"/>
      <w:r>
        <w:rPr>
          <w:rFonts w:ascii="Arial" w:eastAsia="Arial" w:hAnsi="Arial" w:cs="Arial"/>
        </w:rPr>
        <w:t xml:space="preserve"> ROCE of 9.64. Under these circumstances, it is crucial to choose a project with less financial risk. The higher returns of project C are more in line with the requirements of Tesla to enhance profitability. Moreover, the liquidity situation of Tesla is not threatening, and its current ratio is 2.02, which means that it can take moderate-risk investments. Nevertheless, capital spending is high, and the free cash flow margins are decreasing (0.04 in 2024), which presupposes careful investment decisions, an</w:t>
      </w:r>
      <w:r>
        <w:rPr>
          <w:rFonts w:ascii="Arial" w:eastAsia="Arial" w:hAnsi="Arial" w:cs="Arial"/>
        </w:rPr>
        <w:t>d Project C is the most balanced one.</w:t>
      </w:r>
    </w:p>
    <w:p w14:paraId="59490023" w14:textId="77777777" w:rsidR="00094755" w:rsidRDefault="009B1CB7">
      <w:pPr>
        <w:pStyle w:val="Heading3"/>
      </w:pPr>
      <w:bookmarkStart w:id="54" w:name="_t3vcjh5pqcsk" w:colFirst="0" w:colLast="0"/>
      <w:bookmarkEnd w:id="54"/>
      <w:r>
        <w:t>Consideration of Non-Financial Risks</w:t>
      </w:r>
    </w:p>
    <w:p w14:paraId="60972883" w14:textId="77777777" w:rsidR="00094755" w:rsidRDefault="009B1CB7">
      <w:pPr>
        <w:rPr>
          <w:rFonts w:ascii="Arial" w:eastAsia="Arial" w:hAnsi="Arial" w:cs="Arial"/>
        </w:rPr>
      </w:pPr>
      <w:r>
        <w:rPr>
          <w:rFonts w:ascii="Arial" w:eastAsia="Arial" w:hAnsi="Arial" w:cs="Arial"/>
        </w:rPr>
        <w:t xml:space="preserve">The choice of Project C is also supported by non-financial risks, such as the risk of politics and regulation within the EV industry, such as subsidies and environmental regulations, which can influence long-term returns to projects. The flexible and higher </w:t>
      </w:r>
      <w:r>
        <w:rPr>
          <w:rFonts w:ascii="Arial" w:eastAsia="Arial" w:hAnsi="Arial" w:cs="Arial"/>
        </w:rPr>
        <w:lastRenderedPageBreak/>
        <w:t>returns structure of project C is more resilient to such uncertainties. Moreover, Tesla depends heavily on customer loyalty and brand strength; initiatives that aid innovation and product differentiation are more prone to maintaining competitive advantage (Tesla, 2024). The increased potential returns of project C will be able to fund innovation-based growth, which is in line with the strategic goals of Tesla (</w:t>
      </w:r>
      <w:proofErr w:type="spellStart"/>
      <w:r>
        <w:rPr>
          <w:rFonts w:ascii="Arial" w:eastAsia="Arial" w:hAnsi="Arial" w:cs="Arial"/>
        </w:rPr>
        <w:t>Purnawan</w:t>
      </w:r>
      <w:proofErr w:type="spellEnd"/>
      <w:r>
        <w:rPr>
          <w:rFonts w:ascii="Arial" w:eastAsia="Arial" w:hAnsi="Arial" w:cs="Arial"/>
        </w:rPr>
        <w:t>, 2024).</w:t>
      </w:r>
    </w:p>
    <w:p w14:paraId="21FA15B7" w14:textId="77777777" w:rsidR="00094755" w:rsidRDefault="009B1CB7">
      <w:pPr>
        <w:pStyle w:val="Heading3"/>
      </w:pPr>
      <w:bookmarkStart w:id="55" w:name="_rickr4m7itfk" w:colFirst="0" w:colLast="0"/>
      <w:bookmarkEnd w:id="55"/>
      <w:r>
        <w:t>Conclusion of Recommendation</w:t>
      </w:r>
    </w:p>
    <w:p w14:paraId="121FC515" w14:textId="77777777" w:rsidR="00AD6ABE" w:rsidRDefault="00AD6ABE">
      <w:pPr>
        <w:rPr>
          <w:rFonts w:ascii="Arial" w:eastAsia="Arial" w:hAnsi="Arial" w:cs="Arial"/>
        </w:rPr>
      </w:pPr>
      <w:r w:rsidRPr="00AD6ABE">
        <w:rPr>
          <w:rFonts w:ascii="Arial" w:eastAsia="Arial" w:hAnsi="Arial" w:cs="Arial"/>
        </w:rPr>
        <w:t>The recommendation is that the most appropriate investment option in the given circumstances is Project C. It has the most optimal risk to reward ratio, the lowest negative NPV (-1.98m) and the higher IRR (8.59%) and ARR (6.00). The downward trend in the profitability of Tesla such as the 7.24% operating margin and 9.64% ROCE in 2024 requires a careful investment. Project C fits the requirement as it does not reduce value and has the potential of returns. Also, there is moderate-risk investment, which is supported by stable liquidity (current ratio 2.02), although the flows of cash are weakened. It is also flexible to manage uncertainties in the industry, which aligns with the long-term strategic and financial goals of Tesla.</w:t>
      </w:r>
    </w:p>
    <w:p w14:paraId="67D86190" w14:textId="77777777" w:rsidR="00094755" w:rsidRDefault="009B1CB7">
      <w:pPr>
        <w:pStyle w:val="Heading2"/>
      </w:pPr>
      <w:bookmarkStart w:id="56" w:name="_qzul9wiz0apr" w:colFirst="0" w:colLast="0"/>
      <w:bookmarkEnd w:id="56"/>
      <w:r>
        <w:t>5.7 Capital Rationing Decision</w:t>
      </w:r>
    </w:p>
    <w:p w14:paraId="7323AE39" w14:textId="77777777" w:rsidR="00094755" w:rsidRDefault="009B1CB7">
      <w:pPr>
        <w:pStyle w:val="Heading3"/>
      </w:pPr>
      <w:bookmarkStart w:id="57" w:name="_grb5ugdoc9pt" w:colFirst="0" w:colLast="0"/>
      <w:bookmarkEnd w:id="57"/>
      <w:r>
        <w:t>Capital Constraint and Feasible Combinations</w:t>
      </w:r>
    </w:p>
    <w:p w14:paraId="3ADFA38A" w14:textId="77777777" w:rsidR="00094755" w:rsidRDefault="009B1CB7">
      <w:pPr>
        <w:rPr>
          <w:rFonts w:ascii="Arial" w:eastAsia="Arial" w:hAnsi="Arial" w:cs="Arial"/>
        </w:rPr>
      </w:pPr>
      <w:r>
        <w:rPr>
          <w:rFonts w:ascii="Arial" w:eastAsia="Arial" w:hAnsi="Arial" w:cs="Arial"/>
        </w:rPr>
        <w:t>Tesla is allowed to invest in at most two projects since they both have a capital rationing limit of £100 million. The combinations that are feasible include Project A + B, Project A + C, and Project B + C. The aim is to reduce the loss of values whilst maximising the effective combination of investments since all projects have negative NPVs at an individual level.</w:t>
      </w:r>
    </w:p>
    <w:p w14:paraId="3091AF17" w14:textId="77777777" w:rsidR="00094755" w:rsidRDefault="009B1CB7">
      <w:pPr>
        <w:pStyle w:val="Heading3"/>
      </w:pPr>
      <w:bookmarkStart w:id="58" w:name="_6f0zc5s8r942" w:colFirst="0" w:colLast="0"/>
      <w:bookmarkEnd w:id="58"/>
      <w:r>
        <w:t>Evaluation of Project Combinations</w:t>
      </w:r>
    </w:p>
    <w:p w14:paraId="5FF6C38B" w14:textId="77777777" w:rsidR="00094755" w:rsidRDefault="009B1CB7">
      <w:pPr>
        <w:rPr>
          <w:rFonts w:ascii="Arial" w:eastAsia="Arial" w:hAnsi="Arial" w:cs="Arial"/>
        </w:rPr>
      </w:pPr>
      <w:r>
        <w:rPr>
          <w:rFonts w:ascii="Arial" w:eastAsia="Arial" w:hAnsi="Arial" w:cs="Arial"/>
        </w:rPr>
        <w:t xml:space="preserve">The summation of the NPV of Projects A and B is -16.98m, which is the greatest value loss and hence the worst choice. Project A and C have a value loss of moderate loss as the NPV of the combination of Project A and C is -10.66m. Project B and C, on the other hand, have a total NPV of -10.28m, the lowest negative NPV of all combinations. Besides, Project C has the largest IRR (8.59%) and ARR (6.00%), and Project B offers </w:t>
      </w:r>
      <w:r>
        <w:rPr>
          <w:rFonts w:ascii="Arial" w:eastAsia="Arial" w:hAnsi="Arial" w:cs="Arial"/>
        </w:rPr>
        <w:lastRenderedPageBreak/>
        <w:t>more stable cash flows; therefore, a combination of both risks and returns is more balanced.</w:t>
      </w:r>
    </w:p>
    <w:p w14:paraId="18B8A28F" w14:textId="77777777" w:rsidR="00094755" w:rsidRDefault="009B1CB7">
      <w:pPr>
        <w:pStyle w:val="Heading3"/>
      </w:pPr>
      <w:bookmarkStart w:id="59" w:name="_hel1haxfla3j" w:colFirst="0" w:colLast="0"/>
      <w:bookmarkEnd w:id="59"/>
      <w:r>
        <w:t>Justification Based on the Capital Rationing Principle</w:t>
      </w:r>
    </w:p>
    <w:p w14:paraId="7E411379" w14:textId="77777777" w:rsidR="00094755" w:rsidRDefault="009B1CB7">
      <w:pPr>
        <w:rPr>
          <w:rFonts w:ascii="Arial" w:eastAsia="Arial" w:hAnsi="Arial" w:cs="Arial"/>
        </w:rPr>
      </w:pPr>
      <w:r>
        <w:rPr>
          <w:rFonts w:ascii="Arial" w:eastAsia="Arial" w:hAnsi="Arial" w:cs="Arial"/>
        </w:rPr>
        <w:t>Capital rationing involves making choices of projects that will give maximum returns using the limited resources. The combination of Project B and C reduces the value destruction and offers a relatively higher potential of returns, even though neither of the projects has a positive NPV. The profitability index (PI) of the two projects (1.17 and 1.04) shows that efficiency in capital use is acceptable, and hence they should be chosen in the limited investment environment (Hofstrand, 2022).</w:t>
      </w:r>
    </w:p>
    <w:p w14:paraId="21950CC2" w14:textId="77777777" w:rsidR="00094755" w:rsidRDefault="009B1CB7">
      <w:pPr>
        <w:pStyle w:val="Heading3"/>
      </w:pPr>
      <w:bookmarkStart w:id="60" w:name="_3aeat49hha8h" w:colFirst="0" w:colLast="0"/>
      <w:bookmarkEnd w:id="60"/>
      <w:r>
        <w:t>Strategic Alignment with Tesla</w:t>
      </w:r>
    </w:p>
    <w:p w14:paraId="6E17356E" w14:textId="77777777" w:rsidR="00094755" w:rsidRDefault="009B1CB7">
      <w:pPr>
        <w:rPr>
          <w:rFonts w:ascii="Arial" w:eastAsia="Arial" w:hAnsi="Arial" w:cs="Arial"/>
        </w:rPr>
      </w:pPr>
      <w:r>
        <w:rPr>
          <w:rFonts w:ascii="Arial" w:eastAsia="Arial" w:hAnsi="Arial" w:cs="Arial"/>
        </w:rPr>
        <w:t>Tesla is losing its profitability and spending too much on capital; it is important to choose the projects that will not reduce its value and provide comparatively higher returns. The B and C mix is a balance between stability and growth perspectives. It conforms to Tesla's financial strategy and risk management goals. Thus, in capital rationing, the best investment choice is to choose Project B and Project C, which are the most efficient in the limited amount of capital, and reduce the financial risk and l</w:t>
      </w:r>
      <w:r>
        <w:rPr>
          <w:rFonts w:ascii="Arial" w:eastAsia="Arial" w:hAnsi="Arial" w:cs="Arial"/>
        </w:rPr>
        <w:t>oss of value (Hofstrand, 2023).</w:t>
      </w:r>
    </w:p>
    <w:p w14:paraId="0B69BDB1" w14:textId="77777777" w:rsidR="00094755" w:rsidRDefault="009B1CB7">
      <w:pPr>
        <w:pStyle w:val="Heading1"/>
      </w:pPr>
      <w:bookmarkStart w:id="61" w:name="_wehytcr7ddyl" w:colFirst="0" w:colLast="0"/>
      <w:bookmarkEnd w:id="61"/>
      <w:r>
        <w:t xml:space="preserve">6. Conclusion </w:t>
      </w:r>
    </w:p>
    <w:p w14:paraId="729EE52C" w14:textId="77777777" w:rsidR="00094755" w:rsidRPr="003B0FFF" w:rsidRDefault="009B1CB7" w:rsidP="003B0FFF">
      <w:pPr>
        <w:rPr>
          <w:rFonts w:ascii="Arial" w:eastAsia="Arial" w:hAnsi="Arial" w:cs="Arial"/>
        </w:rPr>
      </w:pPr>
      <w:r>
        <w:rPr>
          <w:rFonts w:ascii="Arial" w:eastAsia="Arial" w:hAnsi="Arial" w:cs="Arial"/>
        </w:rPr>
        <w:t>Tesla's financial analysis shows high revenue growth and an increasing asset base in the five-year horizon, backed by large investments in production capacity and innovations. Nonetheless, profitability has been decreasing since 2022, as the profit margins and returns have weakened because of rising costs, price wars of competition, and higher operational costs. Despite that, Tesla has a high liquidity status and better capital structure, reflected in less debt and high interest coverage, which boosts finan</w:t>
      </w:r>
      <w:r>
        <w:rPr>
          <w:rFonts w:ascii="Arial" w:eastAsia="Arial" w:hAnsi="Arial" w:cs="Arial"/>
        </w:rPr>
        <w:t xml:space="preserve">cial stability and flexibility. The analysis of working capital shows that the negative cash operating cycle is replaced by a positive one, which means that the efficiency of using short-term resources decreases. There is a need to make strategic improvements in the management of inventory, receivables, and payables to maximise cash flow. </w:t>
      </w:r>
      <w:bookmarkStart w:id="62" w:name="_jlbiao1ajuby" w:colFirst="0" w:colLast="0"/>
      <w:bookmarkEnd w:id="62"/>
      <w:r>
        <w:br w:type="page"/>
      </w:r>
    </w:p>
    <w:p w14:paraId="54CAB9D3" w14:textId="77777777" w:rsidR="00094755" w:rsidRDefault="009B1CB7">
      <w:pPr>
        <w:pStyle w:val="Heading1"/>
      </w:pPr>
      <w:bookmarkStart w:id="63" w:name="_sp6jpel6lzhb" w:colFirst="0" w:colLast="0"/>
      <w:bookmarkEnd w:id="63"/>
      <w:r>
        <w:lastRenderedPageBreak/>
        <w:t>7. Reference List</w:t>
      </w:r>
    </w:p>
    <w:p w14:paraId="0047C2C6" w14:textId="77777777" w:rsidR="005A5E32" w:rsidRDefault="005A5E32">
      <w:pPr>
        <w:rPr>
          <w:rFonts w:ascii="Arial" w:eastAsia="Arial" w:hAnsi="Arial" w:cs="Arial"/>
        </w:rPr>
      </w:pPr>
      <w:proofErr w:type="spellStart"/>
      <w:r>
        <w:rPr>
          <w:rFonts w:ascii="Arial" w:eastAsia="Arial" w:hAnsi="Arial" w:cs="Arial"/>
        </w:rPr>
        <w:t>Alamsah</w:t>
      </w:r>
      <w:proofErr w:type="spellEnd"/>
      <w:r>
        <w:rPr>
          <w:rFonts w:ascii="Arial" w:eastAsia="Arial" w:hAnsi="Arial" w:cs="Arial"/>
        </w:rPr>
        <w:t xml:space="preserve">, S., Krisnafi, Y., </w:t>
      </w:r>
      <w:proofErr w:type="spellStart"/>
      <w:r>
        <w:rPr>
          <w:rFonts w:ascii="Arial" w:eastAsia="Arial" w:hAnsi="Arial" w:cs="Arial"/>
        </w:rPr>
        <w:t>Ulath</w:t>
      </w:r>
      <w:proofErr w:type="spellEnd"/>
      <w:r>
        <w:rPr>
          <w:rFonts w:ascii="Arial" w:eastAsia="Arial" w:hAnsi="Arial" w:cs="Arial"/>
        </w:rPr>
        <w:t xml:space="preserve">, A., </w:t>
      </w:r>
      <w:proofErr w:type="spellStart"/>
      <w:r>
        <w:rPr>
          <w:rFonts w:ascii="Arial" w:eastAsia="Arial" w:hAnsi="Arial" w:cs="Arial"/>
        </w:rPr>
        <w:t>Isjafrin</w:t>
      </w:r>
      <w:proofErr w:type="spellEnd"/>
      <w:r>
        <w:rPr>
          <w:rFonts w:ascii="Arial" w:eastAsia="Arial" w:hAnsi="Arial" w:cs="Arial"/>
        </w:rPr>
        <w:t xml:space="preserve">, D., </w:t>
      </w:r>
      <w:proofErr w:type="spellStart"/>
      <w:r>
        <w:rPr>
          <w:rFonts w:ascii="Arial" w:eastAsia="Arial" w:hAnsi="Arial" w:cs="Arial"/>
        </w:rPr>
        <w:t>Sitanggang</w:t>
      </w:r>
      <w:proofErr w:type="spellEnd"/>
      <w:r>
        <w:rPr>
          <w:rFonts w:ascii="Arial" w:eastAsia="Arial" w:hAnsi="Arial" w:cs="Arial"/>
        </w:rPr>
        <w:t xml:space="preserve">, W., </w:t>
      </w:r>
      <w:proofErr w:type="spellStart"/>
      <w:r>
        <w:rPr>
          <w:rFonts w:ascii="Arial" w:eastAsia="Arial" w:hAnsi="Arial" w:cs="Arial"/>
        </w:rPr>
        <w:t>Pramudya</w:t>
      </w:r>
      <w:proofErr w:type="spellEnd"/>
      <w:r>
        <w:rPr>
          <w:rFonts w:ascii="Arial" w:eastAsia="Arial" w:hAnsi="Arial" w:cs="Arial"/>
        </w:rPr>
        <w:t xml:space="preserve">, H., </w:t>
      </w:r>
      <w:proofErr w:type="spellStart"/>
      <w:r>
        <w:rPr>
          <w:rFonts w:ascii="Arial" w:eastAsia="Arial" w:hAnsi="Arial" w:cs="Arial"/>
        </w:rPr>
        <w:t>Afrisal</w:t>
      </w:r>
      <w:proofErr w:type="spellEnd"/>
      <w:r>
        <w:rPr>
          <w:rFonts w:ascii="Arial" w:eastAsia="Arial" w:hAnsi="Arial" w:cs="Arial"/>
        </w:rPr>
        <w:t xml:space="preserve">, M., Ismail, M., </w:t>
      </w:r>
      <w:proofErr w:type="spellStart"/>
      <w:r>
        <w:rPr>
          <w:rFonts w:ascii="Arial" w:eastAsia="Arial" w:hAnsi="Arial" w:cs="Arial"/>
        </w:rPr>
        <w:t>Situmorang</w:t>
      </w:r>
      <w:proofErr w:type="spellEnd"/>
      <w:r>
        <w:rPr>
          <w:rFonts w:ascii="Arial" w:eastAsia="Arial" w:hAnsi="Arial" w:cs="Arial"/>
        </w:rPr>
        <w:t xml:space="preserve">, R.P. and </w:t>
      </w:r>
      <w:proofErr w:type="spellStart"/>
      <w:r>
        <w:rPr>
          <w:rFonts w:ascii="Arial" w:eastAsia="Arial" w:hAnsi="Arial" w:cs="Arial"/>
        </w:rPr>
        <w:t>Harryes</w:t>
      </w:r>
      <w:proofErr w:type="spellEnd"/>
      <w:r>
        <w:rPr>
          <w:rFonts w:ascii="Arial" w:eastAsia="Arial" w:hAnsi="Arial" w:cs="Arial"/>
        </w:rPr>
        <w:t xml:space="preserve">, R.K., 2025. Financial feasibility analysis of the ice plant construction to support capture fisheries activities in the border Area of Indonesia-Timor Leste, Belu Regency, East Nusa Tenggara. </w:t>
      </w:r>
      <w:r>
        <w:rPr>
          <w:rFonts w:ascii="Arial" w:eastAsia="Arial" w:hAnsi="Arial" w:cs="Arial"/>
          <w:i/>
          <w:iCs/>
        </w:rPr>
        <w:t>Aquaculture, Aquarium, Conservation &amp; Legislation</w:t>
      </w:r>
      <w:r>
        <w:rPr>
          <w:rFonts w:ascii="Arial" w:eastAsia="Arial" w:hAnsi="Arial" w:cs="Arial"/>
        </w:rPr>
        <w:t xml:space="preserve">, </w:t>
      </w:r>
      <w:r>
        <w:rPr>
          <w:rFonts w:ascii="Arial" w:eastAsia="Arial" w:hAnsi="Arial" w:cs="Arial"/>
          <w:i/>
          <w:iCs/>
        </w:rPr>
        <w:t>18</w:t>
      </w:r>
      <w:r>
        <w:rPr>
          <w:rFonts w:ascii="Arial" w:eastAsia="Arial" w:hAnsi="Arial" w:cs="Arial"/>
        </w:rPr>
        <w:t xml:space="preserve">(3), pp.1092-1104. </w:t>
      </w:r>
      <w:hyperlink r:id="rId15">
        <w:r>
          <w:rPr>
            <w:rFonts w:ascii="Arial" w:eastAsia="Arial" w:hAnsi="Arial" w:cs="Arial"/>
            <w:color w:val="1155CC"/>
            <w:u w:val="single"/>
          </w:rPr>
          <w:t>https://www.sciencedirect.com/science/article/pii/S2352484725005712</w:t>
        </w:r>
      </w:hyperlink>
      <w:r>
        <w:rPr>
          <w:rFonts w:ascii="Arial" w:eastAsia="Arial" w:hAnsi="Arial" w:cs="Arial"/>
        </w:rPr>
        <w:t xml:space="preserve"> </w:t>
      </w:r>
    </w:p>
    <w:p w14:paraId="5C07E7B7" w14:textId="77777777" w:rsidR="005A5E32" w:rsidRDefault="005A5E32">
      <w:pPr>
        <w:rPr>
          <w:rFonts w:ascii="Arial" w:eastAsia="Arial" w:hAnsi="Arial" w:cs="Arial"/>
        </w:rPr>
      </w:pPr>
      <w:r>
        <w:rPr>
          <w:rFonts w:ascii="Arial" w:eastAsia="Arial" w:hAnsi="Arial" w:cs="Arial"/>
        </w:rPr>
        <w:t xml:space="preserve">Badolato, P., 2022. </w:t>
      </w:r>
      <w:r>
        <w:rPr>
          <w:rFonts w:ascii="Arial" w:eastAsia="Arial" w:hAnsi="Arial" w:cs="Arial"/>
          <w:i/>
          <w:iCs/>
        </w:rPr>
        <w:t>Understanding Corporate Income Tax Reporting: Tesla’s Electrifying Ride to Profitability</w:t>
      </w:r>
      <w:r>
        <w:rPr>
          <w:rFonts w:ascii="Arial" w:eastAsia="Arial" w:hAnsi="Arial" w:cs="Arial"/>
        </w:rPr>
        <w:t xml:space="preserve">. SAGE Publications: SAGE Business Cases Originals. </w:t>
      </w:r>
      <w:hyperlink r:id="rId16">
        <w:r>
          <w:rPr>
            <w:rFonts w:ascii="Arial" w:eastAsia="Arial" w:hAnsi="Arial" w:cs="Arial"/>
            <w:color w:val="1155CC"/>
            <w:u w:val="single"/>
          </w:rPr>
          <w:t>https://sk.sagepub.com/cases/skpromo/0yPt3W/corporate-income-tax-reporting-tesla-electrifying-ride-profitability</w:t>
        </w:r>
      </w:hyperlink>
      <w:r>
        <w:rPr>
          <w:rFonts w:ascii="Arial" w:eastAsia="Arial" w:hAnsi="Arial" w:cs="Arial"/>
        </w:rPr>
        <w:t xml:space="preserve"> </w:t>
      </w:r>
    </w:p>
    <w:p w14:paraId="365143C1" w14:textId="77777777" w:rsidR="005A5E32" w:rsidRDefault="005A5E32">
      <w:pPr>
        <w:rPr>
          <w:rFonts w:ascii="Arial" w:eastAsia="Arial" w:hAnsi="Arial" w:cs="Arial"/>
        </w:rPr>
      </w:pPr>
      <w:r>
        <w:rPr>
          <w:rFonts w:ascii="Arial" w:eastAsia="Arial" w:hAnsi="Arial" w:cs="Arial"/>
        </w:rPr>
        <w:t xml:space="preserve">Chen, Y., 2025. Research on Financial Risks and Compliance Challenges in Cross-Border Mergers and Acquisitions. </w:t>
      </w:r>
      <w:r>
        <w:rPr>
          <w:rFonts w:ascii="Arial" w:eastAsia="Arial" w:hAnsi="Arial" w:cs="Arial"/>
          <w:i/>
          <w:iCs/>
        </w:rPr>
        <w:t>Journal of Advances in Engineering and Technology</w:t>
      </w:r>
      <w:r>
        <w:rPr>
          <w:rFonts w:ascii="Arial" w:eastAsia="Arial" w:hAnsi="Arial" w:cs="Arial"/>
        </w:rPr>
        <w:t xml:space="preserve">, </w:t>
      </w:r>
      <w:r>
        <w:rPr>
          <w:rFonts w:ascii="Arial" w:eastAsia="Arial" w:hAnsi="Arial" w:cs="Arial"/>
          <w:i/>
          <w:iCs/>
        </w:rPr>
        <w:t>2</w:t>
      </w:r>
      <w:r>
        <w:rPr>
          <w:rFonts w:ascii="Arial" w:eastAsia="Arial" w:hAnsi="Arial" w:cs="Arial"/>
        </w:rPr>
        <w:t xml:space="preserve">(2). </w:t>
      </w:r>
      <w:hyperlink r:id="rId17">
        <w:r>
          <w:rPr>
            <w:rFonts w:ascii="Arial" w:eastAsia="Arial" w:hAnsi="Arial" w:cs="Arial"/>
            <w:color w:val="1155CC"/>
            <w:u w:val="single"/>
          </w:rPr>
          <w:t>https://ojs.apspublisher.com/index.php/jaet/article/download/398/307</w:t>
        </w:r>
      </w:hyperlink>
      <w:r>
        <w:rPr>
          <w:rFonts w:ascii="Arial" w:eastAsia="Arial" w:hAnsi="Arial" w:cs="Arial"/>
        </w:rPr>
        <w:t xml:space="preserve"> </w:t>
      </w:r>
    </w:p>
    <w:p w14:paraId="66A11708" w14:textId="77777777" w:rsidR="005A5E32" w:rsidRDefault="005A5E32">
      <w:pPr>
        <w:rPr>
          <w:rFonts w:ascii="Arial" w:eastAsia="Arial" w:hAnsi="Arial" w:cs="Arial"/>
        </w:rPr>
      </w:pPr>
      <w:r>
        <w:rPr>
          <w:rFonts w:ascii="Arial" w:eastAsia="Arial" w:hAnsi="Arial" w:cs="Arial"/>
        </w:rPr>
        <w:t xml:space="preserve">Ding, R., 2025, July. Value Investing in the EV Industry: A Case Study of Tesla. In </w:t>
      </w:r>
      <w:r>
        <w:rPr>
          <w:rFonts w:ascii="Arial" w:eastAsia="Arial" w:hAnsi="Arial" w:cs="Arial"/>
          <w:i/>
          <w:iCs/>
        </w:rPr>
        <w:t>2025 International Conference on Financial Risk and Investment Management (ICFRIM 2025)</w:t>
      </w:r>
      <w:r>
        <w:rPr>
          <w:rFonts w:ascii="Arial" w:eastAsia="Arial" w:hAnsi="Arial" w:cs="Arial"/>
        </w:rPr>
        <w:t xml:space="preserve"> (pp. 929-937). Atlantis Press. </w:t>
      </w:r>
      <w:hyperlink r:id="rId18">
        <w:r>
          <w:rPr>
            <w:rFonts w:ascii="Arial" w:eastAsia="Arial" w:hAnsi="Arial" w:cs="Arial"/>
            <w:color w:val="1155CC"/>
            <w:u w:val="single"/>
          </w:rPr>
          <w:t>https://www.atlantis-press.com/article/126013059.pdf</w:t>
        </w:r>
      </w:hyperlink>
      <w:r>
        <w:rPr>
          <w:rFonts w:ascii="Arial" w:eastAsia="Arial" w:hAnsi="Arial" w:cs="Arial"/>
        </w:rPr>
        <w:t xml:space="preserve"> </w:t>
      </w:r>
    </w:p>
    <w:p w14:paraId="4CFD7887" w14:textId="77777777" w:rsidR="005A5E32" w:rsidRDefault="005A5E32">
      <w:pPr>
        <w:rPr>
          <w:rFonts w:ascii="Arial" w:eastAsia="Arial" w:hAnsi="Arial" w:cs="Arial"/>
        </w:rPr>
      </w:pPr>
      <w:r>
        <w:rPr>
          <w:rFonts w:ascii="Arial" w:eastAsia="Arial" w:hAnsi="Arial" w:cs="Arial"/>
        </w:rPr>
        <w:t xml:space="preserve">Goel, S., 2026. </w:t>
      </w:r>
      <w:r>
        <w:rPr>
          <w:rFonts w:ascii="Arial" w:eastAsia="Arial" w:hAnsi="Arial" w:cs="Arial"/>
          <w:i/>
          <w:iCs/>
        </w:rPr>
        <w:t>An Introduction to Cost Accounting</w:t>
      </w:r>
      <w:r>
        <w:rPr>
          <w:rFonts w:ascii="Arial" w:eastAsia="Arial" w:hAnsi="Arial" w:cs="Arial"/>
        </w:rPr>
        <w:t xml:space="preserve">. Taylor &amp; Francis. </w:t>
      </w:r>
      <w:hyperlink r:id="rId19">
        <w:r>
          <w:rPr>
            <w:rFonts w:ascii="Arial" w:eastAsia="Arial" w:hAnsi="Arial" w:cs="Arial"/>
            <w:color w:val="1155CC"/>
            <w:u w:val="single"/>
          </w:rPr>
          <w:t>https://books.google.com/books?hl=en&amp;lr=&amp;id=mTHMEQAAQBAJ&amp;oi=fnd&amp;pg=PT10&amp;dq=Overview+of++Accounting+Rate+of+Return+(ARR)&amp;ots=i5dhB09hgA&amp;sig=JRLa-FNb9nXrO9NGWZrpPPlR60o</w:t>
        </w:r>
      </w:hyperlink>
      <w:r>
        <w:rPr>
          <w:rFonts w:ascii="Arial" w:eastAsia="Arial" w:hAnsi="Arial" w:cs="Arial"/>
        </w:rPr>
        <w:t xml:space="preserve"> </w:t>
      </w:r>
    </w:p>
    <w:p w14:paraId="3305BF17" w14:textId="77777777" w:rsidR="005A5E32" w:rsidRDefault="005A5E32">
      <w:pPr>
        <w:rPr>
          <w:rFonts w:ascii="Arial" w:eastAsia="Arial" w:hAnsi="Arial" w:cs="Arial"/>
        </w:rPr>
      </w:pPr>
      <w:r>
        <w:rPr>
          <w:rFonts w:ascii="Arial" w:eastAsia="Arial" w:hAnsi="Arial" w:cs="Arial"/>
        </w:rPr>
        <w:t xml:space="preserve">Hofstrand, D., 2023. </w:t>
      </w:r>
      <w:r>
        <w:rPr>
          <w:rFonts w:ascii="Arial" w:eastAsia="Arial" w:hAnsi="Arial" w:cs="Arial"/>
          <w:i/>
          <w:iCs/>
        </w:rPr>
        <w:t>Understanding the Time Value of Money</w:t>
      </w:r>
      <w:r>
        <w:rPr>
          <w:rFonts w:ascii="Arial" w:eastAsia="Arial" w:hAnsi="Arial" w:cs="Arial"/>
        </w:rPr>
        <w:t xml:space="preserve">. Ag Decision Maker, Iowa State University Extension. </w:t>
      </w:r>
      <w:hyperlink r:id="rId20">
        <w:r>
          <w:rPr>
            <w:rFonts w:ascii="Arial" w:eastAsia="Arial" w:hAnsi="Arial" w:cs="Arial"/>
            <w:color w:val="1155CC"/>
            <w:u w:val="single"/>
          </w:rPr>
          <w:t>https://www.extension.iastate.edu/agdm/wholefarm/html/c5-96.html</w:t>
        </w:r>
      </w:hyperlink>
      <w:r>
        <w:rPr>
          <w:rFonts w:ascii="Arial" w:eastAsia="Arial" w:hAnsi="Arial" w:cs="Arial"/>
        </w:rPr>
        <w:t xml:space="preserve"> </w:t>
      </w:r>
    </w:p>
    <w:p w14:paraId="7E80AC58" w14:textId="77777777" w:rsidR="005A5E32" w:rsidRDefault="005A5E32">
      <w:pPr>
        <w:rPr>
          <w:rFonts w:ascii="Arial" w:eastAsia="Arial" w:hAnsi="Arial" w:cs="Arial"/>
        </w:rPr>
      </w:pPr>
      <w:r>
        <w:rPr>
          <w:rFonts w:ascii="Arial" w:eastAsia="Arial" w:hAnsi="Arial" w:cs="Arial"/>
        </w:rPr>
        <w:t xml:space="preserve">Hofstrand, D., 2024. </w:t>
      </w:r>
      <w:r>
        <w:rPr>
          <w:rFonts w:ascii="Arial" w:eastAsia="Arial" w:hAnsi="Arial" w:cs="Arial"/>
          <w:i/>
          <w:iCs/>
        </w:rPr>
        <w:t>Capital Budgeting and Decision Making</w:t>
      </w:r>
      <w:r>
        <w:rPr>
          <w:rFonts w:ascii="Arial" w:eastAsia="Arial" w:hAnsi="Arial" w:cs="Arial"/>
        </w:rPr>
        <w:t xml:space="preserve">. Ag Decision Maker, Iowa State University Extension. </w:t>
      </w:r>
      <w:hyperlink r:id="rId21">
        <w:r>
          <w:rPr>
            <w:rFonts w:ascii="Arial" w:eastAsia="Arial" w:hAnsi="Arial" w:cs="Arial"/>
            <w:color w:val="1155CC"/>
            <w:u w:val="single"/>
          </w:rPr>
          <w:t>https://www.extension.iastate.edu/agdm/wholefarm/html/c5-242.html</w:t>
        </w:r>
      </w:hyperlink>
      <w:r>
        <w:rPr>
          <w:rFonts w:ascii="Arial" w:eastAsia="Arial" w:hAnsi="Arial" w:cs="Arial"/>
        </w:rPr>
        <w:t xml:space="preserve">   </w:t>
      </w:r>
    </w:p>
    <w:p w14:paraId="2960A7C1" w14:textId="77777777" w:rsidR="005A5E32" w:rsidRDefault="005A5E32">
      <w:pPr>
        <w:rPr>
          <w:rFonts w:ascii="Arial" w:eastAsia="Arial" w:hAnsi="Arial" w:cs="Arial"/>
        </w:rPr>
      </w:pPr>
      <w:r>
        <w:rPr>
          <w:rFonts w:ascii="Arial" w:eastAsia="Arial" w:hAnsi="Arial" w:cs="Arial"/>
        </w:rPr>
        <w:lastRenderedPageBreak/>
        <w:t xml:space="preserve">Ju, M. and Gao, G.Y., 2022. Performance implication of exploration and exploitation in foreign markets: the role of marketing capability and operation flexibility. </w:t>
      </w:r>
      <w:r>
        <w:rPr>
          <w:rFonts w:ascii="Arial" w:eastAsia="Arial" w:hAnsi="Arial" w:cs="Arial"/>
          <w:i/>
          <w:iCs/>
        </w:rPr>
        <w:t>International Marketing Review</w:t>
      </w:r>
      <w:r>
        <w:rPr>
          <w:rFonts w:ascii="Arial" w:eastAsia="Arial" w:hAnsi="Arial" w:cs="Arial"/>
        </w:rPr>
        <w:t xml:space="preserve">, </w:t>
      </w:r>
      <w:r>
        <w:rPr>
          <w:rFonts w:ascii="Arial" w:eastAsia="Arial" w:hAnsi="Arial" w:cs="Arial"/>
          <w:i/>
          <w:iCs/>
        </w:rPr>
        <w:t>39</w:t>
      </w:r>
      <w:r>
        <w:rPr>
          <w:rFonts w:ascii="Arial" w:eastAsia="Arial" w:hAnsi="Arial" w:cs="Arial"/>
        </w:rPr>
        <w:t xml:space="preserve">(4), pp.785-810. </w:t>
      </w:r>
      <w:hyperlink r:id="rId22">
        <w:r>
          <w:rPr>
            <w:rFonts w:ascii="Arial" w:eastAsia="Arial" w:hAnsi="Arial" w:cs="Arial"/>
            <w:color w:val="1155CC"/>
            <w:u w:val="single"/>
          </w:rPr>
          <w:t>https://www.emerald.com/imr/article-pdf/39/4/785/1230206/imr-01-2021-0024.pdf</w:t>
        </w:r>
      </w:hyperlink>
      <w:r>
        <w:rPr>
          <w:rFonts w:ascii="Arial" w:eastAsia="Arial" w:hAnsi="Arial" w:cs="Arial"/>
        </w:rPr>
        <w:t xml:space="preserve"> </w:t>
      </w:r>
    </w:p>
    <w:p w14:paraId="7C104D48" w14:textId="77777777" w:rsidR="005A5E32" w:rsidRDefault="005A5E32">
      <w:pPr>
        <w:rPr>
          <w:rFonts w:ascii="Arial" w:eastAsia="Arial" w:hAnsi="Arial" w:cs="Arial"/>
        </w:rPr>
      </w:pPr>
      <w:r>
        <w:rPr>
          <w:rFonts w:ascii="Arial" w:eastAsia="Arial" w:hAnsi="Arial" w:cs="Arial"/>
        </w:rPr>
        <w:t xml:space="preserve">Karim, R., Mamun, M.A.A. and </w:t>
      </w:r>
      <w:proofErr w:type="spellStart"/>
      <w:r>
        <w:rPr>
          <w:rFonts w:ascii="Arial" w:eastAsia="Arial" w:hAnsi="Arial" w:cs="Arial"/>
        </w:rPr>
        <w:t>Kamruzzaman</w:t>
      </w:r>
      <w:proofErr w:type="spellEnd"/>
      <w:r>
        <w:rPr>
          <w:rFonts w:ascii="Arial" w:eastAsia="Arial" w:hAnsi="Arial" w:cs="Arial"/>
        </w:rPr>
        <w:t xml:space="preserve">, A.S.M., 2024. Cash conversion cycle and financial performance: evidence from manufacturing firms of Bangladesh. </w:t>
      </w:r>
      <w:r>
        <w:rPr>
          <w:rFonts w:ascii="Arial" w:eastAsia="Arial" w:hAnsi="Arial" w:cs="Arial"/>
          <w:i/>
          <w:iCs/>
        </w:rPr>
        <w:t>Asian Journal of Economics and Banking</w:t>
      </w:r>
      <w:r>
        <w:rPr>
          <w:rFonts w:ascii="Arial" w:eastAsia="Arial" w:hAnsi="Arial" w:cs="Arial"/>
        </w:rPr>
        <w:t xml:space="preserve">, </w:t>
      </w:r>
      <w:r>
        <w:rPr>
          <w:rFonts w:ascii="Arial" w:eastAsia="Arial" w:hAnsi="Arial" w:cs="Arial"/>
          <w:i/>
          <w:iCs/>
        </w:rPr>
        <w:t>8</w:t>
      </w:r>
      <w:r>
        <w:rPr>
          <w:rFonts w:ascii="Arial" w:eastAsia="Arial" w:hAnsi="Arial" w:cs="Arial"/>
        </w:rPr>
        <w:t xml:space="preserve">(1), pp.67-82. </w:t>
      </w:r>
      <w:hyperlink r:id="rId23">
        <w:r>
          <w:rPr>
            <w:rFonts w:ascii="Arial" w:eastAsia="Arial" w:hAnsi="Arial" w:cs="Arial"/>
            <w:color w:val="1155CC"/>
            <w:u w:val="single"/>
          </w:rPr>
          <w:t>https://www.emerald.com/ajeb/article-pdf/8/1/67/9525823/ajeb-03-2022-0033.pdf</w:t>
        </w:r>
      </w:hyperlink>
      <w:r>
        <w:rPr>
          <w:rFonts w:ascii="Arial" w:eastAsia="Arial" w:hAnsi="Arial" w:cs="Arial"/>
        </w:rPr>
        <w:t xml:space="preserve"> </w:t>
      </w:r>
    </w:p>
    <w:p w14:paraId="1871CFE0" w14:textId="77777777" w:rsidR="005A5E32" w:rsidRDefault="005A5E32">
      <w:pPr>
        <w:rPr>
          <w:rFonts w:ascii="Arial" w:eastAsia="Arial" w:hAnsi="Arial" w:cs="Arial"/>
        </w:rPr>
      </w:pPr>
      <w:proofErr w:type="spellStart"/>
      <w:r>
        <w:rPr>
          <w:rFonts w:ascii="Arial" w:eastAsia="Arial" w:hAnsi="Arial" w:cs="Arial"/>
        </w:rPr>
        <w:t>Koralun-Bereźnicka</w:t>
      </w:r>
      <w:proofErr w:type="spellEnd"/>
      <w:r>
        <w:rPr>
          <w:rFonts w:ascii="Arial" w:eastAsia="Arial" w:hAnsi="Arial" w:cs="Arial"/>
        </w:rPr>
        <w:t xml:space="preserve">, J., 2025. </w:t>
      </w:r>
      <w:r>
        <w:rPr>
          <w:rFonts w:ascii="Arial" w:eastAsia="Arial" w:hAnsi="Arial" w:cs="Arial"/>
          <w:i/>
          <w:iCs/>
        </w:rPr>
        <w:t>Corporate Short-Term Financing in Europe: The Role of Trade Credit and Bank Loans in Liquidity Management</w:t>
      </w:r>
      <w:r>
        <w:rPr>
          <w:rFonts w:ascii="Arial" w:eastAsia="Arial" w:hAnsi="Arial" w:cs="Arial"/>
        </w:rPr>
        <w:t xml:space="preserve">. Routledge. </w:t>
      </w:r>
      <w:hyperlink r:id="rId24">
        <w:r>
          <w:rPr>
            <w:rFonts w:ascii="Arial" w:eastAsia="Arial" w:hAnsi="Arial" w:cs="Arial"/>
            <w:color w:val="1155CC"/>
            <w:u w:val="single"/>
          </w:rPr>
          <w:t>https://www.taylorfrancis.com/books/mono/10.4324/9781003687986/corporate-short-term-financing-europe-julia-koralun-bere%C5%BAnicka</w:t>
        </w:r>
      </w:hyperlink>
      <w:r>
        <w:rPr>
          <w:rFonts w:ascii="Arial" w:eastAsia="Arial" w:hAnsi="Arial" w:cs="Arial"/>
        </w:rPr>
        <w:t xml:space="preserve"> </w:t>
      </w:r>
    </w:p>
    <w:p w14:paraId="61407CA5" w14:textId="77777777" w:rsidR="005A5E32" w:rsidRDefault="005A5E32">
      <w:pPr>
        <w:rPr>
          <w:rFonts w:ascii="Arial" w:eastAsia="Arial" w:hAnsi="Arial" w:cs="Arial"/>
        </w:rPr>
      </w:pPr>
      <w:r>
        <w:rPr>
          <w:rFonts w:ascii="Arial" w:eastAsia="Arial" w:hAnsi="Arial" w:cs="Arial"/>
        </w:rPr>
        <w:t xml:space="preserve">Krinichansky, K.V., 2025. The Theoretical Foundations and Problematic Areas of the Contemporary Long-Term Financing Theory. </w:t>
      </w:r>
      <w:r>
        <w:rPr>
          <w:rFonts w:ascii="Arial" w:eastAsia="Arial" w:hAnsi="Arial" w:cs="Arial"/>
          <w:i/>
          <w:iCs/>
        </w:rPr>
        <w:t>FINANCE: THEORY AND PRACTICE</w:t>
      </w:r>
      <w:r>
        <w:rPr>
          <w:rFonts w:ascii="Arial" w:eastAsia="Arial" w:hAnsi="Arial" w:cs="Arial"/>
        </w:rPr>
        <w:t xml:space="preserve">, p.112. </w:t>
      </w:r>
      <w:hyperlink r:id="rId25" w:anchor="page=112">
        <w:r>
          <w:rPr>
            <w:rFonts w:ascii="Arial" w:eastAsia="Arial" w:hAnsi="Arial" w:cs="Arial"/>
            <w:color w:val="1155CC"/>
            <w:u w:val="single"/>
          </w:rPr>
          <w:t>https://financetp.fa.ru/jour/issue/download/94/103#page=112</w:t>
        </w:r>
      </w:hyperlink>
      <w:r>
        <w:rPr>
          <w:rFonts w:ascii="Arial" w:eastAsia="Arial" w:hAnsi="Arial" w:cs="Arial"/>
        </w:rPr>
        <w:t xml:space="preserve"> </w:t>
      </w:r>
    </w:p>
    <w:p w14:paraId="01FAAF98" w14:textId="77777777" w:rsidR="005A5E32" w:rsidRDefault="005A5E32">
      <w:pPr>
        <w:rPr>
          <w:rFonts w:ascii="Arial" w:eastAsia="Arial" w:hAnsi="Arial" w:cs="Arial"/>
        </w:rPr>
      </w:pPr>
      <w:r>
        <w:rPr>
          <w:rFonts w:ascii="Arial" w:eastAsia="Arial" w:hAnsi="Arial" w:cs="Arial"/>
        </w:rPr>
        <w:t xml:space="preserve">Liu, X. and Zhou, Y., 2025. The Impact of Strategic Corporate Social Responsibility on Organizational Resilience—An Exploratory Case Study Based on Tesla. </w:t>
      </w:r>
      <w:r>
        <w:rPr>
          <w:rFonts w:ascii="Arial" w:eastAsia="Arial" w:hAnsi="Arial" w:cs="Arial"/>
          <w:i/>
          <w:iCs/>
        </w:rPr>
        <w:t>Administrative Sciences</w:t>
      </w:r>
      <w:r>
        <w:rPr>
          <w:rFonts w:ascii="Arial" w:eastAsia="Arial" w:hAnsi="Arial" w:cs="Arial"/>
        </w:rPr>
        <w:t xml:space="preserve">, </w:t>
      </w:r>
      <w:r>
        <w:rPr>
          <w:rFonts w:ascii="Arial" w:eastAsia="Arial" w:hAnsi="Arial" w:cs="Arial"/>
          <w:i/>
          <w:iCs/>
        </w:rPr>
        <w:t>15</w:t>
      </w:r>
      <w:r>
        <w:rPr>
          <w:rFonts w:ascii="Arial" w:eastAsia="Arial" w:hAnsi="Arial" w:cs="Arial"/>
        </w:rPr>
        <w:t xml:space="preserve">(6), p.212. </w:t>
      </w:r>
      <w:hyperlink r:id="rId26">
        <w:r>
          <w:rPr>
            <w:rFonts w:ascii="Arial" w:eastAsia="Arial" w:hAnsi="Arial" w:cs="Arial"/>
            <w:color w:val="1155CC"/>
            <w:u w:val="single"/>
          </w:rPr>
          <w:t>https://www.mdpi.com/2076-3387/15/6/212</w:t>
        </w:r>
      </w:hyperlink>
      <w:r>
        <w:rPr>
          <w:rFonts w:ascii="Arial" w:eastAsia="Arial" w:hAnsi="Arial" w:cs="Arial"/>
        </w:rPr>
        <w:t xml:space="preserve"> </w:t>
      </w:r>
    </w:p>
    <w:p w14:paraId="092F120B" w14:textId="77777777" w:rsidR="005A5E32" w:rsidRDefault="005A5E32">
      <w:pPr>
        <w:rPr>
          <w:rFonts w:ascii="Arial" w:eastAsia="Arial" w:hAnsi="Arial" w:cs="Arial"/>
        </w:rPr>
      </w:pPr>
      <w:r>
        <w:rPr>
          <w:rFonts w:ascii="Arial" w:eastAsia="Arial" w:hAnsi="Arial" w:cs="Arial"/>
        </w:rPr>
        <w:t xml:space="preserve">Liu, Y., Lu, D. and Tian, S., 2025. The role of existing shareholders in private equity placements in China. </w:t>
      </w:r>
      <w:r>
        <w:rPr>
          <w:rFonts w:ascii="Arial" w:eastAsia="Arial" w:hAnsi="Arial" w:cs="Arial"/>
          <w:i/>
          <w:iCs/>
        </w:rPr>
        <w:t>Journal of Financial Research</w:t>
      </w:r>
      <w:r>
        <w:rPr>
          <w:rFonts w:ascii="Arial" w:eastAsia="Arial" w:hAnsi="Arial" w:cs="Arial"/>
        </w:rPr>
        <w:t xml:space="preserve">, </w:t>
      </w:r>
      <w:r>
        <w:rPr>
          <w:rFonts w:ascii="Arial" w:eastAsia="Arial" w:hAnsi="Arial" w:cs="Arial"/>
          <w:i/>
          <w:iCs/>
        </w:rPr>
        <w:t>48</w:t>
      </w:r>
      <w:r>
        <w:rPr>
          <w:rFonts w:ascii="Arial" w:eastAsia="Arial" w:hAnsi="Arial" w:cs="Arial"/>
        </w:rPr>
        <w:t xml:space="preserve">(1), pp.351-385. </w:t>
      </w:r>
      <w:hyperlink r:id="rId27">
        <w:r>
          <w:rPr>
            <w:rFonts w:ascii="Arial" w:eastAsia="Arial" w:hAnsi="Arial" w:cs="Arial"/>
            <w:color w:val="1155CC"/>
            <w:u w:val="single"/>
          </w:rPr>
          <w:t>https://papers.ssrn.com/sol3/Delivery.cfm?abstractid=4708490</w:t>
        </w:r>
      </w:hyperlink>
      <w:r>
        <w:rPr>
          <w:rFonts w:ascii="Arial" w:eastAsia="Arial" w:hAnsi="Arial" w:cs="Arial"/>
        </w:rPr>
        <w:t xml:space="preserve"> </w:t>
      </w:r>
    </w:p>
    <w:p w14:paraId="6DD3EFD6" w14:textId="77777777" w:rsidR="005A5E32" w:rsidRDefault="005A5E32">
      <w:pPr>
        <w:rPr>
          <w:rFonts w:ascii="Arial" w:eastAsia="Arial" w:hAnsi="Arial" w:cs="Arial"/>
        </w:rPr>
      </w:pPr>
      <w:r>
        <w:rPr>
          <w:rFonts w:ascii="Arial" w:eastAsia="Arial" w:hAnsi="Arial" w:cs="Arial"/>
        </w:rPr>
        <w:t xml:space="preserve">Nabieu, G.A., Amoah, L. and Graham, M., 2025. Capital structure and firm financing decisions. In </w:t>
      </w:r>
      <w:r>
        <w:rPr>
          <w:rFonts w:ascii="Arial" w:eastAsia="Arial" w:hAnsi="Arial" w:cs="Arial"/>
          <w:i/>
          <w:iCs/>
        </w:rPr>
        <w:t>The Elgar Companion to Financial Economics</w:t>
      </w:r>
      <w:r>
        <w:rPr>
          <w:rFonts w:ascii="Arial" w:eastAsia="Arial" w:hAnsi="Arial" w:cs="Arial"/>
        </w:rPr>
        <w:t xml:space="preserve"> (pp. 66-91). Edward Elgar Publishing. </w:t>
      </w:r>
      <w:hyperlink r:id="rId28">
        <w:r>
          <w:rPr>
            <w:rFonts w:ascii="Arial" w:eastAsia="Arial" w:hAnsi="Arial" w:cs="Arial"/>
            <w:color w:val="1155CC"/>
            <w:u w:val="single"/>
          </w:rPr>
          <w:t>https://www.elgaronline.com/abstract/book/9781035341405/chapter4.xml</w:t>
        </w:r>
      </w:hyperlink>
      <w:r>
        <w:rPr>
          <w:rFonts w:ascii="Arial" w:eastAsia="Arial" w:hAnsi="Arial" w:cs="Arial"/>
        </w:rPr>
        <w:t xml:space="preserve"> </w:t>
      </w:r>
    </w:p>
    <w:p w14:paraId="76A4CC48" w14:textId="77777777" w:rsidR="005A5E32" w:rsidRDefault="005A5E32">
      <w:pPr>
        <w:rPr>
          <w:rFonts w:ascii="Arial" w:eastAsia="Arial" w:hAnsi="Arial" w:cs="Arial"/>
        </w:rPr>
      </w:pPr>
      <w:r>
        <w:rPr>
          <w:rFonts w:ascii="Arial" w:eastAsia="Arial" w:hAnsi="Arial" w:cs="Arial"/>
        </w:rPr>
        <w:t xml:space="preserve">Oleti, C.S., 2025. Real-time payment systems: transforming global economic infrastructure through digital financial innovation. </w:t>
      </w:r>
      <w:r>
        <w:rPr>
          <w:rFonts w:ascii="Arial" w:eastAsia="Arial" w:hAnsi="Arial" w:cs="Arial"/>
          <w:i/>
          <w:iCs/>
        </w:rPr>
        <w:t>World Journal of Advanced Research and Reviews</w:t>
      </w:r>
      <w:r>
        <w:rPr>
          <w:rFonts w:ascii="Arial" w:eastAsia="Arial" w:hAnsi="Arial" w:cs="Arial"/>
        </w:rPr>
        <w:t xml:space="preserve">, </w:t>
      </w:r>
      <w:r>
        <w:rPr>
          <w:rFonts w:ascii="Arial" w:eastAsia="Arial" w:hAnsi="Arial" w:cs="Arial"/>
          <w:i/>
          <w:iCs/>
        </w:rPr>
        <w:t>25</w:t>
      </w:r>
      <w:r>
        <w:rPr>
          <w:rFonts w:ascii="Arial" w:eastAsia="Arial" w:hAnsi="Arial" w:cs="Arial"/>
        </w:rPr>
        <w:t xml:space="preserve">, pp.2464-2477. </w:t>
      </w:r>
      <w:hyperlink r:id="rId29">
        <w:r>
          <w:rPr>
            <w:rFonts w:ascii="Arial" w:eastAsia="Arial" w:hAnsi="Arial" w:cs="Arial"/>
            <w:color w:val="1155CC"/>
            <w:u w:val="single"/>
          </w:rPr>
          <w:t>https://www.researchgate.net/profile/Chandra-Sekhar-Oleti/publication/395305772_Real-</w:t>
        </w:r>
        <w:r>
          <w:rPr>
            <w:rFonts w:ascii="Arial" w:eastAsia="Arial" w:hAnsi="Arial" w:cs="Arial"/>
            <w:color w:val="1155CC"/>
            <w:u w:val="single"/>
          </w:rPr>
          <w:lastRenderedPageBreak/>
          <w:t>time_payment_systems_transforming_global_economic_infrastructure_through_digital_financial_innovation/links/68db38a002d6215259b70ef6/Real-time-payment-systems-transforming-global-economic-infrastructure-through-digital-financial-innovation.pdf</w:t>
        </w:r>
      </w:hyperlink>
      <w:r>
        <w:rPr>
          <w:rFonts w:ascii="Arial" w:eastAsia="Arial" w:hAnsi="Arial" w:cs="Arial"/>
        </w:rPr>
        <w:t xml:space="preserve"> </w:t>
      </w:r>
    </w:p>
    <w:p w14:paraId="2B3DD846" w14:textId="77777777" w:rsidR="005A5E32" w:rsidRDefault="005A5E32">
      <w:pPr>
        <w:rPr>
          <w:rFonts w:ascii="Arial" w:eastAsia="Arial" w:hAnsi="Arial" w:cs="Arial"/>
        </w:rPr>
      </w:pPr>
      <w:r>
        <w:rPr>
          <w:rFonts w:ascii="Arial" w:eastAsia="Arial" w:hAnsi="Arial" w:cs="Arial"/>
        </w:rPr>
        <w:t xml:space="preserve">Osho, A.E. and Fagbamila, O.A., 2022. Exchange Rates Fluctuations, Economic Factors and Financial Performance Evaluation of Multinational Companies in Nigeria. </w:t>
      </w:r>
      <w:r>
        <w:rPr>
          <w:rFonts w:ascii="Arial" w:eastAsia="Arial" w:hAnsi="Arial" w:cs="Arial"/>
          <w:i/>
          <w:iCs/>
        </w:rPr>
        <w:t xml:space="preserve">Acta Universitatis </w:t>
      </w:r>
      <w:proofErr w:type="spellStart"/>
      <w:r>
        <w:rPr>
          <w:rFonts w:ascii="Arial" w:eastAsia="Arial" w:hAnsi="Arial" w:cs="Arial"/>
          <w:i/>
          <w:iCs/>
        </w:rPr>
        <w:t>Danubius</w:t>
      </w:r>
      <w:proofErr w:type="spellEnd"/>
      <w:r>
        <w:rPr>
          <w:rFonts w:ascii="Arial" w:eastAsia="Arial" w:hAnsi="Arial" w:cs="Arial"/>
          <w:i/>
          <w:iCs/>
        </w:rPr>
        <w:t xml:space="preserve">: </w:t>
      </w:r>
      <w:proofErr w:type="spellStart"/>
      <w:r>
        <w:rPr>
          <w:rFonts w:ascii="Arial" w:eastAsia="Arial" w:hAnsi="Arial" w:cs="Arial"/>
          <w:i/>
          <w:iCs/>
        </w:rPr>
        <w:t>Œconomica</w:t>
      </w:r>
      <w:proofErr w:type="spellEnd"/>
      <w:r>
        <w:rPr>
          <w:rFonts w:ascii="Arial" w:eastAsia="Arial" w:hAnsi="Arial" w:cs="Arial"/>
        </w:rPr>
        <w:t xml:space="preserve">, </w:t>
      </w:r>
      <w:r>
        <w:rPr>
          <w:rFonts w:ascii="Arial" w:eastAsia="Arial" w:hAnsi="Arial" w:cs="Arial"/>
          <w:i/>
          <w:iCs/>
        </w:rPr>
        <w:t>18</w:t>
      </w:r>
      <w:r>
        <w:rPr>
          <w:rFonts w:ascii="Arial" w:eastAsia="Arial" w:hAnsi="Arial" w:cs="Arial"/>
        </w:rPr>
        <w:t xml:space="preserve">(5). </w:t>
      </w:r>
      <w:hyperlink r:id="rId30">
        <w:r>
          <w:rPr>
            <w:rFonts w:ascii="Arial" w:eastAsia="Arial" w:hAnsi="Arial" w:cs="Arial"/>
            <w:color w:val="1155CC"/>
            <w:u w:val="single"/>
          </w:rPr>
          <w:t>https://dj.univ-danubius.ro/index.php/AUDOE/article/download/1937/2234</w:t>
        </w:r>
      </w:hyperlink>
      <w:r>
        <w:rPr>
          <w:rFonts w:ascii="Arial" w:eastAsia="Arial" w:hAnsi="Arial" w:cs="Arial"/>
        </w:rPr>
        <w:t xml:space="preserve"> </w:t>
      </w:r>
    </w:p>
    <w:p w14:paraId="7E9EC17A" w14:textId="77777777" w:rsidR="005A5E32" w:rsidRDefault="005A5E32">
      <w:pPr>
        <w:rPr>
          <w:rFonts w:ascii="Arial" w:eastAsia="Arial" w:hAnsi="Arial" w:cs="Arial"/>
        </w:rPr>
      </w:pPr>
      <w:r>
        <w:rPr>
          <w:rFonts w:ascii="Arial" w:eastAsia="Arial" w:hAnsi="Arial" w:cs="Arial"/>
        </w:rPr>
        <w:t xml:space="preserve">Pal, S., 2023. Advancements in AI-enhanced just-in-time inventory: Elevating demand forecasting accuracy. </w:t>
      </w:r>
      <w:r>
        <w:rPr>
          <w:rFonts w:ascii="Arial" w:eastAsia="Arial" w:hAnsi="Arial" w:cs="Arial"/>
          <w:i/>
          <w:iCs/>
        </w:rPr>
        <w:t>International journal for research in applied science and engineering technology</w:t>
      </w:r>
      <w:r>
        <w:rPr>
          <w:rFonts w:ascii="Arial" w:eastAsia="Arial" w:hAnsi="Arial" w:cs="Arial"/>
        </w:rPr>
        <w:t xml:space="preserve">, </w:t>
      </w:r>
      <w:r>
        <w:rPr>
          <w:rFonts w:ascii="Arial" w:eastAsia="Arial" w:hAnsi="Arial" w:cs="Arial"/>
          <w:i/>
          <w:iCs/>
        </w:rPr>
        <w:t>11</w:t>
      </w:r>
      <w:r>
        <w:rPr>
          <w:rFonts w:ascii="Arial" w:eastAsia="Arial" w:hAnsi="Arial" w:cs="Arial"/>
        </w:rPr>
        <w:t xml:space="preserve">(11), pp.282-289. </w:t>
      </w:r>
      <w:hyperlink r:id="rId31">
        <w:r>
          <w:rPr>
            <w:rFonts w:ascii="Arial" w:eastAsia="Arial" w:hAnsi="Arial" w:cs="Arial"/>
            <w:color w:val="1155CC"/>
            <w:u w:val="single"/>
          </w:rPr>
          <w:t>https://www.researchgate.net/profile/Subharun-Pal/publication/375415923_Advancements_in_AI-Enhanced_Just-In-Time_Inventory_Elevating_Demand_Forecasting_Accuracy/links/65495776b1398a779d695871/Advancements-in-AI-Enhanced-Just-In-Time-Inventory-Elevating-Demand-Forecasting-Accuracy.pdf</w:t>
        </w:r>
      </w:hyperlink>
      <w:r>
        <w:rPr>
          <w:rFonts w:ascii="Arial" w:eastAsia="Arial" w:hAnsi="Arial" w:cs="Arial"/>
        </w:rPr>
        <w:t xml:space="preserve"> </w:t>
      </w:r>
    </w:p>
    <w:p w14:paraId="2B717389" w14:textId="77777777" w:rsidR="005A5E32" w:rsidRDefault="005A5E32">
      <w:pPr>
        <w:rPr>
          <w:rFonts w:ascii="Arial" w:eastAsia="Arial" w:hAnsi="Arial" w:cs="Arial"/>
        </w:rPr>
      </w:pPr>
      <w:proofErr w:type="spellStart"/>
      <w:r>
        <w:rPr>
          <w:rFonts w:ascii="Arial" w:eastAsia="Arial" w:hAnsi="Arial" w:cs="Arial"/>
        </w:rPr>
        <w:t>Purnawan</w:t>
      </w:r>
      <w:proofErr w:type="spellEnd"/>
      <w:r>
        <w:rPr>
          <w:rFonts w:ascii="Arial" w:eastAsia="Arial" w:hAnsi="Arial" w:cs="Arial"/>
        </w:rPr>
        <w:t xml:space="preserve">, B.G., 2024. Accelerating the Future Tesla Market Strategy and Growth Opportunities. </w:t>
      </w:r>
      <w:hyperlink r:id="rId32">
        <w:r>
          <w:rPr>
            <w:rFonts w:ascii="Arial" w:eastAsia="Arial" w:hAnsi="Arial" w:cs="Arial"/>
            <w:color w:val="1155CC"/>
            <w:u w:val="single"/>
          </w:rPr>
          <w:t>https://www.academia.edu/download/124198295/Accelerating_the_Future_Tesla_Market_Strategy_and_Growth_Opportunities.pdf</w:t>
        </w:r>
      </w:hyperlink>
      <w:r>
        <w:rPr>
          <w:rFonts w:ascii="Arial" w:eastAsia="Arial" w:hAnsi="Arial" w:cs="Arial"/>
        </w:rPr>
        <w:t xml:space="preserve"> </w:t>
      </w:r>
    </w:p>
    <w:p w14:paraId="3A6A1F51" w14:textId="77777777" w:rsidR="005A5E32" w:rsidRDefault="005A5E32">
      <w:pPr>
        <w:rPr>
          <w:rFonts w:ascii="Arial" w:eastAsia="Arial" w:hAnsi="Arial" w:cs="Arial"/>
        </w:rPr>
      </w:pPr>
      <w:r>
        <w:rPr>
          <w:rFonts w:ascii="Arial" w:eastAsia="Arial" w:hAnsi="Arial" w:cs="Arial"/>
        </w:rPr>
        <w:t xml:space="preserve">Rahim, S., 2025. The Effect of Mergers and Acquisitions on Shareholder Value. </w:t>
      </w:r>
      <w:hyperlink r:id="rId33">
        <w:r>
          <w:rPr>
            <w:rFonts w:ascii="Arial" w:eastAsia="Arial" w:hAnsi="Arial" w:cs="Arial"/>
            <w:color w:val="1155CC"/>
            <w:u w:val="single"/>
          </w:rPr>
          <w:t>https://osuva.uwasa.fi/bitstreams/a19484c5-c406-4434-9b09-30d3b8bab5af/download</w:t>
        </w:r>
      </w:hyperlink>
      <w:r>
        <w:rPr>
          <w:rFonts w:ascii="Arial" w:eastAsia="Arial" w:hAnsi="Arial" w:cs="Arial"/>
        </w:rPr>
        <w:t xml:space="preserve"> </w:t>
      </w:r>
    </w:p>
    <w:p w14:paraId="14404A62" w14:textId="77777777" w:rsidR="005A5E32" w:rsidRDefault="005A5E32">
      <w:pPr>
        <w:rPr>
          <w:rFonts w:ascii="Arial" w:eastAsia="Arial" w:hAnsi="Arial" w:cs="Arial"/>
        </w:rPr>
      </w:pPr>
      <w:r>
        <w:rPr>
          <w:rFonts w:ascii="Arial" w:eastAsia="Arial" w:hAnsi="Arial" w:cs="Arial"/>
        </w:rPr>
        <w:t xml:space="preserve">Sinaga, A.S., Sari, M.M., </w:t>
      </w:r>
      <w:proofErr w:type="spellStart"/>
      <w:r>
        <w:rPr>
          <w:rFonts w:ascii="Arial" w:eastAsia="Arial" w:hAnsi="Arial" w:cs="Arial"/>
        </w:rPr>
        <w:t>Hutasuhut</w:t>
      </w:r>
      <w:proofErr w:type="spellEnd"/>
      <w:r>
        <w:rPr>
          <w:rFonts w:ascii="Arial" w:eastAsia="Arial" w:hAnsi="Arial" w:cs="Arial"/>
        </w:rPr>
        <w:t xml:space="preserve">, A.A., Zahara, S.T., Amanda, A., Fitri, A. and Caesario, M.A., 2023. Comparison of capital budgeting methods: NPV, IRR, PAYBACK PERIOD. </w:t>
      </w:r>
      <w:r>
        <w:rPr>
          <w:rFonts w:ascii="Arial" w:eastAsia="Arial" w:hAnsi="Arial" w:cs="Arial"/>
          <w:i/>
          <w:iCs/>
        </w:rPr>
        <w:t>World Journal of Advanced Research and Reviews</w:t>
      </w:r>
      <w:r>
        <w:rPr>
          <w:rFonts w:ascii="Arial" w:eastAsia="Arial" w:hAnsi="Arial" w:cs="Arial"/>
        </w:rPr>
        <w:t xml:space="preserve">, </w:t>
      </w:r>
      <w:r>
        <w:rPr>
          <w:rFonts w:ascii="Arial" w:eastAsia="Arial" w:hAnsi="Arial" w:cs="Arial"/>
          <w:i/>
          <w:iCs/>
        </w:rPr>
        <w:t>19</w:t>
      </w:r>
      <w:r>
        <w:rPr>
          <w:rFonts w:ascii="Arial" w:eastAsia="Arial" w:hAnsi="Arial" w:cs="Arial"/>
        </w:rPr>
        <w:t xml:space="preserve">(2), pp.1078-1081. </w:t>
      </w:r>
      <w:hyperlink r:id="rId34">
        <w:r>
          <w:rPr>
            <w:rFonts w:ascii="Arial" w:eastAsia="Arial" w:hAnsi="Arial" w:cs="Arial"/>
            <w:color w:val="1155CC"/>
            <w:u w:val="single"/>
          </w:rPr>
          <w:t>https://pdfs.semanticscholar.org/35f5/923a958b071288b38d4e960e8268477ec19a.pdf</w:t>
        </w:r>
      </w:hyperlink>
      <w:r>
        <w:rPr>
          <w:rFonts w:ascii="Arial" w:eastAsia="Arial" w:hAnsi="Arial" w:cs="Arial"/>
        </w:rPr>
        <w:t xml:space="preserve"> </w:t>
      </w:r>
    </w:p>
    <w:p w14:paraId="017250EC" w14:textId="77777777" w:rsidR="005A5E32" w:rsidRDefault="005A5E32">
      <w:pPr>
        <w:rPr>
          <w:rFonts w:ascii="Arial" w:eastAsia="Arial" w:hAnsi="Arial" w:cs="Arial"/>
        </w:rPr>
      </w:pPr>
      <w:r>
        <w:rPr>
          <w:rFonts w:ascii="Arial" w:eastAsia="Arial" w:hAnsi="Arial" w:cs="Arial"/>
        </w:rPr>
        <w:lastRenderedPageBreak/>
        <w:t xml:space="preserve">Tesla. 2020. </w:t>
      </w:r>
      <w:r>
        <w:rPr>
          <w:rFonts w:ascii="Arial" w:eastAsia="Arial" w:hAnsi="Arial" w:cs="Arial"/>
          <w:i/>
          <w:iCs/>
        </w:rPr>
        <w:t>Tesla Annual Report 2020</w:t>
      </w:r>
      <w:r>
        <w:rPr>
          <w:rFonts w:ascii="Arial" w:eastAsia="Arial" w:hAnsi="Arial" w:cs="Arial"/>
        </w:rPr>
        <w:t xml:space="preserve">. Available at: </w:t>
      </w:r>
      <w:hyperlink r:id="rId35">
        <w:r>
          <w:rPr>
            <w:rFonts w:ascii="Arial" w:eastAsia="Arial" w:hAnsi="Arial" w:cs="Arial"/>
            <w:color w:val="1155CC"/>
            <w:u w:val="single"/>
          </w:rPr>
          <w:t>https://ir.tesla.com/_flysystem/s3/sec/000156459021004599/tsla-10k_20201231-gen.pdf</w:t>
        </w:r>
      </w:hyperlink>
      <w:r>
        <w:rPr>
          <w:rFonts w:ascii="Arial" w:eastAsia="Arial" w:hAnsi="Arial" w:cs="Arial"/>
        </w:rPr>
        <w:t xml:space="preserve"> [Accessed 21st April 2026] </w:t>
      </w:r>
    </w:p>
    <w:p w14:paraId="19970D82" w14:textId="77777777" w:rsidR="005A5E32" w:rsidRDefault="005A5E32">
      <w:pPr>
        <w:rPr>
          <w:rFonts w:ascii="Arial" w:eastAsia="Arial" w:hAnsi="Arial" w:cs="Arial"/>
        </w:rPr>
      </w:pPr>
      <w:r>
        <w:rPr>
          <w:rFonts w:ascii="Arial" w:eastAsia="Arial" w:hAnsi="Arial" w:cs="Arial"/>
        </w:rPr>
        <w:t xml:space="preserve">Tesla. 2021. </w:t>
      </w:r>
      <w:r>
        <w:rPr>
          <w:rFonts w:ascii="Arial" w:eastAsia="Arial" w:hAnsi="Arial" w:cs="Arial"/>
          <w:i/>
          <w:iCs/>
        </w:rPr>
        <w:t>Tesla Annual Report 2021</w:t>
      </w:r>
      <w:r>
        <w:rPr>
          <w:rFonts w:ascii="Arial" w:eastAsia="Arial" w:hAnsi="Arial" w:cs="Arial"/>
        </w:rPr>
        <w:t xml:space="preserve">. Available at: </w:t>
      </w:r>
      <w:hyperlink r:id="rId36">
        <w:r>
          <w:rPr>
            <w:rFonts w:ascii="Arial" w:eastAsia="Arial" w:hAnsi="Arial" w:cs="Arial"/>
            <w:color w:val="1155CC"/>
            <w:u w:val="single"/>
          </w:rPr>
          <w:t>https://ir.tesla.com/_flysystem/s3/sec/000095017021002253/tsla-20210930-gen.pdf</w:t>
        </w:r>
      </w:hyperlink>
      <w:r>
        <w:rPr>
          <w:rFonts w:ascii="Arial" w:eastAsia="Arial" w:hAnsi="Arial" w:cs="Arial"/>
        </w:rPr>
        <w:t xml:space="preserve"> [Accessed 21st April 2026] </w:t>
      </w:r>
    </w:p>
    <w:p w14:paraId="52EDE84D" w14:textId="77777777" w:rsidR="005A5E32" w:rsidRDefault="005A5E32">
      <w:pPr>
        <w:rPr>
          <w:rFonts w:ascii="Arial" w:eastAsia="Arial" w:hAnsi="Arial" w:cs="Arial"/>
        </w:rPr>
      </w:pPr>
      <w:r>
        <w:rPr>
          <w:rFonts w:ascii="Arial" w:eastAsia="Arial" w:hAnsi="Arial" w:cs="Arial"/>
        </w:rPr>
        <w:t xml:space="preserve">Tesla. 2022. </w:t>
      </w:r>
      <w:r>
        <w:rPr>
          <w:rFonts w:ascii="Arial" w:eastAsia="Arial" w:hAnsi="Arial" w:cs="Arial"/>
          <w:i/>
          <w:iCs/>
        </w:rPr>
        <w:t>Tesla Annual Report 2022</w:t>
      </w:r>
      <w:r>
        <w:rPr>
          <w:rFonts w:ascii="Arial" w:eastAsia="Arial" w:hAnsi="Arial" w:cs="Arial"/>
        </w:rPr>
        <w:t xml:space="preserve">.  Available at: </w:t>
      </w:r>
      <w:hyperlink r:id="rId37">
        <w:r>
          <w:rPr>
            <w:rFonts w:ascii="Arial" w:eastAsia="Arial" w:hAnsi="Arial" w:cs="Arial"/>
            <w:color w:val="1155CC"/>
            <w:u w:val="single"/>
          </w:rPr>
          <w:t>https://ir.tesla.com/_flysystem/s3/sec/000095017023001409/tsla-20221231-gen.pdf</w:t>
        </w:r>
      </w:hyperlink>
      <w:r>
        <w:rPr>
          <w:rFonts w:ascii="Arial" w:eastAsia="Arial" w:hAnsi="Arial" w:cs="Arial"/>
        </w:rPr>
        <w:t xml:space="preserve"> [Accessed 21st April 2026] </w:t>
      </w:r>
    </w:p>
    <w:p w14:paraId="0BF5C088" w14:textId="77777777" w:rsidR="005A5E32" w:rsidRDefault="005A5E32">
      <w:pPr>
        <w:rPr>
          <w:rFonts w:ascii="Arial" w:eastAsia="Arial" w:hAnsi="Arial" w:cs="Arial"/>
        </w:rPr>
      </w:pPr>
      <w:r>
        <w:rPr>
          <w:rFonts w:ascii="Arial" w:eastAsia="Arial" w:hAnsi="Arial" w:cs="Arial"/>
        </w:rPr>
        <w:t xml:space="preserve">Tesla. 2023. </w:t>
      </w:r>
      <w:r>
        <w:rPr>
          <w:rFonts w:ascii="Arial" w:eastAsia="Arial" w:hAnsi="Arial" w:cs="Arial"/>
          <w:i/>
          <w:iCs/>
        </w:rPr>
        <w:t>Tesla Annual Report 2023</w:t>
      </w:r>
      <w:r>
        <w:rPr>
          <w:rFonts w:ascii="Arial" w:eastAsia="Arial" w:hAnsi="Arial" w:cs="Arial"/>
        </w:rPr>
        <w:t xml:space="preserve">.  Available at: </w:t>
      </w:r>
      <w:hyperlink r:id="rId38">
        <w:r>
          <w:rPr>
            <w:rFonts w:ascii="Arial" w:eastAsia="Arial" w:hAnsi="Arial" w:cs="Arial"/>
            <w:color w:val="1155CC"/>
            <w:u w:val="single"/>
          </w:rPr>
          <w:t>https://ir.tesla.com/_flysystem/s3/sec/000162828024002390/tsla-20231231-gen.pdf</w:t>
        </w:r>
      </w:hyperlink>
      <w:r>
        <w:rPr>
          <w:rFonts w:ascii="Arial" w:eastAsia="Arial" w:hAnsi="Arial" w:cs="Arial"/>
        </w:rPr>
        <w:t xml:space="preserve"> [Accessed 21st April 2026] </w:t>
      </w:r>
    </w:p>
    <w:p w14:paraId="6DE7E870" w14:textId="77777777" w:rsidR="005A5E32" w:rsidRDefault="005A5E32">
      <w:pPr>
        <w:rPr>
          <w:rFonts w:ascii="Arial" w:eastAsia="Arial" w:hAnsi="Arial" w:cs="Arial"/>
        </w:rPr>
      </w:pPr>
      <w:r>
        <w:rPr>
          <w:rFonts w:ascii="Arial" w:eastAsia="Arial" w:hAnsi="Arial" w:cs="Arial"/>
        </w:rPr>
        <w:t xml:space="preserve">Tesla. 2024. </w:t>
      </w:r>
      <w:r>
        <w:rPr>
          <w:rFonts w:ascii="Arial" w:eastAsia="Arial" w:hAnsi="Arial" w:cs="Arial"/>
          <w:i/>
          <w:iCs/>
        </w:rPr>
        <w:t>Tesla Annual Report 2024</w:t>
      </w:r>
      <w:r>
        <w:rPr>
          <w:rFonts w:ascii="Arial" w:eastAsia="Arial" w:hAnsi="Arial" w:cs="Arial"/>
        </w:rPr>
        <w:t xml:space="preserve">.   Available at: </w:t>
      </w:r>
      <w:hyperlink r:id="rId39">
        <w:r>
          <w:rPr>
            <w:rFonts w:ascii="Arial" w:eastAsia="Arial" w:hAnsi="Arial" w:cs="Arial"/>
            <w:color w:val="1155CC"/>
            <w:u w:val="single"/>
          </w:rPr>
          <w:t>https://ir.tesla.com/_flysystem/s3/sec/000162828025003063/tsla-20241231-gen.pdf</w:t>
        </w:r>
      </w:hyperlink>
      <w:r>
        <w:rPr>
          <w:rFonts w:ascii="Arial" w:eastAsia="Arial" w:hAnsi="Arial" w:cs="Arial"/>
        </w:rPr>
        <w:t xml:space="preserve"> [Accessed 21st April 2026] </w:t>
      </w:r>
    </w:p>
    <w:p w14:paraId="74CCF204" w14:textId="77777777" w:rsidR="005A5E32" w:rsidRDefault="005A5E32">
      <w:pPr>
        <w:rPr>
          <w:rFonts w:ascii="Arial" w:eastAsia="Arial" w:hAnsi="Arial" w:cs="Arial"/>
        </w:rPr>
      </w:pPr>
      <w:r>
        <w:rPr>
          <w:rFonts w:ascii="Arial" w:eastAsia="Arial" w:hAnsi="Arial" w:cs="Arial"/>
        </w:rPr>
        <w:t xml:space="preserve">Tesla. 2026. </w:t>
      </w:r>
      <w:r>
        <w:rPr>
          <w:rFonts w:ascii="Arial" w:eastAsia="Arial" w:hAnsi="Arial" w:cs="Arial"/>
          <w:i/>
          <w:iCs/>
        </w:rPr>
        <w:t>Tesla: Electric Cars, Solar &amp; Clean Energy</w:t>
      </w:r>
      <w:r>
        <w:rPr>
          <w:rFonts w:ascii="Arial" w:eastAsia="Arial" w:hAnsi="Arial" w:cs="Arial"/>
        </w:rPr>
        <w:t xml:space="preserve">. Available at: </w:t>
      </w:r>
      <w:hyperlink r:id="rId40">
        <w:r>
          <w:rPr>
            <w:rFonts w:ascii="Arial" w:eastAsia="Arial" w:hAnsi="Arial" w:cs="Arial"/>
            <w:color w:val="1155CC"/>
            <w:u w:val="single"/>
          </w:rPr>
          <w:t>https://www.tesla.com/</w:t>
        </w:r>
      </w:hyperlink>
      <w:r>
        <w:rPr>
          <w:rFonts w:ascii="Arial" w:eastAsia="Arial" w:hAnsi="Arial" w:cs="Arial"/>
        </w:rPr>
        <w:t xml:space="preserve"> [Accessed 21st April 2026] </w:t>
      </w:r>
    </w:p>
    <w:p w14:paraId="756D81DB" w14:textId="77777777" w:rsidR="005A5E32" w:rsidRDefault="005A5E32">
      <w:pPr>
        <w:rPr>
          <w:rFonts w:ascii="Arial" w:eastAsia="Arial" w:hAnsi="Arial" w:cs="Arial"/>
        </w:rPr>
      </w:pPr>
      <w:r>
        <w:rPr>
          <w:rFonts w:ascii="Arial" w:eastAsia="Arial" w:hAnsi="Arial" w:cs="Arial"/>
        </w:rPr>
        <w:t xml:space="preserve">Trivedi, G., Bhagat, M. and Sharma, K., 2024. Corporate governance and financial performance: the role of management practices in enhancing shareholders’ value. </w:t>
      </w:r>
      <w:r>
        <w:rPr>
          <w:rFonts w:ascii="Arial" w:eastAsia="Arial" w:hAnsi="Arial" w:cs="Arial"/>
          <w:i/>
          <w:iCs/>
        </w:rPr>
        <w:t>Educational Administration: Theory And Practice</w:t>
      </w:r>
      <w:r>
        <w:rPr>
          <w:rFonts w:ascii="Arial" w:eastAsia="Arial" w:hAnsi="Arial" w:cs="Arial"/>
        </w:rPr>
        <w:t xml:space="preserve">, </w:t>
      </w:r>
      <w:r>
        <w:rPr>
          <w:rFonts w:ascii="Arial" w:eastAsia="Arial" w:hAnsi="Arial" w:cs="Arial"/>
          <w:i/>
          <w:iCs/>
        </w:rPr>
        <w:t>30</w:t>
      </w:r>
      <w:r>
        <w:rPr>
          <w:rFonts w:ascii="Arial" w:eastAsia="Arial" w:hAnsi="Arial" w:cs="Arial"/>
        </w:rPr>
        <w:t xml:space="preserve">(4), pp.8699-8704. </w:t>
      </w:r>
      <w:hyperlink r:id="rId41">
        <w:r>
          <w:rPr>
            <w:rFonts w:ascii="Arial" w:eastAsia="Arial" w:hAnsi="Arial" w:cs="Arial"/>
            <w:color w:val="1155CC"/>
            <w:u w:val="single"/>
          </w:rPr>
          <w:t>https://www.researchgate.net/profile/Maitrey-Bhagat-2/publication/380294708_Corporate_Governance_And_Financial_Performance_The_Role_Of_Management_Practices_In_Enhancing_Shareholders'_Value/links/6634679f35243041535b3c8a/Corporate-Governance-And-Financial-Performance-The-Role-Of-Management-Practices-In-Enhancing-Shareholders-Value.pdf</w:t>
        </w:r>
      </w:hyperlink>
      <w:r>
        <w:rPr>
          <w:rFonts w:ascii="Arial" w:eastAsia="Arial" w:hAnsi="Arial" w:cs="Arial"/>
        </w:rPr>
        <w:t xml:space="preserve"> </w:t>
      </w:r>
    </w:p>
    <w:p w14:paraId="051B98E3" w14:textId="77777777" w:rsidR="005A5E32" w:rsidRDefault="005A5E32">
      <w:pPr>
        <w:rPr>
          <w:rFonts w:ascii="Arial" w:eastAsia="Arial" w:hAnsi="Arial" w:cs="Arial"/>
        </w:rPr>
      </w:pPr>
      <w:proofErr w:type="spellStart"/>
      <w:r>
        <w:rPr>
          <w:rFonts w:ascii="Arial" w:eastAsia="Arial" w:hAnsi="Arial" w:cs="Arial"/>
        </w:rPr>
        <w:t>Umeorah</w:t>
      </w:r>
      <w:proofErr w:type="spellEnd"/>
      <w:r>
        <w:rPr>
          <w:rFonts w:ascii="Arial" w:eastAsia="Arial" w:hAnsi="Arial" w:cs="Arial"/>
        </w:rPr>
        <w:t xml:space="preserve">, S.C., Adelaja, A.O., Ayodele, O.F. and </w:t>
      </w:r>
      <w:proofErr w:type="spellStart"/>
      <w:r>
        <w:rPr>
          <w:rFonts w:ascii="Arial" w:eastAsia="Arial" w:hAnsi="Arial" w:cs="Arial"/>
        </w:rPr>
        <w:t>Abikoye</w:t>
      </w:r>
      <w:proofErr w:type="spellEnd"/>
      <w:r>
        <w:rPr>
          <w:rFonts w:ascii="Arial" w:eastAsia="Arial" w:hAnsi="Arial" w:cs="Arial"/>
        </w:rPr>
        <w:t xml:space="preserve">, B.E., 2024. Artificial Intelligence (AI) in working capital management: Practices and future potential. </w:t>
      </w:r>
      <w:r>
        <w:rPr>
          <w:rFonts w:ascii="Arial" w:eastAsia="Arial" w:hAnsi="Arial" w:cs="Arial"/>
          <w:i/>
          <w:iCs/>
        </w:rPr>
        <w:t>World Journal of Advanced Research and Reviews</w:t>
      </w:r>
      <w:r>
        <w:rPr>
          <w:rFonts w:ascii="Arial" w:eastAsia="Arial" w:hAnsi="Arial" w:cs="Arial"/>
        </w:rPr>
        <w:t xml:space="preserve">, </w:t>
      </w:r>
      <w:r>
        <w:rPr>
          <w:rFonts w:ascii="Arial" w:eastAsia="Arial" w:hAnsi="Arial" w:cs="Arial"/>
          <w:i/>
          <w:iCs/>
        </w:rPr>
        <w:t>23</w:t>
      </w:r>
      <w:r>
        <w:rPr>
          <w:rFonts w:ascii="Arial" w:eastAsia="Arial" w:hAnsi="Arial" w:cs="Arial"/>
        </w:rPr>
        <w:t xml:space="preserve">(1), pp.1436-1451. </w:t>
      </w:r>
      <w:hyperlink r:id="rId42">
        <w:r>
          <w:rPr>
            <w:rFonts w:ascii="Arial" w:eastAsia="Arial" w:hAnsi="Arial" w:cs="Arial"/>
            <w:color w:val="1155CC"/>
            <w:u w:val="single"/>
          </w:rPr>
          <w:t>https://www.researchgate.net/profile/Stanley-Umeorah-</w:t>
        </w:r>
        <w:r>
          <w:rPr>
            <w:rFonts w:ascii="Arial" w:eastAsia="Arial" w:hAnsi="Arial" w:cs="Arial"/>
            <w:color w:val="1155CC"/>
            <w:u w:val="single"/>
          </w:rPr>
          <w:lastRenderedPageBreak/>
          <w:t>2/publication/382457979_Artificial_Intelligence_AI_in_working_capital_management_Practices_and_future_potential/links/669f0c88cb7fbf12a4692898/Artificial-Intelligence-AI-in-working-capital-management-Practices-and-future-potential.pdf</w:t>
        </w:r>
      </w:hyperlink>
      <w:r>
        <w:rPr>
          <w:rFonts w:ascii="Arial" w:eastAsia="Arial" w:hAnsi="Arial" w:cs="Arial"/>
        </w:rPr>
        <w:t xml:space="preserve"> </w:t>
      </w:r>
    </w:p>
    <w:p w14:paraId="0EC4E65A" w14:textId="77777777" w:rsidR="00094755" w:rsidRDefault="009B1CB7">
      <w:pPr>
        <w:rPr>
          <w:rFonts w:ascii="Arial" w:eastAsia="Arial" w:hAnsi="Arial" w:cs="Arial"/>
          <w:b/>
          <w:bCs/>
        </w:rPr>
      </w:pPr>
      <w:r>
        <w:br w:type="page"/>
      </w:r>
    </w:p>
    <w:p w14:paraId="32C5D2C7" w14:textId="77777777" w:rsidR="00094755" w:rsidRDefault="009B1CB7">
      <w:pPr>
        <w:pStyle w:val="Heading1"/>
      </w:pPr>
      <w:bookmarkStart w:id="64" w:name="_fnccigw7jhr2" w:colFirst="0" w:colLast="0"/>
      <w:bookmarkEnd w:id="64"/>
      <w:r>
        <w:lastRenderedPageBreak/>
        <w:t>8. Appendices</w:t>
      </w:r>
    </w:p>
    <w:p w14:paraId="6A33EC17" w14:textId="77777777" w:rsidR="00094755" w:rsidRDefault="009B1CB7">
      <w:pPr>
        <w:pStyle w:val="Heading2"/>
      </w:pPr>
      <w:bookmarkStart w:id="65" w:name="_icb0crmmpnxb" w:colFirst="0" w:colLast="0"/>
      <w:bookmarkStart w:id="66" w:name="_x05kawinunjd" w:colFirst="0" w:colLast="0"/>
      <w:bookmarkEnd w:id="65"/>
      <w:bookmarkEnd w:id="66"/>
      <w:r>
        <w:t xml:space="preserve">Appendix </w:t>
      </w:r>
      <w:r w:rsidR="00E6666C">
        <w:t>1</w:t>
      </w:r>
      <w:r>
        <w:t xml:space="preserve">: Ratio Tables </w:t>
      </w:r>
    </w:p>
    <w:tbl>
      <w:tblPr>
        <w:tblW w:w="5000" w:type="pct"/>
        <w:jc w:val="center"/>
        <w:tblLook w:val="04A0" w:firstRow="1" w:lastRow="0" w:firstColumn="1" w:lastColumn="0" w:noHBand="0" w:noVBand="1"/>
      </w:tblPr>
      <w:tblGrid>
        <w:gridCol w:w="2347"/>
        <w:gridCol w:w="1410"/>
        <w:gridCol w:w="1050"/>
        <w:gridCol w:w="981"/>
        <w:gridCol w:w="981"/>
        <w:gridCol w:w="1050"/>
        <w:gridCol w:w="981"/>
        <w:gridCol w:w="219"/>
      </w:tblGrid>
      <w:tr w:rsidR="0075642B" w:rsidRPr="0075642B" w14:paraId="29DA7A39" w14:textId="77777777" w:rsidTr="0075642B">
        <w:trPr>
          <w:gridAfter w:val="1"/>
          <w:wAfter w:w="61" w:type="pct"/>
          <w:trHeight w:val="894"/>
          <w:jc w:val="center"/>
        </w:trPr>
        <w:tc>
          <w:tcPr>
            <w:tcW w:w="4939" w:type="pct"/>
            <w:gridSpan w:val="7"/>
            <w:vMerge w:val="restart"/>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64F5195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"Profitability Ratio"</w:t>
            </w:r>
          </w:p>
        </w:tc>
      </w:tr>
      <w:tr w:rsidR="0075642B" w:rsidRPr="0075642B" w14:paraId="5FCCC504" w14:textId="77777777" w:rsidTr="0075642B">
        <w:trPr>
          <w:trHeight w:val="288"/>
          <w:jc w:val="center"/>
        </w:trPr>
        <w:tc>
          <w:tcPr>
            <w:tcW w:w="4939" w:type="pct"/>
            <w:gridSpan w:val="7"/>
            <w:vMerge/>
            <w:tcBorders>
              <w:top w:val="single" w:sz="4" w:space="0" w:color="auto"/>
              <w:left w:val="single" w:sz="4" w:space="0" w:color="auto"/>
              <w:bottom w:val="single" w:sz="4" w:space="0" w:color="auto"/>
              <w:right w:val="single" w:sz="4" w:space="0" w:color="auto"/>
            </w:tcBorders>
            <w:vAlign w:val="center"/>
            <w:hideMark/>
          </w:tcPr>
          <w:p w14:paraId="3D8F9F18" w14:textId="77777777" w:rsidR="0075642B" w:rsidRPr="0075642B" w:rsidRDefault="0075642B" w:rsidP="0075642B">
            <w:pPr>
              <w:spacing w:before="0" w:after="0" w:line="240" w:lineRule="auto"/>
              <w:jc w:val="left"/>
              <w:rPr>
                <w:rFonts w:ascii="Arial" w:hAnsi="Arial" w:cs="Arial"/>
                <w:b/>
                <w:bCs/>
                <w:color w:val="000000"/>
                <w:lang w:val="en-IN"/>
              </w:rPr>
            </w:pPr>
          </w:p>
        </w:tc>
        <w:tc>
          <w:tcPr>
            <w:tcW w:w="61" w:type="pct"/>
            <w:tcBorders>
              <w:top w:val="nil"/>
              <w:left w:val="nil"/>
              <w:bottom w:val="nil"/>
              <w:right w:val="nil"/>
            </w:tcBorders>
            <w:noWrap/>
            <w:vAlign w:val="bottom"/>
            <w:hideMark/>
          </w:tcPr>
          <w:p w14:paraId="49D73303" w14:textId="77777777" w:rsidR="0075642B" w:rsidRPr="0075642B" w:rsidRDefault="0075642B" w:rsidP="0075642B">
            <w:pPr>
              <w:spacing w:before="0" w:after="0" w:line="240" w:lineRule="auto"/>
              <w:jc w:val="center"/>
              <w:rPr>
                <w:rFonts w:ascii="Arial" w:hAnsi="Arial" w:cs="Arial"/>
                <w:b/>
                <w:bCs/>
                <w:color w:val="000000"/>
                <w:lang w:val="en-IN"/>
              </w:rPr>
            </w:pPr>
          </w:p>
        </w:tc>
      </w:tr>
      <w:tr w:rsidR="0075642B" w:rsidRPr="0075642B" w14:paraId="7F96F6E5" w14:textId="77777777" w:rsidTr="0075642B">
        <w:trPr>
          <w:trHeight w:val="312"/>
          <w:jc w:val="center"/>
        </w:trPr>
        <w:tc>
          <w:tcPr>
            <w:tcW w:w="4939" w:type="pct"/>
            <w:gridSpan w:val="7"/>
            <w:vMerge/>
            <w:tcBorders>
              <w:top w:val="single" w:sz="4" w:space="0" w:color="auto"/>
              <w:left w:val="single" w:sz="4" w:space="0" w:color="auto"/>
              <w:bottom w:val="single" w:sz="4" w:space="0" w:color="auto"/>
              <w:right w:val="single" w:sz="4" w:space="0" w:color="auto"/>
            </w:tcBorders>
            <w:vAlign w:val="center"/>
            <w:hideMark/>
          </w:tcPr>
          <w:p w14:paraId="4DAF1CDE" w14:textId="77777777" w:rsidR="0075642B" w:rsidRPr="0075642B" w:rsidRDefault="0075642B" w:rsidP="0075642B">
            <w:pPr>
              <w:spacing w:before="0" w:after="0" w:line="240" w:lineRule="auto"/>
              <w:jc w:val="left"/>
              <w:rPr>
                <w:rFonts w:ascii="Arial" w:hAnsi="Arial" w:cs="Arial"/>
                <w:b/>
                <w:bCs/>
                <w:color w:val="000000"/>
                <w:lang w:val="en-IN"/>
              </w:rPr>
            </w:pPr>
          </w:p>
        </w:tc>
        <w:tc>
          <w:tcPr>
            <w:tcW w:w="61" w:type="pct"/>
            <w:tcBorders>
              <w:top w:val="nil"/>
              <w:left w:val="nil"/>
              <w:bottom w:val="nil"/>
              <w:right w:val="nil"/>
            </w:tcBorders>
            <w:noWrap/>
            <w:vAlign w:val="bottom"/>
            <w:hideMark/>
          </w:tcPr>
          <w:p w14:paraId="51F35880" w14:textId="77777777" w:rsidR="0075642B" w:rsidRPr="0075642B" w:rsidRDefault="0075642B" w:rsidP="0075642B">
            <w:pPr>
              <w:spacing w:before="0" w:after="0" w:line="240" w:lineRule="auto"/>
              <w:jc w:val="left"/>
              <w:rPr>
                <w:sz w:val="20"/>
                <w:szCs w:val="20"/>
                <w:lang w:val="en-IN"/>
              </w:rPr>
            </w:pPr>
          </w:p>
        </w:tc>
      </w:tr>
      <w:tr w:rsidR="0075642B" w:rsidRPr="0075642B" w14:paraId="0889BBC1"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D8AAB92"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"ROCE"</w:t>
            </w:r>
          </w:p>
        </w:tc>
        <w:tc>
          <w:tcPr>
            <w:tcW w:w="61" w:type="pct"/>
            <w:vAlign w:val="center"/>
            <w:hideMark/>
          </w:tcPr>
          <w:p w14:paraId="2BE4EDF6" w14:textId="77777777" w:rsidR="0075642B" w:rsidRPr="0075642B" w:rsidRDefault="0075642B" w:rsidP="0075642B">
            <w:pPr>
              <w:spacing w:before="0" w:after="0" w:line="240" w:lineRule="auto"/>
              <w:jc w:val="left"/>
              <w:rPr>
                <w:sz w:val="20"/>
                <w:szCs w:val="20"/>
                <w:lang w:val="en-IN"/>
              </w:rPr>
            </w:pPr>
          </w:p>
        </w:tc>
      </w:tr>
      <w:tr w:rsidR="0075642B" w:rsidRPr="0075642B" w14:paraId="56AA68C4"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6F4963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10343B5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3ED52D4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1336F13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3DD1489D"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20DB8342"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204734C0"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66BF5EF2" w14:textId="77777777" w:rsidR="0075642B" w:rsidRPr="0075642B" w:rsidRDefault="0075642B" w:rsidP="0075642B">
            <w:pPr>
              <w:spacing w:before="0" w:after="0" w:line="240" w:lineRule="auto"/>
              <w:jc w:val="left"/>
              <w:rPr>
                <w:sz w:val="20"/>
                <w:szCs w:val="20"/>
                <w:lang w:val="en-IN"/>
              </w:rPr>
            </w:pPr>
          </w:p>
        </w:tc>
      </w:tr>
      <w:tr w:rsidR="0075642B" w:rsidRPr="0075642B" w14:paraId="7CB15481"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28214E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"EBIT"</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3368926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 xml:space="preserve">"EBIT / (Total Assets − Current </w:t>
            </w:r>
            <w:proofErr w:type="gramStart"/>
            <w:r w:rsidRPr="0075642B">
              <w:rPr>
                <w:rFonts w:ascii="Arial" w:hAnsi="Arial" w:cs="Arial"/>
                <w:b/>
                <w:bCs/>
                <w:color w:val="000000"/>
                <w:lang w:val="en-IN"/>
              </w:rPr>
              <w:t>Liabilities)*</w:t>
            </w:r>
            <w:proofErr w:type="gramEnd"/>
            <w:r w:rsidRPr="0075642B">
              <w:rPr>
                <w:rFonts w:ascii="Arial" w:hAnsi="Arial" w:cs="Arial"/>
                <w:b/>
                <w:bCs/>
                <w:color w:val="000000"/>
                <w:lang w:val="en-IN"/>
              </w:rPr>
              <w:t>100"</w:t>
            </w:r>
          </w:p>
        </w:tc>
        <w:tc>
          <w:tcPr>
            <w:tcW w:w="516" w:type="pct"/>
            <w:tcBorders>
              <w:top w:val="nil"/>
              <w:left w:val="nil"/>
              <w:bottom w:val="single" w:sz="4" w:space="0" w:color="auto"/>
              <w:right w:val="single" w:sz="4" w:space="0" w:color="auto"/>
            </w:tcBorders>
            <w:shd w:val="clear" w:color="000000" w:fill="FFFFFF"/>
            <w:noWrap/>
            <w:vAlign w:val="bottom"/>
            <w:hideMark/>
          </w:tcPr>
          <w:p w14:paraId="4DC51A8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8,990.00 </w:t>
            </w:r>
          </w:p>
        </w:tc>
        <w:tc>
          <w:tcPr>
            <w:tcW w:w="474" w:type="pct"/>
            <w:tcBorders>
              <w:top w:val="nil"/>
              <w:left w:val="nil"/>
              <w:bottom w:val="single" w:sz="4" w:space="0" w:color="auto"/>
              <w:right w:val="single" w:sz="4" w:space="0" w:color="auto"/>
            </w:tcBorders>
            <w:shd w:val="clear" w:color="000000" w:fill="FFFFFF"/>
            <w:noWrap/>
            <w:vAlign w:val="bottom"/>
            <w:hideMark/>
          </w:tcPr>
          <w:p w14:paraId="1D97DE8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9,973.00 </w:t>
            </w:r>
          </w:p>
        </w:tc>
        <w:tc>
          <w:tcPr>
            <w:tcW w:w="474" w:type="pct"/>
            <w:tcBorders>
              <w:top w:val="nil"/>
              <w:left w:val="nil"/>
              <w:bottom w:val="single" w:sz="4" w:space="0" w:color="auto"/>
              <w:right w:val="single" w:sz="4" w:space="0" w:color="auto"/>
            </w:tcBorders>
            <w:shd w:val="clear" w:color="000000" w:fill="FFFFFF"/>
            <w:noWrap/>
            <w:vAlign w:val="bottom"/>
            <w:hideMark/>
          </w:tcPr>
          <w:p w14:paraId="6641867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13,719.00 </w:t>
            </w:r>
          </w:p>
        </w:tc>
        <w:tc>
          <w:tcPr>
            <w:tcW w:w="516" w:type="pct"/>
            <w:tcBorders>
              <w:top w:val="nil"/>
              <w:left w:val="nil"/>
              <w:bottom w:val="single" w:sz="4" w:space="0" w:color="auto"/>
              <w:right w:val="single" w:sz="4" w:space="0" w:color="auto"/>
            </w:tcBorders>
            <w:shd w:val="clear" w:color="000000" w:fill="FFFFFF"/>
            <w:noWrap/>
            <w:vAlign w:val="bottom"/>
            <w:hideMark/>
          </w:tcPr>
          <w:p w14:paraId="7AD0426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6,343.00 </w:t>
            </w:r>
          </w:p>
        </w:tc>
        <w:tc>
          <w:tcPr>
            <w:tcW w:w="474" w:type="pct"/>
            <w:tcBorders>
              <w:top w:val="nil"/>
              <w:left w:val="nil"/>
              <w:bottom w:val="single" w:sz="4" w:space="0" w:color="auto"/>
              <w:right w:val="single" w:sz="4" w:space="0" w:color="auto"/>
            </w:tcBorders>
            <w:shd w:val="clear" w:color="000000" w:fill="FFFFFF"/>
            <w:noWrap/>
            <w:vAlign w:val="bottom"/>
            <w:hideMark/>
          </w:tcPr>
          <w:p w14:paraId="228FFB4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1,154.00 </w:t>
            </w:r>
          </w:p>
        </w:tc>
        <w:tc>
          <w:tcPr>
            <w:tcW w:w="61" w:type="pct"/>
            <w:vAlign w:val="center"/>
            <w:hideMark/>
          </w:tcPr>
          <w:p w14:paraId="08A6A916" w14:textId="77777777" w:rsidR="0075642B" w:rsidRPr="0075642B" w:rsidRDefault="0075642B" w:rsidP="0075642B">
            <w:pPr>
              <w:spacing w:before="0" w:after="0" w:line="240" w:lineRule="auto"/>
              <w:jc w:val="left"/>
              <w:rPr>
                <w:sz w:val="20"/>
                <w:szCs w:val="20"/>
                <w:lang w:val="en-IN"/>
              </w:rPr>
            </w:pPr>
          </w:p>
        </w:tc>
      </w:tr>
      <w:tr w:rsidR="0075642B" w:rsidRPr="0075642B" w14:paraId="3CBA2EEE"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3A03DCD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(/):"Total Assets"</w:t>
            </w:r>
          </w:p>
        </w:tc>
        <w:tc>
          <w:tcPr>
            <w:tcW w:w="1183" w:type="pct"/>
            <w:vMerge/>
            <w:tcBorders>
              <w:top w:val="nil"/>
              <w:left w:val="single" w:sz="4" w:space="0" w:color="auto"/>
              <w:bottom w:val="single" w:sz="4" w:space="0" w:color="auto"/>
              <w:right w:val="single" w:sz="4" w:space="0" w:color="auto"/>
            </w:tcBorders>
            <w:vAlign w:val="center"/>
            <w:hideMark/>
          </w:tcPr>
          <w:p w14:paraId="413AEC75"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0C8E16A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w:t>
            </w:r>
            <w:proofErr w:type="gramStart"/>
            <w:r w:rsidRPr="0075642B">
              <w:rPr>
                <w:rFonts w:ascii="Arial" w:hAnsi="Arial" w:cs="Arial"/>
                <w:color w:val="000000"/>
                <w:lang w:val="en-IN"/>
              </w:rPr>
              <w:t>$  1</w:t>
            </w:r>
            <w:proofErr w:type="gramEnd"/>
            <w:r w:rsidRPr="0075642B">
              <w:rPr>
                <w:rFonts w:ascii="Arial" w:hAnsi="Arial" w:cs="Arial"/>
                <w:color w:val="000000"/>
                <w:lang w:val="en-IN"/>
              </w:rPr>
              <w:t xml:space="preserve">,22,070.00 </w:t>
            </w:r>
          </w:p>
        </w:tc>
        <w:tc>
          <w:tcPr>
            <w:tcW w:w="474" w:type="pct"/>
            <w:tcBorders>
              <w:top w:val="nil"/>
              <w:left w:val="nil"/>
              <w:bottom w:val="single" w:sz="4" w:space="0" w:color="auto"/>
              <w:right w:val="single" w:sz="4" w:space="0" w:color="auto"/>
            </w:tcBorders>
            <w:shd w:val="clear" w:color="000000" w:fill="FFFFFF"/>
            <w:noWrap/>
            <w:vAlign w:val="bottom"/>
            <w:hideMark/>
          </w:tcPr>
          <w:p w14:paraId="4206D4F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$1,06,618.00 </w:t>
            </w:r>
          </w:p>
        </w:tc>
        <w:tc>
          <w:tcPr>
            <w:tcW w:w="474" w:type="pct"/>
            <w:tcBorders>
              <w:top w:val="nil"/>
              <w:left w:val="nil"/>
              <w:bottom w:val="single" w:sz="4" w:space="0" w:color="auto"/>
              <w:right w:val="single" w:sz="4" w:space="0" w:color="auto"/>
            </w:tcBorders>
            <w:shd w:val="clear" w:color="000000" w:fill="FFFFFF"/>
            <w:noWrap/>
            <w:vAlign w:val="bottom"/>
            <w:hideMark/>
          </w:tcPr>
          <w:p w14:paraId="1B24BD3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82,338.00 </w:t>
            </w:r>
          </w:p>
        </w:tc>
        <w:tc>
          <w:tcPr>
            <w:tcW w:w="516" w:type="pct"/>
            <w:tcBorders>
              <w:top w:val="nil"/>
              <w:left w:val="nil"/>
              <w:bottom w:val="single" w:sz="4" w:space="0" w:color="auto"/>
              <w:right w:val="single" w:sz="4" w:space="0" w:color="auto"/>
            </w:tcBorders>
            <w:shd w:val="clear" w:color="000000" w:fill="FFFFFF"/>
            <w:noWrap/>
            <w:vAlign w:val="bottom"/>
            <w:hideMark/>
          </w:tcPr>
          <w:p w14:paraId="6B7C4E6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62,131.00 </w:t>
            </w:r>
          </w:p>
        </w:tc>
        <w:tc>
          <w:tcPr>
            <w:tcW w:w="474" w:type="pct"/>
            <w:tcBorders>
              <w:top w:val="nil"/>
              <w:left w:val="nil"/>
              <w:bottom w:val="single" w:sz="4" w:space="0" w:color="auto"/>
              <w:right w:val="single" w:sz="4" w:space="0" w:color="auto"/>
            </w:tcBorders>
            <w:shd w:val="clear" w:color="000000" w:fill="FFFFFF"/>
            <w:noWrap/>
            <w:vAlign w:val="bottom"/>
            <w:hideMark/>
          </w:tcPr>
          <w:p w14:paraId="1AD9D58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52,148.00 </w:t>
            </w:r>
          </w:p>
        </w:tc>
        <w:tc>
          <w:tcPr>
            <w:tcW w:w="61" w:type="pct"/>
            <w:vAlign w:val="center"/>
            <w:hideMark/>
          </w:tcPr>
          <w:p w14:paraId="31E1C11C" w14:textId="77777777" w:rsidR="0075642B" w:rsidRPr="0075642B" w:rsidRDefault="0075642B" w:rsidP="0075642B">
            <w:pPr>
              <w:spacing w:before="0" w:after="0" w:line="240" w:lineRule="auto"/>
              <w:jc w:val="left"/>
              <w:rPr>
                <w:sz w:val="20"/>
                <w:szCs w:val="20"/>
                <w:lang w:val="en-IN"/>
              </w:rPr>
            </w:pPr>
          </w:p>
        </w:tc>
      </w:tr>
      <w:tr w:rsidR="0075642B" w:rsidRPr="0075642B" w14:paraId="2BD4EB70"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DA73F8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Current Liabilities"</w:t>
            </w:r>
          </w:p>
        </w:tc>
        <w:tc>
          <w:tcPr>
            <w:tcW w:w="1183" w:type="pct"/>
            <w:vMerge/>
            <w:tcBorders>
              <w:top w:val="nil"/>
              <w:left w:val="single" w:sz="4" w:space="0" w:color="auto"/>
              <w:bottom w:val="single" w:sz="4" w:space="0" w:color="auto"/>
              <w:right w:val="single" w:sz="4" w:space="0" w:color="auto"/>
            </w:tcBorders>
            <w:vAlign w:val="center"/>
            <w:hideMark/>
          </w:tcPr>
          <w:p w14:paraId="243DA498"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6BE020A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28,821.00 </w:t>
            </w:r>
          </w:p>
        </w:tc>
        <w:tc>
          <w:tcPr>
            <w:tcW w:w="474" w:type="pct"/>
            <w:tcBorders>
              <w:top w:val="nil"/>
              <w:left w:val="nil"/>
              <w:bottom w:val="single" w:sz="4" w:space="0" w:color="auto"/>
              <w:right w:val="single" w:sz="4" w:space="0" w:color="auto"/>
            </w:tcBorders>
            <w:shd w:val="clear" w:color="000000" w:fill="FFFFFF"/>
            <w:noWrap/>
            <w:vAlign w:val="bottom"/>
            <w:hideMark/>
          </w:tcPr>
          <w:p w14:paraId="1052754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28,748.00 </w:t>
            </w:r>
          </w:p>
        </w:tc>
        <w:tc>
          <w:tcPr>
            <w:tcW w:w="474" w:type="pct"/>
            <w:tcBorders>
              <w:top w:val="nil"/>
              <w:left w:val="nil"/>
              <w:bottom w:val="single" w:sz="4" w:space="0" w:color="auto"/>
              <w:right w:val="single" w:sz="4" w:space="0" w:color="auto"/>
            </w:tcBorders>
            <w:shd w:val="clear" w:color="000000" w:fill="FFFFFF"/>
            <w:noWrap/>
            <w:vAlign w:val="bottom"/>
            <w:hideMark/>
          </w:tcPr>
          <w:p w14:paraId="466AC68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26,709.00 </w:t>
            </w:r>
          </w:p>
        </w:tc>
        <w:tc>
          <w:tcPr>
            <w:tcW w:w="516" w:type="pct"/>
            <w:tcBorders>
              <w:top w:val="nil"/>
              <w:left w:val="nil"/>
              <w:bottom w:val="single" w:sz="4" w:space="0" w:color="auto"/>
              <w:right w:val="single" w:sz="4" w:space="0" w:color="auto"/>
            </w:tcBorders>
            <w:shd w:val="clear" w:color="000000" w:fill="FFFFFF"/>
            <w:noWrap/>
            <w:vAlign w:val="bottom"/>
            <w:hideMark/>
          </w:tcPr>
          <w:p w14:paraId="094F857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19,705.00 </w:t>
            </w:r>
          </w:p>
        </w:tc>
        <w:tc>
          <w:tcPr>
            <w:tcW w:w="474" w:type="pct"/>
            <w:tcBorders>
              <w:top w:val="nil"/>
              <w:left w:val="nil"/>
              <w:bottom w:val="single" w:sz="4" w:space="0" w:color="auto"/>
              <w:right w:val="single" w:sz="4" w:space="0" w:color="auto"/>
            </w:tcBorders>
            <w:shd w:val="clear" w:color="000000" w:fill="FFFFFF"/>
            <w:noWrap/>
            <w:vAlign w:val="bottom"/>
            <w:hideMark/>
          </w:tcPr>
          <w:p w14:paraId="4AC0A85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14,248.00 </w:t>
            </w:r>
          </w:p>
        </w:tc>
        <w:tc>
          <w:tcPr>
            <w:tcW w:w="61" w:type="pct"/>
            <w:vAlign w:val="center"/>
            <w:hideMark/>
          </w:tcPr>
          <w:p w14:paraId="5C07A1BE" w14:textId="77777777" w:rsidR="0075642B" w:rsidRPr="0075642B" w:rsidRDefault="0075642B" w:rsidP="0075642B">
            <w:pPr>
              <w:spacing w:before="0" w:after="0" w:line="240" w:lineRule="auto"/>
              <w:jc w:val="left"/>
              <w:rPr>
                <w:sz w:val="20"/>
                <w:szCs w:val="20"/>
                <w:lang w:val="en-IN"/>
              </w:rPr>
            </w:pPr>
          </w:p>
        </w:tc>
      </w:tr>
      <w:tr w:rsidR="0075642B" w:rsidRPr="0075642B" w14:paraId="05A7FA8A"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258F35E"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"ROCE"</w:t>
            </w:r>
          </w:p>
        </w:tc>
        <w:tc>
          <w:tcPr>
            <w:tcW w:w="1183" w:type="pct"/>
            <w:vMerge/>
            <w:tcBorders>
              <w:top w:val="nil"/>
              <w:left w:val="single" w:sz="4" w:space="0" w:color="auto"/>
              <w:bottom w:val="single" w:sz="4" w:space="0" w:color="auto"/>
              <w:right w:val="single" w:sz="4" w:space="0" w:color="auto"/>
            </w:tcBorders>
            <w:vAlign w:val="center"/>
            <w:hideMark/>
          </w:tcPr>
          <w:p w14:paraId="497D2228"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60943D88"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9.64%</w:t>
            </w:r>
          </w:p>
        </w:tc>
        <w:tc>
          <w:tcPr>
            <w:tcW w:w="474" w:type="pct"/>
            <w:tcBorders>
              <w:top w:val="nil"/>
              <w:left w:val="nil"/>
              <w:bottom w:val="single" w:sz="4" w:space="0" w:color="auto"/>
              <w:right w:val="single" w:sz="4" w:space="0" w:color="auto"/>
            </w:tcBorders>
            <w:shd w:val="clear" w:color="000000" w:fill="FFFFFF"/>
            <w:noWrap/>
            <w:vAlign w:val="bottom"/>
            <w:hideMark/>
          </w:tcPr>
          <w:p w14:paraId="320984EA"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12.81%</w:t>
            </w:r>
          </w:p>
        </w:tc>
        <w:tc>
          <w:tcPr>
            <w:tcW w:w="474" w:type="pct"/>
            <w:tcBorders>
              <w:top w:val="nil"/>
              <w:left w:val="nil"/>
              <w:bottom w:val="single" w:sz="4" w:space="0" w:color="auto"/>
              <w:right w:val="single" w:sz="4" w:space="0" w:color="auto"/>
            </w:tcBorders>
            <w:shd w:val="clear" w:color="000000" w:fill="FFFFFF"/>
            <w:noWrap/>
            <w:vAlign w:val="bottom"/>
            <w:hideMark/>
          </w:tcPr>
          <w:p w14:paraId="323CDE2C"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24.66%</w:t>
            </w:r>
          </w:p>
        </w:tc>
        <w:tc>
          <w:tcPr>
            <w:tcW w:w="516" w:type="pct"/>
            <w:tcBorders>
              <w:top w:val="nil"/>
              <w:left w:val="nil"/>
              <w:bottom w:val="single" w:sz="4" w:space="0" w:color="auto"/>
              <w:right w:val="single" w:sz="4" w:space="0" w:color="auto"/>
            </w:tcBorders>
            <w:shd w:val="clear" w:color="000000" w:fill="FFFFFF"/>
            <w:noWrap/>
            <w:vAlign w:val="bottom"/>
            <w:hideMark/>
          </w:tcPr>
          <w:p w14:paraId="64241DAA"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14.95%</w:t>
            </w:r>
          </w:p>
        </w:tc>
        <w:tc>
          <w:tcPr>
            <w:tcW w:w="474" w:type="pct"/>
            <w:tcBorders>
              <w:top w:val="nil"/>
              <w:left w:val="nil"/>
              <w:bottom w:val="single" w:sz="4" w:space="0" w:color="auto"/>
              <w:right w:val="single" w:sz="4" w:space="0" w:color="auto"/>
            </w:tcBorders>
            <w:shd w:val="clear" w:color="000000" w:fill="FFFFFF"/>
            <w:noWrap/>
            <w:vAlign w:val="bottom"/>
            <w:hideMark/>
          </w:tcPr>
          <w:p w14:paraId="5893013C"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3.04%</w:t>
            </w:r>
          </w:p>
        </w:tc>
        <w:tc>
          <w:tcPr>
            <w:tcW w:w="61" w:type="pct"/>
            <w:vAlign w:val="center"/>
            <w:hideMark/>
          </w:tcPr>
          <w:p w14:paraId="1AA34C04" w14:textId="77777777" w:rsidR="0075642B" w:rsidRPr="0075642B" w:rsidRDefault="0075642B" w:rsidP="0075642B">
            <w:pPr>
              <w:spacing w:before="0" w:after="0" w:line="240" w:lineRule="auto"/>
              <w:jc w:val="left"/>
              <w:rPr>
                <w:sz w:val="20"/>
                <w:szCs w:val="20"/>
                <w:lang w:val="en-IN"/>
              </w:rPr>
            </w:pPr>
          </w:p>
        </w:tc>
      </w:tr>
      <w:tr w:rsidR="0075642B" w:rsidRPr="0075642B" w14:paraId="4BA657E6"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84345BE" w14:textId="77777777" w:rsidR="0075642B" w:rsidRPr="0075642B" w:rsidRDefault="0075642B" w:rsidP="0075642B">
            <w:pPr>
              <w:spacing w:before="0" w:after="0" w:line="240" w:lineRule="auto"/>
              <w:jc w:val="center"/>
              <w:rPr>
                <w:rFonts w:ascii="Arial" w:hAnsi="Arial" w:cs="Arial"/>
                <w:color w:val="000000"/>
                <w:lang w:val="en-IN"/>
              </w:rPr>
            </w:pPr>
            <w:r w:rsidRPr="0075642B">
              <w:rPr>
                <w:rFonts w:ascii="Arial" w:hAnsi="Arial" w:cs="Arial"/>
                <w:color w:val="000000"/>
                <w:lang w:val="en-IN"/>
              </w:rPr>
              <w:t> </w:t>
            </w:r>
          </w:p>
        </w:tc>
        <w:tc>
          <w:tcPr>
            <w:tcW w:w="61" w:type="pct"/>
            <w:vAlign w:val="center"/>
            <w:hideMark/>
          </w:tcPr>
          <w:p w14:paraId="67D75A0B" w14:textId="77777777" w:rsidR="0075642B" w:rsidRPr="0075642B" w:rsidRDefault="0075642B" w:rsidP="0075642B">
            <w:pPr>
              <w:spacing w:before="0" w:after="0" w:line="240" w:lineRule="auto"/>
              <w:jc w:val="left"/>
              <w:rPr>
                <w:sz w:val="20"/>
                <w:szCs w:val="20"/>
                <w:lang w:val="en-IN"/>
              </w:rPr>
            </w:pPr>
          </w:p>
        </w:tc>
      </w:tr>
      <w:tr w:rsidR="0075642B" w:rsidRPr="0075642B" w14:paraId="4E2C8BC9"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786EEB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"Operating Margin"</w:t>
            </w:r>
          </w:p>
        </w:tc>
        <w:tc>
          <w:tcPr>
            <w:tcW w:w="61" w:type="pct"/>
            <w:vAlign w:val="center"/>
            <w:hideMark/>
          </w:tcPr>
          <w:p w14:paraId="1E80CC5B" w14:textId="77777777" w:rsidR="0075642B" w:rsidRPr="0075642B" w:rsidRDefault="0075642B" w:rsidP="0075642B">
            <w:pPr>
              <w:spacing w:before="0" w:after="0" w:line="240" w:lineRule="auto"/>
              <w:jc w:val="left"/>
              <w:rPr>
                <w:sz w:val="20"/>
                <w:szCs w:val="20"/>
                <w:lang w:val="en-IN"/>
              </w:rPr>
            </w:pPr>
          </w:p>
        </w:tc>
      </w:tr>
      <w:tr w:rsidR="0075642B" w:rsidRPr="0075642B" w14:paraId="491B15FD"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DFB77D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5332049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40E7149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7C0E72E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515AAD4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1EB77BC1"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00135C9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01D45059" w14:textId="77777777" w:rsidR="0075642B" w:rsidRPr="0075642B" w:rsidRDefault="0075642B" w:rsidP="0075642B">
            <w:pPr>
              <w:spacing w:before="0" w:after="0" w:line="240" w:lineRule="auto"/>
              <w:jc w:val="left"/>
              <w:rPr>
                <w:sz w:val="20"/>
                <w:szCs w:val="20"/>
                <w:lang w:val="en-IN"/>
              </w:rPr>
            </w:pPr>
          </w:p>
        </w:tc>
      </w:tr>
      <w:tr w:rsidR="0075642B" w:rsidRPr="0075642B" w14:paraId="74AD31D1"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F27602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"Operating Income"</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149F6B6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 xml:space="preserve">"(Operating Income (or EBIT) / </w:t>
            </w:r>
            <w:proofErr w:type="gramStart"/>
            <w:r w:rsidRPr="0075642B">
              <w:rPr>
                <w:rFonts w:ascii="Arial" w:hAnsi="Arial" w:cs="Arial"/>
                <w:b/>
                <w:bCs/>
                <w:color w:val="000000"/>
                <w:lang w:val="en-IN"/>
              </w:rPr>
              <w:t>Sales)*</w:t>
            </w:r>
            <w:proofErr w:type="gramEnd"/>
            <w:r w:rsidRPr="0075642B">
              <w:rPr>
                <w:rFonts w:ascii="Arial" w:hAnsi="Arial" w:cs="Arial"/>
                <w:b/>
                <w:bCs/>
                <w:color w:val="000000"/>
                <w:lang w:val="en-IN"/>
              </w:rPr>
              <w:t>100"</w:t>
            </w:r>
          </w:p>
        </w:tc>
        <w:tc>
          <w:tcPr>
            <w:tcW w:w="516" w:type="pct"/>
            <w:tcBorders>
              <w:top w:val="nil"/>
              <w:left w:val="nil"/>
              <w:bottom w:val="single" w:sz="4" w:space="0" w:color="auto"/>
              <w:right w:val="single" w:sz="4" w:space="0" w:color="auto"/>
            </w:tcBorders>
            <w:shd w:val="clear" w:color="000000" w:fill="FFFFFF"/>
            <w:noWrap/>
            <w:vAlign w:val="bottom"/>
            <w:hideMark/>
          </w:tcPr>
          <w:p w14:paraId="42E7A4E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7,076.00 </w:t>
            </w:r>
          </w:p>
        </w:tc>
        <w:tc>
          <w:tcPr>
            <w:tcW w:w="474" w:type="pct"/>
            <w:tcBorders>
              <w:top w:val="nil"/>
              <w:left w:val="nil"/>
              <w:bottom w:val="single" w:sz="4" w:space="0" w:color="auto"/>
              <w:right w:val="single" w:sz="4" w:space="0" w:color="auto"/>
            </w:tcBorders>
            <w:shd w:val="clear" w:color="000000" w:fill="FFFFFF"/>
            <w:noWrap/>
            <w:vAlign w:val="bottom"/>
            <w:hideMark/>
          </w:tcPr>
          <w:p w14:paraId="4BAE405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8,891.00 </w:t>
            </w:r>
          </w:p>
        </w:tc>
        <w:tc>
          <w:tcPr>
            <w:tcW w:w="474" w:type="pct"/>
            <w:tcBorders>
              <w:top w:val="nil"/>
              <w:left w:val="nil"/>
              <w:bottom w:val="single" w:sz="4" w:space="0" w:color="auto"/>
              <w:right w:val="single" w:sz="4" w:space="0" w:color="auto"/>
            </w:tcBorders>
            <w:shd w:val="clear" w:color="000000" w:fill="FFFFFF"/>
            <w:noWrap/>
            <w:vAlign w:val="bottom"/>
            <w:hideMark/>
          </w:tcPr>
          <w:p w14:paraId="76E7C85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13,656.00 </w:t>
            </w:r>
          </w:p>
        </w:tc>
        <w:tc>
          <w:tcPr>
            <w:tcW w:w="516" w:type="pct"/>
            <w:tcBorders>
              <w:top w:val="nil"/>
              <w:left w:val="nil"/>
              <w:bottom w:val="single" w:sz="4" w:space="0" w:color="auto"/>
              <w:right w:val="single" w:sz="4" w:space="0" w:color="auto"/>
            </w:tcBorders>
            <w:shd w:val="clear" w:color="000000" w:fill="FFFFFF"/>
            <w:noWrap/>
            <w:vAlign w:val="bottom"/>
            <w:hideMark/>
          </w:tcPr>
          <w:p w14:paraId="34FE617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6,523.00 </w:t>
            </w:r>
          </w:p>
        </w:tc>
        <w:tc>
          <w:tcPr>
            <w:tcW w:w="474" w:type="pct"/>
            <w:tcBorders>
              <w:top w:val="nil"/>
              <w:left w:val="nil"/>
              <w:bottom w:val="single" w:sz="4" w:space="0" w:color="auto"/>
              <w:right w:val="single" w:sz="4" w:space="0" w:color="auto"/>
            </w:tcBorders>
            <w:shd w:val="clear" w:color="000000" w:fill="FFFFFF"/>
            <w:noWrap/>
            <w:vAlign w:val="bottom"/>
            <w:hideMark/>
          </w:tcPr>
          <w:p w14:paraId="1DECF4C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1,994.00 </w:t>
            </w:r>
          </w:p>
        </w:tc>
        <w:tc>
          <w:tcPr>
            <w:tcW w:w="61" w:type="pct"/>
            <w:vAlign w:val="center"/>
            <w:hideMark/>
          </w:tcPr>
          <w:p w14:paraId="26786AFD" w14:textId="77777777" w:rsidR="0075642B" w:rsidRPr="0075642B" w:rsidRDefault="0075642B" w:rsidP="0075642B">
            <w:pPr>
              <w:spacing w:before="0" w:after="0" w:line="240" w:lineRule="auto"/>
              <w:jc w:val="left"/>
              <w:rPr>
                <w:sz w:val="20"/>
                <w:szCs w:val="20"/>
                <w:lang w:val="en-IN"/>
              </w:rPr>
            </w:pPr>
          </w:p>
        </w:tc>
      </w:tr>
      <w:tr w:rsidR="0075642B" w:rsidRPr="0075642B" w14:paraId="5500ECF7"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335D0AD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Sales"</w:t>
            </w:r>
          </w:p>
        </w:tc>
        <w:tc>
          <w:tcPr>
            <w:tcW w:w="1183" w:type="pct"/>
            <w:vMerge/>
            <w:tcBorders>
              <w:top w:val="nil"/>
              <w:left w:val="single" w:sz="4" w:space="0" w:color="auto"/>
              <w:bottom w:val="single" w:sz="4" w:space="0" w:color="auto"/>
              <w:right w:val="single" w:sz="4" w:space="0" w:color="auto"/>
            </w:tcBorders>
            <w:vAlign w:val="center"/>
            <w:hideMark/>
          </w:tcPr>
          <w:p w14:paraId="137509B6"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0C02426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97,690.00 </w:t>
            </w:r>
          </w:p>
        </w:tc>
        <w:tc>
          <w:tcPr>
            <w:tcW w:w="474" w:type="pct"/>
            <w:tcBorders>
              <w:top w:val="nil"/>
              <w:left w:val="nil"/>
              <w:bottom w:val="single" w:sz="4" w:space="0" w:color="auto"/>
              <w:right w:val="single" w:sz="4" w:space="0" w:color="auto"/>
            </w:tcBorders>
            <w:shd w:val="clear" w:color="000000" w:fill="FFFFFF"/>
            <w:noWrap/>
            <w:vAlign w:val="bottom"/>
            <w:hideMark/>
          </w:tcPr>
          <w:p w14:paraId="4DBAB84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96,773.00 </w:t>
            </w:r>
          </w:p>
        </w:tc>
        <w:tc>
          <w:tcPr>
            <w:tcW w:w="474" w:type="pct"/>
            <w:tcBorders>
              <w:top w:val="nil"/>
              <w:left w:val="nil"/>
              <w:bottom w:val="single" w:sz="4" w:space="0" w:color="auto"/>
              <w:right w:val="single" w:sz="4" w:space="0" w:color="auto"/>
            </w:tcBorders>
            <w:shd w:val="clear" w:color="000000" w:fill="FFFFFF"/>
            <w:noWrap/>
            <w:vAlign w:val="bottom"/>
            <w:hideMark/>
          </w:tcPr>
          <w:p w14:paraId="0F3D02A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81,462.00 </w:t>
            </w:r>
          </w:p>
        </w:tc>
        <w:tc>
          <w:tcPr>
            <w:tcW w:w="516" w:type="pct"/>
            <w:tcBorders>
              <w:top w:val="nil"/>
              <w:left w:val="nil"/>
              <w:bottom w:val="single" w:sz="4" w:space="0" w:color="auto"/>
              <w:right w:val="single" w:sz="4" w:space="0" w:color="auto"/>
            </w:tcBorders>
            <w:shd w:val="clear" w:color="000000" w:fill="FFFFFF"/>
            <w:noWrap/>
            <w:vAlign w:val="bottom"/>
            <w:hideMark/>
          </w:tcPr>
          <w:p w14:paraId="329B2EE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53,823.00 </w:t>
            </w:r>
          </w:p>
        </w:tc>
        <w:tc>
          <w:tcPr>
            <w:tcW w:w="474" w:type="pct"/>
            <w:tcBorders>
              <w:top w:val="nil"/>
              <w:left w:val="nil"/>
              <w:bottom w:val="single" w:sz="4" w:space="0" w:color="auto"/>
              <w:right w:val="single" w:sz="4" w:space="0" w:color="auto"/>
            </w:tcBorders>
            <w:shd w:val="clear" w:color="000000" w:fill="FFFFFF"/>
            <w:noWrap/>
            <w:vAlign w:val="bottom"/>
            <w:hideMark/>
          </w:tcPr>
          <w:p w14:paraId="0663789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31,536.00 </w:t>
            </w:r>
          </w:p>
        </w:tc>
        <w:tc>
          <w:tcPr>
            <w:tcW w:w="61" w:type="pct"/>
            <w:vAlign w:val="center"/>
            <w:hideMark/>
          </w:tcPr>
          <w:p w14:paraId="3116DBF4" w14:textId="77777777" w:rsidR="0075642B" w:rsidRPr="0075642B" w:rsidRDefault="0075642B" w:rsidP="0075642B">
            <w:pPr>
              <w:spacing w:before="0" w:after="0" w:line="240" w:lineRule="auto"/>
              <w:jc w:val="left"/>
              <w:rPr>
                <w:sz w:val="20"/>
                <w:szCs w:val="20"/>
                <w:lang w:val="en-IN"/>
              </w:rPr>
            </w:pPr>
          </w:p>
        </w:tc>
      </w:tr>
      <w:tr w:rsidR="0075642B" w:rsidRPr="0075642B" w14:paraId="16DFCA5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F8FAAF5"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"Operating Margin"</w:t>
            </w:r>
          </w:p>
        </w:tc>
        <w:tc>
          <w:tcPr>
            <w:tcW w:w="1183" w:type="pct"/>
            <w:vMerge/>
            <w:tcBorders>
              <w:top w:val="nil"/>
              <w:left w:val="single" w:sz="4" w:space="0" w:color="auto"/>
              <w:bottom w:val="single" w:sz="4" w:space="0" w:color="auto"/>
              <w:right w:val="single" w:sz="4" w:space="0" w:color="auto"/>
            </w:tcBorders>
            <w:vAlign w:val="center"/>
            <w:hideMark/>
          </w:tcPr>
          <w:p w14:paraId="659E29B5"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7FB2E123"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7.24%</w:t>
            </w:r>
          </w:p>
        </w:tc>
        <w:tc>
          <w:tcPr>
            <w:tcW w:w="474" w:type="pct"/>
            <w:tcBorders>
              <w:top w:val="nil"/>
              <w:left w:val="nil"/>
              <w:bottom w:val="single" w:sz="4" w:space="0" w:color="auto"/>
              <w:right w:val="single" w:sz="4" w:space="0" w:color="auto"/>
            </w:tcBorders>
            <w:shd w:val="clear" w:color="000000" w:fill="FFFFFF"/>
            <w:noWrap/>
            <w:vAlign w:val="bottom"/>
            <w:hideMark/>
          </w:tcPr>
          <w:p w14:paraId="0C73FA7F"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9.19%</w:t>
            </w:r>
          </w:p>
        </w:tc>
        <w:tc>
          <w:tcPr>
            <w:tcW w:w="474" w:type="pct"/>
            <w:tcBorders>
              <w:top w:val="nil"/>
              <w:left w:val="nil"/>
              <w:bottom w:val="single" w:sz="4" w:space="0" w:color="auto"/>
              <w:right w:val="single" w:sz="4" w:space="0" w:color="auto"/>
            </w:tcBorders>
            <w:shd w:val="clear" w:color="000000" w:fill="FFFFFF"/>
            <w:noWrap/>
            <w:vAlign w:val="bottom"/>
            <w:hideMark/>
          </w:tcPr>
          <w:p w14:paraId="585D9A80"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16.76%</w:t>
            </w:r>
          </w:p>
        </w:tc>
        <w:tc>
          <w:tcPr>
            <w:tcW w:w="516" w:type="pct"/>
            <w:tcBorders>
              <w:top w:val="nil"/>
              <w:left w:val="nil"/>
              <w:bottom w:val="single" w:sz="4" w:space="0" w:color="auto"/>
              <w:right w:val="single" w:sz="4" w:space="0" w:color="auto"/>
            </w:tcBorders>
            <w:shd w:val="clear" w:color="000000" w:fill="FFFFFF"/>
            <w:noWrap/>
            <w:vAlign w:val="bottom"/>
            <w:hideMark/>
          </w:tcPr>
          <w:p w14:paraId="19FCFB77"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12.12%</w:t>
            </w:r>
          </w:p>
        </w:tc>
        <w:tc>
          <w:tcPr>
            <w:tcW w:w="474" w:type="pct"/>
            <w:tcBorders>
              <w:top w:val="nil"/>
              <w:left w:val="nil"/>
              <w:bottom w:val="single" w:sz="4" w:space="0" w:color="auto"/>
              <w:right w:val="single" w:sz="4" w:space="0" w:color="auto"/>
            </w:tcBorders>
            <w:shd w:val="clear" w:color="000000" w:fill="FFFFFF"/>
            <w:noWrap/>
            <w:vAlign w:val="bottom"/>
            <w:hideMark/>
          </w:tcPr>
          <w:p w14:paraId="1947CB57"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6.32%</w:t>
            </w:r>
          </w:p>
        </w:tc>
        <w:tc>
          <w:tcPr>
            <w:tcW w:w="61" w:type="pct"/>
            <w:vAlign w:val="center"/>
            <w:hideMark/>
          </w:tcPr>
          <w:p w14:paraId="72508A8A" w14:textId="77777777" w:rsidR="0075642B" w:rsidRPr="0075642B" w:rsidRDefault="0075642B" w:rsidP="0075642B">
            <w:pPr>
              <w:spacing w:before="0" w:after="0" w:line="240" w:lineRule="auto"/>
              <w:jc w:val="left"/>
              <w:rPr>
                <w:sz w:val="20"/>
                <w:szCs w:val="20"/>
                <w:lang w:val="en-IN"/>
              </w:rPr>
            </w:pPr>
          </w:p>
        </w:tc>
      </w:tr>
      <w:tr w:rsidR="0075642B" w:rsidRPr="0075642B" w14:paraId="489ED6F3"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2624F5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"Net Profit Margin"</w:t>
            </w:r>
          </w:p>
        </w:tc>
        <w:tc>
          <w:tcPr>
            <w:tcW w:w="61" w:type="pct"/>
            <w:vAlign w:val="center"/>
            <w:hideMark/>
          </w:tcPr>
          <w:p w14:paraId="308A6704" w14:textId="77777777" w:rsidR="0075642B" w:rsidRPr="0075642B" w:rsidRDefault="0075642B" w:rsidP="0075642B">
            <w:pPr>
              <w:spacing w:before="0" w:after="0" w:line="240" w:lineRule="auto"/>
              <w:jc w:val="left"/>
              <w:rPr>
                <w:sz w:val="20"/>
                <w:szCs w:val="20"/>
                <w:lang w:val="en-IN"/>
              </w:rPr>
            </w:pPr>
          </w:p>
        </w:tc>
      </w:tr>
      <w:tr w:rsidR="0075642B" w:rsidRPr="0075642B" w14:paraId="3607E073"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0A9019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3EAEEB7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578C7731"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42C584C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2E83379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7AF91E6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42115C1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2F06E18E" w14:textId="77777777" w:rsidR="0075642B" w:rsidRPr="0075642B" w:rsidRDefault="0075642B" w:rsidP="0075642B">
            <w:pPr>
              <w:spacing w:before="0" w:after="0" w:line="240" w:lineRule="auto"/>
              <w:jc w:val="left"/>
              <w:rPr>
                <w:sz w:val="20"/>
                <w:szCs w:val="20"/>
                <w:lang w:val="en-IN"/>
              </w:rPr>
            </w:pPr>
          </w:p>
        </w:tc>
      </w:tr>
      <w:tr w:rsidR="0075642B" w:rsidRPr="0075642B" w14:paraId="29A438BC"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73A69C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"Net Income"</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46F8D481"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 xml:space="preserve">"(Net Income / </w:t>
            </w:r>
            <w:proofErr w:type="gramStart"/>
            <w:r w:rsidRPr="0075642B">
              <w:rPr>
                <w:rFonts w:ascii="Arial" w:hAnsi="Arial" w:cs="Arial"/>
                <w:b/>
                <w:bCs/>
                <w:color w:val="000000"/>
                <w:lang w:val="en-IN"/>
              </w:rPr>
              <w:t>Sales)*</w:t>
            </w:r>
            <w:proofErr w:type="gramEnd"/>
            <w:r w:rsidRPr="0075642B">
              <w:rPr>
                <w:rFonts w:ascii="Arial" w:hAnsi="Arial" w:cs="Arial"/>
                <w:b/>
                <w:bCs/>
                <w:color w:val="000000"/>
                <w:lang w:val="en-IN"/>
              </w:rPr>
              <w:t>100"</w:t>
            </w:r>
          </w:p>
        </w:tc>
        <w:tc>
          <w:tcPr>
            <w:tcW w:w="516" w:type="pct"/>
            <w:tcBorders>
              <w:top w:val="nil"/>
              <w:left w:val="nil"/>
              <w:bottom w:val="single" w:sz="4" w:space="0" w:color="auto"/>
              <w:right w:val="single" w:sz="4" w:space="0" w:color="auto"/>
            </w:tcBorders>
            <w:shd w:val="clear" w:color="000000" w:fill="FFFFFF"/>
            <w:noWrap/>
            <w:vAlign w:val="bottom"/>
            <w:hideMark/>
          </w:tcPr>
          <w:p w14:paraId="52FD313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7,153.00 </w:t>
            </w:r>
          </w:p>
        </w:tc>
        <w:tc>
          <w:tcPr>
            <w:tcW w:w="474" w:type="pct"/>
            <w:tcBorders>
              <w:top w:val="nil"/>
              <w:left w:val="nil"/>
              <w:bottom w:val="single" w:sz="4" w:space="0" w:color="auto"/>
              <w:right w:val="single" w:sz="4" w:space="0" w:color="auto"/>
            </w:tcBorders>
            <w:shd w:val="clear" w:color="000000" w:fill="FFFFFF"/>
            <w:noWrap/>
            <w:vAlign w:val="bottom"/>
            <w:hideMark/>
          </w:tcPr>
          <w:p w14:paraId="565577A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14,974.00 </w:t>
            </w:r>
          </w:p>
        </w:tc>
        <w:tc>
          <w:tcPr>
            <w:tcW w:w="474" w:type="pct"/>
            <w:tcBorders>
              <w:top w:val="nil"/>
              <w:left w:val="nil"/>
              <w:bottom w:val="single" w:sz="4" w:space="0" w:color="auto"/>
              <w:right w:val="single" w:sz="4" w:space="0" w:color="auto"/>
            </w:tcBorders>
            <w:shd w:val="clear" w:color="000000" w:fill="FFFFFF"/>
            <w:noWrap/>
            <w:vAlign w:val="bottom"/>
            <w:hideMark/>
          </w:tcPr>
          <w:p w14:paraId="27DBFA6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12,587.00 </w:t>
            </w:r>
          </w:p>
        </w:tc>
        <w:tc>
          <w:tcPr>
            <w:tcW w:w="516" w:type="pct"/>
            <w:tcBorders>
              <w:top w:val="nil"/>
              <w:left w:val="nil"/>
              <w:bottom w:val="single" w:sz="4" w:space="0" w:color="auto"/>
              <w:right w:val="single" w:sz="4" w:space="0" w:color="auto"/>
            </w:tcBorders>
            <w:shd w:val="clear" w:color="000000" w:fill="FFFFFF"/>
            <w:noWrap/>
            <w:vAlign w:val="bottom"/>
            <w:hideMark/>
          </w:tcPr>
          <w:p w14:paraId="3D21951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5,644.00 </w:t>
            </w:r>
          </w:p>
        </w:tc>
        <w:tc>
          <w:tcPr>
            <w:tcW w:w="474" w:type="pct"/>
            <w:tcBorders>
              <w:top w:val="nil"/>
              <w:left w:val="nil"/>
              <w:bottom w:val="single" w:sz="4" w:space="0" w:color="auto"/>
              <w:right w:val="single" w:sz="4" w:space="0" w:color="auto"/>
            </w:tcBorders>
            <w:shd w:val="clear" w:color="000000" w:fill="FFFFFF"/>
            <w:noWrap/>
            <w:vAlign w:val="bottom"/>
            <w:hideMark/>
          </w:tcPr>
          <w:p w14:paraId="4C604C4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862.00 </w:t>
            </w:r>
          </w:p>
        </w:tc>
        <w:tc>
          <w:tcPr>
            <w:tcW w:w="61" w:type="pct"/>
            <w:vAlign w:val="center"/>
            <w:hideMark/>
          </w:tcPr>
          <w:p w14:paraId="255ADB85" w14:textId="77777777" w:rsidR="0075642B" w:rsidRPr="0075642B" w:rsidRDefault="0075642B" w:rsidP="0075642B">
            <w:pPr>
              <w:spacing w:before="0" w:after="0" w:line="240" w:lineRule="auto"/>
              <w:jc w:val="left"/>
              <w:rPr>
                <w:sz w:val="20"/>
                <w:szCs w:val="20"/>
                <w:lang w:val="en-IN"/>
              </w:rPr>
            </w:pPr>
          </w:p>
        </w:tc>
      </w:tr>
      <w:tr w:rsidR="0075642B" w:rsidRPr="0075642B" w14:paraId="3D3E5A44"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C215FB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Sales"</w:t>
            </w:r>
          </w:p>
        </w:tc>
        <w:tc>
          <w:tcPr>
            <w:tcW w:w="1183" w:type="pct"/>
            <w:vMerge/>
            <w:tcBorders>
              <w:top w:val="nil"/>
              <w:left w:val="single" w:sz="4" w:space="0" w:color="auto"/>
              <w:bottom w:val="single" w:sz="4" w:space="0" w:color="auto"/>
              <w:right w:val="single" w:sz="4" w:space="0" w:color="auto"/>
            </w:tcBorders>
            <w:vAlign w:val="center"/>
            <w:hideMark/>
          </w:tcPr>
          <w:p w14:paraId="476193AC"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056AFD1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97,690.00 </w:t>
            </w:r>
          </w:p>
        </w:tc>
        <w:tc>
          <w:tcPr>
            <w:tcW w:w="474" w:type="pct"/>
            <w:tcBorders>
              <w:top w:val="nil"/>
              <w:left w:val="nil"/>
              <w:bottom w:val="single" w:sz="4" w:space="0" w:color="auto"/>
              <w:right w:val="single" w:sz="4" w:space="0" w:color="auto"/>
            </w:tcBorders>
            <w:shd w:val="clear" w:color="000000" w:fill="FFFFFF"/>
            <w:noWrap/>
            <w:vAlign w:val="bottom"/>
            <w:hideMark/>
          </w:tcPr>
          <w:p w14:paraId="747AFE8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96,773.00 </w:t>
            </w:r>
          </w:p>
        </w:tc>
        <w:tc>
          <w:tcPr>
            <w:tcW w:w="474" w:type="pct"/>
            <w:tcBorders>
              <w:top w:val="nil"/>
              <w:left w:val="nil"/>
              <w:bottom w:val="single" w:sz="4" w:space="0" w:color="auto"/>
              <w:right w:val="single" w:sz="4" w:space="0" w:color="auto"/>
            </w:tcBorders>
            <w:shd w:val="clear" w:color="000000" w:fill="FFFFFF"/>
            <w:noWrap/>
            <w:vAlign w:val="bottom"/>
            <w:hideMark/>
          </w:tcPr>
          <w:p w14:paraId="2D83E90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81,462.00 </w:t>
            </w:r>
          </w:p>
        </w:tc>
        <w:tc>
          <w:tcPr>
            <w:tcW w:w="516" w:type="pct"/>
            <w:tcBorders>
              <w:top w:val="nil"/>
              <w:left w:val="nil"/>
              <w:bottom w:val="single" w:sz="4" w:space="0" w:color="auto"/>
              <w:right w:val="single" w:sz="4" w:space="0" w:color="auto"/>
            </w:tcBorders>
            <w:shd w:val="clear" w:color="000000" w:fill="FFFFFF"/>
            <w:noWrap/>
            <w:vAlign w:val="bottom"/>
            <w:hideMark/>
          </w:tcPr>
          <w:p w14:paraId="388F4C7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53,823.00 </w:t>
            </w:r>
          </w:p>
        </w:tc>
        <w:tc>
          <w:tcPr>
            <w:tcW w:w="474" w:type="pct"/>
            <w:tcBorders>
              <w:top w:val="nil"/>
              <w:left w:val="nil"/>
              <w:bottom w:val="single" w:sz="4" w:space="0" w:color="auto"/>
              <w:right w:val="single" w:sz="4" w:space="0" w:color="auto"/>
            </w:tcBorders>
            <w:shd w:val="clear" w:color="000000" w:fill="FFFFFF"/>
            <w:noWrap/>
            <w:vAlign w:val="bottom"/>
            <w:hideMark/>
          </w:tcPr>
          <w:p w14:paraId="6C746CE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31,536.00 </w:t>
            </w:r>
          </w:p>
        </w:tc>
        <w:tc>
          <w:tcPr>
            <w:tcW w:w="61" w:type="pct"/>
            <w:vAlign w:val="center"/>
            <w:hideMark/>
          </w:tcPr>
          <w:p w14:paraId="4982E2A9" w14:textId="77777777" w:rsidR="0075642B" w:rsidRPr="0075642B" w:rsidRDefault="0075642B" w:rsidP="0075642B">
            <w:pPr>
              <w:spacing w:before="0" w:after="0" w:line="240" w:lineRule="auto"/>
              <w:jc w:val="left"/>
              <w:rPr>
                <w:sz w:val="20"/>
                <w:szCs w:val="20"/>
                <w:lang w:val="en-IN"/>
              </w:rPr>
            </w:pPr>
          </w:p>
        </w:tc>
      </w:tr>
      <w:tr w:rsidR="0075642B" w:rsidRPr="0075642B" w14:paraId="031C751A"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C19B99F"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"Net Profit Margin"</w:t>
            </w:r>
          </w:p>
        </w:tc>
        <w:tc>
          <w:tcPr>
            <w:tcW w:w="1183" w:type="pct"/>
            <w:vMerge/>
            <w:tcBorders>
              <w:top w:val="nil"/>
              <w:left w:val="single" w:sz="4" w:space="0" w:color="auto"/>
              <w:bottom w:val="single" w:sz="4" w:space="0" w:color="auto"/>
              <w:right w:val="single" w:sz="4" w:space="0" w:color="auto"/>
            </w:tcBorders>
            <w:vAlign w:val="center"/>
            <w:hideMark/>
          </w:tcPr>
          <w:p w14:paraId="21F2D737"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7C371345"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7.32%</w:t>
            </w:r>
          </w:p>
        </w:tc>
        <w:tc>
          <w:tcPr>
            <w:tcW w:w="474" w:type="pct"/>
            <w:tcBorders>
              <w:top w:val="nil"/>
              <w:left w:val="nil"/>
              <w:bottom w:val="single" w:sz="4" w:space="0" w:color="auto"/>
              <w:right w:val="single" w:sz="4" w:space="0" w:color="auto"/>
            </w:tcBorders>
            <w:shd w:val="clear" w:color="000000" w:fill="FFFFFF"/>
            <w:noWrap/>
            <w:vAlign w:val="bottom"/>
            <w:hideMark/>
          </w:tcPr>
          <w:p w14:paraId="67EB4A68"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15.47%</w:t>
            </w:r>
          </w:p>
        </w:tc>
        <w:tc>
          <w:tcPr>
            <w:tcW w:w="474" w:type="pct"/>
            <w:tcBorders>
              <w:top w:val="nil"/>
              <w:left w:val="nil"/>
              <w:bottom w:val="single" w:sz="4" w:space="0" w:color="auto"/>
              <w:right w:val="single" w:sz="4" w:space="0" w:color="auto"/>
            </w:tcBorders>
            <w:shd w:val="clear" w:color="000000" w:fill="FFFFFF"/>
            <w:noWrap/>
            <w:vAlign w:val="bottom"/>
            <w:hideMark/>
          </w:tcPr>
          <w:p w14:paraId="489259DD"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15.45%</w:t>
            </w:r>
          </w:p>
        </w:tc>
        <w:tc>
          <w:tcPr>
            <w:tcW w:w="516" w:type="pct"/>
            <w:tcBorders>
              <w:top w:val="nil"/>
              <w:left w:val="nil"/>
              <w:bottom w:val="single" w:sz="4" w:space="0" w:color="auto"/>
              <w:right w:val="single" w:sz="4" w:space="0" w:color="auto"/>
            </w:tcBorders>
            <w:shd w:val="clear" w:color="000000" w:fill="FFFFFF"/>
            <w:noWrap/>
            <w:vAlign w:val="bottom"/>
            <w:hideMark/>
          </w:tcPr>
          <w:p w14:paraId="318E4435"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10.49%</w:t>
            </w:r>
          </w:p>
        </w:tc>
        <w:tc>
          <w:tcPr>
            <w:tcW w:w="474" w:type="pct"/>
            <w:tcBorders>
              <w:top w:val="nil"/>
              <w:left w:val="nil"/>
              <w:bottom w:val="single" w:sz="4" w:space="0" w:color="auto"/>
              <w:right w:val="single" w:sz="4" w:space="0" w:color="auto"/>
            </w:tcBorders>
            <w:shd w:val="clear" w:color="000000" w:fill="FFFFFF"/>
            <w:noWrap/>
            <w:vAlign w:val="bottom"/>
            <w:hideMark/>
          </w:tcPr>
          <w:p w14:paraId="39DB85B0"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2.73%</w:t>
            </w:r>
          </w:p>
        </w:tc>
        <w:tc>
          <w:tcPr>
            <w:tcW w:w="61" w:type="pct"/>
            <w:vAlign w:val="center"/>
            <w:hideMark/>
          </w:tcPr>
          <w:p w14:paraId="35A48203" w14:textId="77777777" w:rsidR="0075642B" w:rsidRPr="0075642B" w:rsidRDefault="0075642B" w:rsidP="0075642B">
            <w:pPr>
              <w:spacing w:before="0" w:after="0" w:line="240" w:lineRule="auto"/>
              <w:jc w:val="left"/>
              <w:rPr>
                <w:sz w:val="20"/>
                <w:szCs w:val="20"/>
                <w:lang w:val="en-IN"/>
              </w:rPr>
            </w:pPr>
          </w:p>
        </w:tc>
      </w:tr>
      <w:tr w:rsidR="0075642B" w:rsidRPr="0075642B" w14:paraId="7C5D54FD"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5C508E9" w14:textId="77777777" w:rsidR="0075642B" w:rsidRPr="0075642B" w:rsidRDefault="0075642B" w:rsidP="0075642B">
            <w:pPr>
              <w:spacing w:before="0" w:after="0" w:line="240" w:lineRule="auto"/>
              <w:jc w:val="center"/>
              <w:rPr>
                <w:rFonts w:ascii="Arial" w:hAnsi="Arial" w:cs="Arial"/>
                <w:color w:val="000000"/>
                <w:lang w:val="en-IN"/>
              </w:rPr>
            </w:pPr>
            <w:r w:rsidRPr="0075642B">
              <w:rPr>
                <w:rFonts w:ascii="Arial" w:hAnsi="Arial" w:cs="Arial"/>
                <w:color w:val="000000"/>
                <w:lang w:val="en-IN"/>
              </w:rPr>
              <w:t> </w:t>
            </w:r>
          </w:p>
        </w:tc>
        <w:tc>
          <w:tcPr>
            <w:tcW w:w="61" w:type="pct"/>
            <w:vAlign w:val="center"/>
            <w:hideMark/>
          </w:tcPr>
          <w:p w14:paraId="22F3C1C5" w14:textId="77777777" w:rsidR="0075642B" w:rsidRPr="0075642B" w:rsidRDefault="0075642B" w:rsidP="0075642B">
            <w:pPr>
              <w:spacing w:before="0" w:after="0" w:line="240" w:lineRule="auto"/>
              <w:jc w:val="left"/>
              <w:rPr>
                <w:sz w:val="20"/>
                <w:szCs w:val="20"/>
                <w:lang w:val="en-IN"/>
              </w:rPr>
            </w:pPr>
          </w:p>
        </w:tc>
      </w:tr>
      <w:tr w:rsidR="0075642B" w:rsidRPr="0075642B" w14:paraId="701D1EF9"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392777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lastRenderedPageBreak/>
              <w:t>"Gross Profit Margin"</w:t>
            </w:r>
          </w:p>
        </w:tc>
        <w:tc>
          <w:tcPr>
            <w:tcW w:w="61" w:type="pct"/>
            <w:vAlign w:val="center"/>
            <w:hideMark/>
          </w:tcPr>
          <w:p w14:paraId="44FE700B" w14:textId="77777777" w:rsidR="0075642B" w:rsidRPr="0075642B" w:rsidRDefault="0075642B" w:rsidP="0075642B">
            <w:pPr>
              <w:spacing w:before="0" w:after="0" w:line="240" w:lineRule="auto"/>
              <w:jc w:val="left"/>
              <w:rPr>
                <w:sz w:val="20"/>
                <w:szCs w:val="20"/>
                <w:lang w:val="en-IN"/>
              </w:rPr>
            </w:pPr>
          </w:p>
        </w:tc>
      </w:tr>
      <w:tr w:rsidR="0075642B" w:rsidRPr="0075642B" w14:paraId="22F1568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83A338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5BD70892"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6370BD0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7710964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5261E860"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111C88E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0EBD2AE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0A240570" w14:textId="77777777" w:rsidR="0075642B" w:rsidRPr="0075642B" w:rsidRDefault="0075642B" w:rsidP="0075642B">
            <w:pPr>
              <w:spacing w:before="0" w:after="0" w:line="240" w:lineRule="auto"/>
              <w:jc w:val="left"/>
              <w:rPr>
                <w:sz w:val="20"/>
                <w:szCs w:val="20"/>
                <w:lang w:val="en-IN"/>
              </w:rPr>
            </w:pPr>
          </w:p>
        </w:tc>
      </w:tr>
      <w:tr w:rsidR="0075642B" w:rsidRPr="0075642B" w14:paraId="1062C99D"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F9165C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"Gross Profit"</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27F9D92F"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 xml:space="preserve">"(Gross Profit / </w:t>
            </w:r>
            <w:proofErr w:type="gramStart"/>
            <w:r w:rsidRPr="0075642B">
              <w:rPr>
                <w:rFonts w:ascii="Arial" w:hAnsi="Arial" w:cs="Arial"/>
                <w:b/>
                <w:bCs/>
                <w:color w:val="000000"/>
                <w:lang w:val="en-IN"/>
              </w:rPr>
              <w:t>Sales)*</w:t>
            </w:r>
            <w:proofErr w:type="gramEnd"/>
            <w:r w:rsidRPr="0075642B">
              <w:rPr>
                <w:rFonts w:ascii="Arial" w:hAnsi="Arial" w:cs="Arial"/>
                <w:b/>
                <w:bCs/>
                <w:color w:val="000000"/>
                <w:lang w:val="en-IN"/>
              </w:rPr>
              <w:t>100"</w:t>
            </w:r>
          </w:p>
        </w:tc>
        <w:tc>
          <w:tcPr>
            <w:tcW w:w="516" w:type="pct"/>
            <w:tcBorders>
              <w:top w:val="nil"/>
              <w:left w:val="nil"/>
              <w:bottom w:val="single" w:sz="4" w:space="0" w:color="auto"/>
              <w:right w:val="single" w:sz="4" w:space="0" w:color="auto"/>
            </w:tcBorders>
            <w:shd w:val="clear" w:color="000000" w:fill="FFFFFF"/>
            <w:noWrap/>
            <w:vAlign w:val="bottom"/>
            <w:hideMark/>
          </w:tcPr>
          <w:p w14:paraId="370DB6C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17,450.00 </w:t>
            </w:r>
          </w:p>
        </w:tc>
        <w:tc>
          <w:tcPr>
            <w:tcW w:w="474" w:type="pct"/>
            <w:tcBorders>
              <w:top w:val="nil"/>
              <w:left w:val="nil"/>
              <w:bottom w:val="single" w:sz="4" w:space="0" w:color="auto"/>
              <w:right w:val="single" w:sz="4" w:space="0" w:color="auto"/>
            </w:tcBorders>
            <w:shd w:val="clear" w:color="000000" w:fill="FFFFFF"/>
            <w:noWrap/>
            <w:vAlign w:val="bottom"/>
            <w:hideMark/>
          </w:tcPr>
          <w:p w14:paraId="24295D1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17,660.00 </w:t>
            </w:r>
          </w:p>
        </w:tc>
        <w:tc>
          <w:tcPr>
            <w:tcW w:w="474" w:type="pct"/>
            <w:tcBorders>
              <w:top w:val="nil"/>
              <w:left w:val="nil"/>
              <w:bottom w:val="single" w:sz="4" w:space="0" w:color="auto"/>
              <w:right w:val="single" w:sz="4" w:space="0" w:color="auto"/>
            </w:tcBorders>
            <w:shd w:val="clear" w:color="000000" w:fill="FFFFFF"/>
            <w:noWrap/>
            <w:vAlign w:val="bottom"/>
            <w:hideMark/>
          </w:tcPr>
          <w:p w14:paraId="61E5E83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20,853.00 </w:t>
            </w:r>
          </w:p>
        </w:tc>
        <w:tc>
          <w:tcPr>
            <w:tcW w:w="516" w:type="pct"/>
            <w:tcBorders>
              <w:top w:val="nil"/>
              <w:left w:val="nil"/>
              <w:bottom w:val="single" w:sz="4" w:space="0" w:color="auto"/>
              <w:right w:val="single" w:sz="4" w:space="0" w:color="auto"/>
            </w:tcBorders>
            <w:shd w:val="clear" w:color="000000" w:fill="FFFFFF"/>
            <w:noWrap/>
            <w:vAlign w:val="bottom"/>
            <w:hideMark/>
          </w:tcPr>
          <w:p w14:paraId="4C0984A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13,606.00 </w:t>
            </w:r>
          </w:p>
        </w:tc>
        <w:tc>
          <w:tcPr>
            <w:tcW w:w="474" w:type="pct"/>
            <w:tcBorders>
              <w:top w:val="nil"/>
              <w:left w:val="nil"/>
              <w:bottom w:val="single" w:sz="4" w:space="0" w:color="auto"/>
              <w:right w:val="single" w:sz="4" w:space="0" w:color="auto"/>
            </w:tcBorders>
            <w:shd w:val="clear" w:color="000000" w:fill="FFFFFF"/>
            <w:noWrap/>
            <w:vAlign w:val="bottom"/>
            <w:hideMark/>
          </w:tcPr>
          <w:p w14:paraId="2432E73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6,630.00 </w:t>
            </w:r>
          </w:p>
        </w:tc>
        <w:tc>
          <w:tcPr>
            <w:tcW w:w="61" w:type="pct"/>
            <w:vAlign w:val="center"/>
            <w:hideMark/>
          </w:tcPr>
          <w:p w14:paraId="4FDDF091" w14:textId="77777777" w:rsidR="0075642B" w:rsidRPr="0075642B" w:rsidRDefault="0075642B" w:rsidP="0075642B">
            <w:pPr>
              <w:spacing w:before="0" w:after="0" w:line="240" w:lineRule="auto"/>
              <w:jc w:val="left"/>
              <w:rPr>
                <w:sz w:val="20"/>
                <w:szCs w:val="20"/>
                <w:lang w:val="en-IN"/>
              </w:rPr>
            </w:pPr>
          </w:p>
        </w:tc>
      </w:tr>
      <w:tr w:rsidR="0075642B" w:rsidRPr="0075642B" w14:paraId="1214F976"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38DD44D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Sales"</w:t>
            </w:r>
          </w:p>
        </w:tc>
        <w:tc>
          <w:tcPr>
            <w:tcW w:w="1183" w:type="pct"/>
            <w:vMerge/>
            <w:tcBorders>
              <w:top w:val="nil"/>
              <w:left w:val="single" w:sz="4" w:space="0" w:color="auto"/>
              <w:bottom w:val="single" w:sz="4" w:space="0" w:color="auto"/>
              <w:right w:val="single" w:sz="4" w:space="0" w:color="auto"/>
            </w:tcBorders>
            <w:vAlign w:val="center"/>
            <w:hideMark/>
          </w:tcPr>
          <w:p w14:paraId="1BA66D15"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5AB37FF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97,690.00 </w:t>
            </w:r>
          </w:p>
        </w:tc>
        <w:tc>
          <w:tcPr>
            <w:tcW w:w="474" w:type="pct"/>
            <w:tcBorders>
              <w:top w:val="nil"/>
              <w:left w:val="nil"/>
              <w:bottom w:val="single" w:sz="4" w:space="0" w:color="auto"/>
              <w:right w:val="single" w:sz="4" w:space="0" w:color="auto"/>
            </w:tcBorders>
            <w:shd w:val="clear" w:color="000000" w:fill="FFFFFF"/>
            <w:noWrap/>
            <w:vAlign w:val="bottom"/>
            <w:hideMark/>
          </w:tcPr>
          <w:p w14:paraId="33410F8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96,773.00 </w:t>
            </w:r>
          </w:p>
        </w:tc>
        <w:tc>
          <w:tcPr>
            <w:tcW w:w="474" w:type="pct"/>
            <w:tcBorders>
              <w:top w:val="nil"/>
              <w:left w:val="nil"/>
              <w:bottom w:val="single" w:sz="4" w:space="0" w:color="auto"/>
              <w:right w:val="single" w:sz="4" w:space="0" w:color="auto"/>
            </w:tcBorders>
            <w:shd w:val="clear" w:color="000000" w:fill="FFFFFF"/>
            <w:noWrap/>
            <w:vAlign w:val="bottom"/>
            <w:hideMark/>
          </w:tcPr>
          <w:p w14:paraId="61FE98D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81,462.00 </w:t>
            </w:r>
          </w:p>
        </w:tc>
        <w:tc>
          <w:tcPr>
            <w:tcW w:w="516" w:type="pct"/>
            <w:tcBorders>
              <w:top w:val="nil"/>
              <w:left w:val="nil"/>
              <w:bottom w:val="single" w:sz="4" w:space="0" w:color="auto"/>
              <w:right w:val="single" w:sz="4" w:space="0" w:color="auto"/>
            </w:tcBorders>
            <w:shd w:val="clear" w:color="000000" w:fill="FFFFFF"/>
            <w:noWrap/>
            <w:vAlign w:val="bottom"/>
            <w:hideMark/>
          </w:tcPr>
          <w:p w14:paraId="7F3A83A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53,823.00 </w:t>
            </w:r>
          </w:p>
        </w:tc>
        <w:tc>
          <w:tcPr>
            <w:tcW w:w="474" w:type="pct"/>
            <w:tcBorders>
              <w:top w:val="nil"/>
              <w:left w:val="nil"/>
              <w:bottom w:val="single" w:sz="4" w:space="0" w:color="auto"/>
              <w:right w:val="single" w:sz="4" w:space="0" w:color="auto"/>
            </w:tcBorders>
            <w:shd w:val="clear" w:color="000000" w:fill="FFFFFF"/>
            <w:noWrap/>
            <w:vAlign w:val="bottom"/>
            <w:hideMark/>
          </w:tcPr>
          <w:p w14:paraId="02D8F70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31,536.00 </w:t>
            </w:r>
          </w:p>
        </w:tc>
        <w:tc>
          <w:tcPr>
            <w:tcW w:w="61" w:type="pct"/>
            <w:vAlign w:val="center"/>
            <w:hideMark/>
          </w:tcPr>
          <w:p w14:paraId="5888C5B1" w14:textId="77777777" w:rsidR="0075642B" w:rsidRPr="0075642B" w:rsidRDefault="0075642B" w:rsidP="0075642B">
            <w:pPr>
              <w:spacing w:before="0" w:after="0" w:line="240" w:lineRule="auto"/>
              <w:jc w:val="left"/>
              <w:rPr>
                <w:sz w:val="20"/>
                <w:szCs w:val="20"/>
                <w:lang w:val="en-IN"/>
              </w:rPr>
            </w:pPr>
          </w:p>
        </w:tc>
      </w:tr>
      <w:tr w:rsidR="0075642B" w:rsidRPr="0075642B" w14:paraId="019335C6"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9B2EC66"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"Gross Profit Margin"</w:t>
            </w:r>
          </w:p>
        </w:tc>
        <w:tc>
          <w:tcPr>
            <w:tcW w:w="1183" w:type="pct"/>
            <w:vMerge/>
            <w:tcBorders>
              <w:top w:val="nil"/>
              <w:left w:val="single" w:sz="4" w:space="0" w:color="auto"/>
              <w:bottom w:val="single" w:sz="4" w:space="0" w:color="auto"/>
              <w:right w:val="single" w:sz="4" w:space="0" w:color="auto"/>
            </w:tcBorders>
            <w:vAlign w:val="center"/>
            <w:hideMark/>
          </w:tcPr>
          <w:p w14:paraId="7023D84C"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2A2DD43F"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17.86%</w:t>
            </w:r>
          </w:p>
        </w:tc>
        <w:tc>
          <w:tcPr>
            <w:tcW w:w="474" w:type="pct"/>
            <w:tcBorders>
              <w:top w:val="nil"/>
              <w:left w:val="nil"/>
              <w:bottom w:val="single" w:sz="4" w:space="0" w:color="auto"/>
              <w:right w:val="single" w:sz="4" w:space="0" w:color="auto"/>
            </w:tcBorders>
            <w:shd w:val="clear" w:color="000000" w:fill="FFFFFF"/>
            <w:noWrap/>
            <w:vAlign w:val="bottom"/>
            <w:hideMark/>
          </w:tcPr>
          <w:p w14:paraId="3B343972"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18.25%</w:t>
            </w:r>
          </w:p>
        </w:tc>
        <w:tc>
          <w:tcPr>
            <w:tcW w:w="474" w:type="pct"/>
            <w:tcBorders>
              <w:top w:val="nil"/>
              <w:left w:val="nil"/>
              <w:bottom w:val="single" w:sz="4" w:space="0" w:color="auto"/>
              <w:right w:val="single" w:sz="4" w:space="0" w:color="auto"/>
            </w:tcBorders>
            <w:shd w:val="clear" w:color="000000" w:fill="FFFFFF"/>
            <w:noWrap/>
            <w:vAlign w:val="bottom"/>
            <w:hideMark/>
          </w:tcPr>
          <w:p w14:paraId="5D8CABF8"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25.60%</w:t>
            </w:r>
          </w:p>
        </w:tc>
        <w:tc>
          <w:tcPr>
            <w:tcW w:w="516" w:type="pct"/>
            <w:tcBorders>
              <w:top w:val="nil"/>
              <w:left w:val="nil"/>
              <w:bottom w:val="single" w:sz="4" w:space="0" w:color="auto"/>
              <w:right w:val="single" w:sz="4" w:space="0" w:color="auto"/>
            </w:tcBorders>
            <w:shd w:val="clear" w:color="000000" w:fill="FFFFFF"/>
            <w:noWrap/>
            <w:vAlign w:val="bottom"/>
            <w:hideMark/>
          </w:tcPr>
          <w:p w14:paraId="78AE35F6"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25.28%</w:t>
            </w:r>
          </w:p>
        </w:tc>
        <w:tc>
          <w:tcPr>
            <w:tcW w:w="474" w:type="pct"/>
            <w:tcBorders>
              <w:top w:val="nil"/>
              <w:left w:val="nil"/>
              <w:bottom w:val="single" w:sz="4" w:space="0" w:color="auto"/>
              <w:right w:val="single" w:sz="4" w:space="0" w:color="auto"/>
            </w:tcBorders>
            <w:shd w:val="clear" w:color="000000" w:fill="FFFFFF"/>
            <w:noWrap/>
            <w:vAlign w:val="bottom"/>
            <w:hideMark/>
          </w:tcPr>
          <w:p w14:paraId="4E591BA6"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21.02%</w:t>
            </w:r>
          </w:p>
        </w:tc>
        <w:tc>
          <w:tcPr>
            <w:tcW w:w="61" w:type="pct"/>
            <w:vAlign w:val="center"/>
            <w:hideMark/>
          </w:tcPr>
          <w:p w14:paraId="4B867DC1" w14:textId="77777777" w:rsidR="0075642B" w:rsidRPr="0075642B" w:rsidRDefault="0075642B" w:rsidP="0075642B">
            <w:pPr>
              <w:spacing w:before="0" w:after="0" w:line="240" w:lineRule="auto"/>
              <w:jc w:val="left"/>
              <w:rPr>
                <w:sz w:val="20"/>
                <w:szCs w:val="20"/>
                <w:lang w:val="en-IN"/>
              </w:rPr>
            </w:pPr>
          </w:p>
        </w:tc>
      </w:tr>
      <w:tr w:rsidR="0075642B" w:rsidRPr="0075642B" w14:paraId="29F85452" w14:textId="77777777" w:rsidTr="0075642B">
        <w:trPr>
          <w:trHeight w:val="312"/>
          <w:jc w:val="center"/>
        </w:trPr>
        <w:tc>
          <w:tcPr>
            <w:tcW w:w="4939" w:type="pct"/>
            <w:gridSpan w:val="7"/>
            <w:vMerge w:val="restart"/>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0782AC8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"Liquidity ratio"</w:t>
            </w:r>
          </w:p>
        </w:tc>
        <w:tc>
          <w:tcPr>
            <w:tcW w:w="61" w:type="pct"/>
            <w:vAlign w:val="center"/>
            <w:hideMark/>
          </w:tcPr>
          <w:p w14:paraId="3B223281" w14:textId="77777777" w:rsidR="0075642B" w:rsidRPr="0075642B" w:rsidRDefault="0075642B" w:rsidP="0075642B">
            <w:pPr>
              <w:spacing w:before="0" w:after="0" w:line="240" w:lineRule="auto"/>
              <w:jc w:val="left"/>
              <w:rPr>
                <w:sz w:val="20"/>
                <w:szCs w:val="20"/>
                <w:lang w:val="en-IN"/>
              </w:rPr>
            </w:pPr>
          </w:p>
        </w:tc>
      </w:tr>
      <w:tr w:rsidR="0075642B" w:rsidRPr="0075642B" w14:paraId="6FE27832" w14:textId="77777777" w:rsidTr="0075642B">
        <w:trPr>
          <w:trHeight w:val="312"/>
          <w:jc w:val="center"/>
        </w:trPr>
        <w:tc>
          <w:tcPr>
            <w:tcW w:w="4939" w:type="pct"/>
            <w:gridSpan w:val="7"/>
            <w:vMerge/>
            <w:tcBorders>
              <w:top w:val="single" w:sz="4" w:space="0" w:color="auto"/>
              <w:left w:val="single" w:sz="4" w:space="0" w:color="auto"/>
              <w:bottom w:val="single" w:sz="4" w:space="0" w:color="auto"/>
              <w:right w:val="single" w:sz="4" w:space="0" w:color="auto"/>
            </w:tcBorders>
            <w:vAlign w:val="center"/>
            <w:hideMark/>
          </w:tcPr>
          <w:p w14:paraId="36C79AAB" w14:textId="77777777" w:rsidR="0075642B" w:rsidRPr="0075642B" w:rsidRDefault="0075642B" w:rsidP="0075642B">
            <w:pPr>
              <w:spacing w:before="0" w:after="0" w:line="240" w:lineRule="auto"/>
              <w:jc w:val="left"/>
              <w:rPr>
                <w:rFonts w:ascii="Arial" w:hAnsi="Arial" w:cs="Arial"/>
                <w:b/>
                <w:bCs/>
                <w:color w:val="000000"/>
                <w:lang w:val="en-IN"/>
              </w:rPr>
            </w:pPr>
          </w:p>
        </w:tc>
        <w:tc>
          <w:tcPr>
            <w:tcW w:w="61" w:type="pct"/>
            <w:tcBorders>
              <w:top w:val="nil"/>
              <w:left w:val="nil"/>
              <w:bottom w:val="nil"/>
              <w:right w:val="nil"/>
            </w:tcBorders>
            <w:noWrap/>
            <w:vAlign w:val="bottom"/>
            <w:hideMark/>
          </w:tcPr>
          <w:p w14:paraId="22855389" w14:textId="77777777" w:rsidR="0075642B" w:rsidRPr="0075642B" w:rsidRDefault="0075642B" w:rsidP="0075642B">
            <w:pPr>
              <w:spacing w:before="0" w:after="0" w:line="240" w:lineRule="auto"/>
              <w:jc w:val="center"/>
              <w:rPr>
                <w:rFonts w:ascii="Arial" w:hAnsi="Arial" w:cs="Arial"/>
                <w:b/>
                <w:bCs/>
                <w:color w:val="000000"/>
                <w:lang w:val="en-IN"/>
              </w:rPr>
            </w:pPr>
          </w:p>
        </w:tc>
      </w:tr>
      <w:tr w:rsidR="0075642B" w:rsidRPr="0075642B" w14:paraId="16A20A1D"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E2A16A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"Current ratio"</w:t>
            </w:r>
          </w:p>
        </w:tc>
        <w:tc>
          <w:tcPr>
            <w:tcW w:w="61" w:type="pct"/>
            <w:vAlign w:val="center"/>
            <w:hideMark/>
          </w:tcPr>
          <w:p w14:paraId="0FB46562" w14:textId="77777777" w:rsidR="0075642B" w:rsidRPr="0075642B" w:rsidRDefault="0075642B" w:rsidP="0075642B">
            <w:pPr>
              <w:spacing w:before="0" w:after="0" w:line="240" w:lineRule="auto"/>
              <w:jc w:val="left"/>
              <w:rPr>
                <w:sz w:val="20"/>
                <w:szCs w:val="20"/>
                <w:lang w:val="en-IN"/>
              </w:rPr>
            </w:pPr>
          </w:p>
        </w:tc>
      </w:tr>
      <w:tr w:rsidR="0075642B" w:rsidRPr="0075642B" w14:paraId="35DBA729"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16AC62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5840111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2CDD950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4BAADAF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749E78F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7E9369A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7849284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299AE1F8" w14:textId="77777777" w:rsidR="0075642B" w:rsidRPr="0075642B" w:rsidRDefault="0075642B" w:rsidP="0075642B">
            <w:pPr>
              <w:spacing w:before="0" w:after="0" w:line="240" w:lineRule="auto"/>
              <w:jc w:val="left"/>
              <w:rPr>
                <w:sz w:val="20"/>
                <w:szCs w:val="20"/>
                <w:lang w:val="en-IN"/>
              </w:rPr>
            </w:pPr>
          </w:p>
        </w:tc>
      </w:tr>
      <w:tr w:rsidR="0075642B" w:rsidRPr="0075642B" w14:paraId="7A23ADE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6A88EF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"Current assets"</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4B82312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"Current assets/Current liabilities"</w:t>
            </w:r>
          </w:p>
        </w:tc>
        <w:tc>
          <w:tcPr>
            <w:tcW w:w="516" w:type="pct"/>
            <w:tcBorders>
              <w:top w:val="nil"/>
              <w:left w:val="nil"/>
              <w:bottom w:val="single" w:sz="4" w:space="0" w:color="auto"/>
              <w:right w:val="single" w:sz="4" w:space="0" w:color="auto"/>
            </w:tcBorders>
            <w:shd w:val="clear" w:color="000000" w:fill="FFFFFF"/>
            <w:noWrap/>
            <w:vAlign w:val="bottom"/>
            <w:hideMark/>
          </w:tcPr>
          <w:p w14:paraId="5CA3F28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58,360.00 </w:t>
            </w:r>
          </w:p>
        </w:tc>
        <w:tc>
          <w:tcPr>
            <w:tcW w:w="474" w:type="pct"/>
            <w:tcBorders>
              <w:top w:val="nil"/>
              <w:left w:val="nil"/>
              <w:bottom w:val="single" w:sz="4" w:space="0" w:color="auto"/>
              <w:right w:val="single" w:sz="4" w:space="0" w:color="auto"/>
            </w:tcBorders>
            <w:shd w:val="clear" w:color="000000" w:fill="FFFFFF"/>
            <w:noWrap/>
            <w:vAlign w:val="bottom"/>
            <w:hideMark/>
          </w:tcPr>
          <w:p w14:paraId="189B93E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49,616.00 </w:t>
            </w:r>
          </w:p>
        </w:tc>
        <w:tc>
          <w:tcPr>
            <w:tcW w:w="474" w:type="pct"/>
            <w:tcBorders>
              <w:top w:val="nil"/>
              <w:left w:val="nil"/>
              <w:bottom w:val="single" w:sz="4" w:space="0" w:color="auto"/>
              <w:right w:val="single" w:sz="4" w:space="0" w:color="auto"/>
            </w:tcBorders>
            <w:shd w:val="clear" w:color="000000" w:fill="FFFFFF"/>
            <w:noWrap/>
            <w:vAlign w:val="bottom"/>
            <w:hideMark/>
          </w:tcPr>
          <w:p w14:paraId="23852E7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40,917.00 </w:t>
            </w:r>
          </w:p>
        </w:tc>
        <w:tc>
          <w:tcPr>
            <w:tcW w:w="516" w:type="pct"/>
            <w:tcBorders>
              <w:top w:val="nil"/>
              <w:left w:val="nil"/>
              <w:bottom w:val="single" w:sz="4" w:space="0" w:color="auto"/>
              <w:right w:val="single" w:sz="4" w:space="0" w:color="auto"/>
            </w:tcBorders>
            <w:shd w:val="clear" w:color="000000" w:fill="FFFFFF"/>
            <w:noWrap/>
            <w:vAlign w:val="bottom"/>
            <w:hideMark/>
          </w:tcPr>
          <w:p w14:paraId="4753DA7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27,100.00 </w:t>
            </w:r>
          </w:p>
        </w:tc>
        <w:tc>
          <w:tcPr>
            <w:tcW w:w="474" w:type="pct"/>
            <w:tcBorders>
              <w:top w:val="nil"/>
              <w:left w:val="nil"/>
              <w:bottom w:val="single" w:sz="4" w:space="0" w:color="auto"/>
              <w:right w:val="single" w:sz="4" w:space="0" w:color="auto"/>
            </w:tcBorders>
            <w:shd w:val="clear" w:color="000000" w:fill="FFFFFF"/>
            <w:noWrap/>
            <w:vAlign w:val="bottom"/>
            <w:hideMark/>
          </w:tcPr>
          <w:p w14:paraId="76F0647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26,717.00 </w:t>
            </w:r>
          </w:p>
        </w:tc>
        <w:tc>
          <w:tcPr>
            <w:tcW w:w="61" w:type="pct"/>
            <w:vAlign w:val="center"/>
            <w:hideMark/>
          </w:tcPr>
          <w:p w14:paraId="7F4AF847" w14:textId="77777777" w:rsidR="0075642B" w:rsidRPr="0075642B" w:rsidRDefault="0075642B" w:rsidP="0075642B">
            <w:pPr>
              <w:spacing w:before="0" w:after="0" w:line="240" w:lineRule="auto"/>
              <w:jc w:val="left"/>
              <w:rPr>
                <w:sz w:val="20"/>
                <w:szCs w:val="20"/>
                <w:lang w:val="en-IN"/>
              </w:rPr>
            </w:pPr>
          </w:p>
        </w:tc>
      </w:tr>
      <w:tr w:rsidR="0075642B" w:rsidRPr="0075642B" w14:paraId="716DB145"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5D38FB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Current Liabilities"</w:t>
            </w:r>
          </w:p>
        </w:tc>
        <w:tc>
          <w:tcPr>
            <w:tcW w:w="1183" w:type="pct"/>
            <w:vMerge/>
            <w:tcBorders>
              <w:top w:val="nil"/>
              <w:left w:val="single" w:sz="4" w:space="0" w:color="auto"/>
              <w:bottom w:val="single" w:sz="4" w:space="0" w:color="auto"/>
              <w:right w:val="single" w:sz="4" w:space="0" w:color="auto"/>
            </w:tcBorders>
            <w:vAlign w:val="center"/>
            <w:hideMark/>
          </w:tcPr>
          <w:p w14:paraId="603C8797"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0D2A833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28,821.00 </w:t>
            </w:r>
          </w:p>
        </w:tc>
        <w:tc>
          <w:tcPr>
            <w:tcW w:w="474" w:type="pct"/>
            <w:tcBorders>
              <w:top w:val="nil"/>
              <w:left w:val="nil"/>
              <w:bottom w:val="single" w:sz="4" w:space="0" w:color="auto"/>
              <w:right w:val="single" w:sz="4" w:space="0" w:color="auto"/>
            </w:tcBorders>
            <w:shd w:val="clear" w:color="000000" w:fill="FFFFFF"/>
            <w:noWrap/>
            <w:vAlign w:val="bottom"/>
            <w:hideMark/>
          </w:tcPr>
          <w:p w14:paraId="32F8F39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28,748.00 </w:t>
            </w:r>
          </w:p>
        </w:tc>
        <w:tc>
          <w:tcPr>
            <w:tcW w:w="474" w:type="pct"/>
            <w:tcBorders>
              <w:top w:val="nil"/>
              <w:left w:val="nil"/>
              <w:bottom w:val="single" w:sz="4" w:space="0" w:color="auto"/>
              <w:right w:val="single" w:sz="4" w:space="0" w:color="auto"/>
            </w:tcBorders>
            <w:shd w:val="clear" w:color="000000" w:fill="FFFFFF"/>
            <w:noWrap/>
            <w:vAlign w:val="bottom"/>
            <w:hideMark/>
          </w:tcPr>
          <w:p w14:paraId="13A6493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26,709.00 </w:t>
            </w:r>
          </w:p>
        </w:tc>
        <w:tc>
          <w:tcPr>
            <w:tcW w:w="516" w:type="pct"/>
            <w:tcBorders>
              <w:top w:val="nil"/>
              <w:left w:val="nil"/>
              <w:bottom w:val="single" w:sz="4" w:space="0" w:color="auto"/>
              <w:right w:val="single" w:sz="4" w:space="0" w:color="auto"/>
            </w:tcBorders>
            <w:shd w:val="clear" w:color="000000" w:fill="FFFFFF"/>
            <w:noWrap/>
            <w:vAlign w:val="bottom"/>
            <w:hideMark/>
          </w:tcPr>
          <w:p w14:paraId="6D54916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19,705.00 </w:t>
            </w:r>
          </w:p>
        </w:tc>
        <w:tc>
          <w:tcPr>
            <w:tcW w:w="474" w:type="pct"/>
            <w:tcBorders>
              <w:top w:val="nil"/>
              <w:left w:val="nil"/>
              <w:bottom w:val="single" w:sz="4" w:space="0" w:color="auto"/>
              <w:right w:val="single" w:sz="4" w:space="0" w:color="auto"/>
            </w:tcBorders>
            <w:shd w:val="clear" w:color="000000" w:fill="FFFFFF"/>
            <w:noWrap/>
            <w:vAlign w:val="bottom"/>
            <w:hideMark/>
          </w:tcPr>
          <w:p w14:paraId="605A4FD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14,248.00 </w:t>
            </w:r>
          </w:p>
        </w:tc>
        <w:tc>
          <w:tcPr>
            <w:tcW w:w="61" w:type="pct"/>
            <w:vAlign w:val="center"/>
            <w:hideMark/>
          </w:tcPr>
          <w:p w14:paraId="03B5D309" w14:textId="77777777" w:rsidR="0075642B" w:rsidRPr="0075642B" w:rsidRDefault="0075642B" w:rsidP="0075642B">
            <w:pPr>
              <w:spacing w:before="0" w:after="0" w:line="240" w:lineRule="auto"/>
              <w:jc w:val="left"/>
              <w:rPr>
                <w:sz w:val="20"/>
                <w:szCs w:val="20"/>
                <w:lang w:val="en-IN"/>
              </w:rPr>
            </w:pPr>
          </w:p>
        </w:tc>
      </w:tr>
      <w:tr w:rsidR="0075642B" w:rsidRPr="0075642B" w14:paraId="617A1874"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8369C54"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"Current ratio"</w:t>
            </w:r>
          </w:p>
        </w:tc>
        <w:tc>
          <w:tcPr>
            <w:tcW w:w="1183" w:type="pct"/>
            <w:vMerge/>
            <w:tcBorders>
              <w:top w:val="nil"/>
              <w:left w:val="single" w:sz="4" w:space="0" w:color="auto"/>
              <w:bottom w:val="single" w:sz="4" w:space="0" w:color="auto"/>
              <w:right w:val="single" w:sz="4" w:space="0" w:color="auto"/>
            </w:tcBorders>
            <w:vAlign w:val="center"/>
            <w:hideMark/>
          </w:tcPr>
          <w:p w14:paraId="02180A87"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6F587F82"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2.02</w:t>
            </w:r>
          </w:p>
        </w:tc>
        <w:tc>
          <w:tcPr>
            <w:tcW w:w="474" w:type="pct"/>
            <w:tcBorders>
              <w:top w:val="nil"/>
              <w:left w:val="nil"/>
              <w:bottom w:val="single" w:sz="4" w:space="0" w:color="auto"/>
              <w:right w:val="single" w:sz="4" w:space="0" w:color="auto"/>
            </w:tcBorders>
            <w:shd w:val="clear" w:color="000000" w:fill="FFFFFF"/>
            <w:noWrap/>
            <w:vAlign w:val="bottom"/>
            <w:hideMark/>
          </w:tcPr>
          <w:p w14:paraId="31208D59"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1.73</w:t>
            </w:r>
          </w:p>
        </w:tc>
        <w:tc>
          <w:tcPr>
            <w:tcW w:w="474" w:type="pct"/>
            <w:tcBorders>
              <w:top w:val="nil"/>
              <w:left w:val="nil"/>
              <w:bottom w:val="single" w:sz="4" w:space="0" w:color="auto"/>
              <w:right w:val="single" w:sz="4" w:space="0" w:color="auto"/>
            </w:tcBorders>
            <w:shd w:val="clear" w:color="000000" w:fill="FFFFFF"/>
            <w:noWrap/>
            <w:vAlign w:val="bottom"/>
            <w:hideMark/>
          </w:tcPr>
          <w:p w14:paraId="48DB681F"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1.53</w:t>
            </w:r>
          </w:p>
        </w:tc>
        <w:tc>
          <w:tcPr>
            <w:tcW w:w="516" w:type="pct"/>
            <w:tcBorders>
              <w:top w:val="nil"/>
              <w:left w:val="nil"/>
              <w:bottom w:val="single" w:sz="4" w:space="0" w:color="auto"/>
              <w:right w:val="single" w:sz="4" w:space="0" w:color="auto"/>
            </w:tcBorders>
            <w:shd w:val="clear" w:color="000000" w:fill="FFFFFF"/>
            <w:noWrap/>
            <w:vAlign w:val="bottom"/>
            <w:hideMark/>
          </w:tcPr>
          <w:p w14:paraId="24365078"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1.38</w:t>
            </w:r>
          </w:p>
        </w:tc>
        <w:tc>
          <w:tcPr>
            <w:tcW w:w="474" w:type="pct"/>
            <w:tcBorders>
              <w:top w:val="nil"/>
              <w:left w:val="nil"/>
              <w:bottom w:val="single" w:sz="4" w:space="0" w:color="auto"/>
              <w:right w:val="single" w:sz="4" w:space="0" w:color="auto"/>
            </w:tcBorders>
            <w:shd w:val="clear" w:color="000000" w:fill="FFFFFF"/>
            <w:noWrap/>
            <w:vAlign w:val="bottom"/>
            <w:hideMark/>
          </w:tcPr>
          <w:p w14:paraId="52B9D1F3"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1.88</w:t>
            </w:r>
          </w:p>
        </w:tc>
        <w:tc>
          <w:tcPr>
            <w:tcW w:w="61" w:type="pct"/>
            <w:vAlign w:val="center"/>
            <w:hideMark/>
          </w:tcPr>
          <w:p w14:paraId="3DB8469F" w14:textId="77777777" w:rsidR="0075642B" w:rsidRPr="0075642B" w:rsidRDefault="0075642B" w:rsidP="0075642B">
            <w:pPr>
              <w:spacing w:before="0" w:after="0" w:line="240" w:lineRule="auto"/>
              <w:jc w:val="left"/>
              <w:rPr>
                <w:sz w:val="20"/>
                <w:szCs w:val="20"/>
                <w:lang w:val="en-IN"/>
              </w:rPr>
            </w:pPr>
          </w:p>
        </w:tc>
      </w:tr>
      <w:tr w:rsidR="0075642B" w:rsidRPr="0075642B" w14:paraId="1088ED18"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408FA0D" w14:textId="77777777" w:rsidR="0075642B" w:rsidRPr="0075642B" w:rsidRDefault="0075642B" w:rsidP="0075642B">
            <w:pPr>
              <w:spacing w:before="0" w:after="0" w:line="240" w:lineRule="auto"/>
              <w:jc w:val="center"/>
              <w:rPr>
                <w:rFonts w:ascii="Arial" w:hAnsi="Arial" w:cs="Arial"/>
                <w:color w:val="000000"/>
                <w:lang w:val="en-IN"/>
              </w:rPr>
            </w:pPr>
            <w:r w:rsidRPr="0075642B">
              <w:rPr>
                <w:rFonts w:ascii="Arial" w:hAnsi="Arial" w:cs="Arial"/>
                <w:color w:val="000000"/>
                <w:lang w:val="en-IN"/>
              </w:rPr>
              <w:t> </w:t>
            </w:r>
          </w:p>
        </w:tc>
        <w:tc>
          <w:tcPr>
            <w:tcW w:w="61" w:type="pct"/>
            <w:vAlign w:val="center"/>
            <w:hideMark/>
          </w:tcPr>
          <w:p w14:paraId="076D8B62" w14:textId="77777777" w:rsidR="0075642B" w:rsidRPr="0075642B" w:rsidRDefault="0075642B" w:rsidP="0075642B">
            <w:pPr>
              <w:spacing w:before="0" w:after="0" w:line="240" w:lineRule="auto"/>
              <w:jc w:val="left"/>
              <w:rPr>
                <w:sz w:val="20"/>
                <w:szCs w:val="20"/>
                <w:lang w:val="en-IN"/>
              </w:rPr>
            </w:pPr>
          </w:p>
        </w:tc>
      </w:tr>
      <w:tr w:rsidR="0075642B" w:rsidRPr="0075642B" w14:paraId="44C753CC"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FFC77ED"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"Quick Ratio "</w:t>
            </w:r>
          </w:p>
        </w:tc>
        <w:tc>
          <w:tcPr>
            <w:tcW w:w="61" w:type="pct"/>
            <w:vAlign w:val="center"/>
            <w:hideMark/>
          </w:tcPr>
          <w:p w14:paraId="4391A081" w14:textId="77777777" w:rsidR="0075642B" w:rsidRPr="0075642B" w:rsidRDefault="0075642B" w:rsidP="0075642B">
            <w:pPr>
              <w:spacing w:before="0" w:after="0" w:line="240" w:lineRule="auto"/>
              <w:jc w:val="left"/>
              <w:rPr>
                <w:sz w:val="20"/>
                <w:szCs w:val="20"/>
                <w:lang w:val="en-IN"/>
              </w:rPr>
            </w:pPr>
          </w:p>
        </w:tc>
      </w:tr>
      <w:tr w:rsidR="0075642B" w:rsidRPr="0075642B" w14:paraId="102B392E"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DE6984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026C5CC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122FB2E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4AEF30BF"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552DDE4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5BB57A9F"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5C2E1960"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6F905C20" w14:textId="77777777" w:rsidR="0075642B" w:rsidRPr="0075642B" w:rsidRDefault="0075642B" w:rsidP="0075642B">
            <w:pPr>
              <w:spacing w:before="0" w:after="0" w:line="240" w:lineRule="auto"/>
              <w:jc w:val="left"/>
              <w:rPr>
                <w:sz w:val="20"/>
                <w:szCs w:val="20"/>
                <w:lang w:val="en-IN"/>
              </w:rPr>
            </w:pPr>
          </w:p>
        </w:tc>
      </w:tr>
      <w:tr w:rsidR="0075642B" w:rsidRPr="0075642B" w14:paraId="10910AC1"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53D4F6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"Current assets"</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7C1D383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 xml:space="preserve">"(Current </w:t>
            </w:r>
            <w:proofErr w:type="gramStart"/>
            <w:r w:rsidRPr="0075642B">
              <w:rPr>
                <w:rFonts w:ascii="Arial" w:hAnsi="Arial" w:cs="Arial"/>
                <w:b/>
                <w:bCs/>
                <w:color w:val="000000"/>
                <w:lang w:val="en-IN"/>
              </w:rPr>
              <w:t>assets</w:t>
            </w:r>
            <w:proofErr w:type="gramEnd"/>
            <w:r w:rsidRPr="0075642B">
              <w:rPr>
                <w:rFonts w:ascii="Arial" w:hAnsi="Arial" w:cs="Arial"/>
                <w:b/>
                <w:bCs/>
                <w:color w:val="000000"/>
                <w:lang w:val="en-IN"/>
              </w:rPr>
              <w:t>-Inventories)/Current liabilities"</w:t>
            </w:r>
          </w:p>
        </w:tc>
        <w:tc>
          <w:tcPr>
            <w:tcW w:w="516" w:type="pct"/>
            <w:tcBorders>
              <w:top w:val="nil"/>
              <w:left w:val="nil"/>
              <w:bottom w:val="single" w:sz="4" w:space="0" w:color="auto"/>
              <w:right w:val="single" w:sz="4" w:space="0" w:color="auto"/>
            </w:tcBorders>
            <w:shd w:val="clear" w:color="000000" w:fill="FFFFFF"/>
            <w:noWrap/>
            <w:vAlign w:val="bottom"/>
            <w:hideMark/>
          </w:tcPr>
          <w:p w14:paraId="0803004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58,360.00 </w:t>
            </w:r>
          </w:p>
        </w:tc>
        <w:tc>
          <w:tcPr>
            <w:tcW w:w="474" w:type="pct"/>
            <w:tcBorders>
              <w:top w:val="nil"/>
              <w:left w:val="nil"/>
              <w:bottom w:val="single" w:sz="4" w:space="0" w:color="auto"/>
              <w:right w:val="single" w:sz="4" w:space="0" w:color="auto"/>
            </w:tcBorders>
            <w:shd w:val="clear" w:color="000000" w:fill="FFFFFF"/>
            <w:noWrap/>
            <w:vAlign w:val="bottom"/>
            <w:hideMark/>
          </w:tcPr>
          <w:p w14:paraId="762EA3B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49,616.00 </w:t>
            </w:r>
          </w:p>
        </w:tc>
        <w:tc>
          <w:tcPr>
            <w:tcW w:w="474" w:type="pct"/>
            <w:tcBorders>
              <w:top w:val="nil"/>
              <w:left w:val="nil"/>
              <w:bottom w:val="single" w:sz="4" w:space="0" w:color="auto"/>
              <w:right w:val="single" w:sz="4" w:space="0" w:color="auto"/>
            </w:tcBorders>
            <w:shd w:val="clear" w:color="000000" w:fill="FFFFFF"/>
            <w:noWrap/>
            <w:vAlign w:val="bottom"/>
            <w:hideMark/>
          </w:tcPr>
          <w:p w14:paraId="764ABFD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40,917.00 </w:t>
            </w:r>
          </w:p>
        </w:tc>
        <w:tc>
          <w:tcPr>
            <w:tcW w:w="516" w:type="pct"/>
            <w:tcBorders>
              <w:top w:val="nil"/>
              <w:left w:val="nil"/>
              <w:bottom w:val="single" w:sz="4" w:space="0" w:color="auto"/>
              <w:right w:val="single" w:sz="4" w:space="0" w:color="auto"/>
            </w:tcBorders>
            <w:shd w:val="clear" w:color="000000" w:fill="FFFFFF"/>
            <w:noWrap/>
            <w:vAlign w:val="bottom"/>
            <w:hideMark/>
          </w:tcPr>
          <w:p w14:paraId="2CADEBA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27,100.00 </w:t>
            </w:r>
          </w:p>
        </w:tc>
        <w:tc>
          <w:tcPr>
            <w:tcW w:w="474" w:type="pct"/>
            <w:tcBorders>
              <w:top w:val="nil"/>
              <w:left w:val="nil"/>
              <w:bottom w:val="single" w:sz="4" w:space="0" w:color="auto"/>
              <w:right w:val="single" w:sz="4" w:space="0" w:color="auto"/>
            </w:tcBorders>
            <w:shd w:val="clear" w:color="000000" w:fill="FFFFFF"/>
            <w:noWrap/>
            <w:vAlign w:val="bottom"/>
            <w:hideMark/>
          </w:tcPr>
          <w:p w14:paraId="2737269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26,717.00 </w:t>
            </w:r>
          </w:p>
        </w:tc>
        <w:tc>
          <w:tcPr>
            <w:tcW w:w="61" w:type="pct"/>
            <w:vAlign w:val="center"/>
            <w:hideMark/>
          </w:tcPr>
          <w:p w14:paraId="09D02110" w14:textId="77777777" w:rsidR="0075642B" w:rsidRPr="0075642B" w:rsidRDefault="0075642B" w:rsidP="0075642B">
            <w:pPr>
              <w:spacing w:before="0" w:after="0" w:line="240" w:lineRule="auto"/>
              <w:jc w:val="left"/>
              <w:rPr>
                <w:sz w:val="20"/>
                <w:szCs w:val="20"/>
                <w:lang w:val="en-IN"/>
              </w:rPr>
            </w:pPr>
          </w:p>
        </w:tc>
      </w:tr>
      <w:tr w:rsidR="0075642B" w:rsidRPr="0075642B" w14:paraId="7EA7259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7563A7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Inventories"</w:t>
            </w:r>
          </w:p>
        </w:tc>
        <w:tc>
          <w:tcPr>
            <w:tcW w:w="1183" w:type="pct"/>
            <w:vMerge/>
            <w:tcBorders>
              <w:top w:val="nil"/>
              <w:left w:val="single" w:sz="4" w:space="0" w:color="auto"/>
              <w:bottom w:val="single" w:sz="4" w:space="0" w:color="auto"/>
              <w:right w:val="single" w:sz="4" w:space="0" w:color="auto"/>
            </w:tcBorders>
            <w:vAlign w:val="center"/>
            <w:hideMark/>
          </w:tcPr>
          <w:p w14:paraId="320DFBD0"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5D823BD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12,017.00 </w:t>
            </w:r>
          </w:p>
        </w:tc>
        <w:tc>
          <w:tcPr>
            <w:tcW w:w="474" w:type="pct"/>
            <w:tcBorders>
              <w:top w:val="nil"/>
              <w:left w:val="nil"/>
              <w:bottom w:val="single" w:sz="4" w:space="0" w:color="auto"/>
              <w:right w:val="single" w:sz="4" w:space="0" w:color="auto"/>
            </w:tcBorders>
            <w:shd w:val="clear" w:color="000000" w:fill="FFFFFF"/>
            <w:noWrap/>
            <w:vAlign w:val="bottom"/>
            <w:hideMark/>
          </w:tcPr>
          <w:p w14:paraId="683DB84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13,626.00 </w:t>
            </w:r>
          </w:p>
        </w:tc>
        <w:tc>
          <w:tcPr>
            <w:tcW w:w="474" w:type="pct"/>
            <w:tcBorders>
              <w:top w:val="nil"/>
              <w:left w:val="nil"/>
              <w:bottom w:val="single" w:sz="4" w:space="0" w:color="auto"/>
              <w:right w:val="single" w:sz="4" w:space="0" w:color="auto"/>
            </w:tcBorders>
            <w:shd w:val="clear" w:color="000000" w:fill="FFFFFF"/>
            <w:noWrap/>
            <w:vAlign w:val="bottom"/>
            <w:hideMark/>
          </w:tcPr>
          <w:p w14:paraId="22D3AFE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12,839.00 </w:t>
            </w:r>
          </w:p>
        </w:tc>
        <w:tc>
          <w:tcPr>
            <w:tcW w:w="516" w:type="pct"/>
            <w:tcBorders>
              <w:top w:val="nil"/>
              <w:left w:val="nil"/>
              <w:bottom w:val="single" w:sz="4" w:space="0" w:color="auto"/>
              <w:right w:val="single" w:sz="4" w:space="0" w:color="auto"/>
            </w:tcBorders>
            <w:shd w:val="clear" w:color="000000" w:fill="FFFFFF"/>
            <w:noWrap/>
            <w:vAlign w:val="bottom"/>
            <w:hideMark/>
          </w:tcPr>
          <w:p w14:paraId="2E10BDB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5,757.00 </w:t>
            </w:r>
          </w:p>
        </w:tc>
        <w:tc>
          <w:tcPr>
            <w:tcW w:w="474" w:type="pct"/>
            <w:tcBorders>
              <w:top w:val="nil"/>
              <w:left w:val="nil"/>
              <w:bottom w:val="single" w:sz="4" w:space="0" w:color="auto"/>
              <w:right w:val="single" w:sz="4" w:space="0" w:color="auto"/>
            </w:tcBorders>
            <w:shd w:val="clear" w:color="000000" w:fill="FFFFFF"/>
            <w:noWrap/>
            <w:vAlign w:val="bottom"/>
            <w:hideMark/>
          </w:tcPr>
          <w:p w14:paraId="5349D15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4,101.00 </w:t>
            </w:r>
          </w:p>
        </w:tc>
        <w:tc>
          <w:tcPr>
            <w:tcW w:w="61" w:type="pct"/>
            <w:vAlign w:val="center"/>
            <w:hideMark/>
          </w:tcPr>
          <w:p w14:paraId="51EFFC19" w14:textId="77777777" w:rsidR="0075642B" w:rsidRPr="0075642B" w:rsidRDefault="0075642B" w:rsidP="0075642B">
            <w:pPr>
              <w:spacing w:before="0" w:after="0" w:line="240" w:lineRule="auto"/>
              <w:jc w:val="left"/>
              <w:rPr>
                <w:sz w:val="20"/>
                <w:szCs w:val="20"/>
                <w:lang w:val="en-IN"/>
              </w:rPr>
            </w:pPr>
          </w:p>
        </w:tc>
      </w:tr>
      <w:tr w:rsidR="0075642B" w:rsidRPr="0075642B" w14:paraId="22CEBB30"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D5A223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"Difference"</w:t>
            </w:r>
          </w:p>
        </w:tc>
        <w:tc>
          <w:tcPr>
            <w:tcW w:w="1183" w:type="pct"/>
            <w:vMerge/>
            <w:tcBorders>
              <w:top w:val="nil"/>
              <w:left w:val="single" w:sz="4" w:space="0" w:color="auto"/>
              <w:bottom w:val="single" w:sz="4" w:space="0" w:color="auto"/>
              <w:right w:val="single" w:sz="4" w:space="0" w:color="auto"/>
            </w:tcBorders>
            <w:vAlign w:val="center"/>
            <w:hideMark/>
          </w:tcPr>
          <w:p w14:paraId="35E07F43"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007F05F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46,343.00 </w:t>
            </w:r>
          </w:p>
        </w:tc>
        <w:tc>
          <w:tcPr>
            <w:tcW w:w="474" w:type="pct"/>
            <w:tcBorders>
              <w:top w:val="nil"/>
              <w:left w:val="nil"/>
              <w:bottom w:val="single" w:sz="4" w:space="0" w:color="auto"/>
              <w:right w:val="single" w:sz="4" w:space="0" w:color="auto"/>
            </w:tcBorders>
            <w:shd w:val="clear" w:color="000000" w:fill="FFFFFF"/>
            <w:noWrap/>
            <w:vAlign w:val="bottom"/>
            <w:hideMark/>
          </w:tcPr>
          <w:p w14:paraId="2415437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35,990.00 </w:t>
            </w:r>
          </w:p>
        </w:tc>
        <w:tc>
          <w:tcPr>
            <w:tcW w:w="474" w:type="pct"/>
            <w:tcBorders>
              <w:top w:val="nil"/>
              <w:left w:val="nil"/>
              <w:bottom w:val="single" w:sz="4" w:space="0" w:color="auto"/>
              <w:right w:val="single" w:sz="4" w:space="0" w:color="auto"/>
            </w:tcBorders>
            <w:shd w:val="clear" w:color="000000" w:fill="FFFFFF"/>
            <w:noWrap/>
            <w:vAlign w:val="bottom"/>
            <w:hideMark/>
          </w:tcPr>
          <w:p w14:paraId="5EC987B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28,078.00 </w:t>
            </w:r>
          </w:p>
        </w:tc>
        <w:tc>
          <w:tcPr>
            <w:tcW w:w="516" w:type="pct"/>
            <w:tcBorders>
              <w:top w:val="nil"/>
              <w:left w:val="nil"/>
              <w:bottom w:val="single" w:sz="4" w:space="0" w:color="auto"/>
              <w:right w:val="single" w:sz="4" w:space="0" w:color="auto"/>
            </w:tcBorders>
            <w:shd w:val="clear" w:color="000000" w:fill="FFFFFF"/>
            <w:noWrap/>
            <w:vAlign w:val="bottom"/>
            <w:hideMark/>
          </w:tcPr>
          <w:p w14:paraId="746957C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21,343.00 </w:t>
            </w:r>
          </w:p>
        </w:tc>
        <w:tc>
          <w:tcPr>
            <w:tcW w:w="474" w:type="pct"/>
            <w:tcBorders>
              <w:top w:val="nil"/>
              <w:left w:val="nil"/>
              <w:bottom w:val="single" w:sz="4" w:space="0" w:color="auto"/>
              <w:right w:val="single" w:sz="4" w:space="0" w:color="auto"/>
            </w:tcBorders>
            <w:shd w:val="clear" w:color="000000" w:fill="FFFFFF"/>
            <w:noWrap/>
            <w:vAlign w:val="bottom"/>
            <w:hideMark/>
          </w:tcPr>
          <w:p w14:paraId="0858737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22,616.00 </w:t>
            </w:r>
          </w:p>
        </w:tc>
        <w:tc>
          <w:tcPr>
            <w:tcW w:w="61" w:type="pct"/>
            <w:vAlign w:val="center"/>
            <w:hideMark/>
          </w:tcPr>
          <w:p w14:paraId="44524285" w14:textId="77777777" w:rsidR="0075642B" w:rsidRPr="0075642B" w:rsidRDefault="0075642B" w:rsidP="0075642B">
            <w:pPr>
              <w:spacing w:before="0" w:after="0" w:line="240" w:lineRule="auto"/>
              <w:jc w:val="left"/>
              <w:rPr>
                <w:sz w:val="20"/>
                <w:szCs w:val="20"/>
                <w:lang w:val="en-IN"/>
              </w:rPr>
            </w:pPr>
          </w:p>
        </w:tc>
      </w:tr>
      <w:tr w:rsidR="0075642B" w:rsidRPr="0075642B" w14:paraId="4A85EA32"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FEFF63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Current Liabilities"</w:t>
            </w:r>
          </w:p>
        </w:tc>
        <w:tc>
          <w:tcPr>
            <w:tcW w:w="1183" w:type="pct"/>
            <w:vMerge/>
            <w:tcBorders>
              <w:top w:val="nil"/>
              <w:left w:val="single" w:sz="4" w:space="0" w:color="auto"/>
              <w:bottom w:val="single" w:sz="4" w:space="0" w:color="auto"/>
              <w:right w:val="single" w:sz="4" w:space="0" w:color="auto"/>
            </w:tcBorders>
            <w:vAlign w:val="center"/>
            <w:hideMark/>
          </w:tcPr>
          <w:p w14:paraId="63C60E72"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4025238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28,821.00 </w:t>
            </w:r>
          </w:p>
        </w:tc>
        <w:tc>
          <w:tcPr>
            <w:tcW w:w="474" w:type="pct"/>
            <w:tcBorders>
              <w:top w:val="nil"/>
              <w:left w:val="nil"/>
              <w:bottom w:val="single" w:sz="4" w:space="0" w:color="auto"/>
              <w:right w:val="single" w:sz="4" w:space="0" w:color="auto"/>
            </w:tcBorders>
            <w:shd w:val="clear" w:color="000000" w:fill="FFFFFF"/>
            <w:noWrap/>
            <w:vAlign w:val="bottom"/>
            <w:hideMark/>
          </w:tcPr>
          <w:p w14:paraId="6BD0AC0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28,748.00 </w:t>
            </w:r>
          </w:p>
        </w:tc>
        <w:tc>
          <w:tcPr>
            <w:tcW w:w="474" w:type="pct"/>
            <w:tcBorders>
              <w:top w:val="nil"/>
              <w:left w:val="nil"/>
              <w:bottom w:val="single" w:sz="4" w:space="0" w:color="auto"/>
              <w:right w:val="single" w:sz="4" w:space="0" w:color="auto"/>
            </w:tcBorders>
            <w:shd w:val="clear" w:color="000000" w:fill="FFFFFF"/>
            <w:noWrap/>
            <w:vAlign w:val="bottom"/>
            <w:hideMark/>
          </w:tcPr>
          <w:p w14:paraId="3F64C5B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26,709.00 </w:t>
            </w:r>
          </w:p>
        </w:tc>
        <w:tc>
          <w:tcPr>
            <w:tcW w:w="516" w:type="pct"/>
            <w:tcBorders>
              <w:top w:val="nil"/>
              <w:left w:val="nil"/>
              <w:bottom w:val="single" w:sz="4" w:space="0" w:color="auto"/>
              <w:right w:val="single" w:sz="4" w:space="0" w:color="auto"/>
            </w:tcBorders>
            <w:shd w:val="clear" w:color="000000" w:fill="FFFFFF"/>
            <w:noWrap/>
            <w:vAlign w:val="bottom"/>
            <w:hideMark/>
          </w:tcPr>
          <w:p w14:paraId="1802AFD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19,705.00 </w:t>
            </w:r>
          </w:p>
        </w:tc>
        <w:tc>
          <w:tcPr>
            <w:tcW w:w="474" w:type="pct"/>
            <w:tcBorders>
              <w:top w:val="nil"/>
              <w:left w:val="nil"/>
              <w:bottom w:val="single" w:sz="4" w:space="0" w:color="auto"/>
              <w:right w:val="single" w:sz="4" w:space="0" w:color="auto"/>
            </w:tcBorders>
            <w:shd w:val="clear" w:color="000000" w:fill="FFFFFF"/>
            <w:noWrap/>
            <w:vAlign w:val="bottom"/>
            <w:hideMark/>
          </w:tcPr>
          <w:p w14:paraId="3A2180B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14,248.00 </w:t>
            </w:r>
          </w:p>
        </w:tc>
        <w:tc>
          <w:tcPr>
            <w:tcW w:w="61" w:type="pct"/>
            <w:vAlign w:val="center"/>
            <w:hideMark/>
          </w:tcPr>
          <w:p w14:paraId="32538E46" w14:textId="77777777" w:rsidR="0075642B" w:rsidRPr="0075642B" w:rsidRDefault="0075642B" w:rsidP="0075642B">
            <w:pPr>
              <w:spacing w:before="0" w:after="0" w:line="240" w:lineRule="auto"/>
              <w:jc w:val="left"/>
              <w:rPr>
                <w:sz w:val="20"/>
                <w:szCs w:val="20"/>
                <w:lang w:val="en-IN"/>
              </w:rPr>
            </w:pPr>
          </w:p>
        </w:tc>
      </w:tr>
      <w:tr w:rsidR="0075642B" w:rsidRPr="0075642B" w14:paraId="234DAADC"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0E76670B"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"Quick Ratio "</w:t>
            </w:r>
          </w:p>
        </w:tc>
        <w:tc>
          <w:tcPr>
            <w:tcW w:w="1183" w:type="pct"/>
            <w:vMerge/>
            <w:tcBorders>
              <w:top w:val="nil"/>
              <w:left w:val="single" w:sz="4" w:space="0" w:color="auto"/>
              <w:bottom w:val="single" w:sz="4" w:space="0" w:color="auto"/>
              <w:right w:val="single" w:sz="4" w:space="0" w:color="auto"/>
            </w:tcBorders>
            <w:vAlign w:val="center"/>
            <w:hideMark/>
          </w:tcPr>
          <w:p w14:paraId="6F5BD388"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30CEEDA3"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1.61</w:t>
            </w:r>
          </w:p>
        </w:tc>
        <w:tc>
          <w:tcPr>
            <w:tcW w:w="474" w:type="pct"/>
            <w:tcBorders>
              <w:top w:val="nil"/>
              <w:left w:val="nil"/>
              <w:bottom w:val="single" w:sz="4" w:space="0" w:color="auto"/>
              <w:right w:val="single" w:sz="4" w:space="0" w:color="auto"/>
            </w:tcBorders>
            <w:shd w:val="clear" w:color="000000" w:fill="FFFFFF"/>
            <w:noWrap/>
            <w:vAlign w:val="bottom"/>
            <w:hideMark/>
          </w:tcPr>
          <w:p w14:paraId="0D7F48FB"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1.25</w:t>
            </w:r>
          </w:p>
        </w:tc>
        <w:tc>
          <w:tcPr>
            <w:tcW w:w="474" w:type="pct"/>
            <w:tcBorders>
              <w:top w:val="nil"/>
              <w:left w:val="nil"/>
              <w:bottom w:val="single" w:sz="4" w:space="0" w:color="auto"/>
              <w:right w:val="single" w:sz="4" w:space="0" w:color="auto"/>
            </w:tcBorders>
            <w:shd w:val="clear" w:color="000000" w:fill="FFFFFF"/>
            <w:noWrap/>
            <w:vAlign w:val="bottom"/>
            <w:hideMark/>
          </w:tcPr>
          <w:p w14:paraId="671F7297"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1.05</w:t>
            </w:r>
          </w:p>
        </w:tc>
        <w:tc>
          <w:tcPr>
            <w:tcW w:w="516" w:type="pct"/>
            <w:tcBorders>
              <w:top w:val="nil"/>
              <w:left w:val="nil"/>
              <w:bottom w:val="single" w:sz="4" w:space="0" w:color="auto"/>
              <w:right w:val="single" w:sz="4" w:space="0" w:color="auto"/>
            </w:tcBorders>
            <w:shd w:val="clear" w:color="000000" w:fill="FFFFFF"/>
            <w:noWrap/>
            <w:vAlign w:val="bottom"/>
            <w:hideMark/>
          </w:tcPr>
          <w:p w14:paraId="3C7BE78B"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1.08</w:t>
            </w:r>
          </w:p>
        </w:tc>
        <w:tc>
          <w:tcPr>
            <w:tcW w:w="474" w:type="pct"/>
            <w:tcBorders>
              <w:top w:val="nil"/>
              <w:left w:val="nil"/>
              <w:bottom w:val="single" w:sz="4" w:space="0" w:color="auto"/>
              <w:right w:val="single" w:sz="4" w:space="0" w:color="auto"/>
            </w:tcBorders>
            <w:shd w:val="clear" w:color="000000" w:fill="FFFFFF"/>
            <w:noWrap/>
            <w:vAlign w:val="bottom"/>
            <w:hideMark/>
          </w:tcPr>
          <w:p w14:paraId="786E8D6B"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1.59</w:t>
            </w:r>
          </w:p>
        </w:tc>
        <w:tc>
          <w:tcPr>
            <w:tcW w:w="61" w:type="pct"/>
            <w:vAlign w:val="center"/>
            <w:hideMark/>
          </w:tcPr>
          <w:p w14:paraId="44343E7A" w14:textId="77777777" w:rsidR="0075642B" w:rsidRPr="0075642B" w:rsidRDefault="0075642B" w:rsidP="0075642B">
            <w:pPr>
              <w:spacing w:before="0" w:after="0" w:line="240" w:lineRule="auto"/>
              <w:jc w:val="left"/>
              <w:rPr>
                <w:sz w:val="20"/>
                <w:szCs w:val="20"/>
                <w:lang w:val="en-IN"/>
              </w:rPr>
            </w:pPr>
          </w:p>
        </w:tc>
      </w:tr>
      <w:tr w:rsidR="0075642B" w:rsidRPr="0075642B" w14:paraId="066249F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75A079E8"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1183" w:type="pct"/>
            <w:tcBorders>
              <w:top w:val="nil"/>
              <w:left w:val="nil"/>
              <w:bottom w:val="single" w:sz="4" w:space="0" w:color="auto"/>
              <w:right w:val="single" w:sz="4" w:space="0" w:color="auto"/>
            </w:tcBorders>
            <w:shd w:val="clear" w:color="000000" w:fill="FFFFFF"/>
            <w:vAlign w:val="center"/>
            <w:hideMark/>
          </w:tcPr>
          <w:p w14:paraId="2871BE22"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2E97D3C7"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11A44054"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6544917B"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128E1A04"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7088C85E"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61" w:type="pct"/>
            <w:vAlign w:val="center"/>
            <w:hideMark/>
          </w:tcPr>
          <w:p w14:paraId="4A7BB1D6" w14:textId="77777777" w:rsidR="0075642B" w:rsidRPr="0075642B" w:rsidRDefault="0075642B" w:rsidP="0075642B">
            <w:pPr>
              <w:spacing w:before="0" w:after="0" w:line="240" w:lineRule="auto"/>
              <w:jc w:val="left"/>
              <w:rPr>
                <w:sz w:val="20"/>
                <w:szCs w:val="20"/>
                <w:lang w:val="en-IN"/>
              </w:rPr>
            </w:pPr>
          </w:p>
        </w:tc>
      </w:tr>
      <w:tr w:rsidR="0075642B" w:rsidRPr="0075642B" w14:paraId="4E446D8D"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3BC5FCD"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"Cash Ratio"</w:t>
            </w:r>
          </w:p>
        </w:tc>
        <w:tc>
          <w:tcPr>
            <w:tcW w:w="61" w:type="pct"/>
            <w:vAlign w:val="center"/>
            <w:hideMark/>
          </w:tcPr>
          <w:p w14:paraId="6CB3F17E" w14:textId="77777777" w:rsidR="0075642B" w:rsidRPr="0075642B" w:rsidRDefault="0075642B" w:rsidP="0075642B">
            <w:pPr>
              <w:spacing w:before="0" w:after="0" w:line="240" w:lineRule="auto"/>
              <w:jc w:val="left"/>
              <w:rPr>
                <w:sz w:val="20"/>
                <w:szCs w:val="20"/>
                <w:lang w:val="en-IN"/>
              </w:rPr>
            </w:pPr>
          </w:p>
        </w:tc>
      </w:tr>
      <w:tr w:rsidR="0075642B" w:rsidRPr="0075642B" w14:paraId="085AC7B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322BA0F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4ECA653D"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459AC2A1"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5D2982C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1C8B533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2804BBB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58A29860"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70BC717D" w14:textId="77777777" w:rsidR="0075642B" w:rsidRPr="0075642B" w:rsidRDefault="0075642B" w:rsidP="0075642B">
            <w:pPr>
              <w:spacing w:before="0" w:after="0" w:line="240" w:lineRule="auto"/>
              <w:jc w:val="left"/>
              <w:rPr>
                <w:sz w:val="20"/>
                <w:szCs w:val="20"/>
                <w:lang w:val="en-IN"/>
              </w:rPr>
            </w:pPr>
          </w:p>
        </w:tc>
      </w:tr>
      <w:tr w:rsidR="0075642B" w:rsidRPr="0075642B" w14:paraId="65841469"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DAC825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"Cash"</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7E10E25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 xml:space="preserve">"Cash / Current </w:t>
            </w:r>
            <w:r w:rsidRPr="0075642B">
              <w:rPr>
                <w:rFonts w:ascii="Arial" w:hAnsi="Arial" w:cs="Arial"/>
                <w:b/>
                <w:bCs/>
                <w:color w:val="000000"/>
                <w:lang w:val="en-IN"/>
              </w:rPr>
              <w:lastRenderedPageBreak/>
              <w:t>Liabilities"</w:t>
            </w:r>
          </w:p>
        </w:tc>
        <w:tc>
          <w:tcPr>
            <w:tcW w:w="516" w:type="pct"/>
            <w:tcBorders>
              <w:top w:val="nil"/>
              <w:left w:val="nil"/>
              <w:bottom w:val="single" w:sz="4" w:space="0" w:color="auto"/>
              <w:right w:val="single" w:sz="4" w:space="0" w:color="auto"/>
            </w:tcBorders>
            <w:shd w:val="clear" w:color="000000" w:fill="FFFFFF"/>
            <w:noWrap/>
            <w:vAlign w:val="bottom"/>
            <w:hideMark/>
          </w:tcPr>
          <w:p w14:paraId="68C7761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lastRenderedPageBreak/>
              <w:t xml:space="preserve"> $     16,139.00 </w:t>
            </w:r>
          </w:p>
        </w:tc>
        <w:tc>
          <w:tcPr>
            <w:tcW w:w="474" w:type="pct"/>
            <w:tcBorders>
              <w:top w:val="nil"/>
              <w:left w:val="nil"/>
              <w:bottom w:val="single" w:sz="4" w:space="0" w:color="auto"/>
              <w:right w:val="single" w:sz="4" w:space="0" w:color="auto"/>
            </w:tcBorders>
            <w:shd w:val="clear" w:color="000000" w:fill="FFFFFF"/>
            <w:noWrap/>
            <w:vAlign w:val="bottom"/>
            <w:hideMark/>
          </w:tcPr>
          <w:p w14:paraId="470B79B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16,398.00 </w:t>
            </w:r>
          </w:p>
        </w:tc>
        <w:tc>
          <w:tcPr>
            <w:tcW w:w="474" w:type="pct"/>
            <w:tcBorders>
              <w:top w:val="nil"/>
              <w:left w:val="nil"/>
              <w:bottom w:val="single" w:sz="4" w:space="0" w:color="auto"/>
              <w:right w:val="single" w:sz="4" w:space="0" w:color="auto"/>
            </w:tcBorders>
            <w:shd w:val="clear" w:color="000000" w:fill="FFFFFF"/>
            <w:noWrap/>
            <w:vAlign w:val="bottom"/>
            <w:hideMark/>
          </w:tcPr>
          <w:p w14:paraId="1E498EB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16,253.00 </w:t>
            </w:r>
          </w:p>
        </w:tc>
        <w:tc>
          <w:tcPr>
            <w:tcW w:w="516" w:type="pct"/>
            <w:tcBorders>
              <w:top w:val="nil"/>
              <w:left w:val="nil"/>
              <w:bottom w:val="single" w:sz="4" w:space="0" w:color="auto"/>
              <w:right w:val="single" w:sz="4" w:space="0" w:color="auto"/>
            </w:tcBorders>
            <w:shd w:val="clear" w:color="000000" w:fill="FFFFFF"/>
            <w:noWrap/>
            <w:vAlign w:val="bottom"/>
            <w:hideMark/>
          </w:tcPr>
          <w:p w14:paraId="06F4DA8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17,576.00 </w:t>
            </w:r>
          </w:p>
        </w:tc>
        <w:tc>
          <w:tcPr>
            <w:tcW w:w="474" w:type="pct"/>
            <w:tcBorders>
              <w:top w:val="nil"/>
              <w:left w:val="nil"/>
              <w:bottom w:val="single" w:sz="4" w:space="0" w:color="auto"/>
              <w:right w:val="single" w:sz="4" w:space="0" w:color="auto"/>
            </w:tcBorders>
            <w:shd w:val="clear" w:color="000000" w:fill="FFFFFF"/>
            <w:noWrap/>
            <w:vAlign w:val="bottom"/>
            <w:hideMark/>
          </w:tcPr>
          <w:p w14:paraId="7A700A9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19,384.00 </w:t>
            </w:r>
          </w:p>
        </w:tc>
        <w:tc>
          <w:tcPr>
            <w:tcW w:w="61" w:type="pct"/>
            <w:vAlign w:val="center"/>
            <w:hideMark/>
          </w:tcPr>
          <w:p w14:paraId="375225E2" w14:textId="77777777" w:rsidR="0075642B" w:rsidRPr="0075642B" w:rsidRDefault="0075642B" w:rsidP="0075642B">
            <w:pPr>
              <w:spacing w:before="0" w:after="0" w:line="240" w:lineRule="auto"/>
              <w:jc w:val="left"/>
              <w:rPr>
                <w:sz w:val="20"/>
                <w:szCs w:val="20"/>
                <w:lang w:val="en-IN"/>
              </w:rPr>
            </w:pPr>
          </w:p>
        </w:tc>
      </w:tr>
      <w:tr w:rsidR="0075642B" w:rsidRPr="0075642B" w14:paraId="6515F9FA"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70FDAA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lastRenderedPageBreak/>
              <w:t>"(/): Current Liabilities"</w:t>
            </w:r>
          </w:p>
        </w:tc>
        <w:tc>
          <w:tcPr>
            <w:tcW w:w="1183" w:type="pct"/>
            <w:vMerge/>
            <w:tcBorders>
              <w:top w:val="nil"/>
              <w:left w:val="single" w:sz="4" w:space="0" w:color="auto"/>
              <w:bottom w:val="single" w:sz="4" w:space="0" w:color="auto"/>
              <w:right w:val="single" w:sz="4" w:space="0" w:color="auto"/>
            </w:tcBorders>
            <w:vAlign w:val="center"/>
            <w:hideMark/>
          </w:tcPr>
          <w:p w14:paraId="5644490E"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14B378C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28,821.00 </w:t>
            </w:r>
          </w:p>
        </w:tc>
        <w:tc>
          <w:tcPr>
            <w:tcW w:w="474" w:type="pct"/>
            <w:tcBorders>
              <w:top w:val="nil"/>
              <w:left w:val="nil"/>
              <w:bottom w:val="single" w:sz="4" w:space="0" w:color="auto"/>
              <w:right w:val="single" w:sz="4" w:space="0" w:color="auto"/>
            </w:tcBorders>
            <w:shd w:val="clear" w:color="000000" w:fill="FFFFFF"/>
            <w:noWrap/>
            <w:vAlign w:val="bottom"/>
            <w:hideMark/>
          </w:tcPr>
          <w:p w14:paraId="442C2F5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28,748.00 </w:t>
            </w:r>
          </w:p>
        </w:tc>
        <w:tc>
          <w:tcPr>
            <w:tcW w:w="474" w:type="pct"/>
            <w:tcBorders>
              <w:top w:val="nil"/>
              <w:left w:val="nil"/>
              <w:bottom w:val="single" w:sz="4" w:space="0" w:color="auto"/>
              <w:right w:val="single" w:sz="4" w:space="0" w:color="auto"/>
            </w:tcBorders>
            <w:shd w:val="clear" w:color="000000" w:fill="FFFFFF"/>
            <w:noWrap/>
            <w:vAlign w:val="bottom"/>
            <w:hideMark/>
          </w:tcPr>
          <w:p w14:paraId="6E213BC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26,709.00 </w:t>
            </w:r>
          </w:p>
        </w:tc>
        <w:tc>
          <w:tcPr>
            <w:tcW w:w="516" w:type="pct"/>
            <w:tcBorders>
              <w:top w:val="nil"/>
              <w:left w:val="nil"/>
              <w:bottom w:val="single" w:sz="4" w:space="0" w:color="auto"/>
              <w:right w:val="single" w:sz="4" w:space="0" w:color="auto"/>
            </w:tcBorders>
            <w:shd w:val="clear" w:color="000000" w:fill="FFFFFF"/>
            <w:noWrap/>
            <w:vAlign w:val="bottom"/>
            <w:hideMark/>
          </w:tcPr>
          <w:p w14:paraId="0BFE2D7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19,705.00 </w:t>
            </w:r>
          </w:p>
        </w:tc>
        <w:tc>
          <w:tcPr>
            <w:tcW w:w="474" w:type="pct"/>
            <w:tcBorders>
              <w:top w:val="nil"/>
              <w:left w:val="nil"/>
              <w:bottom w:val="single" w:sz="4" w:space="0" w:color="auto"/>
              <w:right w:val="single" w:sz="4" w:space="0" w:color="auto"/>
            </w:tcBorders>
            <w:shd w:val="clear" w:color="000000" w:fill="FFFFFF"/>
            <w:noWrap/>
            <w:vAlign w:val="bottom"/>
            <w:hideMark/>
          </w:tcPr>
          <w:p w14:paraId="3122D35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14,248.00 </w:t>
            </w:r>
          </w:p>
        </w:tc>
        <w:tc>
          <w:tcPr>
            <w:tcW w:w="61" w:type="pct"/>
            <w:vAlign w:val="center"/>
            <w:hideMark/>
          </w:tcPr>
          <w:p w14:paraId="2011C742" w14:textId="77777777" w:rsidR="0075642B" w:rsidRPr="0075642B" w:rsidRDefault="0075642B" w:rsidP="0075642B">
            <w:pPr>
              <w:spacing w:before="0" w:after="0" w:line="240" w:lineRule="auto"/>
              <w:jc w:val="left"/>
              <w:rPr>
                <w:sz w:val="20"/>
                <w:szCs w:val="20"/>
                <w:lang w:val="en-IN"/>
              </w:rPr>
            </w:pPr>
          </w:p>
        </w:tc>
      </w:tr>
      <w:tr w:rsidR="0075642B" w:rsidRPr="0075642B" w14:paraId="69D7949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723E535"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"Cash Ratio"</w:t>
            </w:r>
          </w:p>
        </w:tc>
        <w:tc>
          <w:tcPr>
            <w:tcW w:w="1183" w:type="pct"/>
            <w:vMerge/>
            <w:tcBorders>
              <w:top w:val="nil"/>
              <w:left w:val="single" w:sz="4" w:space="0" w:color="auto"/>
              <w:bottom w:val="single" w:sz="4" w:space="0" w:color="auto"/>
              <w:right w:val="single" w:sz="4" w:space="0" w:color="auto"/>
            </w:tcBorders>
            <w:vAlign w:val="center"/>
            <w:hideMark/>
          </w:tcPr>
          <w:p w14:paraId="571CDF9E"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09BBA78A"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0.56</w:t>
            </w:r>
          </w:p>
        </w:tc>
        <w:tc>
          <w:tcPr>
            <w:tcW w:w="474" w:type="pct"/>
            <w:tcBorders>
              <w:top w:val="nil"/>
              <w:left w:val="nil"/>
              <w:bottom w:val="single" w:sz="4" w:space="0" w:color="auto"/>
              <w:right w:val="single" w:sz="4" w:space="0" w:color="auto"/>
            </w:tcBorders>
            <w:shd w:val="clear" w:color="000000" w:fill="FFFFFF"/>
            <w:noWrap/>
            <w:vAlign w:val="bottom"/>
            <w:hideMark/>
          </w:tcPr>
          <w:p w14:paraId="7F170543"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0.57</w:t>
            </w:r>
          </w:p>
        </w:tc>
        <w:tc>
          <w:tcPr>
            <w:tcW w:w="474" w:type="pct"/>
            <w:tcBorders>
              <w:top w:val="nil"/>
              <w:left w:val="nil"/>
              <w:bottom w:val="single" w:sz="4" w:space="0" w:color="auto"/>
              <w:right w:val="single" w:sz="4" w:space="0" w:color="auto"/>
            </w:tcBorders>
            <w:shd w:val="clear" w:color="000000" w:fill="FFFFFF"/>
            <w:noWrap/>
            <w:vAlign w:val="bottom"/>
            <w:hideMark/>
          </w:tcPr>
          <w:p w14:paraId="3131DB05"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0.61</w:t>
            </w:r>
          </w:p>
        </w:tc>
        <w:tc>
          <w:tcPr>
            <w:tcW w:w="516" w:type="pct"/>
            <w:tcBorders>
              <w:top w:val="nil"/>
              <w:left w:val="nil"/>
              <w:bottom w:val="single" w:sz="4" w:space="0" w:color="auto"/>
              <w:right w:val="single" w:sz="4" w:space="0" w:color="auto"/>
            </w:tcBorders>
            <w:shd w:val="clear" w:color="000000" w:fill="FFFFFF"/>
            <w:noWrap/>
            <w:vAlign w:val="bottom"/>
            <w:hideMark/>
          </w:tcPr>
          <w:p w14:paraId="60AC1612"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0.89</w:t>
            </w:r>
          </w:p>
        </w:tc>
        <w:tc>
          <w:tcPr>
            <w:tcW w:w="474" w:type="pct"/>
            <w:tcBorders>
              <w:top w:val="nil"/>
              <w:left w:val="nil"/>
              <w:bottom w:val="single" w:sz="4" w:space="0" w:color="auto"/>
              <w:right w:val="single" w:sz="4" w:space="0" w:color="auto"/>
            </w:tcBorders>
            <w:shd w:val="clear" w:color="000000" w:fill="FFFFFF"/>
            <w:noWrap/>
            <w:vAlign w:val="bottom"/>
            <w:hideMark/>
          </w:tcPr>
          <w:p w14:paraId="44D7A6C7"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1.36</w:t>
            </w:r>
          </w:p>
        </w:tc>
        <w:tc>
          <w:tcPr>
            <w:tcW w:w="61" w:type="pct"/>
            <w:vAlign w:val="center"/>
            <w:hideMark/>
          </w:tcPr>
          <w:p w14:paraId="2025EBE6" w14:textId="77777777" w:rsidR="0075642B" w:rsidRPr="0075642B" w:rsidRDefault="0075642B" w:rsidP="0075642B">
            <w:pPr>
              <w:spacing w:before="0" w:after="0" w:line="240" w:lineRule="auto"/>
              <w:jc w:val="left"/>
              <w:rPr>
                <w:sz w:val="20"/>
                <w:szCs w:val="20"/>
                <w:lang w:val="en-IN"/>
              </w:rPr>
            </w:pPr>
          </w:p>
        </w:tc>
      </w:tr>
      <w:tr w:rsidR="0075642B" w:rsidRPr="0075642B" w14:paraId="40D95A59" w14:textId="77777777" w:rsidTr="0075642B">
        <w:trPr>
          <w:trHeight w:val="312"/>
          <w:jc w:val="center"/>
        </w:trPr>
        <w:tc>
          <w:tcPr>
            <w:tcW w:w="4939" w:type="pct"/>
            <w:gridSpan w:val="7"/>
            <w:vMerge w:val="restart"/>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0E6C745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"Efficiency ratio"</w:t>
            </w:r>
          </w:p>
        </w:tc>
        <w:tc>
          <w:tcPr>
            <w:tcW w:w="61" w:type="pct"/>
            <w:vAlign w:val="center"/>
            <w:hideMark/>
          </w:tcPr>
          <w:p w14:paraId="71B827BC" w14:textId="77777777" w:rsidR="0075642B" w:rsidRPr="0075642B" w:rsidRDefault="0075642B" w:rsidP="0075642B">
            <w:pPr>
              <w:spacing w:before="0" w:after="0" w:line="240" w:lineRule="auto"/>
              <w:jc w:val="left"/>
              <w:rPr>
                <w:sz w:val="20"/>
                <w:szCs w:val="20"/>
                <w:lang w:val="en-IN"/>
              </w:rPr>
            </w:pPr>
          </w:p>
        </w:tc>
      </w:tr>
      <w:tr w:rsidR="0075642B" w:rsidRPr="0075642B" w14:paraId="70E242B1" w14:textId="77777777" w:rsidTr="0075642B">
        <w:trPr>
          <w:trHeight w:val="312"/>
          <w:jc w:val="center"/>
        </w:trPr>
        <w:tc>
          <w:tcPr>
            <w:tcW w:w="4939" w:type="pct"/>
            <w:gridSpan w:val="7"/>
            <w:vMerge/>
            <w:tcBorders>
              <w:top w:val="single" w:sz="4" w:space="0" w:color="auto"/>
              <w:left w:val="single" w:sz="4" w:space="0" w:color="auto"/>
              <w:bottom w:val="single" w:sz="4" w:space="0" w:color="auto"/>
              <w:right w:val="single" w:sz="4" w:space="0" w:color="auto"/>
            </w:tcBorders>
            <w:vAlign w:val="center"/>
            <w:hideMark/>
          </w:tcPr>
          <w:p w14:paraId="6D6BD654" w14:textId="77777777" w:rsidR="0075642B" w:rsidRPr="0075642B" w:rsidRDefault="0075642B" w:rsidP="0075642B">
            <w:pPr>
              <w:spacing w:before="0" w:after="0" w:line="240" w:lineRule="auto"/>
              <w:jc w:val="left"/>
              <w:rPr>
                <w:rFonts w:ascii="Arial" w:hAnsi="Arial" w:cs="Arial"/>
                <w:b/>
                <w:bCs/>
                <w:color w:val="000000"/>
                <w:lang w:val="en-IN"/>
              </w:rPr>
            </w:pPr>
          </w:p>
        </w:tc>
        <w:tc>
          <w:tcPr>
            <w:tcW w:w="61" w:type="pct"/>
            <w:tcBorders>
              <w:top w:val="nil"/>
              <w:left w:val="nil"/>
              <w:bottom w:val="nil"/>
              <w:right w:val="nil"/>
            </w:tcBorders>
            <w:noWrap/>
            <w:vAlign w:val="bottom"/>
            <w:hideMark/>
          </w:tcPr>
          <w:p w14:paraId="5D0A5817" w14:textId="77777777" w:rsidR="0075642B" w:rsidRPr="0075642B" w:rsidRDefault="0075642B" w:rsidP="0075642B">
            <w:pPr>
              <w:spacing w:before="0" w:after="0" w:line="240" w:lineRule="auto"/>
              <w:jc w:val="center"/>
              <w:rPr>
                <w:rFonts w:ascii="Arial" w:hAnsi="Arial" w:cs="Arial"/>
                <w:b/>
                <w:bCs/>
                <w:color w:val="000000"/>
                <w:lang w:val="en-IN"/>
              </w:rPr>
            </w:pPr>
          </w:p>
        </w:tc>
      </w:tr>
      <w:tr w:rsidR="0075642B" w:rsidRPr="0075642B" w14:paraId="1B251C44"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325866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"Accounts Receivable Turnover"</w:t>
            </w:r>
          </w:p>
        </w:tc>
        <w:tc>
          <w:tcPr>
            <w:tcW w:w="61" w:type="pct"/>
            <w:vAlign w:val="center"/>
            <w:hideMark/>
          </w:tcPr>
          <w:p w14:paraId="41A2BC78" w14:textId="77777777" w:rsidR="0075642B" w:rsidRPr="0075642B" w:rsidRDefault="0075642B" w:rsidP="0075642B">
            <w:pPr>
              <w:spacing w:before="0" w:after="0" w:line="240" w:lineRule="auto"/>
              <w:jc w:val="left"/>
              <w:rPr>
                <w:sz w:val="20"/>
                <w:szCs w:val="20"/>
                <w:lang w:val="en-IN"/>
              </w:rPr>
            </w:pPr>
          </w:p>
        </w:tc>
      </w:tr>
      <w:tr w:rsidR="0075642B" w:rsidRPr="0075642B" w14:paraId="5346B5FA"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79BA19E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73813591"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3EF0FCC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3E1E36EF"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282E441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11F71B52"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4FDFE10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5AC85A8D" w14:textId="77777777" w:rsidR="0075642B" w:rsidRPr="0075642B" w:rsidRDefault="0075642B" w:rsidP="0075642B">
            <w:pPr>
              <w:spacing w:before="0" w:after="0" w:line="240" w:lineRule="auto"/>
              <w:jc w:val="left"/>
              <w:rPr>
                <w:sz w:val="20"/>
                <w:szCs w:val="20"/>
                <w:lang w:val="en-IN"/>
              </w:rPr>
            </w:pPr>
          </w:p>
        </w:tc>
      </w:tr>
      <w:tr w:rsidR="0075642B" w:rsidRPr="0075642B" w14:paraId="453E6236"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5AC0211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"Accounts Receivable"</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17C2776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"(Accounts Receivable / Average of Daily Sales)"</w:t>
            </w:r>
          </w:p>
        </w:tc>
        <w:tc>
          <w:tcPr>
            <w:tcW w:w="516" w:type="pct"/>
            <w:tcBorders>
              <w:top w:val="nil"/>
              <w:left w:val="nil"/>
              <w:bottom w:val="single" w:sz="4" w:space="0" w:color="auto"/>
              <w:right w:val="single" w:sz="4" w:space="0" w:color="auto"/>
            </w:tcBorders>
            <w:shd w:val="clear" w:color="000000" w:fill="FFFFFF"/>
            <w:noWrap/>
            <w:vAlign w:val="bottom"/>
            <w:hideMark/>
          </w:tcPr>
          <w:p w14:paraId="1A6C650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4,418.00 </w:t>
            </w:r>
          </w:p>
        </w:tc>
        <w:tc>
          <w:tcPr>
            <w:tcW w:w="474" w:type="pct"/>
            <w:tcBorders>
              <w:top w:val="nil"/>
              <w:left w:val="nil"/>
              <w:bottom w:val="single" w:sz="4" w:space="0" w:color="auto"/>
              <w:right w:val="single" w:sz="4" w:space="0" w:color="auto"/>
            </w:tcBorders>
            <w:shd w:val="clear" w:color="000000" w:fill="FFFFFF"/>
            <w:noWrap/>
            <w:vAlign w:val="bottom"/>
            <w:hideMark/>
          </w:tcPr>
          <w:p w14:paraId="4B6D25A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3,508.00 </w:t>
            </w:r>
          </w:p>
        </w:tc>
        <w:tc>
          <w:tcPr>
            <w:tcW w:w="474" w:type="pct"/>
            <w:tcBorders>
              <w:top w:val="nil"/>
              <w:left w:val="nil"/>
              <w:bottom w:val="single" w:sz="4" w:space="0" w:color="auto"/>
              <w:right w:val="single" w:sz="4" w:space="0" w:color="auto"/>
            </w:tcBorders>
            <w:shd w:val="clear" w:color="000000" w:fill="FFFFFF"/>
            <w:noWrap/>
            <w:vAlign w:val="bottom"/>
            <w:hideMark/>
          </w:tcPr>
          <w:p w14:paraId="354B06A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2,952.00 </w:t>
            </w:r>
          </w:p>
        </w:tc>
        <w:tc>
          <w:tcPr>
            <w:tcW w:w="516" w:type="pct"/>
            <w:tcBorders>
              <w:top w:val="nil"/>
              <w:left w:val="nil"/>
              <w:bottom w:val="single" w:sz="4" w:space="0" w:color="auto"/>
              <w:right w:val="single" w:sz="4" w:space="0" w:color="auto"/>
            </w:tcBorders>
            <w:shd w:val="clear" w:color="000000" w:fill="FFFFFF"/>
            <w:noWrap/>
            <w:vAlign w:val="bottom"/>
            <w:hideMark/>
          </w:tcPr>
          <w:p w14:paraId="1A4C413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1,913.00 </w:t>
            </w:r>
          </w:p>
        </w:tc>
        <w:tc>
          <w:tcPr>
            <w:tcW w:w="474" w:type="pct"/>
            <w:tcBorders>
              <w:top w:val="nil"/>
              <w:left w:val="nil"/>
              <w:bottom w:val="single" w:sz="4" w:space="0" w:color="auto"/>
              <w:right w:val="single" w:sz="4" w:space="0" w:color="auto"/>
            </w:tcBorders>
            <w:shd w:val="clear" w:color="000000" w:fill="FFFFFF"/>
            <w:noWrap/>
            <w:vAlign w:val="bottom"/>
            <w:hideMark/>
          </w:tcPr>
          <w:p w14:paraId="7A6DB19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1,886.00 </w:t>
            </w:r>
          </w:p>
        </w:tc>
        <w:tc>
          <w:tcPr>
            <w:tcW w:w="61" w:type="pct"/>
            <w:vAlign w:val="center"/>
            <w:hideMark/>
          </w:tcPr>
          <w:p w14:paraId="5D41ED6D" w14:textId="77777777" w:rsidR="0075642B" w:rsidRPr="0075642B" w:rsidRDefault="0075642B" w:rsidP="0075642B">
            <w:pPr>
              <w:spacing w:before="0" w:after="0" w:line="240" w:lineRule="auto"/>
              <w:jc w:val="left"/>
              <w:rPr>
                <w:sz w:val="20"/>
                <w:szCs w:val="20"/>
                <w:lang w:val="en-IN"/>
              </w:rPr>
            </w:pPr>
          </w:p>
        </w:tc>
      </w:tr>
      <w:tr w:rsidR="0075642B" w:rsidRPr="0075642B" w14:paraId="08B4F6E9"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054A95E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Average of Daily Sales"</w:t>
            </w:r>
          </w:p>
        </w:tc>
        <w:tc>
          <w:tcPr>
            <w:tcW w:w="1183" w:type="pct"/>
            <w:vMerge/>
            <w:tcBorders>
              <w:top w:val="nil"/>
              <w:left w:val="single" w:sz="4" w:space="0" w:color="auto"/>
              <w:bottom w:val="single" w:sz="4" w:space="0" w:color="auto"/>
              <w:right w:val="single" w:sz="4" w:space="0" w:color="auto"/>
            </w:tcBorders>
            <w:vAlign w:val="center"/>
            <w:hideMark/>
          </w:tcPr>
          <w:p w14:paraId="19646734"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3BD7EB8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97,231.50 </w:t>
            </w:r>
          </w:p>
        </w:tc>
        <w:tc>
          <w:tcPr>
            <w:tcW w:w="474" w:type="pct"/>
            <w:tcBorders>
              <w:top w:val="nil"/>
              <w:left w:val="nil"/>
              <w:bottom w:val="single" w:sz="4" w:space="0" w:color="auto"/>
              <w:right w:val="single" w:sz="4" w:space="0" w:color="auto"/>
            </w:tcBorders>
            <w:shd w:val="clear" w:color="000000" w:fill="FFFFFF"/>
            <w:noWrap/>
            <w:vAlign w:val="bottom"/>
            <w:hideMark/>
          </w:tcPr>
          <w:p w14:paraId="6573E91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89,117.50 </w:t>
            </w:r>
          </w:p>
        </w:tc>
        <w:tc>
          <w:tcPr>
            <w:tcW w:w="474" w:type="pct"/>
            <w:tcBorders>
              <w:top w:val="nil"/>
              <w:left w:val="nil"/>
              <w:bottom w:val="single" w:sz="4" w:space="0" w:color="auto"/>
              <w:right w:val="single" w:sz="4" w:space="0" w:color="auto"/>
            </w:tcBorders>
            <w:shd w:val="clear" w:color="000000" w:fill="FFFFFF"/>
            <w:noWrap/>
            <w:vAlign w:val="bottom"/>
            <w:hideMark/>
          </w:tcPr>
          <w:p w14:paraId="2AC12C8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67,642.50 </w:t>
            </w:r>
          </w:p>
        </w:tc>
        <w:tc>
          <w:tcPr>
            <w:tcW w:w="516" w:type="pct"/>
            <w:tcBorders>
              <w:top w:val="nil"/>
              <w:left w:val="nil"/>
              <w:bottom w:val="single" w:sz="4" w:space="0" w:color="auto"/>
              <w:right w:val="single" w:sz="4" w:space="0" w:color="auto"/>
            </w:tcBorders>
            <w:shd w:val="clear" w:color="000000" w:fill="FFFFFF"/>
            <w:noWrap/>
            <w:vAlign w:val="bottom"/>
            <w:hideMark/>
          </w:tcPr>
          <w:p w14:paraId="4FD5505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42,679.50 </w:t>
            </w:r>
          </w:p>
        </w:tc>
        <w:tc>
          <w:tcPr>
            <w:tcW w:w="474" w:type="pct"/>
            <w:tcBorders>
              <w:top w:val="nil"/>
              <w:left w:val="nil"/>
              <w:bottom w:val="single" w:sz="4" w:space="0" w:color="auto"/>
              <w:right w:val="single" w:sz="4" w:space="0" w:color="auto"/>
            </w:tcBorders>
            <w:shd w:val="clear" w:color="000000" w:fill="FFFFFF"/>
            <w:noWrap/>
            <w:vAlign w:val="bottom"/>
            <w:hideMark/>
          </w:tcPr>
          <w:p w14:paraId="45770C2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15,768.00 </w:t>
            </w:r>
          </w:p>
        </w:tc>
        <w:tc>
          <w:tcPr>
            <w:tcW w:w="61" w:type="pct"/>
            <w:vAlign w:val="center"/>
            <w:hideMark/>
          </w:tcPr>
          <w:p w14:paraId="03199D52" w14:textId="77777777" w:rsidR="0075642B" w:rsidRPr="0075642B" w:rsidRDefault="0075642B" w:rsidP="0075642B">
            <w:pPr>
              <w:spacing w:before="0" w:after="0" w:line="240" w:lineRule="auto"/>
              <w:jc w:val="left"/>
              <w:rPr>
                <w:sz w:val="20"/>
                <w:szCs w:val="20"/>
                <w:lang w:val="en-IN"/>
              </w:rPr>
            </w:pPr>
          </w:p>
        </w:tc>
      </w:tr>
      <w:tr w:rsidR="0075642B" w:rsidRPr="0075642B" w14:paraId="6A973051"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170EAE4"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"Accounts Receivable Turnover"</w:t>
            </w:r>
          </w:p>
        </w:tc>
        <w:tc>
          <w:tcPr>
            <w:tcW w:w="1183" w:type="pct"/>
            <w:vMerge/>
            <w:tcBorders>
              <w:top w:val="nil"/>
              <w:left w:val="single" w:sz="4" w:space="0" w:color="auto"/>
              <w:bottom w:val="single" w:sz="4" w:space="0" w:color="auto"/>
              <w:right w:val="single" w:sz="4" w:space="0" w:color="auto"/>
            </w:tcBorders>
            <w:vAlign w:val="center"/>
            <w:hideMark/>
          </w:tcPr>
          <w:p w14:paraId="03EFF7AD"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27FD5DAF"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0.05</w:t>
            </w:r>
          </w:p>
        </w:tc>
        <w:tc>
          <w:tcPr>
            <w:tcW w:w="474" w:type="pct"/>
            <w:tcBorders>
              <w:top w:val="nil"/>
              <w:left w:val="nil"/>
              <w:bottom w:val="single" w:sz="4" w:space="0" w:color="auto"/>
              <w:right w:val="single" w:sz="4" w:space="0" w:color="auto"/>
            </w:tcBorders>
            <w:shd w:val="clear" w:color="000000" w:fill="FFFFFF"/>
            <w:noWrap/>
            <w:vAlign w:val="bottom"/>
            <w:hideMark/>
          </w:tcPr>
          <w:p w14:paraId="3DFFDCC0"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0.04</w:t>
            </w:r>
          </w:p>
        </w:tc>
        <w:tc>
          <w:tcPr>
            <w:tcW w:w="474" w:type="pct"/>
            <w:tcBorders>
              <w:top w:val="nil"/>
              <w:left w:val="nil"/>
              <w:bottom w:val="single" w:sz="4" w:space="0" w:color="auto"/>
              <w:right w:val="single" w:sz="4" w:space="0" w:color="auto"/>
            </w:tcBorders>
            <w:shd w:val="clear" w:color="000000" w:fill="FFFFFF"/>
            <w:noWrap/>
            <w:vAlign w:val="bottom"/>
            <w:hideMark/>
          </w:tcPr>
          <w:p w14:paraId="1BC48F9A"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0.04</w:t>
            </w:r>
          </w:p>
        </w:tc>
        <w:tc>
          <w:tcPr>
            <w:tcW w:w="516" w:type="pct"/>
            <w:tcBorders>
              <w:top w:val="nil"/>
              <w:left w:val="nil"/>
              <w:bottom w:val="single" w:sz="4" w:space="0" w:color="auto"/>
              <w:right w:val="single" w:sz="4" w:space="0" w:color="auto"/>
            </w:tcBorders>
            <w:shd w:val="clear" w:color="000000" w:fill="FFFFFF"/>
            <w:noWrap/>
            <w:vAlign w:val="bottom"/>
            <w:hideMark/>
          </w:tcPr>
          <w:p w14:paraId="5EC5BAA5"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0.04</w:t>
            </w:r>
          </w:p>
        </w:tc>
        <w:tc>
          <w:tcPr>
            <w:tcW w:w="474" w:type="pct"/>
            <w:tcBorders>
              <w:top w:val="nil"/>
              <w:left w:val="nil"/>
              <w:bottom w:val="single" w:sz="4" w:space="0" w:color="auto"/>
              <w:right w:val="single" w:sz="4" w:space="0" w:color="auto"/>
            </w:tcBorders>
            <w:shd w:val="clear" w:color="000000" w:fill="FFFFFF"/>
            <w:noWrap/>
            <w:vAlign w:val="bottom"/>
            <w:hideMark/>
          </w:tcPr>
          <w:p w14:paraId="62963284"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0.12</w:t>
            </w:r>
          </w:p>
        </w:tc>
        <w:tc>
          <w:tcPr>
            <w:tcW w:w="61" w:type="pct"/>
            <w:vAlign w:val="center"/>
            <w:hideMark/>
          </w:tcPr>
          <w:p w14:paraId="371CE558" w14:textId="77777777" w:rsidR="0075642B" w:rsidRPr="0075642B" w:rsidRDefault="0075642B" w:rsidP="0075642B">
            <w:pPr>
              <w:spacing w:before="0" w:after="0" w:line="240" w:lineRule="auto"/>
              <w:jc w:val="left"/>
              <w:rPr>
                <w:sz w:val="20"/>
                <w:szCs w:val="20"/>
                <w:lang w:val="en-IN"/>
              </w:rPr>
            </w:pPr>
          </w:p>
        </w:tc>
      </w:tr>
      <w:tr w:rsidR="0075642B" w:rsidRPr="0075642B" w14:paraId="2872F890"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5257AF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w:t>
            </w:r>
          </w:p>
        </w:tc>
        <w:tc>
          <w:tcPr>
            <w:tcW w:w="1183" w:type="pct"/>
            <w:tcBorders>
              <w:top w:val="nil"/>
              <w:left w:val="nil"/>
              <w:bottom w:val="single" w:sz="4" w:space="0" w:color="auto"/>
              <w:right w:val="single" w:sz="4" w:space="0" w:color="auto"/>
            </w:tcBorders>
            <w:shd w:val="clear" w:color="000000" w:fill="FFFFFF"/>
            <w:noWrap/>
            <w:vAlign w:val="bottom"/>
            <w:hideMark/>
          </w:tcPr>
          <w:p w14:paraId="49EBA3B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6FF43D4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07DED30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0A52D3D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2694C0B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33B1BA0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w:t>
            </w:r>
          </w:p>
        </w:tc>
        <w:tc>
          <w:tcPr>
            <w:tcW w:w="61" w:type="pct"/>
            <w:vAlign w:val="center"/>
            <w:hideMark/>
          </w:tcPr>
          <w:p w14:paraId="443B0D1D" w14:textId="77777777" w:rsidR="0075642B" w:rsidRPr="0075642B" w:rsidRDefault="0075642B" w:rsidP="0075642B">
            <w:pPr>
              <w:spacing w:before="0" w:after="0" w:line="240" w:lineRule="auto"/>
              <w:jc w:val="left"/>
              <w:rPr>
                <w:sz w:val="20"/>
                <w:szCs w:val="20"/>
                <w:lang w:val="en-IN"/>
              </w:rPr>
            </w:pPr>
          </w:p>
        </w:tc>
      </w:tr>
      <w:tr w:rsidR="0075642B" w:rsidRPr="0075642B" w14:paraId="2CE5F82A"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DB67CC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"Inventory Turnover"</w:t>
            </w:r>
          </w:p>
        </w:tc>
        <w:tc>
          <w:tcPr>
            <w:tcW w:w="61" w:type="pct"/>
            <w:vAlign w:val="center"/>
            <w:hideMark/>
          </w:tcPr>
          <w:p w14:paraId="3CDE0802" w14:textId="77777777" w:rsidR="0075642B" w:rsidRPr="0075642B" w:rsidRDefault="0075642B" w:rsidP="0075642B">
            <w:pPr>
              <w:spacing w:before="0" w:after="0" w:line="240" w:lineRule="auto"/>
              <w:jc w:val="left"/>
              <w:rPr>
                <w:sz w:val="20"/>
                <w:szCs w:val="20"/>
                <w:lang w:val="en-IN"/>
              </w:rPr>
            </w:pPr>
          </w:p>
        </w:tc>
      </w:tr>
      <w:tr w:rsidR="0075642B" w:rsidRPr="0075642B" w14:paraId="275CB755"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0D6E290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56285C6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656E1FC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4CC6FEBF"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0927C83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5638D63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5D7F264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71ECE010" w14:textId="77777777" w:rsidR="0075642B" w:rsidRPr="0075642B" w:rsidRDefault="0075642B" w:rsidP="0075642B">
            <w:pPr>
              <w:spacing w:before="0" w:after="0" w:line="240" w:lineRule="auto"/>
              <w:jc w:val="left"/>
              <w:rPr>
                <w:sz w:val="20"/>
                <w:szCs w:val="20"/>
                <w:lang w:val="en-IN"/>
              </w:rPr>
            </w:pPr>
          </w:p>
        </w:tc>
      </w:tr>
      <w:tr w:rsidR="0075642B" w:rsidRPr="0075642B" w14:paraId="093DC8B7"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AF1F28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"COGS"</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1EF2C751"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"(COGS / Average Inventory)"</w:t>
            </w:r>
          </w:p>
        </w:tc>
        <w:tc>
          <w:tcPr>
            <w:tcW w:w="516" w:type="pct"/>
            <w:tcBorders>
              <w:top w:val="nil"/>
              <w:left w:val="nil"/>
              <w:bottom w:val="single" w:sz="4" w:space="0" w:color="auto"/>
              <w:right w:val="single" w:sz="4" w:space="0" w:color="auto"/>
            </w:tcBorders>
            <w:shd w:val="clear" w:color="000000" w:fill="FFFFFF"/>
            <w:noWrap/>
            <w:vAlign w:val="bottom"/>
            <w:hideMark/>
          </w:tcPr>
          <w:p w14:paraId="62D53BD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80,240.00 </w:t>
            </w:r>
          </w:p>
        </w:tc>
        <w:tc>
          <w:tcPr>
            <w:tcW w:w="474" w:type="pct"/>
            <w:tcBorders>
              <w:top w:val="nil"/>
              <w:left w:val="nil"/>
              <w:bottom w:val="single" w:sz="4" w:space="0" w:color="auto"/>
              <w:right w:val="single" w:sz="4" w:space="0" w:color="auto"/>
            </w:tcBorders>
            <w:shd w:val="clear" w:color="000000" w:fill="FFFFFF"/>
            <w:noWrap/>
            <w:vAlign w:val="bottom"/>
            <w:hideMark/>
          </w:tcPr>
          <w:p w14:paraId="2964FFD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79,113.00 </w:t>
            </w:r>
          </w:p>
        </w:tc>
        <w:tc>
          <w:tcPr>
            <w:tcW w:w="474" w:type="pct"/>
            <w:tcBorders>
              <w:top w:val="nil"/>
              <w:left w:val="nil"/>
              <w:bottom w:val="single" w:sz="4" w:space="0" w:color="auto"/>
              <w:right w:val="single" w:sz="4" w:space="0" w:color="auto"/>
            </w:tcBorders>
            <w:shd w:val="clear" w:color="000000" w:fill="FFFFFF"/>
            <w:noWrap/>
            <w:vAlign w:val="bottom"/>
            <w:hideMark/>
          </w:tcPr>
          <w:p w14:paraId="22B7D46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60,609.00 </w:t>
            </w:r>
          </w:p>
        </w:tc>
        <w:tc>
          <w:tcPr>
            <w:tcW w:w="516" w:type="pct"/>
            <w:tcBorders>
              <w:top w:val="nil"/>
              <w:left w:val="nil"/>
              <w:bottom w:val="single" w:sz="4" w:space="0" w:color="auto"/>
              <w:right w:val="single" w:sz="4" w:space="0" w:color="auto"/>
            </w:tcBorders>
            <w:shd w:val="clear" w:color="000000" w:fill="FFFFFF"/>
            <w:noWrap/>
            <w:vAlign w:val="bottom"/>
            <w:hideMark/>
          </w:tcPr>
          <w:p w14:paraId="015CC34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40,217.00 </w:t>
            </w:r>
          </w:p>
        </w:tc>
        <w:tc>
          <w:tcPr>
            <w:tcW w:w="474" w:type="pct"/>
            <w:tcBorders>
              <w:top w:val="nil"/>
              <w:left w:val="nil"/>
              <w:bottom w:val="single" w:sz="4" w:space="0" w:color="auto"/>
              <w:right w:val="single" w:sz="4" w:space="0" w:color="auto"/>
            </w:tcBorders>
            <w:shd w:val="clear" w:color="000000" w:fill="FFFFFF"/>
            <w:noWrap/>
            <w:vAlign w:val="bottom"/>
            <w:hideMark/>
          </w:tcPr>
          <w:p w14:paraId="5EBC02F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24,906.00 </w:t>
            </w:r>
          </w:p>
        </w:tc>
        <w:tc>
          <w:tcPr>
            <w:tcW w:w="61" w:type="pct"/>
            <w:vAlign w:val="center"/>
            <w:hideMark/>
          </w:tcPr>
          <w:p w14:paraId="6DCA697D" w14:textId="77777777" w:rsidR="0075642B" w:rsidRPr="0075642B" w:rsidRDefault="0075642B" w:rsidP="0075642B">
            <w:pPr>
              <w:spacing w:before="0" w:after="0" w:line="240" w:lineRule="auto"/>
              <w:jc w:val="left"/>
              <w:rPr>
                <w:sz w:val="20"/>
                <w:szCs w:val="20"/>
                <w:lang w:val="en-IN"/>
              </w:rPr>
            </w:pPr>
          </w:p>
        </w:tc>
      </w:tr>
      <w:tr w:rsidR="0075642B" w:rsidRPr="0075642B" w14:paraId="442FB3F6"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249C1F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Average Inventory"</w:t>
            </w:r>
          </w:p>
        </w:tc>
        <w:tc>
          <w:tcPr>
            <w:tcW w:w="1183" w:type="pct"/>
            <w:vMerge/>
            <w:tcBorders>
              <w:top w:val="nil"/>
              <w:left w:val="single" w:sz="4" w:space="0" w:color="auto"/>
              <w:bottom w:val="single" w:sz="4" w:space="0" w:color="auto"/>
              <w:right w:val="single" w:sz="4" w:space="0" w:color="auto"/>
            </w:tcBorders>
            <w:vAlign w:val="center"/>
            <w:hideMark/>
          </w:tcPr>
          <w:p w14:paraId="02A2DE07"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3D2C55F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12,821.50 </w:t>
            </w:r>
          </w:p>
        </w:tc>
        <w:tc>
          <w:tcPr>
            <w:tcW w:w="474" w:type="pct"/>
            <w:tcBorders>
              <w:top w:val="nil"/>
              <w:left w:val="nil"/>
              <w:bottom w:val="single" w:sz="4" w:space="0" w:color="auto"/>
              <w:right w:val="single" w:sz="4" w:space="0" w:color="auto"/>
            </w:tcBorders>
            <w:shd w:val="clear" w:color="000000" w:fill="FFFFFF"/>
            <w:noWrap/>
            <w:vAlign w:val="bottom"/>
            <w:hideMark/>
          </w:tcPr>
          <w:p w14:paraId="68EB7B2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13,232.50 </w:t>
            </w:r>
          </w:p>
        </w:tc>
        <w:tc>
          <w:tcPr>
            <w:tcW w:w="474" w:type="pct"/>
            <w:tcBorders>
              <w:top w:val="nil"/>
              <w:left w:val="nil"/>
              <w:bottom w:val="single" w:sz="4" w:space="0" w:color="auto"/>
              <w:right w:val="single" w:sz="4" w:space="0" w:color="auto"/>
            </w:tcBorders>
            <w:shd w:val="clear" w:color="000000" w:fill="FFFFFF"/>
            <w:noWrap/>
            <w:vAlign w:val="bottom"/>
            <w:hideMark/>
          </w:tcPr>
          <w:p w14:paraId="2CE0EA3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9,298.00 </w:t>
            </w:r>
          </w:p>
        </w:tc>
        <w:tc>
          <w:tcPr>
            <w:tcW w:w="516" w:type="pct"/>
            <w:tcBorders>
              <w:top w:val="nil"/>
              <w:left w:val="nil"/>
              <w:bottom w:val="single" w:sz="4" w:space="0" w:color="auto"/>
              <w:right w:val="single" w:sz="4" w:space="0" w:color="auto"/>
            </w:tcBorders>
            <w:shd w:val="clear" w:color="000000" w:fill="FFFFFF"/>
            <w:noWrap/>
            <w:vAlign w:val="bottom"/>
            <w:hideMark/>
          </w:tcPr>
          <w:p w14:paraId="4B858E9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4,929.00 </w:t>
            </w:r>
          </w:p>
        </w:tc>
        <w:tc>
          <w:tcPr>
            <w:tcW w:w="474" w:type="pct"/>
            <w:tcBorders>
              <w:top w:val="nil"/>
              <w:left w:val="nil"/>
              <w:bottom w:val="single" w:sz="4" w:space="0" w:color="auto"/>
              <w:right w:val="single" w:sz="4" w:space="0" w:color="auto"/>
            </w:tcBorders>
            <w:shd w:val="clear" w:color="000000" w:fill="FFFFFF"/>
            <w:noWrap/>
            <w:vAlign w:val="bottom"/>
            <w:hideMark/>
          </w:tcPr>
          <w:p w14:paraId="5DBC8F3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2,050.50 </w:t>
            </w:r>
          </w:p>
        </w:tc>
        <w:tc>
          <w:tcPr>
            <w:tcW w:w="61" w:type="pct"/>
            <w:vAlign w:val="center"/>
            <w:hideMark/>
          </w:tcPr>
          <w:p w14:paraId="25D053E8" w14:textId="77777777" w:rsidR="0075642B" w:rsidRPr="0075642B" w:rsidRDefault="0075642B" w:rsidP="0075642B">
            <w:pPr>
              <w:spacing w:before="0" w:after="0" w:line="240" w:lineRule="auto"/>
              <w:jc w:val="left"/>
              <w:rPr>
                <w:sz w:val="20"/>
                <w:szCs w:val="20"/>
                <w:lang w:val="en-IN"/>
              </w:rPr>
            </w:pPr>
          </w:p>
        </w:tc>
      </w:tr>
      <w:tr w:rsidR="0075642B" w:rsidRPr="0075642B" w14:paraId="06B4C2AF"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7517C58C"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"Inventory Turnover"</w:t>
            </w:r>
          </w:p>
        </w:tc>
        <w:tc>
          <w:tcPr>
            <w:tcW w:w="1183" w:type="pct"/>
            <w:vMerge/>
            <w:tcBorders>
              <w:top w:val="nil"/>
              <w:left w:val="single" w:sz="4" w:space="0" w:color="auto"/>
              <w:bottom w:val="single" w:sz="4" w:space="0" w:color="auto"/>
              <w:right w:val="single" w:sz="4" w:space="0" w:color="auto"/>
            </w:tcBorders>
            <w:vAlign w:val="center"/>
            <w:hideMark/>
          </w:tcPr>
          <w:p w14:paraId="2C027C41"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76658EC5"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6.26</w:t>
            </w:r>
          </w:p>
        </w:tc>
        <w:tc>
          <w:tcPr>
            <w:tcW w:w="474" w:type="pct"/>
            <w:tcBorders>
              <w:top w:val="nil"/>
              <w:left w:val="nil"/>
              <w:bottom w:val="single" w:sz="4" w:space="0" w:color="auto"/>
              <w:right w:val="single" w:sz="4" w:space="0" w:color="auto"/>
            </w:tcBorders>
            <w:shd w:val="clear" w:color="000000" w:fill="FFFFFF"/>
            <w:noWrap/>
            <w:vAlign w:val="bottom"/>
            <w:hideMark/>
          </w:tcPr>
          <w:p w14:paraId="31230E82"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5.98</w:t>
            </w:r>
          </w:p>
        </w:tc>
        <w:tc>
          <w:tcPr>
            <w:tcW w:w="474" w:type="pct"/>
            <w:tcBorders>
              <w:top w:val="nil"/>
              <w:left w:val="nil"/>
              <w:bottom w:val="single" w:sz="4" w:space="0" w:color="auto"/>
              <w:right w:val="single" w:sz="4" w:space="0" w:color="auto"/>
            </w:tcBorders>
            <w:shd w:val="clear" w:color="000000" w:fill="FFFFFF"/>
            <w:noWrap/>
            <w:vAlign w:val="bottom"/>
            <w:hideMark/>
          </w:tcPr>
          <w:p w14:paraId="28F05D48"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6.52</w:t>
            </w:r>
          </w:p>
        </w:tc>
        <w:tc>
          <w:tcPr>
            <w:tcW w:w="516" w:type="pct"/>
            <w:tcBorders>
              <w:top w:val="nil"/>
              <w:left w:val="nil"/>
              <w:bottom w:val="single" w:sz="4" w:space="0" w:color="auto"/>
              <w:right w:val="single" w:sz="4" w:space="0" w:color="auto"/>
            </w:tcBorders>
            <w:shd w:val="clear" w:color="000000" w:fill="FFFFFF"/>
            <w:noWrap/>
            <w:vAlign w:val="bottom"/>
            <w:hideMark/>
          </w:tcPr>
          <w:p w14:paraId="283754A5"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8.16</w:t>
            </w:r>
          </w:p>
        </w:tc>
        <w:tc>
          <w:tcPr>
            <w:tcW w:w="474" w:type="pct"/>
            <w:tcBorders>
              <w:top w:val="nil"/>
              <w:left w:val="nil"/>
              <w:bottom w:val="single" w:sz="4" w:space="0" w:color="auto"/>
              <w:right w:val="single" w:sz="4" w:space="0" w:color="auto"/>
            </w:tcBorders>
            <w:shd w:val="clear" w:color="000000" w:fill="FFFFFF"/>
            <w:noWrap/>
            <w:vAlign w:val="bottom"/>
            <w:hideMark/>
          </w:tcPr>
          <w:p w14:paraId="6DB70E56"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12.15</w:t>
            </w:r>
          </w:p>
        </w:tc>
        <w:tc>
          <w:tcPr>
            <w:tcW w:w="61" w:type="pct"/>
            <w:vAlign w:val="center"/>
            <w:hideMark/>
          </w:tcPr>
          <w:p w14:paraId="22ADF5A0" w14:textId="77777777" w:rsidR="0075642B" w:rsidRPr="0075642B" w:rsidRDefault="0075642B" w:rsidP="0075642B">
            <w:pPr>
              <w:spacing w:before="0" w:after="0" w:line="240" w:lineRule="auto"/>
              <w:jc w:val="left"/>
              <w:rPr>
                <w:sz w:val="20"/>
                <w:szCs w:val="20"/>
                <w:lang w:val="en-IN"/>
              </w:rPr>
            </w:pPr>
          </w:p>
        </w:tc>
      </w:tr>
      <w:tr w:rsidR="0075642B" w:rsidRPr="0075642B" w14:paraId="043B1549"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5F9D78F5"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1183" w:type="pct"/>
            <w:tcBorders>
              <w:top w:val="nil"/>
              <w:left w:val="nil"/>
              <w:bottom w:val="single" w:sz="4" w:space="0" w:color="auto"/>
              <w:right w:val="single" w:sz="4" w:space="0" w:color="auto"/>
            </w:tcBorders>
            <w:shd w:val="clear" w:color="000000" w:fill="FFFFFF"/>
            <w:vAlign w:val="center"/>
            <w:hideMark/>
          </w:tcPr>
          <w:p w14:paraId="3736307D"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34EEEAF3"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4CB84751"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5494BC80"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69105EAD"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340D0D6E"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61" w:type="pct"/>
            <w:vAlign w:val="center"/>
            <w:hideMark/>
          </w:tcPr>
          <w:p w14:paraId="73C91517" w14:textId="77777777" w:rsidR="0075642B" w:rsidRPr="0075642B" w:rsidRDefault="0075642B" w:rsidP="0075642B">
            <w:pPr>
              <w:spacing w:before="0" w:after="0" w:line="240" w:lineRule="auto"/>
              <w:jc w:val="left"/>
              <w:rPr>
                <w:sz w:val="20"/>
                <w:szCs w:val="20"/>
                <w:lang w:val="en-IN"/>
              </w:rPr>
            </w:pPr>
          </w:p>
        </w:tc>
      </w:tr>
      <w:tr w:rsidR="0075642B" w:rsidRPr="0075642B" w14:paraId="0DE15DD7"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9AC43C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"Asset Turnover"</w:t>
            </w:r>
          </w:p>
        </w:tc>
        <w:tc>
          <w:tcPr>
            <w:tcW w:w="61" w:type="pct"/>
            <w:vAlign w:val="center"/>
            <w:hideMark/>
          </w:tcPr>
          <w:p w14:paraId="10B1BE62" w14:textId="77777777" w:rsidR="0075642B" w:rsidRPr="0075642B" w:rsidRDefault="0075642B" w:rsidP="0075642B">
            <w:pPr>
              <w:spacing w:before="0" w:after="0" w:line="240" w:lineRule="auto"/>
              <w:jc w:val="left"/>
              <w:rPr>
                <w:sz w:val="20"/>
                <w:szCs w:val="20"/>
                <w:lang w:val="en-IN"/>
              </w:rPr>
            </w:pPr>
          </w:p>
        </w:tc>
      </w:tr>
      <w:tr w:rsidR="0075642B" w:rsidRPr="0075642B" w14:paraId="0FA4B422"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9D9C95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530DC5F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5270EA9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50E3F2AD"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53E1B88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1571F40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4FABA59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06FC1455" w14:textId="77777777" w:rsidR="0075642B" w:rsidRPr="0075642B" w:rsidRDefault="0075642B" w:rsidP="0075642B">
            <w:pPr>
              <w:spacing w:before="0" w:after="0" w:line="240" w:lineRule="auto"/>
              <w:jc w:val="left"/>
              <w:rPr>
                <w:sz w:val="20"/>
                <w:szCs w:val="20"/>
                <w:lang w:val="en-IN"/>
              </w:rPr>
            </w:pPr>
          </w:p>
        </w:tc>
      </w:tr>
      <w:tr w:rsidR="0075642B" w:rsidRPr="0075642B" w14:paraId="783607AE"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3C9F391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"Sales"</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435F19A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"(Sales / Total Assets)"</w:t>
            </w:r>
          </w:p>
        </w:tc>
        <w:tc>
          <w:tcPr>
            <w:tcW w:w="516" w:type="pct"/>
            <w:tcBorders>
              <w:top w:val="nil"/>
              <w:left w:val="nil"/>
              <w:bottom w:val="single" w:sz="4" w:space="0" w:color="auto"/>
              <w:right w:val="single" w:sz="4" w:space="0" w:color="auto"/>
            </w:tcBorders>
            <w:shd w:val="clear" w:color="000000" w:fill="FFFFFF"/>
            <w:noWrap/>
            <w:vAlign w:val="bottom"/>
            <w:hideMark/>
          </w:tcPr>
          <w:p w14:paraId="3267E8C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97,690.00 </w:t>
            </w:r>
          </w:p>
        </w:tc>
        <w:tc>
          <w:tcPr>
            <w:tcW w:w="474" w:type="pct"/>
            <w:tcBorders>
              <w:top w:val="nil"/>
              <w:left w:val="nil"/>
              <w:bottom w:val="single" w:sz="4" w:space="0" w:color="auto"/>
              <w:right w:val="single" w:sz="4" w:space="0" w:color="auto"/>
            </w:tcBorders>
            <w:shd w:val="clear" w:color="000000" w:fill="FFFFFF"/>
            <w:noWrap/>
            <w:vAlign w:val="bottom"/>
            <w:hideMark/>
          </w:tcPr>
          <w:p w14:paraId="5759A3E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96,773.00 </w:t>
            </w:r>
          </w:p>
        </w:tc>
        <w:tc>
          <w:tcPr>
            <w:tcW w:w="474" w:type="pct"/>
            <w:tcBorders>
              <w:top w:val="nil"/>
              <w:left w:val="nil"/>
              <w:bottom w:val="single" w:sz="4" w:space="0" w:color="auto"/>
              <w:right w:val="single" w:sz="4" w:space="0" w:color="auto"/>
            </w:tcBorders>
            <w:shd w:val="clear" w:color="000000" w:fill="FFFFFF"/>
            <w:noWrap/>
            <w:vAlign w:val="bottom"/>
            <w:hideMark/>
          </w:tcPr>
          <w:p w14:paraId="24F0F88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81,462.00 </w:t>
            </w:r>
          </w:p>
        </w:tc>
        <w:tc>
          <w:tcPr>
            <w:tcW w:w="516" w:type="pct"/>
            <w:tcBorders>
              <w:top w:val="nil"/>
              <w:left w:val="nil"/>
              <w:bottom w:val="single" w:sz="4" w:space="0" w:color="auto"/>
              <w:right w:val="single" w:sz="4" w:space="0" w:color="auto"/>
            </w:tcBorders>
            <w:shd w:val="clear" w:color="000000" w:fill="FFFFFF"/>
            <w:noWrap/>
            <w:vAlign w:val="bottom"/>
            <w:hideMark/>
          </w:tcPr>
          <w:p w14:paraId="4B7B54A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53,823.00 </w:t>
            </w:r>
          </w:p>
        </w:tc>
        <w:tc>
          <w:tcPr>
            <w:tcW w:w="474" w:type="pct"/>
            <w:tcBorders>
              <w:top w:val="nil"/>
              <w:left w:val="nil"/>
              <w:bottom w:val="single" w:sz="4" w:space="0" w:color="auto"/>
              <w:right w:val="single" w:sz="4" w:space="0" w:color="auto"/>
            </w:tcBorders>
            <w:shd w:val="clear" w:color="000000" w:fill="FFFFFF"/>
            <w:noWrap/>
            <w:vAlign w:val="bottom"/>
            <w:hideMark/>
          </w:tcPr>
          <w:p w14:paraId="556C071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31,536.00 </w:t>
            </w:r>
          </w:p>
        </w:tc>
        <w:tc>
          <w:tcPr>
            <w:tcW w:w="61" w:type="pct"/>
            <w:vAlign w:val="center"/>
            <w:hideMark/>
          </w:tcPr>
          <w:p w14:paraId="2C594843" w14:textId="77777777" w:rsidR="0075642B" w:rsidRPr="0075642B" w:rsidRDefault="0075642B" w:rsidP="0075642B">
            <w:pPr>
              <w:spacing w:before="0" w:after="0" w:line="240" w:lineRule="auto"/>
              <w:jc w:val="left"/>
              <w:rPr>
                <w:sz w:val="20"/>
                <w:szCs w:val="20"/>
                <w:lang w:val="en-IN"/>
              </w:rPr>
            </w:pPr>
          </w:p>
        </w:tc>
      </w:tr>
      <w:tr w:rsidR="0075642B" w:rsidRPr="0075642B" w14:paraId="0CD31B77"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BD19A2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Total Assets"</w:t>
            </w:r>
          </w:p>
        </w:tc>
        <w:tc>
          <w:tcPr>
            <w:tcW w:w="1183" w:type="pct"/>
            <w:vMerge/>
            <w:tcBorders>
              <w:top w:val="nil"/>
              <w:left w:val="single" w:sz="4" w:space="0" w:color="auto"/>
              <w:bottom w:val="single" w:sz="4" w:space="0" w:color="auto"/>
              <w:right w:val="single" w:sz="4" w:space="0" w:color="auto"/>
            </w:tcBorders>
            <w:vAlign w:val="center"/>
            <w:hideMark/>
          </w:tcPr>
          <w:p w14:paraId="431341B4"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54CC5C1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w:t>
            </w:r>
            <w:proofErr w:type="gramStart"/>
            <w:r w:rsidRPr="0075642B">
              <w:rPr>
                <w:rFonts w:ascii="Arial" w:hAnsi="Arial" w:cs="Arial"/>
                <w:color w:val="000000"/>
                <w:lang w:val="en-IN"/>
              </w:rPr>
              <w:t>$  1</w:t>
            </w:r>
            <w:proofErr w:type="gramEnd"/>
            <w:r w:rsidRPr="0075642B">
              <w:rPr>
                <w:rFonts w:ascii="Arial" w:hAnsi="Arial" w:cs="Arial"/>
                <w:color w:val="000000"/>
                <w:lang w:val="en-IN"/>
              </w:rPr>
              <w:t xml:space="preserve">,22,070.00 </w:t>
            </w:r>
          </w:p>
        </w:tc>
        <w:tc>
          <w:tcPr>
            <w:tcW w:w="474" w:type="pct"/>
            <w:tcBorders>
              <w:top w:val="nil"/>
              <w:left w:val="nil"/>
              <w:bottom w:val="single" w:sz="4" w:space="0" w:color="auto"/>
              <w:right w:val="single" w:sz="4" w:space="0" w:color="auto"/>
            </w:tcBorders>
            <w:shd w:val="clear" w:color="000000" w:fill="FFFFFF"/>
            <w:noWrap/>
            <w:vAlign w:val="bottom"/>
            <w:hideMark/>
          </w:tcPr>
          <w:p w14:paraId="3EF51BE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$1,06,618.00 </w:t>
            </w:r>
          </w:p>
        </w:tc>
        <w:tc>
          <w:tcPr>
            <w:tcW w:w="474" w:type="pct"/>
            <w:tcBorders>
              <w:top w:val="nil"/>
              <w:left w:val="nil"/>
              <w:bottom w:val="single" w:sz="4" w:space="0" w:color="auto"/>
              <w:right w:val="single" w:sz="4" w:space="0" w:color="auto"/>
            </w:tcBorders>
            <w:shd w:val="clear" w:color="000000" w:fill="FFFFFF"/>
            <w:noWrap/>
            <w:vAlign w:val="bottom"/>
            <w:hideMark/>
          </w:tcPr>
          <w:p w14:paraId="5C3BF59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82,338.00 </w:t>
            </w:r>
          </w:p>
        </w:tc>
        <w:tc>
          <w:tcPr>
            <w:tcW w:w="516" w:type="pct"/>
            <w:tcBorders>
              <w:top w:val="nil"/>
              <w:left w:val="nil"/>
              <w:bottom w:val="single" w:sz="4" w:space="0" w:color="auto"/>
              <w:right w:val="single" w:sz="4" w:space="0" w:color="auto"/>
            </w:tcBorders>
            <w:shd w:val="clear" w:color="000000" w:fill="FFFFFF"/>
            <w:noWrap/>
            <w:vAlign w:val="bottom"/>
            <w:hideMark/>
          </w:tcPr>
          <w:p w14:paraId="034A3E3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62,131.00 </w:t>
            </w:r>
          </w:p>
        </w:tc>
        <w:tc>
          <w:tcPr>
            <w:tcW w:w="474" w:type="pct"/>
            <w:tcBorders>
              <w:top w:val="nil"/>
              <w:left w:val="nil"/>
              <w:bottom w:val="single" w:sz="4" w:space="0" w:color="auto"/>
              <w:right w:val="single" w:sz="4" w:space="0" w:color="auto"/>
            </w:tcBorders>
            <w:shd w:val="clear" w:color="000000" w:fill="FFFFFF"/>
            <w:noWrap/>
            <w:vAlign w:val="bottom"/>
            <w:hideMark/>
          </w:tcPr>
          <w:p w14:paraId="52415D9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52,148.00 </w:t>
            </w:r>
          </w:p>
        </w:tc>
        <w:tc>
          <w:tcPr>
            <w:tcW w:w="61" w:type="pct"/>
            <w:vAlign w:val="center"/>
            <w:hideMark/>
          </w:tcPr>
          <w:p w14:paraId="30B0E1CC" w14:textId="77777777" w:rsidR="0075642B" w:rsidRPr="0075642B" w:rsidRDefault="0075642B" w:rsidP="0075642B">
            <w:pPr>
              <w:spacing w:before="0" w:after="0" w:line="240" w:lineRule="auto"/>
              <w:jc w:val="left"/>
              <w:rPr>
                <w:sz w:val="20"/>
                <w:szCs w:val="20"/>
                <w:lang w:val="en-IN"/>
              </w:rPr>
            </w:pPr>
          </w:p>
        </w:tc>
      </w:tr>
      <w:tr w:rsidR="0075642B" w:rsidRPr="0075642B" w14:paraId="1CF53FA6"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9D15B3B"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"Asset Turnover"</w:t>
            </w:r>
          </w:p>
        </w:tc>
        <w:tc>
          <w:tcPr>
            <w:tcW w:w="1183" w:type="pct"/>
            <w:vMerge/>
            <w:tcBorders>
              <w:top w:val="nil"/>
              <w:left w:val="single" w:sz="4" w:space="0" w:color="auto"/>
              <w:bottom w:val="single" w:sz="4" w:space="0" w:color="auto"/>
              <w:right w:val="single" w:sz="4" w:space="0" w:color="auto"/>
            </w:tcBorders>
            <w:vAlign w:val="center"/>
            <w:hideMark/>
          </w:tcPr>
          <w:p w14:paraId="0FA5A65A"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60EB7BD9"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0.80</w:t>
            </w:r>
          </w:p>
        </w:tc>
        <w:tc>
          <w:tcPr>
            <w:tcW w:w="474" w:type="pct"/>
            <w:tcBorders>
              <w:top w:val="nil"/>
              <w:left w:val="nil"/>
              <w:bottom w:val="single" w:sz="4" w:space="0" w:color="auto"/>
              <w:right w:val="single" w:sz="4" w:space="0" w:color="auto"/>
            </w:tcBorders>
            <w:shd w:val="clear" w:color="000000" w:fill="FFFFFF"/>
            <w:noWrap/>
            <w:vAlign w:val="bottom"/>
            <w:hideMark/>
          </w:tcPr>
          <w:p w14:paraId="44FB13AA"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0.91</w:t>
            </w:r>
          </w:p>
        </w:tc>
        <w:tc>
          <w:tcPr>
            <w:tcW w:w="474" w:type="pct"/>
            <w:tcBorders>
              <w:top w:val="nil"/>
              <w:left w:val="nil"/>
              <w:bottom w:val="single" w:sz="4" w:space="0" w:color="auto"/>
              <w:right w:val="single" w:sz="4" w:space="0" w:color="auto"/>
            </w:tcBorders>
            <w:shd w:val="clear" w:color="000000" w:fill="FFFFFF"/>
            <w:noWrap/>
            <w:vAlign w:val="bottom"/>
            <w:hideMark/>
          </w:tcPr>
          <w:p w14:paraId="6F2E46CF"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0.99</w:t>
            </w:r>
          </w:p>
        </w:tc>
        <w:tc>
          <w:tcPr>
            <w:tcW w:w="516" w:type="pct"/>
            <w:tcBorders>
              <w:top w:val="nil"/>
              <w:left w:val="nil"/>
              <w:bottom w:val="single" w:sz="4" w:space="0" w:color="auto"/>
              <w:right w:val="single" w:sz="4" w:space="0" w:color="auto"/>
            </w:tcBorders>
            <w:shd w:val="clear" w:color="000000" w:fill="FFFFFF"/>
            <w:noWrap/>
            <w:vAlign w:val="bottom"/>
            <w:hideMark/>
          </w:tcPr>
          <w:p w14:paraId="5D5F5C2C"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0.87</w:t>
            </w:r>
          </w:p>
        </w:tc>
        <w:tc>
          <w:tcPr>
            <w:tcW w:w="474" w:type="pct"/>
            <w:tcBorders>
              <w:top w:val="nil"/>
              <w:left w:val="nil"/>
              <w:bottom w:val="single" w:sz="4" w:space="0" w:color="auto"/>
              <w:right w:val="single" w:sz="4" w:space="0" w:color="auto"/>
            </w:tcBorders>
            <w:shd w:val="clear" w:color="000000" w:fill="FFFFFF"/>
            <w:noWrap/>
            <w:vAlign w:val="bottom"/>
            <w:hideMark/>
          </w:tcPr>
          <w:p w14:paraId="2E5FF042"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0.60</w:t>
            </w:r>
          </w:p>
        </w:tc>
        <w:tc>
          <w:tcPr>
            <w:tcW w:w="61" w:type="pct"/>
            <w:vAlign w:val="center"/>
            <w:hideMark/>
          </w:tcPr>
          <w:p w14:paraId="3190D983" w14:textId="77777777" w:rsidR="0075642B" w:rsidRPr="0075642B" w:rsidRDefault="0075642B" w:rsidP="0075642B">
            <w:pPr>
              <w:spacing w:before="0" w:after="0" w:line="240" w:lineRule="auto"/>
              <w:jc w:val="left"/>
              <w:rPr>
                <w:sz w:val="20"/>
                <w:szCs w:val="20"/>
                <w:lang w:val="en-IN"/>
              </w:rPr>
            </w:pPr>
          </w:p>
        </w:tc>
      </w:tr>
      <w:tr w:rsidR="0075642B" w:rsidRPr="0075642B" w14:paraId="5E8EFFE5"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07977A9B"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1183" w:type="pct"/>
            <w:tcBorders>
              <w:top w:val="nil"/>
              <w:left w:val="nil"/>
              <w:bottom w:val="single" w:sz="4" w:space="0" w:color="auto"/>
              <w:right w:val="single" w:sz="4" w:space="0" w:color="auto"/>
            </w:tcBorders>
            <w:shd w:val="clear" w:color="000000" w:fill="FFFFFF"/>
            <w:vAlign w:val="center"/>
            <w:hideMark/>
          </w:tcPr>
          <w:p w14:paraId="594741B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1DB19055"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3FFAC7D9"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12D1A7CD"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101F2065"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152A69A8"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61" w:type="pct"/>
            <w:vAlign w:val="center"/>
            <w:hideMark/>
          </w:tcPr>
          <w:p w14:paraId="172416E5" w14:textId="77777777" w:rsidR="0075642B" w:rsidRPr="0075642B" w:rsidRDefault="0075642B" w:rsidP="0075642B">
            <w:pPr>
              <w:spacing w:before="0" w:after="0" w:line="240" w:lineRule="auto"/>
              <w:jc w:val="left"/>
              <w:rPr>
                <w:sz w:val="20"/>
                <w:szCs w:val="20"/>
                <w:lang w:val="en-IN"/>
              </w:rPr>
            </w:pPr>
          </w:p>
        </w:tc>
      </w:tr>
      <w:tr w:rsidR="0075642B" w:rsidRPr="0075642B" w14:paraId="25F74971"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EFBD09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"Fixed Asset Turnover"</w:t>
            </w:r>
          </w:p>
        </w:tc>
        <w:tc>
          <w:tcPr>
            <w:tcW w:w="61" w:type="pct"/>
            <w:vAlign w:val="center"/>
            <w:hideMark/>
          </w:tcPr>
          <w:p w14:paraId="0D7D962F" w14:textId="77777777" w:rsidR="0075642B" w:rsidRPr="0075642B" w:rsidRDefault="0075642B" w:rsidP="0075642B">
            <w:pPr>
              <w:spacing w:before="0" w:after="0" w:line="240" w:lineRule="auto"/>
              <w:jc w:val="left"/>
              <w:rPr>
                <w:sz w:val="20"/>
                <w:szCs w:val="20"/>
                <w:lang w:val="en-IN"/>
              </w:rPr>
            </w:pPr>
          </w:p>
        </w:tc>
      </w:tr>
      <w:tr w:rsidR="0075642B" w:rsidRPr="0075642B" w14:paraId="0AE7D6AB"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AC928A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322955C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76CC753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1CBA2C4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2D41838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455F7C7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7B3640A2"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6B5A8687" w14:textId="77777777" w:rsidR="0075642B" w:rsidRPr="0075642B" w:rsidRDefault="0075642B" w:rsidP="0075642B">
            <w:pPr>
              <w:spacing w:before="0" w:after="0" w:line="240" w:lineRule="auto"/>
              <w:jc w:val="left"/>
              <w:rPr>
                <w:sz w:val="20"/>
                <w:szCs w:val="20"/>
                <w:lang w:val="en-IN"/>
              </w:rPr>
            </w:pPr>
          </w:p>
        </w:tc>
      </w:tr>
      <w:tr w:rsidR="0075642B" w:rsidRPr="0075642B" w14:paraId="0165F0A6"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7B2307B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lastRenderedPageBreak/>
              <w:t>"Sales"</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09EB7D5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"(Sales / Fixed Assets)"</w:t>
            </w:r>
          </w:p>
        </w:tc>
        <w:tc>
          <w:tcPr>
            <w:tcW w:w="516" w:type="pct"/>
            <w:tcBorders>
              <w:top w:val="nil"/>
              <w:left w:val="nil"/>
              <w:bottom w:val="single" w:sz="4" w:space="0" w:color="auto"/>
              <w:right w:val="single" w:sz="4" w:space="0" w:color="auto"/>
            </w:tcBorders>
            <w:shd w:val="clear" w:color="000000" w:fill="FFFFFF"/>
            <w:noWrap/>
            <w:vAlign w:val="bottom"/>
            <w:hideMark/>
          </w:tcPr>
          <w:p w14:paraId="2A33B99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97,690.00 </w:t>
            </w:r>
          </w:p>
        </w:tc>
        <w:tc>
          <w:tcPr>
            <w:tcW w:w="474" w:type="pct"/>
            <w:tcBorders>
              <w:top w:val="nil"/>
              <w:left w:val="nil"/>
              <w:bottom w:val="single" w:sz="4" w:space="0" w:color="auto"/>
              <w:right w:val="single" w:sz="4" w:space="0" w:color="auto"/>
            </w:tcBorders>
            <w:shd w:val="clear" w:color="000000" w:fill="FFFFFF"/>
            <w:noWrap/>
            <w:vAlign w:val="bottom"/>
            <w:hideMark/>
          </w:tcPr>
          <w:p w14:paraId="1D63809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96,773.00 </w:t>
            </w:r>
          </w:p>
        </w:tc>
        <w:tc>
          <w:tcPr>
            <w:tcW w:w="474" w:type="pct"/>
            <w:tcBorders>
              <w:top w:val="nil"/>
              <w:left w:val="nil"/>
              <w:bottom w:val="single" w:sz="4" w:space="0" w:color="auto"/>
              <w:right w:val="single" w:sz="4" w:space="0" w:color="auto"/>
            </w:tcBorders>
            <w:shd w:val="clear" w:color="000000" w:fill="FFFFFF"/>
            <w:noWrap/>
            <w:vAlign w:val="bottom"/>
            <w:hideMark/>
          </w:tcPr>
          <w:p w14:paraId="0D4802A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81,462.00 </w:t>
            </w:r>
          </w:p>
        </w:tc>
        <w:tc>
          <w:tcPr>
            <w:tcW w:w="516" w:type="pct"/>
            <w:tcBorders>
              <w:top w:val="nil"/>
              <w:left w:val="nil"/>
              <w:bottom w:val="single" w:sz="4" w:space="0" w:color="auto"/>
              <w:right w:val="single" w:sz="4" w:space="0" w:color="auto"/>
            </w:tcBorders>
            <w:shd w:val="clear" w:color="000000" w:fill="FFFFFF"/>
            <w:noWrap/>
            <w:vAlign w:val="bottom"/>
            <w:hideMark/>
          </w:tcPr>
          <w:p w14:paraId="1E9BBC6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53,823.00 </w:t>
            </w:r>
          </w:p>
        </w:tc>
        <w:tc>
          <w:tcPr>
            <w:tcW w:w="474" w:type="pct"/>
            <w:tcBorders>
              <w:top w:val="nil"/>
              <w:left w:val="nil"/>
              <w:bottom w:val="single" w:sz="4" w:space="0" w:color="auto"/>
              <w:right w:val="single" w:sz="4" w:space="0" w:color="auto"/>
            </w:tcBorders>
            <w:shd w:val="clear" w:color="000000" w:fill="FFFFFF"/>
            <w:noWrap/>
            <w:vAlign w:val="bottom"/>
            <w:hideMark/>
          </w:tcPr>
          <w:p w14:paraId="5797AA8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31,536.00 </w:t>
            </w:r>
          </w:p>
        </w:tc>
        <w:tc>
          <w:tcPr>
            <w:tcW w:w="61" w:type="pct"/>
            <w:vAlign w:val="center"/>
            <w:hideMark/>
          </w:tcPr>
          <w:p w14:paraId="707631EB" w14:textId="77777777" w:rsidR="0075642B" w:rsidRPr="0075642B" w:rsidRDefault="0075642B" w:rsidP="0075642B">
            <w:pPr>
              <w:spacing w:before="0" w:after="0" w:line="240" w:lineRule="auto"/>
              <w:jc w:val="left"/>
              <w:rPr>
                <w:sz w:val="20"/>
                <w:szCs w:val="20"/>
                <w:lang w:val="en-IN"/>
              </w:rPr>
            </w:pPr>
          </w:p>
        </w:tc>
      </w:tr>
      <w:tr w:rsidR="0075642B" w:rsidRPr="0075642B" w14:paraId="30981F6D"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3ECDAF8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Fixed Assets"</w:t>
            </w:r>
          </w:p>
        </w:tc>
        <w:tc>
          <w:tcPr>
            <w:tcW w:w="1183" w:type="pct"/>
            <w:vMerge/>
            <w:tcBorders>
              <w:top w:val="nil"/>
              <w:left w:val="single" w:sz="4" w:space="0" w:color="auto"/>
              <w:bottom w:val="single" w:sz="4" w:space="0" w:color="auto"/>
              <w:right w:val="single" w:sz="4" w:space="0" w:color="auto"/>
            </w:tcBorders>
            <w:vAlign w:val="center"/>
            <w:hideMark/>
          </w:tcPr>
          <w:p w14:paraId="73D4843F"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3AE249E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35,836.00 </w:t>
            </w:r>
          </w:p>
        </w:tc>
        <w:tc>
          <w:tcPr>
            <w:tcW w:w="474" w:type="pct"/>
            <w:tcBorders>
              <w:top w:val="nil"/>
              <w:left w:val="nil"/>
              <w:bottom w:val="single" w:sz="4" w:space="0" w:color="auto"/>
              <w:right w:val="single" w:sz="4" w:space="0" w:color="auto"/>
            </w:tcBorders>
            <w:shd w:val="clear" w:color="000000" w:fill="FFFFFF"/>
            <w:noWrap/>
            <w:vAlign w:val="bottom"/>
            <w:hideMark/>
          </w:tcPr>
          <w:p w14:paraId="163983F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29,725.00 </w:t>
            </w:r>
          </w:p>
        </w:tc>
        <w:tc>
          <w:tcPr>
            <w:tcW w:w="474" w:type="pct"/>
            <w:tcBorders>
              <w:top w:val="nil"/>
              <w:left w:val="nil"/>
              <w:bottom w:val="single" w:sz="4" w:space="0" w:color="auto"/>
              <w:right w:val="single" w:sz="4" w:space="0" w:color="auto"/>
            </w:tcBorders>
            <w:shd w:val="clear" w:color="000000" w:fill="FFFFFF"/>
            <w:noWrap/>
            <w:vAlign w:val="bottom"/>
            <w:hideMark/>
          </w:tcPr>
          <w:p w14:paraId="3788C09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23,548.00 </w:t>
            </w:r>
          </w:p>
        </w:tc>
        <w:tc>
          <w:tcPr>
            <w:tcW w:w="516" w:type="pct"/>
            <w:tcBorders>
              <w:top w:val="nil"/>
              <w:left w:val="nil"/>
              <w:bottom w:val="single" w:sz="4" w:space="0" w:color="auto"/>
              <w:right w:val="single" w:sz="4" w:space="0" w:color="auto"/>
            </w:tcBorders>
            <w:shd w:val="clear" w:color="000000" w:fill="FFFFFF"/>
            <w:noWrap/>
            <w:vAlign w:val="bottom"/>
            <w:hideMark/>
          </w:tcPr>
          <w:p w14:paraId="1452737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18,884.00 </w:t>
            </w:r>
          </w:p>
        </w:tc>
        <w:tc>
          <w:tcPr>
            <w:tcW w:w="474" w:type="pct"/>
            <w:tcBorders>
              <w:top w:val="nil"/>
              <w:left w:val="nil"/>
              <w:bottom w:val="single" w:sz="4" w:space="0" w:color="auto"/>
              <w:right w:val="single" w:sz="4" w:space="0" w:color="auto"/>
            </w:tcBorders>
            <w:shd w:val="clear" w:color="000000" w:fill="FFFFFF"/>
            <w:noWrap/>
            <w:vAlign w:val="bottom"/>
            <w:hideMark/>
          </w:tcPr>
          <w:p w14:paraId="3A23B48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12,747.00 </w:t>
            </w:r>
          </w:p>
        </w:tc>
        <w:tc>
          <w:tcPr>
            <w:tcW w:w="61" w:type="pct"/>
            <w:vAlign w:val="center"/>
            <w:hideMark/>
          </w:tcPr>
          <w:p w14:paraId="06D19043" w14:textId="77777777" w:rsidR="0075642B" w:rsidRPr="0075642B" w:rsidRDefault="0075642B" w:rsidP="0075642B">
            <w:pPr>
              <w:spacing w:before="0" w:after="0" w:line="240" w:lineRule="auto"/>
              <w:jc w:val="left"/>
              <w:rPr>
                <w:sz w:val="20"/>
                <w:szCs w:val="20"/>
                <w:lang w:val="en-IN"/>
              </w:rPr>
            </w:pPr>
          </w:p>
        </w:tc>
      </w:tr>
      <w:tr w:rsidR="0075642B" w:rsidRPr="0075642B" w14:paraId="1910DF73"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56FA5E34"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"Fixed Asset Turnover"</w:t>
            </w:r>
          </w:p>
        </w:tc>
        <w:tc>
          <w:tcPr>
            <w:tcW w:w="1183" w:type="pct"/>
            <w:vMerge/>
            <w:tcBorders>
              <w:top w:val="nil"/>
              <w:left w:val="single" w:sz="4" w:space="0" w:color="auto"/>
              <w:bottom w:val="single" w:sz="4" w:space="0" w:color="auto"/>
              <w:right w:val="single" w:sz="4" w:space="0" w:color="auto"/>
            </w:tcBorders>
            <w:vAlign w:val="center"/>
            <w:hideMark/>
          </w:tcPr>
          <w:p w14:paraId="5DFCE747"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4A416855"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2.73</w:t>
            </w:r>
          </w:p>
        </w:tc>
        <w:tc>
          <w:tcPr>
            <w:tcW w:w="474" w:type="pct"/>
            <w:tcBorders>
              <w:top w:val="nil"/>
              <w:left w:val="nil"/>
              <w:bottom w:val="single" w:sz="4" w:space="0" w:color="auto"/>
              <w:right w:val="single" w:sz="4" w:space="0" w:color="auto"/>
            </w:tcBorders>
            <w:shd w:val="clear" w:color="000000" w:fill="FFFFFF"/>
            <w:noWrap/>
            <w:vAlign w:val="bottom"/>
            <w:hideMark/>
          </w:tcPr>
          <w:p w14:paraId="4A4C610A"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3.26</w:t>
            </w:r>
          </w:p>
        </w:tc>
        <w:tc>
          <w:tcPr>
            <w:tcW w:w="474" w:type="pct"/>
            <w:tcBorders>
              <w:top w:val="nil"/>
              <w:left w:val="nil"/>
              <w:bottom w:val="single" w:sz="4" w:space="0" w:color="auto"/>
              <w:right w:val="single" w:sz="4" w:space="0" w:color="auto"/>
            </w:tcBorders>
            <w:shd w:val="clear" w:color="000000" w:fill="FFFFFF"/>
            <w:noWrap/>
            <w:vAlign w:val="bottom"/>
            <w:hideMark/>
          </w:tcPr>
          <w:p w14:paraId="6F33A681"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3.46</w:t>
            </w:r>
          </w:p>
        </w:tc>
        <w:tc>
          <w:tcPr>
            <w:tcW w:w="516" w:type="pct"/>
            <w:tcBorders>
              <w:top w:val="nil"/>
              <w:left w:val="nil"/>
              <w:bottom w:val="single" w:sz="4" w:space="0" w:color="auto"/>
              <w:right w:val="single" w:sz="4" w:space="0" w:color="auto"/>
            </w:tcBorders>
            <w:shd w:val="clear" w:color="000000" w:fill="FFFFFF"/>
            <w:noWrap/>
            <w:vAlign w:val="bottom"/>
            <w:hideMark/>
          </w:tcPr>
          <w:p w14:paraId="2B8795F4"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2.85</w:t>
            </w:r>
          </w:p>
        </w:tc>
        <w:tc>
          <w:tcPr>
            <w:tcW w:w="474" w:type="pct"/>
            <w:tcBorders>
              <w:top w:val="nil"/>
              <w:left w:val="nil"/>
              <w:bottom w:val="single" w:sz="4" w:space="0" w:color="auto"/>
              <w:right w:val="single" w:sz="4" w:space="0" w:color="auto"/>
            </w:tcBorders>
            <w:shd w:val="clear" w:color="000000" w:fill="FFFFFF"/>
            <w:noWrap/>
            <w:vAlign w:val="bottom"/>
            <w:hideMark/>
          </w:tcPr>
          <w:p w14:paraId="0B908B7C"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2.47</w:t>
            </w:r>
          </w:p>
        </w:tc>
        <w:tc>
          <w:tcPr>
            <w:tcW w:w="61" w:type="pct"/>
            <w:vAlign w:val="center"/>
            <w:hideMark/>
          </w:tcPr>
          <w:p w14:paraId="4343BF5B" w14:textId="77777777" w:rsidR="0075642B" w:rsidRPr="0075642B" w:rsidRDefault="0075642B" w:rsidP="0075642B">
            <w:pPr>
              <w:spacing w:before="0" w:after="0" w:line="240" w:lineRule="auto"/>
              <w:jc w:val="left"/>
              <w:rPr>
                <w:sz w:val="20"/>
                <w:szCs w:val="20"/>
                <w:lang w:val="en-IN"/>
              </w:rPr>
            </w:pPr>
          </w:p>
        </w:tc>
      </w:tr>
      <w:tr w:rsidR="0075642B" w:rsidRPr="0075642B" w14:paraId="413569E0" w14:textId="77777777" w:rsidTr="0075642B">
        <w:trPr>
          <w:trHeight w:val="312"/>
          <w:jc w:val="center"/>
        </w:trPr>
        <w:tc>
          <w:tcPr>
            <w:tcW w:w="4939" w:type="pct"/>
            <w:gridSpan w:val="7"/>
            <w:vMerge w:val="restart"/>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37590D01"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"Leverage (Gearing) Ratio"</w:t>
            </w:r>
          </w:p>
        </w:tc>
        <w:tc>
          <w:tcPr>
            <w:tcW w:w="61" w:type="pct"/>
            <w:vAlign w:val="center"/>
            <w:hideMark/>
          </w:tcPr>
          <w:p w14:paraId="6E54AB1D" w14:textId="77777777" w:rsidR="0075642B" w:rsidRPr="0075642B" w:rsidRDefault="0075642B" w:rsidP="0075642B">
            <w:pPr>
              <w:spacing w:before="0" w:after="0" w:line="240" w:lineRule="auto"/>
              <w:jc w:val="left"/>
              <w:rPr>
                <w:sz w:val="20"/>
                <w:szCs w:val="20"/>
                <w:lang w:val="en-IN"/>
              </w:rPr>
            </w:pPr>
          </w:p>
        </w:tc>
      </w:tr>
      <w:tr w:rsidR="0075642B" w:rsidRPr="0075642B" w14:paraId="68F2188F" w14:textId="77777777" w:rsidTr="0075642B">
        <w:trPr>
          <w:trHeight w:val="312"/>
          <w:jc w:val="center"/>
        </w:trPr>
        <w:tc>
          <w:tcPr>
            <w:tcW w:w="4939" w:type="pct"/>
            <w:gridSpan w:val="7"/>
            <w:vMerge/>
            <w:tcBorders>
              <w:top w:val="single" w:sz="4" w:space="0" w:color="auto"/>
              <w:left w:val="single" w:sz="4" w:space="0" w:color="auto"/>
              <w:bottom w:val="single" w:sz="4" w:space="0" w:color="auto"/>
              <w:right w:val="single" w:sz="4" w:space="0" w:color="auto"/>
            </w:tcBorders>
            <w:vAlign w:val="center"/>
            <w:hideMark/>
          </w:tcPr>
          <w:p w14:paraId="392B9768" w14:textId="77777777" w:rsidR="0075642B" w:rsidRPr="0075642B" w:rsidRDefault="0075642B" w:rsidP="0075642B">
            <w:pPr>
              <w:spacing w:before="0" w:after="0" w:line="240" w:lineRule="auto"/>
              <w:jc w:val="left"/>
              <w:rPr>
                <w:rFonts w:ascii="Arial" w:hAnsi="Arial" w:cs="Arial"/>
                <w:b/>
                <w:bCs/>
                <w:color w:val="000000"/>
                <w:lang w:val="en-IN"/>
              </w:rPr>
            </w:pPr>
          </w:p>
        </w:tc>
        <w:tc>
          <w:tcPr>
            <w:tcW w:w="61" w:type="pct"/>
            <w:tcBorders>
              <w:top w:val="nil"/>
              <w:left w:val="nil"/>
              <w:bottom w:val="nil"/>
              <w:right w:val="nil"/>
            </w:tcBorders>
            <w:noWrap/>
            <w:vAlign w:val="bottom"/>
            <w:hideMark/>
          </w:tcPr>
          <w:p w14:paraId="585C533C" w14:textId="77777777" w:rsidR="0075642B" w:rsidRPr="0075642B" w:rsidRDefault="0075642B" w:rsidP="0075642B">
            <w:pPr>
              <w:spacing w:before="0" w:after="0" w:line="240" w:lineRule="auto"/>
              <w:jc w:val="center"/>
              <w:rPr>
                <w:rFonts w:ascii="Arial" w:hAnsi="Arial" w:cs="Arial"/>
                <w:b/>
                <w:bCs/>
                <w:color w:val="000000"/>
                <w:lang w:val="en-IN"/>
              </w:rPr>
            </w:pPr>
          </w:p>
        </w:tc>
      </w:tr>
      <w:tr w:rsidR="0075642B" w:rsidRPr="0075642B" w14:paraId="6B53F2F0"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AA5182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"Debt to Equity Ratio"</w:t>
            </w:r>
          </w:p>
        </w:tc>
        <w:tc>
          <w:tcPr>
            <w:tcW w:w="61" w:type="pct"/>
            <w:vAlign w:val="center"/>
            <w:hideMark/>
          </w:tcPr>
          <w:p w14:paraId="1A9BF007" w14:textId="77777777" w:rsidR="0075642B" w:rsidRPr="0075642B" w:rsidRDefault="0075642B" w:rsidP="0075642B">
            <w:pPr>
              <w:spacing w:before="0" w:after="0" w:line="240" w:lineRule="auto"/>
              <w:jc w:val="left"/>
              <w:rPr>
                <w:sz w:val="20"/>
                <w:szCs w:val="20"/>
                <w:lang w:val="en-IN"/>
              </w:rPr>
            </w:pPr>
          </w:p>
        </w:tc>
      </w:tr>
      <w:tr w:rsidR="0075642B" w:rsidRPr="0075642B" w14:paraId="25B8F2FD"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0E9BDC7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0C64D39D"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1316EB7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71547F0F"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519B5730"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4F6CA64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1633C37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5ADE859E" w14:textId="77777777" w:rsidR="0075642B" w:rsidRPr="0075642B" w:rsidRDefault="0075642B" w:rsidP="0075642B">
            <w:pPr>
              <w:spacing w:before="0" w:after="0" w:line="240" w:lineRule="auto"/>
              <w:jc w:val="left"/>
              <w:rPr>
                <w:sz w:val="20"/>
                <w:szCs w:val="20"/>
                <w:lang w:val="en-IN"/>
              </w:rPr>
            </w:pPr>
          </w:p>
        </w:tc>
      </w:tr>
      <w:tr w:rsidR="0075642B" w:rsidRPr="0075642B" w14:paraId="45341BF7"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34E9FA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"Total Debt"</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3A5008B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"(Total debt/Total equity)"</w:t>
            </w:r>
          </w:p>
        </w:tc>
        <w:tc>
          <w:tcPr>
            <w:tcW w:w="516" w:type="pct"/>
            <w:tcBorders>
              <w:top w:val="nil"/>
              <w:left w:val="nil"/>
              <w:bottom w:val="single" w:sz="4" w:space="0" w:color="auto"/>
              <w:right w:val="single" w:sz="4" w:space="0" w:color="auto"/>
            </w:tcBorders>
            <w:shd w:val="clear" w:color="000000" w:fill="FFFFFF"/>
            <w:noWrap/>
            <w:vAlign w:val="bottom"/>
            <w:hideMark/>
          </w:tcPr>
          <w:p w14:paraId="2B6BF52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48,390.00 </w:t>
            </w:r>
          </w:p>
        </w:tc>
        <w:tc>
          <w:tcPr>
            <w:tcW w:w="474" w:type="pct"/>
            <w:tcBorders>
              <w:top w:val="nil"/>
              <w:left w:val="nil"/>
              <w:bottom w:val="single" w:sz="4" w:space="0" w:color="auto"/>
              <w:right w:val="single" w:sz="4" w:space="0" w:color="auto"/>
            </w:tcBorders>
            <w:shd w:val="clear" w:color="000000" w:fill="FFFFFF"/>
            <w:noWrap/>
            <w:vAlign w:val="bottom"/>
            <w:hideMark/>
          </w:tcPr>
          <w:p w14:paraId="67A9BA3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43,009.00 </w:t>
            </w:r>
          </w:p>
        </w:tc>
        <w:tc>
          <w:tcPr>
            <w:tcW w:w="474" w:type="pct"/>
            <w:tcBorders>
              <w:top w:val="nil"/>
              <w:left w:val="nil"/>
              <w:bottom w:val="single" w:sz="4" w:space="0" w:color="auto"/>
              <w:right w:val="single" w:sz="4" w:space="0" w:color="auto"/>
            </w:tcBorders>
            <w:shd w:val="clear" w:color="000000" w:fill="FFFFFF"/>
            <w:noWrap/>
            <w:vAlign w:val="bottom"/>
            <w:hideMark/>
          </w:tcPr>
          <w:p w14:paraId="755A3F1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36,440.00 </w:t>
            </w:r>
          </w:p>
        </w:tc>
        <w:tc>
          <w:tcPr>
            <w:tcW w:w="516" w:type="pct"/>
            <w:tcBorders>
              <w:top w:val="nil"/>
              <w:left w:val="nil"/>
              <w:bottom w:val="single" w:sz="4" w:space="0" w:color="auto"/>
              <w:right w:val="single" w:sz="4" w:space="0" w:color="auto"/>
            </w:tcBorders>
            <w:shd w:val="clear" w:color="000000" w:fill="FFFFFF"/>
            <w:noWrap/>
            <w:vAlign w:val="bottom"/>
            <w:hideMark/>
          </w:tcPr>
          <w:p w14:paraId="2232AD5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30,548.00 </w:t>
            </w:r>
          </w:p>
        </w:tc>
        <w:tc>
          <w:tcPr>
            <w:tcW w:w="474" w:type="pct"/>
            <w:tcBorders>
              <w:top w:val="nil"/>
              <w:left w:val="nil"/>
              <w:bottom w:val="single" w:sz="4" w:space="0" w:color="auto"/>
              <w:right w:val="single" w:sz="4" w:space="0" w:color="auto"/>
            </w:tcBorders>
            <w:shd w:val="clear" w:color="000000" w:fill="FFFFFF"/>
            <w:noWrap/>
            <w:vAlign w:val="bottom"/>
            <w:hideMark/>
          </w:tcPr>
          <w:p w14:paraId="0D30E31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28,418.00 </w:t>
            </w:r>
          </w:p>
        </w:tc>
        <w:tc>
          <w:tcPr>
            <w:tcW w:w="61" w:type="pct"/>
            <w:vAlign w:val="center"/>
            <w:hideMark/>
          </w:tcPr>
          <w:p w14:paraId="2785705B" w14:textId="77777777" w:rsidR="0075642B" w:rsidRPr="0075642B" w:rsidRDefault="0075642B" w:rsidP="0075642B">
            <w:pPr>
              <w:spacing w:before="0" w:after="0" w:line="240" w:lineRule="auto"/>
              <w:jc w:val="left"/>
              <w:rPr>
                <w:sz w:val="20"/>
                <w:szCs w:val="20"/>
                <w:lang w:val="en-IN"/>
              </w:rPr>
            </w:pPr>
          </w:p>
        </w:tc>
      </w:tr>
      <w:tr w:rsidR="0075642B" w:rsidRPr="0075642B" w14:paraId="16AD0DB2"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7B21A27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Total Equity"</w:t>
            </w:r>
          </w:p>
        </w:tc>
        <w:tc>
          <w:tcPr>
            <w:tcW w:w="1183" w:type="pct"/>
            <w:vMerge/>
            <w:tcBorders>
              <w:top w:val="nil"/>
              <w:left w:val="single" w:sz="4" w:space="0" w:color="auto"/>
              <w:bottom w:val="single" w:sz="4" w:space="0" w:color="auto"/>
              <w:right w:val="single" w:sz="4" w:space="0" w:color="auto"/>
            </w:tcBorders>
            <w:vAlign w:val="center"/>
            <w:hideMark/>
          </w:tcPr>
          <w:p w14:paraId="5462202B"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5378FE5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72,913.00 </w:t>
            </w:r>
          </w:p>
        </w:tc>
        <w:tc>
          <w:tcPr>
            <w:tcW w:w="474" w:type="pct"/>
            <w:tcBorders>
              <w:top w:val="nil"/>
              <w:left w:val="nil"/>
              <w:bottom w:val="single" w:sz="4" w:space="0" w:color="auto"/>
              <w:right w:val="single" w:sz="4" w:space="0" w:color="auto"/>
            </w:tcBorders>
            <w:shd w:val="clear" w:color="000000" w:fill="FFFFFF"/>
            <w:noWrap/>
            <w:vAlign w:val="bottom"/>
            <w:hideMark/>
          </w:tcPr>
          <w:p w14:paraId="63C23EF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62,634.00 </w:t>
            </w:r>
          </w:p>
        </w:tc>
        <w:tc>
          <w:tcPr>
            <w:tcW w:w="474" w:type="pct"/>
            <w:tcBorders>
              <w:top w:val="nil"/>
              <w:left w:val="nil"/>
              <w:bottom w:val="single" w:sz="4" w:space="0" w:color="auto"/>
              <w:right w:val="single" w:sz="4" w:space="0" w:color="auto"/>
            </w:tcBorders>
            <w:shd w:val="clear" w:color="000000" w:fill="FFFFFF"/>
            <w:noWrap/>
            <w:vAlign w:val="bottom"/>
            <w:hideMark/>
          </w:tcPr>
          <w:p w14:paraId="2DF5C6F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44,704.00 </w:t>
            </w:r>
          </w:p>
        </w:tc>
        <w:tc>
          <w:tcPr>
            <w:tcW w:w="516" w:type="pct"/>
            <w:tcBorders>
              <w:top w:val="nil"/>
              <w:left w:val="nil"/>
              <w:bottom w:val="single" w:sz="4" w:space="0" w:color="auto"/>
              <w:right w:val="single" w:sz="4" w:space="0" w:color="auto"/>
            </w:tcBorders>
            <w:shd w:val="clear" w:color="000000" w:fill="FFFFFF"/>
            <w:noWrap/>
            <w:vAlign w:val="bottom"/>
            <w:hideMark/>
          </w:tcPr>
          <w:p w14:paraId="48DEF80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30,189.00 </w:t>
            </w:r>
          </w:p>
        </w:tc>
        <w:tc>
          <w:tcPr>
            <w:tcW w:w="474" w:type="pct"/>
            <w:tcBorders>
              <w:top w:val="nil"/>
              <w:left w:val="nil"/>
              <w:bottom w:val="single" w:sz="4" w:space="0" w:color="auto"/>
              <w:right w:val="single" w:sz="4" w:space="0" w:color="auto"/>
            </w:tcBorders>
            <w:shd w:val="clear" w:color="000000" w:fill="FFFFFF"/>
            <w:noWrap/>
            <w:vAlign w:val="bottom"/>
            <w:hideMark/>
          </w:tcPr>
          <w:p w14:paraId="2CDD050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22,225.00 </w:t>
            </w:r>
          </w:p>
        </w:tc>
        <w:tc>
          <w:tcPr>
            <w:tcW w:w="61" w:type="pct"/>
            <w:vAlign w:val="center"/>
            <w:hideMark/>
          </w:tcPr>
          <w:p w14:paraId="361675AC" w14:textId="77777777" w:rsidR="0075642B" w:rsidRPr="0075642B" w:rsidRDefault="0075642B" w:rsidP="0075642B">
            <w:pPr>
              <w:spacing w:before="0" w:after="0" w:line="240" w:lineRule="auto"/>
              <w:jc w:val="left"/>
              <w:rPr>
                <w:sz w:val="20"/>
                <w:szCs w:val="20"/>
                <w:lang w:val="en-IN"/>
              </w:rPr>
            </w:pPr>
          </w:p>
        </w:tc>
      </w:tr>
      <w:tr w:rsidR="0075642B" w:rsidRPr="0075642B" w14:paraId="414E9DA5"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07F320B6"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"Debt to Equity Ratio"</w:t>
            </w:r>
          </w:p>
        </w:tc>
        <w:tc>
          <w:tcPr>
            <w:tcW w:w="1183" w:type="pct"/>
            <w:vMerge/>
            <w:tcBorders>
              <w:top w:val="nil"/>
              <w:left w:val="single" w:sz="4" w:space="0" w:color="auto"/>
              <w:bottom w:val="single" w:sz="4" w:space="0" w:color="auto"/>
              <w:right w:val="single" w:sz="4" w:space="0" w:color="auto"/>
            </w:tcBorders>
            <w:vAlign w:val="center"/>
            <w:hideMark/>
          </w:tcPr>
          <w:p w14:paraId="153A9EB1"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04E6A51A"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0.66</w:t>
            </w:r>
          </w:p>
        </w:tc>
        <w:tc>
          <w:tcPr>
            <w:tcW w:w="474" w:type="pct"/>
            <w:tcBorders>
              <w:top w:val="nil"/>
              <w:left w:val="nil"/>
              <w:bottom w:val="single" w:sz="4" w:space="0" w:color="auto"/>
              <w:right w:val="single" w:sz="4" w:space="0" w:color="auto"/>
            </w:tcBorders>
            <w:shd w:val="clear" w:color="000000" w:fill="FFFFFF"/>
            <w:noWrap/>
            <w:vAlign w:val="bottom"/>
            <w:hideMark/>
          </w:tcPr>
          <w:p w14:paraId="1F587DC9"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0.69</w:t>
            </w:r>
          </w:p>
        </w:tc>
        <w:tc>
          <w:tcPr>
            <w:tcW w:w="474" w:type="pct"/>
            <w:tcBorders>
              <w:top w:val="nil"/>
              <w:left w:val="nil"/>
              <w:bottom w:val="single" w:sz="4" w:space="0" w:color="auto"/>
              <w:right w:val="single" w:sz="4" w:space="0" w:color="auto"/>
            </w:tcBorders>
            <w:shd w:val="clear" w:color="000000" w:fill="FFFFFF"/>
            <w:noWrap/>
            <w:vAlign w:val="bottom"/>
            <w:hideMark/>
          </w:tcPr>
          <w:p w14:paraId="20DE495C"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0.82</w:t>
            </w:r>
          </w:p>
        </w:tc>
        <w:tc>
          <w:tcPr>
            <w:tcW w:w="516" w:type="pct"/>
            <w:tcBorders>
              <w:top w:val="nil"/>
              <w:left w:val="nil"/>
              <w:bottom w:val="single" w:sz="4" w:space="0" w:color="auto"/>
              <w:right w:val="single" w:sz="4" w:space="0" w:color="auto"/>
            </w:tcBorders>
            <w:shd w:val="clear" w:color="000000" w:fill="FFFFFF"/>
            <w:noWrap/>
            <w:vAlign w:val="bottom"/>
            <w:hideMark/>
          </w:tcPr>
          <w:p w14:paraId="0AB110E3"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1.01</w:t>
            </w:r>
          </w:p>
        </w:tc>
        <w:tc>
          <w:tcPr>
            <w:tcW w:w="474" w:type="pct"/>
            <w:tcBorders>
              <w:top w:val="nil"/>
              <w:left w:val="nil"/>
              <w:bottom w:val="single" w:sz="4" w:space="0" w:color="auto"/>
              <w:right w:val="single" w:sz="4" w:space="0" w:color="auto"/>
            </w:tcBorders>
            <w:shd w:val="clear" w:color="000000" w:fill="FFFFFF"/>
            <w:noWrap/>
            <w:vAlign w:val="bottom"/>
            <w:hideMark/>
          </w:tcPr>
          <w:p w14:paraId="45E18C5C"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1.28</w:t>
            </w:r>
          </w:p>
        </w:tc>
        <w:tc>
          <w:tcPr>
            <w:tcW w:w="61" w:type="pct"/>
            <w:vAlign w:val="center"/>
            <w:hideMark/>
          </w:tcPr>
          <w:p w14:paraId="78D29297" w14:textId="77777777" w:rsidR="0075642B" w:rsidRPr="0075642B" w:rsidRDefault="0075642B" w:rsidP="0075642B">
            <w:pPr>
              <w:spacing w:before="0" w:after="0" w:line="240" w:lineRule="auto"/>
              <w:jc w:val="left"/>
              <w:rPr>
                <w:sz w:val="20"/>
                <w:szCs w:val="20"/>
                <w:lang w:val="en-IN"/>
              </w:rPr>
            </w:pPr>
          </w:p>
        </w:tc>
      </w:tr>
      <w:tr w:rsidR="0075642B" w:rsidRPr="0075642B" w14:paraId="755B3699"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002A746" w14:textId="77777777" w:rsidR="0075642B" w:rsidRPr="0075642B" w:rsidRDefault="0075642B" w:rsidP="0075642B">
            <w:pPr>
              <w:spacing w:before="0" w:after="0" w:line="240" w:lineRule="auto"/>
              <w:jc w:val="center"/>
              <w:rPr>
                <w:rFonts w:ascii="Arial" w:hAnsi="Arial" w:cs="Arial"/>
                <w:color w:val="000000"/>
                <w:lang w:val="en-IN"/>
              </w:rPr>
            </w:pPr>
            <w:r w:rsidRPr="0075642B">
              <w:rPr>
                <w:rFonts w:ascii="Arial" w:hAnsi="Arial" w:cs="Arial"/>
                <w:color w:val="000000"/>
                <w:lang w:val="en-IN"/>
              </w:rPr>
              <w:t> </w:t>
            </w:r>
          </w:p>
        </w:tc>
        <w:tc>
          <w:tcPr>
            <w:tcW w:w="61" w:type="pct"/>
            <w:vAlign w:val="center"/>
            <w:hideMark/>
          </w:tcPr>
          <w:p w14:paraId="00D7E43A" w14:textId="77777777" w:rsidR="0075642B" w:rsidRPr="0075642B" w:rsidRDefault="0075642B" w:rsidP="0075642B">
            <w:pPr>
              <w:spacing w:before="0" w:after="0" w:line="240" w:lineRule="auto"/>
              <w:jc w:val="left"/>
              <w:rPr>
                <w:sz w:val="20"/>
                <w:szCs w:val="20"/>
                <w:lang w:val="en-IN"/>
              </w:rPr>
            </w:pPr>
          </w:p>
        </w:tc>
      </w:tr>
      <w:tr w:rsidR="0075642B" w:rsidRPr="0075642B" w14:paraId="4408FF3A"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74A75B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"Interest Coverage Ratios"</w:t>
            </w:r>
          </w:p>
        </w:tc>
        <w:tc>
          <w:tcPr>
            <w:tcW w:w="61" w:type="pct"/>
            <w:vAlign w:val="center"/>
            <w:hideMark/>
          </w:tcPr>
          <w:p w14:paraId="0E934D4B" w14:textId="77777777" w:rsidR="0075642B" w:rsidRPr="0075642B" w:rsidRDefault="0075642B" w:rsidP="0075642B">
            <w:pPr>
              <w:spacing w:before="0" w:after="0" w:line="240" w:lineRule="auto"/>
              <w:jc w:val="left"/>
              <w:rPr>
                <w:sz w:val="20"/>
                <w:szCs w:val="20"/>
                <w:lang w:val="en-IN"/>
              </w:rPr>
            </w:pPr>
          </w:p>
        </w:tc>
      </w:tr>
      <w:tr w:rsidR="0075642B" w:rsidRPr="0075642B" w14:paraId="33C1CB5C"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8342AC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74595ABF"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22FB3E6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1B9600B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64A6134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523F018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562A9DB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3BF1511E" w14:textId="77777777" w:rsidR="0075642B" w:rsidRPr="0075642B" w:rsidRDefault="0075642B" w:rsidP="0075642B">
            <w:pPr>
              <w:spacing w:before="0" w:after="0" w:line="240" w:lineRule="auto"/>
              <w:jc w:val="left"/>
              <w:rPr>
                <w:sz w:val="20"/>
                <w:szCs w:val="20"/>
                <w:lang w:val="en-IN"/>
              </w:rPr>
            </w:pPr>
          </w:p>
        </w:tc>
      </w:tr>
      <w:tr w:rsidR="0075642B" w:rsidRPr="0075642B" w14:paraId="6468019D"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CA34BA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"EBIT"</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0F995D12"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"(EBIT/ Interest Expenses)"</w:t>
            </w:r>
          </w:p>
        </w:tc>
        <w:tc>
          <w:tcPr>
            <w:tcW w:w="516" w:type="pct"/>
            <w:tcBorders>
              <w:top w:val="nil"/>
              <w:left w:val="nil"/>
              <w:bottom w:val="single" w:sz="4" w:space="0" w:color="auto"/>
              <w:right w:val="single" w:sz="4" w:space="0" w:color="auto"/>
            </w:tcBorders>
            <w:shd w:val="clear" w:color="000000" w:fill="FFFFFF"/>
            <w:noWrap/>
            <w:vAlign w:val="bottom"/>
            <w:hideMark/>
          </w:tcPr>
          <w:p w14:paraId="09943F8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8,990.00 </w:t>
            </w:r>
          </w:p>
        </w:tc>
        <w:tc>
          <w:tcPr>
            <w:tcW w:w="474" w:type="pct"/>
            <w:tcBorders>
              <w:top w:val="nil"/>
              <w:left w:val="nil"/>
              <w:bottom w:val="single" w:sz="4" w:space="0" w:color="auto"/>
              <w:right w:val="single" w:sz="4" w:space="0" w:color="auto"/>
            </w:tcBorders>
            <w:shd w:val="clear" w:color="000000" w:fill="FFFFFF"/>
            <w:noWrap/>
            <w:vAlign w:val="bottom"/>
            <w:hideMark/>
          </w:tcPr>
          <w:p w14:paraId="1754E1A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9,973.00 </w:t>
            </w:r>
          </w:p>
        </w:tc>
        <w:tc>
          <w:tcPr>
            <w:tcW w:w="474" w:type="pct"/>
            <w:tcBorders>
              <w:top w:val="nil"/>
              <w:left w:val="nil"/>
              <w:bottom w:val="single" w:sz="4" w:space="0" w:color="auto"/>
              <w:right w:val="single" w:sz="4" w:space="0" w:color="auto"/>
            </w:tcBorders>
            <w:shd w:val="clear" w:color="000000" w:fill="FFFFFF"/>
            <w:noWrap/>
            <w:vAlign w:val="bottom"/>
            <w:hideMark/>
          </w:tcPr>
          <w:p w14:paraId="2E626AF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13,719.00 </w:t>
            </w:r>
          </w:p>
        </w:tc>
        <w:tc>
          <w:tcPr>
            <w:tcW w:w="516" w:type="pct"/>
            <w:tcBorders>
              <w:top w:val="nil"/>
              <w:left w:val="nil"/>
              <w:bottom w:val="single" w:sz="4" w:space="0" w:color="auto"/>
              <w:right w:val="single" w:sz="4" w:space="0" w:color="auto"/>
            </w:tcBorders>
            <w:shd w:val="clear" w:color="000000" w:fill="FFFFFF"/>
            <w:noWrap/>
            <w:vAlign w:val="bottom"/>
            <w:hideMark/>
          </w:tcPr>
          <w:p w14:paraId="10AE334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6,343.00 </w:t>
            </w:r>
          </w:p>
        </w:tc>
        <w:tc>
          <w:tcPr>
            <w:tcW w:w="474" w:type="pct"/>
            <w:tcBorders>
              <w:top w:val="nil"/>
              <w:left w:val="nil"/>
              <w:bottom w:val="single" w:sz="4" w:space="0" w:color="auto"/>
              <w:right w:val="single" w:sz="4" w:space="0" w:color="auto"/>
            </w:tcBorders>
            <w:shd w:val="clear" w:color="000000" w:fill="FFFFFF"/>
            <w:noWrap/>
            <w:vAlign w:val="bottom"/>
            <w:hideMark/>
          </w:tcPr>
          <w:p w14:paraId="05F2622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1,154.00 </w:t>
            </w:r>
          </w:p>
        </w:tc>
        <w:tc>
          <w:tcPr>
            <w:tcW w:w="61" w:type="pct"/>
            <w:vAlign w:val="center"/>
            <w:hideMark/>
          </w:tcPr>
          <w:p w14:paraId="3EABEB20" w14:textId="77777777" w:rsidR="0075642B" w:rsidRPr="0075642B" w:rsidRDefault="0075642B" w:rsidP="0075642B">
            <w:pPr>
              <w:spacing w:before="0" w:after="0" w:line="240" w:lineRule="auto"/>
              <w:jc w:val="left"/>
              <w:rPr>
                <w:sz w:val="20"/>
                <w:szCs w:val="20"/>
                <w:lang w:val="en-IN"/>
              </w:rPr>
            </w:pPr>
          </w:p>
        </w:tc>
      </w:tr>
      <w:tr w:rsidR="0075642B" w:rsidRPr="0075642B" w14:paraId="2E4BD0B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0512DFD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Interest Expense"</w:t>
            </w:r>
          </w:p>
        </w:tc>
        <w:tc>
          <w:tcPr>
            <w:tcW w:w="1183" w:type="pct"/>
            <w:vMerge/>
            <w:tcBorders>
              <w:top w:val="nil"/>
              <w:left w:val="single" w:sz="4" w:space="0" w:color="auto"/>
              <w:bottom w:val="single" w:sz="4" w:space="0" w:color="auto"/>
              <w:right w:val="single" w:sz="4" w:space="0" w:color="auto"/>
            </w:tcBorders>
            <w:vAlign w:val="center"/>
            <w:hideMark/>
          </w:tcPr>
          <w:p w14:paraId="40213176"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5473623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350.00 </w:t>
            </w:r>
          </w:p>
        </w:tc>
        <w:tc>
          <w:tcPr>
            <w:tcW w:w="474" w:type="pct"/>
            <w:tcBorders>
              <w:top w:val="nil"/>
              <w:left w:val="nil"/>
              <w:bottom w:val="single" w:sz="4" w:space="0" w:color="auto"/>
              <w:right w:val="single" w:sz="4" w:space="0" w:color="auto"/>
            </w:tcBorders>
            <w:shd w:val="clear" w:color="000000" w:fill="FFFFFF"/>
            <w:noWrap/>
            <w:vAlign w:val="bottom"/>
            <w:hideMark/>
          </w:tcPr>
          <w:p w14:paraId="698BDCD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156.00 </w:t>
            </w:r>
          </w:p>
        </w:tc>
        <w:tc>
          <w:tcPr>
            <w:tcW w:w="474" w:type="pct"/>
            <w:tcBorders>
              <w:top w:val="nil"/>
              <w:left w:val="nil"/>
              <w:bottom w:val="single" w:sz="4" w:space="0" w:color="auto"/>
              <w:right w:val="single" w:sz="4" w:space="0" w:color="auto"/>
            </w:tcBorders>
            <w:shd w:val="clear" w:color="000000" w:fill="FFFFFF"/>
            <w:noWrap/>
            <w:vAlign w:val="bottom"/>
            <w:hideMark/>
          </w:tcPr>
          <w:p w14:paraId="35A38CB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191.00 </w:t>
            </w:r>
          </w:p>
        </w:tc>
        <w:tc>
          <w:tcPr>
            <w:tcW w:w="516" w:type="pct"/>
            <w:tcBorders>
              <w:top w:val="nil"/>
              <w:left w:val="nil"/>
              <w:bottom w:val="single" w:sz="4" w:space="0" w:color="auto"/>
              <w:right w:val="single" w:sz="4" w:space="0" w:color="auto"/>
            </w:tcBorders>
            <w:shd w:val="clear" w:color="000000" w:fill="FFFFFF"/>
            <w:noWrap/>
            <w:vAlign w:val="bottom"/>
            <w:hideMark/>
          </w:tcPr>
          <w:p w14:paraId="5E5AA1F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371.00 </w:t>
            </w:r>
          </w:p>
        </w:tc>
        <w:tc>
          <w:tcPr>
            <w:tcW w:w="474" w:type="pct"/>
            <w:tcBorders>
              <w:top w:val="nil"/>
              <w:left w:val="nil"/>
              <w:bottom w:val="single" w:sz="4" w:space="0" w:color="auto"/>
              <w:right w:val="single" w:sz="4" w:space="0" w:color="auto"/>
            </w:tcBorders>
            <w:shd w:val="clear" w:color="000000" w:fill="FFFFFF"/>
            <w:noWrap/>
            <w:vAlign w:val="bottom"/>
            <w:hideMark/>
          </w:tcPr>
          <w:p w14:paraId="5605991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748.00 </w:t>
            </w:r>
          </w:p>
        </w:tc>
        <w:tc>
          <w:tcPr>
            <w:tcW w:w="61" w:type="pct"/>
            <w:vAlign w:val="center"/>
            <w:hideMark/>
          </w:tcPr>
          <w:p w14:paraId="2FCEDEF3" w14:textId="77777777" w:rsidR="0075642B" w:rsidRPr="0075642B" w:rsidRDefault="0075642B" w:rsidP="0075642B">
            <w:pPr>
              <w:spacing w:before="0" w:after="0" w:line="240" w:lineRule="auto"/>
              <w:jc w:val="left"/>
              <w:rPr>
                <w:sz w:val="20"/>
                <w:szCs w:val="20"/>
                <w:lang w:val="en-IN"/>
              </w:rPr>
            </w:pPr>
          </w:p>
        </w:tc>
      </w:tr>
      <w:tr w:rsidR="0075642B" w:rsidRPr="0075642B" w14:paraId="7C51F310"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D92DE6A"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"Interest Coverage Ratios"</w:t>
            </w:r>
          </w:p>
        </w:tc>
        <w:tc>
          <w:tcPr>
            <w:tcW w:w="1183" w:type="pct"/>
            <w:vMerge/>
            <w:tcBorders>
              <w:top w:val="nil"/>
              <w:left w:val="single" w:sz="4" w:space="0" w:color="auto"/>
              <w:bottom w:val="single" w:sz="4" w:space="0" w:color="auto"/>
              <w:right w:val="single" w:sz="4" w:space="0" w:color="auto"/>
            </w:tcBorders>
            <w:vAlign w:val="center"/>
            <w:hideMark/>
          </w:tcPr>
          <w:p w14:paraId="766B4B7E"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0D3C0974"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25.69</w:t>
            </w:r>
          </w:p>
        </w:tc>
        <w:tc>
          <w:tcPr>
            <w:tcW w:w="474" w:type="pct"/>
            <w:tcBorders>
              <w:top w:val="nil"/>
              <w:left w:val="nil"/>
              <w:bottom w:val="single" w:sz="4" w:space="0" w:color="auto"/>
              <w:right w:val="single" w:sz="4" w:space="0" w:color="auto"/>
            </w:tcBorders>
            <w:shd w:val="clear" w:color="000000" w:fill="FFFFFF"/>
            <w:noWrap/>
            <w:vAlign w:val="bottom"/>
            <w:hideMark/>
          </w:tcPr>
          <w:p w14:paraId="5343512D"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63.93</w:t>
            </w:r>
          </w:p>
        </w:tc>
        <w:tc>
          <w:tcPr>
            <w:tcW w:w="474" w:type="pct"/>
            <w:tcBorders>
              <w:top w:val="nil"/>
              <w:left w:val="nil"/>
              <w:bottom w:val="single" w:sz="4" w:space="0" w:color="auto"/>
              <w:right w:val="single" w:sz="4" w:space="0" w:color="auto"/>
            </w:tcBorders>
            <w:shd w:val="clear" w:color="000000" w:fill="FFFFFF"/>
            <w:noWrap/>
            <w:vAlign w:val="bottom"/>
            <w:hideMark/>
          </w:tcPr>
          <w:p w14:paraId="588E015D"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71.83</w:t>
            </w:r>
          </w:p>
        </w:tc>
        <w:tc>
          <w:tcPr>
            <w:tcW w:w="516" w:type="pct"/>
            <w:tcBorders>
              <w:top w:val="nil"/>
              <w:left w:val="nil"/>
              <w:bottom w:val="single" w:sz="4" w:space="0" w:color="auto"/>
              <w:right w:val="single" w:sz="4" w:space="0" w:color="auto"/>
            </w:tcBorders>
            <w:shd w:val="clear" w:color="000000" w:fill="FFFFFF"/>
            <w:noWrap/>
            <w:vAlign w:val="bottom"/>
            <w:hideMark/>
          </w:tcPr>
          <w:p w14:paraId="5AD73AB4"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17.10</w:t>
            </w:r>
          </w:p>
        </w:tc>
        <w:tc>
          <w:tcPr>
            <w:tcW w:w="474" w:type="pct"/>
            <w:tcBorders>
              <w:top w:val="nil"/>
              <w:left w:val="nil"/>
              <w:bottom w:val="single" w:sz="4" w:space="0" w:color="auto"/>
              <w:right w:val="single" w:sz="4" w:space="0" w:color="auto"/>
            </w:tcBorders>
            <w:shd w:val="clear" w:color="000000" w:fill="FFFFFF"/>
            <w:noWrap/>
            <w:vAlign w:val="bottom"/>
            <w:hideMark/>
          </w:tcPr>
          <w:p w14:paraId="0DF3F724"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1.54</w:t>
            </w:r>
          </w:p>
        </w:tc>
        <w:tc>
          <w:tcPr>
            <w:tcW w:w="61" w:type="pct"/>
            <w:vAlign w:val="center"/>
            <w:hideMark/>
          </w:tcPr>
          <w:p w14:paraId="635CDB32" w14:textId="77777777" w:rsidR="0075642B" w:rsidRPr="0075642B" w:rsidRDefault="0075642B" w:rsidP="0075642B">
            <w:pPr>
              <w:spacing w:before="0" w:after="0" w:line="240" w:lineRule="auto"/>
              <w:jc w:val="left"/>
              <w:rPr>
                <w:sz w:val="20"/>
                <w:szCs w:val="20"/>
                <w:lang w:val="en-IN"/>
              </w:rPr>
            </w:pPr>
          </w:p>
        </w:tc>
      </w:tr>
      <w:tr w:rsidR="0075642B" w:rsidRPr="0075642B" w14:paraId="3D6FBDC9"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EE6AE36"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1183" w:type="pct"/>
            <w:tcBorders>
              <w:top w:val="nil"/>
              <w:left w:val="nil"/>
              <w:bottom w:val="single" w:sz="4" w:space="0" w:color="auto"/>
              <w:right w:val="single" w:sz="4" w:space="0" w:color="auto"/>
            </w:tcBorders>
            <w:shd w:val="clear" w:color="000000" w:fill="FFFFFF"/>
            <w:vAlign w:val="center"/>
            <w:hideMark/>
          </w:tcPr>
          <w:p w14:paraId="22B64222"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4513D736"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253409B0"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58645AF6"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1D0267C9"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00544A63"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61" w:type="pct"/>
            <w:vAlign w:val="center"/>
            <w:hideMark/>
          </w:tcPr>
          <w:p w14:paraId="3CB66C91" w14:textId="77777777" w:rsidR="0075642B" w:rsidRPr="0075642B" w:rsidRDefault="0075642B" w:rsidP="0075642B">
            <w:pPr>
              <w:spacing w:before="0" w:after="0" w:line="240" w:lineRule="auto"/>
              <w:jc w:val="left"/>
              <w:rPr>
                <w:sz w:val="20"/>
                <w:szCs w:val="20"/>
                <w:lang w:val="en-IN"/>
              </w:rPr>
            </w:pPr>
          </w:p>
        </w:tc>
      </w:tr>
      <w:tr w:rsidR="0075642B" w:rsidRPr="0075642B" w14:paraId="6D58867E"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2D0985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"Debt-to-Capital Ratio "</w:t>
            </w:r>
          </w:p>
        </w:tc>
        <w:tc>
          <w:tcPr>
            <w:tcW w:w="61" w:type="pct"/>
            <w:vAlign w:val="center"/>
            <w:hideMark/>
          </w:tcPr>
          <w:p w14:paraId="17713705" w14:textId="77777777" w:rsidR="0075642B" w:rsidRPr="0075642B" w:rsidRDefault="0075642B" w:rsidP="0075642B">
            <w:pPr>
              <w:spacing w:before="0" w:after="0" w:line="240" w:lineRule="auto"/>
              <w:jc w:val="left"/>
              <w:rPr>
                <w:sz w:val="20"/>
                <w:szCs w:val="20"/>
                <w:lang w:val="en-IN"/>
              </w:rPr>
            </w:pPr>
          </w:p>
        </w:tc>
      </w:tr>
      <w:tr w:rsidR="0075642B" w:rsidRPr="0075642B" w14:paraId="2D1108F2"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782C922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60EF97BD"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629D2911"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423D513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45623F6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6526BBF0"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1A04D38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4632FC97" w14:textId="77777777" w:rsidR="0075642B" w:rsidRPr="0075642B" w:rsidRDefault="0075642B" w:rsidP="0075642B">
            <w:pPr>
              <w:spacing w:before="0" w:after="0" w:line="240" w:lineRule="auto"/>
              <w:jc w:val="left"/>
              <w:rPr>
                <w:sz w:val="20"/>
                <w:szCs w:val="20"/>
                <w:lang w:val="en-IN"/>
              </w:rPr>
            </w:pPr>
          </w:p>
        </w:tc>
      </w:tr>
      <w:tr w:rsidR="0075642B" w:rsidRPr="0075642B" w14:paraId="5CF1C9AD"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0190E87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"Total Debt"</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2F32A15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"Total Debt / (Total Equity + Total Debt)"</w:t>
            </w:r>
          </w:p>
        </w:tc>
        <w:tc>
          <w:tcPr>
            <w:tcW w:w="516" w:type="pct"/>
            <w:tcBorders>
              <w:top w:val="nil"/>
              <w:left w:val="nil"/>
              <w:bottom w:val="single" w:sz="4" w:space="0" w:color="auto"/>
              <w:right w:val="single" w:sz="4" w:space="0" w:color="auto"/>
            </w:tcBorders>
            <w:shd w:val="clear" w:color="000000" w:fill="FFFFFF"/>
            <w:noWrap/>
            <w:vAlign w:val="bottom"/>
            <w:hideMark/>
          </w:tcPr>
          <w:p w14:paraId="4464D32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48,390.00 </w:t>
            </w:r>
          </w:p>
        </w:tc>
        <w:tc>
          <w:tcPr>
            <w:tcW w:w="474" w:type="pct"/>
            <w:tcBorders>
              <w:top w:val="nil"/>
              <w:left w:val="nil"/>
              <w:bottom w:val="single" w:sz="4" w:space="0" w:color="auto"/>
              <w:right w:val="single" w:sz="4" w:space="0" w:color="auto"/>
            </w:tcBorders>
            <w:shd w:val="clear" w:color="000000" w:fill="FFFFFF"/>
            <w:noWrap/>
            <w:vAlign w:val="bottom"/>
            <w:hideMark/>
          </w:tcPr>
          <w:p w14:paraId="6B05AC9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43,009.00 </w:t>
            </w:r>
          </w:p>
        </w:tc>
        <w:tc>
          <w:tcPr>
            <w:tcW w:w="474" w:type="pct"/>
            <w:tcBorders>
              <w:top w:val="nil"/>
              <w:left w:val="nil"/>
              <w:bottom w:val="single" w:sz="4" w:space="0" w:color="auto"/>
              <w:right w:val="single" w:sz="4" w:space="0" w:color="auto"/>
            </w:tcBorders>
            <w:shd w:val="clear" w:color="000000" w:fill="FFFFFF"/>
            <w:noWrap/>
            <w:vAlign w:val="bottom"/>
            <w:hideMark/>
          </w:tcPr>
          <w:p w14:paraId="53BAF32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36,440.00 </w:t>
            </w:r>
          </w:p>
        </w:tc>
        <w:tc>
          <w:tcPr>
            <w:tcW w:w="516" w:type="pct"/>
            <w:tcBorders>
              <w:top w:val="nil"/>
              <w:left w:val="nil"/>
              <w:bottom w:val="single" w:sz="4" w:space="0" w:color="auto"/>
              <w:right w:val="single" w:sz="4" w:space="0" w:color="auto"/>
            </w:tcBorders>
            <w:shd w:val="clear" w:color="000000" w:fill="FFFFFF"/>
            <w:noWrap/>
            <w:vAlign w:val="bottom"/>
            <w:hideMark/>
          </w:tcPr>
          <w:p w14:paraId="460FC26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30,548.00 </w:t>
            </w:r>
          </w:p>
        </w:tc>
        <w:tc>
          <w:tcPr>
            <w:tcW w:w="474" w:type="pct"/>
            <w:tcBorders>
              <w:top w:val="nil"/>
              <w:left w:val="nil"/>
              <w:bottom w:val="single" w:sz="4" w:space="0" w:color="auto"/>
              <w:right w:val="single" w:sz="4" w:space="0" w:color="auto"/>
            </w:tcBorders>
            <w:shd w:val="clear" w:color="000000" w:fill="FFFFFF"/>
            <w:noWrap/>
            <w:vAlign w:val="bottom"/>
            <w:hideMark/>
          </w:tcPr>
          <w:p w14:paraId="65A237C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28,418.00 </w:t>
            </w:r>
          </w:p>
        </w:tc>
        <w:tc>
          <w:tcPr>
            <w:tcW w:w="61" w:type="pct"/>
            <w:vAlign w:val="center"/>
            <w:hideMark/>
          </w:tcPr>
          <w:p w14:paraId="1B42638D" w14:textId="77777777" w:rsidR="0075642B" w:rsidRPr="0075642B" w:rsidRDefault="0075642B" w:rsidP="0075642B">
            <w:pPr>
              <w:spacing w:before="0" w:after="0" w:line="240" w:lineRule="auto"/>
              <w:jc w:val="left"/>
              <w:rPr>
                <w:sz w:val="20"/>
                <w:szCs w:val="20"/>
                <w:lang w:val="en-IN"/>
              </w:rPr>
            </w:pPr>
          </w:p>
        </w:tc>
      </w:tr>
      <w:tr w:rsidR="0075642B" w:rsidRPr="0075642B" w14:paraId="3AE3823E"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2D2C73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Total Equity"</w:t>
            </w:r>
          </w:p>
        </w:tc>
        <w:tc>
          <w:tcPr>
            <w:tcW w:w="1183" w:type="pct"/>
            <w:vMerge/>
            <w:tcBorders>
              <w:top w:val="nil"/>
              <w:left w:val="single" w:sz="4" w:space="0" w:color="auto"/>
              <w:bottom w:val="single" w:sz="4" w:space="0" w:color="auto"/>
              <w:right w:val="single" w:sz="4" w:space="0" w:color="auto"/>
            </w:tcBorders>
            <w:vAlign w:val="center"/>
            <w:hideMark/>
          </w:tcPr>
          <w:p w14:paraId="2B30785F"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7D86989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72,913.00 </w:t>
            </w:r>
          </w:p>
        </w:tc>
        <w:tc>
          <w:tcPr>
            <w:tcW w:w="474" w:type="pct"/>
            <w:tcBorders>
              <w:top w:val="nil"/>
              <w:left w:val="nil"/>
              <w:bottom w:val="single" w:sz="4" w:space="0" w:color="auto"/>
              <w:right w:val="single" w:sz="4" w:space="0" w:color="auto"/>
            </w:tcBorders>
            <w:shd w:val="clear" w:color="000000" w:fill="FFFFFF"/>
            <w:noWrap/>
            <w:vAlign w:val="bottom"/>
            <w:hideMark/>
          </w:tcPr>
          <w:p w14:paraId="2F99E9D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62,634.00 </w:t>
            </w:r>
          </w:p>
        </w:tc>
        <w:tc>
          <w:tcPr>
            <w:tcW w:w="474" w:type="pct"/>
            <w:tcBorders>
              <w:top w:val="nil"/>
              <w:left w:val="nil"/>
              <w:bottom w:val="single" w:sz="4" w:space="0" w:color="auto"/>
              <w:right w:val="single" w:sz="4" w:space="0" w:color="auto"/>
            </w:tcBorders>
            <w:shd w:val="clear" w:color="000000" w:fill="FFFFFF"/>
            <w:noWrap/>
            <w:vAlign w:val="bottom"/>
            <w:hideMark/>
          </w:tcPr>
          <w:p w14:paraId="3EADEF3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44,704.00 </w:t>
            </w:r>
          </w:p>
        </w:tc>
        <w:tc>
          <w:tcPr>
            <w:tcW w:w="516" w:type="pct"/>
            <w:tcBorders>
              <w:top w:val="nil"/>
              <w:left w:val="nil"/>
              <w:bottom w:val="single" w:sz="4" w:space="0" w:color="auto"/>
              <w:right w:val="single" w:sz="4" w:space="0" w:color="auto"/>
            </w:tcBorders>
            <w:shd w:val="clear" w:color="000000" w:fill="FFFFFF"/>
            <w:noWrap/>
            <w:vAlign w:val="bottom"/>
            <w:hideMark/>
          </w:tcPr>
          <w:p w14:paraId="31C0188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30,189.00 </w:t>
            </w:r>
          </w:p>
        </w:tc>
        <w:tc>
          <w:tcPr>
            <w:tcW w:w="474" w:type="pct"/>
            <w:tcBorders>
              <w:top w:val="nil"/>
              <w:left w:val="nil"/>
              <w:bottom w:val="single" w:sz="4" w:space="0" w:color="auto"/>
              <w:right w:val="single" w:sz="4" w:space="0" w:color="auto"/>
            </w:tcBorders>
            <w:shd w:val="clear" w:color="000000" w:fill="FFFFFF"/>
            <w:noWrap/>
            <w:vAlign w:val="bottom"/>
            <w:hideMark/>
          </w:tcPr>
          <w:p w14:paraId="317AE32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22,225.00 </w:t>
            </w:r>
          </w:p>
        </w:tc>
        <w:tc>
          <w:tcPr>
            <w:tcW w:w="61" w:type="pct"/>
            <w:vAlign w:val="center"/>
            <w:hideMark/>
          </w:tcPr>
          <w:p w14:paraId="5269AB75" w14:textId="77777777" w:rsidR="0075642B" w:rsidRPr="0075642B" w:rsidRDefault="0075642B" w:rsidP="0075642B">
            <w:pPr>
              <w:spacing w:before="0" w:after="0" w:line="240" w:lineRule="auto"/>
              <w:jc w:val="left"/>
              <w:rPr>
                <w:sz w:val="20"/>
                <w:szCs w:val="20"/>
                <w:lang w:val="en-IN"/>
              </w:rPr>
            </w:pPr>
          </w:p>
        </w:tc>
      </w:tr>
      <w:tr w:rsidR="0075642B" w:rsidRPr="0075642B" w14:paraId="5B165259"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5085D17"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"Debt-to-Capital Ratio "</w:t>
            </w:r>
          </w:p>
        </w:tc>
        <w:tc>
          <w:tcPr>
            <w:tcW w:w="1183" w:type="pct"/>
            <w:vMerge/>
            <w:tcBorders>
              <w:top w:val="nil"/>
              <w:left w:val="single" w:sz="4" w:space="0" w:color="auto"/>
              <w:bottom w:val="single" w:sz="4" w:space="0" w:color="auto"/>
              <w:right w:val="single" w:sz="4" w:space="0" w:color="auto"/>
            </w:tcBorders>
            <w:vAlign w:val="center"/>
            <w:hideMark/>
          </w:tcPr>
          <w:p w14:paraId="6CE809A7"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1CC744C1"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0.40</w:t>
            </w:r>
          </w:p>
        </w:tc>
        <w:tc>
          <w:tcPr>
            <w:tcW w:w="474" w:type="pct"/>
            <w:tcBorders>
              <w:top w:val="nil"/>
              <w:left w:val="nil"/>
              <w:bottom w:val="single" w:sz="4" w:space="0" w:color="auto"/>
              <w:right w:val="single" w:sz="4" w:space="0" w:color="auto"/>
            </w:tcBorders>
            <w:shd w:val="clear" w:color="000000" w:fill="FFFFFF"/>
            <w:noWrap/>
            <w:vAlign w:val="bottom"/>
            <w:hideMark/>
          </w:tcPr>
          <w:p w14:paraId="23A567F9"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0.41</w:t>
            </w:r>
          </w:p>
        </w:tc>
        <w:tc>
          <w:tcPr>
            <w:tcW w:w="474" w:type="pct"/>
            <w:tcBorders>
              <w:top w:val="nil"/>
              <w:left w:val="nil"/>
              <w:bottom w:val="single" w:sz="4" w:space="0" w:color="auto"/>
              <w:right w:val="single" w:sz="4" w:space="0" w:color="auto"/>
            </w:tcBorders>
            <w:shd w:val="clear" w:color="000000" w:fill="FFFFFF"/>
            <w:noWrap/>
            <w:vAlign w:val="bottom"/>
            <w:hideMark/>
          </w:tcPr>
          <w:p w14:paraId="1B92765A"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0.45</w:t>
            </w:r>
          </w:p>
        </w:tc>
        <w:tc>
          <w:tcPr>
            <w:tcW w:w="516" w:type="pct"/>
            <w:tcBorders>
              <w:top w:val="nil"/>
              <w:left w:val="nil"/>
              <w:bottom w:val="single" w:sz="4" w:space="0" w:color="auto"/>
              <w:right w:val="single" w:sz="4" w:space="0" w:color="auto"/>
            </w:tcBorders>
            <w:shd w:val="clear" w:color="000000" w:fill="FFFFFF"/>
            <w:noWrap/>
            <w:vAlign w:val="bottom"/>
            <w:hideMark/>
          </w:tcPr>
          <w:p w14:paraId="5CD32BB1"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0.50</w:t>
            </w:r>
          </w:p>
        </w:tc>
        <w:tc>
          <w:tcPr>
            <w:tcW w:w="474" w:type="pct"/>
            <w:tcBorders>
              <w:top w:val="nil"/>
              <w:left w:val="nil"/>
              <w:bottom w:val="single" w:sz="4" w:space="0" w:color="auto"/>
              <w:right w:val="single" w:sz="4" w:space="0" w:color="auto"/>
            </w:tcBorders>
            <w:shd w:val="clear" w:color="000000" w:fill="FFFFFF"/>
            <w:noWrap/>
            <w:vAlign w:val="bottom"/>
            <w:hideMark/>
          </w:tcPr>
          <w:p w14:paraId="2C400CB4"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0.56</w:t>
            </w:r>
          </w:p>
        </w:tc>
        <w:tc>
          <w:tcPr>
            <w:tcW w:w="61" w:type="pct"/>
            <w:vAlign w:val="center"/>
            <w:hideMark/>
          </w:tcPr>
          <w:p w14:paraId="30342258" w14:textId="77777777" w:rsidR="0075642B" w:rsidRPr="0075642B" w:rsidRDefault="0075642B" w:rsidP="0075642B">
            <w:pPr>
              <w:spacing w:before="0" w:after="0" w:line="240" w:lineRule="auto"/>
              <w:jc w:val="left"/>
              <w:rPr>
                <w:sz w:val="20"/>
                <w:szCs w:val="20"/>
                <w:lang w:val="en-IN"/>
              </w:rPr>
            </w:pPr>
          </w:p>
        </w:tc>
      </w:tr>
      <w:tr w:rsidR="0075642B" w:rsidRPr="0075642B" w14:paraId="12BEE767"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2620C02" w14:textId="77777777" w:rsidR="0075642B" w:rsidRPr="0075642B" w:rsidRDefault="0075642B" w:rsidP="0075642B">
            <w:pPr>
              <w:spacing w:before="0" w:after="0" w:line="240" w:lineRule="auto"/>
              <w:jc w:val="center"/>
              <w:rPr>
                <w:rFonts w:ascii="Arial" w:hAnsi="Arial" w:cs="Arial"/>
                <w:color w:val="000000"/>
                <w:lang w:val="en-IN"/>
              </w:rPr>
            </w:pPr>
            <w:r w:rsidRPr="0075642B">
              <w:rPr>
                <w:rFonts w:ascii="Arial" w:hAnsi="Arial" w:cs="Arial"/>
                <w:color w:val="000000"/>
                <w:lang w:val="en-IN"/>
              </w:rPr>
              <w:t> </w:t>
            </w:r>
          </w:p>
        </w:tc>
        <w:tc>
          <w:tcPr>
            <w:tcW w:w="61" w:type="pct"/>
            <w:vAlign w:val="center"/>
            <w:hideMark/>
          </w:tcPr>
          <w:p w14:paraId="06735CE1" w14:textId="77777777" w:rsidR="0075642B" w:rsidRPr="0075642B" w:rsidRDefault="0075642B" w:rsidP="0075642B">
            <w:pPr>
              <w:spacing w:before="0" w:after="0" w:line="240" w:lineRule="auto"/>
              <w:jc w:val="left"/>
              <w:rPr>
                <w:sz w:val="20"/>
                <w:szCs w:val="20"/>
                <w:lang w:val="en-IN"/>
              </w:rPr>
            </w:pPr>
          </w:p>
        </w:tc>
      </w:tr>
      <w:tr w:rsidR="0075642B" w:rsidRPr="0075642B" w14:paraId="3B6B9EB1"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0C025B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"Equity Multiplier"</w:t>
            </w:r>
          </w:p>
        </w:tc>
        <w:tc>
          <w:tcPr>
            <w:tcW w:w="61" w:type="pct"/>
            <w:vAlign w:val="center"/>
            <w:hideMark/>
          </w:tcPr>
          <w:p w14:paraId="267396C4" w14:textId="77777777" w:rsidR="0075642B" w:rsidRPr="0075642B" w:rsidRDefault="0075642B" w:rsidP="0075642B">
            <w:pPr>
              <w:spacing w:before="0" w:after="0" w:line="240" w:lineRule="auto"/>
              <w:jc w:val="left"/>
              <w:rPr>
                <w:sz w:val="20"/>
                <w:szCs w:val="20"/>
                <w:lang w:val="en-IN"/>
              </w:rPr>
            </w:pPr>
          </w:p>
        </w:tc>
      </w:tr>
      <w:tr w:rsidR="0075642B" w:rsidRPr="0075642B" w14:paraId="3C5FF6D1"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AB3BCB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4C5AF50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587794E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7E98C0C0"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45278D9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196FE63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74DEEE2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2763D7F1" w14:textId="77777777" w:rsidR="0075642B" w:rsidRPr="0075642B" w:rsidRDefault="0075642B" w:rsidP="0075642B">
            <w:pPr>
              <w:spacing w:before="0" w:after="0" w:line="240" w:lineRule="auto"/>
              <w:jc w:val="left"/>
              <w:rPr>
                <w:sz w:val="20"/>
                <w:szCs w:val="20"/>
                <w:lang w:val="en-IN"/>
              </w:rPr>
            </w:pPr>
          </w:p>
        </w:tc>
      </w:tr>
      <w:tr w:rsidR="0075642B" w:rsidRPr="0075642B" w14:paraId="0148C08F"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88C879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lastRenderedPageBreak/>
              <w:t>"Total Assets"</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523A99A0"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"(Total Assets/Book Value of Equity)"</w:t>
            </w:r>
          </w:p>
        </w:tc>
        <w:tc>
          <w:tcPr>
            <w:tcW w:w="516" w:type="pct"/>
            <w:tcBorders>
              <w:top w:val="nil"/>
              <w:left w:val="nil"/>
              <w:bottom w:val="single" w:sz="4" w:space="0" w:color="auto"/>
              <w:right w:val="single" w:sz="4" w:space="0" w:color="auto"/>
            </w:tcBorders>
            <w:shd w:val="clear" w:color="000000" w:fill="FFFFFF"/>
            <w:noWrap/>
            <w:vAlign w:val="bottom"/>
            <w:hideMark/>
          </w:tcPr>
          <w:p w14:paraId="2D246CF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w:t>
            </w:r>
            <w:proofErr w:type="gramStart"/>
            <w:r w:rsidRPr="0075642B">
              <w:rPr>
                <w:rFonts w:ascii="Arial" w:hAnsi="Arial" w:cs="Arial"/>
                <w:color w:val="000000"/>
                <w:lang w:val="en-IN"/>
              </w:rPr>
              <w:t>$  1</w:t>
            </w:r>
            <w:proofErr w:type="gramEnd"/>
            <w:r w:rsidRPr="0075642B">
              <w:rPr>
                <w:rFonts w:ascii="Arial" w:hAnsi="Arial" w:cs="Arial"/>
                <w:color w:val="000000"/>
                <w:lang w:val="en-IN"/>
              </w:rPr>
              <w:t xml:space="preserve">,22,070.00 </w:t>
            </w:r>
          </w:p>
        </w:tc>
        <w:tc>
          <w:tcPr>
            <w:tcW w:w="474" w:type="pct"/>
            <w:tcBorders>
              <w:top w:val="nil"/>
              <w:left w:val="nil"/>
              <w:bottom w:val="single" w:sz="4" w:space="0" w:color="auto"/>
              <w:right w:val="single" w:sz="4" w:space="0" w:color="auto"/>
            </w:tcBorders>
            <w:shd w:val="clear" w:color="000000" w:fill="FFFFFF"/>
            <w:noWrap/>
            <w:vAlign w:val="bottom"/>
            <w:hideMark/>
          </w:tcPr>
          <w:p w14:paraId="6973F68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$1,06,618.00 </w:t>
            </w:r>
          </w:p>
        </w:tc>
        <w:tc>
          <w:tcPr>
            <w:tcW w:w="474" w:type="pct"/>
            <w:tcBorders>
              <w:top w:val="nil"/>
              <w:left w:val="nil"/>
              <w:bottom w:val="single" w:sz="4" w:space="0" w:color="auto"/>
              <w:right w:val="single" w:sz="4" w:space="0" w:color="auto"/>
            </w:tcBorders>
            <w:shd w:val="clear" w:color="000000" w:fill="FFFFFF"/>
            <w:noWrap/>
            <w:vAlign w:val="bottom"/>
            <w:hideMark/>
          </w:tcPr>
          <w:p w14:paraId="20C63E0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82,338.00 </w:t>
            </w:r>
          </w:p>
        </w:tc>
        <w:tc>
          <w:tcPr>
            <w:tcW w:w="516" w:type="pct"/>
            <w:tcBorders>
              <w:top w:val="nil"/>
              <w:left w:val="nil"/>
              <w:bottom w:val="single" w:sz="4" w:space="0" w:color="auto"/>
              <w:right w:val="single" w:sz="4" w:space="0" w:color="auto"/>
            </w:tcBorders>
            <w:shd w:val="clear" w:color="000000" w:fill="FFFFFF"/>
            <w:noWrap/>
            <w:vAlign w:val="bottom"/>
            <w:hideMark/>
          </w:tcPr>
          <w:p w14:paraId="7045DB2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62,131.00 </w:t>
            </w:r>
          </w:p>
        </w:tc>
        <w:tc>
          <w:tcPr>
            <w:tcW w:w="474" w:type="pct"/>
            <w:tcBorders>
              <w:top w:val="nil"/>
              <w:left w:val="nil"/>
              <w:bottom w:val="single" w:sz="4" w:space="0" w:color="auto"/>
              <w:right w:val="single" w:sz="4" w:space="0" w:color="auto"/>
            </w:tcBorders>
            <w:shd w:val="clear" w:color="000000" w:fill="FFFFFF"/>
            <w:noWrap/>
            <w:vAlign w:val="bottom"/>
            <w:hideMark/>
          </w:tcPr>
          <w:p w14:paraId="42F5F7E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52,148.00 </w:t>
            </w:r>
          </w:p>
        </w:tc>
        <w:tc>
          <w:tcPr>
            <w:tcW w:w="61" w:type="pct"/>
            <w:vAlign w:val="center"/>
            <w:hideMark/>
          </w:tcPr>
          <w:p w14:paraId="71345FB6" w14:textId="77777777" w:rsidR="0075642B" w:rsidRPr="0075642B" w:rsidRDefault="0075642B" w:rsidP="0075642B">
            <w:pPr>
              <w:spacing w:before="0" w:after="0" w:line="240" w:lineRule="auto"/>
              <w:jc w:val="left"/>
              <w:rPr>
                <w:sz w:val="20"/>
                <w:szCs w:val="20"/>
                <w:lang w:val="en-IN"/>
              </w:rPr>
            </w:pPr>
          </w:p>
        </w:tc>
      </w:tr>
      <w:tr w:rsidR="0075642B" w:rsidRPr="0075642B" w14:paraId="6048A789"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5F0FCFB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Book Value of Equity"</w:t>
            </w:r>
          </w:p>
        </w:tc>
        <w:tc>
          <w:tcPr>
            <w:tcW w:w="1183" w:type="pct"/>
            <w:vMerge/>
            <w:tcBorders>
              <w:top w:val="nil"/>
              <w:left w:val="single" w:sz="4" w:space="0" w:color="auto"/>
              <w:bottom w:val="single" w:sz="4" w:space="0" w:color="auto"/>
              <w:right w:val="single" w:sz="4" w:space="0" w:color="auto"/>
            </w:tcBorders>
            <w:vAlign w:val="center"/>
            <w:hideMark/>
          </w:tcPr>
          <w:p w14:paraId="7CA182CA"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5B2371B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72,913.00 </w:t>
            </w:r>
          </w:p>
        </w:tc>
        <w:tc>
          <w:tcPr>
            <w:tcW w:w="474" w:type="pct"/>
            <w:tcBorders>
              <w:top w:val="nil"/>
              <w:left w:val="nil"/>
              <w:bottom w:val="single" w:sz="4" w:space="0" w:color="auto"/>
              <w:right w:val="single" w:sz="4" w:space="0" w:color="auto"/>
            </w:tcBorders>
            <w:shd w:val="clear" w:color="000000" w:fill="FFFFFF"/>
            <w:noWrap/>
            <w:vAlign w:val="bottom"/>
            <w:hideMark/>
          </w:tcPr>
          <w:p w14:paraId="79CEA73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62,634.00 </w:t>
            </w:r>
          </w:p>
        </w:tc>
        <w:tc>
          <w:tcPr>
            <w:tcW w:w="474" w:type="pct"/>
            <w:tcBorders>
              <w:top w:val="nil"/>
              <w:left w:val="nil"/>
              <w:bottom w:val="single" w:sz="4" w:space="0" w:color="auto"/>
              <w:right w:val="single" w:sz="4" w:space="0" w:color="auto"/>
            </w:tcBorders>
            <w:shd w:val="clear" w:color="000000" w:fill="FFFFFF"/>
            <w:noWrap/>
            <w:vAlign w:val="bottom"/>
            <w:hideMark/>
          </w:tcPr>
          <w:p w14:paraId="07F2B19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44,704.00 </w:t>
            </w:r>
          </w:p>
        </w:tc>
        <w:tc>
          <w:tcPr>
            <w:tcW w:w="516" w:type="pct"/>
            <w:tcBorders>
              <w:top w:val="nil"/>
              <w:left w:val="nil"/>
              <w:bottom w:val="single" w:sz="4" w:space="0" w:color="auto"/>
              <w:right w:val="single" w:sz="4" w:space="0" w:color="auto"/>
            </w:tcBorders>
            <w:shd w:val="clear" w:color="000000" w:fill="FFFFFF"/>
            <w:noWrap/>
            <w:vAlign w:val="bottom"/>
            <w:hideMark/>
          </w:tcPr>
          <w:p w14:paraId="0494C7F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30,189.00 </w:t>
            </w:r>
          </w:p>
        </w:tc>
        <w:tc>
          <w:tcPr>
            <w:tcW w:w="474" w:type="pct"/>
            <w:tcBorders>
              <w:top w:val="nil"/>
              <w:left w:val="nil"/>
              <w:bottom w:val="single" w:sz="4" w:space="0" w:color="auto"/>
              <w:right w:val="single" w:sz="4" w:space="0" w:color="auto"/>
            </w:tcBorders>
            <w:shd w:val="clear" w:color="000000" w:fill="FFFFFF"/>
            <w:noWrap/>
            <w:vAlign w:val="bottom"/>
            <w:hideMark/>
          </w:tcPr>
          <w:p w14:paraId="5AC78F0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22,225.00 </w:t>
            </w:r>
          </w:p>
        </w:tc>
        <w:tc>
          <w:tcPr>
            <w:tcW w:w="61" w:type="pct"/>
            <w:vAlign w:val="center"/>
            <w:hideMark/>
          </w:tcPr>
          <w:p w14:paraId="34C763B3" w14:textId="77777777" w:rsidR="0075642B" w:rsidRPr="0075642B" w:rsidRDefault="0075642B" w:rsidP="0075642B">
            <w:pPr>
              <w:spacing w:before="0" w:after="0" w:line="240" w:lineRule="auto"/>
              <w:jc w:val="left"/>
              <w:rPr>
                <w:sz w:val="20"/>
                <w:szCs w:val="20"/>
                <w:lang w:val="en-IN"/>
              </w:rPr>
            </w:pPr>
          </w:p>
        </w:tc>
      </w:tr>
      <w:tr w:rsidR="0075642B" w:rsidRPr="0075642B" w14:paraId="0091057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5E5026FB"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"Equity Multiplier"</w:t>
            </w:r>
          </w:p>
        </w:tc>
        <w:tc>
          <w:tcPr>
            <w:tcW w:w="1183" w:type="pct"/>
            <w:vMerge/>
            <w:tcBorders>
              <w:top w:val="nil"/>
              <w:left w:val="single" w:sz="4" w:space="0" w:color="auto"/>
              <w:bottom w:val="single" w:sz="4" w:space="0" w:color="auto"/>
              <w:right w:val="single" w:sz="4" w:space="0" w:color="auto"/>
            </w:tcBorders>
            <w:vAlign w:val="center"/>
            <w:hideMark/>
          </w:tcPr>
          <w:p w14:paraId="43F460D2"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113338E0"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1.67</w:t>
            </w:r>
          </w:p>
        </w:tc>
        <w:tc>
          <w:tcPr>
            <w:tcW w:w="474" w:type="pct"/>
            <w:tcBorders>
              <w:top w:val="nil"/>
              <w:left w:val="nil"/>
              <w:bottom w:val="single" w:sz="4" w:space="0" w:color="auto"/>
              <w:right w:val="single" w:sz="4" w:space="0" w:color="auto"/>
            </w:tcBorders>
            <w:shd w:val="clear" w:color="000000" w:fill="FFFFFF"/>
            <w:noWrap/>
            <w:vAlign w:val="bottom"/>
            <w:hideMark/>
          </w:tcPr>
          <w:p w14:paraId="7519A205"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1.70</w:t>
            </w:r>
          </w:p>
        </w:tc>
        <w:tc>
          <w:tcPr>
            <w:tcW w:w="474" w:type="pct"/>
            <w:tcBorders>
              <w:top w:val="nil"/>
              <w:left w:val="nil"/>
              <w:bottom w:val="single" w:sz="4" w:space="0" w:color="auto"/>
              <w:right w:val="single" w:sz="4" w:space="0" w:color="auto"/>
            </w:tcBorders>
            <w:shd w:val="clear" w:color="000000" w:fill="FFFFFF"/>
            <w:noWrap/>
            <w:vAlign w:val="bottom"/>
            <w:hideMark/>
          </w:tcPr>
          <w:p w14:paraId="73697FF1"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1.84</w:t>
            </w:r>
          </w:p>
        </w:tc>
        <w:tc>
          <w:tcPr>
            <w:tcW w:w="516" w:type="pct"/>
            <w:tcBorders>
              <w:top w:val="nil"/>
              <w:left w:val="nil"/>
              <w:bottom w:val="single" w:sz="4" w:space="0" w:color="auto"/>
              <w:right w:val="single" w:sz="4" w:space="0" w:color="auto"/>
            </w:tcBorders>
            <w:shd w:val="clear" w:color="000000" w:fill="FFFFFF"/>
            <w:noWrap/>
            <w:vAlign w:val="bottom"/>
            <w:hideMark/>
          </w:tcPr>
          <w:p w14:paraId="315E3092"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2.06</w:t>
            </w:r>
          </w:p>
        </w:tc>
        <w:tc>
          <w:tcPr>
            <w:tcW w:w="474" w:type="pct"/>
            <w:tcBorders>
              <w:top w:val="nil"/>
              <w:left w:val="nil"/>
              <w:bottom w:val="single" w:sz="4" w:space="0" w:color="auto"/>
              <w:right w:val="single" w:sz="4" w:space="0" w:color="auto"/>
            </w:tcBorders>
            <w:shd w:val="clear" w:color="000000" w:fill="FFFFFF"/>
            <w:noWrap/>
            <w:vAlign w:val="bottom"/>
            <w:hideMark/>
          </w:tcPr>
          <w:p w14:paraId="057A19CC"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2.35</w:t>
            </w:r>
          </w:p>
        </w:tc>
        <w:tc>
          <w:tcPr>
            <w:tcW w:w="61" w:type="pct"/>
            <w:vAlign w:val="center"/>
            <w:hideMark/>
          </w:tcPr>
          <w:p w14:paraId="383C68E6" w14:textId="77777777" w:rsidR="0075642B" w:rsidRPr="0075642B" w:rsidRDefault="0075642B" w:rsidP="0075642B">
            <w:pPr>
              <w:spacing w:before="0" w:after="0" w:line="240" w:lineRule="auto"/>
              <w:jc w:val="left"/>
              <w:rPr>
                <w:sz w:val="20"/>
                <w:szCs w:val="20"/>
                <w:lang w:val="en-IN"/>
              </w:rPr>
            </w:pPr>
          </w:p>
        </w:tc>
      </w:tr>
      <w:tr w:rsidR="0075642B" w:rsidRPr="0075642B" w14:paraId="19B5131C"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568B6BC3"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1183" w:type="pct"/>
            <w:tcBorders>
              <w:top w:val="nil"/>
              <w:left w:val="nil"/>
              <w:bottom w:val="single" w:sz="4" w:space="0" w:color="auto"/>
              <w:right w:val="single" w:sz="4" w:space="0" w:color="auto"/>
            </w:tcBorders>
            <w:shd w:val="clear" w:color="000000" w:fill="FFFFFF"/>
            <w:vAlign w:val="center"/>
            <w:hideMark/>
          </w:tcPr>
          <w:p w14:paraId="3DB2074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71CD5819"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6DB9B136"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07D067D2"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612B98DC"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60942B41"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61" w:type="pct"/>
            <w:vAlign w:val="center"/>
            <w:hideMark/>
          </w:tcPr>
          <w:p w14:paraId="2F4C35B4" w14:textId="77777777" w:rsidR="0075642B" w:rsidRPr="0075642B" w:rsidRDefault="0075642B" w:rsidP="0075642B">
            <w:pPr>
              <w:spacing w:before="0" w:after="0" w:line="240" w:lineRule="auto"/>
              <w:jc w:val="left"/>
              <w:rPr>
                <w:sz w:val="20"/>
                <w:szCs w:val="20"/>
                <w:lang w:val="en-IN"/>
              </w:rPr>
            </w:pPr>
          </w:p>
        </w:tc>
      </w:tr>
      <w:tr w:rsidR="0075642B" w:rsidRPr="0075642B" w14:paraId="0DAD05B7"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2AACF0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"Net Debt "</w:t>
            </w:r>
          </w:p>
        </w:tc>
        <w:tc>
          <w:tcPr>
            <w:tcW w:w="61" w:type="pct"/>
            <w:vAlign w:val="center"/>
            <w:hideMark/>
          </w:tcPr>
          <w:p w14:paraId="7DD5C9D6" w14:textId="77777777" w:rsidR="0075642B" w:rsidRPr="0075642B" w:rsidRDefault="0075642B" w:rsidP="0075642B">
            <w:pPr>
              <w:spacing w:before="0" w:after="0" w:line="240" w:lineRule="auto"/>
              <w:jc w:val="left"/>
              <w:rPr>
                <w:sz w:val="20"/>
                <w:szCs w:val="20"/>
                <w:lang w:val="en-IN"/>
              </w:rPr>
            </w:pPr>
          </w:p>
        </w:tc>
      </w:tr>
      <w:tr w:rsidR="0075642B" w:rsidRPr="0075642B" w14:paraId="160B694C"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1C0F16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21F9F7E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0DA8199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04EA399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28B0A5EF"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1BDA854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2937211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42FD9A0B" w14:textId="77777777" w:rsidR="0075642B" w:rsidRPr="0075642B" w:rsidRDefault="0075642B" w:rsidP="0075642B">
            <w:pPr>
              <w:spacing w:before="0" w:after="0" w:line="240" w:lineRule="auto"/>
              <w:jc w:val="left"/>
              <w:rPr>
                <w:sz w:val="20"/>
                <w:szCs w:val="20"/>
                <w:lang w:val="en-IN"/>
              </w:rPr>
            </w:pPr>
          </w:p>
        </w:tc>
      </w:tr>
      <w:tr w:rsidR="0075642B" w:rsidRPr="0075642B" w14:paraId="3022ABCA"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ED33F2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"Total Debt"</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192AC45D"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"Total Debt – Cash"</w:t>
            </w:r>
          </w:p>
        </w:tc>
        <w:tc>
          <w:tcPr>
            <w:tcW w:w="516" w:type="pct"/>
            <w:tcBorders>
              <w:top w:val="nil"/>
              <w:left w:val="nil"/>
              <w:bottom w:val="single" w:sz="4" w:space="0" w:color="auto"/>
              <w:right w:val="single" w:sz="4" w:space="0" w:color="auto"/>
            </w:tcBorders>
            <w:shd w:val="clear" w:color="000000" w:fill="FFFFFF"/>
            <w:noWrap/>
            <w:vAlign w:val="bottom"/>
            <w:hideMark/>
          </w:tcPr>
          <w:p w14:paraId="18BBEDA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48,390.00 </w:t>
            </w:r>
          </w:p>
        </w:tc>
        <w:tc>
          <w:tcPr>
            <w:tcW w:w="474" w:type="pct"/>
            <w:tcBorders>
              <w:top w:val="nil"/>
              <w:left w:val="nil"/>
              <w:bottom w:val="single" w:sz="4" w:space="0" w:color="auto"/>
              <w:right w:val="single" w:sz="4" w:space="0" w:color="auto"/>
            </w:tcBorders>
            <w:shd w:val="clear" w:color="000000" w:fill="FFFFFF"/>
            <w:noWrap/>
            <w:vAlign w:val="bottom"/>
            <w:hideMark/>
          </w:tcPr>
          <w:p w14:paraId="7C99705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43,009.00 </w:t>
            </w:r>
          </w:p>
        </w:tc>
        <w:tc>
          <w:tcPr>
            <w:tcW w:w="474" w:type="pct"/>
            <w:tcBorders>
              <w:top w:val="nil"/>
              <w:left w:val="nil"/>
              <w:bottom w:val="single" w:sz="4" w:space="0" w:color="auto"/>
              <w:right w:val="single" w:sz="4" w:space="0" w:color="auto"/>
            </w:tcBorders>
            <w:shd w:val="clear" w:color="000000" w:fill="FFFFFF"/>
            <w:noWrap/>
            <w:vAlign w:val="bottom"/>
            <w:hideMark/>
          </w:tcPr>
          <w:p w14:paraId="2577B4C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36,440.00 </w:t>
            </w:r>
          </w:p>
        </w:tc>
        <w:tc>
          <w:tcPr>
            <w:tcW w:w="516" w:type="pct"/>
            <w:tcBorders>
              <w:top w:val="nil"/>
              <w:left w:val="nil"/>
              <w:bottom w:val="single" w:sz="4" w:space="0" w:color="auto"/>
              <w:right w:val="single" w:sz="4" w:space="0" w:color="auto"/>
            </w:tcBorders>
            <w:shd w:val="clear" w:color="000000" w:fill="FFFFFF"/>
            <w:noWrap/>
            <w:vAlign w:val="bottom"/>
            <w:hideMark/>
          </w:tcPr>
          <w:p w14:paraId="7C5F748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30,548.00 </w:t>
            </w:r>
          </w:p>
        </w:tc>
        <w:tc>
          <w:tcPr>
            <w:tcW w:w="474" w:type="pct"/>
            <w:tcBorders>
              <w:top w:val="nil"/>
              <w:left w:val="nil"/>
              <w:bottom w:val="single" w:sz="4" w:space="0" w:color="auto"/>
              <w:right w:val="single" w:sz="4" w:space="0" w:color="auto"/>
            </w:tcBorders>
            <w:shd w:val="clear" w:color="000000" w:fill="FFFFFF"/>
            <w:noWrap/>
            <w:vAlign w:val="bottom"/>
            <w:hideMark/>
          </w:tcPr>
          <w:p w14:paraId="75068CB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28,418.00 </w:t>
            </w:r>
          </w:p>
        </w:tc>
        <w:tc>
          <w:tcPr>
            <w:tcW w:w="61" w:type="pct"/>
            <w:vAlign w:val="center"/>
            <w:hideMark/>
          </w:tcPr>
          <w:p w14:paraId="17519736" w14:textId="77777777" w:rsidR="0075642B" w:rsidRPr="0075642B" w:rsidRDefault="0075642B" w:rsidP="0075642B">
            <w:pPr>
              <w:spacing w:before="0" w:after="0" w:line="240" w:lineRule="auto"/>
              <w:jc w:val="left"/>
              <w:rPr>
                <w:sz w:val="20"/>
                <w:szCs w:val="20"/>
                <w:lang w:val="en-IN"/>
              </w:rPr>
            </w:pPr>
          </w:p>
        </w:tc>
      </w:tr>
      <w:tr w:rsidR="0075642B" w:rsidRPr="0075642B" w14:paraId="73F06286"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3D252E9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Cash"</w:t>
            </w:r>
          </w:p>
        </w:tc>
        <w:tc>
          <w:tcPr>
            <w:tcW w:w="1183" w:type="pct"/>
            <w:vMerge/>
            <w:tcBorders>
              <w:top w:val="nil"/>
              <w:left w:val="single" w:sz="4" w:space="0" w:color="auto"/>
              <w:bottom w:val="single" w:sz="4" w:space="0" w:color="auto"/>
              <w:right w:val="single" w:sz="4" w:space="0" w:color="auto"/>
            </w:tcBorders>
            <w:vAlign w:val="center"/>
            <w:hideMark/>
          </w:tcPr>
          <w:p w14:paraId="56781D68"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590D097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16,139.00 </w:t>
            </w:r>
          </w:p>
        </w:tc>
        <w:tc>
          <w:tcPr>
            <w:tcW w:w="474" w:type="pct"/>
            <w:tcBorders>
              <w:top w:val="nil"/>
              <w:left w:val="nil"/>
              <w:bottom w:val="single" w:sz="4" w:space="0" w:color="auto"/>
              <w:right w:val="single" w:sz="4" w:space="0" w:color="auto"/>
            </w:tcBorders>
            <w:shd w:val="clear" w:color="000000" w:fill="FFFFFF"/>
            <w:noWrap/>
            <w:vAlign w:val="bottom"/>
            <w:hideMark/>
          </w:tcPr>
          <w:p w14:paraId="6431805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16,398.00 </w:t>
            </w:r>
          </w:p>
        </w:tc>
        <w:tc>
          <w:tcPr>
            <w:tcW w:w="474" w:type="pct"/>
            <w:tcBorders>
              <w:top w:val="nil"/>
              <w:left w:val="nil"/>
              <w:bottom w:val="single" w:sz="4" w:space="0" w:color="auto"/>
              <w:right w:val="single" w:sz="4" w:space="0" w:color="auto"/>
            </w:tcBorders>
            <w:shd w:val="clear" w:color="000000" w:fill="FFFFFF"/>
            <w:noWrap/>
            <w:vAlign w:val="bottom"/>
            <w:hideMark/>
          </w:tcPr>
          <w:p w14:paraId="5A15361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16,253.00 </w:t>
            </w:r>
          </w:p>
        </w:tc>
        <w:tc>
          <w:tcPr>
            <w:tcW w:w="516" w:type="pct"/>
            <w:tcBorders>
              <w:top w:val="nil"/>
              <w:left w:val="nil"/>
              <w:bottom w:val="single" w:sz="4" w:space="0" w:color="auto"/>
              <w:right w:val="single" w:sz="4" w:space="0" w:color="auto"/>
            </w:tcBorders>
            <w:shd w:val="clear" w:color="000000" w:fill="FFFFFF"/>
            <w:noWrap/>
            <w:vAlign w:val="bottom"/>
            <w:hideMark/>
          </w:tcPr>
          <w:p w14:paraId="7AC9CC5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17,576.00 </w:t>
            </w:r>
          </w:p>
        </w:tc>
        <w:tc>
          <w:tcPr>
            <w:tcW w:w="474" w:type="pct"/>
            <w:tcBorders>
              <w:top w:val="nil"/>
              <w:left w:val="nil"/>
              <w:bottom w:val="single" w:sz="4" w:space="0" w:color="auto"/>
              <w:right w:val="single" w:sz="4" w:space="0" w:color="auto"/>
            </w:tcBorders>
            <w:shd w:val="clear" w:color="000000" w:fill="FFFFFF"/>
            <w:noWrap/>
            <w:vAlign w:val="bottom"/>
            <w:hideMark/>
          </w:tcPr>
          <w:p w14:paraId="2AB08B8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19,384.00 </w:t>
            </w:r>
          </w:p>
        </w:tc>
        <w:tc>
          <w:tcPr>
            <w:tcW w:w="61" w:type="pct"/>
            <w:vAlign w:val="center"/>
            <w:hideMark/>
          </w:tcPr>
          <w:p w14:paraId="51E5B227" w14:textId="77777777" w:rsidR="0075642B" w:rsidRPr="0075642B" w:rsidRDefault="0075642B" w:rsidP="0075642B">
            <w:pPr>
              <w:spacing w:before="0" w:after="0" w:line="240" w:lineRule="auto"/>
              <w:jc w:val="left"/>
              <w:rPr>
                <w:sz w:val="20"/>
                <w:szCs w:val="20"/>
                <w:lang w:val="en-IN"/>
              </w:rPr>
            </w:pPr>
          </w:p>
        </w:tc>
      </w:tr>
      <w:tr w:rsidR="0075642B" w:rsidRPr="0075642B" w14:paraId="6A15734E"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8009F25"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"Net Debt "</w:t>
            </w:r>
          </w:p>
        </w:tc>
        <w:tc>
          <w:tcPr>
            <w:tcW w:w="1183" w:type="pct"/>
            <w:vMerge/>
            <w:tcBorders>
              <w:top w:val="nil"/>
              <w:left w:val="single" w:sz="4" w:space="0" w:color="auto"/>
              <w:bottom w:val="single" w:sz="4" w:space="0" w:color="auto"/>
              <w:right w:val="single" w:sz="4" w:space="0" w:color="auto"/>
            </w:tcBorders>
            <w:vAlign w:val="center"/>
            <w:hideMark/>
          </w:tcPr>
          <w:p w14:paraId="7AE64101"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6E58B926"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32251.00</w:t>
            </w:r>
          </w:p>
        </w:tc>
        <w:tc>
          <w:tcPr>
            <w:tcW w:w="474" w:type="pct"/>
            <w:tcBorders>
              <w:top w:val="nil"/>
              <w:left w:val="nil"/>
              <w:bottom w:val="single" w:sz="4" w:space="0" w:color="auto"/>
              <w:right w:val="single" w:sz="4" w:space="0" w:color="auto"/>
            </w:tcBorders>
            <w:shd w:val="clear" w:color="000000" w:fill="FFFFFF"/>
            <w:noWrap/>
            <w:vAlign w:val="bottom"/>
            <w:hideMark/>
          </w:tcPr>
          <w:p w14:paraId="5CC3D553"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26611.00</w:t>
            </w:r>
          </w:p>
        </w:tc>
        <w:tc>
          <w:tcPr>
            <w:tcW w:w="474" w:type="pct"/>
            <w:tcBorders>
              <w:top w:val="nil"/>
              <w:left w:val="nil"/>
              <w:bottom w:val="single" w:sz="4" w:space="0" w:color="auto"/>
              <w:right w:val="single" w:sz="4" w:space="0" w:color="auto"/>
            </w:tcBorders>
            <w:shd w:val="clear" w:color="000000" w:fill="FFFFFF"/>
            <w:noWrap/>
            <w:vAlign w:val="bottom"/>
            <w:hideMark/>
          </w:tcPr>
          <w:p w14:paraId="5FDBA7FE"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20187.00</w:t>
            </w:r>
          </w:p>
        </w:tc>
        <w:tc>
          <w:tcPr>
            <w:tcW w:w="516" w:type="pct"/>
            <w:tcBorders>
              <w:top w:val="nil"/>
              <w:left w:val="nil"/>
              <w:bottom w:val="single" w:sz="4" w:space="0" w:color="auto"/>
              <w:right w:val="single" w:sz="4" w:space="0" w:color="auto"/>
            </w:tcBorders>
            <w:shd w:val="clear" w:color="000000" w:fill="FFFFFF"/>
            <w:noWrap/>
            <w:vAlign w:val="bottom"/>
            <w:hideMark/>
          </w:tcPr>
          <w:p w14:paraId="08C8A91F"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12972.00</w:t>
            </w:r>
          </w:p>
        </w:tc>
        <w:tc>
          <w:tcPr>
            <w:tcW w:w="474" w:type="pct"/>
            <w:tcBorders>
              <w:top w:val="nil"/>
              <w:left w:val="nil"/>
              <w:bottom w:val="single" w:sz="4" w:space="0" w:color="auto"/>
              <w:right w:val="single" w:sz="4" w:space="0" w:color="auto"/>
            </w:tcBorders>
            <w:shd w:val="clear" w:color="000000" w:fill="FFFFFF"/>
            <w:noWrap/>
            <w:vAlign w:val="bottom"/>
            <w:hideMark/>
          </w:tcPr>
          <w:p w14:paraId="150CC8AE"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9034.00</w:t>
            </w:r>
          </w:p>
        </w:tc>
        <w:tc>
          <w:tcPr>
            <w:tcW w:w="61" w:type="pct"/>
            <w:vAlign w:val="center"/>
            <w:hideMark/>
          </w:tcPr>
          <w:p w14:paraId="267B7A74" w14:textId="77777777" w:rsidR="0075642B" w:rsidRPr="0075642B" w:rsidRDefault="0075642B" w:rsidP="0075642B">
            <w:pPr>
              <w:spacing w:before="0" w:after="0" w:line="240" w:lineRule="auto"/>
              <w:jc w:val="left"/>
              <w:rPr>
                <w:sz w:val="20"/>
                <w:szCs w:val="20"/>
                <w:lang w:val="en-IN"/>
              </w:rPr>
            </w:pPr>
          </w:p>
        </w:tc>
      </w:tr>
      <w:tr w:rsidR="0075642B" w:rsidRPr="0075642B" w14:paraId="73469151"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3F555E5" w14:textId="77777777" w:rsidR="0075642B" w:rsidRPr="0075642B" w:rsidRDefault="0075642B" w:rsidP="0075642B">
            <w:pPr>
              <w:spacing w:before="0" w:after="0" w:line="240" w:lineRule="auto"/>
              <w:jc w:val="center"/>
              <w:rPr>
                <w:rFonts w:ascii="Arial" w:hAnsi="Arial" w:cs="Arial"/>
                <w:color w:val="000000"/>
                <w:lang w:val="en-IN"/>
              </w:rPr>
            </w:pPr>
            <w:r w:rsidRPr="0075642B">
              <w:rPr>
                <w:rFonts w:ascii="Arial" w:hAnsi="Arial" w:cs="Arial"/>
                <w:color w:val="000000"/>
                <w:lang w:val="en-IN"/>
              </w:rPr>
              <w:t> </w:t>
            </w:r>
          </w:p>
        </w:tc>
        <w:tc>
          <w:tcPr>
            <w:tcW w:w="61" w:type="pct"/>
            <w:vAlign w:val="center"/>
            <w:hideMark/>
          </w:tcPr>
          <w:p w14:paraId="05ED14E0" w14:textId="77777777" w:rsidR="0075642B" w:rsidRPr="0075642B" w:rsidRDefault="0075642B" w:rsidP="0075642B">
            <w:pPr>
              <w:spacing w:before="0" w:after="0" w:line="240" w:lineRule="auto"/>
              <w:jc w:val="left"/>
              <w:rPr>
                <w:sz w:val="20"/>
                <w:szCs w:val="20"/>
                <w:lang w:val="en-IN"/>
              </w:rPr>
            </w:pPr>
          </w:p>
        </w:tc>
      </w:tr>
      <w:tr w:rsidR="0075642B" w:rsidRPr="0075642B" w14:paraId="29D87EB8"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541B640"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"Debt-to-Enterprise Value Ratio"</w:t>
            </w:r>
          </w:p>
        </w:tc>
        <w:tc>
          <w:tcPr>
            <w:tcW w:w="61" w:type="pct"/>
            <w:vAlign w:val="center"/>
            <w:hideMark/>
          </w:tcPr>
          <w:p w14:paraId="74F9AFC1" w14:textId="77777777" w:rsidR="0075642B" w:rsidRPr="0075642B" w:rsidRDefault="0075642B" w:rsidP="0075642B">
            <w:pPr>
              <w:spacing w:before="0" w:after="0" w:line="240" w:lineRule="auto"/>
              <w:jc w:val="left"/>
              <w:rPr>
                <w:sz w:val="20"/>
                <w:szCs w:val="20"/>
                <w:lang w:val="en-IN"/>
              </w:rPr>
            </w:pPr>
          </w:p>
        </w:tc>
      </w:tr>
      <w:tr w:rsidR="0075642B" w:rsidRPr="0075642B" w14:paraId="164F998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7182193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270DE13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5A85E89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5E392BD1"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5252E2E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50D7293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6955A58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15BD32B9" w14:textId="77777777" w:rsidR="0075642B" w:rsidRPr="0075642B" w:rsidRDefault="0075642B" w:rsidP="0075642B">
            <w:pPr>
              <w:spacing w:before="0" w:after="0" w:line="240" w:lineRule="auto"/>
              <w:jc w:val="left"/>
              <w:rPr>
                <w:sz w:val="20"/>
                <w:szCs w:val="20"/>
                <w:lang w:val="en-IN"/>
              </w:rPr>
            </w:pPr>
          </w:p>
        </w:tc>
      </w:tr>
      <w:tr w:rsidR="0075642B" w:rsidRPr="0075642B" w14:paraId="1AD82A31"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06C1C45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"Total Debt"</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5295C71F"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"Total Debt</w:t>
            </w:r>
            <w:proofErr w:type="gramStart"/>
            <w:r w:rsidRPr="0075642B">
              <w:rPr>
                <w:rFonts w:ascii="Arial" w:hAnsi="Arial" w:cs="Arial"/>
                <w:b/>
                <w:bCs/>
                <w:color w:val="000000"/>
                <w:lang w:val="en-IN"/>
              </w:rPr>
              <w:t>/(</w:t>
            </w:r>
            <w:proofErr w:type="gramEnd"/>
            <w:r w:rsidRPr="0075642B">
              <w:rPr>
                <w:rFonts w:ascii="Arial" w:hAnsi="Arial" w:cs="Arial"/>
                <w:b/>
                <w:bCs/>
                <w:color w:val="000000"/>
                <w:lang w:val="en-IN"/>
              </w:rPr>
              <w:t>Market Cap +Net Debt)"</w:t>
            </w:r>
          </w:p>
        </w:tc>
        <w:tc>
          <w:tcPr>
            <w:tcW w:w="516" w:type="pct"/>
            <w:tcBorders>
              <w:top w:val="nil"/>
              <w:left w:val="nil"/>
              <w:bottom w:val="single" w:sz="4" w:space="0" w:color="auto"/>
              <w:right w:val="single" w:sz="4" w:space="0" w:color="auto"/>
            </w:tcBorders>
            <w:shd w:val="clear" w:color="000000" w:fill="FFFFFF"/>
            <w:noWrap/>
            <w:vAlign w:val="bottom"/>
            <w:hideMark/>
          </w:tcPr>
          <w:p w14:paraId="5704CCB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48,390.00 </w:t>
            </w:r>
          </w:p>
        </w:tc>
        <w:tc>
          <w:tcPr>
            <w:tcW w:w="474" w:type="pct"/>
            <w:tcBorders>
              <w:top w:val="nil"/>
              <w:left w:val="nil"/>
              <w:bottom w:val="single" w:sz="4" w:space="0" w:color="auto"/>
              <w:right w:val="single" w:sz="4" w:space="0" w:color="auto"/>
            </w:tcBorders>
            <w:shd w:val="clear" w:color="000000" w:fill="FFFFFF"/>
            <w:noWrap/>
            <w:vAlign w:val="bottom"/>
            <w:hideMark/>
          </w:tcPr>
          <w:p w14:paraId="6E2EB49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43,009.00 </w:t>
            </w:r>
          </w:p>
        </w:tc>
        <w:tc>
          <w:tcPr>
            <w:tcW w:w="474" w:type="pct"/>
            <w:tcBorders>
              <w:top w:val="nil"/>
              <w:left w:val="nil"/>
              <w:bottom w:val="single" w:sz="4" w:space="0" w:color="auto"/>
              <w:right w:val="single" w:sz="4" w:space="0" w:color="auto"/>
            </w:tcBorders>
            <w:shd w:val="clear" w:color="000000" w:fill="FFFFFF"/>
            <w:noWrap/>
            <w:vAlign w:val="bottom"/>
            <w:hideMark/>
          </w:tcPr>
          <w:p w14:paraId="10D2E77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36,440.00 </w:t>
            </w:r>
          </w:p>
        </w:tc>
        <w:tc>
          <w:tcPr>
            <w:tcW w:w="516" w:type="pct"/>
            <w:tcBorders>
              <w:top w:val="nil"/>
              <w:left w:val="nil"/>
              <w:bottom w:val="single" w:sz="4" w:space="0" w:color="auto"/>
              <w:right w:val="single" w:sz="4" w:space="0" w:color="auto"/>
            </w:tcBorders>
            <w:shd w:val="clear" w:color="000000" w:fill="FFFFFF"/>
            <w:noWrap/>
            <w:vAlign w:val="bottom"/>
            <w:hideMark/>
          </w:tcPr>
          <w:p w14:paraId="0606753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30,548.00 </w:t>
            </w:r>
          </w:p>
        </w:tc>
        <w:tc>
          <w:tcPr>
            <w:tcW w:w="474" w:type="pct"/>
            <w:tcBorders>
              <w:top w:val="nil"/>
              <w:left w:val="nil"/>
              <w:bottom w:val="single" w:sz="4" w:space="0" w:color="auto"/>
              <w:right w:val="single" w:sz="4" w:space="0" w:color="auto"/>
            </w:tcBorders>
            <w:shd w:val="clear" w:color="000000" w:fill="FFFFFF"/>
            <w:noWrap/>
            <w:vAlign w:val="bottom"/>
            <w:hideMark/>
          </w:tcPr>
          <w:p w14:paraId="40CB35D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28,418.00 </w:t>
            </w:r>
          </w:p>
        </w:tc>
        <w:tc>
          <w:tcPr>
            <w:tcW w:w="61" w:type="pct"/>
            <w:vAlign w:val="center"/>
            <w:hideMark/>
          </w:tcPr>
          <w:p w14:paraId="4EDD4CCD" w14:textId="77777777" w:rsidR="0075642B" w:rsidRPr="0075642B" w:rsidRDefault="0075642B" w:rsidP="0075642B">
            <w:pPr>
              <w:spacing w:before="0" w:after="0" w:line="240" w:lineRule="auto"/>
              <w:jc w:val="left"/>
              <w:rPr>
                <w:sz w:val="20"/>
                <w:szCs w:val="20"/>
                <w:lang w:val="en-IN"/>
              </w:rPr>
            </w:pPr>
          </w:p>
        </w:tc>
      </w:tr>
      <w:tr w:rsidR="0075642B" w:rsidRPr="0075642B" w14:paraId="3F941E2D"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71D76BD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Market Capitalization (Cap)"</w:t>
            </w:r>
          </w:p>
        </w:tc>
        <w:tc>
          <w:tcPr>
            <w:tcW w:w="1183" w:type="pct"/>
            <w:vMerge/>
            <w:tcBorders>
              <w:top w:val="nil"/>
              <w:left w:val="single" w:sz="4" w:space="0" w:color="auto"/>
              <w:bottom w:val="single" w:sz="4" w:space="0" w:color="auto"/>
              <w:right w:val="single" w:sz="4" w:space="0" w:color="auto"/>
            </w:tcBorders>
            <w:vAlign w:val="center"/>
            <w:hideMark/>
          </w:tcPr>
          <w:p w14:paraId="705139B2"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771F682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$13,00,000.00 </w:t>
            </w:r>
          </w:p>
        </w:tc>
        <w:tc>
          <w:tcPr>
            <w:tcW w:w="474" w:type="pct"/>
            <w:tcBorders>
              <w:top w:val="nil"/>
              <w:left w:val="nil"/>
              <w:bottom w:val="single" w:sz="4" w:space="0" w:color="auto"/>
              <w:right w:val="single" w:sz="4" w:space="0" w:color="auto"/>
            </w:tcBorders>
            <w:shd w:val="clear" w:color="000000" w:fill="FFFFFF"/>
            <w:noWrap/>
            <w:vAlign w:val="bottom"/>
            <w:hideMark/>
          </w:tcPr>
          <w:p w14:paraId="0AEBC88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$7,89,900.00 </w:t>
            </w:r>
          </w:p>
        </w:tc>
        <w:tc>
          <w:tcPr>
            <w:tcW w:w="474" w:type="pct"/>
            <w:tcBorders>
              <w:top w:val="nil"/>
              <w:left w:val="nil"/>
              <w:bottom w:val="single" w:sz="4" w:space="0" w:color="auto"/>
              <w:right w:val="single" w:sz="4" w:space="0" w:color="auto"/>
            </w:tcBorders>
            <w:shd w:val="clear" w:color="000000" w:fill="FFFFFF"/>
            <w:noWrap/>
            <w:vAlign w:val="bottom"/>
            <w:hideMark/>
          </w:tcPr>
          <w:p w14:paraId="1278E8F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$3,88,980.00 </w:t>
            </w:r>
          </w:p>
        </w:tc>
        <w:tc>
          <w:tcPr>
            <w:tcW w:w="516" w:type="pct"/>
            <w:tcBorders>
              <w:top w:val="nil"/>
              <w:left w:val="nil"/>
              <w:bottom w:val="single" w:sz="4" w:space="0" w:color="auto"/>
              <w:right w:val="single" w:sz="4" w:space="0" w:color="auto"/>
            </w:tcBorders>
            <w:shd w:val="clear" w:color="000000" w:fill="FFFFFF"/>
            <w:noWrap/>
            <w:vAlign w:val="bottom"/>
            <w:hideMark/>
          </w:tcPr>
          <w:p w14:paraId="438D2FB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$10,90,000.00 </w:t>
            </w:r>
          </w:p>
        </w:tc>
        <w:tc>
          <w:tcPr>
            <w:tcW w:w="474" w:type="pct"/>
            <w:tcBorders>
              <w:top w:val="nil"/>
              <w:left w:val="nil"/>
              <w:bottom w:val="single" w:sz="4" w:space="0" w:color="auto"/>
              <w:right w:val="single" w:sz="4" w:space="0" w:color="auto"/>
            </w:tcBorders>
            <w:shd w:val="clear" w:color="000000" w:fill="FFFFFF"/>
            <w:noWrap/>
            <w:vAlign w:val="bottom"/>
            <w:hideMark/>
          </w:tcPr>
          <w:p w14:paraId="1A6CEC0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$6,68,900.00 </w:t>
            </w:r>
          </w:p>
        </w:tc>
        <w:tc>
          <w:tcPr>
            <w:tcW w:w="61" w:type="pct"/>
            <w:vAlign w:val="center"/>
            <w:hideMark/>
          </w:tcPr>
          <w:p w14:paraId="5FA7B33D" w14:textId="77777777" w:rsidR="0075642B" w:rsidRPr="0075642B" w:rsidRDefault="0075642B" w:rsidP="0075642B">
            <w:pPr>
              <w:spacing w:before="0" w:after="0" w:line="240" w:lineRule="auto"/>
              <w:jc w:val="left"/>
              <w:rPr>
                <w:sz w:val="20"/>
                <w:szCs w:val="20"/>
                <w:lang w:val="en-IN"/>
              </w:rPr>
            </w:pPr>
          </w:p>
        </w:tc>
      </w:tr>
      <w:tr w:rsidR="0075642B" w:rsidRPr="0075642B" w14:paraId="1C7AAC57"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3056773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Net Debt"</w:t>
            </w:r>
          </w:p>
        </w:tc>
        <w:tc>
          <w:tcPr>
            <w:tcW w:w="1183" w:type="pct"/>
            <w:vMerge/>
            <w:tcBorders>
              <w:top w:val="nil"/>
              <w:left w:val="single" w:sz="4" w:space="0" w:color="auto"/>
              <w:bottom w:val="single" w:sz="4" w:space="0" w:color="auto"/>
              <w:right w:val="single" w:sz="4" w:space="0" w:color="auto"/>
            </w:tcBorders>
            <w:vAlign w:val="center"/>
            <w:hideMark/>
          </w:tcPr>
          <w:p w14:paraId="00287524"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2B2298B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32,251.00 </w:t>
            </w:r>
          </w:p>
        </w:tc>
        <w:tc>
          <w:tcPr>
            <w:tcW w:w="474" w:type="pct"/>
            <w:tcBorders>
              <w:top w:val="nil"/>
              <w:left w:val="nil"/>
              <w:bottom w:val="single" w:sz="4" w:space="0" w:color="auto"/>
              <w:right w:val="single" w:sz="4" w:space="0" w:color="auto"/>
            </w:tcBorders>
            <w:shd w:val="clear" w:color="000000" w:fill="FFFFFF"/>
            <w:noWrap/>
            <w:vAlign w:val="bottom"/>
            <w:hideMark/>
          </w:tcPr>
          <w:p w14:paraId="694A0FA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26,611.00 </w:t>
            </w:r>
          </w:p>
        </w:tc>
        <w:tc>
          <w:tcPr>
            <w:tcW w:w="474" w:type="pct"/>
            <w:tcBorders>
              <w:top w:val="nil"/>
              <w:left w:val="nil"/>
              <w:bottom w:val="single" w:sz="4" w:space="0" w:color="auto"/>
              <w:right w:val="single" w:sz="4" w:space="0" w:color="auto"/>
            </w:tcBorders>
            <w:shd w:val="clear" w:color="000000" w:fill="FFFFFF"/>
            <w:noWrap/>
            <w:vAlign w:val="bottom"/>
            <w:hideMark/>
          </w:tcPr>
          <w:p w14:paraId="594874F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20,187.00 </w:t>
            </w:r>
          </w:p>
        </w:tc>
        <w:tc>
          <w:tcPr>
            <w:tcW w:w="516" w:type="pct"/>
            <w:tcBorders>
              <w:top w:val="nil"/>
              <w:left w:val="nil"/>
              <w:bottom w:val="single" w:sz="4" w:space="0" w:color="auto"/>
              <w:right w:val="single" w:sz="4" w:space="0" w:color="auto"/>
            </w:tcBorders>
            <w:shd w:val="clear" w:color="000000" w:fill="FFFFFF"/>
            <w:noWrap/>
            <w:vAlign w:val="bottom"/>
            <w:hideMark/>
          </w:tcPr>
          <w:p w14:paraId="4BBBA05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12,972.00 </w:t>
            </w:r>
          </w:p>
        </w:tc>
        <w:tc>
          <w:tcPr>
            <w:tcW w:w="474" w:type="pct"/>
            <w:tcBorders>
              <w:top w:val="nil"/>
              <w:left w:val="nil"/>
              <w:bottom w:val="single" w:sz="4" w:space="0" w:color="auto"/>
              <w:right w:val="single" w:sz="4" w:space="0" w:color="auto"/>
            </w:tcBorders>
            <w:shd w:val="clear" w:color="000000" w:fill="FFFFFF"/>
            <w:noWrap/>
            <w:vAlign w:val="bottom"/>
            <w:hideMark/>
          </w:tcPr>
          <w:p w14:paraId="7801F79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9,034.00 </w:t>
            </w:r>
          </w:p>
        </w:tc>
        <w:tc>
          <w:tcPr>
            <w:tcW w:w="61" w:type="pct"/>
            <w:vAlign w:val="center"/>
            <w:hideMark/>
          </w:tcPr>
          <w:p w14:paraId="7E83AC6C" w14:textId="77777777" w:rsidR="0075642B" w:rsidRPr="0075642B" w:rsidRDefault="0075642B" w:rsidP="0075642B">
            <w:pPr>
              <w:spacing w:before="0" w:after="0" w:line="240" w:lineRule="auto"/>
              <w:jc w:val="left"/>
              <w:rPr>
                <w:sz w:val="20"/>
                <w:szCs w:val="20"/>
                <w:lang w:val="en-IN"/>
              </w:rPr>
            </w:pPr>
          </w:p>
        </w:tc>
      </w:tr>
      <w:tr w:rsidR="0075642B" w:rsidRPr="0075642B" w14:paraId="144BE5BD"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93237E2"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"Debt-to-Enterprise Value Ratio"</w:t>
            </w:r>
          </w:p>
        </w:tc>
        <w:tc>
          <w:tcPr>
            <w:tcW w:w="1183" w:type="pct"/>
            <w:vMerge/>
            <w:tcBorders>
              <w:top w:val="nil"/>
              <w:left w:val="single" w:sz="4" w:space="0" w:color="auto"/>
              <w:bottom w:val="single" w:sz="4" w:space="0" w:color="auto"/>
              <w:right w:val="single" w:sz="4" w:space="0" w:color="auto"/>
            </w:tcBorders>
            <w:vAlign w:val="center"/>
            <w:hideMark/>
          </w:tcPr>
          <w:p w14:paraId="0696AE60"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5DAC411C"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0.04</w:t>
            </w:r>
          </w:p>
        </w:tc>
        <w:tc>
          <w:tcPr>
            <w:tcW w:w="474" w:type="pct"/>
            <w:tcBorders>
              <w:top w:val="nil"/>
              <w:left w:val="nil"/>
              <w:bottom w:val="single" w:sz="4" w:space="0" w:color="auto"/>
              <w:right w:val="single" w:sz="4" w:space="0" w:color="auto"/>
            </w:tcBorders>
            <w:shd w:val="clear" w:color="000000" w:fill="FFFFFF"/>
            <w:noWrap/>
            <w:vAlign w:val="bottom"/>
            <w:hideMark/>
          </w:tcPr>
          <w:p w14:paraId="344ABDC4"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0.05</w:t>
            </w:r>
          </w:p>
        </w:tc>
        <w:tc>
          <w:tcPr>
            <w:tcW w:w="474" w:type="pct"/>
            <w:tcBorders>
              <w:top w:val="nil"/>
              <w:left w:val="nil"/>
              <w:bottom w:val="single" w:sz="4" w:space="0" w:color="auto"/>
              <w:right w:val="single" w:sz="4" w:space="0" w:color="auto"/>
            </w:tcBorders>
            <w:shd w:val="clear" w:color="000000" w:fill="FFFFFF"/>
            <w:noWrap/>
            <w:vAlign w:val="bottom"/>
            <w:hideMark/>
          </w:tcPr>
          <w:p w14:paraId="325EE5F1"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0.09</w:t>
            </w:r>
          </w:p>
        </w:tc>
        <w:tc>
          <w:tcPr>
            <w:tcW w:w="516" w:type="pct"/>
            <w:tcBorders>
              <w:top w:val="nil"/>
              <w:left w:val="nil"/>
              <w:bottom w:val="single" w:sz="4" w:space="0" w:color="auto"/>
              <w:right w:val="single" w:sz="4" w:space="0" w:color="auto"/>
            </w:tcBorders>
            <w:shd w:val="clear" w:color="000000" w:fill="FFFFFF"/>
            <w:noWrap/>
            <w:vAlign w:val="bottom"/>
            <w:hideMark/>
          </w:tcPr>
          <w:p w14:paraId="7DA80AF1"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0.03</w:t>
            </w:r>
          </w:p>
        </w:tc>
        <w:tc>
          <w:tcPr>
            <w:tcW w:w="474" w:type="pct"/>
            <w:tcBorders>
              <w:top w:val="nil"/>
              <w:left w:val="nil"/>
              <w:bottom w:val="single" w:sz="4" w:space="0" w:color="auto"/>
              <w:right w:val="single" w:sz="4" w:space="0" w:color="auto"/>
            </w:tcBorders>
            <w:shd w:val="clear" w:color="000000" w:fill="FFFFFF"/>
            <w:noWrap/>
            <w:vAlign w:val="bottom"/>
            <w:hideMark/>
          </w:tcPr>
          <w:p w14:paraId="32B8A8D4"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0.04</w:t>
            </w:r>
          </w:p>
        </w:tc>
        <w:tc>
          <w:tcPr>
            <w:tcW w:w="61" w:type="pct"/>
            <w:vAlign w:val="center"/>
            <w:hideMark/>
          </w:tcPr>
          <w:p w14:paraId="7131886E" w14:textId="77777777" w:rsidR="0075642B" w:rsidRPr="0075642B" w:rsidRDefault="0075642B" w:rsidP="0075642B">
            <w:pPr>
              <w:spacing w:before="0" w:after="0" w:line="240" w:lineRule="auto"/>
              <w:jc w:val="left"/>
              <w:rPr>
                <w:sz w:val="20"/>
                <w:szCs w:val="20"/>
                <w:lang w:val="en-IN"/>
              </w:rPr>
            </w:pPr>
          </w:p>
        </w:tc>
      </w:tr>
      <w:tr w:rsidR="0075642B" w:rsidRPr="0075642B" w14:paraId="51CA14AE" w14:textId="77777777" w:rsidTr="0075642B">
        <w:trPr>
          <w:trHeight w:val="288"/>
          <w:jc w:val="center"/>
        </w:trPr>
        <w:tc>
          <w:tcPr>
            <w:tcW w:w="4939" w:type="pct"/>
            <w:gridSpan w:val="7"/>
            <w:vMerge w:val="restart"/>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3EB94E3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"Investment Ratio"</w:t>
            </w:r>
          </w:p>
        </w:tc>
        <w:tc>
          <w:tcPr>
            <w:tcW w:w="61" w:type="pct"/>
            <w:vAlign w:val="center"/>
            <w:hideMark/>
          </w:tcPr>
          <w:p w14:paraId="65FA638D" w14:textId="77777777" w:rsidR="0075642B" w:rsidRPr="0075642B" w:rsidRDefault="0075642B" w:rsidP="0075642B">
            <w:pPr>
              <w:spacing w:before="0" w:after="0" w:line="240" w:lineRule="auto"/>
              <w:jc w:val="left"/>
              <w:rPr>
                <w:sz w:val="20"/>
                <w:szCs w:val="20"/>
                <w:lang w:val="en-IN"/>
              </w:rPr>
            </w:pPr>
          </w:p>
        </w:tc>
      </w:tr>
      <w:tr w:rsidR="0075642B" w:rsidRPr="0075642B" w14:paraId="6B243397" w14:textId="77777777" w:rsidTr="0075642B">
        <w:trPr>
          <w:trHeight w:val="312"/>
          <w:jc w:val="center"/>
        </w:trPr>
        <w:tc>
          <w:tcPr>
            <w:tcW w:w="4939" w:type="pct"/>
            <w:gridSpan w:val="7"/>
            <w:vMerge/>
            <w:tcBorders>
              <w:top w:val="single" w:sz="4" w:space="0" w:color="auto"/>
              <w:left w:val="single" w:sz="4" w:space="0" w:color="auto"/>
              <w:bottom w:val="single" w:sz="4" w:space="0" w:color="auto"/>
              <w:right w:val="single" w:sz="4" w:space="0" w:color="auto"/>
            </w:tcBorders>
            <w:vAlign w:val="center"/>
            <w:hideMark/>
          </w:tcPr>
          <w:p w14:paraId="508825BC" w14:textId="77777777" w:rsidR="0075642B" w:rsidRPr="0075642B" w:rsidRDefault="0075642B" w:rsidP="0075642B">
            <w:pPr>
              <w:spacing w:before="0" w:after="0" w:line="240" w:lineRule="auto"/>
              <w:jc w:val="left"/>
              <w:rPr>
                <w:rFonts w:ascii="Arial" w:hAnsi="Arial" w:cs="Arial"/>
                <w:b/>
                <w:bCs/>
                <w:color w:val="000000"/>
                <w:lang w:val="en-IN"/>
              </w:rPr>
            </w:pPr>
          </w:p>
        </w:tc>
        <w:tc>
          <w:tcPr>
            <w:tcW w:w="61" w:type="pct"/>
            <w:tcBorders>
              <w:top w:val="nil"/>
              <w:left w:val="nil"/>
              <w:bottom w:val="nil"/>
              <w:right w:val="nil"/>
            </w:tcBorders>
            <w:noWrap/>
            <w:vAlign w:val="bottom"/>
            <w:hideMark/>
          </w:tcPr>
          <w:p w14:paraId="121C84ED" w14:textId="77777777" w:rsidR="0075642B" w:rsidRPr="0075642B" w:rsidRDefault="0075642B" w:rsidP="0075642B">
            <w:pPr>
              <w:spacing w:before="0" w:after="0" w:line="240" w:lineRule="auto"/>
              <w:jc w:val="center"/>
              <w:rPr>
                <w:rFonts w:ascii="Arial" w:hAnsi="Arial" w:cs="Arial"/>
                <w:b/>
                <w:bCs/>
                <w:color w:val="000000"/>
                <w:lang w:val="en-IN"/>
              </w:rPr>
            </w:pPr>
          </w:p>
        </w:tc>
      </w:tr>
      <w:tr w:rsidR="0075642B" w:rsidRPr="0075642B" w14:paraId="5EFE5309"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6DC0A3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"Dividend Payout Ratio "</w:t>
            </w:r>
          </w:p>
        </w:tc>
        <w:tc>
          <w:tcPr>
            <w:tcW w:w="61" w:type="pct"/>
            <w:vAlign w:val="center"/>
            <w:hideMark/>
          </w:tcPr>
          <w:p w14:paraId="22818CAB" w14:textId="77777777" w:rsidR="0075642B" w:rsidRPr="0075642B" w:rsidRDefault="0075642B" w:rsidP="0075642B">
            <w:pPr>
              <w:spacing w:before="0" w:after="0" w:line="240" w:lineRule="auto"/>
              <w:jc w:val="left"/>
              <w:rPr>
                <w:sz w:val="20"/>
                <w:szCs w:val="20"/>
                <w:lang w:val="en-IN"/>
              </w:rPr>
            </w:pPr>
          </w:p>
        </w:tc>
      </w:tr>
      <w:tr w:rsidR="0075642B" w:rsidRPr="0075642B" w14:paraId="697B0B0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5DC4751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54CC874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456EE17F"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49CDA72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7192006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09260740"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12F0CCBD"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3AEB21C3" w14:textId="77777777" w:rsidR="0075642B" w:rsidRPr="0075642B" w:rsidRDefault="0075642B" w:rsidP="0075642B">
            <w:pPr>
              <w:spacing w:before="0" w:after="0" w:line="240" w:lineRule="auto"/>
              <w:jc w:val="left"/>
              <w:rPr>
                <w:sz w:val="20"/>
                <w:szCs w:val="20"/>
                <w:lang w:val="en-IN"/>
              </w:rPr>
            </w:pPr>
          </w:p>
        </w:tc>
      </w:tr>
      <w:tr w:rsidR="0075642B" w:rsidRPr="0075642B" w14:paraId="3E4886E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30631FE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"Dividend"</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65CBAD4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"Dividends Paid / Net Income"</w:t>
            </w:r>
          </w:p>
        </w:tc>
        <w:tc>
          <w:tcPr>
            <w:tcW w:w="516" w:type="pct"/>
            <w:tcBorders>
              <w:top w:val="nil"/>
              <w:left w:val="nil"/>
              <w:bottom w:val="single" w:sz="4" w:space="0" w:color="auto"/>
              <w:right w:val="single" w:sz="4" w:space="0" w:color="auto"/>
            </w:tcBorders>
            <w:shd w:val="clear" w:color="000000" w:fill="FFFFFF"/>
            <w:noWrap/>
            <w:vAlign w:val="bottom"/>
            <w:hideMark/>
          </w:tcPr>
          <w:p w14:paraId="51C30D6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114.29 </w:t>
            </w:r>
          </w:p>
        </w:tc>
        <w:tc>
          <w:tcPr>
            <w:tcW w:w="474" w:type="pct"/>
            <w:tcBorders>
              <w:top w:val="nil"/>
              <w:left w:val="nil"/>
              <w:bottom w:val="single" w:sz="4" w:space="0" w:color="auto"/>
              <w:right w:val="single" w:sz="4" w:space="0" w:color="auto"/>
            </w:tcBorders>
            <w:shd w:val="clear" w:color="000000" w:fill="FFFFFF"/>
            <w:noWrap/>
            <w:vAlign w:val="bottom"/>
            <w:hideMark/>
          </w:tcPr>
          <w:p w14:paraId="42E6F4E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121.62 </w:t>
            </w:r>
          </w:p>
        </w:tc>
        <w:tc>
          <w:tcPr>
            <w:tcW w:w="474" w:type="pct"/>
            <w:tcBorders>
              <w:top w:val="nil"/>
              <w:left w:val="nil"/>
              <w:bottom w:val="single" w:sz="4" w:space="0" w:color="auto"/>
              <w:right w:val="single" w:sz="4" w:space="0" w:color="auto"/>
            </w:tcBorders>
            <w:shd w:val="clear" w:color="000000" w:fill="FFFFFF"/>
            <w:noWrap/>
            <w:vAlign w:val="bottom"/>
            <w:hideMark/>
          </w:tcPr>
          <w:p w14:paraId="314D0CE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114.51 </w:t>
            </w:r>
          </w:p>
        </w:tc>
        <w:tc>
          <w:tcPr>
            <w:tcW w:w="516" w:type="pct"/>
            <w:tcBorders>
              <w:top w:val="nil"/>
              <w:left w:val="nil"/>
              <w:bottom w:val="single" w:sz="4" w:space="0" w:color="auto"/>
              <w:right w:val="single" w:sz="4" w:space="0" w:color="auto"/>
            </w:tcBorders>
            <w:shd w:val="clear" w:color="000000" w:fill="FFFFFF"/>
            <w:noWrap/>
            <w:vAlign w:val="bottom"/>
            <w:hideMark/>
          </w:tcPr>
          <w:p w14:paraId="73F466A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128.02 </w:t>
            </w:r>
          </w:p>
        </w:tc>
        <w:tc>
          <w:tcPr>
            <w:tcW w:w="474" w:type="pct"/>
            <w:tcBorders>
              <w:top w:val="nil"/>
              <w:left w:val="nil"/>
              <w:bottom w:val="single" w:sz="4" w:space="0" w:color="auto"/>
              <w:right w:val="single" w:sz="4" w:space="0" w:color="auto"/>
            </w:tcBorders>
            <w:shd w:val="clear" w:color="000000" w:fill="FFFFFF"/>
            <w:noWrap/>
            <w:vAlign w:val="bottom"/>
            <w:hideMark/>
          </w:tcPr>
          <w:p w14:paraId="0213477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72.05 </w:t>
            </w:r>
          </w:p>
        </w:tc>
        <w:tc>
          <w:tcPr>
            <w:tcW w:w="61" w:type="pct"/>
            <w:vAlign w:val="center"/>
            <w:hideMark/>
          </w:tcPr>
          <w:p w14:paraId="38A8C98A" w14:textId="77777777" w:rsidR="0075642B" w:rsidRPr="0075642B" w:rsidRDefault="0075642B" w:rsidP="0075642B">
            <w:pPr>
              <w:spacing w:before="0" w:after="0" w:line="240" w:lineRule="auto"/>
              <w:jc w:val="left"/>
              <w:rPr>
                <w:sz w:val="20"/>
                <w:szCs w:val="20"/>
                <w:lang w:val="en-IN"/>
              </w:rPr>
            </w:pPr>
          </w:p>
        </w:tc>
      </w:tr>
      <w:tr w:rsidR="0075642B" w:rsidRPr="0075642B" w14:paraId="0EA18727"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7F6C3F9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"Net Income"</w:t>
            </w:r>
          </w:p>
        </w:tc>
        <w:tc>
          <w:tcPr>
            <w:tcW w:w="1183" w:type="pct"/>
            <w:vMerge/>
            <w:tcBorders>
              <w:top w:val="nil"/>
              <w:left w:val="single" w:sz="4" w:space="0" w:color="auto"/>
              <w:bottom w:val="single" w:sz="4" w:space="0" w:color="auto"/>
              <w:right w:val="single" w:sz="4" w:space="0" w:color="auto"/>
            </w:tcBorders>
            <w:vAlign w:val="center"/>
            <w:hideMark/>
          </w:tcPr>
          <w:p w14:paraId="76D10887"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4C41208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7,153.00 </w:t>
            </w:r>
          </w:p>
        </w:tc>
        <w:tc>
          <w:tcPr>
            <w:tcW w:w="474" w:type="pct"/>
            <w:tcBorders>
              <w:top w:val="nil"/>
              <w:left w:val="nil"/>
              <w:bottom w:val="single" w:sz="4" w:space="0" w:color="auto"/>
              <w:right w:val="single" w:sz="4" w:space="0" w:color="auto"/>
            </w:tcBorders>
            <w:shd w:val="clear" w:color="000000" w:fill="FFFFFF"/>
            <w:noWrap/>
            <w:vAlign w:val="bottom"/>
            <w:hideMark/>
          </w:tcPr>
          <w:p w14:paraId="798A7E4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14,974.00 </w:t>
            </w:r>
          </w:p>
        </w:tc>
        <w:tc>
          <w:tcPr>
            <w:tcW w:w="474" w:type="pct"/>
            <w:tcBorders>
              <w:top w:val="nil"/>
              <w:left w:val="nil"/>
              <w:bottom w:val="single" w:sz="4" w:space="0" w:color="auto"/>
              <w:right w:val="single" w:sz="4" w:space="0" w:color="auto"/>
            </w:tcBorders>
            <w:shd w:val="clear" w:color="000000" w:fill="FFFFFF"/>
            <w:noWrap/>
            <w:vAlign w:val="bottom"/>
            <w:hideMark/>
          </w:tcPr>
          <w:p w14:paraId="511BB82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12,587.00 </w:t>
            </w:r>
          </w:p>
        </w:tc>
        <w:tc>
          <w:tcPr>
            <w:tcW w:w="516" w:type="pct"/>
            <w:tcBorders>
              <w:top w:val="nil"/>
              <w:left w:val="nil"/>
              <w:bottom w:val="single" w:sz="4" w:space="0" w:color="auto"/>
              <w:right w:val="single" w:sz="4" w:space="0" w:color="auto"/>
            </w:tcBorders>
            <w:shd w:val="clear" w:color="000000" w:fill="FFFFFF"/>
            <w:noWrap/>
            <w:vAlign w:val="bottom"/>
            <w:hideMark/>
          </w:tcPr>
          <w:p w14:paraId="2F74469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5,644.00 </w:t>
            </w:r>
          </w:p>
        </w:tc>
        <w:tc>
          <w:tcPr>
            <w:tcW w:w="474" w:type="pct"/>
            <w:tcBorders>
              <w:top w:val="nil"/>
              <w:left w:val="nil"/>
              <w:bottom w:val="single" w:sz="4" w:space="0" w:color="auto"/>
              <w:right w:val="single" w:sz="4" w:space="0" w:color="auto"/>
            </w:tcBorders>
            <w:shd w:val="clear" w:color="000000" w:fill="FFFFFF"/>
            <w:noWrap/>
            <w:vAlign w:val="bottom"/>
            <w:hideMark/>
          </w:tcPr>
          <w:p w14:paraId="1AC434C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862.00 </w:t>
            </w:r>
          </w:p>
        </w:tc>
        <w:tc>
          <w:tcPr>
            <w:tcW w:w="61" w:type="pct"/>
            <w:vAlign w:val="center"/>
            <w:hideMark/>
          </w:tcPr>
          <w:p w14:paraId="742A1CD8" w14:textId="77777777" w:rsidR="0075642B" w:rsidRPr="0075642B" w:rsidRDefault="0075642B" w:rsidP="0075642B">
            <w:pPr>
              <w:spacing w:before="0" w:after="0" w:line="240" w:lineRule="auto"/>
              <w:jc w:val="left"/>
              <w:rPr>
                <w:sz w:val="20"/>
                <w:szCs w:val="20"/>
                <w:lang w:val="en-IN"/>
              </w:rPr>
            </w:pPr>
          </w:p>
        </w:tc>
      </w:tr>
      <w:tr w:rsidR="0075642B" w:rsidRPr="0075642B" w14:paraId="6A5EA051"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5CAA03C"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"Dividend Payout Ratio "</w:t>
            </w:r>
          </w:p>
        </w:tc>
        <w:tc>
          <w:tcPr>
            <w:tcW w:w="1183" w:type="pct"/>
            <w:vMerge/>
            <w:tcBorders>
              <w:top w:val="nil"/>
              <w:left w:val="single" w:sz="4" w:space="0" w:color="auto"/>
              <w:bottom w:val="single" w:sz="4" w:space="0" w:color="auto"/>
              <w:right w:val="single" w:sz="4" w:space="0" w:color="auto"/>
            </w:tcBorders>
            <w:vAlign w:val="center"/>
            <w:hideMark/>
          </w:tcPr>
          <w:p w14:paraId="2971F910"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146C976F"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0.02</w:t>
            </w:r>
          </w:p>
        </w:tc>
        <w:tc>
          <w:tcPr>
            <w:tcW w:w="474" w:type="pct"/>
            <w:tcBorders>
              <w:top w:val="nil"/>
              <w:left w:val="nil"/>
              <w:bottom w:val="single" w:sz="4" w:space="0" w:color="auto"/>
              <w:right w:val="single" w:sz="4" w:space="0" w:color="auto"/>
            </w:tcBorders>
            <w:shd w:val="clear" w:color="000000" w:fill="FFFFFF"/>
            <w:noWrap/>
            <w:vAlign w:val="bottom"/>
            <w:hideMark/>
          </w:tcPr>
          <w:p w14:paraId="24FA2EC7"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0.01</w:t>
            </w:r>
          </w:p>
        </w:tc>
        <w:tc>
          <w:tcPr>
            <w:tcW w:w="474" w:type="pct"/>
            <w:tcBorders>
              <w:top w:val="nil"/>
              <w:left w:val="nil"/>
              <w:bottom w:val="single" w:sz="4" w:space="0" w:color="auto"/>
              <w:right w:val="single" w:sz="4" w:space="0" w:color="auto"/>
            </w:tcBorders>
            <w:shd w:val="clear" w:color="000000" w:fill="FFFFFF"/>
            <w:noWrap/>
            <w:vAlign w:val="bottom"/>
            <w:hideMark/>
          </w:tcPr>
          <w:p w14:paraId="2CE15DA3"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0.01</w:t>
            </w:r>
          </w:p>
        </w:tc>
        <w:tc>
          <w:tcPr>
            <w:tcW w:w="516" w:type="pct"/>
            <w:tcBorders>
              <w:top w:val="nil"/>
              <w:left w:val="nil"/>
              <w:bottom w:val="single" w:sz="4" w:space="0" w:color="auto"/>
              <w:right w:val="single" w:sz="4" w:space="0" w:color="auto"/>
            </w:tcBorders>
            <w:shd w:val="clear" w:color="000000" w:fill="FFFFFF"/>
            <w:noWrap/>
            <w:vAlign w:val="bottom"/>
            <w:hideMark/>
          </w:tcPr>
          <w:p w14:paraId="5CD20BC8"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0.02</w:t>
            </w:r>
          </w:p>
        </w:tc>
        <w:tc>
          <w:tcPr>
            <w:tcW w:w="474" w:type="pct"/>
            <w:tcBorders>
              <w:top w:val="nil"/>
              <w:left w:val="nil"/>
              <w:bottom w:val="single" w:sz="4" w:space="0" w:color="auto"/>
              <w:right w:val="single" w:sz="4" w:space="0" w:color="auto"/>
            </w:tcBorders>
            <w:shd w:val="clear" w:color="000000" w:fill="FFFFFF"/>
            <w:noWrap/>
            <w:vAlign w:val="bottom"/>
            <w:hideMark/>
          </w:tcPr>
          <w:p w14:paraId="011AE222"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0.08</w:t>
            </w:r>
          </w:p>
        </w:tc>
        <w:tc>
          <w:tcPr>
            <w:tcW w:w="61" w:type="pct"/>
            <w:vAlign w:val="center"/>
            <w:hideMark/>
          </w:tcPr>
          <w:p w14:paraId="7F61EA18" w14:textId="77777777" w:rsidR="0075642B" w:rsidRPr="0075642B" w:rsidRDefault="0075642B" w:rsidP="0075642B">
            <w:pPr>
              <w:spacing w:before="0" w:after="0" w:line="240" w:lineRule="auto"/>
              <w:jc w:val="left"/>
              <w:rPr>
                <w:sz w:val="20"/>
                <w:szCs w:val="20"/>
                <w:lang w:val="en-IN"/>
              </w:rPr>
            </w:pPr>
          </w:p>
        </w:tc>
      </w:tr>
      <w:tr w:rsidR="0075642B" w:rsidRPr="0075642B" w14:paraId="45AB4DDD"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B3923B5" w14:textId="77777777" w:rsidR="0075642B" w:rsidRPr="0075642B" w:rsidRDefault="0075642B" w:rsidP="0075642B">
            <w:pPr>
              <w:spacing w:before="0" w:after="0" w:line="240" w:lineRule="auto"/>
              <w:jc w:val="center"/>
              <w:rPr>
                <w:rFonts w:ascii="Arial" w:hAnsi="Arial" w:cs="Arial"/>
                <w:color w:val="000000"/>
                <w:lang w:val="en-IN"/>
              </w:rPr>
            </w:pPr>
            <w:r w:rsidRPr="0075642B">
              <w:rPr>
                <w:rFonts w:ascii="Arial" w:hAnsi="Arial" w:cs="Arial"/>
                <w:color w:val="000000"/>
                <w:lang w:val="en-IN"/>
              </w:rPr>
              <w:t> </w:t>
            </w:r>
          </w:p>
        </w:tc>
        <w:tc>
          <w:tcPr>
            <w:tcW w:w="61" w:type="pct"/>
            <w:vAlign w:val="center"/>
            <w:hideMark/>
          </w:tcPr>
          <w:p w14:paraId="6A1BC040" w14:textId="77777777" w:rsidR="0075642B" w:rsidRPr="0075642B" w:rsidRDefault="0075642B" w:rsidP="0075642B">
            <w:pPr>
              <w:spacing w:before="0" w:after="0" w:line="240" w:lineRule="auto"/>
              <w:jc w:val="left"/>
              <w:rPr>
                <w:sz w:val="20"/>
                <w:szCs w:val="20"/>
                <w:lang w:val="en-IN"/>
              </w:rPr>
            </w:pPr>
          </w:p>
        </w:tc>
      </w:tr>
      <w:tr w:rsidR="0075642B" w:rsidRPr="0075642B" w14:paraId="6D4C76E9"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7D6DF5D"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lastRenderedPageBreak/>
              <w:t>"Return on Equity (ROE)"</w:t>
            </w:r>
          </w:p>
        </w:tc>
        <w:tc>
          <w:tcPr>
            <w:tcW w:w="61" w:type="pct"/>
            <w:vAlign w:val="center"/>
            <w:hideMark/>
          </w:tcPr>
          <w:p w14:paraId="6943E8F2" w14:textId="77777777" w:rsidR="0075642B" w:rsidRPr="0075642B" w:rsidRDefault="0075642B" w:rsidP="0075642B">
            <w:pPr>
              <w:spacing w:before="0" w:after="0" w:line="240" w:lineRule="auto"/>
              <w:jc w:val="left"/>
              <w:rPr>
                <w:sz w:val="20"/>
                <w:szCs w:val="20"/>
                <w:lang w:val="en-IN"/>
              </w:rPr>
            </w:pPr>
          </w:p>
        </w:tc>
      </w:tr>
      <w:tr w:rsidR="0075642B" w:rsidRPr="0075642B" w14:paraId="708F31B4"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97AB12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62EBA772"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05839EA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256B19A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18C40E7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346B82D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1B87078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2638EAAA" w14:textId="77777777" w:rsidR="0075642B" w:rsidRPr="0075642B" w:rsidRDefault="0075642B" w:rsidP="0075642B">
            <w:pPr>
              <w:spacing w:before="0" w:after="0" w:line="240" w:lineRule="auto"/>
              <w:jc w:val="left"/>
              <w:rPr>
                <w:sz w:val="20"/>
                <w:szCs w:val="20"/>
                <w:lang w:val="en-IN"/>
              </w:rPr>
            </w:pPr>
          </w:p>
        </w:tc>
      </w:tr>
      <w:tr w:rsidR="0075642B" w:rsidRPr="0075642B" w14:paraId="630D0DA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072BE3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"Net Income "</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0CF7957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"Net Income / Book Value of Equity (Total Equity)"</w:t>
            </w:r>
          </w:p>
        </w:tc>
        <w:tc>
          <w:tcPr>
            <w:tcW w:w="516" w:type="pct"/>
            <w:tcBorders>
              <w:top w:val="nil"/>
              <w:left w:val="nil"/>
              <w:bottom w:val="single" w:sz="4" w:space="0" w:color="auto"/>
              <w:right w:val="single" w:sz="4" w:space="0" w:color="auto"/>
            </w:tcBorders>
            <w:shd w:val="clear" w:color="000000" w:fill="FFFFFF"/>
            <w:noWrap/>
            <w:vAlign w:val="bottom"/>
            <w:hideMark/>
          </w:tcPr>
          <w:p w14:paraId="112D3E5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97,690.00 </w:t>
            </w:r>
          </w:p>
        </w:tc>
        <w:tc>
          <w:tcPr>
            <w:tcW w:w="474" w:type="pct"/>
            <w:tcBorders>
              <w:top w:val="nil"/>
              <w:left w:val="nil"/>
              <w:bottom w:val="single" w:sz="4" w:space="0" w:color="auto"/>
              <w:right w:val="single" w:sz="4" w:space="0" w:color="auto"/>
            </w:tcBorders>
            <w:shd w:val="clear" w:color="000000" w:fill="FFFFFF"/>
            <w:noWrap/>
            <w:vAlign w:val="bottom"/>
            <w:hideMark/>
          </w:tcPr>
          <w:p w14:paraId="0FBD2FC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96,773.00 </w:t>
            </w:r>
          </w:p>
        </w:tc>
        <w:tc>
          <w:tcPr>
            <w:tcW w:w="474" w:type="pct"/>
            <w:tcBorders>
              <w:top w:val="nil"/>
              <w:left w:val="nil"/>
              <w:bottom w:val="single" w:sz="4" w:space="0" w:color="auto"/>
              <w:right w:val="single" w:sz="4" w:space="0" w:color="auto"/>
            </w:tcBorders>
            <w:shd w:val="clear" w:color="000000" w:fill="FFFFFF"/>
            <w:noWrap/>
            <w:vAlign w:val="bottom"/>
            <w:hideMark/>
          </w:tcPr>
          <w:p w14:paraId="67DDAFA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81,462.00 </w:t>
            </w:r>
          </w:p>
        </w:tc>
        <w:tc>
          <w:tcPr>
            <w:tcW w:w="516" w:type="pct"/>
            <w:tcBorders>
              <w:top w:val="nil"/>
              <w:left w:val="nil"/>
              <w:bottom w:val="single" w:sz="4" w:space="0" w:color="auto"/>
              <w:right w:val="single" w:sz="4" w:space="0" w:color="auto"/>
            </w:tcBorders>
            <w:shd w:val="clear" w:color="000000" w:fill="FFFFFF"/>
            <w:noWrap/>
            <w:vAlign w:val="bottom"/>
            <w:hideMark/>
          </w:tcPr>
          <w:p w14:paraId="3EA9019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53,823.00 </w:t>
            </w:r>
          </w:p>
        </w:tc>
        <w:tc>
          <w:tcPr>
            <w:tcW w:w="474" w:type="pct"/>
            <w:tcBorders>
              <w:top w:val="nil"/>
              <w:left w:val="nil"/>
              <w:bottom w:val="single" w:sz="4" w:space="0" w:color="auto"/>
              <w:right w:val="single" w:sz="4" w:space="0" w:color="auto"/>
            </w:tcBorders>
            <w:shd w:val="clear" w:color="000000" w:fill="FFFFFF"/>
            <w:noWrap/>
            <w:vAlign w:val="bottom"/>
            <w:hideMark/>
          </w:tcPr>
          <w:p w14:paraId="74AE1EB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31,536.00 </w:t>
            </w:r>
          </w:p>
        </w:tc>
        <w:tc>
          <w:tcPr>
            <w:tcW w:w="61" w:type="pct"/>
            <w:vAlign w:val="center"/>
            <w:hideMark/>
          </w:tcPr>
          <w:p w14:paraId="56DC78A4" w14:textId="77777777" w:rsidR="0075642B" w:rsidRPr="0075642B" w:rsidRDefault="0075642B" w:rsidP="0075642B">
            <w:pPr>
              <w:spacing w:before="0" w:after="0" w:line="240" w:lineRule="auto"/>
              <w:jc w:val="left"/>
              <w:rPr>
                <w:sz w:val="20"/>
                <w:szCs w:val="20"/>
                <w:lang w:val="en-IN"/>
              </w:rPr>
            </w:pPr>
          </w:p>
        </w:tc>
      </w:tr>
      <w:tr w:rsidR="0075642B" w:rsidRPr="0075642B" w14:paraId="4DFC5E37"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06D1DD5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Book Value of Equity"</w:t>
            </w:r>
          </w:p>
        </w:tc>
        <w:tc>
          <w:tcPr>
            <w:tcW w:w="1183" w:type="pct"/>
            <w:vMerge/>
            <w:tcBorders>
              <w:top w:val="nil"/>
              <w:left w:val="single" w:sz="4" w:space="0" w:color="auto"/>
              <w:bottom w:val="single" w:sz="4" w:space="0" w:color="auto"/>
              <w:right w:val="single" w:sz="4" w:space="0" w:color="auto"/>
            </w:tcBorders>
            <w:vAlign w:val="center"/>
            <w:hideMark/>
          </w:tcPr>
          <w:p w14:paraId="3C244CDC"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57A564F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72,913.00 </w:t>
            </w:r>
          </w:p>
        </w:tc>
        <w:tc>
          <w:tcPr>
            <w:tcW w:w="474" w:type="pct"/>
            <w:tcBorders>
              <w:top w:val="nil"/>
              <w:left w:val="nil"/>
              <w:bottom w:val="single" w:sz="4" w:space="0" w:color="auto"/>
              <w:right w:val="single" w:sz="4" w:space="0" w:color="auto"/>
            </w:tcBorders>
            <w:shd w:val="clear" w:color="000000" w:fill="FFFFFF"/>
            <w:noWrap/>
            <w:vAlign w:val="bottom"/>
            <w:hideMark/>
          </w:tcPr>
          <w:p w14:paraId="7F2052A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62,634.00 </w:t>
            </w:r>
          </w:p>
        </w:tc>
        <w:tc>
          <w:tcPr>
            <w:tcW w:w="474" w:type="pct"/>
            <w:tcBorders>
              <w:top w:val="nil"/>
              <w:left w:val="nil"/>
              <w:bottom w:val="single" w:sz="4" w:space="0" w:color="auto"/>
              <w:right w:val="single" w:sz="4" w:space="0" w:color="auto"/>
            </w:tcBorders>
            <w:shd w:val="clear" w:color="000000" w:fill="FFFFFF"/>
            <w:noWrap/>
            <w:vAlign w:val="bottom"/>
            <w:hideMark/>
          </w:tcPr>
          <w:p w14:paraId="160F4CC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44,704.00 </w:t>
            </w:r>
          </w:p>
        </w:tc>
        <w:tc>
          <w:tcPr>
            <w:tcW w:w="516" w:type="pct"/>
            <w:tcBorders>
              <w:top w:val="nil"/>
              <w:left w:val="nil"/>
              <w:bottom w:val="single" w:sz="4" w:space="0" w:color="auto"/>
              <w:right w:val="single" w:sz="4" w:space="0" w:color="auto"/>
            </w:tcBorders>
            <w:shd w:val="clear" w:color="000000" w:fill="FFFFFF"/>
            <w:noWrap/>
            <w:vAlign w:val="bottom"/>
            <w:hideMark/>
          </w:tcPr>
          <w:p w14:paraId="640110A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30,189.00 </w:t>
            </w:r>
          </w:p>
        </w:tc>
        <w:tc>
          <w:tcPr>
            <w:tcW w:w="474" w:type="pct"/>
            <w:tcBorders>
              <w:top w:val="nil"/>
              <w:left w:val="nil"/>
              <w:bottom w:val="single" w:sz="4" w:space="0" w:color="auto"/>
              <w:right w:val="single" w:sz="4" w:space="0" w:color="auto"/>
            </w:tcBorders>
            <w:shd w:val="clear" w:color="000000" w:fill="FFFFFF"/>
            <w:noWrap/>
            <w:vAlign w:val="bottom"/>
            <w:hideMark/>
          </w:tcPr>
          <w:p w14:paraId="17E9F1B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22,225.00 </w:t>
            </w:r>
          </w:p>
        </w:tc>
        <w:tc>
          <w:tcPr>
            <w:tcW w:w="61" w:type="pct"/>
            <w:vAlign w:val="center"/>
            <w:hideMark/>
          </w:tcPr>
          <w:p w14:paraId="04EB327B" w14:textId="77777777" w:rsidR="0075642B" w:rsidRPr="0075642B" w:rsidRDefault="0075642B" w:rsidP="0075642B">
            <w:pPr>
              <w:spacing w:before="0" w:after="0" w:line="240" w:lineRule="auto"/>
              <w:jc w:val="left"/>
              <w:rPr>
                <w:sz w:val="20"/>
                <w:szCs w:val="20"/>
                <w:lang w:val="en-IN"/>
              </w:rPr>
            </w:pPr>
          </w:p>
        </w:tc>
      </w:tr>
      <w:tr w:rsidR="0075642B" w:rsidRPr="0075642B" w14:paraId="5A42AB79"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5B75366"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"Return on Equity (ROE)"</w:t>
            </w:r>
          </w:p>
        </w:tc>
        <w:tc>
          <w:tcPr>
            <w:tcW w:w="1183" w:type="pct"/>
            <w:vMerge/>
            <w:tcBorders>
              <w:top w:val="nil"/>
              <w:left w:val="single" w:sz="4" w:space="0" w:color="auto"/>
              <w:bottom w:val="single" w:sz="4" w:space="0" w:color="auto"/>
              <w:right w:val="single" w:sz="4" w:space="0" w:color="auto"/>
            </w:tcBorders>
            <w:vAlign w:val="center"/>
            <w:hideMark/>
          </w:tcPr>
          <w:p w14:paraId="45074DB7"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443D4145"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1.34</w:t>
            </w:r>
          </w:p>
        </w:tc>
        <w:tc>
          <w:tcPr>
            <w:tcW w:w="474" w:type="pct"/>
            <w:tcBorders>
              <w:top w:val="nil"/>
              <w:left w:val="nil"/>
              <w:bottom w:val="single" w:sz="4" w:space="0" w:color="auto"/>
              <w:right w:val="single" w:sz="4" w:space="0" w:color="auto"/>
            </w:tcBorders>
            <w:shd w:val="clear" w:color="000000" w:fill="FFFFFF"/>
            <w:noWrap/>
            <w:vAlign w:val="bottom"/>
            <w:hideMark/>
          </w:tcPr>
          <w:p w14:paraId="7CFDBB18"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1.55</w:t>
            </w:r>
          </w:p>
        </w:tc>
        <w:tc>
          <w:tcPr>
            <w:tcW w:w="474" w:type="pct"/>
            <w:tcBorders>
              <w:top w:val="nil"/>
              <w:left w:val="nil"/>
              <w:bottom w:val="single" w:sz="4" w:space="0" w:color="auto"/>
              <w:right w:val="single" w:sz="4" w:space="0" w:color="auto"/>
            </w:tcBorders>
            <w:shd w:val="clear" w:color="000000" w:fill="FFFFFF"/>
            <w:noWrap/>
            <w:vAlign w:val="bottom"/>
            <w:hideMark/>
          </w:tcPr>
          <w:p w14:paraId="2CFF8F6A"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1.82</w:t>
            </w:r>
          </w:p>
        </w:tc>
        <w:tc>
          <w:tcPr>
            <w:tcW w:w="516" w:type="pct"/>
            <w:tcBorders>
              <w:top w:val="nil"/>
              <w:left w:val="nil"/>
              <w:bottom w:val="single" w:sz="4" w:space="0" w:color="auto"/>
              <w:right w:val="single" w:sz="4" w:space="0" w:color="auto"/>
            </w:tcBorders>
            <w:shd w:val="clear" w:color="000000" w:fill="FFFFFF"/>
            <w:noWrap/>
            <w:vAlign w:val="bottom"/>
            <w:hideMark/>
          </w:tcPr>
          <w:p w14:paraId="632DAD8C"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1.78</w:t>
            </w:r>
          </w:p>
        </w:tc>
        <w:tc>
          <w:tcPr>
            <w:tcW w:w="474" w:type="pct"/>
            <w:tcBorders>
              <w:top w:val="nil"/>
              <w:left w:val="nil"/>
              <w:bottom w:val="single" w:sz="4" w:space="0" w:color="auto"/>
              <w:right w:val="single" w:sz="4" w:space="0" w:color="auto"/>
            </w:tcBorders>
            <w:shd w:val="clear" w:color="000000" w:fill="FFFFFF"/>
            <w:noWrap/>
            <w:vAlign w:val="bottom"/>
            <w:hideMark/>
          </w:tcPr>
          <w:p w14:paraId="6A67BE1B"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1.42</w:t>
            </w:r>
          </w:p>
        </w:tc>
        <w:tc>
          <w:tcPr>
            <w:tcW w:w="61" w:type="pct"/>
            <w:vAlign w:val="center"/>
            <w:hideMark/>
          </w:tcPr>
          <w:p w14:paraId="28F50161" w14:textId="77777777" w:rsidR="0075642B" w:rsidRPr="0075642B" w:rsidRDefault="0075642B" w:rsidP="0075642B">
            <w:pPr>
              <w:spacing w:before="0" w:after="0" w:line="240" w:lineRule="auto"/>
              <w:jc w:val="left"/>
              <w:rPr>
                <w:sz w:val="20"/>
                <w:szCs w:val="20"/>
                <w:lang w:val="en-IN"/>
              </w:rPr>
            </w:pPr>
          </w:p>
        </w:tc>
      </w:tr>
      <w:tr w:rsidR="0075642B" w:rsidRPr="0075642B" w14:paraId="24CDA7FC"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AB91480"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1183" w:type="pct"/>
            <w:tcBorders>
              <w:top w:val="nil"/>
              <w:left w:val="nil"/>
              <w:bottom w:val="single" w:sz="4" w:space="0" w:color="auto"/>
              <w:right w:val="single" w:sz="4" w:space="0" w:color="auto"/>
            </w:tcBorders>
            <w:shd w:val="clear" w:color="000000" w:fill="FFFFFF"/>
            <w:vAlign w:val="center"/>
            <w:hideMark/>
          </w:tcPr>
          <w:p w14:paraId="395460A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750C743A"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79D3D08D"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4DF49840"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3B819FCC"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76DC3910"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61" w:type="pct"/>
            <w:vAlign w:val="center"/>
            <w:hideMark/>
          </w:tcPr>
          <w:p w14:paraId="7986007D" w14:textId="77777777" w:rsidR="0075642B" w:rsidRPr="0075642B" w:rsidRDefault="0075642B" w:rsidP="0075642B">
            <w:pPr>
              <w:spacing w:before="0" w:after="0" w:line="240" w:lineRule="auto"/>
              <w:jc w:val="left"/>
              <w:rPr>
                <w:sz w:val="20"/>
                <w:szCs w:val="20"/>
                <w:lang w:val="en-IN"/>
              </w:rPr>
            </w:pPr>
          </w:p>
        </w:tc>
      </w:tr>
      <w:tr w:rsidR="0075642B" w:rsidRPr="0075642B" w14:paraId="5557E26F"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0B229A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"Return on Assets (ROA)"</w:t>
            </w:r>
          </w:p>
        </w:tc>
        <w:tc>
          <w:tcPr>
            <w:tcW w:w="61" w:type="pct"/>
            <w:vAlign w:val="center"/>
            <w:hideMark/>
          </w:tcPr>
          <w:p w14:paraId="4DF544A9" w14:textId="77777777" w:rsidR="0075642B" w:rsidRPr="0075642B" w:rsidRDefault="0075642B" w:rsidP="0075642B">
            <w:pPr>
              <w:spacing w:before="0" w:after="0" w:line="240" w:lineRule="auto"/>
              <w:jc w:val="left"/>
              <w:rPr>
                <w:sz w:val="20"/>
                <w:szCs w:val="20"/>
                <w:lang w:val="en-IN"/>
              </w:rPr>
            </w:pPr>
          </w:p>
        </w:tc>
      </w:tr>
      <w:tr w:rsidR="0075642B" w:rsidRPr="0075642B" w14:paraId="4EE55DED"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79695D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57001B72"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3A29CE4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70DBB99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386C6F8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32FEC65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730BB19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22A92B0D" w14:textId="77777777" w:rsidR="0075642B" w:rsidRPr="0075642B" w:rsidRDefault="0075642B" w:rsidP="0075642B">
            <w:pPr>
              <w:spacing w:before="0" w:after="0" w:line="240" w:lineRule="auto"/>
              <w:jc w:val="left"/>
              <w:rPr>
                <w:sz w:val="20"/>
                <w:szCs w:val="20"/>
                <w:lang w:val="en-IN"/>
              </w:rPr>
            </w:pPr>
          </w:p>
        </w:tc>
      </w:tr>
      <w:tr w:rsidR="0075642B" w:rsidRPr="0075642B" w14:paraId="48EDFB77"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50511C8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"Net Income "</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52C008D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"Net Income / Total Assets"</w:t>
            </w:r>
          </w:p>
        </w:tc>
        <w:tc>
          <w:tcPr>
            <w:tcW w:w="516" w:type="pct"/>
            <w:tcBorders>
              <w:top w:val="nil"/>
              <w:left w:val="nil"/>
              <w:bottom w:val="single" w:sz="4" w:space="0" w:color="auto"/>
              <w:right w:val="single" w:sz="4" w:space="0" w:color="auto"/>
            </w:tcBorders>
            <w:shd w:val="clear" w:color="000000" w:fill="FFFFFF"/>
            <w:noWrap/>
            <w:vAlign w:val="bottom"/>
            <w:hideMark/>
          </w:tcPr>
          <w:p w14:paraId="2C1FD08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97,690.00 </w:t>
            </w:r>
          </w:p>
        </w:tc>
        <w:tc>
          <w:tcPr>
            <w:tcW w:w="474" w:type="pct"/>
            <w:tcBorders>
              <w:top w:val="nil"/>
              <w:left w:val="nil"/>
              <w:bottom w:val="single" w:sz="4" w:space="0" w:color="auto"/>
              <w:right w:val="single" w:sz="4" w:space="0" w:color="auto"/>
            </w:tcBorders>
            <w:shd w:val="clear" w:color="000000" w:fill="FFFFFF"/>
            <w:noWrap/>
            <w:vAlign w:val="bottom"/>
            <w:hideMark/>
          </w:tcPr>
          <w:p w14:paraId="5B8EF21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96,773.00 </w:t>
            </w:r>
          </w:p>
        </w:tc>
        <w:tc>
          <w:tcPr>
            <w:tcW w:w="474" w:type="pct"/>
            <w:tcBorders>
              <w:top w:val="nil"/>
              <w:left w:val="nil"/>
              <w:bottom w:val="single" w:sz="4" w:space="0" w:color="auto"/>
              <w:right w:val="single" w:sz="4" w:space="0" w:color="auto"/>
            </w:tcBorders>
            <w:shd w:val="clear" w:color="000000" w:fill="FFFFFF"/>
            <w:noWrap/>
            <w:vAlign w:val="bottom"/>
            <w:hideMark/>
          </w:tcPr>
          <w:p w14:paraId="15EAB85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81,462.00 </w:t>
            </w:r>
          </w:p>
        </w:tc>
        <w:tc>
          <w:tcPr>
            <w:tcW w:w="516" w:type="pct"/>
            <w:tcBorders>
              <w:top w:val="nil"/>
              <w:left w:val="nil"/>
              <w:bottom w:val="single" w:sz="4" w:space="0" w:color="auto"/>
              <w:right w:val="single" w:sz="4" w:space="0" w:color="auto"/>
            </w:tcBorders>
            <w:shd w:val="clear" w:color="000000" w:fill="FFFFFF"/>
            <w:noWrap/>
            <w:vAlign w:val="bottom"/>
            <w:hideMark/>
          </w:tcPr>
          <w:p w14:paraId="68AEED3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53,823.00 </w:t>
            </w:r>
          </w:p>
        </w:tc>
        <w:tc>
          <w:tcPr>
            <w:tcW w:w="474" w:type="pct"/>
            <w:tcBorders>
              <w:top w:val="nil"/>
              <w:left w:val="nil"/>
              <w:bottom w:val="single" w:sz="4" w:space="0" w:color="auto"/>
              <w:right w:val="single" w:sz="4" w:space="0" w:color="auto"/>
            </w:tcBorders>
            <w:shd w:val="clear" w:color="000000" w:fill="FFFFFF"/>
            <w:noWrap/>
            <w:vAlign w:val="bottom"/>
            <w:hideMark/>
          </w:tcPr>
          <w:p w14:paraId="19CE803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31,536.00 </w:t>
            </w:r>
          </w:p>
        </w:tc>
        <w:tc>
          <w:tcPr>
            <w:tcW w:w="61" w:type="pct"/>
            <w:vAlign w:val="center"/>
            <w:hideMark/>
          </w:tcPr>
          <w:p w14:paraId="22198AC9" w14:textId="77777777" w:rsidR="0075642B" w:rsidRPr="0075642B" w:rsidRDefault="0075642B" w:rsidP="0075642B">
            <w:pPr>
              <w:spacing w:before="0" w:after="0" w:line="240" w:lineRule="auto"/>
              <w:jc w:val="left"/>
              <w:rPr>
                <w:sz w:val="20"/>
                <w:szCs w:val="20"/>
                <w:lang w:val="en-IN"/>
              </w:rPr>
            </w:pPr>
          </w:p>
        </w:tc>
      </w:tr>
      <w:tr w:rsidR="0075642B" w:rsidRPr="0075642B" w14:paraId="3831E736"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CD4D1C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"Total Assets"</w:t>
            </w:r>
          </w:p>
        </w:tc>
        <w:tc>
          <w:tcPr>
            <w:tcW w:w="1183" w:type="pct"/>
            <w:vMerge/>
            <w:tcBorders>
              <w:top w:val="nil"/>
              <w:left w:val="single" w:sz="4" w:space="0" w:color="auto"/>
              <w:bottom w:val="single" w:sz="4" w:space="0" w:color="auto"/>
              <w:right w:val="single" w:sz="4" w:space="0" w:color="auto"/>
            </w:tcBorders>
            <w:vAlign w:val="center"/>
            <w:hideMark/>
          </w:tcPr>
          <w:p w14:paraId="3B80BF6C"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553C5D1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w:t>
            </w:r>
            <w:proofErr w:type="gramStart"/>
            <w:r w:rsidRPr="0075642B">
              <w:rPr>
                <w:rFonts w:ascii="Arial" w:hAnsi="Arial" w:cs="Arial"/>
                <w:color w:val="000000"/>
                <w:lang w:val="en-IN"/>
              </w:rPr>
              <w:t>$  1</w:t>
            </w:r>
            <w:proofErr w:type="gramEnd"/>
            <w:r w:rsidRPr="0075642B">
              <w:rPr>
                <w:rFonts w:ascii="Arial" w:hAnsi="Arial" w:cs="Arial"/>
                <w:color w:val="000000"/>
                <w:lang w:val="en-IN"/>
              </w:rPr>
              <w:t xml:space="preserve">,22,070.00 </w:t>
            </w:r>
          </w:p>
        </w:tc>
        <w:tc>
          <w:tcPr>
            <w:tcW w:w="474" w:type="pct"/>
            <w:tcBorders>
              <w:top w:val="nil"/>
              <w:left w:val="nil"/>
              <w:bottom w:val="single" w:sz="4" w:space="0" w:color="auto"/>
              <w:right w:val="single" w:sz="4" w:space="0" w:color="auto"/>
            </w:tcBorders>
            <w:shd w:val="clear" w:color="000000" w:fill="FFFFFF"/>
            <w:noWrap/>
            <w:vAlign w:val="bottom"/>
            <w:hideMark/>
          </w:tcPr>
          <w:p w14:paraId="07CC007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$1,06,618.00 </w:t>
            </w:r>
          </w:p>
        </w:tc>
        <w:tc>
          <w:tcPr>
            <w:tcW w:w="474" w:type="pct"/>
            <w:tcBorders>
              <w:top w:val="nil"/>
              <w:left w:val="nil"/>
              <w:bottom w:val="single" w:sz="4" w:space="0" w:color="auto"/>
              <w:right w:val="single" w:sz="4" w:space="0" w:color="auto"/>
            </w:tcBorders>
            <w:shd w:val="clear" w:color="000000" w:fill="FFFFFF"/>
            <w:noWrap/>
            <w:vAlign w:val="bottom"/>
            <w:hideMark/>
          </w:tcPr>
          <w:p w14:paraId="3839B4A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82,338.00 </w:t>
            </w:r>
          </w:p>
        </w:tc>
        <w:tc>
          <w:tcPr>
            <w:tcW w:w="516" w:type="pct"/>
            <w:tcBorders>
              <w:top w:val="nil"/>
              <w:left w:val="nil"/>
              <w:bottom w:val="single" w:sz="4" w:space="0" w:color="auto"/>
              <w:right w:val="single" w:sz="4" w:space="0" w:color="auto"/>
            </w:tcBorders>
            <w:shd w:val="clear" w:color="000000" w:fill="FFFFFF"/>
            <w:noWrap/>
            <w:vAlign w:val="bottom"/>
            <w:hideMark/>
          </w:tcPr>
          <w:p w14:paraId="18D4876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62,131.00 </w:t>
            </w:r>
          </w:p>
        </w:tc>
        <w:tc>
          <w:tcPr>
            <w:tcW w:w="474" w:type="pct"/>
            <w:tcBorders>
              <w:top w:val="nil"/>
              <w:left w:val="nil"/>
              <w:bottom w:val="single" w:sz="4" w:space="0" w:color="auto"/>
              <w:right w:val="single" w:sz="4" w:space="0" w:color="auto"/>
            </w:tcBorders>
            <w:shd w:val="clear" w:color="000000" w:fill="FFFFFF"/>
            <w:noWrap/>
            <w:vAlign w:val="bottom"/>
            <w:hideMark/>
          </w:tcPr>
          <w:p w14:paraId="2C5BED6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52,148.00 </w:t>
            </w:r>
          </w:p>
        </w:tc>
        <w:tc>
          <w:tcPr>
            <w:tcW w:w="61" w:type="pct"/>
            <w:vAlign w:val="center"/>
            <w:hideMark/>
          </w:tcPr>
          <w:p w14:paraId="5DAFB14E" w14:textId="77777777" w:rsidR="0075642B" w:rsidRPr="0075642B" w:rsidRDefault="0075642B" w:rsidP="0075642B">
            <w:pPr>
              <w:spacing w:before="0" w:after="0" w:line="240" w:lineRule="auto"/>
              <w:jc w:val="left"/>
              <w:rPr>
                <w:sz w:val="20"/>
                <w:szCs w:val="20"/>
                <w:lang w:val="en-IN"/>
              </w:rPr>
            </w:pPr>
          </w:p>
        </w:tc>
      </w:tr>
      <w:tr w:rsidR="0075642B" w:rsidRPr="0075642B" w14:paraId="50B7CB8A"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D7FCF57"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"Return on Assets (ROA)"</w:t>
            </w:r>
          </w:p>
        </w:tc>
        <w:tc>
          <w:tcPr>
            <w:tcW w:w="1183" w:type="pct"/>
            <w:vMerge/>
            <w:tcBorders>
              <w:top w:val="nil"/>
              <w:left w:val="single" w:sz="4" w:space="0" w:color="auto"/>
              <w:bottom w:val="single" w:sz="4" w:space="0" w:color="auto"/>
              <w:right w:val="single" w:sz="4" w:space="0" w:color="auto"/>
            </w:tcBorders>
            <w:vAlign w:val="center"/>
            <w:hideMark/>
          </w:tcPr>
          <w:p w14:paraId="5B423CCE"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1723A2F3"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0.80</w:t>
            </w:r>
          </w:p>
        </w:tc>
        <w:tc>
          <w:tcPr>
            <w:tcW w:w="474" w:type="pct"/>
            <w:tcBorders>
              <w:top w:val="nil"/>
              <w:left w:val="nil"/>
              <w:bottom w:val="single" w:sz="4" w:space="0" w:color="auto"/>
              <w:right w:val="single" w:sz="4" w:space="0" w:color="auto"/>
            </w:tcBorders>
            <w:shd w:val="clear" w:color="000000" w:fill="FFFFFF"/>
            <w:noWrap/>
            <w:vAlign w:val="bottom"/>
            <w:hideMark/>
          </w:tcPr>
          <w:p w14:paraId="4D2EFE45"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0.91</w:t>
            </w:r>
          </w:p>
        </w:tc>
        <w:tc>
          <w:tcPr>
            <w:tcW w:w="474" w:type="pct"/>
            <w:tcBorders>
              <w:top w:val="nil"/>
              <w:left w:val="nil"/>
              <w:bottom w:val="single" w:sz="4" w:space="0" w:color="auto"/>
              <w:right w:val="single" w:sz="4" w:space="0" w:color="auto"/>
            </w:tcBorders>
            <w:shd w:val="clear" w:color="000000" w:fill="FFFFFF"/>
            <w:noWrap/>
            <w:vAlign w:val="bottom"/>
            <w:hideMark/>
          </w:tcPr>
          <w:p w14:paraId="1EDD8D89"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0.99</w:t>
            </w:r>
          </w:p>
        </w:tc>
        <w:tc>
          <w:tcPr>
            <w:tcW w:w="516" w:type="pct"/>
            <w:tcBorders>
              <w:top w:val="nil"/>
              <w:left w:val="nil"/>
              <w:bottom w:val="single" w:sz="4" w:space="0" w:color="auto"/>
              <w:right w:val="single" w:sz="4" w:space="0" w:color="auto"/>
            </w:tcBorders>
            <w:shd w:val="clear" w:color="000000" w:fill="FFFFFF"/>
            <w:noWrap/>
            <w:vAlign w:val="bottom"/>
            <w:hideMark/>
          </w:tcPr>
          <w:p w14:paraId="348B8CE6"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0.87</w:t>
            </w:r>
          </w:p>
        </w:tc>
        <w:tc>
          <w:tcPr>
            <w:tcW w:w="474" w:type="pct"/>
            <w:tcBorders>
              <w:top w:val="nil"/>
              <w:left w:val="nil"/>
              <w:bottom w:val="single" w:sz="4" w:space="0" w:color="auto"/>
              <w:right w:val="single" w:sz="4" w:space="0" w:color="auto"/>
            </w:tcBorders>
            <w:shd w:val="clear" w:color="000000" w:fill="FFFFFF"/>
            <w:noWrap/>
            <w:vAlign w:val="bottom"/>
            <w:hideMark/>
          </w:tcPr>
          <w:p w14:paraId="68A91C02"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0.60</w:t>
            </w:r>
          </w:p>
        </w:tc>
        <w:tc>
          <w:tcPr>
            <w:tcW w:w="61" w:type="pct"/>
            <w:vAlign w:val="center"/>
            <w:hideMark/>
          </w:tcPr>
          <w:p w14:paraId="3AA46B5E" w14:textId="77777777" w:rsidR="0075642B" w:rsidRPr="0075642B" w:rsidRDefault="0075642B" w:rsidP="0075642B">
            <w:pPr>
              <w:spacing w:before="0" w:after="0" w:line="240" w:lineRule="auto"/>
              <w:jc w:val="left"/>
              <w:rPr>
                <w:sz w:val="20"/>
                <w:szCs w:val="20"/>
                <w:lang w:val="en-IN"/>
              </w:rPr>
            </w:pPr>
          </w:p>
        </w:tc>
      </w:tr>
      <w:tr w:rsidR="0075642B" w:rsidRPr="0075642B" w14:paraId="624A8536"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6085788" w14:textId="77777777" w:rsidR="0075642B" w:rsidRPr="0075642B" w:rsidRDefault="0075642B" w:rsidP="0075642B">
            <w:pPr>
              <w:spacing w:before="0" w:after="0" w:line="240" w:lineRule="auto"/>
              <w:jc w:val="center"/>
              <w:rPr>
                <w:rFonts w:ascii="Arial" w:hAnsi="Arial" w:cs="Arial"/>
                <w:color w:val="000000"/>
                <w:lang w:val="en-IN"/>
              </w:rPr>
            </w:pPr>
            <w:r w:rsidRPr="0075642B">
              <w:rPr>
                <w:rFonts w:ascii="Arial" w:hAnsi="Arial" w:cs="Arial"/>
                <w:color w:val="000000"/>
                <w:lang w:val="en-IN"/>
              </w:rPr>
              <w:t> </w:t>
            </w:r>
          </w:p>
        </w:tc>
        <w:tc>
          <w:tcPr>
            <w:tcW w:w="61" w:type="pct"/>
            <w:vAlign w:val="center"/>
            <w:hideMark/>
          </w:tcPr>
          <w:p w14:paraId="7912D38B" w14:textId="77777777" w:rsidR="0075642B" w:rsidRPr="0075642B" w:rsidRDefault="0075642B" w:rsidP="0075642B">
            <w:pPr>
              <w:spacing w:before="0" w:after="0" w:line="240" w:lineRule="auto"/>
              <w:jc w:val="left"/>
              <w:rPr>
                <w:sz w:val="20"/>
                <w:szCs w:val="20"/>
                <w:lang w:val="en-IN"/>
              </w:rPr>
            </w:pPr>
          </w:p>
        </w:tc>
      </w:tr>
      <w:tr w:rsidR="0075642B" w:rsidRPr="0075642B" w14:paraId="4A371BA1"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FE5636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"Return on Invested Capital (ROIC)"</w:t>
            </w:r>
          </w:p>
        </w:tc>
        <w:tc>
          <w:tcPr>
            <w:tcW w:w="61" w:type="pct"/>
            <w:vAlign w:val="center"/>
            <w:hideMark/>
          </w:tcPr>
          <w:p w14:paraId="7E241B45" w14:textId="77777777" w:rsidR="0075642B" w:rsidRPr="0075642B" w:rsidRDefault="0075642B" w:rsidP="0075642B">
            <w:pPr>
              <w:spacing w:before="0" w:after="0" w:line="240" w:lineRule="auto"/>
              <w:jc w:val="left"/>
              <w:rPr>
                <w:sz w:val="20"/>
                <w:szCs w:val="20"/>
                <w:lang w:val="en-IN"/>
              </w:rPr>
            </w:pPr>
          </w:p>
        </w:tc>
      </w:tr>
      <w:tr w:rsidR="0075642B" w:rsidRPr="0075642B" w14:paraId="13ED76CF"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3F2BC92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0DD1AD7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3FF7D00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20F529D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7852C98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1B0A81F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7D28712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13894374" w14:textId="77777777" w:rsidR="0075642B" w:rsidRPr="0075642B" w:rsidRDefault="0075642B" w:rsidP="0075642B">
            <w:pPr>
              <w:spacing w:before="0" w:after="0" w:line="240" w:lineRule="auto"/>
              <w:jc w:val="left"/>
              <w:rPr>
                <w:sz w:val="20"/>
                <w:szCs w:val="20"/>
                <w:lang w:val="en-IN"/>
              </w:rPr>
            </w:pPr>
          </w:p>
        </w:tc>
      </w:tr>
      <w:tr w:rsidR="0075642B" w:rsidRPr="0075642B" w14:paraId="3D98CE7B"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7F3A97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"Net Income "</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79B9BC0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"After-tax Profit or (EBIT−Taxation) / (Total Equity + Net Debt)"</w:t>
            </w:r>
          </w:p>
        </w:tc>
        <w:tc>
          <w:tcPr>
            <w:tcW w:w="516" w:type="pct"/>
            <w:tcBorders>
              <w:top w:val="nil"/>
              <w:left w:val="nil"/>
              <w:bottom w:val="single" w:sz="4" w:space="0" w:color="auto"/>
              <w:right w:val="single" w:sz="4" w:space="0" w:color="auto"/>
            </w:tcBorders>
            <w:shd w:val="clear" w:color="000000" w:fill="FFFFFF"/>
            <w:noWrap/>
            <w:vAlign w:val="bottom"/>
            <w:hideMark/>
          </w:tcPr>
          <w:p w14:paraId="6570664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97,690.00 </w:t>
            </w:r>
          </w:p>
        </w:tc>
        <w:tc>
          <w:tcPr>
            <w:tcW w:w="474" w:type="pct"/>
            <w:tcBorders>
              <w:top w:val="nil"/>
              <w:left w:val="nil"/>
              <w:bottom w:val="single" w:sz="4" w:space="0" w:color="auto"/>
              <w:right w:val="single" w:sz="4" w:space="0" w:color="auto"/>
            </w:tcBorders>
            <w:shd w:val="clear" w:color="000000" w:fill="FFFFFF"/>
            <w:noWrap/>
            <w:vAlign w:val="bottom"/>
            <w:hideMark/>
          </w:tcPr>
          <w:p w14:paraId="240FF7E0"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96,773.00 </w:t>
            </w:r>
          </w:p>
        </w:tc>
        <w:tc>
          <w:tcPr>
            <w:tcW w:w="474" w:type="pct"/>
            <w:tcBorders>
              <w:top w:val="nil"/>
              <w:left w:val="nil"/>
              <w:bottom w:val="single" w:sz="4" w:space="0" w:color="auto"/>
              <w:right w:val="single" w:sz="4" w:space="0" w:color="auto"/>
            </w:tcBorders>
            <w:shd w:val="clear" w:color="000000" w:fill="FFFFFF"/>
            <w:noWrap/>
            <w:vAlign w:val="bottom"/>
            <w:hideMark/>
          </w:tcPr>
          <w:p w14:paraId="13A5168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81,462.00 </w:t>
            </w:r>
          </w:p>
        </w:tc>
        <w:tc>
          <w:tcPr>
            <w:tcW w:w="516" w:type="pct"/>
            <w:tcBorders>
              <w:top w:val="nil"/>
              <w:left w:val="nil"/>
              <w:bottom w:val="single" w:sz="4" w:space="0" w:color="auto"/>
              <w:right w:val="single" w:sz="4" w:space="0" w:color="auto"/>
            </w:tcBorders>
            <w:shd w:val="clear" w:color="000000" w:fill="FFFFFF"/>
            <w:noWrap/>
            <w:vAlign w:val="bottom"/>
            <w:hideMark/>
          </w:tcPr>
          <w:p w14:paraId="3F5F18A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53,823.00 </w:t>
            </w:r>
          </w:p>
        </w:tc>
        <w:tc>
          <w:tcPr>
            <w:tcW w:w="474" w:type="pct"/>
            <w:tcBorders>
              <w:top w:val="nil"/>
              <w:left w:val="nil"/>
              <w:bottom w:val="single" w:sz="4" w:space="0" w:color="auto"/>
              <w:right w:val="single" w:sz="4" w:space="0" w:color="auto"/>
            </w:tcBorders>
            <w:shd w:val="clear" w:color="000000" w:fill="FFFFFF"/>
            <w:noWrap/>
            <w:vAlign w:val="bottom"/>
            <w:hideMark/>
          </w:tcPr>
          <w:p w14:paraId="3E42B5E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31,536.00 </w:t>
            </w:r>
          </w:p>
        </w:tc>
        <w:tc>
          <w:tcPr>
            <w:tcW w:w="61" w:type="pct"/>
            <w:vAlign w:val="center"/>
            <w:hideMark/>
          </w:tcPr>
          <w:p w14:paraId="2049784C" w14:textId="77777777" w:rsidR="0075642B" w:rsidRPr="0075642B" w:rsidRDefault="0075642B" w:rsidP="0075642B">
            <w:pPr>
              <w:spacing w:before="0" w:after="0" w:line="240" w:lineRule="auto"/>
              <w:jc w:val="left"/>
              <w:rPr>
                <w:sz w:val="20"/>
                <w:szCs w:val="20"/>
                <w:lang w:val="en-IN"/>
              </w:rPr>
            </w:pPr>
          </w:p>
        </w:tc>
      </w:tr>
      <w:tr w:rsidR="0075642B" w:rsidRPr="0075642B" w14:paraId="1F38D099"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A361A7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(/):"Total Equity"</w:t>
            </w:r>
          </w:p>
        </w:tc>
        <w:tc>
          <w:tcPr>
            <w:tcW w:w="1183" w:type="pct"/>
            <w:vMerge/>
            <w:tcBorders>
              <w:top w:val="nil"/>
              <w:left w:val="single" w:sz="4" w:space="0" w:color="auto"/>
              <w:bottom w:val="single" w:sz="4" w:space="0" w:color="auto"/>
              <w:right w:val="single" w:sz="4" w:space="0" w:color="auto"/>
            </w:tcBorders>
            <w:vAlign w:val="center"/>
            <w:hideMark/>
          </w:tcPr>
          <w:p w14:paraId="78A29355"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0FFB1BF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72,913.00 </w:t>
            </w:r>
          </w:p>
        </w:tc>
        <w:tc>
          <w:tcPr>
            <w:tcW w:w="474" w:type="pct"/>
            <w:tcBorders>
              <w:top w:val="nil"/>
              <w:left w:val="nil"/>
              <w:bottom w:val="single" w:sz="4" w:space="0" w:color="auto"/>
              <w:right w:val="single" w:sz="4" w:space="0" w:color="auto"/>
            </w:tcBorders>
            <w:shd w:val="clear" w:color="000000" w:fill="FFFFFF"/>
            <w:noWrap/>
            <w:vAlign w:val="bottom"/>
            <w:hideMark/>
          </w:tcPr>
          <w:p w14:paraId="2F6D995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62,634.00 </w:t>
            </w:r>
          </w:p>
        </w:tc>
        <w:tc>
          <w:tcPr>
            <w:tcW w:w="474" w:type="pct"/>
            <w:tcBorders>
              <w:top w:val="nil"/>
              <w:left w:val="nil"/>
              <w:bottom w:val="single" w:sz="4" w:space="0" w:color="auto"/>
              <w:right w:val="single" w:sz="4" w:space="0" w:color="auto"/>
            </w:tcBorders>
            <w:shd w:val="clear" w:color="000000" w:fill="FFFFFF"/>
            <w:noWrap/>
            <w:vAlign w:val="bottom"/>
            <w:hideMark/>
          </w:tcPr>
          <w:p w14:paraId="1AA0960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44,704.00 </w:t>
            </w:r>
          </w:p>
        </w:tc>
        <w:tc>
          <w:tcPr>
            <w:tcW w:w="516" w:type="pct"/>
            <w:tcBorders>
              <w:top w:val="nil"/>
              <w:left w:val="nil"/>
              <w:bottom w:val="single" w:sz="4" w:space="0" w:color="auto"/>
              <w:right w:val="single" w:sz="4" w:space="0" w:color="auto"/>
            </w:tcBorders>
            <w:shd w:val="clear" w:color="000000" w:fill="FFFFFF"/>
            <w:noWrap/>
            <w:vAlign w:val="bottom"/>
            <w:hideMark/>
          </w:tcPr>
          <w:p w14:paraId="1DA8EC0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30,189.00 </w:t>
            </w:r>
          </w:p>
        </w:tc>
        <w:tc>
          <w:tcPr>
            <w:tcW w:w="474" w:type="pct"/>
            <w:tcBorders>
              <w:top w:val="nil"/>
              <w:left w:val="nil"/>
              <w:bottom w:val="single" w:sz="4" w:space="0" w:color="auto"/>
              <w:right w:val="single" w:sz="4" w:space="0" w:color="auto"/>
            </w:tcBorders>
            <w:shd w:val="clear" w:color="000000" w:fill="FFFFFF"/>
            <w:noWrap/>
            <w:vAlign w:val="bottom"/>
            <w:hideMark/>
          </w:tcPr>
          <w:p w14:paraId="7472AB3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22,225.00 </w:t>
            </w:r>
          </w:p>
        </w:tc>
        <w:tc>
          <w:tcPr>
            <w:tcW w:w="61" w:type="pct"/>
            <w:vAlign w:val="center"/>
            <w:hideMark/>
          </w:tcPr>
          <w:p w14:paraId="6E1E65EB" w14:textId="77777777" w:rsidR="0075642B" w:rsidRPr="0075642B" w:rsidRDefault="0075642B" w:rsidP="0075642B">
            <w:pPr>
              <w:spacing w:before="0" w:after="0" w:line="240" w:lineRule="auto"/>
              <w:jc w:val="left"/>
              <w:rPr>
                <w:sz w:val="20"/>
                <w:szCs w:val="20"/>
                <w:lang w:val="en-IN"/>
              </w:rPr>
            </w:pPr>
          </w:p>
        </w:tc>
      </w:tr>
      <w:tr w:rsidR="0075642B" w:rsidRPr="0075642B" w14:paraId="00BA4E0E"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1A74A8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"Net Debt (Total Debt – Cash)"</w:t>
            </w:r>
          </w:p>
        </w:tc>
        <w:tc>
          <w:tcPr>
            <w:tcW w:w="1183" w:type="pct"/>
            <w:vMerge/>
            <w:tcBorders>
              <w:top w:val="nil"/>
              <w:left w:val="single" w:sz="4" w:space="0" w:color="auto"/>
              <w:bottom w:val="single" w:sz="4" w:space="0" w:color="auto"/>
              <w:right w:val="single" w:sz="4" w:space="0" w:color="auto"/>
            </w:tcBorders>
            <w:vAlign w:val="center"/>
            <w:hideMark/>
          </w:tcPr>
          <w:p w14:paraId="69E33226"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4C07C77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32,251.00 </w:t>
            </w:r>
          </w:p>
        </w:tc>
        <w:tc>
          <w:tcPr>
            <w:tcW w:w="474" w:type="pct"/>
            <w:tcBorders>
              <w:top w:val="nil"/>
              <w:left w:val="nil"/>
              <w:bottom w:val="single" w:sz="4" w:space="0" w:color="auto"/>
              <w:right w:val="single" w:sz="4" w:space="0" w:color="auto"/>
            </w:tcBorders>
            <w:shd w:val="clear" w:color="000000" w:fill="FFFFFF"/>
            <w:noWrap/>
            <w:vAlign w:val="bottom"/>
            <w:hideMark/>
          </w:tcPr>
          <w:p w14:paraId="617C6DD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26,611.00 </w:t>
            </w:r>
          </w:p>
        </w:tc>
        <w:tc>
          <w:tcPr>
            <w:tcW w:w="474" w:type="pct"/>
            <w:tcBorders>
              <w:top w:val="nil"/>
              <w:left w:val="nil"/>
              <w:bottom w:val="single" w:sz="4" w:space="0" w:color="auto"/>
              <w:right w:val="single" w:sz="4" w:space="0" w:color="auto"/>
            </w:tcBorders>
            <w:shd w:val="clear" w:color="000000" w:fill="FFFFFF"/>
            <w:noWrap/>
            <w:vAlign w:val="bottom"/>
            <w:hideMark/>
          </w:tcPr>
          <w:p w14:paraId="7D8E6E6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20,187.00 </w:t>
            </w:r>
          </w:p>
        </w:tc>
        <w:tc>
          <w:tcPr>
            <w:tcW w:w="516" w:type="pct"/>
            <w:tcBorders>
              <w:top w:val="nil"/>
              <w:left w:val="nil"/>
              <w:bottom w:val="single" w:sz="4" w:space="0" w:color="auto"/>
              <w:right w:val="single" w:sz="4" w:space="0" w:color="auto"/>
            </w:tcBorders>
            <w:shd w:val="clear" w:color="000000" w:fill="FFFFFF"/>
            <w:noWrap/>
            <w:vAlign w:val="bottom"/>
            <w:hideMark/>
          </w:tcPr>
          <w:p w14:paraId="5C2E401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12,972.00 </w:t>
            </w:r>
          </w:p>
        </w:tc>
        <w:tc>
          <w:tcPr>
            <w:tcW w:w="474" w:type="pct"/>
            <w:tcBorders>
              <w:top w:val="nil"/>
              <w:left w:val="nil"/>
              <w:bottom w:val="single" w:sz="4" w:space="0" w:color="auto"/>
              <w:right w:val="single" w:sz="4" w:space="0" w:color="auto"/>
            </w:tcBorders>
            <w:shd w:val="clear" w:color="000000" w:fill="FFFFFF"/>
            <w:noWrap/>
            <w:vAlign w:val="bottom"/>
            <w:hideMark/>
          </w:tcPr>
          <w:p w14:paraId="755D375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9,034.00 </w:t>
            </w:r>
          </w:p>
        </w:tc>
        <w:tc>
          <w:tcPr>
            <w:tcW w:w="61" w:type="pct"/>
            <w:vAlign w:val="center"/>
            <w:hideMark/>
          </w:tcPr>
          <w:p w14:paraId="14223E3C" w14:textId="77777777" w:rsidR="0075642B" w:rsidRPr="0075642B" w:rsidRDefault="0075642B" w:rsidP="0075642B">
            <w:pPr>
              <w:spacing w:before="0" w:after="0" w:line="240" w:lineRule="auto"/>
              <w:jc w:val="left"/>
              <w:rPr>
                <w:sz w:val="20"/>
                <w:szCs w:val="20"/>
                <w:lang w:val="en-IN"/>
              </w:rPr>
            </w:pPr>
          </w:p>
        </w:tc>
      </w:tr>
      <w:tr w:rsidR="0075642B" w:rsidRPr="0075642B" w14:paraId="654192FC"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065122CA"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"Return on Invested Capital (ROIC)"</w:t>
            </w:r>
          </w:p>
        </w:tc>
        <w:tc>
          <w:tcPr>
            <w:tcW w:w="1183" w:type="pct"/>
            <w:vMerge/>
            <w:tcBorders>
              <w:top w:val="nil"/>
              <w:left w:val="single" w:sz="4" w:space="0" w:color="auto"/>
              <w:bottom w:val="single" w:sz="4" w:space="0" w:color="auto"/>
              <w:right w:val="single" w:sz="4" w:space="0" w:color="auto"/>
            </w:tcBorders>
            <w:vAlign w:val="center"/>
            <w:hideMark/>
          </w:tcPr>
          <w:p w14:paraId="71B05F98"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1650491C"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0.93</w:t>
            </w:r>
          </w:p>
        </w:tc>
        <w:tc>
          <w:tcPr>
            <w:tcW w:w="474" w:type="pct"/>
            <w:tcBorders>
              <w:top w:val="nil"/>
              <w:left w:val="nil"/>
              <w:bottom w:val="single" w:sz="4" w:space="0" w:color="auto"/>
              <w:right w:val="single" w:sz="4" w:space="0" w:color="auto"/>
            </w:tcBorders>
            <w:shd w:val="clear" w:color="000000" w:fill="FFFFFF"/>
            <w:noWrap/>
            <w:vAlign w:val="bottom"/>
            <w:hideMark/>
          </w:tcPr>
          <w:p w14:paraId="21116734"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1.08</w:t>
            </w:r>
          </w:p>
        </w:tc>
        <w:tc>
          <w:tcPr>
            <w:tcW w:w="474" w:type="pct"/>
            <w:tcBorders>
              <w:top w:val="nil"/>
              <w:left w:val="nil"/>
              <w:bottom w:val="single" w:sz="4" w:space="0" w:color="auto"/>
              <w:right w:val="single" w:sz="4" w:space="0" w:color="auto"/>
            </w:tcBorders>
            <w:shd w:val="clear" w:color="000000" w:fill="FFFFFF"/>
            <w:noWrap/>
            <w:vAlign w:val="bottom"/>
            <w:hideMark/>
          </w:tcPr>
          <w:p w14:paraId="33B0F9ED"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1.26</w:t>
            </w:r>
          </w:p>
        </w:tc>
        <w:tc>
          <w:tcPr>
            <w:tcW w:w="516" w:type="pct"/>
            <w:tcBorders>
              <w:top w:val="nil"/>
              <w:left w:val="nil"/>
              <w:bottom w:val="single" w:sz="4" w:space="0" w:color="auto"/>
              <w:right w:val="single" w:sz="4" w:space="0" w:color="auto"/>
            </w:tcBorders>
            <w:shd w:val="clear" w:color="000000" w:fill="FFFFFF"/>
            <w:noWrap/>
            <w:vAlign w:val="bottom"/>
            <w:hideMark/>
          </w:tcPr>
          <w:p w14:paraId="2770D03E"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1.25</w:t>
            </w:r>
          </w:p>
        </w:tc>
        <w:tc>
          <w:tcPr>
            <w:tcW w:w="474" w:type="pct"/>
            <w:tcBorders>
              <w:top w:val="nil"/>
              <w:left w:val="nil"/>
              <w:bottom w:val="single" w:sz="4" w:space="0" w:color="auto"/>
              <w:right w:val="single" w:sz="4" w:space="0" w:color="auto"/>
            </w:tcBorders>
            <w:shd w:val="clear" w:color="000000" w:fill="FFFFFF"/>
            <w:noWrap/>
            <w:vAlign w:val="bottom"/>
            <w:hideMark/>
          </w:tcPr>
          <w:p w14:paraId="2DF19784"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1.01</w:t>
            </w:r>
          </w:p>
        </w:tc>
        <w:tc>
          <w:tcPr>
            <w:tcW w:w="61" w:type="pct"/>
            <w:vAlign w:val="center"/>
            <w:hideMark/>
          </w:tcPr>
          <w:p w14:paraId="284E7740" w14:textId="77777777" w:rsidR="0075642B" w:rsidRPr="0075642B" w:rsidRDefault="0075642B" w:rsidP="0075642B">
            <w:pPr>
              <w:spacing w:before="0" w:after="0" w:line="240" w:lineRule="auto"/>
              <w:jc w:val="left"/>
              <w:rPr>
                <w:sz w:val="20"/>
                <w:szCs w:val="20"/>
                <w:lang w:val="en-IN"/>
              </w:rPr>
            </w:pPr>
          </w:p>
        </w:tc>
      </w:tr>
      <w:tr w:rsidR="0075642B" w:rsidRPr="0075642B" w14:paraId="45F970A5"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FB0CB5B"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1183" w:type="pct"/>
            <w:tcBorders>
              <w:top w:val="nil"/>
              <w:left w:val="nil"/>
              <w:bottom w:val="single" w:sz="4" w:space="0" w:color="auto"/>
              <w:right w:val="single" w:sz="4" w:space="0" w:color="auto"/>
            </w:tcBorders>
            <w:shd w:val="clear" w:color="000000" w:fill="FFFFFF"/>
            <w:vAlign w:val="center"/>
            <w:hideMark/>
          </w:tcPr>
          <w:p w14:paraId="5C76148F"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38FF9C20"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411539DD"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66599CA3"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16DB12C0"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6D6B1B0D"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61" w:type="pct"/>
            <w:vAlign w:val="center"/>
            <w:hideMark/>
          </w:tcPr>
          <w:p w14:paraId="40F9B09E" w14:textId="77777777" w:rsidR="0075642B" w:rsidRPr="0075642B" w:rsidRDefault="0075642B" w:rsidP="0075642B">
            <w:pPr>
              <w:spacing w:before="0" w:after="0" w:line="240" w:lineRule="auto"/>
              <w:jc w:val="left"/>
              <w:rPr>
                <w:sz w:val="20"/>
                <w:szCs w:val="20"/>
                <w:lang w:val="en-IN"/>
              </w:rPr>
            </w:pPr>
          </w:p>
        </w:tc>
      </w:tr>
      <w:tr w:rsidR="0075642B" w:rsidRPr="0075642B" w14:paraId="1A3FA5F3"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D633C3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"Earnings Per Share (EPS)"</w:t>
            </w:r>
          </w:p>
        </w:tc>
        <w:tc>
          <w:tcPr>
            <w:tcW w:w="61" w:type="pct"/>
            <w:vAlign w:val="center"/>
            <w:hideMark/>
          </w:tcPr>
          <w:p w14:paraId="3309CE64" w14:textId="77777777" w:rsidR="0075642B" w:rsidRPr="0075642B" w:rsidRDefault="0075642B" w:rsidP="0075642B">
            <w:pPr>
              <w:spacing w:before="0" w:after="0" w:line="240" w:lineRule="auto"/>
              <w:jc w:val="left"/>
              <w:rPr>
                <w:sz w:val="20"/>
                <w:szCs w:val="20"/>
                <w:lang w:val="en-IN"/>
              </w:rPr>
            </w:pPr>
          </w:p>
        </w:tc>
      </w:tr>
      <w:tr w:rsidR="0075642B" w:rsidRPr="0075642B" w14:paraId="154BBC7E"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6CE2A08"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7E2F24B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71A02F9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294F5741"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63D31B8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34D3C56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3B483B6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5D1BF9D1" w14:textId="77777777" w:rsidR="0075642B" w:rsidRPr="0075642B" w:rsidRDefault="0075642B" w:rsidP="0075642B">
            <w:pPr>
              <w:spacing w:before="0" w:after="0" w:line="240" w:lineRule="auto"/>
              <w:jc w:val="left"/>
              <w:rPr>
                <w:sz w:val="20"/>
                <w:szCs w:val="20"/>
                <w:lang w:val="en-IN"/>
              </w:rPr>
            </w:pPr>
          </w:p>
        </w:tc>
      </w:tr>
      <w:tr w:rsidR="0075642B" w:rsidRPr="0075642B" w14:paraId="6E99BC47"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58AE10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"Net Income "</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0BE78650"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"Net Income / Shares Outstanding"</w:t>
            </w:r>
          </w:p>
        </w:tc>
        <w:tc>
          <w:tcPr>
            <w:tcW w:w="516" w:type="pct"/>
            <w:tcBorders>
              <w:top w:val="nil"/>
              <w:left w:val="nil"/>
              <w:bottom w:val="single" w:sz="4" w:space="0" w:color="auto"/>
              <w:right w:val="single" w:sz="4" w:space="0" w:color="auto"/>
            </w:tcBorders>
            <w:shd w:val="clear" w:color="000000" w:fill="FFFFFF"/>
            <w:noWrap/>
            <w:vAlign w:val="bottom"/>
            <w:hideMark/>
          </w:tcPr>
          <w:p w14:paraId="4C186A7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7,153.00 </w:t>
            </w:r>
          </w:p>
        </w:tc>
        <w:tc>
          <w:tcPr>
            <w:tcW w:w="474" w:type="pct"/>
            <w:tcBorders>
              <w:top w:val="nil"/>
              <w:left w:val="nil"/>
              <w:bottom w:val="single" w:sz="4" w:space="0" w:color="auto"/>
              <w:right w:val="single" w:sz="4" w:space="0" w:color="auto"/>
            </w:tcBorders>
            <w:shd w:val="clear" w:color="000000" w:fill="FFFFFF"/>
            <w:noWrap/>
            <w:vAlign w:val="bottom"/>
            <w:hideMark/>
          </w:tcPr>
          <w:p w14:paraId="5FB8B13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14,974.00 </w:t>
            </w:r>
          </w:p>
        </w:tc>
        <w:tc>
          <w:tcPr>
            <w:tcW w:w="474" w:type="pct"/>
            <w:tcBorders>
              <w:top w:val="nil"/>
              <w:left w:val="nil"/>
              <w:bottom w:val="single" w:sz="4" w:space="0" w:color="auto"/>
              <w:right w:val="single" w:sz="4" w:space="0" w:color="auto"/>
            </w:tcBorders>
            <w:shd w:val="clear" w:color="000000" w:fill="FFFFFF"/>
            <w:noWrap/>
            <w:vAlign w:val="bottom"/>
            <w:hideMark/>
          </w:tcPr>
          <w:p w14:paraId="4B746DD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12,587.00 </w:t>
            </w:r>
          </w:p>
        </w:tc>
        <w:tc>
          <w:tcPr>
            <w:tcW w:w="516" w:type="pct"/>
            <w:tcBorders>
              <w:top w:val="nil"/>
              <w:left w:val="nil"/>
              <w:bottom w:val="single" w:sz="4" w:space="0" w:color="auto"/>
              <w:right w:val="single" w:sz="4" w:space="0" w:color="auto"/>
            </w:tcBorders>
            <w:shd w:val="clear" w:color="000000" w:fill="FFFFFF"/>
            <w:noWrap/>
            <w:vAlign w:val="bottom"/>
            <w:hideMark/>
          </w:tcPr>
          <w:p w14:paraId="4CA6B48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5,644.00 </w:t>
            </w:r>
          </w:p>
        </w:tc>
        <w:tc>
          <w:tcPr>
            <w:tcW w:w="474" w:type="pct"/>
            <w:tcBorders>
              <w:top w:val="nil"/>
              <w:left w:val="nil"/>
              <w:bottom w:val="single" w:sz="4" w:space="0" w:color="auto"/>
              <w:right w:val="single" w:sz="4" w:space="0" w:color="auto"/>
            </w:tcBorders>
            <w:shd w:val="clear" w:color="000000" w:fill="FFFFFF"/>
            <w:noWrap/>
            <w:vAlign w:val="bottom"/>
            <w:hideMark/>
          </w:tcPr>
          <w:p w14:paraId="3268C70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862.00 </w:t>
            </w:r>
          </w:p>
        </w:tc>
        <w:tc>
          <w:tcPr>
            <w:tcW w:w="61" w:type="pct"/>
            <w:vAlign w:val="center"/>
            <w:hideMark/>
          </w:tcPr>
          <w:p w14:paraId="78A860E2" w14:textId="77777777" w:rsidR="0075642B" w:rsidRPr="0075642B" w:rsidRDefault="0075642B" w:rsidP="0075642B">
            <w:pPr>
              <w:spacing w:before="0" w:after="0" w:line="240" w:lineRule="auto"/>
              <w:jc w:val="left"/>
              <w:rPr>
                <w:sz w:val="20"/>
                <w:szCs w:val="20"/>
                <w:lang w:val="en-IN"/>
              </w:rPr>
            </w:pPr>
          </w:p>
        </w:tc>
      </w:tr>
      <w:tr w:rsidR="0075642B" w:rsidRPr="0075642B" w14:paraId="40EF6C97"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AD8EB8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Shares Outstanding"</w:t>
            </w:r>
          </w:p>
        </w:tc>
        <w:tc>
          <w:tcPr>
            <w:tcW w:w="1183" w:type="pct"/>
            <w:vMerge/>
            <w:tcBorders>
              <w:top w:val="nil"/>
              <w:left w:val="single" w:sz="4" w:space="0" w:color="auto"/>
              <w:bottom w:val="single" w:sz="4" w:space="0" w:color="auto"/>
              <w:right w:val="single" w:sz="4" w:space="0" w:color="auto"/>
            </w:tcBorders>
            <w:vAlign w:val="center"/>
            <w:hideMark/>
          </w:tcPr>
          <w:p w14:paraId="0ECF6325"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451B4D85" w14:textId="77777777" w:rsidR="0075642B" w:rsidRPr="0075642B" w:rsidRDefault="0075642B" w:rsidP="0075642B">
            <w:pPr>
              <w:spacing w:before="0" w:after="0" w:line="240" w:lineRule="auto"/>
              <w:jc w:val="right"/>
              <w:rPr>
                <w:rFonts w:ascii="Arial" w:hAnsi="Arial" w:cs="Arial"/>
                <w:color w:val="000000"/>
                <w:lang w:val="en-IN"/>
              </w:rPr>
            </w:pPr>
            <w:r w:rsidRPr="0075642B">
              <w:rPr>
                <w:rFonts w:ascii="Arial" w:hAnsi="Arial" w:cs="Arial"/>
                <w:color w:val="000000"/>
                <w:lang w:val="en-IN"/>
              </w:rPr>
              <w:t>3498.00</w:t>
            </w:r>
          </w:p>
        </w:tc>
        <w:tc>
          <w:tcPr>
            <w:tcW w:w="474" w:type="pct"/>
            <w:tcBorders>
              <w:top w:val="nil"/>
              <w:left w:val="nil"/>
              <w:bottom w:val="single" w:sz="4" w:space="0" w:color="auto"/>
              <w:right w:val="single" w:sz="4" w:space="0" w:color="auto"/>
            </w:tcBorders>
            <w:shd w:val="clear" w:color="000000" w:fill="FFFFFF"/>
            <w:noWrap/>
            <w:vAlign w:val="bottom"/>
            <w:hideMark/>
          </w:tcPr>
          <w:p w14:paraId="4379C14E" w14:textId="77777777" w:rsidR="0075642B" w:rsidRPr="0075642B" w:rsidRDefault="0075642B" w:rsidP="0075642B">
            <w:pPr>
              <w:spacing w:before="0" w:after="0" w:line="240" w:lineRule="auto"/>
              <w:jc w:val="right"/>
              <w:rPr>
                <w:rFonts w:ascii="Arial" w:hAnsi="Arial" w:cs="Arial"/>
                <w:color w:val="000000"/>
                <w:lang w:val="en-IN"/>
              </w:rPr>
            </w:pPr>
            <w:r w:rsidRPr="0075642B">
              <w:rPr>
                <w:rFonts w:ascii="Arial" w:hAnsi="Arial" w:cs="Arial"/>
                <w:color w:val="000000"/>
                <w:lang w:val="en-IN"/>
              </w:rPr>
              <w:t>3485.00</w:t>
            </w:r>
          </w:p>
        </w:tc>
        <w:tc>
          <w:tcPr>
            <w:tcW w:w="474" w:type="pct"/>
            <w:tcBorders>
              <w:top w:val="nil"/>
              <w:left w:val="nil"/>
              <w:bottom w:val="single" w:sz="4" w:space="0" w:color="auto"/>
              <w:right w:val="single" w:sz="4" w:space="0" w:color="auto"/>
            </w:tcBorders>
            <w:shd w:val="clear" w:color="000000" w:fill="FFFFFF"/>
            <w:noWrap/>
            <w:vAlign w:val="bottom"/>
            <w:hideMark/>
          </w:tcPr>
          <w:p w14:paraId="30F9ACF2" w14:textId="77777777" w:rsidR="0075642B" w:rsidRPr="0075642B" w:rsidRDefault="0075642B" w:rsidP="0075642B">
            <w:pPr>
              <w:spacing w:before="0" w:after="0" w:line="240" w:lineRule="auto"/>
              <w:jc w:val="right"/>
              <w:rPr>
                <w:rFonts w:ascii="Arial" w:hAnsi="Arial" w:cs="Arial"/>
                <w:color w:val="000000"/>
                <w:lang w:val="en-IN"/>
              </w:rPr>
            </w:pPr>
            <w:r w:rsidRPr="0075642B">
              <w:rPr>
                <w:rFonts w:ascii="Arial" w:hAnsi="Arial" w:cs="Arial"/>
                <w:color w:val="000000"/>
                <w:lang w:val="en-IN"/>
              </w:rPr>
              <w:t>3475.00</w:t>
            </w:r>
          </w:p>
        </w:tc>
        <w:tc>
          <w:tcPr>
            <w:tcW w:w="516" w:type="pct"/>
            <w:tcBorders>
              <w:top w:val="nil"/>
              <w:left w:val="nil"/>
              <w:bottom w:val="single" w:sz="4" w:space="0" w:color="auto"/>
              <w:right w:val="single" w:sz="4" w:space="0" w:color="auto"/>
            </w:tcBorders>
            <w:shd w:val="clear" w:color="000000" w:fill="FFFFFF"/>
            <w:noWrap/>
            <w:vAlign w:val="bottom"/>
            <w:hideMark/>
          </w:tcPr>
          <w:p w14:paraId="756C910F" w14:textId="77777777" w:rsidR="0075642B" w:rsidRPr="0075642B" w:rsidRDefault="0075642B" w:rsidP="0075642B">
            <w:pPr>
              <w:spacing w:before="0" w:after="0" w:line="240" w:lineRule="auto"/>
              <w:jc w:val="right"/>
              <w:rPr>
                <w:rFonts w:ascii="Arial" w:hAnsi="Arial" w:cs="Arial"/>
                <w:color w:val="000000"/>
                <w:lang w:val="en-IN"/>
              </w:rPr>
            </w:pPr>
            <w:r w:rsidRPr="0075642B">
              <w:rPr>
                <w:rFonts w:ascii="Arial" w:hAnsi="Arial" w:cs="Arial"/>
                <w:color w:val="000000"/>
                <w:lang w:val="en-IN"/>
              </w:rPr>
              <w:t>3386.00</w:t>
            </w:r>
          </w:p>
        </w:tc>
        <w:tc>
          <w:tcPr>
            <w:tcW w:w="474" w:type="pct"/>
            <w:tcBorders>
              <w:top w:val="nil"/>
              <w:left w:val="nil"/>
              <w:bottom w:val="single" w:sz="4" w:space="0" w:color="auto"/>
              <w:right w:val="single" w:sz="4" w:space="0" w:color="auto"/>
            </w:tcBorders>
            <w:shd w:val="clear" w:color="000000" w:fill="FFFFFF"/>
            <w:noWrap/>
            <w:vAlign w:val="bottom"/>
            <w:hideMark/>
          </w:tcPr>
          <w:p w14:paraId="6105E1C9" w14:textId="77777777" w:rsidR="0075642B" w:rsidRPr="0075642B" w:rsidRDefault="0075642B" w:rsidP="0075642B">
            <w:pPr>
              <w:spacing w:before="0" w:after="0" w:line="240" w:lineRule="auto"/>
              <w:jc w:val="right"/>
              <w:rPr>
                <w:rFonts w:ascii="Arial" w:hAnsi="Arial" w:cs="Arial"/>
                <w:color w:val="000000"/>
                <w:lang w:val="en-IN"/>
              </w:rPr>
            </w:pPr>
            <w:r w:rsidRPr="0075642B">
              <w:rPr>
                <w:rFonts w:ascii="Arial" w:hAnsi="Arial" w:cs="Arial"/>
                <w:color w:val="000000"/>
                <w:lang w:val="en-IN"/>
              </w:rPr>
              <w:t>3249.00</w:t>
            </w:r>
          </w:p>
        </w:tc>
        <w:tc>
          <w:tcPr>
            <w:tcW w:w="61" w:type="pct"/>
            <w:vAlign w:val="center"/>
            <w:hideMark/>
          </w:tcPr>
          <w:p w14:paraId="39B3C73E" w14:textId="77777777" w:rsidR="0075642B" w:rsidRPr="0075642B" w:rsidRDefault="0075642B" w:rsidP="0075642B">
            <w:pPr>
              <w:spacing w:before="0" w:after="0" w:line="240" w:lineRule="auto"/>
              <w:jc w:val="left"/>
              <w:rPr>
                <w:sz w:val="20"/>
                <w:szCs w:val="20"/>
                <w:lang w:val="en-IN"/>
              </w:rPr>
            </w:pPr>
          </w:p>
        </w:tc>
      </w:tr>
      <w:tr w:rsidR="0075642B" w:rsidRPr="0075642B" w14:paraId="62215F7E"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3C25B93E"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lastRenderedPageBreak/>
              <w:t>"Earnings Per Share (EPS)"</w:t>
            </w:r>
          </w:p>
        </w:tc>
        <w:tc>
          <w:tcPr>
            <w:tcW w:w="1183" w:type="pct"/>
            <w:vMerge/>
            <w:tcBorders>
              <w:top w:val="nil"/>
              <w:left w:val="single" w:sz="4" w:space="0" w:color="auto"/>
              <w:bottom w:val="single" w:sz="4" w:space="0" w:color="auto"/>
              <w:right w:val="single" w:sz="4" w:space="0" w:color="auto"/>
            </w:tcBorders>
            <w:vAlign w:val="center"/>
            <w:hideMark/>
          </w:tcPr>
          <w:p w14:paraId="0E4057F1"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557A78EA"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2.04</w:t>
            </w:r>
          </w:p>
        </w:tc>
        <w:tc>
          <w:tcPr>
            <w:tcW w:w="474" w:type="pct"/>
            <w:tcBorders>
              <w:top w:val="nil"/>
              <w:left w:val="nil"/>
              <w:bottom w:val="single" w:sz="4" w:space="0" w:color="auto"/>
              <w:right w:val="single" w:sz="4" w:space="0" w:color="auto"/>
            </w:tcBorders>
            <w:shd w:val="clear" w:color="000000" w:fill="FFFFFF"/>
            <w:noWrap/>
            <w:vAlign w:val="bottom"/>
            <w:hideMark/>
          </w:tcPr>
          <w:p w14:paraId="567D83F8"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4.30</w:t>
            </w:r>
          </w:p>
        </w:tc>
        <w:tc>
          <w:tcPr>
            <w:tcW w:w="474" w:type="pct"/>
            <w:tcBorders>
              <w:top w:val="nil"/>
              <w:left w:val="nil"/>
              <w:bottom w:val="single" w:sz="4" w:space="0" w:color="auto"/>
              <w:right w:val="single" w:sz="4" w:space="0" w:color="auto"/>
            </w:tcBorders>
            <w:shd w:val="clear" w:color="000000" w:fill="FFFFFF"/>
            <w:noWrap/>
            <w:vAlign w:val="bottom"/>
            <w:hideMark/>
          </w:tcPr>
          <w:p w14:paraId="283CAE91"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3.62</w:t>
            </w:r>
          </w:p>
        </w:tc>
        <w:tc>
          <w:tcPr>
            <w:tcW w:w="516" w:type="pct"/>
            <w:tcBorders>
              <w:top w:val="nil"/>
              <w:left w:val="nil"/>
              <w:bottom w:val="single" w:sz="4" w:space="0" w:color="auto"/>
              <w:right w:val="single" w:sz="4" w:space="0" w:color="auto"/>
            </w:tcBorders>
            <w:shd w:val="clear" w:color="000000" w:fill="FFFFFF"/>
            <w:noWrap/>
            <w:vAlign w:val="bottom"/>
            <w:hideMark/>
          </w:tcPr>
          <w:p w14:paraId="3B01B29D"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1.67</w:t>
            </w:r>
          </w:p>
        </w:tc>
        <w:tc>
          <w:tcPr>
            <w:tcW w:w="474" w:type="pct"/>
            <w:tcBorders>
              <w:top w:val="nil"/>
              <w:left w:val="nil"/>
              <w:bottom w:val="single" w:sz="4" w:space="0" w:color="auto"/>
              <w:right w:val="single" w:sz="4" w:space="0" w:color="auto"/>
            </w:tcBorders>
            <w:shd w:val="clear" w:color="000000" w:fill="FFFFFF"/>
            <w:noWrap/>
            <w:vAlign w:val="bottom"/>
            <w:hideMark/>
          </w:tcPr>
          <w:p w14:paraId="4B2E04E1"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0.27</w:t>
            </w:r>
          </w:p>
        </w:tc>
        <w:tc>
          <w:tcPr>
            <w:tcW w:w="61" w:type="pct"/>
            <w:vAlign w:val="center"/>
            <w:hideMark/>
          </w:tcPr>
          <w:p w14:paraId="3F7E0F65" w14:textId="77777777" w:rsidR="0075642B" w:rsidRPr="0075642B" w:rsidRDefault="0075642B" w:rsidP="0075642B">
            <w:pPr>
              <w:spacing w:before="0" w:after="0" w:line="240" w:lineRule="auto"/>
              <w:jc w:val="left"/>
              <w:rPr>
                <w:sz w:val="20"/>
                <w:szCs w:val="20"/>
                <w:lang w:val="en-IN"/>
              </w:rPr>
            </w:pPr>
          </w:p>
        </w:tc>
      </w:tr>
      <w:tr w:rsidR="0075642B" w:rsidRPr="0075642B" w14:paraId="386673DD"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355961C1"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1183" w:type="pct"/>
            <w:tcBorders>
              <w:top w:val="nil"/>
              <w:left w:val="nil"/>
              <w:bottom w:val="single" w:sz="4" w:space="0" w:color="auto"/>
              <w:right w:val="single" w:sz="4" w:space="0" w:color="auto"/>
            </w:tcBorders>
            <w:shd w:val="clear" w:color="000000" w:fill="FFFFFF"/>
            <w:vAlign w:val="center"/>
            <w:hideMark/>
          </w:tcPr>
          <w:p w14:paraId="4108020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6B439DDD"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1C0C0BC4"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152C2803"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5A07AB58"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734527E8"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 </w:t>
            </w:r>
          </w:p>
        </w:tc>
        <w:tc>
          <w:tcPr>
            <w:tcW w:w="61" w:type="pct"/>
            <w:vAlign w:val="center"/>
            <w:hideMark/>
          </w:tcPr>
          <w:p w14:paraId="3F18E06C" w14:textId="77777777" w:rsidR="0075642B" w:rsidRPr="0075642B" w:rsidRDefault="0075642B" w:rsidP="0075642B">
            <w:pPr>
              <w:spacing w:before="0" w:after="0" w:line="240" w:lineRule="auto"/>
              <w:jc w:val="left"/>
              <w:rPr>
                <w:sz w:val="20"/>
                <w:szCs w:val="20"/>
                <w:lang w:val="en-IN"/>
              </w:rPr>
            </w:pPr>
          </w:p>
        </w:tc>
      </w:tr>
      <w:tr w:rsidR="0075642B" w:rsidRPr="0075642B" w14:paraId="4BDA3E2B"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D77BCF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"Price Earnings Ratio (P/E Ratio)"</w:t>
            </w:r>
          </w:p>
        </w:tc>
        <w:tc>
          <w:tcPr>
            <w:tcW w:w="61" w:type="pct"/>
            <w:vAlign w:val="center"/>
            <w:hideMark/>
          </w:tcPr>
          <w:p w14:paraId="0598A40D" w14:textId="77777777" w:rsidR="0075642B" w:rsidRPr="0075642B" w:rsidRDefault="0075642B" w:rsidP="0075642B">
            <w:pPr>
              <w:spacing w:before="0" w:after="0" w:line="240" w:lineRule="auto"/>
              <w:jc w:val="left"/>
              <w:rPr>
                <w:sz w:val="20"/>
                <w:szCs w:val="20"/>
                <w:lang w:val="en-IN"/>
              </w:rPr>
            </w:pPr>
          </w:p>
        </w:tc>
      </w:tr>
      <w:tr w:rsidR="0075642B" w:rsidRPr="0075642B" w14:paraId="382D5CC7"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0E8FE15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40C4D21F"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59BDD15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6214EDE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57F72442"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3F36EF6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398B7D8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375AF9C9" w14:textId="77777777" w:rsidR="0075642B" w:rsidRPr="0075642B" w:rsidRDefault="0075642B" w:rsidP="0075642B">
            <w:pPr>
              <w:spacing w:before="0" w:after="0" w:line="240" w:lineRule="auto"/>
              <w:jc w:val="left"/>
              <w:rPr>
                <w:sz w:val="20"/>
                <w:szCs w:val="20"/>
                <w:lang w:val="en-IN"/>
              </w:rPr>
            </w:pPr>
          </w:p>
        </w:tc>
      </w:tr>
      <w:tr w:rsidR="0075642B" w:rsidRPr="0075642B" w14:paraId="3F397CB4"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3F4D001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"Price per Share"</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0808EB8A"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"Price per Share / EPS"</w:t>
            </w:r>
          </w:p>
        </w:tc>
        <w:tc>
          <w:tcPr>
            <w:tcW w:w="516" w:type="pct"/>
            <w:tcBorders>
              <w:top w:val="nil"/>
              <w:left w:val="nil"/>
              <w:bottom w:val="single" w:sz="4" w:space="0" w:color="auto"/>
              <w:right w:val="single" w:sz="4" w:space="0" w:color="auto"/>
            </w:tcBorders>
            <w:shd w:val="clear" w:color="000000" w:fill="FFFFFF"/>
            <w:noWrap/>
            <w:vAlign w:val="bottom"/>
            <w:hideMark/>
          </w:tcPr>
          <w:p w14:paraId="5940D2A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403.84 </w:t>
            </w:r>
          </w:p>
        </w:tc>
        <w:tc>
          <w:tcPr>
            <w:tcW w:w="474" w:type="pct"/>
            <w:tcBorders>
              <w:top w:val="nil"/>
              <w:left w:val="nil"/>
              <w:bottom w:val="single" w:sz="4" w:space="0" w:color="auto"/>
              <w:right w:val="single" w:sz="4" w:space="0" w:color="auto"/>
            </w:tcBorders>
            <w:shd w:val="clear" w:color="000000" w:fill="FFFFFF"/>
            <w:noWrap/>
            <w:vAlign w:val="bottom"/>
            <w:hideMark/>
          </w:tcPr>
          <w:p w14:paraId="26DEB32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248.48 </w:t>
            </w:r>
          </w:p>
        </w:tc>
        <w:tc>
          <w:tcPr>
            <w:tcW w:w="474" w:type="pct"/>
            <w:tcBorders>
              <w:top w:val="nil"/>
              <w:left w:val="nil"/>
              <w:bottom w:val="single" w:sz="4" w:space="0" w:color="auto"/>
              <w:right w:val="single" w:sz="4" w:space="0" w:color="auto"/>
            </w:tcBorders>
            <w:shd w:val="clear" w:color="000000" w:fill="FFFFFF"/>
            <w:noWrap/>
            <w:vAlign w:val="bottom"/>
            <w:hideMark/>
          </w:tcPr>
          <w:p w14:paraId="488CA30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123.18 </w:t>
            </w:r>
          </w:p>
        </w:tc>
        <w:tc>
          <w:tcPr>
            <w:tcW w:w="516" w:type="pct"/>
            <w:tcBorders>
              <w:top w:val="nil"/>
              <w:left w:val="nil"/>
              <w:bottom w:val="single" w:sz="4" w:space="0" w:color="auto"/>
              <w:right w:val="single" w:sz="4" w:space="0" w:color="auto"/>
            </w:tcBorders>
            <w:shd w:val="clear" w:color="000000" w:fill="FFFFFF"/>
            <w:noWrap/>
            <w:vAlign w:val="bottom"/>
            <w:hideMark/>
          </w:tcPr>
          <w:p w14:paraId="56565F8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352.26 </w:t>
            </w:r>
          </w:p>
        </w:tc>
        <w:tc>
          <w:tcPr>
            <w:tcW w:w="474" w:type="pct"/>
            <w:tcBorders>
              <w:top w:val="nil"/>
              <w:left w:val="nil"/>
              <w:bottom w:val="single" w:sz="4" w:space="0" w:color="auto"/>
              <w:right w:val="single" w:sz="4" w:space="0" w:color="auto"/>
            </w:tcBorders>
            <w:shd w:val="clear" w:color="000000" w:fill="FFFFFF"/>
            <w:noWrap/>
            <w:vAlign w:val="bottom"/>
            <w:hideMark/>
          </w:tcPr>
          <w:p w14:paraId="4A9B11F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235.22 </w:t>
            </w:r>
          </w:p>
        </w:tc>
        <w:tc>
          <w:tcPr>
            <w:tcW w:w="61" w:type="pct"/>
            <w:vAlign w:val="center"/>
            <w:hideMark/>
          </w:tcPr>
          <w:p w14:paraId="3A0DD1E1" w14:textId="77777777" w:rsidR="0075642B" w:rsidRPr="0075642B" w:rsidRDefault="0075642B" w:rsidP="0075642B">
            <w:pPr>
              <w:spacing w:before="0" w:after="0" w:line="240" w:lineRule="auto"/>
              <w:jc w:val="left"/>
              <w:rPr>
                <w:sz w:val="20"/>
                <w:szCs w:val="20"/>
                <w:lang w:val="en-IN"/>
              </w:rPr>
            </w:pPr>
          </w:p>
        </w:tc>
      </w:tr>
      <w:tr w:rsidR="0075642B" w:rsidRPr="0075642B" w14:paraId="52452555"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B71E8A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"EPS"</w:t>
            </w:r>
          </w:p>
        </w:tc>
        <w:tc>
          <w:tcPr>
            <w:tcW w:w="1183" w:type="pct"/>
            <w:vMerge/>
            <w:tcBorders>
              <w:top w:val="nil"/>
              <w:left w:val="single" w:sz="4" w:space="0" w:color="auto"/>
              <w:bottom w:val="single" w:sz="4" w:space="0" w:color="auto"/>
              <w:right w:val="single" w:sz="4" w:space="0" w:color="auto"/>
            </w:tcBorders>
            <w:vAlign w:val="center"/>
            <w:hideMark/>
          </w:tcPr>
          <w:p w14:paraId="7BF7DBCF"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6EB87F6B" w14:textId="77777777" w:rsidR="0075642B" w:rsidRPr="0075642B" w:rsidRDefault="0075642B" w:rsidP="0075642B">
            <w:pPr>
              <w:spacing w:before="0" w:after="0" w:line="240" w:lineRule="auto"/>
              <w:jc w:val="right"/>
              <w:rPr>
                <w:rFonts w:ascii="Arial" w:hAnsi="Arial" w:cs="Arial"/>
                <w:color w:val="000000"/>
                <w:lang w:val="en-IN"/>
              </w:rPr>
            </w:pPr>
            <w:r w:rsidRPr="0075642B">
              <w:rPr>
                <w:rFonts w:ascii="Arial" w:hAnsi="Arial" w:cs="Arial"/>
                <w:color w:val="000000"/>
                <w:lang w:val="en-IN"/>
              </w:rPr>
              <w:t>2.04</w:t>
            </w:r>
          </w:p>
        </w:tc>
        <w:tc>
          <w:tcPr>
            <w:tcW w:w="474" w:type="pct"/>
            <w:tcBorders>
              <w:top w:val="nil"/>
              <w:left w:val="nil"/>
              <w:bottom w:val="single" w:sz="4" w:space="0" w:color="auto"/>
              <w:right w:val="single" w:sz="4" w:space="0" w:color="auto"/>
            </w:tcBorders>
            <w:shd w:val="clear" w:color="000000" w:fill="FFFFFF"/>
            <w:noWrap/>
            <w:vAlign w:val="bottom"/>
            <w:hideMark/>
          </w:tcPr>
          <w:p w14:paraId="36FD2960" w14:textId="77777777" w:rsidR="0075642B" w:rsidRPr="0075642B" w:rsidRDefault="0075642B" w:rsidP="0075642B">
            <w:pPr>
              <w:spacing w:before="0" w:after="0" w:line="240" w:lineRule="auto"/>
              <w:jc w:val="right"/>
              <w:rPr>
                <w:rFonts w:ascii="Arial" w:hAnsi="Arial" w:cs="Arial"/>
                <w:color w:val="000000"/>
                <w:lang w:val="en-IN"/>
              </w:rPr>
            </w:pPr>
            <w:r w:rsidRPr="0075642B">
              <w:rPr>
                <w:rFonts w:ascii="Arial" w:hAnsi="Arial" w:cs="Arial"/>
                <w:color w:val="000000"/>
                <w:lang w:val="en-IN"/>
              </w:rPr>
              <w:t>4.30</w:t>
            </w:r>
          </w:p>
        </w:tc>
        <w:tc>
          <w:tcPr>
            <w:tcW w:w="474" w:type="pct"/>
            <w:tcBorders>
              <w:top w:val="nil"/>
              <w:left w:val="nil"/>
              <w:bottom w:val="single" w:sz="4" w:space="0" w:color="auto"/>
              <w:right w:val="single" w:sz="4" w:space="0" w:color="auto"/>
            </w:tcBorders>
            <w:shd w:val="clear" w:color="000000" w:fill="FFFFFF"/>
            <w:noWrap/>
            <w:vAlign w:val="bottom"/>
            <w:hideMark/>
          </w:tcPr>
          <w:p w14:paraId="29292B4E" w14:textId="77777777" w:rsidR="0075642B" w:rsidRPr="0075642B" w:rsidRDefault="0075642B" w:rsidP="0075642B">
            <w:pPr>
              <w:spacing w:before="0" w:after="0" w:line="240" w:lineRule="auto"/>
              <w:jc w:val="right"/>
              <w:rPr>
                <w:rFonts w:ascii="Arial" w:hAnsi="Arial" w:cs="Arial"/>
                <w:color w:val="000000"/>
                <w:lang w:val="en-IN"/>
              </w:rPr>
            </w:pPr>
            <w:r w:rsidRPr="0075642B">
              <w:rPr>
                <w:rFonts w:ascii="Arial" w:hAnsi="Arial" w:cs="Arial"/>
                <w:color w:val="000000"/>
                <w:lang w:val="en-IN"/>
              </w:rPr>
              <w:t>3.62</w:t>
            </w:r>
          </w:p>
        </w:tc>
        <w:tc>
          <w:tcPr>
            <w:tcW w:w="516" w:type="pct"/>
            <w:tcBorders>
              <w:top w:val="nil"/>
              <w:left w:val="nil"/>
              <w:bottom w:val="single" w:sz="4" w:space="0" w:color="auto"/>
              <w:right w:val="single" w:sz="4" w:space="0" w:color="auto"/>
            </w:tcBorders>
            <w:shd w:val="clear" w:color="000000" w:fill="FFFFFF"/>
            <w:noWrap/>
            <w:vAlign w:val="bottom"/>
            <w:hideMark/>
          </w:tcPr>
          <w:p w14:paraId="2B6F2A9A" w14:textId="77777777" w:rsidR="0075642B" w:rsidRPr="0075642B" w:rsidRDefault="0075642B" w:rsidP="0075642B">
            <w:pPr>
              <w:spacing w:before="0" w:after="0" w:line="240" w:lineRule="auto"/>
              <w:jc w:val="right"/>
              <w:rPr>
                <w:rFonts w:ascii="Arial" w:hAnsi="Arial" w:cs="Arial"/>
                <w:color w:val="000000"/>
                <w:lang w:val="en-IN"/>
              </w:rPr>
            </w:pPr>
            <w:r w:rsidRPr="0075642B">
              <w:rPr>
                <w:rFonts w:ascii="Arial" w:hAnsi="Arial" w:cs="Arial"/>
                <w:color w:val="000000"/>
                <w:lang w:val="en-IN"/>
              </w:rPr>
              <w:t>1.67</w:t>
            </w:r>
          </w:p>
        </w:tc>
        <w:tc>
          <w:tcPr>
            <w:tcW w:w="474" w:type="pct"/>
            <w:tcBorders>
              <w:top w:val="nil"/>
              <w:left w:val="nil"/>
              <w:bottom w:val="single" w:sz="4" w:space="0" w:color="auto"/>
              <w:right w:val="single" w:sz="4" w:space="0" w:color="auto"/>
            </w:tcBorders>
            <w:shd w:val="clear" w:color="000000" w:fill="FFFFFF"/>
            <w:noWrap/>
            <w:vAlign w:val="bottom"/>
            <w:hideMark/>
          </w:tcPr>
          <w:p w14:paraId="62C2128F" w14:textId="77777777" w:rsidR="0075642B" w:rsidRPr="0075642B" w:rsidRDefault="0075642B" w:rsidP="0075642B">
            <w:pPr>
              <w:spacing w:before="0" w:after="0" w:line="240" w:lineRule="auto"/>
              <w:jc w:val="right"/>
              <w:rPr>
                <w:rFonts w:ascii="Arial" w:hAnsi="Arial" w:cs="Arial"/>
                <w:color w:val="000000"/>
                <w:lang w:val="en-IN"/>
              </w:rPr>
            </w:pPr>
            <w:r w:rsidRPr="0075642B">
              <w:rPr>
                <w:rFonts w:ascii="Arial" w:hAnsi="Arial" w:cs="Arial"/>
                <w:color w:val="000000"/>
                <w:lang w:val="en-IN"/>
              </w:rPr>
              <w:t>0.27</w:t>
            </w:r>
          </w:p>
        </w:tc>
        <w:tc>
          <w:tcPr>
            <w:tcW w:w="61" w:type="pct"/>
            <w:vAlign w:val="center"/>
            <w:hideMark/>
          </w:tcPr>
          <w:p w14:paraId="4A4EF621" w14:textId="77777777" w:rsidR="0075642B" w:rsidRPr="0075642B" w:rsidRDefault="0075642B" w:rsidP="0075642B">
            <w:pPr>
              <w:spacing w:before="0" w:after="0" w:line="240" w:lineRule="auto"/>
              <w:jc w:val="left"/>
              <w:rPr>
                <w:sz w:val="20"/>
                <w:szCs w:val="20"/>
                <w:lang w:val="en-IN"/>
              </w:rPr>
            </w:pPr>
          </w:p>
        </w:tc>
      </w:tr>
      <w:tr w:rsidR="0075642B" w:rsidRPr="0075642B" w14:paraId="6251B4AA"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1B60372"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"Price Earnings Ratio (P/E Ratio)"</w:t>
            </w:r>
          </w:p>
        </w:tc>
        <w:tc>
          <w:tcPr>
            <w:tcW w:w="1183" w:type="pct"/>
            <w:vMerge/>
            <w:tcBorders>
              <w:top w:val="nil"/>
              <w:left w:val="single" w:sz="4" w:space="0" w:color="auto"/>
              <w:bottom w:val="single" w:sz="4" w:space="0" w:color="auto"/>
              <w:right w:val="single" w:sz="4" w:space="0" w:color="auto"/>
            </w:tcBorders>
            <w:vAlign w:val="center"/>
            <w:hideMark/>
          </w:tcPr>
          <w:p w14:paraId="7EAF16E2"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1E0DE094"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197.49</w:t>
            </w:r>
          </w:p>
        </w:tc>
        <w:tc>
          <w:tcPr>
            <w:tcW w:w="474" w:type="pct"/>
            <w:tcBorders>
              <w:top w:val="nil"/>
              <w:left w:val="nil"/>
              <w:bottom w:val="single" w:sz="4" w:space="0" w:color="auto"/>
              <w:right w:val="single" w:sz="4" w:space="0" w:color="auto"/>
            </w:tcBorders>
            <w:shd w:val="clear" w:color="000000" w:fill="FFFFFF"/>
            <w:noWrap/>
            <w:vAlign w:val="bottom"/>
            <w:hideMark/>
          </w:tcPr>
          <w:p w14:paraId="156D46A4"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57.83</w:t>
            </w:r>
          </w:p>
        </w:tc>
        <w:tc>
          <w:tcPr>
            <w:tcW w:w="474" w:type="pct"/>
            <w:tcBorders>
              <w:top w:val="nil"/>
              <w:left w:val="nil"/>
              <w:bottom w:val="single" w:sz="4" w:space="0" w:color="auto"/>
              <w:right w:val="single" w:sz="4" w:space="0" w:color="auto"/>
            </w:tcBorders>
            <w:shd w:val="clear" w:color="000000" w:fill="FFFFFF"/>
            <w:noWrap/>
            <w:vAlign w:val="bottom"/>
            <w:hideMark/>
          </w:tcPr>
          <w:p w14:paraId="1C3BAFE3"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34.01</w:t>
            </w:r>
          </w:p>
        </w:tc>
        <w:tc>
          <w:tcPr>
            <w:tcW w:w="516" w:type="pct"/>
            <w:tcBorders>
              <w:top w:val="nil"/>
              <w:left w:val="nil"/>
              <w:bottom w:val="single" w:sz="4" w:space="0" w:color="auto"/>
              <w:right w:val="single" w:sz="4" w:space="0" w:color="auto"/>
            </w:tcBorders>
            <w:shd w:val="clear" w:color="000000" w:fill="FFFFFF"/>
            <w:noWrap/>
            <w:vAlign w:val="bottom"/>
            <w:hideMark/>
          </w:tcPr>
          <w:p w14:paraId="38D754AF"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211.33</w:t>
            </w:r>
          </w:p>
        </w:tc>
        <w:tc>
          <w:tcPr>
            <w:tcW w:w="474" w:type="pct"/>
            <w:tcBorders>
              <w:top w:val="nil"/>
              <w:left w:val="nil"/>
              <w:bottom w:val="single" w:sz="4" w:space="0" w:color="auto"/>
              <w:right w:val="single" w:sz="4" w:space="0" w:color="auto"/>
            </w:tcBorders>
            <w:shd w:val="clear" w:color="000000" w:fill="FFFFFF"/>
            <w:noWrap/>
            <w:vAlign w:val="bottom"/>
            <w:hideMark/>
          </w:tcPr>
          <w:p w14:paraId="37D88069"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886.58</w:t>
            </w:r>
          </w:p>
        </w:tc>
        <w:tc>
          <w:tcPr>
            <w:tcW w:w="61" w:type="pct"/>
            <w:vAlign w:val="center"/>
            <w:hideMark/>
          </w:tcPr>
          <w:p w14:paraId="07C316E3" w14:textId="77777777" w:rsidR="0075642B" w:rsidRPr="0075642B" w:rsidRDefault="0075642B" w:rsidP="0075642B">
            <w:pPr>
              <w:spacing w:before="0" w:after="0" w:line="240" w:lineRule="auto"/>
              <w:jc w:val="left"/>
              <w:rPr>
                <w:sz w:val="20"/>
                <w:szCs w:val="20"/>
                <w:lang w:val="en-IN"/>
              </w:rPr>
            </w:pPr>
          </w:p>
        </w:tc>
      </w:tr>
      <w:tr w:rsidR="0075642B" w:rsidRPr="0075642B" w14:paraId="217BBDDD" w14:textId="77777777" w:rsidTr="0075642B">
        <w:trPr>
          <w:trHeight w:val="312"/>
          <w:jc w:val="center"/>
        </w:trPr>
        <w:tc>
          <w:tcPr>
            <w:tcW w:w="4939" w:type="pct"/>
            <w:gridSpan w:val="7"/>
            <w:vMerge w:val="restart"/>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738CD26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"Cash Flow Ratios"</w:t>
            </w:r>
          </w:p>
        </w:tc>
        <w:tc>
          <w:tcPr>
            <w:tcW w:w="61" w:type="pct"/>
            <w:vAlign w:val="center"/>
            <w:hideMark/>
          </w:tcPr>
          <w:p w14:paraId="7C714BF4" w14:textId="77777777" w:rsidR="0075642B" w:rsidRPr="0075642B" w:rsidRDefault="0075642B" w:rsidP="0075642B">
            <w:pPr>
              <w:spacing w:before="0" w:after="0" w:line="240" w:lineRule="auto"/>
              <w:jc w:val="left"/>
              <w:rPr>
                <w:sz w:val="20"/>
                <w:szCs w:val="20"/>
                <w:lang w:val="en-IN"/>
              </w:rPr>
            </w:pPr>
          </w:p>
        </w:tc>
      </w:tr>
      <w:tr w:rsidR="0075642B" w:rsidRPr="0075642B" w14:paraId="7DBC440B" w14:textId="77777777" w:rsidTr="0075642B">
        <w:trPr>
          <w:trHeight w:val="312"/>
          <w:jc w:val="center"/>
        </w:trPr>
        <w:tc>
          <w:tcPr>
            <w:tcW w:w="4939" w:type="pct"/>
            <w:gridSpan w:val="7"/>
            <w:vMerge/>
            <w:tcBorders>
              <w:top w:val="single" w:sz="4" w:space="0" w:color="auto"/>
              <w:left w:val="single" w:sz="4" w:space="0" w:color="auto"/>
              <w:bottom w:val="single" w:sz="4" w:space="0" w:color="auto"/>
              <w:right w:val="single" w:sz="4" w:space="0" w:color="auto"/>
            </w:tcBorders>
            <w:vAlign w:val="center"/>
            <w:hideMark/>
          </w:tcPr>
          <w:p w14:paraId="232F8241" w14:textId="77777777" w:rsidR="0075642B" w:rsidRPr="0075642B" w:rsidRDefault="0075642B" w:rsidP="0075642B">
            <w:pPr>
              <w:spacing w:before="0" w:after="0" w:line="240" w:lineRule="auto"/>
              <w:jc w:val="left"/>
              <w:rPr>
                <w:rFonts w:ascii="Arial" w:hAnsi="Arial" w:cs="Arial"/>
                <w:b/>
                <w:bCs/>
                <w:color w:val="000000"/>
                <w:lang w:val="en-IN"/>
              </w:rPr>
            </w:pPr>
          </w:p>
        </w:tc>
        <w:tc>
          <w:tcPr>
            <w:tcW w:w="61" w:type="pct"/>
            <w:tcBorders>
              <w:top w:val="nil"/>
              <w:left w:val="nil"/>
              <w:bottom w:val="nil"/>
              <w:right w:val="nil"/>
            </w:tcBorders>
            <w:noWrap/>
            <w:vAlign w:val="bottom"/>
            <w:hideMark/>
          </w:tcPr>
          <w:p w14:paraId="70A4CF94" w14:textId="77777777" w:rsidR="0075642B" w:rsidRPr="0075642B" w:rsidRDefault="0075642B" w:rsidP="0075642B">
            <w:pPr>
              <w:spacing w:before="0" w:after="0" w:line="240" w:lineRule="auto"/>
              <w:jc w:val="center"/>
              <w:rPr>
                <w:rFonts w:ascii="Arial" w:hAnsi="Arial" w:cs="Arial"/>
                <w:b/>
                <w:bCs/>
                <w:color w:val="000000"/>
                <w:lang w:val="en-IN"/>
              </w:rPr>
            </w:pPr>
          </w:p>
        </w:tc>
      </w:tr>
      <w:tr w:rsidR="0075642B" w:rsidRPr="0075642B" w14:paraId="783D3BEF"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A8B4DC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"Operating Cash Flow Ratio"</w:t>
            </w:r>
          </w:p>
        </w:tc>
        <w:tc>
          <w:tcPr>
            <w:tcW w:w="61" w:type="pct"/>
            <w:vAlign w:val="center"/>
            <w:hideMark/>
          </w:tcPr>
          <w:p w14:paraId="0D32FDBF" w14:textId="77777777" w:rsidR="0075642B" w:rsidRPr="0075642B" w:rsidRDefault="0075642B" w:rsidP="0075642B">
            <w:pPr>
              <w:spacing w:before="0" w:after="0" w:line="240" w:lineRule="auto"/>
              <w:jc w:val="left"/>
              <w:rPr>
                <w:sz w:val="20"/>
                <w:szCs w:val="20"/>
                <w:lang w:val="en-IN"/>
              </w:rPr>
            </w:pPr>
          </w:p>
        </w:tc>
      </w:tr>
      <w:tr w:rsidR="0075642B" w:rsidRPr="0075642B" w14:paraId="5BBA40FC"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0313ED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5C44205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3C9A3EF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046F5A63"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3EEB3FB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61F8085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0365395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5D56885D" w14:textId="77777777" w:rsidR="0075642B" w:rsidRPr="0075642B" w:rsidRDefault="0075642B" w:rsidP="0075642B">
            <w:pPr>
              <w:spacing w:before="0" w:after="0" w:line="240" w:lineRule="auto"/>
              <w:jc w:val="left"/>
              <w:rPr>
                <w:sz w:val="20"/>
                <w:szCs w:val="20"/>
                <w:lang w:val="en-IN"/>
              </w:rPr>
            </w:pPr>
          </w:p>
        </w:tc>
      </w:tr>
      <w:tr w:rsidR="0075642B" w:rsidRPr="0075642B" w14:paraId="36624D43"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135BDE4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"Operating Cash Flow"</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466B6F1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"(Operating Cash Flow/Current Liabilities)"</w:t>
            </w:r>
          </w:p>
        </w:tc>
        <w:tc>
          <w:tcPr>
            <w:tcW w:w="516" w:type="pct"/>
            <w:tcBorders>
              <w:top w:val="nil"/>
              <w:left w:val="nil"/>
              <w:bottom w:val="single" w:sz="4" w:space="0" w:color="auto"/>
              <w:right w:val="single" w:sz="4" w:space="0" w:color="auto"/>
            </w:tcBorders>
            <w:shd w:val="clear" w:color="000000" w:fill="FFFFFF"/>
            <w:noWrap/>
            <w:vAlign w:val="bottom"/>
            <w:hideMark/>
          </w:tcPr>
          <w:p w14:paraId="22916D4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14,923.00 </w:t>
            </w:r>
          </w:p>
        </w:tc>
        <w:tc>
          <w:tcPr>
            <w:tcW w:w="474" w:type="pct"/>
            <w:tcBorders>
              <w:top w:val="nil"/>
              <w:left w:val="nil"/>
              <w:bottom w:val="single" w:sz="4" w:space="0" w:color="auto"/>
              <w:right w:val="single" w:sz="4" w:space="0" w:color="auto"/>
            </w:tcBorders>
            <w:shd w:val="clear" w:color="000000" w:fill="FFFFFF"/>
            <w:noWrap/>
            <w:vAlign w:val="bottom"/>
            <w:hideMark/>
          </w:tcPr>
          <w:p w14:paraId="401AA8F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13,256.00 </w:t>
            </w:r>
          </w:p>
        </w:tc>
        <w:tc>
          <w:tcPr>
            <w:tcW w:w="474" w:type="pct"/>
            <w:tcBorders>
              <w:top w:val="nil"/>
              <w:left w:val="nil"/>
              <w:bottom w:val="single" w:sz="4" w:space="0" w:color="auto"/>
              <w:right w:val="single" w:sz="4" w:space="0" w:color="auto"/>
            </w:tcBorders>
            <w:shd w:val="clear" w:color="000000" w:fill="FFFFFF"/>
            <w:noWrap/>
            <w:vAlign w:val="bottom"/>
            <w:hideMark/>
          </w:tcPr>
          <w:p w14:paraId="59D0F9F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14,724.00 </w:t>
            </w:r>
          </w:p>
        </w:tc>
        <w:tc>
          <w:tcPr>
            <w:tcW w:w="516" w:type="pct"/>
            <w:tcBorders>
              <w:top w:val="nil"/>
              <w:left w:val="nil"/>
              <w:bottom w:val="single" w:sz="4" w:space="0" w:color="auto"/>
              <w:right w:val="single" w:sz="4" w:space="0" w:color="auto"/>
            </w:tcBorders>
            <w:shd w:val="clear" w:color="000000" w:fill="FFFFFF"/>
            <w:noWrap/>
            <w:vAlign w:val="bottom"/>
            <w:hideMark/>
          </w:tcPr>
          <w:p w14:paraId="4111C08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11,497.00 </w:t>
            </w:r>
          </w:p>
        </w:tc>
        <w:tc>
          <w:tcPr>
            <w:tcW w:w="474" w:type="pct"/>
            <w:tcBorders>
              <w:top w:val="nil"/>
              <w:left w:val="nil"/>
              <w:bottom w:val="single" w:sz="4" w:space="0" w:color="auto"/>
              <w:right w:val="single" w:sz="4" w:space="0" w:color="auto"/>
            </w:tcBorders>
            <w:shd w:val="clear" w:color="000000" w:fill="FFFFFF"/>
            <w:noWrap/>
            <w:vAlign w:val="bottom"/>
            <w:hideMark/>
          </w:tcPr>
          <w:p w14:paraId="611418C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5,943.00 </w:t>
            </w:r>
          </w:p>
        </w:tc>
        <w:tc>
          <w:tcPr>
            <w:tcW w:w="61" w:type="pct"/>
            <w:vAlign w:val="center"/>
            <w:hideMark/>
          </w:tcPr>
          <w:p w14:paraId="5B06FE9A" w14:textId="77777777" w:rsidR="0075642B" w:rsidRPr="0075642B" w:rsidRDefault="0075642B" w:rsidP="0075642B">
            <w:pPr>
              <w:spacing w:before="0" w:after="0" w:line="240" w:lineRule="auto"/>
              <w:jc w:val="left"/>
              <w:rPr>
                <w:sz w:val="20"/>
                <w:szCs w:val="20"/>
                <w:lang w:val="en-IN"/>
              </w:rPr>
            </w:pPr>
          </w:p>
        </w:tc>
      </w:tr>
      <w:tr w:rsidR="0075642B" w:rsidRPr="0075642B" w14:paraId="7734479C"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743ACBB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Current Liabilities"</w:t>
            </w:r>
          </w:p>
        </w:tc>
        <w:tc>
          <w:tcPr>
            <w:tcW w:w="1183" w:type="pct"/>
            <w:vMerge/>
            <w:tcBorders>
              <w:top w:val="nil"/>
              <w:left w:val="single" w:sz="4" w:space="0" w:color="auto"/>
              <w:bottom w:val="single" w:sz="4" w:space="0" w:color="auto"/>
              <w:right w:val="single" w:sz="4" w:space="0" w:color="auto"/>
            </w:tcBorders>
            <w:vAlign w:val="center"/>
            <w:hideMark/>
          </w:tcPr>
          <w:p w14:paraId="0EA63D85"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1A92CB8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28,821.00 </w:t>
            </w:r>
          </w:p>
        </w:tc>
        <w:tc>
          <w:tcPr>
            <w:tcW w:w="474" w:type="pct"/>
            <w:tcBorders>
              <w:top w:val="nil"/>
              <w:left w:val="nil"/>
              <w:bottom w:val="single" w:sz="4" w:space="0" w:color="auto"/>
              <w:right w:val="single" w:sz="4" w:space="0" w:color="auto"/>
            </w:tcBorders>
            <w:shd w:val="clear" w:color="000000" w:fill="FFFFFF"/>
            <w:noWrap/>
            <w:vAlign w:val="bottom"/>
            <w:hideMark/>
          </w:tcPr>
          <w:p w14:paraId="0C975E2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28,748.00 </w:t>
            </w:r>
          </w:p>
        </w:tc>
        <w:tc>
          <w:tcPr>
            <w:tcW w:w="474" w:type="pct"/>
            <w:tcBorders>
              <w:top w:val="nil"/>
              <w:left w:val="nil"/>
              <w:bottom w:val="single" w:sz="4" w:space="0" w:color="auto"/>
              <w:right w:val="single" w:sz="4" w:space="0" w:color="auto"/>
            </w:tcBorders>
            <w:shd w:val="clear" w:color="000000" w:fill="FFFFFF"/>
            <w:noWrap/>
            <w:vAlign w:val="bottom"/>
            <w:hideMark/>
          </w:tcPr>
          <w:p w14:paraId="2602C82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26,709.00 </w:t>
            </w:r>
          </w:p>
        </w:tc>
        <w:tc>
          <w:tcPr>
            <w:tcW w:w="516" w:type="pct"/>
            <w:tcBorders>
              <w:top w:val="nil"/>
              <w:left w:val="nil"/>
              <w:bottom w:val="single" w:sz="4" w:space="0" w:color="auto"/>
              <w:right w:val="single" w:sz="4" w:space="0" w:color="auto"/>
            </w:tcBorders>
            <w:shd w:val="clear" w:color="000000" w:fill="FFFFFF"/>
            <w:noWrap/>
            <w:vAlign w:val="bottom"/>
            <w:hideMark/>
          </w:tcPr>
          <w:p w14:paraId="53C5EB9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19,705.00 </w:t>
            </w:r>
          </w:p>
        </w:tc>
        <w:tc>
          <w:tcPr>
            <w:tcW w:w="474" w:type="pct"/>
            <w:tcBorders>
              <w:top w:val="nil"/>
              <w:left w:val="nil"/>
              <w:bottom w:val="single" w:sz="4" w:space="0" w:color="auto"/>
              <w:right w:val="single" w:sz="4" w:space="0" w:color="auto"/>
            </w:tcBorders>
            <w:shd w:val="clear" w:color="000000" w:fill="FFFFFF"/>
            <w:noWrap/>
            <w:vAlign w:val="bottom"/>
            <w:hideMark/>
          </w:tcPr>
          <w:p w14:paraId="6AEBF51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14,248.00 </w:t>
            </w:r>
          </w:p>
        </w:tc>
        <w:tc>
          <w:tcPr>
            <w:tcW w:w="61" w:type="pct"/>
            <w:vAlign w:val="center"/>
            <w:hideMark/>
          </w:tcPr>
          <w:p w14:paraId="79276400" w14:textId="77777777" w:rsidR="0075642B" w:rsidRPr="0075642B" w:rsidRDefault="0075642B" w:rsidP="0075642B">
            <w:pPr>
              <w:spacing w:before="0" w:after="0" w:line="240" w:lineRule="auto"/>
              <w:jc w:val="left"/>
              <w:rPr>
                <w:sz w:val="20"/>
                <w:szCs w:val="20"/>
                <w:lang w:val="en-IN"/>
              </w:rPr>
            </w:pPr>
          </w:p>
        </w:tc>
      </w:tr>
      <w:tr w:rsidR="0075642B" w:rsidRPr="0075642B" w14:paraId="2914B4EC"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BAC365E"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"Operating Cash Flow Ratio"</w:t>
            </w:r>
          </w:p>
        </w:tc>
        <w:tc>
          <w:tcPr>
            <w:tcW w:w="1183" w:type="pct"/>
            <w:vMerge/>
            <w:tcBorders>
              <w:top w:val="nil"/>
              <w:left w:val="single" w:sz="4" w:space="0" w:color="auto"/>
              <w:bottom w:val="single" w:sz="4" w:space="0" w:color="auto"/>
              <w:right w:val="single" w:sz="4" w:space="0" w:color="auto"/>
            </w:tcBorders>
            <w:vAlign w:val="center"/>
            <w:hideMark/>
          </w:tcPr>
          <w:p w14:paraId="08AE7005"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270C2850"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0.52</w:t>
            </w:r>
          </w:p>
        </w:tc>
        <w:tc>
          <w:tcPr>
            <w:tcW w:w="474" w:type="pct"/>
            <w:tcBorders>
              <w:top w:val="nil"/>
              <w:left w:val="nil"/>
              <w:bottom w:val="single" w:sz="4" w:space="0" w:color="auto"/>
              <w:right w:val="single" w:sz="4" w:space="0" w:color="auto"/>
            </w:tcBorders>
            <w:shd w:val="clear" w:color="000000" w:fill="FFFFFF"/>
            <w:noWrap/>
            <w:vAlign w:val="bottom"/>
            <w:hideMark/>
          </w:tcPr>
          <w:p w14:paraId="18735D41"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0.46</w:t>
            </w:r>
          </w:p>
        </w:tc>
        <w:tc>
          <w:tcPr>
            <w:tcW w:w="474" w:type="pct"/>
            <w:tcBorders>
              <w:top w:val="nil"/>
              <w:left w:val="nil"/>
              <w:bottom w:val="single" w:sz="4" w:space="0" w:color="auto"/>
              <w:right w:val="single" w:sz="4" w:space="0" w:color="auto"/>
            </w:tcBorders>
            <w:shd w:val="clear" w:color="000000" w:fill="FFFFFF"/>
            <w:noWrap/>
            <w:vAlign w:val="bottom"/>
            <w:hideMark/>
          </w:tcPr>
          <w:p w14:paraId="1CCD5870"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0.55</w:t>
            </w:r>
          </w:p>
        </w:tc>
        <w:tc>
          <w:tcPr>
            <w:tcW w:w="516" w:type="pct"/>
            <w:tcBorders>
              <w:top w:val="nil"/>
              <w:left w:val="nil"/>
              <w:bottom w:val="single" w:sz="4" w:space="0" w:color="auto"/>
              <w:right w:val="single" w:sz="4" w:space="0" w:color="auto"/>
            </w:tcBorders>
            <w:shd w:val="clear" w:color="000000" w:fill="FFFFFF"/>
            <w:noWrap/>
            <w:vAlign w:val="bottom"/>
            <w:hideMark/>
          </w:tcPr>
          <w:p w14:paraId="0CC681A7"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0.58</w:t>
            </w:r>
          </w:p>
        </w:tc>
        <w:tc>
          <w:tcPr>
            <w:tcW w:w="474" w:type="pct"/>
            <w:tcBorders>
              <w:top w:val="nil"/>
              <w:left w:val="nil"/>
              <w:bottom w:val="single" w:sz="4" w:space="0" w:color="auto"/>
              <w:right w:val="single" w:sz="4" w:space="0" w:color="auto"/>
            </w:tcBorders>
            <w:shd w:val="clear" w:color="000000" w:fill="FFFFFF"/>
            <w:noWrap/>
            <w:vAlign w:val="bottom"/>
            <w:hideMark/>
          </w:tcPr>
          <w:p w14:paraId="3668A9A7"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0.42</w:t>
            </w:r>
          </w:p>
        </w:tc>
        <w:tc>
          <w:tcPr>
            <w:tcW w:w="61" w:type="pct"/>
            <w:vAlign w:val="center"/>
            <w:hideMark/>
          </w:tcPr>
          <w:p w14:paraId="6841382B" w14:textId="77777777" w:rsidR="0075642B" w:rsidRPr="0075642B" w:rsidRDefault="0075642B" w:rsidP="0075642B">
            <w:pPr>
              <w:spacing w:before="0" w:after="0" w:line="240" w:lineRule="auto"/>
              <w:jc w:val="left"/>
              <w:rPr>
                <w:sz w:val="20"/>
                <w:szCs w:val="20"/>
                <w:lang w:val="en-IN"/>
              </w:rPr>
            </w:pPr>
          </w:p>
        </w:tc>
      </w:tr>
      <w:tr w:rsidR="0075642B" w:rsidRPr="0075642B" w14:paraId="05FF9C27"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A6D7969" w14:textId="77777777" w:rsidR="0075642B" w:rsidRPr="0075642B" w:rsidRDefault="0075642B" w:rsidP="0075642B">
            <w:pPr>
              <w:spacing w:before="0" w:after="0" w:line="240" w:lineRule="auto"/>
              <w:jc w:val="center"/>
              <w:rPr>
                <w:rFonts w:ascii="Arial" w:hAnsi="Arial" w:cs="Arial"/>
                <w:color w:val="000000"/>
                <w:lang w:val="en-IN"/>
              </w:rPr>
            </w:pPr>
            <w:r w:rsidRPr="0075642B">
              <w:rPr>
                <w:rFonts w:ascii="Arial" w:hAnsi="Arial" w:cs="Arial"/>
                <w:color w:val="000000"/>
                <w:lang w:val="en-IN"/>
              </w:rPr>
              <w:t> </w:t>
            </w:r>
          </w:p>
        </w:tc>
        <w:tc>
          <w:tcPr>
            <w:tcW w:w="61" w:type="pct"/>
            <w:vAlign w:val="center"/>
            <w:hideMark/>
          </w:tcPr>
          <w:p w14:paraId="74D7630B" w14:textId="77777777" w:rsidR="0075642B" w:rsidRPr="0075642B" w:rsidRDefault="0075642B" w:rsidP="0075642B">
            <w:pPr>
              <w:spacing w:before="0" w:after="0" w:line="240" w:lineRule="auto"/>
              <w:jc w:val="left"/>
              <w:rPr>
                <w:sz w:val="20"/>
                <w:szCs w:val="20"/>
                <w:lang w:val="en-IN"/>
              </w:rPr>
            </w:pPr>
          </w:p>
        </w:tc>
      </w:tr>
      <w:tr w:rsidR="0075642B" w:rsidRPr="0075642B" w14:paraId="5C1E2CA6"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A16411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"Cash Flow to Debt Ratio"</w:t>
            </w:r>
          </w:p>
        </w:tc>
        <w:tc>
          <w:tcPr>
            <w:tcW w:w="61" w:type="pct"/>
            <w:vAlign w:val="center"/>
            <w:hideMark/>
          </w:tcPr>
          <w:p w14:paraId="02CBB652" w14:textId="77777777" w:rsidR="0075642B" w:rsidRPr="0075642B" w:rsidRDefault="0075642B" w:rsidP="0075642B">
            <w:pPr>
              <w:spacing w:before="0" w:after="0" w:line="240" w:lineRule="auto"/>
              <w:jc w:val="left"/>
              <w:rPr>
                <w:sz w:val="20"/>
                <w:szCs w:val="20"/>
                <w:lang w:val="en-IN"/>
              </w:rPr>
            </w:pPr>
          </w:p>
        </w:tc>
      </w:tr>
      <w:tr w:rsidR="0075642B" w:rsidRPr="0075642B" w14:paraId="1751F57A"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0CA3B361"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7F2536E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51B80B4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1C95175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1EACD360"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6735C5E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14F5A8A1"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2F52D213" w14:textId="77777777" w:rsidR="0075642B" w:rsidRPr="0075642B" w:rsidRDefault="0075642B" w:rsidP="0075642B">
            <w:pPr>
              <w:spacing w:before="0" w:after="0" w:line="240" w:lineRule="auto"/>
              <w:jc w:val="left"/>
              <w:rPr>
                <w:sz w:val="20"/>
                <w:szCs w:val="20"/>
                <w:lang w:val="en-IN"/>
              </w:rPr>
            </w:pPr>
          </w:p>
        </w:tc>
      </w:tr>
      <w:tr w:rsidR="0075642B" w:rsidRPr="0075642B" w14:paraId="6199137C"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3E43033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"Operating Cash Flow"</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2BE024A9"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"(Operating Cash Flow/Total Debt)"</w:t>
            </w:r>
          </w:p>
        </w:tc>
        <w:tc>
          <w:tcPr>
            <w:tcW w:w="516" w:type="pct"/>
            <w:tcBorders>
              <w:top w:val="nil"/>
              <w:left w:val="nil"/>
              <w:bottom w:val="single" w:sz="4" w:space="0" w:color="auto"/>
              <w:right w:val="single" w:sz="4" w:space="0" w:color="auto"/>
            </w:tcBorders>
            <w:shd w:val="clear" w:color="000000" w:fill="FFFFFF"/>
            <w:noWrap/>
            <w:vAlign w:val="bottom"/>
            <w:hideMark/>
          </w:tcPr>
          <w:p w14:paraId="50EB37A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14,923.00 </w:t>
            </w:r>
          </w:p>
        </w:tc>
        <w:tc>
          <w:tcPr>
            <w:tcW w:w="474" w:type="pct"/>
            <w:tcBorders>
              <w:top w:val="nil"/>
              <w:left w:val="nil"/>
              <w:bottom w:val="single" w:sz="4" w:space="0" w:color="auto"/>
              <w:right w:val="single" w:sz="4" w:space="0" w:color="auto"/>
            </w:tcBorders>
            <w:shd w:val="clear" w:color="000000" w:fill="FFFFFF"/>
            <w:noWrap/>
            <w:vAlign w:val="bottom"/>
            <w:hideMark/>
          </w:tcPr>
          <w:p w14:paraId="6AC27D0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13,256.00 </w:t>
            </w:r>
          </w:p>
        </w:tc>
        <w:tc>
          <w:tcPr>
            <w:tcW w:w="474" w:type="pct"/>
            <w:tcBorders>
              <w:top w:val="nil"/>
              <w:left w:val="nil"/>
              <w:bottom w:val="single" w:sz="4" w:space="0" w:color="auto"/>
              <w:right w:val="single" w:sz="4" w:space="0" w:color="auto"/>
            </w:tcBorders>
            <w:shd w:val="clear" w:color="000000" w:fill="FFFFFF"/>
            <w:noWrap/>
            <w:vAlign w:val="bottom"/>
            <w:hideMark/>
          </w:tcPr>
          <w:p w14:paraId="42431EF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14,724.00 </w:t>
            </w:r>
          </w:p>
        </w:tc>
        <w:tc>
          <w:tcPr>
            <w:tcW w:w="516" w:type="pct"/>
            <w:tcBorders>
              <w:top w:val="nil"/>
              <w:left w:val="nil"/>
              <w:bottom w:val="single" w:sz="4" w:space="0" w:color="auto"/>
              <w:right w:val="single" w:sz="4" w:space="0" w:color="auto"/>
            </w:tcBorders>
            <w:shd w:val="clear" w:color="000000" w:fill="FFFFFF"/>
            <w:noWrap/>
            <w:vAlign w:val="bottom"/>
            <w:hideMark/>
          </w:tcPr>
          <w:p w14:paraId="240847D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11,497.00 </w:t>
            </w:r>
          </w:p>
        </w:tc>
        <w:tc>
          <w:tcPr>
            <w:tcW w:w="474" w:type="pct"/>
            <w:tcBorders>
              <w:top w:val="nil"/>
              <w:left w:val="nil"/>
              <w:bottom w:val="single" w:sz="4" w:space="0" w:color="auto"/>
              <w:right w:val="single" w:sz="4" w:space="0" w:color="auto"/>
            </w:tcBorders>
            <w:shd w:val="clear" w:color="000000" w:fill="FFFFFF"/>
            <w:noWrap/>
            <w:vAlign w:val="bottom"/>
            <w:hideMark/>
          </w:tcPr>
          <w:p w14:paraId="6CB8057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5,943.00 </w:t>
            </w:r>
          </w:p>
        </w:tc>
        <w:tc>
          <w:tcPr>
            <w:tcW w:w="61" w:type="pct"/>
            <w:vAlign w:val="center"/>
            <w:hideMark/>
          </w:tcPr>
          <w:p w14:paraId="6AB5F586" w14:textId="77777777" w:rsidR="0075642B" w:rsidRPr="0075642B" w:rsidRDefault="0075642B" w:rsidP="0075642B">
            <w:pPr>
              <w:spacing w:before="0" w:after="0" w:line="240" w:lineRule="auto"/>
              <w:jc w:val="left"/>
              <w:rPr>
                <w:sz w:val="20"/>
                <w:szCs w:val="20"/>
                <w:lang w:val="en-IN"/>
              </w:rPr>
            </w:pPr>
          </w:p>
        </w:tc>
      </w:tr>
      <w:tr w:rsidR="0075642B" w:rsidRPr="0075642B" w14:paraId="7231453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88D54E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Total Debt"</w:t>
            </w:r>
          </w:p>
        </w:tc>
        <w:tc>
          <w:tcPr>
            <w:tcW w:w="1183" w:type="pct"/>
            <w:vMerge/>
            <w:tcBorders>
              <w:top w:val="nil"/>
              <w:left w:val="single" w:sz="4" w:space="0" w:color="auto"/>
              <w:bottom w:val="single" w:sz="4" w:space="0" w:color="auto"/>
              <w:right w:val="single" w:sz="4" w:space="0" w:color="auto"/>
            </w:tcBorders>
            <w:vAlign w:val="center"/>
            <w:hideMark/>
          </w:tcPr>
          <w:p w14:paraId="70FF58D1"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0EFF3287"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48,390.00 </w:t>
            </w:r>
          </w:p>
        </w:tc>
        <w:tc>
          <w:tcPr>
            <w:tcW w:w="474" w:type="pct"/>
            <w:tcBorders>
              <w:top w:val="nil"/>
              <w:left w:val="nil"/>
              <w:bottom w:val="single" w:sz="4" w:space="0" w:color="auto"/>
              <w:right w:val="single" w:sz="4" w:space="0" w:color="auto"/>
            </w:tcBorders>
            <w:shd w:val="clear" w:color="000000" w:fill="FFFFFF"/>
            <w:noWrap/>
            <w:vAlign w:val="bottom"/>
            <w:hideMark/>
          </w:tcPr>
          <w:p w14:paraId="6F422E6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43,009.00 </w:t>
            </w:r>
          </w:p>
        </w:tc>
        <w:tc>
          <w:tcPr>
            <w:tcW w:w="474" w:type="pct"/>
            <w:tcBorders>
              <w:top w:val="nil"/>
              <w:left w:val="nil"/>
              <w:bottom w:val="single" w:sz="4" w:space="0" w:color="auto"/>
              <w:right w:val="single" w:sz="4" w:space="0" w:color="auto"/>
            </w:tcBorders>
            <w:shd w:val="clear" w:color="000000" w:fill="FFFFFF"/>
            <w:noWrap/>
            <w:vAlign w:val="bottom"/>
            <w:hideMark/>
          </w:tcPr>
          <w:p w14:paraId="58FAD23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36,440.00 </w:t>
            </w:r>
          </w:p>
        </w:tc>
        <w:tc>
          <w:tcPr>
            <w:tcW w:w="516" w:type="pct"/>
            <w:tcBorders>
              <w:top w:val="nil"/>
              <w:left w:val="nil"/>
              <w:bottom w:val="single" w:sz="4" w:space="0" w:color="auto"/>
              <w:right w:val="single" w:sz="4" w:space="0" w:color="auto"/>
            </w:tcBorders>
            <w:shd w:val="clear" w:color="000000" w:fill="FFFFFF"/>
            <w:noWrap/>
            <w:vAlign w:val="bottom"/>
            <w:hideMark/>
          </w:tcPr>
          <w:p w14:paraId="295FC68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30,548.00 </w:t>
            </w:r>
          </w:p>
        </w:tc>
        <w:tc>
          <w:tcPr>
            <w:tcW w:w="474" w:type="pct"/>
            <w:tcBorders>
              <w:top w:val="nil"/>
              <w:left w:val="nil"/>
              <w:bottom w:val="single" w:sz="4" w:space="0" w:color="auto"/>
              <w:right w:val="single" w:sz="4" w:space="0" w:color="auto"/>
            </w:tcBorders>
            <w:shd w:val="clear" w:color="000000" w:fill="FFFFFF"/>
            <w:noWrap/>
            <w:vAlign w:val="bottom"/>
            <w:hideMark/>
          </w:tcPr>
          <w:p w14:paraId="5A4FD92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28,418.00 </w:t>
            </w:r>
          </w:p>
        </w:tc>
        <w:tc>
          <w:tcPr>
            <w:tcW w:w="61" w:type="pct"/>
            <w:vAlign w:val="center"/>
            <w:hideMark/>
          </w:tcPr>
          <w:p w14:paraId="444A51CF" w14:textId="77777777" w:rsidR="0075642B" w:rsidRPr="0075642B" w:rsidRDefault="0075642B" w:rsidP="0075642B">
            <w:pPr>
              <w:spacing w:before="0" w:after="0" w:line="240" w:lineRule="auto"/>
              <w:jc w:val="left"/>
              <w:rPr>
                <w:sz w:val="20"/>
                <w:szCs w:val="20"/>
                <w:lang w:val="en-IN"/>
              </w:rPr>
            </w:pPr>
          </w:p>
        </w:tc>
      </w:tr>
      <w:tr w:rsidR="0075642B" w:rsidRPr="0075642B" w14:paraId="47326338"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7395912"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"Cash Flow to Debt Ratio"</w:t>
            </w:r>
          </w:p>
        </w:tc>
        <w:tc>
          <w:tcPr>
            <w:tcW w:w="1183" w:type="pct"/>
            <w:vMerge/>
            <w:tcBorders>
              <w:top w:val="nil"/>
              <w:left w:val="single" w:sz="4" w:space="0" w:color="auto"/>
              <w:bottom w:val="single" w:sz="4" w:space="0" w:color="auto"/>
              <w:right w:val="single" w:sz="4" w:space="0" w:color="auto"/>
            </w:tcBorders>
            <w:vAlign w:val="center"/>
            <w:hideMark/>
          </w:tcPr>
          <w:p w14:paraId="1E1AFEC1"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0CABE538"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0.31</w:t>
            </w:r>
          </w:p>
        </w:tc>
        <w:tc>
          <w:tcPr>
            <w:tcW w:w="474" w:type="pct"/>
            <w:tcBorders>
              <w:top w:val="nil"/>
              <w:left w:val="nil"/>
              <w:bottom w:val="single" w:sz="4" w:space="0" w:color="auto"/>
              <w:right w:val="single" w:sz="4" w:space="0" w:color="auto"/>
            </w:tcBorders>
            <w:shd w:val="clear" w:color="000000" w:fill="FFFFFF"/>
            <w:noWrap/>
            <w:vAlign w:val="bottom"/>
            <w:hideMark/>
          </w:tcPr>
          <w:p w14:paraId="3985442D"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0.31</w:t>
            </w:r>
          </w:p>
        </w:tc>
        <w:tc>
          <w:tcPr>
            <w:tcW w:w="474" w:type="pct"/>
            <w:tcBorders>
              <w:top w:val="nil"/>
              <w:left w:val="nil"/>
              <w:bottom w:val="single" w:sz="4" w:space="0" w:color="auto"/>
              <w:right w:val="single" w:sz="4" w:space="0" w:color="auto"/>
            </w:tcBorders>
            <w:shd w:val="clear" w:color="000000" w:fill="FFFFFF"/>
            <w:noWrap/>
            <w:vAlign w:val="bottom"/>
            <w:hideMark/>
          </w:tcPr>
          <w:p w14:paraId="489539FB"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0.40</w:t>
            </w:r>
          </w:p>
        </w:tc>
        <w:tc>
          <w:tcPr>
            <w:tcW w:w="516" w:type="pct"/>
            <w:tcBorders>
              <w:top w:val="nil"/>
              <w:left w:val="nil"/>
              <w:bottom w:val="single" w:sz="4" w:space="0" w:color="auto"/>
              <w:right w:val="single" w:sz="4" w:space="0" w:color="auto"/>
            </w:tcBorders>
            <w:shd w:val="clear" w:color="000000" w:fill="FFFFFF"/>
            <w:noWrap/>
            <w:vAlign w:val="bottom"/>
            <w:hideMark/>
          </w:tcPr>
          <w:p w14:paraId="1FDE1E8A"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0.38</w:t>
            </w:r>
          </w:p>
        </w:tc>
        <w:tc>
          <w:tcPr>
            <w:tcW w:w="474" w:type="pct"/>
            <w:tcBorders>
              <w:top w:val="nil"/>
              <w:left w:val="nil"/>
              <w:bottom w:val="single" w:sz="4" w:space="0" w:color="auto"/>
              <w:right w:val="single" w:sz="4" w:space="0" w:color="auto"/>
            </w:tcBorders>
            <w:shd w:val="clear" w:color="000000" w:fill="FFFFFF"/>
            <w:noWrap/>
            <w:vAlign w:val="bottom"/>
            <w:hideMark/>
          </w:tcPr>
          <w:p w14:paraId="27464B22"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0.21</w:t>
            </w:r>
          </w:p>
        </w:tc>
        <w:tc>
          <w:tcPr>
            <w:tcW w:w="61" w:type="pct"/>
            <w:vAlign w:val="center"/>
            <w:hideMark/>
          </w:tcPr>
          <w:p w14:paraId="4EBD1744" w14:textId="77777777" w:rsidR="0075642B" w:rsidRPr="0075642B" w:rsidRDefault="0075642B" w:rsidP="0075642B">
            <w:pPr>
              <w:spacing w:before="0" w:after="0" w:line="240" w:lineRule="auto"/>
              <w:jc w:val="left"/>
              <w:rPr>
                <w:sz w:val="20"/>
                <w:szCs w:val="20"/>
                <w:lang w:val="en-IN"/>
              </w:rPr>
            </w:pPr>
          </w:p>
        </w:tc>
      </w:tr>
      <w:tr w:rsidR="0075642B" w:rsidRPr="0075642B" w14:paraId="74C92F1D" w14:textId="77777777" w:rsidTr="0075642B">
        <w:trPr>
          <w:trHeight w:val="288"/>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73153B2D" w14:textId="77777777" w:rsidR="0075642B" w:rsidRPr="0075642B" w:rsidRDefault="0075642B" w:rsidP="0075642B">
            <w:pPr>
              <w:spacing w:before="0" w:after="0" w:line="240" w:lineRule="auto"/>
              <w:jc w:val="left"/>
              <w:rPr>
                <w:rFonts w:ascii="Aptos Narrow" w:hAnsi="Aptos Narrow"/>
                <w:color w:val="000000"/>
                <w:sz w:val="22"/>
                <w:szCs w:val="22"/>
                <w:lang w:val="en-IN"/>
              </w:rPr>
            </w:pPr>
            <w:r w:rsidRPr="0075642B">
              <w:rPr>
                <w:rFonts w:ascii="Aptos Narrow" w:hAnsi="Aptos Narrow"/>
                <w:color w:val="000000"/>
                <w:sz w:val="22"/>
                <w:szCs w:val="22"/>
                <w:lang w:val="en-IN"/>
              </w:rPr>
              <w:t> </w:t>
            </w:r>
          </w:p>
        </w:tc>
        <w:tc>
          <w:tcPr>
            <w:tcW w:w="1183" w:type="pct"/>
            <w:tcBorders>
              <w:top w:val="nil"/>
              <w:left w:val="nil"/>
              <w:bottom w:val="single" w:sz="4" w:space="0" w:color="auto"/>
              <w:right w:val="single" w:sz="4" w:space="0" w:color="auto"/>
            </w:tcBorders>
            <w:shd w:val="clear" w:color="000000" w:fill="FFFFFF"/>
            <w:noWrap/>
            <w:vAlign w:val="bottom"/>
            <w:hideMark/>
          </w:tcPr>
          <w:p w14:paraId="108C1367" w14:textId="77777777" w:rsidR="0075642B" w:rsidRPr="0075642B" w:rsidRDefault="0075642B" w:rsidP="0075642B">
            <w:pPr>
              <w:spacing w:before="0" w:after="0" w:line="240" w:lineRule="auto"/>
              <w:jc w:val="left"/>
              <w:rPr>
                <w:rFonts w:ascii="Aptos Narrow" w:hAnsi="Aptos Narrow"/>
                <w:color w:val="000000"/>
                <w:sz w:val="22"/>
                <w:szCs w:val="22"/>
                <w:lang w:val="en-IN"/>
              </w:rPr>
            </w:pPr>
            <w:r w:rsidRPr="0075642B">
              <w:rPr>
                <w:rFonts w:ascii="Aptos Narrow" w:hAnsi="Aptos Narrow"/>
                <w:color w:val="000000"/>
                <w:sz w:val="22"/>
                <w:szCs w:val="22"/>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68D1192D" w14:textId="77777777" w:rsidR="0075642B" w:rsidRPr="0075642B" w:rsidRDefault="0075642B" w:rsidP="0075642B">
            <w:pPr>
              <w:spacing w:before="0" w:after="0" w:line="240" w:lineRule="auto"/>
              <w:jc w:val="left"/>
              <w:rPr>
                <w:rFonts w:ascii="Aptos Narrow" w:hAnsi="Aptos Narrow"/>
                <w:color w:val="000000"/>
                <w:sz w:val="22"/>
                <w:szCs w:val="22"/>
                <w:lang w:val="en-IN"/>
              </w:rPr>
            </w:pPr>
            <w:r w:rsidRPr="0075642B">
              <w:rPr>
                <w:rFonts w:ascii="Aptos Narrow" w:hAnsi="Aptos Narrow"/>
                <w:color w:val="000000"/>
                <w:sz w:val="22"/>
                <w:szCs w:val="22"/>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38BFCD7B" w14:textId="77777777" w:rsidR="0075642B" w:rsidRPr="0075642B" w:rsidRDefault="0075642B" w:rsidP="0075642B">
            <w:pPr>
              <w:spacing w:before="0" w:after="0" w:line="240" w:lineRule="auto"/>
              <w:jc w:val="left"/>
              <w:rPr>
                <w:rFonts w:ascii="Aptos Narrow" w:hAnsi="Aptos Narrow"/>
                <w:color w:val="000000"/>
                <w:sz w:val="22"/>
                <w:szCs w:val="22"/>
                <w:lang w:val="en-IN"/>
              </w:rPr>
            </w:pPr>
            <w:r w:rsidRPr="0075642B">
              <w:rPr>
                <w:rFonts w:ascii="Aptos Narrow" w:hAnsi="Aptos Narrow"/>
                <w:color w:val="000000"/>
                <w:sz w:val="22"/>
                <w:szCs w:val="22"/>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313AC45F" w14:textId="77777777" w:rsidR="0075642B" w:rsidRPr="0075642B" w:rsidRDefault="0075642B" w:rsidP="0075642B">
            <w:pPr>
              <w:spacing w:before="0" w:after="0" w:line="240" w:lineRule="auto"/>
              <w:jc w:val="left"/>
              <w:rPr>
                <w:rFonts w:ascii="Aptos Narrow" w:hAnsi="Aptos Narrow"/>
                <w:color w:val="000000"/>
                <w:sz w:val="22"/>
                <w:szCs w:val="22"/>
                <w:lang w:val="en-IN"/>
              </w:rPr>
            </w:pPr>
            <w:r w:rsidRPr="0075642B">
              <w:rPr>
                <w:rFonts w:ascii="Aptos Narrow" w:hAnsi="Aptos Narrow"/>
                <w:color w:val="000000"/>
                <w:sz w:val="22"/>
                <w:szCs w:val="22"/>
                <w:lang w:val="en-IN"/>
              </w:rPr>
              <w:t> </w:t>
            </w:r>
          </w:p>
        </w:tc>
        <w:tc>
          <w:tcPr>
            <w:tcW w:w="516" w:type="pct"/>
            <w:tcBorders>
              <w:top w:val="nil"/>
              <w:left w:val="nil"/>
              <w:bottom w:val="single" w:sz="4" w:space="0" w:color="auto"/>
              <w:right w:val="single" w:sz="4" w:space="0" w:color="auto"/>
            </w:tcBorders>
            <w:shd w:val="clear" w:color="000000" w:fill="FFFFFF"/>
            <w:noWrap/>
            <w:vAlign w:val="bottom"/>
            <w:hideMark/>
          </w:tcPr>
          <w:p w14:paraId="368C3E70" w14:textId="77777777" w:rsidR="0075642B" w:rsidRPr="0075642B" w:rsidRDefault="0075642B" w:rsidP="0075642B">
            <w:pPr>
              <w:spacing w:before="0" w:after="0" w:line="240" w:lineRule="auto"/>
              <w:jc w:val="left"/>
              <w:rPr>
                <w:rFonts w:ascii="Aptos Narrow" w:hAnsi="Aptos Narrow"/>
                <w:color w:val="000000"/>
                <w:sz w:val="22"/>
                <w:szCs w:val="22"/>
                <w:lang w:val="en-IN"/>
              </w:rPr>
            </w:pPr>
            <w:r w:rsidRPr="0075642B">
              <w:rPr>
                <w:rFonts w:ascii="Aptos Narrow" w:hAnsi="Aptos Narrow"/>
                <w:color w:val="000000"/>
                <w:sz w:val="22"/>
                <w:szCs w:val="22"/>
                <w:lang w:val="en-IN"/>
              </w:rPr>
              <w:t> </w:t>
            </w:r>
          </w:p>
        </w:tc>
        <w:tc>
          <w:tcPr>
            <w:tcW w:w="474" w:type="pct"/>
            <w:tcBorders>
              <w:top w:val="nil"/>
              <w:left w:val="nil"/>
              <w:bottom w:val="single" w:sz="4" w:space="0" w:color="auto"/>
              <w:right w:val="single" w:sz="4" w:space="0" w:color="auto"/>
            </w:tcBorders>
            <w:shd w:val="clear" w:color="000000" w:fill="FFFFFF"/>
            <w:noWrap/>
            <w:vAlign w:val="bottom"/>
            <w:hideMark/>
          </w:tcPr>
          <w:p w14:paraId="3D4424EE" w14:textId="77777777" w:rsidR="0075642B" w:rsidRPr="0075642B" w:rsidRDefault="0075642B" w:rsidP="0075642B">
            <w:pPr>
              <w:spacing w:before="0" w:after="0" w:line="240" w:lineRule="auto"/>
              <w:jc w:val="left"/>
              <w:rPr>
                <w:rFonts w:ascii="Aptos Narrow" w:hAnsi="Aptos Narrow"/>
                <w:color w:val="000000"/>
                <w:sz w:val="22"/>
                <w:szCs w:val="22"/>
                <w:lang w:val="en-IN"/>
              </w:rPr>
            </w:pPr>
            <w:r w:rsidRPr="0075642B">
              <w:rPr>
                <w:rFonts w:ascii="Aptos Narrow" w:hAnsi="Aptos Narrow"/>
                <w:color w:val="000000"/>
                <w:sz w:val="22"/>
                <w:szCs w:val="22"/>
                <w:lang w:val="en-IN"/>
              </w:rPr>
              <w:t> </w:t>
            </w:r>
          </w:p>
        </w:tc>
        <w:tc>
          <w:tcPr>
            <w:tcW w:w="61" w:type="pct"/>
            <w:vAlign w:val="center"/>
            <w:hideMark/>
          </w:tcPr>
          <w:p w14:paraId="7A499AEB" w14:textId="77777777" w:rsidR="0075642B" w:rsidRPr="0075642B" w:rsidRDefault="0075642B" w:rsidP="0075642B">
            <w:pPr>
              <w:spacing w:before="0" w:after="0" w:line="240" w:lineRule="auto"/>
              <w:jc w:val="left"/>
              <w:rPr>
                <w:sz w:val="20"/>
                <w:szCs w:val="20"/>
                <w:lang w:val="en-IN"/>
              </w:rPr>
            </w:pPr>
          </w:p>
        </w:tc>
      </w:tr>
      <w:tr w:rsidR="0075642B" w:rsidRPr="0075642B" w14:paraId="51175C3D"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5217494"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"Cash Flow Margin"</w:t>
            </w:r>
          </w:p>
        </w:tc>
        <w:tc>
          <w:tcPr>
            <w:tcW w:w="61" w:type="pct"/>
            <w:vAlign w:val="center"/>
            <w:hideMark/>
          </w:tcPr>
          <w:p w14:paraId="4F823425" w14:textId="77777777" w:rsidR="0075642B" w:rsidRPr="0075642B" w:rsidRDefault="0075642B" w:rsidP="0075642B">
            <w:pPr>
              <w:spacing w:before="0" w:after="0" w:line="240" w:lineRule="auto"/>
              <w:jc w:val="left"/>
              <w:rPr>
                <w:sz w:val="20"/>
                <w:szCs w:val="20"/>
                <w:lang w:val="en-IN"/>
              </w:rPr>
            </w:pPr>
          </w:p>
        </w:tc>
      </w:tr>
      <w:tr w:rsidR="0075642B" w:rsidRPr="0075642B" w14:paraId="2E50F11D"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083A601D"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4285E4B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25A52D4F"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4CC7F2D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2DBBCBF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188D975B"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0AF44DD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595BB58E" w14:textId="77777777" w:rsidR="0075642B" w:rsidRPr="0075642B" w:rsidRDefault="0075642B" w:rsidP="0075642B">
            <w:pPr>
              <w:spacing w:before="0" w:after="0" w:line="240" w:lineRule="auto"/>
              <w:jc w:val="left"/>
              <w:rPr>
                <w:sz w:val="20"/>
                <w:szCs w:val="20"/>
                <w:lang w:val="en-IN"/>
              </w:rPr>
            </w:pPr>
          </w:p>
        </w:tc>
      </w:tr>
      <w:tr w:rsidR="0075642B" w:rsidRPr="0075642B" w14:paraId="12D9E93D"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723EA7EB"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"Operating Cash Flow"</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68BCE006"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"(Operating Cash Flow/Sales)"</w:t>
            </w:r>
          </w:p>
        </w:tc>
        <w:tc>
          <w:tcPr>
            <w:tcW w:w="516" w:type="pct"/>
            <w:tcBorders>
              <w:top w:val="nil"/>
              <w:left w:val="nil"/>
              <w:bottom w:val="single" w:sz="4" w:space="0" w:color="auto"/>
              <w:right w:val="single" w:sz="4" w:space="0" w:color="auto"/>
            </w:tcBorders>
            <w:shd w:val="clear" w:color="000000" w:fill="FFFFFF"/>
            <w:noWrap/>
            <w:vAlign w:val="bottom"/>
            <w:hideMark/>
          </w:tcPr>
          <w:p w14:paraId="30EB378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14,923.00 </w:t>
            </w:r>
          </w:p>
        </w:tc>
        <w:tc>
          <w:tcPr>
            <w:tcW w:w="474" w:type="pct"/>
            <w:tcBorders>
              <w:top w:val="nil"/>
              <w:left w:val="nil"/>
              <w:bottom w:val="single" w:sz="4" w:space="0" w:color="auto"/>
              <w:right w:val="single" w:sz="4" w:space="0" w:color="auto"/>
            </w:tcBorders>
            <w:shd w:val="clear" w:color="000000" w:fill="FFFFFF"/>
            <w:noWrap/>
            <w:vAlign w:val="bottom"/>
            <w:hideMark/>
          </w:tcPr>
          <w:p w14:paraId="4ABEC8E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13,256.00 </w:t>
            </w:r>
          </w:p>
        </w:tc>
        <w:tc>
          <w:tcPr>
            <w:tcW w:w="474" w:type="pct"/>
            <w:tcBorders>
              <w:top w:val="nil"/>
              <w:left w:val="nil"/>
              <w:bottom w:val="single" w:sz="4" w:space="0" w:color="auto"/>
              <w:right w:val="single" w:sz="4" w:space="0" w:color="auto"/>
            </w:tcBorders>
            <w:shd w:val="clear" w:color="000000" w:fill="FFFFFF"/>
            <w:noWrap/>
            <w:vAlign w:val="bottom"/>
            <w:hideMark/>
          </w:tcPr>
          <w:p w14:paraId="142D4379"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14,724.00 </w:t>
            </w:r>
          </w:p>
        </w:tc>
        <w:tc>
          <w:tcPr>
            <w:tcW w:w="516" w:type="pct"/>
            <w:tcBorders>
              <w:top w:val="nil"/>
              <w:left w:val="nil"/>
              <w:bottom w:val="single" w:sz="4" w:space="0" w:color="auto"/>
              <w:right w:val="single" w:sz="4" w:space="0" w:color="auto"/>
            </w:tcBorders>
            <w:shd w:val="clear" w:color="000000" w:fill="FFFFFF"/>
            <w:noWrap/>
            <w:vAlign w:val="bottom"/>
            <w:hideMark/>
          </w:tcPr>
          <w:p w14:paraId="2782235E"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11,497.00 </w:t>
            </w:r>
          </w:p>
        </w:tc>
        <w:tc>
          <w:tcPr>
            <w:tcW w:w="474" w:type="pct"/>
            <w:tcBorders>
              <w:top w:val="nil"/>
              <w:left w:val="nil"/>
              <w:bottom w:val="single" w:sz="4" w:space="0" w:color="auto"/>
              <w:right w:val="single" w:sz="4" w:space="0" w:color="auto"/>
            </w:tcBorders>
            <w:shd w:val="clear" w:color="000000" w:fill="FFFFFF"/>
            <w:noWrap/>
            <w:vAlign w:val="bottom"/>
            <w:hideMark/>
          </w:tcPr>
          <w:p w14:paraId="46939FA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5,943.00 </w:t>
            </w:r>
          </w:p>
        </w:tc>
        <w:tc>
          <w:tcPr>
            <w:tcW w:w="61" w:type="pct"/>
            <w:vAlign w:val="center"/>
            <w:hideMark/>
          </w:tcPr>
          <w:p w14:paraId="28605642" w14:textId="77777777" w:rsidR="0075642B" w:rsidRPr="0075642B" w:rsidRDefault="0075642B" w:rsidP="0075642B">
            <w:pPr>
              <w:spacing w:before="0" w:after="0" w:line="240" w:lineRule="auto"/>
              <w:jc w:val="left"/>
              <w:rPr>
                <w:sz w:val="20"/>
                <w:szCs w:val="20"/>
                <w:lang w:val="en-IN"/>
              </w:rPr>
            </w:pPr>
          </w:p>
        </w:tc>
      </w:tr>
      <w:tr w:rsidR="0075642B" w:rsidRPr="0075642B" w14:paraId="3925B5B7"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4CD572A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Sales"</w:t>
            </w:r>
          </w:p>
        </w:tc>
        <w:tc>
          <w:tcPr>
            <w:tcW w:w="1183" w:type="pct"/>
            <w:vMerge/>
            <w:tcBorders>
              <w:top w:val="nil"/>
              <w:left w:val="single" w:sz="4" w:space="0" w:color="auto"/>
              <w:bottom w:val="single" w:sz="4" w:space="0" w:color="auto"/>
              <w:right w:val="single" w:sz="4" w:space="0" w:color="auto"/>
            </w:tcBorders>
            <w:vAlign w:val="center"/>
            <w:hideMark/>
          </w:tcPr>
          <w:p w14:paraId="339CFC17"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287FBC66"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97,690.00 </w:t>
            </w:r>
          </w:p>
        </w:tc>
        <w:tc>
          <w:tcPr>
            <w:tcW w:w="474" w:type="pct"/>
            <w:tcBorders>
              <w:top w:val="nil"/>
              <w:left w:val="nil"/>
              <w:bottom w:val="single" w:sz="4" w:space="0" w:color="auto"/>
              <w:right w:val="single" w:sz="4" w:space="0" w:color="auto"/>
            </w:tcBorders>
            <w:shd w:val="clear" w:color="000000" w:fill="FFFFFF"/>
            <w:noWrap/>
            <w:vAlign w:val="bottom"/>
            <w:hideMark/>
          </w:tcPr>
          <w:p w14:paraId="476B57D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96,773.00 </w:t>
            </w:r>
          </w:p>
        </w:tc>
        <w:tc>
          <w:tcPr>
            <w:tcW w:w="474" w:type="pct"/>
            <w:tcBorders>
              <w:top w:val="nil"/>
              <w:left w:val="nil"/>
              <w:bottom w:val="single" w:sz="4" w:space="0" w:color="auto"/>
              <w:right w:val="single" w:sz="4" w:space="0" w:color="auto"/>
            </w:tcBorders>
            <w:shd w:val="clear" w:color="000000" w:fill="FFFFFF"/>
            <w:noWrap/>
            <w:vAlign w:val="bottom"/>
            <w:hideMark/>
          </w:tcPr>
          <w:p w14:paraId="7C14C0B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81,462.00 </w:t>
            </w:r>
          </w:p>
        </w:tc>
        <w:tc>
          <w:tcPr>
            <w:tcW w:w="516" w:type="pct"/>
            <w:tcBorders>
              <w:top w:val="nil"/>
              <w:left w:val="nil"/>
              <w:bottom w:val="single" w:sz="4" w:space="0" w:color="auto"/>
              <w:right w:val="single" w:sz="4" w:space="0" w:color="auto"/>
            </w:tcBorders>
            <w:shd w:val="clear" w:color="000000" w:fill="FFFFFF"/>
            <w:noWrap/>
            <w:vAlign w:val="bottom"/>
            <w:hideMark/>
          </w:tcPr>
          <w:p w14:paraId="4331495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53,823.00 </w:t>
            </w:r>
          </w:p>
        </w:tc>
        <w:tc>
          <w:tcPr>
            <w:tcW w:w="474" w:type="pct"/>
            <w:tcBorders>
              <w:top w:val="nil"/>
              <w:left w:val="nil"/>
              <w:bottom w:val="single" w:sz="4" w:space="0" w:color="auto"/>
              <w:right w:val="single" w:sz="4" w:space="0" w:color="auto"/>
            </w:tcBorders>
            <w:shd w:val="clear" w:color="000000" w:fill="FFFFFF"/>
            <w:noWrap/>
            <w:vAlign w:val="bottom"/>
            <w:hideMark/>
          </w:tcPr>
          <w:p w14:paraId="54D7CFB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31,536.00 </w:t>
            </w:r>
          </w:p>
        </w:tc>
        <w:tc>
          <w:tcPr>
            <w:tcW w:w="61" w:type="pct"/>
            <w:vAlign w:val="center"/>
            <w:hideMark/>
          </w:tcPr>
          <w:p w14:paraId="7647BCDF" w14:textId="77777777" w:rsidR="0075642B" w:rsidRPr="0075642B" w:rsidRDefault="0075642B" w:rsidP="0075642B">
            <w:pPr>
              <w:spacing w:before="0" w:after="0" w:line="240" w:lineRule="auto"/>
              <w:jc w:val="left"/>
              <w:rPr>
                <w:sz w:val="20"/>
                <w:szCs w:val="20"/>
                <w:lang w:val="en-IN"/>
              </w:rPr>
            </w:pPr>
          </w:p>
        </w:tc>
      </w:tr>
      <w:tr w:rsidR="0075642B" w:rsidRPr="0075642B" w14:paraId="4348DF21"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76B90D50"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"Cash Flow Margin"</w:t>
            </w:r>
          </w:p>
        </w:tc>
        <w:tc>
          <w:tcPr>
            <w:tcW w:w="1183" w:type="pct"/>
            <w:vMerge/>
            <w:tcBorders>
              <w:top w:val="nil"/>
              <w:left w:val="single" w:sz="4" w:space="0" w:color="auto"/>
              <w:bottom w:val="single" w:sz="4" w:space="0" w:color="auto"/>
              <w:right w:val="single" w:sz="4" w:space="0" w:color="auto"/>
            </w:tcBorders>
            <w:vAlign w:val="center"/>
            <w:hideMark/>
          </w:tcPr>
          <w:p w14:paraId="34409C1E"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2DB1EDA9"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0.15</w:t>
            </w:r>
          </w:p>
        </w:tc>
        <w:tc>
          <w:tcPr>
            <w:tcW w:w="474" w:type="pct"/>
            <w:tcBorders>
              <w:top w:val="nil"/>
              <w:left w:val="nil"/>
              <w:bottom w:val="single" w:sz="4" w:space="0" w:color="auto"/>
              <w:right w:val="single" w:sz="4" w:space="0" w:color="auto"/>
            </w:tcBorders>
            <w:shd w:val="clear" w:color="000000" w:fill="FFFFFF"/>
            <w:noWrap/>
            <w:vAlign w:val="bottom"/>
            <w:hideMark/>
          </w:tcPr>
          <w:p w14:paraId="1DF7402B"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0.14</w:t>
            </w:r>
          </w:p>
        </w:tc>
        <w:tc>
          <w:tcPr>
            <w:tcW w:w="474" w:type="pct"/>
            <w:tcBorders>
              <w:top w:val="nil"/>
              <w:left w:val="nil"/>
              <w:bottom w:val="single" w:sz="4" w:space="0" w:color="auto"/>
              <w:right w:val="single" w:sz="4" w:space="0" w:color="auto"/>
            </w:tcBorders>
            <w:shd w:val="clear" w:color="000000" w:fill="FFFFFF"/>
            <w:noWrap/>
            <w:vAlign w:val="bottom"/>
            <w:hideMark/>
          </w:tcPr>
          <w:p w14:paraId="316567F2"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0.18</w:t>
            </w:r>
          </w:p>
        </w:tc>
        <w:tc>
          <w:tcPr>
            <w:tcW w:w="516" w:type="pct"/>
            <w:tcBorders>
              <w:top w:val="nil"/>
              <w:left w:val="nil"/>
              <w:bottom w:val="single" w:sz="4" w:space="0" w:color="auto"/>
              <w:right w:val="single" w:sz="4" w:space="0" w:color="auto"/>
            </w:tcBorders>
            <w:shd w:val="clear" w:color="000000" w:fill="FFFFFF"/>
            <w:noWrap/>
            <w:vAlign w:val="bottom"/>
            <w:hideMark/>
          </w:tcPr>
          <w:p w14:paraId="1A517CD8"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0.21</w:t>
            </w:r>
          </w:p>
        </w:tc>
        <w:tc>
          <w:tcPr>
            <w:tcW w:w="474" w:type="pct"/>
            <w:tcBorders>
              <w:top w:val="nil"/>
              <w:left w:val="nil"/>
              <w:bottom w:val="single" w:sz="4" w:space="0" w:color="auto"/>
              <w:right w:val="single" w:sz="4" w:space="0" w:color="auto"/>
            </w:tcBorders>
            <w:shd w:val="clear" w:color="000000" w:fill="FFFFFF"/>
            <w:noWrap/>
            <w:vAlign w:val="bottom"/>
            <w:hideMark/>
          </w:tcPr>
          <w:p w14:paraId="432F1A59"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0.19</w:t>
            </w:r>
          </w:p>
        </w:tc>
        <w:tc>
          <w:tcPr>
            <w:tcW w:w="61" w:type="pct"/>
            <w:vAlign w:val="center"/>
            <w:hideMark/>
          </w:tcPr>
          <w:p w14:paraId="0112A4CC" w14:textId="77777777" w:rsidR="0075642B" w:rsidRPr="0075642B" w:rsidRDefault="0075642B" w:rsidP="0075642B">
            <w:pPr>
              <w:spacing w:before="0" w:after="0" w:line="240" w:lineRule="auto"/>
              <w:jc w:val="left"/>
              <w:rPr>
                <w:sz w:val="20"/>
                <w:szCs w:val="20"/>
                <w:lang w:val="en-IN"/>
              </w:rPr>
            </w:pPr>
          </w:p>
        </w:tc>
      </w:tr>
      <w:tr w:rsidR="0075642B" w:rsidRPr="0075642B" w14:paraId="64FFA6BF"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DA4D798" w14:textId="77777777" w:rsidR="0075642B" w:rsidRPr="0075642B" w:rsidRDefault="0075642B" w:rsidP="0075642B">
            <w:pPr>
              <w:spacing w:before="0" w:after="0" w:line="240" w:lineRule="auto"/>
              <w:jc w:val="center"/>
              <w:rPr>
                <w:rFonts w:ascii="Arial" w:hAnsi="Arial" w:cs="Arial"/>
                <w:color w:val="000000"/>
                <w:lang w:val="en-IN"/>
              </w:rPr>
            </w:pPr>
            <w:r w:rsidRPr="0075642B">
              <w:rPr>
                <w:rFonts w:ascii="Arial" w:hAnsi="Arial" w:cs="Arial"/>
                <w:color w:val="000000"/>
                <w:lang w:val="en-IN"/>
              </w:rPr>
              <w:lastRenderedPageBreak/>
              <w:t> </w:t>
            </w:r>
          </w:p>
        </w:tc>
        <w:tc>
          <w:tcPr>
            <w:tcW w:w="61" w:type="pct"/>
            <w:vAlign w:val="center"/>
            <w:hideMark/>
          </w:tcPr>
          <w:p w14:paraId="17EFC906" w14:textId="77777777" w:rsidR="0075642B" w:rsidRPr="0075642B" w:rsidRDefault="0075642B" w:rsidP="0075642B">
            <w:pPr>
              <w:spacing w:before="0" w:after="0" w:line="240" w:lineRule="auto"/>
              <w:jc w:val="left"/>
              <w:rPr>
                <w:sz w:val="20"/>
                <w:szCs w:val="20"/>
                <w:lang w:val="en-IN"/>
              </w:rPr>
            </w:pPr>
          </w:p>
        </w:tc>
      </w:tr>
      <w:tr w:rsidR="0075642B" w:rsidRPr="0075642B" w14:paraId="0BC86AC9" w14:textId="77777777" w:rsidTr="0075642B">
        <w:trPr>
          <w:trHeight w:val="312"/>
          <w:jc w:val="center"/>
        </w:trPr>
        <w:tc>
          <w:tcPr>
            <w:tcW w:w="4939"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EACD6BC"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"Free Cash Flow Margin"</w:t>
            </w:r>
          </w:p>
        </w:tc>
        <w:tc>
          <w:tcPr>
            <w:tcW w:w="61" w:type="pct"/>
            <w:vAlign w:val="center"/>
            <w:hideMark/>
          </w:tcPr>
          <w:p w14:paraId="07B6D2FA" w14:textId="77777777" w:rsidR="0075642B" w:rsidRPr="0075642B" w:rsidRDefault="0075642B" w:rsidP="0075642B">
            <w:pPr>
              <w:spacing w:before="0" w:after="0" w:line="240" w:lineRule="auto"/>
              <w:jc w:val="left"/>
              <w:rPr>
                <w:sz w:val="20"/>
                <w:szCs w:val="20"/>
                <w:lang w:val="en-IN"/>
              </w:rPr>
            </w:pPr>
          </w:p>
        </w:tc>
      </w:tr>
      <w:tr w:rsidR="0075642B" w:rsidRPr="0075642B" w14:paraId="51921D9C"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2B549B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"Financial aspects"</w:t>
            </w:r>
          </w:p>
        </w:tc>
        <w:tc>
          <w:tcPr>
            <w:tcW w:w="1183" w:type="pct"/>
            <w:tcBorders>
              <w:top w:val="nil"/>
              <w:left w:val="nil"/>
              <w:bottom w:val="single" w:sz="4" w:space="0" w:color="auto"/>
              <w:right w:val="single" w:sz="4" w:space="0" w:color="auto"/>
            </w:tcBorders>
            <w:shd w:val="clear" w:color="000000" w:fill="FFFFFF"/>
            <w:noWrap/>
            <w:vAlign w:val="bottom"/>
            <w:hideMark/>
          </w:tcPr>
          <w:p w14:paraId="1FD9706F"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"Formula"</w:t>
            </w:r>
          </w:p>
        </w:tc>
        <w:tc>
          <w:tcPr>
            <w:tcW w:w="516" w:type="pct"/>
            <w:tcBorders>
              <w:top w:val="nil"/>
              <w:left w:val="nil"/>
              <w:bottom w:val="single" w:sz="4" w:space="0" w:color="auto"/>
              <w:right w:val="single" w:sz="4" w:space="0" w:color="auto"/>
            </w:tcBorders>
            <w:shd w:val="clear" w:color="000000" w:fill="FFFFFF"/>
            <w:noWrap/>
            <w:vAlign w:val="bottom"/>
            <w:hideMark/>
          </w:tcPr>
          <w:p w14:paraId="73BB1755"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2024</w:t>
            </w:r>
          </w:p>
        </w:tc>
        <w:tc>
          <w:tcPr>
            <w:tcW w:w="474" w:type="pct"/>
            <w:tcBorders>
              <w:top w:val="nil"/>
              <w:left w:val="nil"/>
              <w:bottom w:val="single" w:sz="4" w:space="0" w:color="auto"/>
              <w:right w:val="single" w:sz="4" w:space="0" w:color="auto"/>
            </w:tcBorders>
            <w:shd w:val="clear" w:color="000000" w:fill="FFFFFF"/>
            <w:noWrap/>
            <w:vAlign w:val="bottom"/>
            <w:hideMark/>
          </w:tcPr>
          <w:p w14:paraId="6B7AFCE1"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2023</w:t>
            </w:r>
          </w:p>
        </w:tc>
        <w:tc>
          <w:tcPr>
            <w:tcW w:w="474" w:type="pct"/>
            <w:tcBorders>
              <w:top w:val="nil"/>
              <w:left w:val="nil"/>
              <w:bottom w:val="single" w:sz="4" w:space="0" w:color="auto"/>
              <w:right w:val="single" w:sz="4" w:space="0" w:color="auto"/>
            </w:tcBorders>
            <w:shd w:val="clear" w:color="000000" w:fill="FFFFFF"/>
            <w:noWrap/>
            <w:vAlign w:val="bottom"/>
            <w:hideMark/>
          </w:tcPr>
          <w:p w14:paraId="68443E3E"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2022</w:t>
            </w:r>
          </w:p>
        </w:tc>
        <w:tc>
          <w:tcPr>
            <w:tcW w:w="516" w:type="pct"/>
            <w:tcBorders>
              <w:top w:val="nil"/>
              <w:left w:val="nil"/>
              <w:bottom w:val="single" w:sz="4" w:space="0" w:color="auto"/>
              <w:right w:val="single" w:sz="4" w:space="0" w:color="auto"/>
            </w:tcBorders>
            <w:shd w:val="clear" w:color="000000" w:fill="FFFFFF"/>
            <w:noWrap/>
            <w:vAlign w:val="bottom"/>
            <w:hideMark/>
          </w:tcPr>
          <w:p w14:paraId="1D14D021"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2021</w:t>
            </w:r>
          </w:p>
        </w:tc>
        <w:tc>
          <w:tcPr>
            <w:tcW w:w="474" w:type="pct"/>
            <w:tcBorders>
              <w:top w:val="nil"/>
              <w:left w:val="nil"/>
              <w:bottom w:val="single" w:sz="4" w:space="0" w:color="auto"/>
              <w:right w:val="single" w:sz="4" w:space="0" w:color="auto"/>
            </w:tcBorders>
            <w:shd w:val="clear" w:color="000000" w:fill="FFFFFF"/>
            <w:noWrap/>
            <w:vAlign w:val="bottom"/>
            <w:hideMark/>
          </w:tcPr>
          <w:p w14:paraId="42814247"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2020</w:t>
            </w:r>
          </w:p>
        </w:tc>
        <w:tc>
          <w:tcPr>
            <w:tcW w:w="61" w:type="pct"/>
            <w:vAlign w:val="center"/>
            <w:hideMark/>
          </w:tcPr>
          <w:p w14:paraId="73D871C9" w14:textId="77777777" w:rsidR="0075642B" w:rsidRPr="0075642B" w:rsidRDefault="0075642B" w:rsidP="0075642B">
            <w:pPr>
              <w:spacing w:before="0" w:after="0" w:line="240" w:lineRule="auto"/>
              <w:jc w:val="left"/>
              <w:rPr>
                <w:sz w:val="20"/>
                <w:szCs w:val="20"/>
                <w:lang w:val="en-IN"/>
              </w:rPr>
            </w:pPr>
          </w:p>
        </w:tc>
      </w:tr>
      <w:tr w:rsidR="0075642B" w:rsidRPr="0075642B" w14:paraId="26423E35"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6D86D198"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"Operating Cash Flow"</w:t>
            </w:r>
          </w:p>
        </w:tc>
        <w:tc>
          <w:tcPr>
            <w:tcW w:w="1183" w:type="pct"/>
            <w:vMerge w:val="restart"/>
            <w:tcBorders>
              <w:top w:val="nil"/>
              <w:left w:val="single" w:sz="4" w:space="0" w:color="auto"/>
              <w:bottom w:val="single" w:sz="4" w:space="0" w:color="auto"/>
              <w:right w:val="single" w:sz="4" w:space="0" w:color="auto"/>
            </w:tcBorders>
            <w:shd w:val="clear" w:color="000000" w:fill="FFFFFF"/>
            <w:vAlign w:val="center"/>
            <w:hideMark/>
          </w:tcPr>
          <w:p w14:paraId="6823B1F2" w14:textId="77777777" w:rsidR="0075642B" w:rsidRPr="0075642B" w:rsidRDefault="0075642B" w:rsidP="0075642B">
            <w:pPr>
              <w:spacing w:before="0" w:after="0" w:line="240" w:lineRule="auto"/>
              <w:jc w:val="center"/>
              <w:rPr>
                <w:rFonts w:ascii="Arial" w:hAnsi="Arial" w:cs="Arial"/>
                <w:b/>
                <w:bCs/>
                <w:color w:val="000000"/>
                <w:lang w:val="en-IN"/>
              </w:rPr>
            </w:pPr>
            <w:r w:rsidRPr="0075642B">
              <w:rPr>
                <w:rFonts w:ascii="Arial" w:hAnsi="Arial" w:cs="Arial"/>
                <w:b/>
                <w:bCs/>
                <w:color w:val="000000"/>
                <w:lang w:val="en-IN"/>
              </w:rPr>
              <w:t>"(Operating Cash Flow-Capital Expenditure)/Sales"</w:t>
            </w:r>
          </w:p>
        </w:tc>
        <w:tc>
          <w:tcPr>
            <w:tcW w:w="516" w:type="pct"/>
            <w:tcBorders>
              <w:top w:val="nil"/>
              <w:left w:val="nil"/>
              <w:bottom w:val="single" w:sz="4" w:space="0" w:color="auto"/>
              <w:right w:val="single" w:sz="4" w:space="0" w:color="auto"/>
            </w:tcBorders>
            <w:shd w:val="clear" w:color="000000" w:fill="FFFFFF"/>
            <w:noWrap/>
            <w:vAlign w:val="bottom"/>
            <w:hideMark/>
          </w:tcPr>
          <w:p w14:paraId="3C6E895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14,923.00 </w:t>
            </w:r>
          </w:p>
        </w:tc>
        <w:tc>
          <w:tcPr>
            <w:tcW w:w="474" w:type="pct"/>
            <w:tcBorders>
              <w:top w:val="nil"/>
              <w:left w:val="nil"/>
              <w:bottom w:val="single" w:sz="4" w:space="0" w:color="auto"/>
              <w:right w:val="single" w:sz="4" w:space="0" w:color="auto"/>
            </w:tcBorders>
            <w:shd w:val="clear" w:color="000000" w:fill="FFFFFF"/>
            <w:noWrap/>
            <w:vAlign w:val="bottom"/>
            <w:hideMark/>
          </w:tcPr>
          <w:p w14:paraId="77970B04"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13,256.00 </w:t>
            </w:r>
          </w:p>
        </w:tc>
        <w:tc>
          <w:tcPr>
            <w:tcW w:w="474" w:type="pct"/>
            <w:tcBorders>
              <w:top w:val="nil"/>
              <w:left w:val="nil"/>
              <w:bottom w:val="single" w:sz="4" w:space="0" w:color="auto"/>
              <w:right w:val="single" w:sz="4" w:space="0" w:color="auto"/>
            </w:tcBorders>
            <w:shd w:val="clear" w:color="000000" w:fill="FFFFFF"/>
            <w:noWrap/>
            <w:vAlign w:val="bottom"/>
            <w:hideMark/>
          </w:tcPr>
          <w:p w14:paraId="788E9EC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14,724.00 </w:t>
            </w:r>
          </w:p>
        </w:tc>
        <w:tc>
          <w:tcPr>
            <w:tcW w:w="516" w:type="pct"/>
            <w:tcBorders>
              <w:top w:val="nil"/>
              <w:left w:val="nil"/>
              <w:bottom w:val="single" w:sz="4" w:space="0" w:color="auto"/>
              <w:right w:val="single" w:sz="4" w:space="0" w:color="auto"/>
            </w:tcBorders>
            <w:shd w:val="clear" w:color="000000" w:fill="FFFFFF"/>
            <w:noWrap/>
            <w:vAlign w:val="bottom"/>
            <w:hideMark/>
          </w:tcPr>
          <w:p w14:paraId="126EEC2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11,497.00 </w:t>
            </w:r>
          </w:p>
        </w:tc>
        <w:tc>
          <w:tcPr>
            <w:tcW w:w="474" w:type="pct"/>
            <w:tcBorders>
              <w:top w:val="nil"/>
              <w:left w:val="nil"/>
              <w:bottom w:val="single" w:sz="4" w:space="0" w:color="auto"/>
              <w:right w:val="single" w:sz="4" w:space="0" w:color="auto"/>
            </w:tcBorders>
            <w:shd w:val="clear" w:color="000000" w:fill="FFFFFF"/>
            <w:noWrap/>
            <w:vAlign w:val="bottom"/>
            <w:hideMark/>
          </w:tcPr>
          <w:p w14:paraId="44673BC3"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5,943.00 </w:t>
            </w:r>
          </w:p>
        </w:tc>
        <w:tc>
          <w:tcPr>
            <w:tcW w:w="61" w:type="pct"/>
            <w:vAlign w:val="center"/>
            <w:hideMark/>
          </w:tcPr>
          <w:p w14:paraId="476C7145" w14:textId="77777777" w:rsidR="0075642B" w:rsidRPr="0075642B" w:rsidRDefault="0075642B" w:rsidP="0075642B">
            <w:pPr>
              <w:spacing w:before="0" w:after="0" w:line="240" w:lineRule="auto"/>
              <w:jc w:val="left"/>
              <w:rPr>
                <w:sz w:val="20"/>
                <w:szCs w:val="20"/>
                <w:lang w:val="en-IN"/>
              </w:rPr>
            </w:pPr>
          </w:p>
        </w:tc>
      </w:tr>
      <w:tr w:rsidR="0075642B" w:rsidRPr="0075642B" w14:paraId="7F9F80DB"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56593E6F"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Capital Expenditure"</w:t>
            </w:r>
          </w:p>
        </w:tc>
        <w:tc>
          <w:tcPr>
            <w:tcW w:w="1183" w:type="pct"/>
            <w:vMerge/>
            <w:tcBorders>
              <w:top w:val="nil"/>
              <w:left w:val="single" w:sz="4" w:space="0" w:color="auto"/>
              <w:bottom w:val="single" w:sz="4" w:space="0" w:color="auto"/>
              <w:right w:val="single" w:sz="4" w:space="0" w:color="auto"/>
            </w:tcBorders>
            <w:vAlign w:val="center"/>
            <w:hideMark/>
          </w:tcPr>
          <w:p w14:paraId="38BD1798"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493EF1F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11,342.00 </w:t>
            </w:r>
          </w:p>
        </w:tc>
        <w:tc>
          <w:tcPr>
            <w:tcW w:w="474" w:type="pct"/>
            <w:tcBorders>
              <w:top w:val="nil"/>
              <w:left w:val="nil"/>
              <w:bottom w:val="single" w:sz="4" w:space="0" w:color="auto"/>
              <w:right w:val="single" w:sz="4" w:space="0" w:color="auto"/>
            </w:tcBorders>
            <w:shd w:val="clear" w:color="000000" w:fill="FFFFFF"/>
            <w:noWrap/>
            <w:vAlign w:val="bottom"/>
            <w:hideMark/>
          </w:tcPr>
          <w:p w14:paraId="0ED48E9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8,899.00 </w:t>
            </w:r>
          </w:p>
        </w:tc>
        <w:tc>
          <w:tcPr>
            <w:tcW w:w="474" w:type="pct"/>
            <w:tcBorders>
              <w:top w:val="nil"/>
              <w:left w:val="nil"/>
              <w:bottom w:val="single" w:sz="4" w:space="0" w:color="auto"/>
              <w:right w:val="single" w:sz="4" w:space="0" w:color="auto"/>
            </w:tcBorders>
            <w:shd w:val="clear" w:color="000000" w:fill="FFFFFF"/>
            <w:noWrap/>
            <w:vAlign w:val="bottom"/>
            <w:hideMark/>
          </w:tcPr>
          <w:p w14:paraId="0B6EB06A"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7,163.00 </w:t>
            </w:r>
          </w:p>
        </w:tc>
        <w:tc>
          <w:tcPr>
            <w:tcW w:w="516" w:type="pct"/>
            <w:tcBorders>
              <w:top w:val="nil"/>
              <w:left w:val="nil"/>
              <w:bottom w:val="single" w:sz="4" w:space="0" w:color="auto"/>
              <w:right w:val="single" w:sz="4" w:space="0" w:color="auto"/>
            </w:tcBorders>
            <w:shd w:val="clear" w:color="000000" w:fill="FFFFFF"/>
            <w:noWrap/>
            <w:vAlign w:val="bottom"/>
            <w:hideMark/>
          </w:tcPr>
          <w:p w14:paraId="3072948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6,514.00 </w:t>
            </w:r>
          </w:p>
        </w:tc>
        <w:tc>
          <w:tcPr>
            <w:tcW w:w="474" w:type="pct"/>
            <w:tcBorders>
              <w:top w:val="nil"/>
              <w:left w:val="nil"/>
              <w:bottom w:val="single" w:sz="4" w:space="0" w:color="auto"/>
              <w:right w:val="single" w:sz="4" w:space="0" w:color="auto"/>
            </w:tcBorders>
            <w:shd w:val="clear" w:color="000000" w:fill="FFFFFF"/>
            <w:noWrap/>
            <w:vAlign w:val="bottom"/>
            <w:hideMark/>
          </w:tcPr>
          <w:p w14:paraId="36B88D2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3,157.00 </w:t>
            </w:r>
          </w:p>
        </w:tc>
        <w:tc>
          <w:tcPr>
            <w:tcW w:w="61" w:type="pct"/>
            <w:vAlign w:val="center"/>
            <w:hideMark/>
          </w:tcPr>
          <w:p w14:paraId="610B0A85" w14:textId="77777777" w:rsidR="0075642B" w:rsidRPr="0075642B" w:rsidRDefault="0075642B" w:rsidP="0075642B">
            <w:pPr>
              <w:spacing w:before="0" w:after="0" w:line="240" w:lineRule="auto"/>
              <w:jc w:val="left"/>
              <w:rPr>
                <w:sz w:val="20"/>
                <w:szCs w:val="20"/>
                <w:lang w:val="en-IN"/>
              </w:rPr>
            </w:pPr>
          </w:p>
        </w:tc>
      </w:tr>
      <w:tr w:rsidR="0075642B" w:rsidRPr="0075642B" w14:paraId="77EB9B2D"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51F4B0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Sales"</w:t>
            </w:r>
          </w:p>
        </w:tc>
        <w:tc>
          <w:tcPr>
            <w:tcW w:w="1183" w:type="pct"/>
            <w:vMerge/>
            <w:tcBorders>
              <w:top w:val="nil"/>
              <w:left w:val="single" w:sz="4" w:space="0" w:color="auto"/>
              <w:bottom w:val="single" w:sz="4" w:space="0" w:color="auto"/>
              <w:right w:val="single" w:sz="4" w:space="0" w:color="auto"/>
            </w:tcBorders>
            <w:vAlign w:val="center"/>
            <w:hideMark/>
          </w:tcPr>
          <w:p w14:paraId="3C8DC33A"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25875BB1"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97,690.00 </w:t>
            </w:r>
          </w:p>
        </w:tc>
        <w:tc>
          <w:tcPr>
            <w:tcW w:w="474" w:type="pct"/>
            <w:tcBorders>
              <w:top w:val="nil"/>
              <w:left w:val="nil"/>
              <w:bottom w:val="single" w:sz="4" w:space="0" w:color="auto"/>
              <w:right w:val="single" w:sz="4" w:space="0" w:color="auto"/>
            </w:tcBorders>
            <w:shd w:val="clear" w:color="000000" w:fill="FFFFFF"/>
            <w:noWrap/>
            <w:vAlign w:val="bottom"/>
            <w:hideMark/>
          </w:tcPr>
          <w:p w14:paraId="54D5640D"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96,773.00 </w:t>
            </w:r>
          </w:p>
        </w:tc>
        <w:tc>
          <w:tcPr>
            <w:tcW w:w="474" w:type="pct"/>
            <w:tcBorders>
              <w:top w:val="nil"/>
              <w:left w:val="nil"/>
              <w:bottom w:val="single" w:sz="4" w:space="0" w:color="auto"/>
              <w:right w:val="single" w:sz="4" w:space="0" w:color="auto"/>
            </w:tcBorders>
            <w:shd w:val="clear" w:color="000000" w:fill="FFFFFF"/>
            <w:noWrap/>
            <w:vAlign w:val="bottom"/>
            <w:hideMark/>
          </w:tcPr>
          <w:p w14:paraId="196C1CE5"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81,462.00 </w:t>
            </w:r>
          </w:p>
        </w:tc>
        <w:tc>
          <w:tcPr>
            <w:tcW w:w="516" w:type="pct"/>
            <w:tcBorders>
              <w:top w:val="nil"/>
              <w:left w:val="nil"/>
              <w:bottom w:val="single" w:sz="4" w:space="0" w:color="auto"/>
              <w:right w:val="single" w:sz="4" w:space="0" w:color="auto"/>
            </w:tcBorders>
            <w:shd w:val="clear" w:color="000000" w:fill="FFFFFF"/>
            <w:noWrap/>
            <w:vAlign w:val="bottom"/>
            <w:hideMark/>
          </w:tcPr>
          <w:p w14:paraId="639D2C52"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53,823.00 </w:t>
            </w:r>
          </w:p>
        </w:tc>
        <w:tc>
          <w:tcPr>
            <w:tcW w:w="474" w:type="pct"/>
            <w:tcBorders>
              <w:top w:val="nil"/>
              <w:left w:val="nil"/>
              <w:bottom w:val="single" w:sz="4" w:space="0" w:color="auto"/>
              <w:right w:val="single" w:sz="4" w:space="0" w:color="auto"/>
            </w:tcBorders>
            <w:shd w:val="clear" w:color="000000" w:fill="FFFFFF"/>
            <w:noWrap/>
            <w:vAlign w:val="bottom"/>
            <w:hideMark/>
          </w:tcPr>
          <w:p w14:paraId="1FBA294C" w14:textId="77777777" w:rsidR="0075642B" w:rsidRPr="0075642B" w:rsidRDefault="0075642B" w:rsidP="0075642B">
            <w:pPr>
              <w:spacing w:before="0" w:after="0" w:line="240" w:lineRule="auto"/>
              <w:jc w:val="left"/>
              <w:rPr>
                <w:rFonts w:ascii="Arial" w:hAnsi="Arial" w:cs="Arial"/>
                <w:color w:val="000000"/>
                <w:lang w:val="en-IN"/>
              </w:rPr>
            </w:pPr>
            <w:r w:rsidRPr="0075642B">
              <w:rPr>
                <w:rFonts w:ascii="Arial" w:hAnsi="Arial" w:cs="Arial"/>
                <w:color w:val="000000"/>
                <w:lang w:val="en-IN"/>
              </w:rPr>
              <w:t xml:space="preserve"> $   31,536.00 </w:t>
            </w:r>
          </w:p>
        </w:tc>
        <w:tc>
          <w:tcPr>
            <w:tcW w:w="61" w:type="pct"/>
            <w:vAlign w:val="center"/>
            <w:hideMark/>
          </w:tcPr>
          <w:p w14:paraId="43CF047A" w14:textId="77777777" w:rsidR="0075642B" w:rsidRPr="0075642B" w:rsidRDefault="0075642B" w:rsidP="0075642B">
            <w:pPr>
              <w:spacing w:before="0" w:after="0" w:line="240" w:lineRule="auto"/>
              <w:jc w:val="left"/>
              <w:rPr>
                <w:sz w:val="20"/>
                <w:szCs w:val="20"/>
                <w:lang w:val="en-IN"/>
              </w:rPr>
            </w:pPr>
          </w:p>
        </w:tc>
      </w:tr>
      <w:tr w:rsidR="0075642B" w:rsidRPr="0075642B" w14:paraId="7E682F8B" w14:textId="77777777" w:rsidTr="0075642B">
        <w:trPr>
          <w:trHeight w:val="312"/>
          <w:jc w:val="center"/>
        </w:trPr>
        <w:tc>
          <w:tcPr>
            <w:tcW w:w="1304" w:type="pct"/>
            <w:tcBorders>
              <w:top w:val="nil"/>
              <w:left w:val="single" w:sz="4" w:space="0" w:color="auto"/>
              <w:bottom w:val="single" w:sz="4" w:space="0" w:color="auto"/>
              <w:right w:val="single" w:sz="4" w:space="0" w:color="auto"/>
            </w:tcBorders>
            <w:shd w:val="clear" w:color="000000" w:fill="FFFFFF"/>
            <w:noWrap/>
            <w:vAlign w:val="bottom"/>
            <w:hideMark/>
          </w:tcPr>
          <w:p w14:paraId="24AD0BE7" w14:textId="77777777" w:rsidR="0075642B" w:rsidRPr="0075642B" w:rsidRDefault="0075642B" w:rsidP="0075642B">
            <w:pPr>
              <w:spacing w:before="0" w:after="0" w:line="240" w:lineRule="auto"/>
              <w:jc w:val="left"/>
              <w:rPr>
                <w:rFonts w:ascii="Arial" w:hAnsi="Arial" w:cs="Arial"/>
                <w:b/>
                <w:bCs/>
                <w:color w:val="000000"/>
                <w:lang w:val="en-IN"/>
              </w:rPr>
            </w:pPr>
            <w:r w:rsidRPr="0075642B">
              <w:rPr>
                <w:rFonts w:ascii="Arial" w:hAnsi="Arial" w:cs="Arial"/>
                <w:b/>
                <w:bCs/>
                <w:color w:val="000000"/>
                <w:lang w:val="en-IN"/>
              </w:rPr>
              <w:t>"Free Cash Flow Margin"</w:t>
            </w:r>
          </w:p>
        </w:tc>
        <w:tc>
          <w:tcPr>
            <w:tcW w:w="1183" w:type="pct"/>
            <w:vMerge/>
            <w:tcBorders>
              <w:top w:val="nil"/>
              <w:left w:val="single" w:sz="4" w:space="0" w:color="auto"/>
              <w:bottom w:val="single" w:sz="4" w:space="0" w:color="auto"/>
              <w:right w:val="single" w:sz="4" w:space="0" w:color="auto"/>
            </w:tcBorders>
            <w:vAlign w:val="center"/>
            <w:hideMark/>
          </w:tcPr>
          <w:p w14:paraId="1DAE6ED1" w14:textId="77777777" w:rsidR="0075642B" w:rsidRPr="0075642B" w:rsidRDefault="0075642B" w:rsidP="0075642B">
            <w:pPr>
              <w:spacing w:before="0" w:after="0" w:line="240" w:lineRule="auto"/>
              <w:jc w:val="left"/>
              <w:rPr>
                <w:rFonts w:ascii="Arial" w:hAnsi="Arial" w:cs="Arial"/>
                <w:b/>
                <w:bCs/>
                <w:color w:val="000000"/>
                <w:lang w:val="en-IN"/>
              </w:rPr>
            </w:pPr>
          </w:p>
        </w:tc>
        <w:tc>
          <w:tcPr>
            <w:tcW w:w="516" w:type="pct"/>
            <w:tcBorders>
              <w:top w:val="nil"/>
              <w:left w:val="nil"/>
              <w:bottom w:val="single" w:sz="4" w:space="0" w:color="auto"/>
              <w:right w:val="single" w:sz="4" w:space="0" w:color="auto"/>
            </w:tcBorders>
            <w:shd w:val="clear" w:color="000000" w:fill="FFFFFF"/>
            <w:noWrap/>
            <w:vAlign w:val="bottom"/>
            <w:hideMark/>
          </w:tcPr>
          <w:p w14:paraId="47DE0FDB"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0.04</w:t>
            </w:r>
          </w:p>
        </w:tc>
        <w:tc>
          <w:tcPr>
            <w:tcW w:w="474" w:type="pct"/>
            <w:tcBorders>
              <w:top w:val="nil"/>
              <w:left w:val="nil"/>
              <w:bottom w:val="single" w:sz="4" w:space="0" w:color="auto"/>
              <w:right w:val="single" w:sz="4" w:space="0" w:color="auto"/>
            </w:tcBorders>
            <w:shd w:val="clear" w:color="000000" w:fill="FFFFFF"/>
            <w:noWrap/>
            <w:vAlign w:val="bottom"/>
            <w:hideMark/>
          </w:tcPr>
          <w:p w14:paraId="2D132CC9"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0.05</w:t>
            </w:r>
          </w:p>
        </w:tc>
        <w:tc>
          <w:tcPr>
            <w:tcW w:w="474" w:type="pct"/>
            <w:tcBorders>
              <w:top w:val="nil"/>
              <w:left w:val="nil"/>
              <w:bottom w:val="single" w:sz="4" w:space="0" w:color="auto"/>
              <w:right w:val="single" w:sz="4" w:space="0" w:color="auto"/>
            </w:tcBorders>
            <w:shd w:val="clear" w:color="000000" w:fill="FFFFFF"/>
            <w:noWrap/>
            <w:vAlign w:val="bottom"/>
            <w:hideMark/>
          </w:tcPr>
          <w:p w14:paraId="53A9E7E5"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0.09</w:t>
            </w:r>
          </w:p>
        </w:tc>
        <w:tc>
          <w:tcPr>
            <w:tcW w:w="516" w:type="pct"/>
            <w:tcBorders>
              <w:top w:val="nil"/>
              <w:left w:val="nil"/>
              <w:bottom w:val="single" w:sz="4" w:space="0" w:color="auto"/>
              <w:right w:val="single" w:sz="4" w:space="0" w:color="auto"/>
            </w:tcBorders>
            <w:shd w:val="clear" w:color="000000" w:fill="FFFFFF"/>
            <w:noWrap/>
            <w:vAlign w:val="bottom"/>
            <w:hideMark/>
          </w:tcPr>
          <w:p w14:paraId="383223F8"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0.09</w:t>
            </w:r>
          </w:p>
        </w:tc>
        <w:tc>
          <w:tcPr>
            <w:tcW w:w="474" w:type="pct"/>
            <w:tcBorders>
              <w:top w:val="nil"/>
              <w:left w:val="nil"/>
              <w:bottom w:val="single" w:sz="4" w:space="0" w:color="auto"/>
              <w:right w:val="single" w:sz="4" w:space="0" w:color="auto"/>
            </w:tcBorders>
            <w:shd w:val="clear" w:color="000000" w:fill="FFFFFF"/>
            <w:noWrap/>
            <w:vAlign w:val="bottom"/>
            <w:hideMark/>
          </w:tcPr>
          <w:p w14:paraId="769AAA85" w14:textId="77777777" w:rsidR="0075642B" w:rsidRPr="0075642B" w:rsidRDefault="0075642B" w:rsidP="0075642B">
            <w:pPr>
              <w:spacing w:before="0" w:after="0" w:line="240" w:lineRule="auto"/>
              <w:jc w:val="right"/>
              <w:rPr>
                <w:rFonts w:ascii="Arial" w:hAnsi="Arial" w:cs="Arial"/>
                <w:b/>
                <w:bCs/>
                <w:color w:val="000000"/>
                <w:lang w:val="en-IN"/>
              </w:rPr>
            </w:pPr>
            <w:r w:rsidRPr="0075642B">
              <w:rPr>
                <w:rFonts w:ascii="Arial" w:hAnsi="Arial" w:cs="Arial"/>
                <w:b/>
                <w:bCs/>
                <w:color w:val="000000"/>
                <w:lang w:val="en-IN"/>
              </w:rPr>
              <w:t>0.09</w:t>
            </w:r>
          </w:p>
        </w:tc>
        <w:tc>
          <w:tcPr>
            <w:tcW w:w="61" w:type="pct"/>
            <w:vAlign w:val="center"/>
            <w:hideMark/>
          </w:tcPr>
          <w:p w14:paraId="268CB0D2" w14:textId="77777777" w:rsidR="0075642B" w:rsidRPr="0075642B" w:rsidRDefault="0075642B" w:rsidP="0075642B">
            <w:pPr>
              <w:spacing w:before="0" w:after="0" w:line="240" w:lineRule="auto"/>
              <w:jc w:val="left"/>
              <w:rPr>
                <w:sz w:val="20"/>
                <w:szCs w:val="20"/>
                <w:lang w:val="en-IN"/>
              </w:rPr>
            </w:pPr>
          </w:p>
        </w:tc>
      </w:tr>
    </w:tbl>
    <w:p w14:paraId="7DF4DDBB" w14:textId="77777777" w:rsidR="00094755" w:rsidRDefault="005A5E32" w:rsidP="005A5E32">
      <w:pPr>
        <w:jc w:val="center"/>
        <w:rPr>
          <w:rFonts w:ascii="Arial" w:eastAsia="Arial" w:hAnsi="Arial" w:cs="Arial"/>
        </w:rPr>
      </w:pPr>
      <w:r>
        <w:rPr>
          <w:rFonts w:ascii="Arial" w:eastAsia="Arial" w:hAnsi="Arial" w:cs="Arial"/>
        </w:rPr>
        <w:t>(Source: MS-Excel)</w:t>
      </w:r>
    </w:p>
    <w:p w14:paraId="35EB410D" w14:textId="77777777" w:rsidR="00094755" w:rsidRDefault="009B1CB7">
      <w:pPr>
        <w:pStyle w:val="Heading2"/>
      </w:pPr>
      <w:bookmarkStart w:id="67" w:name="_l8mbk8v6h79q" w:colFirst="0" w:colLast="0"/>
      <w:bookmarkEnd w:id="67"/>
      <w:r>
        <w:t>Appendix 3: Ratio Graphs</w:t>
      </w:r>
    </w:p>
    <w:p w14:paraId="1D2B5BC7" w14:textId="77777777" w:rsidR="00094755" w:rsidRDefault="005A5E32" w:rsidP="005A5E32">
      <w:pPr>
        <w:jc w:val="center"/>
        <w:rPr>
          <w:rFonts w:ascii="Arial" w:eastAsia="Arial" w:hAnsi="Arial" w:cs="Arial"/>
        </w:rPr>
      </w:pPr>
      <w:r>
        <w:rPr>
          <w:rFonts w:ascii="Arial" w:eastAsia="Arial" w:hAnsi="Arial" w:cs="Arial"/>
          <w:noProof/>
        </w:rPr>
        <w:drawing>
          <wp:inline distT="0" distB="0" distL="0" distR="0" wp14:anchorId="3E390664" wp14:editId="319518BB">
            <wp:extent cx="5487035" cy="2719024"/>
            <wp:effectExtent l="0" t="0" r="0" b="5715"/>
            <wp:docPr id="1248513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509341" cy="2730077"/>
                    </a:xfrm>
                    <a:prstGeom prst="rect">
                      <a:avLst/>
                    </a:prstGeom>
                    <a:noFill/>
                  </pic:spPr>
                </pic:pic>
              </a:graphicData>
            </a:graphic>
          </wp:inline>
        </w:drawing>
      </w:r>
    </w:p>
    <w:p w14:paraId="236CA2C8" w14:textId="77777777" w:rsidR="005A5E32" w:rsidRDefault="005A5E32" w:rsidP="005A5E32">
      <w:pPr>
        <w:jc w:val="center"/>
        <w:rPr>
          <w:rFonts w:ascii="Arial" w:eastAsia="Arial" w:hAnsi="Arial" w:cs="Arial"/>
        </w:rPr>
      </w:pPr>
      <w:r>
        <w:rPr>
          <w:rFonts w:ascii="Arial" w:eastAsia="Arial" w:hAnsi="Arial" w:cs="Arial"/>
          <w:noProof/>
        </w:rPr>
        <w:lastRenderedPageBreak/>
        <w:drawing>
          <wp:inline distT="0" distB="0" distL="0" distR="0" wp14:anchorId="32DE0A17" wp14:editId="37BC13CA">
            <wp:extent cx="5487035" cy="3076475"/>
            <wp:effectExtent l="0" t="0" r="0" b="0"/>
            <wp:docPr id="11198530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505412" cy="3086779"/>
                    </a:xfrm>
                    <a:prstGeom prst="rect">
                      <a:avLst/>
                    </a:prstGeom>
                    <a:noFill/>
                  </pic:spPr>
                </pic:pic>
              </a:graphicData>
            </a:graphic>
          </wp:inline>
        </w:drawing>
      </w:r>
    </w:p>
    <w:p w14:paraId="19ADA30F" w14:textId="77777777" w:rsidR="005A5E32" w:rsidRDefault="00E6666C" w:rsidP="005A5E32">
      <w:pPr>
        <w:jc w:val="center"/>
        <w:rPr>
          <w:rFonts w:ascii="Arial" w:eastAsia="Arial" w:hAnsi="Arial" w:cs="Arial"/>
        </w:rPr>
      </w:pPr>
      <w:r>
        <w:rPr>
          <w:noProof/>
        </w:rPr>
        <w:drawing>
          <wp:inline distT="0" distB="0" distL="0" distR="0" wp14:anchorId="167BE78C" wp14:editId="4A66A7DD">
            <wp:extent cx="5733415" cy="3540760"/>
            <wp:effectExtent l="0" t="0" r="635" b="2540"/>
            <wp:docPr id="11" name="Picture 10">
              <a:extLst xmlns:a="http://schemas.openxmlformats.org/drawingml/2006/main">
                <a:ext uri="{FF2B5EF4-FFF2-40B4-BE49-F238E27FC236}">
                  <a16:creationId xmlns:a16="http://schemas.microsoft.com/office/drawing/2014/main" id="{D8985A71-67D0-0F01-A242-BDCD58F35D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D8985A71-67D0-0F01-A242-BDCD58F35D04}"/>
                        </a:ext>
                      </a:extLst>
                    </pic:cNvPr>
                    <pic:cNvPicPr>
                      <a:picLocks noChangeAspect="1"/>
                    </pic:cNvPicPr>
                  </pic:nvPicPr>
                  <pic:blipFill>
                    <a:blip r:embed="rId45"/>
                    <a:stretch>
                      <a:fillRect/>
                    </a:stretch>
                  </pic:blipFill>
                  <pic:spPr>
                    <a:xfrm>
                      <a:off x="0" y="0"/>
                      <a:ext cx="5733415" cy="3540760"/>
                    </a:xfrm>
                    <a:prstGeom prst="rect">
                      <a:avLst/>
                    </a:prstGeom>
                  </pic:spPr>
                </pic:pic>
              </a:graphicData>
            </a:graphic>
          </wp:inline>
        </w:drawing>
      </w:r>
    </w:p>
    <w:p w14:paraId="3555261B" w14:textId="77777777" w:rsidR="005A5E32" w:rsidRDefault="005A5E32" w:rsidP="005A5E32">
      <w:pPr>
        <w:jc w:val="center"/>
        <w:rPr>
          <w:rFonts w:ascii="Arial" w:eastAsia="Arial" w:hAnsi="Arial" w:cs="Arial"/>
        </w:rPr>
      </w:pPr>
      <w:r>
        <w:rPr>
          <w:rFonts w:ascii="Arial" w:eastAsia="Arial" w:hAnsi="Arial" w:cs="Arial"/>
          <w:noProof/>
        </w:rPr>
        <w:lastRenderedPageBreak/>
        <w:drawing>
          <wp:inline distT="0" distB="0" distL="0" distR="0" wp14:anchorId="6AEE7468" wp14:editId="473A5D04">
            <wp:extent cx="5246370" cy="4122915"/>
            <wp:effectExtent l="0" t="0" r="0" b="0"/>
            <wp:docPr id="19854518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53779" cy="4128738"/>
                    </a:xfrm>
                    <a:prstGeom prst="rect">
                      <a:avLst/>
                    </a:prstGeom>
                    <a:noFill/>
                  </pic:spPr>
                </pic:pic>
              </a:graphicData>
            </a:graphic>
          </wp:inline>
        </w:drawing>
      </w:r>
    </w:p>
    <w:p w14:paraId="1EA3A15E" w14:textId="77777777" w:rsidR="005A5E32" w:rsidRDefault="00E6666C" w:rsidP="005A5E32">
      <w:pPr>
        <w:jc w:val="center"/>
        <w:rPr>
          <w:rFonts w:ascii="Arial" w:eastAsia="Arial" w:hAnsi="Arial" w:cs="Arial"/>
        </w:rPr>
      </w:pPr>
      <w:r>
        <w:rPr>
          <w:noProof/>
        </w:rPr>
        <w:lastRenderedPageBreak/>
        <w:drawing>
          <wp:inline distT="0" distB="0" distL="0" distR="0" wp14:anchorId="4D8F294E" wp14:editId="08307B3E">
            <wp:extent cx="5535648" cy="5645385"/>
            <wp:effectExtent l="0" t="0" r="8255" b="0"/>
            <wp:docPr id="12" name="Picture 11">
              <a:extLst xmlns:a="http://schemas.openxmlformats.org/drawingml/2006/main">
                <a:ext uri="{FF2B5EF4-FFF2-40B4-BE49-F238E27FC236}">
                  <a16:creationId xmlns:a16="http://schemas.microsoft.com/office/drawing/2014/main" id="{89BB4615-DA8D-4F14-40D2-928A4BFD88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89BB4615-DA8D-4F14-40D2-928A4BFD88C5}"/>
                        </a:ext>
                      </a:extLst>
                    </pic:cNvPr>
                    <pic:cNvPicPr>
                      <a:picLocks noChangeAspect="1"/>
                    </pic:cNvPicPr>
                  </pic:nvPicPr>
                  <pic:blipFill>
                    <a:blip r:embed="rId47"/>
                    <a:stretch>
                      <a:fillRect/>
                    </a:stretch>
                  </pic:blipFill>
                  <pic:spPr>
                    <a:xfrm>
                      <a:off x="0" y="0"/>
                      <a:ext cx="5535648" cy="5645385"/>
                    </a:xfrm>
                    <a:prstGeom prst="rect">
                      <a:avLst/>
                    </a:prstGeom>
                  </pic:spPr>
                </pic:pic>
              </a:graphicData>
            </a:graphic>
          </wp:inline>
        </w:drawing>
      </w:r>
      <w:r>
        <w:rPr>
          <w:noProof/>
        </w:rPr>
        <w:drawing>
          <wp:inline distT="0" distB="0" distL="0" distR="0" wp14:anchorId="36B7E96E" wp14:editId="4882E020">
            <wp:extent cx="4578493" cy="2700762"/>
            <wp:effectExtent l="0" t="0" r="0" b="4445"/>
            <wp:docPr id="13" name="Picture 12">
              <a:extLst xmlns:a="http://schemas.openxmlformats.org/drawingml/2006/main">
                <a:ext uri="{FF2B5EF4-FFF2-40B4-BE49-F238E27FC236}">
                  <a16:creationId xmlns:a16="http://schemas.microsoft.com/office/drawing/2014/main" id="{AFDEBE35-F45C-784F-1AF6-B7664CFFA1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AFDEBE35-F45C-784F-1AF6-B7664CFFA117}"/>
                        </a:ext>
                      </a:extLst>
                    </pic:cNvPr>
                    <pic:cNvPicPr>
                      <a:picLocks noChangeAspect="1"/>
                    </pic:cNvPicPr>
                  </pic:nvPicPr>
                  <pic:blipFill>
                    <a:blip r:embed="rId48"/>
                    <a:stretch>
                      <a:fillRect/>
                    </a:stretch>
                  </pic:blipFill>
                  <pic:spPr>
                    <a:xfrm>
                      <a:off x="0" y="0"/>
                      <a:ext cx="4578493" cy="2700762"/>
                    </a:xfrm>
                    <a:prstGeom prst="rect">
                      <a:avLst/>
                    </a:prstGeom>
                  </pic:spPr>
                </pic:pic>
              </a:graphicData>
            </a:graphic>
          </wp:inline>
        </w:drawing>
      </w:r>
    </w:p>
    <w:p w14:paraId="06725889" w14:textId="77777777" w:rsidR="005A5E32" w:rsidRDefault="00E6666C" w:rsidP="005A5E32">
      <w:pPr>
        <w:jc w:val="center"/>
        <w:rPr>
          <w:rFonts w:ascii="Arial" w:eastAsia="Arial" w:hAnsi="Arial" w:cs="Arial"/>
        </w:rPr>
      </w:pPr>
      <w:r>
        <w:rPr>
          <w:noProof/>
        </w:rPr>
        <w:lastRenderedPageBreak/>
        <w:drawing>
          <wp:inline distT="0" distB="0" distL="0" distR="0" wp14:anchorId="6236850E" wp14:editId="609B4BA5">
            <wp:extent cx="5730737" cy="4608975"/>
            <wp:effectExtent l="0" t="0" r="3810" b="1270"/>
            <wp:docPr id="14" name="Picture 13">
              <a:extLst xmlns:a="http://schemas.openxmlformats.org/drawingml/2006/main">
                <a:ext uri="{FF2B5EF4-FFF2-40B4-BE49-F238E27FC236}">
                  <a16:creationId xmlns:a16="http://schemas.microsoft.com/office/drawing/2014/main" id="{FF837E7F-5238-3D2C-2669-4731C4679C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FF837E7F-5238-3D2C-2669-4731C4679C3B}"/>
                        </a:ext>
                      </a:extLst>
                    </pic:cNvPr>
                    <pic:cNvPicPr>
                      <a:picLocks noChangeAspect="1"/>
                    </pic:cNvPicPr>
                  </pic:nvPicPr>
                  <pic:blipFill>
                    <a:blip r:embed="rId49"/>
                    <a:stretch>
                      <a:fillRect/>
                    </a:stretch>
                  </pic:blipFill>
                  <pic:spPr>
                    <a:xfrm>
                      <a:off x="0" y="0"/>
                      <a:ext cx="5730737" cy="4608975"/>
                    </a:xfrm>
                    <a:prstGeom prst="rect">
                      <a:avLst/>
                    </a:prstGeom>
                  </pic:spPr>
                </pic:pic>
              </a:graphicData>
            </a:graphic>
          </wp:inline>
        </w:drawing>
      </w:r>
      <w:r>
        <w:rPr>
          <w:noProof/>
        </w:rPr>
        <w:drawing>
          <wp:inline distT="0" distB="0" distL="0" distR="0" wp14:anchorId="787B426B" wp14:editId="2BB0065F">
            <wp:extent cx="4584589" cy="2700762"/>
            <wp:effectExtent l="0" t="0" r="6985" b="4445"/>
            <wp:docPr id="15" name="Picture 14">
              <a:extLst xmlns:a="http://schemas.openxmlformats.org/drawingml/2006/main">
                <a:ext uri="{FF2B5EF4-FFF2-40B4-BE49-F238E27FC236}">
                  <a16:creationId xmlns:a16="http://schemas.microsoft.com/office/drawing/2014/main" id="{E9AFA129-9983-CD97-AA49-A0AA46497A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E9AFA129-9983-CD97-AA49-A0AA46497A3B}"/>
                        </a:ext>
                      </a:extLst>
                    </pic:cNvPr>
                    <pic:cNvPicPr>
                      <a:picLocks noChangeAspect="1"/>
                    </pic:cNvPicPr>
                  </pic:nvPicPr>
                  <pic:blipFill>
                    <a:blip r:embed="rId50"/>
                    <a:stretch>
                      <a:fillRect/>
                    </a:stretch>
                  </pic:blipFill>
                  <pic:spPr>
                    <a:xfrm>
                      <a:off x="0" y="0"/>
                      <a:ext cx="4584589" cy="2700762"/>
                    </a:xfrm>
                    <a:prstGeom prst="rect">
                      <a:avLst/>
                    </a:prstGeom>
                  </pic:spPr>
                </pic:pic>
              </a:graphicData>
            </a:graphic>
          </wp:inline>
        </w:drawing>
      </w:r>
    </w:p>
    <w:p w14:paraId="6BBB3AE3" w14:textId="77777777" w:rsidR="005A5E32" w:rsidRDefault="005A5E32" w:rsidP="005A5E32">
      <w:pPr>
        <w:jc w:val="center"/>
        <w:rPr>
          <w:rFonts w:ascii="Arial" w:eastAsia="Arial" w:hAnsi="Arial" w:cs="Arial"/>
        </w:rPr>
      </w:pPr>
      <w:r>
        <w:rPr>
          <w:rFonts w:ascii="Arial" w:eastAsia="Arial" w:hAnsi="Arial" w:cs="Arial"/>
        </w:rPr>
        <w:t>(Source: MS-Excel)</w:t>
      </w:r>
    </w:p>
    <w:p w14:paraId="08CEFC5F" w14:textId="77777777" w:rsidR="00094755" w:rsidRDefault="009B1CB7">
      <w:pPr>
        <w:pStyle w:val="Heading2"/>
      </w:pPr>
      <w:bookmarkStart w:id="68" w:name="_g96qei810c5e" w:colFirst="0" w:colLast="0"/>
      <w:bookmarkEnd w:id="68"/>
      <w:r>
        <w:t>Appendix 4: “Cash Operating Cycle” Table</w:t>
      </w:r>
    </w:p>
    <w:tbl>
      <w:tblPr>
        <w:tblW w:w="5000" w:type="pct"/>
        <w:jc w:val="center"/>
        <w:tblLook w:val="04A0" w:firstRow="1" w:lastRow="0" w:firstColumn="1" w:lastColumn="0" w:noHBand="0" w:noVBand="1"/>
      </w:tblPr>
      <w:tblGrid>
        <w:gridCol w:w="2700"/>
        <w:gridCol w:w="1764"/>
        <w:gridCol w:w="758"/>
        <w:gridCol w:w="854"/>
        <w:gridCol w:w="758"/>
        <w:gridCol w:w="1108"/>
        <w:gridCol w:w="1077"/>
      </w:tblGrid>
      <w:tr w:rsidR="005A5E32" w:rsidRPr="005A5E32" w14:paraId="32336884" w14:textId="77777777" w:rsidTr="005A5E32">
        <w:trPr>
          <w:trHeight w:val="312"/>
          <w:jc w:val="center"/>
        </w:trPr>
        <w:tc>
          <w:tcPr>
            <w:tcW w:w="5000" w:type="pct"/>
            <w:gridSpan w:val="7"/>
            <w:tcBorders>
              <w:top w:val="single" w:sz="4" w:space="0" w:color="auto"/>
              <w:left w:val="single" w:sz="4" w:space="0" w:color="auto"/>
              <w:bottom w:val="single" w:sz="4" w:space="0" w:color="auto"/>
              <w:right w:val="single" w:sz="4" w:space="0" w:color="auto"/>
            </w:tcBorders>
            <w:shd w:val="clear" w:color="000000" w:fill="BFBFBF"/>
            <w:noWrap/>
            <w:vAlign w:val="bottom"/>
            <w:hideMark/>
          </w:tcPr>
          <w:p w14:paraId="07B47D31" w14:textId="77777777" w:rsidR="005A5E32" w:rsidRPr="005A5E32" w:rsidRDefault="005A5E32" w:rsidP="005A5E32">
            <w:pPr>
              <w:spacing w:before="0" w:after="0" w:line="240" w:lineRule="auto"/>
              <w:jc w:val="center"/>
              <w:rPr>
                <w:rFonts w:ascii="Arial" w:hAnsi="Arial" w:cs="Arial"/>
                <w:b/>
                <w:bCs/>
                <w:lang w:val="en-IN"/>
              </w:rPr>
            </w:pPr>
            <w:r w:rsidRPr="005A5E32">
              <w:rPr>
                <w:rFonts w:ascii="Arial" w:hAnsi="Arial" w:cs="Arial"/>
                <w:b/>
                <w:bCs/>
                <w:lang w:val="en-IN"/>
              </w:rPr>
              <w:t>"Cash Operating Cycle (CCC)"</w:t>
            </w:r>
          </w:p>
        </w:tc>
      </w:tr>
      <w:tr w:rsidR="005A5E32" w:rsidRPr="005A5E32" w14:paraId="7F38DED0" w14:textId="77777777" w:rsidTr="005A5E32">
        <w:trPr>
          <w:trHeight w:val="312"/>
          <w:jc w:val="center"/>
        </w:trPr>
        <w:tc>
          <w:tcPr>
            <w:tcW w:w="1622" w:type="pct"/>
            <w:tcBorders>
              <w:top w:val="nil"/>
              <w:left w:val="single" w:sz="4" w:space="0" w:color="auto"/>
              <w:bottom w:val="single" w:sz="4" w:space="0" w:color="auto"/>
              <w:right w:val="single" w:sz="4" w:space="0" w:color="auto"/>
            </w:tcBorders>
            <w:noWrap/>
            <w:vAlign w:val="bottom"/>
            <w:hideMark/>
          </w:tcPr>
          <w:p w14:paraId="793D4DC4" w14:textId="77777777" w:rsidR="005A5E32" w:rsidRPr="005A5E32" w:rsidRDefault="005A5E32" w:rsidP="005A5E32">
            <w:pPr>
              <w:spacing w:before="0" w:after="0" w:line="240" w:lineRule="auto"/>
              <w:jc w:val="center"/>
              <w:rPr>
                <w:rFonts w:ascii="Arial" w:hAnsi="Arial" w:cs="Arial"/>
                <w:b/>
                <w:bCs/>
                <w:lang w:val="en-IN"/>
              </w:rPr>
            </w:pPr>
            <w:r w:rsidRPr="005A5E32">
              <w:rPr>
                <w:rFonts w:ascii="Arial" w:hAnsi="Arial" w:cs="Arial"/>
                <w:b/>
                <w:bCs/>
                <w:lang w:val="en-IN"/>
              </w:rPr>
              <w:lastRenderedPageBreak/>
              <w:t>"Financial aspects"</w:t>
            </w:r>
          </w:p>
        </w:tc>
        <w:tc>
          <w:tcPr>
            <w:tcW w:w="1077" w:type="pct"/>
            <w:tcBorders>
              <w:top w:val="nil"/>
              <w:left w:val="nil"/>
              <w:bottom w:val="single" w:sz="4" w:space="0" w:color="auto"/>
              <w:right w:val="single" w:sz="4" w:space="0" w:color="auto"/>
            </w:tcBorders>
            <w:noWrap/>
            <w:vAlign w:val="bottom"/>
            <w:hideMark/>
          </w:tcPr>
          <w:p w14:paraId="3FDD52C9" w14:textId="77777777" w:rsidR="005A5E32" w:rsidRPr="005A5E32" w:rsidRDefault="005A5E32" w:rsidP="005A5E32">
            <w:pPr>
              <w:spacing w:before="0" w:after="0" w:line="240" w:lineRule="auto"/>
              <w:jc w:val="center"/>
              <w:rPr>
                <w:rFonts w:ascii="Arial" w:hAnsi="Arial" w:cs="Arial"/>
                <w:b/>
                <w:bCs/>
                <w:lang w:val="en-IN"/>
              </w:rPr>
            </w:pPr>
            <w:r w:rsidRPr="005A5E32">
              <w:rPr>
                <w:rFonts w:ascii="Arial" w:hAnsi="Arial" w:cs="Arial"/>
                <w:b/>
                <w:bCs/>
                <w:lang w:val="en-IN"/>
              </w:rPr>
              <w:t>"Formula"</w:t>
            </w:r>
          </w:p>
        </w:tc>
        <w:tc>
          <w:tcPr>
            <w:tcW w:w="361" w:type="pct"/>
            <w:tcBorders>
              <w:top w:val="nil"/>
              <w:left w:val="nil"/>
              <w:bottom w:val="single" w:sz="4" w:space="0" w:color="auto"/>
              <w:right w:val="single" w:sz="4" w:space="0" w:color="auto"/>
            </w:tcBorders>
            <w:noWrap/>
            <w:vAlign w:val="bottom"/>
            <w:hideMark/>
          </w:tcPr>
          <w:p w14:paraId="28BDC927" w14:textId="77777777" w:rsidR="005A5E32" w:rsidRPr="005A5E32" w:rsidRDefault="005A5E32" w:rsidP="005A5E32">
            <w:pPr>
              <w:spacing w:before="0" w:after="0" w:line="240" w:lineRule="auto"/>
              <w:jc w:val="center"/>
              <w:rPr>
                <w:rFonts w:ascii="Arial" w:hAnsi="Arial" w:cs="Arial"/>
                <w:b/>
                <w:bCs/>
                <w:lang w:val="en-IN"/>
              </w:rPr>
            </w:pPr>
            <w:r w:rsidRPr="005A5E32">
              <w:rPr>
                <w:rFonts w:ascii="Arial" w:hAnsi="Arial" w:cs="Arial"/>
                <w:b/>
                <w:bCs/>
                <w:lang w:val="en-IN"/>
              </w:rPr>
              <w:t>2024</w:t>
            </w:r>
          </w:p>
        </w:tc>
        <w:tc>
          <w:tcPr>
            <w:tcW w:w="423" w:type="pct"/>
            <w:tcBorders>
              <w:top w:val="nil"/>
              <w:left w:val="nil"/>
              <w:bottom w:val="single" w:sz="4" w:space="0" w:color="auto"/>
              <w:right w:val="single" w:sz="4" w:space="0" w:color="auto"/>
            </w:tcBorders>
            <w:noWrap/>
            <w:vAlign w:val="bottom"/>
            <w:hideMark/>
          </w:tcPr>
          <w:p w14:paraId="13DAB8BC" w14:textId="77777777" w:rsidR="005A5E32" w:rsidRPr="005A5E32" w:rsidRDefault="005A5E32" w:rsidP="005A5E32">
            <w:pPr>
              <w:spacing w:before="0" w:after="0" w:line="240" w:lineRule="auto"/>
              <w:jc w:val="center"/>
              <w:rPr>
                <w:rFonts w:ascii="Arial" w:hAnsi="Arial" w:cs="Arial"/>
                <w:b/>
                <w:bCs/>
                <w:lang w:val="en-IN"/>
              </w:rPr>
            </w:pPr>
            <w:r w:rsidRPr="005A5E32">
              <w:rPr>
                <w:rFonts w:ascii="Arial" w:hAnsi="Arial" w:cs="Arial"/>
                <w:b/>
                <w:bCs/>
                <w:lang w:val="en-IN"/>
              </w:rPr>
              <w:t>2023</w:t>
            </w:r>
          </w:p>
        </w:tc>
        <w:tc>
          <w:tcPr>
            <w:tcW w:w="361" w:type="pct"/>
            <w:tcBorders>
              <w:top w:val="nil"/>
              <w:left w:val="nil"/>
              <w:bottom w:val="single" w:sz="4" w:space="0" w:color="auto"/>
              <w:right w:val="single" w:sz="4" w:space="0" w:color="auto"/>
            </w:tcBorders>
            <w:noWrap/>
            <w:vAlign w:val="bottom"/>
            <w:hideMark/>
          </w:tcPr>
          <w:p w14:paraId="48EDB66C" w14:textId="77777777" w:rsidR="005A5E32" w:rsidRPr="005A5E32" w:rsidRDefault="005A5E32" w:rsidP="005A5E32">
            <w:pPr>
              <w:spacing w:before="0" w:after="0" w:line="240" w:lineRule="auto"/>
              <w:jc w:val="center"/>
              <w:rPr>
                <w:rFonts w:ascii="Arial" w:hAnsi="Arial" w:cs="Arial"/>
                <w:b/>
                <w:bCs/>
                <w:lang w:val="en-IN"/>
              </w:rPr>
            </w:pPr>
            <w:r w:rsidRPr="005A5E32">
              <w:rPr>
                <w:rFonts w:ascii="Arial" w:hAnsi="Arial" w:cs="Arial"/>
                <w:b/>
                <w:bCs/>
                <w:lang w:val="en-IN"/>
              </w:rPr>
              <w:t>2022</w:t>
            </w:r>
          </w:p>
        </w:tc>
        <w:tc>
          <w:tcPr>
            <w:tcW w:w="588" w:type="pct"/>
            <w:tcBorders>
              <w:top w:val="nil"/>
              <w:left w:val="nil"/>
              <w:bottom w:val="single" w:sz="4" w:space="0" w:color="auto"/>
              <w:right w:val="single" w:sz="4" w:space="0" w:color="auto"/>
            </w:tcBorders>
            <w:noWrap/>
            <w:vAlign w:val="bottom"/>
            <w:hideMark/>
          </w:tcPr>
          <w:p w14:paraId="627C3AED" w14:textId="77777777" w:rsidR="005A5E32" w:rsidRPr="005A5E32" w:rsidRDefault="005A5E32" w:rsidP="005A5E32">
            <w:pPr>
              <w:spacing w:before="0" w:after="0" w:line="240" w:lineRule="auto"/>
              <w:jc w:val="center"/>
              <w:rPr>
                <w:rFonts w:ascii="Arial" w:hAnsi="Arial" w:cs="Arial"/>
                <w:b/>
                <w:bCs/>
                <w:lang w:val="en-IN"/>
              </w:rPr>
            </w:pPr>
            <w:r w:rsidRPr="005A5E32">
              <w:rPr>
                <w:rFonts w:ascii="Arial" w:hAnsi="Arial" w:cs="Arial"/>
                <w:b/>
                <w:bCs/>
                <w:lang w:val="en-IN"/>
              </w:rPr>
              <w:t>2021</w:t>
            </w:r>
          </w:p>
        </w:tc>
        <w:tc>
          <w:tcPr>
            <w:tcW w:w="568" w:type="pct"/>
            <w:tcBorders>
              <w:top w:val="nil"/>
              <w:left w:val="nil"/>
              <w:bottom w:val="single" w:sz="4" w:space="0" w:color="auto"/>
              <w:right w:val="single" w:sz="4" w:space="0" w:color="auto"/>
            </w:tcBorders>
            <w:noWrap/>
            <w:vAlign w:val="bottom"/>
            <w:hideMark/>
          </w:tcPr>
          <w:p w14:paraId="52ED934D" w14:textId="77777777" w:rsidR="005A5E32" w:rsidRPr="005A5E32" w:rsidRDefault="005A5E32" w:rsidP="005A5E32">
            <w:pPr>
              <w:spacing w:before="0" w:after="0" w:line="240" w:lineRule="auto"/>
              <w:jc w:val="center"/>
              <w:rPr>
                <w:rFonts w:ascii="Arial" w:hAnsi="Arial" w:cs="Arial"/>
                <w:b/>
                <w:bCs/>
                <w:lang w:val="en-IN"/>
              </w:rPr>
            </w:pPr>
            <w:r w:rsidRPr="005A5E32">
              <w:rPr>
                <w:rFonts w:ascii="Arial" w:hAnsi="Arial" w:cs="Arial"/>
                <w:b/>
                <w:bCs/>
                <w:lang w:val="en-IN"/>
              </w:rPr>
              <w:t>2020</w:t>
            </w:r>
          </w:p>
        </w:tc>
      </w:tr>
      <w:tr w:rsidR="005A5E32" w:rsidRPr="005A5E32" w14:paraId="71529BEC" w14:textId="77777777" w:rsidTr="005A5E32">
        <w:trPr>
          <w:trHeight w:val="312"/>
          <w:jc w:val="center"/>
        </w:trPr>
        <w:tc>
          <w:tcPr>
            <w:tcW w:w="1622" w:type="pct"/>
            <w:tcBorders>
              <w:top w:val="nil"/>
              <w:left w:val="single" w:sz="4" w:space="0" w:color="auto"/>
              <w:bottom w:val="single" w:sz="4" w:space="0" w:color="auto"/>
              <w:right w:val="single" w:sz="4" w:space="0" w:color="auto"/>
            </w:tcBorders>
            <w:noWrap/>
            <w:vAlign w:val="bottom"/>
            <w:hideMark/>
          </w:tcPr>
          <w:p w14:paraId="43C8DCB4" w14:textId="77777777" w:rsidR="005A5E32" w:rsidRPr="005A5E32" w:rsidRDefault="005A5E32" w:rsidP="005A5E32">
            <w:pPr>
              <w:spacing w:before="0" w:after="0" w:line="240" w:lineRule="auto"/>
              <w:jc w:val="left"/>
              <w:rPr>
                <w:rFonts w:ascii="Arial" w:hAnsi="Arial" w:cs="Arial"/>
                <w:b/>
                <w:bCs/>
                <w:lang w:val="en-IN"/>
              </w:rPr>
            </w:pPr>
            <w:r w:rsidRPr="005A5E32">
              <w:rPr>
                <w:rFonts w:ascii="Arial" w:hAnsi="Arial" w:cs="Arial"/>
                <w:b/>
                <w:bCs/>
                <w:lang w:val="en-IN"/>
              </w:rPr>
              <w:t>1. Inventory Days (Inventory Holding Period)</w:t>
            </w:r>
          </w:p>
        </w:tc>
        <w:tc>
          <w:tcPr>
            <w:tcW w:w="1077" w:type="pct"/>
            <w:vMerge w:val="restart"/>
            <w:tcBorders>
              <w:top w:val="nil"/>
              <w:left w:val="single" w:sz="4" w:space="0" w:color="auto"/>
              <w:bottom w:val="single" w:sz="4" w:space="0" w:color="auto"/>
              <w:right w:val="single" w:sz="4" w:space="0" w:color="auto"/>
            </w:tcBorders>
            <w:vAlign w:val="center"/>
            <w:hideMark/>
          </w:tcPr>
          <w:p w14:paraId="0BC7CB12" w14:textId="77777777" w:rsidR="005A5E32" w:rsidRPr="005A5E32" w:rsidRDefault="005A5E32" w:rsidP="005A5E32">
            <w:pPr>
              <w:spacing w:before="0" w:after="0" w:line="240" w:lineRule="auto"/>
              <w:jc w:val="center"/>
              <w:rPr>
                <w:rFonts w:ascii="Arial" w:hAnsi="Arial" w:cs="Arial"/>
                <w:lang w:val="en-IN"/>
              </w:rPr>
            </w:pPr>
            <w:r w:rsidRPr="005A5E32">
              <w:rPr>
                <w:rFonts w:ascii="Arial" w:hAnsi="Arial" w:cs="Arial"/>
                <w:lang w:val="en-IN"/>
              </w:rPr>
              <w:t>(Inventory/</w:t>
            </w:r>
            <w:proofErr w:type="gramStart"/>
            <w:r w:rsidRPr="005A5E32">
              <w:rPr>
                <w:rFonts w:ascii="Arial" w:hAnsi="Arial" w:cs="Arial"/>
                <w:lang w:val="en-IN"/>
              </w:rPr>
              <w:t>Sales)*</w:t>
            </w:r>
            <w:proofErr w:type="gramEnd"/>
            <w:r w:rsidRPr="005A5E32">
              <w:rPr>
                <w:rFonts w:ascii="Arial" w:hAnsi="Arial" w:cs="Arial"/>
                <w:lang w:val="en-IN"/>
              </w:rPr>
              <w:t>365</w:t>
            </w:r>
          </w:p>
        </w:tc>
        <w:tc>
          <w:tcPr>
            <w:tcW w:w="2301" w:type="pct"/>
            <w:gridSpan w:val="5"/>
            <w:tcBorders>
              <w:top w:val="single" w:sz="4" w:space="0" w:color="auto"/>
              <w:left w:val="nil"/>
              <w:bottom w:val="single" w:sz="4" w:space="0" w:color="auto"/>
              <w:right w:val="single" w:sz="4" w:space="0" w:color="auto"/>
            </w:tcBorders>
            <w:noWrap/>
            <w:vAlign w:val="bottom"/>
            <w:hideMark/>
          </w:tcPr>
          <w:p w14:paraId="0AC637AD" w14:textId="77777777" w:rsidR="005A5E32" w:rsidRPr="005A5E32" w:rsidRDefault="005A5E32" w:rsidP="005A5E32">
            <w:pPr>
              <w:spacing w:before="0" w:after="0" w:line="240" w:lineRule="auto"/>
              <w:jc w:val="center"/>
              <w:rPr>
                <w:rFonts w:ascii="Arial" w:hAnsi="Arial" w:cs="Arial"/>
                <w:lang w:val="en-IN"/>
              </w:rPr>
            </w:pPr>
            <w:r w:rsidRPr="005A5E32">
              <w:rPr>
                <w:rFonts w:ascii="Arial" w:hAnsi="Arial" w:cs="Arial"/>
                <w:lang w:val="en-IN"/>
              </w:rPr>
              <w:t> </w:t>
            </w:r>
          </w:p>
        </w:tc>
      </w:tr>
      <w:tr w:rsidR="005A5E32" w:rsidRPr="005A5E32" w14:paraId="2BF82A51" w14:textId="77777777" w:rsidTr="005A5E32">
        <w:trPr>
          <w:trHeight w:val="312"/>
          <w:jc w:val="center"/>
        </w:trPr>
        <w:tc>
          <w:tcPr>
            <w:tcW w:w="1622" w:type="pct"/>
            <w:tcBorders>
              <w:top w:val="nil"/>
              <w:left w:val="single" w:sz="4" w:space="0" w:color="auto"/>
              <w:bottom w:val="single" w:sz="4" w:space="0" w:color="auto"/>
              <w:right w:val="single" w:sz="4" w:space="0" w:color="auto"/>
            </w:tcBorders>
            <w:noWrap/>
            <w:vAlign w:val="bottom"/>
            <w:hideMark/>
          </w:tcPr>
          <w:p w14:paraId="09348FCB"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Inventory</w:t>
            </w:r>
          </w:p>
        </w:tc>
        <w:tc>
          <w:tcPr>
            <w:tcW w:w="1077" w:type="pct"/>
            <w:vMerge/>
            <w:tcBorders>
              <w:top w:val="nil"/>
              <w:left w:val="single" w:sz="4" w:space="0" w:color="auto"/>
              <w:bottom w:val="single" w:sz="4" w:space="0" w:color="auto"/>
              <w:right w:val="single" w:sz="4" w:space="0" w:color="auto"/>
            </w:tcBorders>
            <w:vAlign w:val="center"/>
            <w:hideMark/>
          </w:tcPr>
          <w:p w14:paraId="407D1751" w14:textId="77777777" w:rsidR="005A5E32" w:rsidRPr="005A5E32" w:rsidRDefault="005A5E32" w:rsidP="005A5E32">
            <w:pPr>
              <w:spacing w:before="0" w:after="0" w:line="240" w:lineRule="auto"/>
              <w:jc w:val="left"/>
              <w:rPr>
                <w:rFonts w:ascii="Arial" w:hAnsi="Arial" w:cs="Arial"/>
                <w:lang w:val="en-IN"/>
              </w:rPr>
            </w:pPr>
          </w:p>
        </w:tc>
        <w:tc>
          <w:tcPr>
            <w:tcW w:w="361" w:type="pct"/>
            <w:tcBorders>
              <w:top w:val="nil"/>
              <w:left w:val="nil"/>
              <w:bottom w:val="single" w:sz="4" w:space="0" w:color="auto"/>
              <w:right w:val="single" w:sz="4" w:space="0" w:color="auto"/>
            </w:tcBorders>
            <w:noWrap/>
            <w:vAlign w:val="bottom"/>
            <w:hideMark/>
          </w:tcPr>
          <w:p w14:paraId="19F45D96"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12,017 </w:t>
            </w:r>
          </w:p>
        </w:tc>
        <w:tc>
          <w:tcPr>
            <w:tcW w:w="423" w:type="pct"/>
            <w:tcBorders>
              <w:top w:val="nil"/>
              <w:left w:val="nil"/>
              <w:bottom w:val="single" w:sz="4" w:space="0" w:color="auto"/>
              <w:right w:val="single" w:sz="4" w:space="0" w:color="auto"/>
            </w:tcBorders>
            <w:noWrap/>
            <w:vAlign w:val="bottom"/>
            <w:hideMark/>
          </w:tcPr>
          <w:p w14:paraId="4EB71131"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13,626 </w:t>
            </w:r>
          </w:p>
        </w:tc>
        <w:tc>
          <w:tcPr>
            <w:tcW w:w="361" w:type="pct"/>
            <w:tcBorders>
              <w:top w:val="nil"/>
              <w:left w:val="nil"/>
              <w:bottom w:val="single" w:sz="4" w:space="0" w:color="auto"/>
              <w:right w:val="single" w:sz="4" w:space="0" w:color="auto"/>
            </w:tcBorders>
            <w:noWrap/>
            <w:vAlign w:val="bottom"/>
            <w:hideMark/>
          </w:tcPr>
          <w:p w14:paraId="601B6C80"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12,839 </w:t>
            </w:r>
          </w:p>
        </w:tc>
        <w:tc>
          <w:tcPr>
            <w:tcW w:w="588" w:type="pct"/>
            <w:tcBorders>
              <w:top w:val="nil"/>
              <w:left w:val="nil"/>
              <w:bottom w:val="single" w:sz="4" w:space="0" w:color="auto"/>
              <w:right w:val="single" w:sz="4" w:space="0" w:color="auto"/>
            </w:tcBorders>
            <w:noWrap/>
            <w:vAlign w:val="bottom"/>
            <w:hideMark/>
          </w:tcPr>
          <w:p w14:paraId="171E5354"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5,757 </w:t>
            </w:r>
          </w:p>
        </w:tc>
        <w:tc>
          <w:tcPr>
            <w:tcW w:w="568" w:type="pct"/>
            <w:tcBorders>
              <w:top w:val="nil"/>
              <w:left w:val="nil"/>
              <w:bottom w:val="single" w:sz="4" w:space="0" w:color="auto"/>
              <w:right w:val="single" w:sz="4" w:space="0" w:color="auto"/>
            </w:tcBorders>
            <w:noWrap/>
            <w:vAlign w:val="bottom"/>
            <w:hideMark/>
          </w:tcPr>
          <w:p w14:paraId="016F756B"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4,101 </w:t>
            </w:r>
          </w:p>
        </w:tc>
      </w:tr>
      <w:tr w:rsidR="005A5E32" w:rsidRPr="005A5E32" w14:paraId="68D5C9E9" w14:textId="77777777" w:rsidTr="005A5E32">
        <w:trPr>
          <w:trHeight w:val="312"/>
          <w:jc w:val="center"/>
        </w:trPr>
        <w:tc>
          <w:tcPr>
            <w:tcW w:w="1622" w:type="pct"/>
            <w:tcBorders>
              <w:top w:val="nil"/>
              <w:left w:val="single" w:sz="4" w:space="0" w:color="auto"/>
              <w:bottom w:val="single" w:sz="4" w:space="0" w:color="auto"/>
              <w:right w:val="single" w:sz="4" w:space="0" w:color="auto"/>
            </w:tcBorders>
            <w:noWrap/>
            <w:vAlign w:val="bottom"/>
            <w:hideMark/>
          </w:tcPr>
          <w:p w14:paraId="6A7C31DA"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Sales</w:t>
            </w:r>
          </w:p>
        </w:tc>
        <w:tc>
          <w:tcPr>
            <w:tcW w:w="1077" w:type="pct"/>
            <w:vMerge/>
            <w:tcBorders>
              <w:top w:val="nil"/>
              <w:left w:val="single" w:sz="4" w:space="0" w:color="auto"/>
              <w:bottom w:val="single" w:sz="4" w:space="0" w:color="auto"/>
              <w:right w:val="single" w:sz="4" w:space="0" w:color="auto"/>
            </w:tcBorders>
            <w:vAlign w:val="center"/>
            <w:hideMark/>
          </w:tcPr>
          <w:p w14:paraId="39916807" w14:textId="77777777" w:rsidR="005A5E32" w:rsidRPr="005A5E32" w:rsidRDefault="005A5E32" w:rsidP="005A5E32">
            <w:pPr>
              <w:spacing w:before="0" w:after="0" w:line="240" w:lineRule="auto"/>
              <w:jc w:val="left"/>
              <w:rPr>
                <w:rFonts w:ascii="Arial" w:hAnsi="Arial" w:cs="Arial"/>
                <w:lang w:val="en-IN"/>
              </w:rPr>
            </w:pPr>
          </w:p>
        </w:tc>
        <w:tc>
          <w:tcPr>
            <w:tcW w:w="361" w:type="pct"/>
            <w:tcBorders>
              <w:top w:val="nil"/>
              <w:left w:val="nil"/>
              <w:bottom w:val="single" w:sz="4" w:space="0" w:color="auto"/>
              <w:right w:val="single" w:sz="4" w:space="0" w:color="auto"/>
            </w:tcBorders>
            <w:noWrap/>
            <w:vAlign w:val="bottom"/>
            <w:hideMark/>
          </w:tcPr>
          <w:p w14:paraId="1A509F06"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97,690 </w:t>
            </w:r>
          </w:p>
        </w:tc>
        <w:tc>
          <w:tcPr>
            <w:tcW w:w="423" w:type="pct"/>
            <w:tcBorders>
              <w:top w:val="nil"/>
              <w:left w:val="nil"/>
              <w:bottom w:val="single" w:sz="4" w:space="0" w:color="auto"/>
              <w:right w:val="single" w:sz="4" w:space="0" w:color="auto"/>
            </w:tcBorders>
            <w:noWrap/>
            <w:vAlign w:val="bottom"/>
            <w:hideMark/>
          </w:tcPr>
          <w:p w14:paraId="21F171CA"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96,773 </w:t>
            </w:r>
          </w:p>
        </w:tc>
        <w:tc>
          <w:tcPr>
            <w:tcW w:w="361" w:type="pct"/>
            <w:tcBorders>
              <w:top w:val="nil"/>
              <w:left w:val="nil"/>
              <w:bottom w:val="single" w:sz="4" w:space="0" w:color="auto"/>
              <w:right w:val="single" w:sz="4" w:space="0" w:color="auto"/>
            </w:tcBorders>
            <w:noWrap/>
            <w:vAlign w:val="bottom"/>
            <w:hideMark/>
          </w:tcPr>
          <w:p w14:paraId="46A7063C"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81,462 </w:t>
            </w:r>
          </w:p>
        </w:tc>
        <w:tc>
          <w:tcPr>
            <w:tcW w:w="588" w:type="pct"/>
            <w:tcBorders>
              <w:top w:val="nil"/>
              <w:left w:val="nil"/>
              <w:bottom w:val="single" w:sz="4" w:space="0" w:color="auto"/>
              <w:right w:val="single" w:sz="4" w:space="0" w:color="auto"/>
            </w:tcBorders>
            <w:noWrap/>
            <w:vAlign w:val="bottom"/>
            <w:hideMark/>
          </w:tcPr>
          <w:p w14:paraId="10A6F9F3"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53,823 </w:t>
            </w:r>
          </w:p>
        </w:tc>
        <w:tc>
          <w:tcPr>
            <w:tcW w:w="568" w:type="pct"/>
            <w:tcBorders>
              <w:top w:val="nil"/>
              <w:left w:val="nil"/>
              <w:bottom w:val="single" w:sz="4" w:space="0" w:color="auto"/>
              <w:right w:val="single" w:sz="4" w:space="0" w:color="auto"/>
            </w:tcBorders>
            <w:noWrap/>
            <w:vAlign w:val="bottom"/>
            <w:hideMark/>
          </w:tcPr>
          <w:p w14:paraId="70CFA40F"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31,536 </w:t>
            </w:r>
          </w:p>
        </w:tc>
      </w:tr>
      <w:tr w:rsidR="005A5E32" w:rsidRPr="005A5E32" w14:paraId="07AA23E2" w14:textId="77777777" w:rsidTr="005A5E32">
        <w:trPr>
          <w:trHeight w:val="312"/>
          <w:jc w:val="center"/>
        </w:trPr>
        <w:tc>
          <w:tcPr>
            <w:tcW w:w="1622" w:type="pct"/>
            <w:tcBorders>
              <w:top w:val="nil"/>
              <w:left w:val="single" w:sz="4" w:space="0" w:color="auto"/>
              <w:bottom w:val="single" w:sz="4" w:space="0" w:color="auto"/>
              <w:right w:val="single" w:sz="4" w:space="0" w:color="auto"/>
            </w:tcBorders>
            <w:noWrap/>
            <w:vAlign w:val="bottom"/>
            <w:hideMark/>
          </w:tcPr>
          <w:p w14:paraId="6CAFD03A" w14:textId="77777777" w:rsidR="005A5E32" w:rsidRPr="005A5E32" w:rsidRDefault="005A5E32" w:rsidP="005A5E32">
            <w:pPr>
              <w:spacing w:before="0" w:after="0" w:line="240" w:lineRule="auto"/>
              <w:jc w:val="left"/>
              <w:rPr>
                <w:rFonts w:ascii="Arial" w:hAnsi="Arial" w:cs="Arial"/>
                <w:b/>
                <w:bCs/>
                <w:lang w:val="en-IN"/>
              </w:rPr>
            </w:pPr>
            <w:r w:rsidRPr="005A5E32">
              <w:rPr>
                <w:rFonts w:ascii="Arial" w:hAnsi="Arial" w:cs="Arial"/>
                <w:b/>
                <w:bCs/>
                <w:lang w:val="en-IN"/>
              </w:rPr>
              <w:t>Inventory Days</w:t>
            </w:r>
          </w:p>
        </w:tc>
        <w:tc>
          <w:tcPr>
            <w:tcW w:w="1077" w:type="pct"/>
            <w:vMerge/>
            <w:tcBorders>
              <w:top w:val="nil"/>
              <w:left w:val="single" w:sz="4" w:space="0" w:color="auto"/>
              <w:bottom w:val="single" w:sz="4" w:space="0" w:color="auto"/>
              <w:right w:val="single" w:sz="4" w:space="0" w:color="auto"/>
            </w:tcBorders>
            <w:vAlign w:val="center"/>
            <w:hideMark/>
          </w:tcPr>
          <w:p w14:paraId="2FD42015" w14:textId="77777777" w:rsidR="005A5E32" w:rsidRPr="005A5E32" w:rsidRDefault="005A5E32" w:rsidP="005A5E32">
            <w:pPr>
              <w:spacing w:before="0" w:after="0" w:line="240" w:lineRule="auto"/>
              <w:jc w:val="left"/>
              <w:rPr>
                <w:rFonts w:ascii="Arial" w:hAnsi="Arial" w:cs="Arial"/>
                <w:lang w:val="en-IN"/>
              </w:rPr>
            </w:pPr>
          </w:p>
        </w:tc>
        <w:tc>
          <w:tcPr>
            <w:tcW w:w="361" w:type="pct"/>
            <w:tcBorders>
              <w:top w:val="nil"/>
              <w:left w:val="nil"/>
              <w:bottom w:val="single" w:sz="4" w:space="0" w:color="auto"/>
              <w:right w:val="single" w:sz="4" w:space="0" w:color="auto"/>
            </w:tcBorders>
            <w:noWrap/>
            <w:vAlign w:val="bottom"/>
            <w:hideMark/>
          </w:tcPr>
          <w:p w14:paraId="77DF8564"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44.90</w:t>
            </w:r>
          </w:p>
        </w:tc>
        <w:tc>
          <w:tcPr>
            <w:tcW w:w="423" w:type="pct"/>
            <w:tcBorders>
              <w:top w:val="nil"/>
              <w:left w:val="nil"/>
              <w:bottom w:val="single" w:sz="4" w:space="0" w:color="auto"/>
              <w:right w:val="single" w:sz="4" w:space="0" w:color="auto"/>
            </w:tcBorders>
            <w:noWrap/>
            <w:vAlign w:val="bottom"/>
            <w:hideMark/>
          </w:tcPr>
          <w:p w14:paraId="550D3D45"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51.39</w:t>
            </w:r>
          </w:p>
        </w:tc>
        <w:tc>
          <w:tcPr>
            <w:tcW w:w="361" w:type="pct"/>
            <w:tcBorders>
              <w:top w:val="nil"/>
              <w:left w:val="nil"/>
              <w:bottom w:val="single" w:sz="4" w:space="0" w:color="auto"/>
              <w:right w:val="single" w:sz="4" w:space="0" w:color="auto"/>
            </w:tcBorders>
            <w:noWrap/>
            <w:vAlign w:val="bottom"/>
            <w:hideMark/>
          </w:tcPr>
          <w:p w14:paraId="77F4684A"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57.53</w:t>
            </w:r>
          </w:p>
        </w:tc>
        <w:tc>
          <w:tcPr>
            <w:tcW w:w="588" w:type="pct"/>
            <w:tcBorders>
              <w:top w:val="nil"/>
              <w:left w:val="nil"/>
              <w:bottom w:val="single" w:sz="4" w:space="0" w:color="auto"/>
              <w:right w:val="single" w:sz="4" w:space="0" w:color="auto"/>
            </w:tcBorders>
            <w:noWrap/>
            <w:vAlign w:val="bottom"/>
            <w:hideMark/>
          </w:tcPr>
          <w:p w14:paraId="7651D21F"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39.04</w:t>
            </w:r>
          </w:p>
        </w:tc>
        <w:tc>
          <w:tcPr>
            <w:tcW w:w="568" w:type="pct"/>
            <w:tcBorders>
              <w:top w:val="nil"/>
              <w:left w:val="nil"/>
              <w:bottom w:val="single" w:sz="4" w:space="0" w:color="auto"/>
              <w:right w:val="single" w:sz="4" w:space="0" w:color="auto"/>
            </w:tcBorders>
            <w:noWrap/>
            <w:vAlign w:val="bottom"/>
            <w:hideMark/>
          </w:tcPr>
          <w:p w14:paraId="3BF6D730"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47.47</w:t>
            </w:r>
          </w:p>
        </w:tc>
      </w:tr>
      <w:tr w:rsidR="005A5E32" w:rsidRPr="005A5E32" w14:paraId="17E933DC" w14:textId="77777777" w:rsidTr="005A5E32">
        <w:trPr>
          <w:trHeight w:val="312"/>
          <w:jc w:val="center"/>
        </w:trPr>
        <w:tc>
          <w:tcPr>
            <w:tcW w:w="1622" w:type="pct"/>
            <w:tcBorders>
              <w:top w:val="nil"/>
              <w:left w:val="single" w:sz="4" w:space="0" w:color="auto"/>
              <w:bottom w:val="single" w:sz="4" w:space="0" w:color="auto"/>
              <w:right w:val="single" w:sz="4" w:space="0" w:color="auto"/>
            </w:tcBorders>
            <w:noWrap/>
            <w:vAlign w:val="bottom"/>
            <w:hideMark/>
          </w:tcPr>
          <w:p w14:paraId="252F479B" w14:textId="77777777" w:rsidR="005A5E32" w:rsidRPr="005A5E32" w:rsidRDefault="005A5E32" w:rsidP="005A5E32">
            <w:pPr>
              <w:spacing w:before="0" w:after="0" w:line="240" w:lineRule="auto"/>
              <w:jc w:val="left"/>
              <w:rPr>
                <w:rFonts w:ascii="Arial" w:hAnsi="Arial" w:cs="Arial"/>
                <w:b/>
                <w:bCs/>
                <w:lang w:val="en-IN"/>
              </w:rPr>
            </w:pPr>
            <w:r w:rsidRPr="005A5E32">
              <w:rPr>
                <w:rFonts w:ascii="Arial" w:hAnsi="Arial" w:cs="Arial"/>
                <w:b/>
                <w:bCs/>
                <w:lang w:val="en-IN"/>
              </w:rPr>
              <w:t>2. Receivable Days (Debtor Collection Period)</w:t>
            </w:r>
          </w:p>
        </w:tc>
        <w:tc>
          <w:tcPr>
            <w:tcW w:w="1077" w:type="pct"/>
            <w:vMerge w:val="restart"/>
            <w:tcBorders>
              <w:top w:val="nil"/>
              <w:left w:val="single" w:sz="4" w:space="0" w:color="auto"/>
              <w:bottom w:val="single" w:sz="4" w:space="0" w:color="auto"/>
              <w:right w:val="single" w:sz="4" w:space="0" w:color="auto"/>
            </w:tcBorders>
            <w:vAlign w:val="center"/>
            <w:hideMark/>
          </w:tcPr>
          <w:p w14:paraId="21DAC91F" w14:textId="77777777" w:rsidR="005A5E32" w:rsidRPr="005A5E32" w:rsidRDefault="005A5E32" w:rsidP="005A5E32">
            <w:pPr>
              <w:spacing w:before="0" w:after="0" w:line="240" w:lineRule="auto"/>
              <w:jc w:val="center"/>
              <w:rPr>
                <w:rFonts w:ascii="Arial" w:hAnsi="Arial" w:cs="Arial"/>
                <w:lang w:val="en-IN"/>
              </w:rPr>
            </w:pPr>
            <w:r w:rsidRPr="005A5E32">
              <w:rPr>
                <w:rFonts w:ascii="Arial" w:hAnsi="Arial" w:cs="Arial"/>
                <w:lang w:val="en-IN"/>
              </w:rPr>
              <w:t>(Accounts Receivable​/</w:t>
            </w:r>
            <w:proofErr w:type="gramStart"/>
            <w:r w:rsidRPr="005A5E32">
              <w:rPr>
                <w:rFonts w:ascii="Arial" w:hAnsi="Arial" w:cs="Arial"/>
                <w:lang w:val="en-IN"/>
              </w:rPr>
              <w:t>Sales)*</w:t>
            </w:r>
            <w:proofErr w:type="gramEnd"/>
            <w:r w:rsidRPr="005A5E32">
              <w:rPr>
                <w:rFonts w:ascii="Arial" w:hAnsi="Arial" w:cs="Arial"/>
                <w:lang w:val="en-IN"/>
              </w:rPr>
              <w:t>365</w:t>
            </w:r>
          </w:p>
        </w:tc>
        <w:tc>
          <w:tcPr>
            <w:tcW w:w="2301" w:type="pct"/>
            <w:gridSpan w:val="5"/>
            <w:tcBorders>
              <w:top w:val="single" w:sz="4" w:space="0" w:color="auto"/>
              <w:left w:val="nil"/>
              <w:bottom w:val="single" w:sz="4" w:space="0" w:color="auto"/>
              <w:right w:val="single" w:sz="4" w:space="0" w:color="auto"/>
            </w:tcBorders>
            <w:noWrap/>
            <w:vAlign w:val="bottom"/>
            <w:hideMark/>
          </w:tcPr>
          <w:p w14:paraId="61626C7F" w14:textId="77777777" w:rsidR="005A5E32" w:rsidRPr="005A5E32" w:rsidRDefault="005A5E32" w:rsidP="005A5E32">
            <w:pPr>
              <w:spacing w:before="0" w:after="0" w:line="240" w:lineRule="auto"/>
              <w:jc w:val="center"/>
              <w:rPr>
                <w:rFonts w:ascii="Arial" w:hAnsi="Arial" w:cs="Arial"/>
                <w:lang w:val="en-IN"/>
              </w:rPr>
            </w:pPr>
            <w:r w:rsidRPr="005A5E32">
              <w:rPr>
                <w:rFonts w:ascii="Arial" w:hAnsi="Arial" w:cs="Arial"/>
                <w:lang w:val="en-IN"/>
              </w:rPr>
              <w:t> </w:t>
            </w:r>
          </w:p>
        </w:tc>
      </w:tr>
      <w:tr w:rsidR="005A5E32" w:rsidRPr="005A5E32" w14:paraId="24D1AB9E" w14:textId="77777777" w:rsidTr="005A5E32">
        <w:trPr>
          <w:trHeight w:val="312"/>
          <w:jc w:val="center"/>
        </w:trPr>
        <w:tc>
          <w:tcPr>
            <w:tcW w:w="1622" w:type="pct"/>
            <w:tcBorders>
              <w:top w:val="nil"/>
              <w:left w:val="single" w:sz="4" w:space="0" w:color="auto"/>
              <w:bottom w:val="single" w:sz="4" w:space="0" w:color="auto"/>
              <w:right w:val="single" w:sz="4" w:space="0" w:color="auto"/>
            </w:tcBorders>
            <w:noWrap/>
            <w:vAlign w:val="bottom"/>
            <w:hideMark/>
          </w:tcPr>
          <w:p w14:paraId="68772BBA"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Accounts Receivable​</w:t>
            </w:r>
          </w:p>
        </w:tc>
        <w:tc>
          <w:tcPr>
            <w:tcW w:w="1077" w:type="pct"/>
            <w:vMerge/>
            <w:tcBorders>
              <w:top w:val="nil"/>
              <w:left w:val="single" w:sz="4" w:space="0" w:color="auto"/>
              <w:bottom w:val="single" w:sz="4" w:space="0" w:color="auto"/>
              <w:right w:val="single" w:sz="4" w:space="0" w:color="auto"/>
            </w:tcBorders>
            <w:vAlign w:val="center"/>
            <w:hideMark/>
          </w:tcPr>
          <w:p w14:paraId="3ED5703D" w14:textId="77777777" w:rsidR="005A5E32" w:rsidRPr="005A5E32" w:rsidRDefault="005A5E32" w:rsidP="005A5E32">
            <w:pPr>
              <w:spacing w:before="0" w:after="0" w:line="240" w:lineRule="auto"/>
              <w:jc w:val="left"/>
              <w:rPr>
                <w:rFonts w:ascii="Arial" w:hAnsi="Arial" w:cs="Arial"/>
                <w:lang w:val="en-IN"/>
              </w:rPr>
            </w:pPr>
          </w:p>
        </w:tc>
        <w:tc>
          <w:tcPr>
            <w:tcW w:w="361" w:type="pct"/>
            <w:tcBorders>
              <w:top w:val="nil"/>
              <w:left w:val="nil"/>
              <w:bottom w:val="single" w:sz="4" w:space="0" w:color="auto"/>
              <w:right w:val="single" w:sz="4" w:space="0" w:color="auto"/>
            </w:tcBorders>
            <w:noWrap/>
            <w:vAlign w:val="bottom"/>
            <w:hideMark/>
          </w:tcPr>
          <w:p w14:paraId="1D3F9CB1"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4,418 </w:t>
            </w:r>
          </w:p>
        </w:tc>
        <w:tc>
          <w:tcPr>
            <w:tcW w:w="423" w:type="pct"/>
            <w:tcBorders>
              <w:top w:val="nil"/>
              <w:left w:val="nil"/>
              <w:bottom w:val="single" w:sz="4" w:space="0" w:color="auto"/>
              <w:right w:val="single" w:sz="4" w:space="0" w:color="auto"/>
            </w:tcBorders>
            <w:noWrap/>
            <w:vAlign w:val="bottom"/>
            <w:hideMark/>
          </w:tcPr>
          <w:p w14:paraId="2C6B058C"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3,508 </w:t>
            </w:r>
          </w:p>
        </w:tc>
        <w:tc>
          <w:tcPr>
            <w:tcW w:w="361" w:type="pct"/>
            <w:tcBorders>
              <w:top w:val="nil"/>
              <w:left w:val="nil"/>
              <w:bottom w:val="single" w:sz="4" w:space="0" w:color="auto"/>
              <w:right w:val="single" w:sz="4" w:space="0" w:color="auto"/>
            </w:tcBorders>
            <w:noWrap/>
            <w:vAlign w:val="bottom"/>
            <w:hideMark/>
          </w:tcPr>
          <w:p w14:paraId="20C09E22"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2,952 </w:t>
            </w:r>
          </w:p>
        </w:tc>
        <w:tc>
          <w:tcPr>
            <w:tcW w:w="588" w:type="pct"/>
            <w:tcBorders>
              <w:top w:val="nil"/>
              <w:left w:val="nil"/>
              <w:bottom w:val="single" w:sz="4" w:space="0" w:color="auto"/>
              <w:right w:val="single" w:sz="4" w:space="0" w:color="auto"/>
            </w:tcBorders>
            <w:noWrap/>
            <w:vAlign w:val="bottom"/>
            <w:hideMark/>
          </w:tcPr>
          <w:p w14:paraId="187F42C4"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1,913 </w:t>
            </w:r>
          </w:p>
        </w:tc>
        <w:tc>
          <w:tcPr>
            <w:tcW w:w="568" w:type="pct"/>
            <w:tcBorders>
              <w:top w:val="nil"/>
              <w:left w:val="nil"/>
              <w:bottom w:val="single" w:sz="4" w:space="0" w:color="auto"/>
              <w:right w:val="single" w:sz="4" w:space="0" w:color="auto"/>
            </w:tcBorders>
            <w:noWrap/>
            <w:vAlign w:val="bottom"/>
            <w:hideMark/>
          </w:tcPr>
          <w:p w14:paraId="65310675"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1,886 </w:t>
            </w:r>
          </w:p>
        </w:tc>
      </w:tr>
      <w:tr w:rsidR="005A5E32" w:rsidRPr="005A5E32" w14:paraId="624F8A2D" w14:textId="77777777" w:rsidTr="005A5E32">
        <w:trPr>
          <w:trHeight w:val="312"/>
          <w:jc w:val="center"/>
        </w:trPr>
        <w:tc>
          <w:tcPr>
            <w:tcW w:w="1622" w:type="pct"/>
            <w:tcBorders>
              <w:top w:val="nil"/>
              <w:left w:val="single" w:sz="4" w:space="0" w:color="auto"/>
              <w:bottom w:val="single" w:sz="4" w:space="0" w:color="auto"/>
              <w:right w:val="single" w:sz="4" w:space="0" w:color="auto"/>
            </w:tcBorders>
            <w:noWrap/>
            <w:vAlign w:val="bottom"/>
            <w:hideMark/>
          </w:tcPr>
          <w:p w14:paraId="1AB1A292"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Sales</w:t>
            </w:r>
          </w:p>
        </w:tc>
        <w:tc>
          <w:tcPr>
            <w:tcW w:w="1077" w:type="pct"/>
            <w:vMerge/>
            <w:tcBorders>
              <w:top w:val="nil"/>
              <w:left w:val="single" w:sz="4" w:space="0" w:color="auto"/>
              <w:bottom w:val="single" w:sz="4" w:space="0" w:color="auto"/>
              <w:right w:val="single" w:sz="4" w:space="0" w:color="auto"/>
            </w:tcBorders>
            <w:vAlign w:val="center"/>
            <w:hideMark/>
          </w:tcPr>
          <w:p w14:paraId="2BB66A2C" w14:textId="77777777" w:rsidR="005A5E32" w:rsidRPr="005A5E32" w:rsidRDefault="005A5E32" w:rsidP="005A5E32">
            <w:pPr>
              <w:spacing w:before="0" w:after="0" w:line="240" w:lineRule="auto"/>
              <w:jc w:val="left"/>
              <w:rPr>
                <w:rFonts w:ascii="Arial" w:hAnsi="Arial" w:cs="Arial"/>
                <w:lang w:val="en-IN"/>
              </w:rPr>
            </w:pPr>
          </w:p>
        </w:tc>
        <w:tc>
          <w:tcPr>
            <w:tcW w:w="361" w:type="pct"/>
            <w:tcBorders>
              <w:top w:val="nil"/>
              <w:left w:val="nil"/>
              <w:bottom w:val="single" w:sz="4" w:space="0" w:color="auto"/>
              <w:right w:val="single" w:sz="4" w:space="0" w:color="auto"/>
            </w:tcBorders>
            <w:noWrap/>
            <w:vAlign w:val="bottom"/>
            <w:hideMark/>
          </w:tcPr>
          <w:p w14:paraId="1013D721"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97,690 </w:t>
            </w:r>
          </w:p>
        </w:tc>
        <w:tc>
          <w:tcPr>
            <w:tcW w:w="423" w:type="pct"/>
            <w:tcBorders>
              <w:top w:val="nil"/>
              <w:left w:val="nil"/>
              <w:bottom w:val="single" w:sz="4" w:space="0" w:color="auto"/>
              <w:right w:val="single" w:sz="4" w:space="0" w:color="auto"/>
            </w:tcBorders>
            <w:noWrap/>
            <w:vAlign w:val="bottom"/>
            <w:hideMark/>
          </w:tcPr>
          <w:p w14:paraId="6430C8DB"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96,773 </w:t>
            </w:r>
          </w:p>
        </w:tc>
        <w:tc>
          <w:tcPr>
            <w:tcW w:w="361" w:type="pct"/>
            <w:tcBorders>
              <w:top w:val="nil"/>
              <w:left w:val="nil"/>
              <w:bottom w:val="single" w:sz="4" w:space="0" w:color="auto"/>
              <w:right w:val="single" w:sz="4" w:space="0" w:color="auto"/>
            </w:tcBorders>
            <w:noWrap/>
            <w:vAlign w:val="bottom"/>
            <w:hideMark/>
          </w:tcPr>
          <w:p w14:paraId="3E96586B"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81,462 </w:t>
            </w:r>
          </w:p>
        </w:tc>
        <w:tc>
          <w:tcPr>
            <w:tcW w:w="588" w:type="pct"/>
            <w:tcBorders>
              <w:top w:val="nil"/>
              <w:left w:val="nil"/>
              <w:bottom w:val="single" w:sz="4" w:space="0" w:color="auto"/>
              <w:right w:val="single" w:sz="4" w:space="0" w:color="auto"/>
            </w:tcBorders>
            <w:noWrap/>
            <w:vAlign w:val="bottom"/>
            <w:hideMark/>
          </w:tcPr>
          <w:p w14:paraId="28CAD910"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53,823 </w:t>
            </w:r>
          </w:p>
        </w:tc>
        <w:tc>
          <w:tcPr>
            <w:tcW w:w="568" w:type="pct"/>
            <w:tcBorders>
              <w:top w:val="nil"/>
              <w:left w:val="nil"/>
              <w:bottom w:val="single" w:sz="4" w:space="0" w:color="auto"/>
              <w:right w:val="single" w:sz="4" w:space="0" w:color="auto"/>
            </w:tcBorders>
            <w:noWrap/>
            <w:vAlign w:val="bottom"/>
            <w:hideMark/>
          </w:tcPr>
          <w:p w14:paraId="08F60CA3"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31,536 </w:t>
            </w:r>
          </w:p>
        </w:tc>
      </w:tr>
      <w:tr w:rsidR="005A5E32" w:rsidRPr="005A5E32" w14:paraId="3D181B5A" w14:textId="77777777" w:rsidTr="005A5E32">
        <w:trPr>
          <w:trHeight w:val="312"/>
          <w:jc w:val="center"/>
        </w:trPr>
        <w:tc>
          <w:tcPr>
            <w:tcW w:w="1622" w:type="pct"/>
            <w:tcBorders>
              <w:top w:val="nil"/>
              <w:left w:val="single" w:sz="4" w:space="0" w:color="auto"/>
              <w:bottom w:val="single" w:sz="4" w:space="0" w:color="auto"/>
              <w:right w:val="single" w:sz="4" w:space="0" w:color="auto"/>
            </w:tcBorders>
            <w:noWrap/>
            <w:vAlign w:val="bottom"/>
            <w:hideMark/>
          </w:tcPr>
          <w:p w14:paraId="2074CCB2" w14:textId="77777777" w:rsidR="005A5E32" w:rsidRPr="005A5E32" w:rsidRDefault="005A5E32" w:rsidP="005A5E32">
            <w:pPr>
              <w:spacing w:before="0" w:after="0" w:line="240" w:lineRule="auto"/>
              <w:jc w:val="left"/>
              <w:rPr>
                <w:rFonts w:ascii="Arial" w:hAnsi="Arial" w:cs="Arial"/>
                <w:b/>
                <w:bCs/>
                <w:lang w:val="en-IN"/>
              </w:rPr>
            </w:pPr>
            <w:r w:rsidRPr="005A5E32">
              <w:rPr>
                <w:rFonts w:ascii="Arial" w:hAnsi="Arial" w:cs="Arial"/>
                <w:b/>
                <w:bCs/>
                <w:lang w:val="en-IN"/>
              </w:rPr>
              <w:t>Receivable Days</w:t>
            </w:r>
          </w:p>
        </w:tc>
        <w:tc>
          <w:tcPr>
            <w:tcW w:w="1077" w:type="pct"/>
            <w:vMerge/>
            <w:tcBorders>
              <w:top w:val="nil"/>
              <w:left w:val="single" w:sz="4" w:space="0" w:color="auto"/>
              <w:bottom w:val="single" w:sz="4" w:space="0" w:color="auto"/>
              <w:right w:val="single" w:sz="4" w:space="0" w:color="auto"/>
            </w:tcBorders>
            <w:vAlign w:val="center"/>
            <w:hideMark/>
          </w:tcPr>
          <w:p w14:paraId="3BDD952B" w14:textId="77777777" w:rsidR="005A5E32" w:rsidRPr="005A5E32" w:rsidRDefault="005A5E32" w:rsidP="005A5E32">
            <w:pPr>
              <w:spacing w:before="0" w:after="0" w:line="240" w:lineRule="auto"/>
              <w:jc w:val="left"/>
              <w:rPr>
                <w:rFonts w:ascii="Arial" w:hAnsi="Arial" w:cs="Arial"/>
                <w:lang w:val="en-IN"/>
              </w:rPr>
            </w:pPr>
          </w:p>
        </w:tc>
        <w:tc>
          <w:tcPr>
            <w:tcW w:w="361" w:type="pct"/>
            <w:tcBorders>
              <w:top w:val="nil"/>
              <w:left w:val="nil"/>
              <w:bottom w:val="single" w:sz="4" w:space="0" w:color="auto"/>
              <w:right w:val="single" w:sz="4" w:space="0" w:color="auto"/>
            </w:tcBorders>
            <w:noWrap/>
            <w:vAlign w:val="bottom"/>
            <w:hideMark/>
          </w:tcPr>
          <w:p w14:paraId="3EB0578E"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16.51</w:t>
            </w:r>
          </w:p>
        </w:tc>
        <w:tc>
          <w:tcPr>
            <w:tcW w:w="423" w:type="pct"/>
            <w:tcBorders>
              <w:top w:val="nil"/>
              <w:left w:val="nil"/>
              <w:bottom w:val="single" w:sz="4" w:space="0" w:color="auto"/>
              <w:right w:val="single" w:sz="4" w:space="0" w:color="auto"/>
            </w:tcBorders>
            <w:noWrap/>
            <w:vAlign w:val="bottom"/>
            <w:hideMark/>
          </w:tcPr>
          <w:p w14:paraId="0E1BC0A0"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13.23</w:t>
            </w:r>
          </w:p>
        </w:tc>
        <w:tc>
          <w:tcPr>
            <w:tcW w:w="361" w:type="pct"/>
            <w:tcBorders>
              <w:top w:val="nil"/>
              <w:left w:val="nil"/>
              <w:bottom w:val="single" w:sz="4" w:space="0" w:color="auto"/>
              <w:right w:val="single" w:sz="4" w:space="0" w:color="auto"/>
            </w:tcBorders>
            <w:noWrap/>
            <w:vAlign w:val="bottom"/>
            <w:hideMark/>
          </w:tcPr>
          <w:p w14:paraId="59B96C07"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13.23</w:t>
            </w:r>
          </w:p>
        </w:tc>
        <w:tc>
          <w:tcPr>
            <w:tcW w:w="588" w:type="pct"/>
            <w:tcBorders>
              <w:top w:val="nil"/>
              <w:left w:val="nil"/>
              <w:bottom w:val="single" w:sz="4" w:space="0" w:color="auto"/>
              <w:right w:val="single" w:sz="4" w:space="0" w:color="auto"/>
            </w:tcBorders>
            <w:noWrap/>
            <w:vAlign w:val="bottom"/>
            <w:hideMark/>
          </w:tcPr>
          <w:p w14:paraId="39722155"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12.97</w:t>
            </w:r>
          </w:p>
        </w:tc>
        <w:tc>
          <w:tcPr>
            <w:tcW w:w="568" w:type="pct"/>
            <w:tcBorders>
              <w:top w:val="nil"/>
              <w:left w:val="nil"/>
              <w:bottom w:val="single" w:sz="4" w:space="0" w:color="auto"/>
              <w:right w:val="single" w:sz="4" w:space="0" w:color="auto"/>
            </w:tcBorders>
            <w:noWrap/>
            <w:vAlign w:val="bottom"/>
            <w:hideMark/>
          </w:tcPr>
          <w:p w14:paraId="6A759D15"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21.83</w:t>
            </w:r>
          </w:p>
        </w:tc>
      </w:tr>
      <w:tr w:rsidR="005A5E32" w:rsidRPr="005A5E32" w14:paraId="3DAF81A7" w14:textId="77777777" w:rsidTr="005A5E32">
        <w:trPr>
          <w:trHeight w:val="312"/>
          <w:jc w:val="center"/>
        </w:trPr>
        <w:tc>
          <w:tcPr>
            <w:tcW w:w="1622" w:type="pct"/>
            <w:tcBorders>
              <w:top w:val="nil"/>
              <w:left w:val="single" w:sz="4" w:space="0" w:color="auto"/>
              <w:bottom w:val="single" w:sz="4" w:space="0" w:color="auto"/>
              <w:right w:val="single" w:sz="4" w:space="0" w:color="auto"/>
            </w:tcBorders>
            <w:noWrap/>
            <w:vAlign w:val="bottom"/>
            <w:hideMark/>
          </w:tcPr>
          <w:p w14:paraId="60DE14AC" w14:textId="77777777" w:rsidR="005A5E32" w:rsidRPr="005A5E32" w:rsidRDefault="005A5E32" w:rsidP="005A5E32">
            <w:pPr>
              <w:spacing w:before="0" w:after="0" w:line="240" w:lineRule="auto"/>
              <w:jc w:val="left"/>
              <w:rPr>
                <w:rFonts w:ascii="Arial" w:hAnsi="Arial" w:cs="Arial"/>
                <w:b/>
                <w:bCs/>
                <w:lang w:val="en-IN"/>
              </w:rPr>
            </w:pPr>
            <w:r w:rsidRPr="005A5E32">
              <w:rPr>
                <w:rFonts w:ascii="Arial" w:hAnsi="Arial" w:cs="Arial"/>
                <w:b/>
                <w:bCs/>
                <w:lang w:val="en-IN"/>
              </w:rPr>
              <w:t>3. Payable Days (Creditor Payment Period)</w:t>
            </w:r>
          </w:p>
        </w:tc>
        <w:tc>
          <w:tcPr>
            <w:tcW w:w="1077" w:type="pct"/>
            <w:vMerge w:val="restart"/>
            <w:tcBorders>
              <w:top w:val="nil"/>
              <w:left w:val="single" w:sz="4" w:space="0" w:color="auto"/>
              <w:bottom w:val="single" w:sz="4" w:space="0" w:color="auto"/>
              <w:right w:val="single" w:sz="4" w:space="0" w:color="auto"/>
            </w:tcBorders>
            <w:noWrap/>
            <w:vAlign w:val="center"/>
            <w:hideMark/>
          </w:tcPr>
          <w:p w14:paraId="42CC078A" w14:textId="77777777" w:rsidR="005A5E32" w:rsidRPr="005A5E32" w:rsidRDefault="005A5E32" w:rsidP="005A5E32">
            <w:pPr>
              <w:spacing w:before="0" w:after="0" w:line="240" w:lineRule="auto"/>
              <w:jc w:val="center"/>
              <w:rPr>
                <w:rFonts w:ascii="Arial" w:hAnsi="Arial" w:cs="Arial"/>
                <w:lang w:val="en-IN"/>
              </w:rPr>
            </w:pPr>
            <w:r w:rsidRPr="005A5E32">
              <w:rPr>
                <w:rFonts w:ascii="Arial" w:hAnsi="Arial" w:cs="Arial"/>
                <w:lang w:val="en-IN"/>
              </w:rPr>
              <w:t>(Accounts Payable​/</w:t>
            </w:r>
            <w:proofErr w:type="gramStart"/>
            <w:r w:rsidRPr="005A5E32">
              <w:rPr>
                <w:rFonts w:ascii="Arial" w:hAnsi="Arial" w:cs="Arial"/>
                <w:lang w:val="en-IN"/>
              </w:rPr>
              <w:t>Sales)*</w:t>
            </w:r>
            <w:proofErr w:type="gramEnd"/>
            <w:r w:rsidRPr="005A5E32">
              <w:rPr>
                <w:rFonts w:ascii="Arial" w:hAnsi="Arial" w:cs="Arial"/>
                <w:lang w:val="en-IN"/>
              </w:rPr>
              <w:t>365</w:t>
            </w:r>
          </w:p>
        </w:tc>
        <w:tc>
          <w:tcPr>
            <w:tcW w:w="2301" w:type="pct"/>
            <w:gridSpan w:val="5"/>
            <w:tcBorders>
              <w:top w:val="single" w:sz="4" w:space="0" w:color="auto"/>
              <w:left w:val="nil"/>
              <w:bottom w:val="single" w:sz="4" w:space="0" w:color="auto"/>
              <w:right w:val="single" w:sz="4" w:space="0" w:color="auto"/>
            </w:tcBorders>
            <w:noWrap/>
            <w:vAlign w:val="bottom"/>
            <w:hideMark/>
          </w:tcPr>
          <w:p w14:paraId="284A190B" w14:textId="77777777" w:rsidR="005A5E32" w:rsidRPr="005A5E32" w:rsidRDefault="005A5E32" w:rsidP="005A5E32">
            <w:pPr>
              <w:spacing w:before="0" w:after="0" w:line="240" w:lineRule="auto"/>
              <w:jc w:val="center"/>
              <w:rPr>
                <w:rFonts w:ascii="Arial" w:hAnsi="Arial" w:cs="Arial"/>
                <w:lang w:val="en-IN"/>
              </w:rPr>
            </w:pPr>
            <w:r w:rsidRPr="005A5E32">
              <w:rPr>
                <w:rFonts w:ascii="Arial" w:hAnsi="Arial" w:cs="Arial"/>
                <w:lang w:val="en-IN"/>
              </w:rPr>
              <w:t> </w:t>
            </w:r>
          </w:p>
        </w:tc>
      </w:tr>
      <w:tr w:rsidR="005A5E32" w:rsidRPr="005A5E32" w14:paraId="2A8C22C5" w14:textId="77777777" w:rsidTr="005A5E32">
        <w:trPr>
          <w:trHeight w:val="312"/>
          <w:jc w:val="center"/>
        </w:trPr>
        <w:tc>
          <w:tcPr>
            <w:tcW w:w="1622" w:type="pct"/>
            <w:tcBorders>
              <w:top w:val="nil"/>
              <w:left w:val="single" w:sz="4" w:space="0" w:color="auto"/>
              <w:bottom w:val="single" w:sz="4" w:space="0" w:color="auto"/>
              <w:right w:val="single" w:sz="4" w:space="0" w:color="auto"/>
            </w:tcBorders>
            <w:noWrap/>
            <w:vAlign w:val="bottom"/>
            <w:hideMark/>
          </w:tcPr>
          <w:p w14:paraId="110DC886"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Accounts Payable​</w:t>
            </w:r>
          </w:p>
        </w:tc>
        <w:tc>
          <w:tcPr>
            <w:tcW w:w="1077" w:type="pct"/>
            <w:vMerge/>
            <w:tcBorders>
              <w:top w:val="nil"/>
              <w:left w:val="single" w:sz="4" w:space="0" w:color="auto"/>
              <w:bottom w:val="single" w:sz="4" w:space="0" w:color="auto"/>
              <w:right w:val="single" w:sz="4" w:space="0" w:color="auto"/>
            </w:tcBorders>
            <w:vAlign w:val="center"/>
            <w:hideMark/>
          </w:tcPr>
          <w:p w14:paraId="58D282E3" w14:textId="77777777" w:rsidR="005A5E32" w:rsidRPr="005A5E32" w:rsidRDefault="005A5E32" w:rsidP="005A5E32">
            <w:pPr>
              <w:spacing w:before="0" w:after="0" w:line="240" w:lineRule="auto"/>
              <w:jc w:val="left"/>
              <w:rPr>
                <w:rFonts w:ascii="Arial" w:hAnsi="Arial" w:cs="Arial"/>
                <w:lang w:val="en-IN"/>
              </w:rPr>
            </w:pPr>
          </w:p>
        </w:tc>
        <w:tc>
          <w:tcPr>
            <w:tcW w:w="361" w:type="pct"/>
            <w:tcBorders>
              <w:top w:val="nil"/>
              <w:left w:val="nil"/>
              <w:bottom w:val="single" w:sz="4" w:space="0" w:color="auto"/>
              <w:right w:val="single" w:sz="4" w:space="0" w:color="auto"/>
            </w:tcBorders>
            <w:noWrap/>
            <w:vAlign w:val="bottom"/>
            <w:hideMark/>
          </w:tcPr>
          <w:p w14:paraId="1EF41FE0"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12,474 </w:t>
            </w:r>
          </w:p>
        </w:tc>
        <w:tc>
          <w:tcPr>
            <w:tcW w:w="423" w:type="pct"/>
            <w:tcBorders>
              <w:top w:val="nil"/>
              <w:left w:val="nil"/>
              <w:bottom w:val="single" w:sz="4" w:space="0" w:color="auto"/>
              <w:right w:val="single" w:sz="4" w:space="0" w:color="auto"/>
            </w:tcBorders>
            <w:noWrap/>
            <w:vAlign w:val="bottom"/>
            <w:hideMark/>
          </w:tcPr>
          <w:p w14:paraId="16778CF3"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14,431 </w:t>
            </w:r>
          </w:p>
        </w:tc>
        <w:tc>
          <w:tcPr>
            <w:tcW w:w="361" w:type="pct"/>
            <w:tcBorders>
              <w:top w:val="nil"/>
              <w:left w:val="nil"/>
              <w:bottom w:val="single" w:sz="4" w:space="0" w:color="auto"/>
              <w:right w:val="single" w:sz="4" w:space="0" w:color="auto"/>
            </w:tcBorders>
            <w:noWrap/>
            <w:vAlign w:val="bottom"/>
            <w:hideMark/>
          </w:tcPr>
          <w:p w14:paraId="0366FF14"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15,255 </w:t>
            </w:r>
          </w:p>
        </w:tc>
        <w:tc>
          <w:tcPr>
            <w:tcW w:w="588" w:type="pct"/>
            <w:tcBorders>
              <w:top w:val="nil"/>
              <w:left w:val="nil"/>
              <w:bottom w:val="single" w:sz="4" w:space="0" w:color="auto"/>
              <w:right w:val="single" w:sz="4" w:space="0" w:color="auto"/>
            </w:tcBorders>
            <w:noWrap/>
            <w:vAlign w:val="bottom"/>
            <w:hideMark/>
          </w:tcPr>
          <w:p w14:paraId="2154499B"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10,025 </w:t>
            </w:r>
          </w:p>
        </w:tc>
        <w:tc>
          <w:tcPr>
            <w:tcW w:w="568" w:type="pct"/>
            <w:tcBorders>
              <w:top w:val="nil"/>
              <w:left w:val="nil"/>
              <w:bottom w:val="single" w:sz="4" w:space="0" w:color="auto"/>
              <w:right w:val="single" w:sz="4" w:space="0" w:color="auto"/>
            </w:tcBorders>
            <w:noWrap/>
            <w:vAlign w:val="bottom"/>
            <w:hideMark/>
          </w:tcPr>
          <w:p w14:paraId="399880A6"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6,051 </w:t>
            </w:r>
          </w:p>
        </w:tc>
      </w:tr>
      <w:tr w:rsidR="005A5E32" w:rsidRPr="005A5E32" w14:paraId="0561F526" w14:textId="77777777" w:rsidTr="005A5E32">
        <w:trPr>
          <w:trHeight w:val="312"/>
          <w:jc w:val="center"/>
        </w:trPr>
        <w:tc>
          <w:tcPr>
            <w:tcW w:w="1622" w:type="pct"/>
            <w:tcBorders>
              <w:top w:val="nil"/>
              <w:left w:val="single" w:sz="4" w:space="0" w:color="auto"/>
              <w:bottom w:val="single" w:sz="4" w:space="0" w:color="auto"/>
              <w:right w:val="single" w:sz="4" w:space="0" w:color="auto"/>
            </w:tcBorders>
            <w:noWrap/>
            <w:vAlign w:val="bottom"/>
            <w:hideMark/>
          </w:tcPr>
          <w:p w14:paraId="5D1E9776"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Sales</w:t>
            </w:r>
          </w:p>
        </w:tc>
        <w:tc>
          <w:tcPr>
            <w:tcW w:w="1077" w:type="pct"/>
            <w:vMerge/>
            <w:tcBorders>
              <w:top w:val="nil"/>
              <w:left w:val="single" w:sz="4" w:space="0" w:color="auto"/>
              <w:bottom w:val="single" w:sz="4" w:space="0" w:color="auto"/>
              <w:right w:val="single" w:sz="4" w:space="0" w:color="auto"/>
            </w:tcBorders>
            <w:vAlign w:val="center"/>
            <w:hideMark/>
          </w:tcPr>
          <w:p w14:paraId="79A57709" w14:textId="77777777" w:rsidR="005A5E32" w:rsidRPr="005A5E32" w:rsidRDefault="005A5E32" w:rsidP="005A5E32">
            <w:pPr>
              <w:spacing w:before="0" w:after="0" w:line="240" w:lineRule="auto"/>
              <w:jc w:val="left"/>
              <w:rPr>
                <w:rFonts w:ascii="Arial" w:hAnsi="Arial" w:cs="Arial"/>
                <w:lang w:val="en-IN"/>
              </w:rPr>
            </w:pPr>
          </w:p>
        </w:tc>
        <w:tc>
          <w:tcPr>
            <w:tcW w:w="361" w:type="pct"/>
            <w:tcBorders>
              <w:top w:val="nil"/>
              <w:left w:val="nil"/>
              <w:bottom w:val="single" w:sz="4" w:space="0" w:color="auto"/>
              <w:right w:val="single" w:sz="4" w:space="0" w:color="auto"/>
            </w:tcBorders>
            <w:noWrap/>
            <w:vAlign w:val="bottom"/>
            <w:hideMark/>
          </w:tcPr>
          <w:p w14:paraId="5BD4870F"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97,690 </w:t>
            </w:r>
          </w:p>
        </w:tc>
        <w:tc>
          <w:tcPr>
            <w:tcW w:w="423" w:type="pct"/>
            <w:tcBorders>
              <w:top w:val="nil"/>
              <w:left w:val="nil"/>
              <w:bottom w:val="single" w:sz="4" w:space="0" w:color="auto"/>
              <w:right w:val="single" w:sz="4" w:space="0" w:color="auto"/>
            </w:tcBorders>
            <w:noWrap/>
            <w:vAlign w:val="bottom"/>
            <w:hideMark/>
          </w:tcPr>
          <w:p w14:paraId="034E2EC8"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96,773 </w:t>
            </w:r>
          </w:p>
        </w:tc>
        <w:tc>
          <w:tcPr>
            <w:tcW w:w="361" w:type="pct"/>
            <w:tcBorders>
              <w:top w:val="nil"/>
              <w:left w:val="nil"/>
              <w:bottom w:val="single" w:sz="4" w:space="0" w:color="auto"/>
              <w:right w:val="single" w:sz="4" w:space="0" w:color="auto"/>
            </w:tcBorders>
            <w:noWrap/>
            <w:vAlign w:val="bottom"/>
            <w:hideMark/>
          </w:tcPr>
          <w:p w14:paraId="69656A72"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81,462 </w:t>
            </w:r>
          </w:p>
        </w:tc>
        <w:tc>
          <w:tcPr>
            <w:tcW w:w="588" w:type="pct"/>
            <w:tcBorders>
              <w:top w:val="nil"/>
              <w:left w:val="nil"/>
              <w:bottom w:val="single" w:sz="4" w:space="0" w:color="auto"/>
              <w:right w:val="single" w:sz="4" w:space="0" w:color="auto"/>
            </w:tcBorders>
            <w:noWrap/>
            <w:vAlign w:val="bottom"/>
            <w:hideMark/>
          </w:tcPr>
          <w:p w14:paraId="72B195AB"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53,823 </w:t>
            </w:r>
          </w:p>
        </w:tc>
        <w:tc>
          <w:tcPr>
            <w:tcW w:w="568" w:type="pct"/>
            <w:tcBorders>
              <w:top w:val="nil"/>
              <w:left w:val="nil"/>
              <w:bottom w:val="single" w:sz="4" w:space="0" w:color="auto"/>
              <w:right w:val="single" w:sz="4" w:space="0" w:color="auto"/>
            </w:tcBorders>
            <w:noWrap/>
            <w:vAlign w:val="bottom"/>
            <w:hideMark/>
          </w:tcPr>
          <w:p w14:paraId="21C7B470" w14:textId="77777777" w:rsidR="005A5E32" w:rsidRPr="005A5E32" w:rsidRDefault="005A5E32" w:rsidP="005A5E32">
            <w:pPr>
              <w:spacing w:before="0" w:after="0" w:line="240" w:lineRule="auto"/>
              <w:jc w:val="left"/>
              <w:rPr>
                <w:rFonts w:ascii="Arial" w:hAnsi="Arial" w:cs="Arial"/>
                <w:lang w:val="en-IN"/>
              </w:rPr>
            </w:pPr>
            <w:r w:rsidRPr="005A5E32">
              <w:rPr>
                <w:rFonts w:ascii="Arial" w:hAnsi="Arial" w:cs="Arial"/>
                <w:lang w:val="en-IN"/>
              </w:rPr>
              <w:t xml:space="preserve"> $             31,536 </w:t>
            </w:r>
          </w:p>
        </w:tc>
      </w:tr>
      <w:tr w:rsidR="005A5E32" w:rsidRPr="005A5E32" w14:paraId="08933500" w14:textId="77777777" w:rsidTr="005A5E32">
        <w:trPr>
          <w:trHeight w:val="312"/>
          <w:jc w:val="center"/>
        </w:trPr>
        <w:tc>
          <w:tcPr>
            <w:tcW w:w="1622" w:type="pct"/>
            <w:tcBorders>
              <w:top w:val="nil"/>
              <w:left w:val="single" w:sz="4" w:space="0" w:color="auto"/>
              <w:bottom w:val="single" w:sz="4" w:space="0" w:color="auto"/>
              <w:right w:val="single" w:sz="4" w:space="0" w:color="auto"/>
            </w:tcBorders>
            <w:noWrap/>
            <w:vAlign w:val="bottom"/>
            <w:hideMark/>
          </w:tcPr>
          <w:p w14:paraId="1A0658B9" w14:textId="77777777" w:rsidR="005A5E32" w:rsidRPr="005A5E32" w:rsidRDefault="005A5E32" w:rsidP="005A5E32">
            <w:pPr>
              <w:spacing w:before="0" w:after="0" w:line="240" w:lineRule="auto"/>
              <w:jc w:val="left"/>
              <w:rPr>
                <w:rFonts w:ascii="Arial" w:hAnsi="Arial" w:cs="Arial"/>
                <w:b/>
                <w:bCs/>
                <w:lang w:val="en-IN"/>
              </w:rPr>
            </w:pPr>
            <w:r w:rsidRPr="005A5E32">
              <w:rPr>
                <w:rFonts w:ascii="Arial" w:hAnsi="Arial" w:cs="Arial"/>
                <w:b/>
                <w:bCs/>
                <w:lang w:val="en-IN"/>
              </w:rPr>
              <w:t>Payable Days</w:t>
            </w:r>
          </w:p>
        </w:tc>
        <w:tc>
          <w:tcPr>
            <w:tcW w:w="1077" w:type="pct"/>
            <w:vMerge/>
            <w:tcBorders>
              <w:top w:val="nil"/>
              <w:left w:val="single" w:sz="4" w:space="0" w:color="auto"/>
              <w:bottom w:val="single" w:sz="4" w:space="0" w:color="auto"/>
              <w:right w:val="single" w:sz="4" w:space="0" w:color="auto"/>
            </w:tcBorders>
            <w:vAlign w:val="center"/>
            <w:hideMark/>
          </w:tcPr>
          <w:p w14:paraId="0086613E" w14:textId="77777777" w:rsidR="005A5E32" w:rsidRPr="005A5E32" w:rsidRDefault="005A5E32" w:rsidP="005A5E32">
            <w:pPr>
              <w:spacing w:before="0" w:after="0" w:line="240" w:lineRule="auto"/>
              <w:jc w:val="left"/>
              <w:rPr>
                <w:rFonts w:ascii="Arial" w:hAnsi="Arial" w:cs="Arial"/>
                <w:lang w:val="en-IN"/>
              </w:rPr>
            </w:pPr>
          </w:p>
        </w:tc>
        <w:tc>
          <w:tcPr>
            <w:tcW w:w="361" w:type="pct"/>
            <w:tcBorders>
              <w:top w:val="nil"/>
              <w:left w:val="nil"/>
              <w:bottom w:val="single" w:sz="4" w:space="0" w:color="auto"/>
              <w:right w:val="single" w:sz="4" w:space="0" w:color="auto"/>
            </w:tcBorders>
            <w:noWrap/>
            <w:vAlign w:val="bottom"/>
            <w:hideMark/>
          </w:tcPr>
          <w:p w14:paraId="3E4D2532"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46.61</w:t>
            </w:r>
          </w:p>
        </w:tc>
        <w:tc>
          <w:tcPr>
            <w:tcW w:w="423" w:type="pct"/>
            <w:tcBorders>
              <w:top w:val="nil"/>
              <w:left w:val="nil"/>
              <w:bottom w:val="single" w:sz="4" w:space="0" w:color="auto"/>
              <w:right w:val="single" w:sz="4" w:space="0" w:color="auto"/>
            </w:tcBorders>
            <w:noWrap/>
            <w:vAlign w:val="bottom"/>
            <w:hideMark/>
          </w:tcPr>
          <w:p w14:paraId="3098C64F"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54.43</w:t>
            </w:r>
          </w:p>
        </w:tc>
        <w:tc>
          <w:tcPr>
            <w:tcW w:w="361" w:type="pct"/>
            <w:tcBorders>
              <w:top w:val="nil"/>
              <w:left w:val="nil"/>
              <w:bottom w:val="single" w:sz="4" w:space="0" w:color="auto"/>
              <w:right w:val="single" w:sz="4" w:space="0" w:color="auto"/>
            </w:tcBorders>
            <w:noWrap/>
            <w:vAlign w:val="bottom"/>
            <w:hideMark/>
          </w:tcPr>
          <w:p w14:paraId="6FFC8D27"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68.35</w:t>
            </w:r>
          </w:p>
        </w:tc>
        <w:tc>
          <w:tcPr>
            <w:tcW w:w="588" w:type="pct"/>
            <w:tcBorders>
              <w:top w:val="nil"/>
              <w:left w:val="nil"/>
              <w:bottom w:val="single" w:sz="4" w:space="0" w:color="auto"/>
              <w:right w:val="single" w:sz="4" w:space="0" w:color="auto"/>
            </w:tcBorders>
            <w:noWrap/>
            <w:vAlign w:val="bottom"/>
            <w:hideMark/>
          </w:tcPr>
          <w:p w14:paraId="46C003CF"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67.98</w:t>
            </w:r>
          </w:p>
        </w:tc>
        <w:tc>
          <w:tcPr>
            <w:tcW w:w="568" w:type="pct"/>
            <w:tcBorders>
              <w:top w:val="nil"/>
              <w:left w:val="nil"/>
              <w:bottom w:val="single" w:sz="4" w:space="0" w:color="auto"/>
              <w:right w:val="single" w:sz="4" w:space="0" w:color="auto"/>
            </w:tcBorders>
            <w:noWrap/>
            <w:vAlign w:val="bottom"/>
            <w:hideMark/>
          </w:tcPr>
          <w:p w14:paraId="4F5EF2BE"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70.03</w:t>
            </w:r>
          </w:p>
        </w:tc>
      </w:tr>
      <w:tr w:rsidR="005A5E32" w:rsidRPr="005A5E32" w14:paraId="7BB942A3" w14:textId="77777777" w:rsidTr="005A5E32">
        <w:trPr>
          <w:trHeight w:val="600"/>
          <w:jc w:val="center"/>
        </w:trPr>
        <w:tc>
          <w:tcPr>
            <w:tcW w:w="1622" w:type="pct"/>
            <w:tcBorders>
              <w:top w:val="nil"/>
              <w:left w:val="single" w:sz="4" w:space="0" w:color="auto"/>
              <w:bottom w:val="single" w:sz="4" w:space="0" w:color="auto"/>
              <w:right w:val="single" w:sz="4" w:space="0" w:color="auto"/>
            </w:tcBorders>
            <w:noWrap/>
            <w:vAlign w:val="center"/>
            <w:hideMark/>
          </w:tcPr>
          <w:p w14:paraId="1264E98A" w14:textId="77777777" w:rsidR="005A5E32" w:rsidRPr="005A5E32" w:rsidRDefault="005A5E32" w:rsidP="005A5E32">
            <w:pPr>
              <w:spacing w:before="0" w:after="0" w:line="240" w:lineRule="auto"/>
              <w:jc w:val="left"/>
              <w:rPr>
                <w:rFonts w:ascii="Arial" w:hAnsi="Arial" w:cs="Arial"/>
                <w:b/>
                <w:bCs/>
                <w:lang w:val="en-IN"/>
              </w:rPr>
            </w:pPr>
            <w:r w:rsidRPr="005A5E32">
              <w:rPr>
                <w:rFonts w:ascii="Arial" w:hAnsi="Arial" w:cs="Arial"/>
                <w:b/>
                <w:bCs/>
                <w:lang w:val="en-IN"/>
              </w:rPr>
              <w:t>Calculate Cash Operating Cycle (CCC)</w:t>
            </w:r>
          </w:p>
        </w:tc>
        <w:tc>
          <w:tcPr>
            <w:tcW w:w="1077" w:type="pct"/>
            <w:tcBorders>
              <w:top w:val="nil"/>
              <w:left w:val="nil"/>
              <w:bottom w:val="single" w:sz="4" w:space="0" w:color="auto"/>
              <w:right w:val="single" w:sz="4" w:space="0" w:color="auto"/>
            </w:tcBorders>
            <w:vAlign w:val="center"/>
            <w:hideMark/>
          </w:tcPr>
          <w:p w14:paraId="446010E0" w14:textId="77777777" w:rsidR="005A5E32" w:rsidRPr="005A5E32" w:rsidRDefault="005A5E32" w:rsidP="005A5E32">
            <w:pPr>
              <w:spacing w:before="0" w:after="0" w:line="240" w:lineRule="auto"/>
              <w:jc w:val="center"/>
              <w:rPr>
                <w:rFonts w:ascii="Arial" w:hAnsi="Arial" w:cs="Arial"/>
                <w:lang w:val="en-IN"/>
              </w:rPr>
            </w:pPr>
            <w:r w:rsidRPr="005A5E32">
              <w:rPr>
                <w:rFonts w:ascii="Arial" w:hAnsi="Arial" w:cs="Arial"/>
                <w:lang w:val="en-IN"/>
              </w:rPr>
              <w:t xml:space="preserve">Inventory </w:t>
            </w:r>
            <w:proofErr w:type="spellStart"/>
            <w:r w:rsidRPr="005A5E32">
              <w:rPr>
                <w:rFonts w:ascii="Arial" w:hAnsi="Arial" w:cs="Arial"/>
                <w:lang w:val="en-IN"/>
              </w:rPr>
              <w:t>Days+Receivable</w:t>
            </w:r>
            <w:proofErr w:type="spellEnd"/>
            <w:r w:rsidRPr="005A5E32">
              <w:rPr>
                <w:rFonts w:ascii="Arial" w:hAnsi="Arial" w:cs="Arial"/>
                <w:lang w:val="en-IN"/>
              </w:rPr>
              <w:t xml:space="preserve"> Days−Payable Days</w:t>
            </w:r>
          </w:p>
        </w:tc>
        <w:tc>
          <w:tcPr>
            <w:tcW w:w="361" w:type="pct"/>
            <w:tcBorders>
              <w:top w:val="nil"/>
              <w:left w:val="nil"/>
              <w:bottom w:val="single" w:sz="4" w:space="0" w:color="auto"/>
              <w:right w:val="single" w:sz="4" w:space="0" w:color="auto"/>
            </w:tcBorders>
            <w:shd w:val="clear" w:color="000000" w:fill="BFBFBF"/>
            <w:noWrap/>
            <w:vAlign w:val="center"/>
            <w:hideMark/>
          </w:tcPr>
          <w:p w14:paraId="34742EA1"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14.800</w:t>
            </w:r>
          </w:p>
        </w:tc>
        <w:tc>
          <w:tcPr>
            <w:tcW w:w="423" w:type="pct"/>
            <w:tcBorders>
              <w:top w:val="nil"/>
              <w:left w:val="nil"/>
              <w:bottom w:val="single" w:sz="4" w:space="0" w:color="auto"/>
              <w:right w:val="single" w:sz="4" w:space="0" w:color="auto"/>
            </w:tcBorders>
            <w:shd w:val="clear" w:color="000000" w:fill="BFBFBF"/>
            <w:noWrap/>
            <w:vAlign w:val="center"/>
            <w:hideMark/>
          </w:tcPr>
          <w:p w14:paraId="682D9460"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10.195</w:t>
            </w:r>
          </w:p>
        </w:tc>
        <w:tc>
          <w:tcPr>
            <w:tcW w:w="361" w:type="pct"/>
            <w:tcBorders>
              <w:top w:val="nil"/>
              <w:left w:val="nil"/>
              <w:bottom w:val="single" w:sz="4" w:space="0" w:color="auto"/>
              <w:right w:val="single" w:sz="4" w:space="0" w:color="auto"/>
            </w:tcBorders>
            <w:shd w:val="clear" w:color="000000" w:fill="BFBFBF"/>
            <w:noWrap/>
            <w:vAlign w:val="center"/>
            <w:hideMark/>
          </w:tcPr>
          <w:p w14:paraId="37A2286D"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2.402</w:t>
            </w:r>
          </w:p>
        </w:tc>
        <w:tc>
          <w:tcPr>
            <w:tcW w:w="588" w:type="pct"/>
            <w:tcBorders>
              <w:top w:val="nil"/>
              <w:left w:val="nil"/>
              <w:bottom w:val="single" w:sz="4" w:space="0" w:color="auto"/>
              <w:right w:val="single" w:sz="4" w:space="0" w:color="auto"/>
            </w:tcBorders>
            <w:shd w:val="clear" w:color="000000" w:fill="BFBFBF"/>
            <w:noWrap/>
            <w:vAlign w:val="center"/>
            <w:hideMark/>
          </w:tcPr>
          <w:p w14:paraId="62F5B99C"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-15.970</w:t>
            </w:r>
          </w:p>
        </w:tc>
        <w:tc>
          <w:tcPr>
            <w:tcW w:w="568" w:type="pct"/>
            <w:tcBorders>
              <w:top w:val="nil"/>
              <w:left w:val="nil"/>
              <w:bottom w:val="single" w:sz="4" w:space="0" w:color="auto"/>
              <w:right w:val="single" w:sz="4" w:space="0" w:color="auto"/>
            </w:tcBorders>
            <w:shd w:val="clear" w:color="000000" w:fill="BFBFBF"/>
            <w:noWrap/>
            <w:vAlign w:val="center"/>
            <w:hideMark/>
          </w:tcPr>
          <w:p w14:paraId="07DE719D" w14:textId="77777777" w:rsidR="005A5E32" w:rsidRPr="005A5E32" w:rsidRDefault="005A5E32" w:rsidP="005A5E32">
            <w:pPr>
              <w:spacing w:before="0" w:after="0" w:line="240" w:lineRule="auto"/>
              <w:jc w:val="right"/>
              <w:rPr>
                <w:rFonts w:ascii="Arial" w:hAnsi="Arial" w:cs="Arial"/>
                <w:b/>
                <w:bCs/>
                <w:lang w:val="en-IN"/>
              </w:rPr>
            </w:pPr>
            <w:r w:rsidRPr="005A5E32">
              <w:rPr>
                <w:rFonts w:ascii="Arial" w:hAnsi="Arial" w:cs="Arial"/>
                <w:b/>
                <w:bCs/>
                <w:lang w:val="en-IN"/>
              </w:rPr>
              <w:t>-0.741</w:t>
            </w:r>
          </w:p>
        </w:tc>
      </w:tr>
    </w:tbl>
    <w:p w14:paraId="0D3E66AC" w14:textId="77777777" w:rsidR="005A5E32" w:rsidRDefault="005A5E32" w:rsidP="005A5E32">
      <w:pPr>
        <w:jc w:val="center"/>
        <w:rPr>
          <w:rFonts w:ascii="Arial" w:eastAsia="Arial" w:hAnsi="Arial" w:cs="Arial"/>
        </w:rPr>
      </w:pPr>
      <w:r>
        <w:rPr>
          <w:rFonts w:ascii="Arial" w:eastAsia="Arial" w:hAnsi="Arial" w:cs="Arial"/>
        </w:rPr>
        <w:t>(Source: MS-Excel)</w:t>
      </w:r>
    </w:p>
    <w:p w14:paraId="2DF586EA" w14:textId="77777777" w:rsidR="00094755" w:rsidRDefault="009B1CB7">
      <w:pPr>
        <w:pStyle w:val="Heading2"/>
      </w:pPr>
      <w:bookmarkStart w:id="69" w:name="_s127c5cx0nqq" w:colFirst="0" w:colLast="0"/>
      <w:bookmarkEnd w:id="69"/>
      <w:r>
        <w:lastRenderedPageBreak/>
        <w:t>Appendix 5: “Cash Operating Cycle” Graph</w:t>
      </w:r>
    </w:p>
    <w:p w14:paraId="3F457BDA" w14:textId="77777777" w:rsidR="00094755" w:rsidRDefault="00416567" w:rsidP="00416567">
      <w:pPr>
        <w:jc w:val="center"/>
        <w:rPr>
          <w:rFonts w:ascii="Arial" w:eastAsia="Arial" w:hAnsi="Arial" w:cs="Arial"/>
        </w:rPr>
      </w:pPr>
      <w:r>
        <w:rPr>
          <w:rFonts w:ascii="Arial" w:eastAsia="Arial" w:hAnsi="Arial" w:cs="Arial"/>
          <w:noProof/>
        </w:rPr>
        <w:drawing>
          <wp:inline distT="0" distB="0" distL="0" distR="0" wp14:anchorId="6F3A6718" wp14:editId="6EC696BC">
            <wp:extent cx="5602605" cy="2944528"/>
            <wp:effectExtent l="0" t="0" r="0" b="8255"/>
            <wp:docPr id="6478519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609069" cy="2947925"/>
                    </a:xfrm>
                    <a:prstGeom prst="rect">
                      <a:avLst/>
                    </a:prstGeom>
                    <a:noFill/>
                  </pic:spPr>
                </pic:pic>
              </a:graphicData>
            </a:graphic>
          </wp:inline>
        </w:drawing>
      </w:r>
    </w:p>
    <w:p w14:paraId="67AD208D" w14:textId="77777777" w:rsidR="005A5E32" w:rsidRDefault="005A5E32" w:rsidP="005A5E32">
      <w:pPr>
        <w:jc w:val="center"/>
        <w:rPr>
          <w:rFonts w:ascii="Arial" w:eastAsia="Arial" w:hAnsi="Arial" w:cs="Arial"/>
        </w:rPr>
      </w:pPr>
      <w:r>
        <w:rPr>
          <w:rFonts w:ascii="Arial" w:eastAsia="Arial" w:hAnsi="Arial" w:cs="Arial"/>
        </w:rPr>
        <w:t>(Source: MS-Excel)</w:t>
      </w:r>
    </w:p>
    <w:p w14:paraId="77C6B090" w14:textId="77777777" w:rsidR="00094755" w:rsidRDefault="009B1CB7">
      <w:pPr>
        <w:pStyle w:val="Heading2"/>
      </w:pPr>
      <w:bookmarkStart w:id="70" w:name="_4cfklyvlen93" w:colFirst="0" w:colLast="0"/>
      <w:bookmarkEnd w:id="70"/>
      <w:r>
        <w:t>Appendix 6: Investment Appraisal Calculations</w:t>
      </w:r>
    </w:p>
    <w:tbl>
      <w:tblPr>
        <w:tblW w:w="5000" w:type="pct"/>
        <w:jc w:val="center"/>
        <w:tblLook w:val="04A0" w:firstRow="1" w:lastRow="0" w:firstColumn="1" w:lastColumn="0" w:noHBand="0" w:noVBand="1"/>
      </w:tblPr>
      <w:tblGrid>
        <w:gridCol w:w="965"/>
        <w:gridCol w:w="1498"/>
        <w:gridCol w:w="2900"/>
        <w:gridCol w:w="1897"/>
        <w:gridCol w:w="1764"/>
      </w:tblGrid>
      <w:tr w:rsidR="00E6666C" w:rsidRPr="00E6666C" w14:paraId="0E697082" w14:textId="77777777" w:rsidTr="00E6666C">
        <w:trPr>
          <w:trHeight w:val="624"/>
          <w:jc w:val="center"/>
        </w:trPr>
        <w:tc>
          <w:tcPr>
            <w:tcW w:w="484" w:type="pct"/>
            <w:tcBorders>
              <w:top w:val="single" w:sz="4" w:space="0" w:color="000000"/>
              <w:left w:val="single" w:sz="4" w:space="0" w:color="000000"/>
              <w:bottom w:val="single" w:sz="4" w:space="0" w:color="000000"/>
              <w:right w:val="single" w:sz="4" w:space="0" w:color="000000"/>
            </w:tcBorders>
            <w:shd w:val="clear" w:color="000000" w:fill="4D93D9"/>
            <w:vAlign w:val="center"/>
            <w:hideMark/>
          </w:tcPr>
          <w:p w14:paraId="1C70815F"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"Year"</w:t>
            </w:r>
          </w:p>
        </w:tc>
        <w:tc>
          <w:tcPr>
            <w:tcW w:w="763" w:type="pct"/>
            <w:tcBorders>
              <w:top w:val="single" w:sz="4" w:space="0" w:color="000000"/>
              <w:left w:val="nil"/>
              <w:bottom w:val="single" w:sz="4" w:space="0" w:color="000000"/>
              <w:right w:val="single" w:sz="4" w:space="0" w:color="000000"/>
            </w:tcBorders>
            <w:shd w:val="clear" w:color="000000" w:fill="4D93D9"/>
            <w:vAlign w:val="center"/>
            <w:hideMark/>
          </w:tcPr>
          <w:p w14:paraId="231FD322"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"Cash Flow"</w:t>
            </w:r>
          </w:p>
        </w:tc>
        <w:tc>
          <w:tcPr>
            <w:tcW w:w="1887" w:type="pct"/>
            <w:tcBorders>
              <w:top w:val="single" w:sz="4" w:space="0" w:color="000000"/>
              <w:left w:val="nil"/>
              <w:bottom w:val="single" w:sz="4" w:space="0" w:color="000000"/>
              <w:right w:val="single" w:sz="4" w:space="0" w:color="000000"/>
            </w:tcBorders>
            <w:shd w:val="clear" w:color="000000" w:fill="4D93D9"/>
            <w:vAlign w:val="center"/>
            <w:hideMark/>
          </w:tcPr>
          <w:p w14:paraId="16F38CFB"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"Discounting Factor @10%"</w:t>
            </w:r>
          </w:p>
        </w:tc>
        <w:tc>
          <w:tcPr>
            <w:tcW w:w="963" w:type="pct"/>
            <w:tcBorders>
              <w:top w:val="single" w:sz="4" w:space="0" w:color="000000"/>
              <w:left w:val="nil"/>
              <w:bottom w:val="single" w:sz="4" w:space="0" w:color="000000"/>
              <w:right w:val="single" w:sz="4" w:space="0" w:color="000000"/>
            </w:tcBorders>
            <w:shd w:val="clear" w:color="000000" w:fill="4D93D9"/>
            <w:vAlign w:val="center"/>
            <w:hideMark/>
          </w:tcPr>
          <w:p w14:paraId="1874338E"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"Present Value"</w:t>
            </w:r>
          </w:p>
        </w:tc>
        <w:tc>
          <w:tcPr>
            <w:tcW w:w="903" w:type="pct"/>
            <w:tcBorders>
              <w:top w:val="nil"/>
              <w:left w:val="nil"/>
              <w:bottom w:val="nil"/>
              <w:right w:val="nil"/>
            </w:tcBorders>
            <w:shd w:val="clear" w:color="000000" w:fill="FFFFFF"/>
            <w:noWrap/>
            <w:vAlign w:val="center"/>
            <w:hideMark/>
          </w:tcPr>
          <w:p w14:paraId="3CEA952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057FC235" w14:textId="77777777" w:rsidTr="00E6666C">
        <w:trPr>
          <w:trHeight w:val="300"/>
          <w:jc w:val="center"/>
        </w:trPr>
        <w:tc>
          <w:tcPr>
            <w:tcW w:w="484" w:type="pct"/>
            <w:tcBorders>
              <w:top w:val="nil"/>
              <w:left w:val="single" w:sz="4" w:space="0" w:color="000000"/>
              <w:bottom w:val="single" w:sz="4" w:space="0" w:color="000000"/>
              <w:right w:val="single" w:sz="4" w:space="0" w:color="000000"/>
            </w:tcBorders>
            <w:shd w:val="clear" w:color="000000" w:fill="FFFFFF"/>
            <w:noWrap/>
            <w:vAlign w:val="center"/>
            <w:hideMark/>
          </w:tcPr>
          <w:p w14:paraId="7E0DF58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w:t>
            </w:r>
          </w:p>
        </w:tc>
        <w:tc>
          <w:tcPr>
            <w:tcW w:w="763" w:type="pct"/>
            <w:tcBorders>
              <w:top w:val="nil"/>
              <w:left w:val="nil"/>
              <w:bottom w:val="single" w:sz="4" w:space="0" w:color="000000"/>
              <w:right w:val="single" w:sz="4" w:space="0" w:color="000000"/>
            </w:tcBorders>
            <w:shd w:val="clear" w:color="000000" w:fill="FFFFFF"/>
            <w:noWrap/>
            <w:vAlign w:val="center"/>
            <w:hideMark/>
          </w:tcPr>
          <w:p w14:paraId="7892299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1887" w:type="pct"/>
            <w:tcBorders>
              <w:top w:val="nil"/>
              <w:left w:val="nil"/>
              <w:bottom w:val="single" w:sz="4" w:space="0" w:color="000000"/>
              <w:right w:val="single" w:sz="4" w:space="0" w:color="000000"/>
            </w:tcBorders>
            <w:shd w:val="clear" w:color="000000" w:fill="FFFFFF"/>
            <w:noWrap/>
            <w:vAlign w:val="center"/>
            <w:hideMark/>
          </w:tcPr>
          <w:p w14:paraId="1A5374E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963" w:type="pct"/>
            <w:tcBorders>
              <w:top w:val="nil"/>
              <w:left w:val="nil"/>
              <w:bottom w:val="single" w:sz="4" w:space="0" w:color="000000"/>
              <w:right w:val="single" w:sz="4" w:space="0" w:color="000000"/>
            </w:tcBorders>
            <w:shd w:val="clear" w:color="000000" w:fill="FFFFFF"/>
            <w:noWrap/>
            <w:vAlign w:val="center"/>
            <w:hideMark/>
          </w:tcPr>
          <w:p w14:paraId="0EB9A2E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903" w:type="pct"/>
            <w:tcBorders>
              <w:top w:val="nil"/>
              <w:left w:val="nil"/>
              <w:bottom w:val="nil"/>
              <w:right w:val="nil"/>
            </w:tcBorders>
            <w:shd w:val="clear" w:color="000000" w:fill="FFFFFF"/>
            <w:noWrap/>
            <w:vAlign w:val="center"/>
            <w:hideMark/>
          </w:tcPr>
          <w:p w14:paraId="02AB6CF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7DCD3396" w14:textId="77777777" w:rsidTr="00E6666C">
        <w:trPr>
          <w:trHeight w:val="300"/>
          <w:jc w:val="center"/>
        </w:trPr>
        <w:tc>
          <w:tcPr>
            <w:tcW w:w="484" w:type="pct"/>
            <w:tcBorders>
              <w:top w:val="nil"/>
              <w:left w:val="single" w:sz="4" w:space="0" w:color="000000"/>
              <w:bottom w:val="single" w:sz="4" w:space="0" w:color="000000"/>
              <w:right w:val="single" w:sz="4" w:space="0" w:color="000000"/>
            </w:tcBorders>
            <w:shd w:val="clear" w:color="000000" w:fill="FFFFFF"/>
            <w:noWrap/>
            <w:vAlign w:val="center"/>
            <w:hideMark/>
          </w:tcPr>
          <w:p w14:paraId="114A1E8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w:t>
            </w:r>
          </w:p>
        </w:tc>
        <w:tc>
          <w:tcPr>
            <w:tcW w:w="763" w:type="pct"/>
            <w:tcBorders>
              <w:top w:val="nil"/>
              <w:left w:val="nil"/>
              <w:bottom w:val="single" w:sz="4" w:space="0" w:color="000000"/>
              <w:right w:val="single" w:sz="4" w:space="0" w:color="000000"/>
            </w:tcBorders>
            <w:shd w:val="clear" w:color="000000" w:fill="FFFFFF"/>
            <w:noWrap/>
            <w:vAlign w:val="center"/>
            <w:hideMark/>
          </w:tcPr>
          <w:p w14:paraId="638134F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c>
          <w:tcPr>
            <w:tcW w:w="1887" w:type="pct"/>
            <w:tcBorders>
              <w:top w:val="nil"/>
              <w:left w:val="nil"/>
              <w:bottom w:val="single" w:sz="4" w:space="0" w:color="000000"/>
              <w:right w:val="single" w:sz="4" w:space="0" w:color="000000"/>
            </w:tcBorders>
            <w:shd w:val="clear" w:color="000000" w:fill="FFFFFF"/>
            <w:noWrap/>
            <w:vAlign w:val="center"/>
            <w:hideMark/>
          </w:tcPr>
          <w:p w14:paraId="6EDA9B5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0.909</w:t>
            </w:r>
          </w:p>
        </w:tc>
        <w:tc>
          <w:tcPr>
            <w:tcW w:w="963" w:type="pct"/>
            <w:tcBorders>
              <w:top w:val="nil"/>
              <w:left w:val="nil"/>
              <w:bottom w:val="single" w:sz="4" w:space="0" w:color="000000"/>
              <w:right w:val="single" w:sz="4" w:space="0" w:color="000000"/>
            </w:tcBorders>
            <w:shd w:val="clear" w:color="000000" w:fill="FFFFFF"/>
            <w:noWrap/>
            <w:vAlign w:val="center"/>
            <w:hideMark/>
          </w:tcPr>
          <w:p w14:paraId="538687C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9.09 </w:t>
            </w:r>
          </w:p>
        </w:tc>
        <w:tc>
          <w:tcPr>
            <w:tcW w:w="903" w:type="pct"/>
            <w:tcBorders>
              <w:top w:val="nil"/>
              <w:left w:val="nil"/>
              <w:bottom w:val="nil"/>
              <w:right w:val="nil"/>
            </w:tcBorders>
            <w:shd w:val="clear" w:color="000000" w:fill="FFFFFF"/>
            <w:noWrap/>
            <w:vAlign w:val="center"/>
            <w:hideMark/>
          </w:tcPr>
          <w:p w14:paraId="6B141DE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1A81E7DF" w14:textId="77777777" w:rsidTr="00E6666C">
        <w:trPr>
          <w:trHeight w:val="300"/>
          <w:jc w:val="center"/>
        </w:trPr>
        <w:tc>
          <w:tcPr>
            <w:tcW w:w="484" w:type="pct"/>
            <w:tcBorders>
              <w:top w:val="nil"/>
              <w:left w:val="single" w:sz="4" w:space="0" w:color="000000"/>
              <w:bottom w:val="single" w:sz="4" w:space="0" w:color="000000"/>
              <w:right w:val="single" w:sz="4" w:space="0" w:color="000000"/>
            </w:tcBorders>
            <w:shd w:val="clear" w:color="000000" w:fill="FFFFFF"/>
            <w:noWrap/>
            <w:vAlign w:val="center"/>
            <w:hideMark/>
          </w:tcPr>
          <w:p w14:paraId="4440F2B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2</w:t>
            </w:r>
          </w:p>
        </w:tc>
        <w:tc>
          <w:tcPr>
            <w:tcW w:w="763" w:type="pct"/>
            <w:tcBorders>
              <w:top w:val="nil"/>
              <w:left w:val="nil"/>
              <w:bottom w:val="single" w:sz="4" w:space="0" w:color="000000"/>
              <w:right w:val="single" w:sz="4" w:space="0" w:color="000000"/>
            </w:tcBorders>
            <w:shd w:val="clear" w:color="000000" w:fill="FFFFFF"/>
            <w:noWrap/>
            <w:vAlign w:val="center"/>
            <w:hideMark/>
          </w:tcPr>
          <w:p w14:paraId="0AABF54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12.00 </w:t>
            </w:r>
          </w:p>
        </w:tc>
        <w:tc>
          <w:tcPr>
            <w:tcW w:w="1887" w:type="pct"/>
            <w:tcBorders>
              <w:top w:val="nil"/>
              <w:left w:val="nil"/>
              <w:bottom w:val="single" w:sz="4" w:space="0" w:color="000000"/>
              <w:right w:val="single" w:sz="4" w:space="0" w:color="000000"/>
            </w:tcBorders>
            <w:shd w:val="clear" w:color="000000" w:fill="FFFFFF"/>
            <w:noWrap/>
            <w:vAlign w:val="center"/>
            <w:hideMark/>
          </w:tcPr>
          <w:p w14:paraId="01ED716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0.826</w:t>
            </w:r>
          </w:p>
        </w:tc>
        <w:tc>
          <w:tcPr>
            <w:tcW w:w="963" w:type="pct"/>
            <w:tcBorders>
              <w:top w:val="nil"/>
              <w:left w:val="nil"/>
              <w:bottom w:val="single" w:sz="4" w:space="0" w:color="000000"/>
              <w:right w:val="single" w:sz="4" w:space="0" w:color="000000"/>
            </w:tcBorders>
            <w:shd w:val="clear" w:color="000000" w:fill="FFFFFF"/>
            <w:noWrap/>
            <w:vAlign w:val="center"/>
            <w:hideMark/>
          </w:tcPr>
          <w:p w14:paraId="0D23156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9.92 </w:t>
            </w:r>
          </w:p>
        </w:tc>
        <w:tc>
          <w:tcPr>
            <w:tcW w:w="903" w:type="pct"/>
            <w:tcBorders>
              <w:top w:val="nil"/>
              <w:left w:val="nil"/>
              <w:bottom w:val="nil"/>
              <w:right w:val="nil"/>
            </w:tcBorders>
            <w:shd w:val="clear" w:color="000000" w:fill="FFFFFF"/>
            <w:noWrap/>
            <w:vAlign w:val="center"/>
            <w:hideMark/>
          </w:tcPr>
          <w:p w14:paraId="15F95D6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102C6473" w14:textId="77777777" w:rsidTr="00E6666C">
        <w:trPr>
          <w:trHeight w:val="300"/>
          <w:jc w:val="center"/>
        </w:trPr>
        <w:tc>
          <w:tcPr>
            <w:tcW w:w="484" w:type="pct"/>
            <w:tcBorders>
              <w:top w:val="nil"/>
              <w:left w:val="single" w:sz="4" w:space="0" w:color="000000"/>
              <w:bottom w:val="single" w:sz="4" w:space="0" w:color="000000"/>
              <w:right w:val="single" w:sz="4" w:space="0" w:color="000000"/>
            </w:tcBorders>
            <w:shd w:val="clear" w:color="000000" w:fill="FFFFFF"/>
            <w:noWrap/>
            <w:vAlign w:val="center"/>
            <w:hideMark/>
          </w:tcPr>
          <w:p w14:paraId="04A912F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3</w:t>
            </w:r>
          </w:p>
        </w:tc>
        <w:tc>
          <w:tcPr>
            <w:tcW w:w="763" w:type="pct"/>
            <w:tcBorders>
              <w:top w:val="nil"/>
              <w:left w:val="nil"/>
              <w:bottom w:val="single" w:sz="4" w:space="0" w:color="000000"/>
              <w:right w:val="single" w:sz="4" w:space="0" w:color="000000"/>
            </w:tcBorders>
            <w:shd w:val="clear" w:color="000000" w:fill="FFFFFF"/>
            <w:noWrap/>
            <w:vAlign w:val="center"/>
            <w:hideMark/>
          </w:tcPr>
          <w:p w14:paraId="654971B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14.00 </w:t>
            </w:r>
          </w:p>
        </w:tc>
        <w:tc>
          <w:tcPr>
            <w:tcW w:w="1887" w:type="pct"/>
            <w:tcBorders>
              <w:top w:val="nil"/>
              <w:left w:val="nil"/>
              <w:bottom w:val="single" w:sz="4" w:space="0" w:color="000000"/>
              <w:right w:val="single" w:sz="4" w:space="0" w:color="000000"/>
            </w:tcBorders>
            <w:shd w:val="clear" w:color="000000" w:fill="FFFFFF"/>
            <w:noWrap/>
            <w:vAlign w:val="center"/>
            <w:hideMark/>
          </w:tcPr>
          <w:p w14:paraId="4D9C9C3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0.751</w:t>
            </w:r>
          </w:p>
        </w:tc>
        <w:tc>
          <w:tcPr>
            <w:tcW w:w="963" w:type="pct"/>
            <w:tcBorders>
              <w:top w:val="nil"/>
              <w:left w:val="nil"/>
              <w:bottom w:val="single" w:sz="4" w:space="0" w:color="000000"/>
              <w:right w:val="single" w:sz="4" w:space="0" w:color="000000"/>
            </w:tcBorders>
            <w:shd w:val="clear" w:color="000000" w:fill="FFFFFF"/>
            <w:noWrap/>
            <w:vAlign w:val="center"/>
            <w:hideMark/>
          </w:tcPr>
          <w:p w14:paraId="0C20B4A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10.52 </w:t>
            </w:r>
          </w:p>
        </w:tc>
        <w:tc>
          <w:tcPr>
            <w:tcW w:w="903" w:type="pct"/>
            <w:tcBorders>
              <w:top w:val="nil"/>
              <w:left w:val="nil"/>
              <w:bottom w:val="nil"/>
              <w:right w:val="nil"/>
            </w:tcBorders>
            <w:shd w:val="clear" w:color="000000" w:fill="FFFFFF"/>
            <w:noWrap/>
            <w:vAlign w:val="center"/>
            <w:hideMark/>
          </w:tcPr>
          <w:p w14:paraId="5DBF54F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1383EF0C" w14:textId="77777777" w:rsidTr="00E6666C">
        <w:trPr>
          <w:trHeight w:val="300"/>
          <w:jc w:val="center"/>
        </w:trPr>
        <w:tc>
          <w:tcPr>
            <w:tcW w:w="484" w:type="pct"/>
            <w:tcBorders>
              <w:top w:val="nil"/>
              <w:left w:val="single" w:sz="4" w:space="0" w:color="000000"/>
              <w:bottom w:val="single" w:sz="4" w:space="0" w:color="000000"/>
              <w:right w:val="single" w:sz="4" w:space="0" w:color="000000"/>
            </w:tcBorders>
            <w:shd w:val="clear" w:color="000000" w:fill="FFFFFF"/>
            <w:noWrap/>
            <w:vAlign w:val="center"/>
            <w:hideMark/>
          </w:tcPr>
          <w:p w14:paraId="121650E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4</w:t>
            </w:r>
          </w:p>
        </w:tc>
        <w:tc>
          <w:tcPr>
            <w:tcW w:w="763" w:type="pct"/>
            <w:tcBorders>
              <w:top w:val="nil"/>
              <w:left w:val="nil"/>
              <w:bottom w:val="single" w:sz="4" w:space="0" w:color="000000"/>
              <w:right w:val="single" w:sz="4" w:space="0" w:color="000000"/>
            </w:tcBorders>
            <w:shd w:val="clear" w:color="000000" w:fill="FFFFFF"/>
            <w:noWrap/>
            <w:vAlign w:val="center"/>
            <w:hideMark/>
          </w:tcPr>
          <w:p w14:paraId="7D2A0EB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c>
          <w:tcPr>
            <w:tcW w:w="1887" w:type="pct"/>
            <w:tcBorders>
              <w:top w:val="nil"/>
              <w:left w:val="nil"/>
              <w:bottom w:val="single" w:sz="4" w:space="0" w:color="000000"/>
              <w:right w:val="single" w:sz="4" w:space="0" w:color="000000"/>
            </w:tcBorders>
            <w:shd w:val="clear" w:color="000000" w:fill="FFFFFF"/>
            <w:noWrap/>
            <w:vAlign w:val="center"/>
            <w:hideMark/>
          </w:tcPr>
          <w:p w14:paraId="5184A00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0.683</w:t>
            </w:r>
          </w:p>
        </w:tc>
        <w:tc>
          <w:tcPr>
            <w:tcW w:w="963" w:type="pct"/>
            <w:tcBorders>
              <w:top w:val="nil"/>
              <w:left w:val="nil"/>
              <w:bottom w:val="single" w:sz="4" w:space="0" w:color="000000"/>
              <w:right w:val="single" w:sz="4" w:space="0" w:color="000000"/>
            </w:tcBorders>
            <w:shd w:val="clear" w:color="000000" w:fill="FFFFFF"/>
            <w:noWrap/>
            <w:vAlign w:val="center"/>
            <w:hideMark/>
          </w:tcPr>
          <w:p w14:paraId="67FB58D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6.83 </w:t>
            </w:r>
          </w:p>
        </w:tc>
        <w:tc>
          <w:tcPr>
            <w:tcW w:w="903" w:type="pct"/>
            <w:tcBorders>
              <w:top w:val="nil"/>
              <w:left w:val="nil"/>
              <w:bottom w:val="nil"/>
              <w:right w:val="nil"/>
            </w:tcBorders>
            <w:shd w:val="clear" w:color="000000" w:fill="FFFFFF"/>
            <w:noWrap/>
            <w:vAlign w:val="center"/>
            <w:hideMark/>
          </w:tcPr>
          <w:p w14:paraId="308C5AC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26936429" w14:textId="77777777" w:rsidTr="00E6666C">
        <w:trPr>
          <w:trHeight w:val="300"/>
          <w:jc w:val="center"/>
        </w:trPr>
        <w:tc>
          <w:tcPr>
            <w:tcW w:w="484" w:type="pct"/>
            <w:tcBorders>
              <w:top w:val="nil"/>
              <w:left w:val="single" w:sz="4" w:space="0" w:color="000000"/>
              <w:bottom w:val="single" w:sz="4" w:space="0" w:color="000000"/>
              <w:right w:val="single" w:sz="4" w:space="0" w:color="000000"/>
            </w:tcBorders>
            <w:shd w:val="clear" w:color="000000" w:fill="FFFFFF"/>
            <w:noWrap/>
            <w:vAlign w:val="center"/>
            <w:hideMark/>
          </w:tcPr>
          <w:p w14:paraId="477655E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5</w:t>
            </w:r>
          </w:p>
        </w:tc>
        <w:tc>
          <w:tcPr>
            <w:tcW w:w="763" w:type="pct"/>
            <w:tcBorders>
              <w:top w:val="nil"/>
              <w:left w:val="nil"/>
              <w:bottom w:val="single" w:sz="4" w:space="0" w:color="000000"/>
              <w:right w:val="single" w:sz="4" w:space="0" w:color="000000"/>
            </w:tcBorders>
            <w:shd w:val="clear" w:color="000000" w:fill="FFFFFF"/>
            <w:noWrap/>
            <w:vAlign w:val="center"/>
            <w:hideMark/>
          </w:tcPr>
          <w:p w14:paraId="21CA881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8.00 </w:t>
            </w:r>
          </w:p>
        </w:tc>
        <w:tc>
          <w:tcPr>
            <w:tcW w:w="1887" w:type="pct"/>
            <w:tcBorders>
              <w:top w:val="nil"/>
              <w:left w:val="nil"/>
              <w:bottom w:val="single" w:sz="4" w:space="0" w:color="000000"/>
              <w:right w:val="single" w:sz="4" w:space="0" w:color="000000"/>
            </w:tcBorders>
            <w:shd w:val="clear" w:color="000000" w:fill="FFFFFF"/>
            <w:noWrap/>
            <w:vAlign w:val="center"/>
            <w:hideMark/>
          </w:tcPr>
          <w:p w14:paraId="71D48A6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0.621</w:t>
            </w:r>
          </w:p>
        </w:tc>
        <w:tc>
          <w:tcPr>
            <w:tcW w:w="963" w:type="pct"/>
            <w:tcBorders>
              <w:top w:val="nil"/>
              <w:left w:val="nil"/>
              <w:bottom w:val="single" w:sz="4" w:space="0" w:color="000000"/>
              <w:right w:val="single" w:sz="4" w:space="0" w:color="000000"/>
            </w:tcBorders>
            <w:shd w:val="clear" w:color="000000" w:fill="FFFFFF"/>
            <w:noWrap/>
            <w:vAlign w:val="center"/>
            <w:hideMark/>
          </w:tcPr>
          <w:p w14:paraId="01CEE21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4.97 </w:t>
            </w:r>
          </w:p>
        </w:tc>
        <w:tc>
          <w:tcPr>
            <w:tcW w:w="903" w:type="pct"/>
            <w:tcBorders>
              <w:top w:val="nil"/>
              <w:left w:val="nil"/>
              <w:bottom w:val="nil"/>
              <w:right w:val="nil"/>
            </w:tcBorders>
            <w:shd w:val="clear" w:color="000000" w:fill="FFFFFF"/>
            <w:noWrap/>
            <w:vAlign w:val="center"/>
            <w:hideMark/>
          </w:tcPr>
          <w:p w14:paraId="78C4879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283617D6" w14:textId="77777777" w:rsidTr="00E6666C">
        <w:trPr>
          <w:trHeight w:val="312"/>
          <w:jc w:val="center"/>
        </w:trPr>
        <w:tc>
          <w:tcPr>
            <w:tcW w:w="3133" w:type="pct"/>
            <w:gridSpan w:val="3"/>
            <w:tcBorders>
              <w:top w:val="single" w:sz="4" w:space="0" w:color="000000"/>
              <w:left w:val="single" w:sz="4" w:space="0" w:color="000000"/>
              <w:bottom w:val="nil"/>
              <w:right w:val="single" w:sz="4" w:space="0" w:color="000000"/>
            </w:tcBorders>
            <w:shd w:val="clear" w:color="000000" w:fill="FFFFFF"/>
            <w:vAlign w:val="center"/>
            <w:hideMark/>
          </w:tcPr>
          <w:p w14:paraId="7F764671"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"Net Present Value (NPV) of Project A"</w:t>
            </w:r>
          </w:p>
        </w:tc>
        <w:tc>
          <w:tcPr>
            <w:tcW w:w="963" w:type="pct"/>
            <w:tcBorders>
              <w:top w:val="nil"/>
              <w:left w:val="nil"/>
              <w:bottom w:val="nil"/>
              <w:right w:val="single" w:sz="4" w:space="0" w:color="000000"/>
            </w:tcBorders>
            <w:shd w:val="clear" w:color="000000" w:fill="FFFFFF"/>
            <w:vAlign w:val="center"/>
            <w:hideMark/>
          </w:tcPr>
          <w:p w14:paraId="77795D2D" w14:textId="77777777" w:rsidR="00E6666C" w:rsidRPr="00E6666C" w:rsidRDefault="00E6666C" w:rsidP="00E6666C">
            <w:pPr>
              <w:spacing w:before="0" w:after="0" w:line="240" w:lineRule="auto"/>
              <w:jc w:val="left"/>
              <w:rPr>
                <w:rFonts w:ascii="Arial" w:hAnsi="Arial" w:cs="Arial"/>
                <w:b/>
                <w:bCs/>
                <w:color w:val="000000"/>
                <w:lang w:val="en-IN"/>
              </w:rPr>
            </w:pPr>
            <w:r w:rsidRPr="00E6666C">
              <w:rPr>
                <w:rFonts w:ascii="Arial" w:hAnsi="Arial" w:cs="Arial"/>
                <w:b/>
                <w:bCs/>
                <w:color w:val="000000"/>
                <w:lang w:val="en-IN"/>
              </w:rPr>
              <w:t xml:space="preserve">-£               8.68 </w:t>
            </w:r>
          </w:p>
        </w:tc>
        <w:tc>
          <w:tcPr>
            <w:tcW w:w="903" w:type="pct"/>
            <w:tcBorders>
              <w:top w:val="nil"/>
              <w:left w:val="nil"/>
              <w:bottom w:val="nil"/>
              <w:right w:val="nil"/>
            </w:tcBorders>
            <w:shd w:val="clear" w:color="000000" w:fill="FFFFFF"/>
            <w:noWrap/>
            <w:vAlign w:val="center"/>
            <w:hideMark/>
          </w:tcPr>
          <w:p w14:paraId="05F8789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4D8F909F" w14:textId="77777777" w:rsidTr="00E6666C">
        <w:trPr>
          <w:trHeight w:val="312"/>
          <w:jc w:val="center"/>
        </w:trPr>
        <w:tc>
          <w:tcPr>
            <w:tcW w:w="3133" w:type="pct"/>
            <w:gridSpan w:val="3"/>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3E3D3952"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"Profitability Index (PI) of Project A"</w:t>
            </w:r>
          </w:p>
        </w:tc>
        <w:tc>
          <w:tcPr>
            <w:tcW w:w="963" w:type="pct"/>
            <w:tcBorders>
              <w:top w:val="single" w:sz="4" w:space="0" w:color="auto"/>
              <w:left w:val="nil"/>
              <w:bottom w:val="single" w:sz="4" w:space="0" w:color="auto"/>
              <w:right w:val="single" w:sz="4" w:space="0" w:color="auto"/>
            </w:tcBorders>
            <w:shd w:val="clear" w:color="000000" w:fill="FFFFFF"/>
            <w:noWrap/>
            <w:vAlign w:val="center"/>
            <w:hideMark/>
          </w:tcPr>
          <w:p w14:paraId="4DCCCAB1"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1.17</w:t>
            </w:r>
          </w:p>
        </w:tc>
        <w:tc>
          <w:tcPr>
            <w:tcW w:w="903" w:type="pct"/>
            <w:tcBorders>
              <w:top w:val="nil"/>
              <w:left w:val="nil"/>
              <w:bottom w:val="nil"/>
              <w:right w:val="nil"/>
            </w:tcBorders>
            <w:shd w:val="clear" w:color="000000" w:fill="FFFFFF"/>
            <w:noWrap/>
            <w:vAlign w:val="center"/>
            <w:hideMark/>
          </w:tcPr>
          <w:p w14:paraId="4488C23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4E20E348" w14:textId="77777777" w:rsidTr="00E6666C">
        <w:trPr>
          <w:trHeight w:val="300"/>
          <w:jc w:val="center"/>
        </w:trPr>
        <w:tc>
          <w:tcPr>
            <w:tcW w:w="484" w:type="pct"/>
            <w:tcBorders>
              <w:top w:val="nil"/>
              <w:left w:val="nil"/>
              <w:bottom w:val="nil"/>
              <w:right w:val="nil"/>
            </w:tcBorders>
            <w:shd w:val="clear" w:color="000000" w:fill="FFFFFF"/>
            <w:noWrap/>
            <w:vAlign w:val="center"/>
            <w:hideMark/>
          </w:tcPr>
          <w:p w14:paraId="17ABF90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763" w:type="pct"/>
            <w:tcBorders>
              <w:top w:val="nil"/>
              <w:left w:val="nil"/>
              <w:bottom w:val="nil"/>
              <w:right w:val="nil"/>
            </w:tcBorders>
            <w:shd w:val="clear" w:color="000000" w:fill="FFFFFF"/>
            <w:noWrap/>
            <w:vAlign w:val="center"/>
            <w:hideMark/>
          </w:tcPr>
          <w:p w14:paraId="3B7D768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887" w:type="pct"/>
            <w:tcBorders>
              <w:top w:val="nil"/>
              <w:left w:val="nil"/>
              <w:bottom w:val="nil"/>
              <w:right w:val="nil"/>
            </w:tcBorders>
            <w:shd w:val="clear" w:color="000000" w:fill="FFFFFF"/>
            <w:noWrap/>
            <w:vAlign w:val="center"/>
            <w:hideMark/>
          </w:tcPr>
          <w:p w14:paraId="5738217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963" w:type="pct"/>
            <w:tcBorders>
              <w:top w:val="nil"/>
              <w:left w:val="nil"/>
              <w:bottom w:val="nil"/>
              <w:right w:val="nil"/>
            </w:tcBorders>
            <w:shd w:val="clear" w:color="000000" w:fill="FFFFFF"/>
            <w:noWrap/>
            <w:vAlign w:val="center"/>
            <w:hideMark/>
          </w:tcPr>
          <w:p w14:paraId="1F68633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903" w:type="pct"/>
            <w:tcBorders>
              <w:top w:val="nil"/>
              <w:left w:val="nil"/>
              <w:bottom w:val="nil"/>
              <w:right w:val="nil"/>
            </w:tcBorders>
            <w:shd w:val="clear" w:color="000000" w:fill="FFFFFF"/>
            <w:noWrap/>
            <w:vAlign w:val="center"/>
            <w:hideMark/>
          </w:tcPr>
          <w:p w14:paraId="02B3FDE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60C3385F" w14:textId="77777777" w:rsidTr="00E6666C">
        <w:trPr>
          <w:trHeight w:val="624"/>
          <w:jc w:val="center"/>
        </w:trPr>
        <w:tc>
          <w:tcPr>
            <w:tcW w:w="484" w:type="pct"/>
            <w:tcBorders>
              <w:top w:val="single" w:sz="4" w:space="0" w:color="000000"/>
              <w:left w:val="single" w:sz="4" w:space="0" w:color="000000"/>
              <w:bottom w:val="single" w:sz="4" w:space="0" w:color="000000"/>
              <w:right w:val="single" w:sz="4" w:space="0" w:color="000000"/>
            </w:tcBorders>
            <w:shd w:val="clear" w:color="000000" w:fill="4D93D9"/>
            <w:vAlign w:val="center"/>
            <w:hideMark/>
          </w:tcPr>
          <w:p w14:paraId="5EBC22DD"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"Year"</w:t>
            </w:r>
          </w:p>
        </w:tc>
        <w:tc>
          <w:tcPr>
            <w:tcW w:w="763" w:type="pct"/>
            <w:tcBorders>
              <w:top w:val="single" w:sz="4" w:space="0" w:color="000000"/>
              <w:left w:val="nil"/>
              <w:bottom w:val="single" w:sz="4" w:space="0" w:color="000000"/>
              <w:right w:val="single" w:sz="4" w:space="0" w:color="000000"/>
            </w:tcBorders>
            <w:shd w:val="clear" w:color="000000" w:fill="4D93D9"/>
            <w:vAlign w:val="center"/>
            <w:hideMark/>
          </w:tcPr>
          <w:p w14:paraId="729263BB"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"Cash Flow"</w:t>
            </w:r>
          </w:p>
        </w:tc>
        <w:tc>
          <w:tcPr>
            <w:tcW w:w="1887" w:type="pct"/>
            <w:tcBorders>
              <w:top w:val="single" w:sz="4" w:space="0" w:color="000000"/>
              <w:left w:val="nil"/>
              <w:bottom w:val="single" w:sz="4" w:space="0" w:color="000000"/>
              <w:right w:val="single" w:sz="4" w:space="0" w:color="000000"/>
            </w:tcBorders>
            <w:shd w:val="clear" w:color="000000" w:fill="4D93D9"/>
            <w:vAlign w:val="center"/>
            <w:hideMark/>
          </w:tcPr>
          <w:p w14:paraId="7508E8E7"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"Discounting Factor @10%"</w:t>
            </w:r>
          </w:p>
        </w:tc>
        <w:tc>
          <w:tcPr>
            <w:tcW w:w="963" w:type="pct"/>
            <w:tcBorders>
              <w:top w:val="single" w:sz="4" w:space="0" w:color="000000"/>
              <w:left w:val="nil"/>
              <w:bottom w:val="single" w:sz="4" w:space="0" w:color="000000"/>
              <w:right w:val="single" w:sz="4" w:space="0" w:color="000000"/>
            </w:tcBorders>
            <w:shd w:val="clear" w:color="000000" w:fill="4D93D9"/>
            <w:vAlign w:val="center"/>
            <w:hideMark/>
          </w:tcPr>
          <w:p w14:paraId="71DBDC60"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"Present Value"</w:t>
            </w:r>
          </w:p>
        </w:tc>
        <w:tc>
          <w:tcPr>
            <w:tcW w:w="903" w:type="pct"/>
            <w:tcBorders>
              <w:top w:val="single" w:sz="4" w:space="0" w:color="000000"/>
              <w:left w:val="nil"/>
              <w:bottom w:val="single" w:sz="4" w:space="0" w:color="000000"/>
              <w:right w:val="single" w:sz="4" w:space="0" w:color="000000"/>
            </w:tcBorders>
            <w:shd w:val="clear" w:color="000000" w:fill="4D93D9"/>
            <w:vAlign w:val="center"/>
            <w:hideMark/>
          </w:tcPr>
          <w:p w14:paraId="1AA255D3"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Cumulative</w:t>
            </w:r>
          </w:p>
        </w:tc>
      </w:tr>
      <w:tr w:rsidR="00E6666C" w:rsidRPr="00E6666C" w14:paraId="3C3F6148" w14:textId="77777777" w:rsidTr="00E6666C">
        <w:trPr>
          <w:trHeight w:val="300"/>
          <w:jc w:val="center"/>
        </w:trPr>
        <w:tc>
          <w:tcPr>
            <w:tcW w:w="484" w:type="pct"/>
            <w:tcBorders>
              <w:top w:val="nil"/>
              <w:left w:val="single" w:sz="4" w:space="0" w:color="000000"/>
              <w:bottom w:val="single" w:sz="4" w:space="0" w:color="000000"/>
              <w:right w:val="single" w:sz="4" w:space="0" w:color="000000"/>
            </w:tcBorders>
            <w:shd w:val="clear" w:color="000000" w:fill="FFFFFF"/>
            <w:noWrap/>
            <w:vAlign w:val="center"/>
            <w:hideMark/>
          </w:tcPr>
          <w:p w14:paraId="3C56819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w:t>
            </w:r>
          </w:p>
        </w:tc>
        <w:tc>
          <w:tcPr>
            <w:tcW w:w="763" w:type="pct"/>
            <w:tcBorders>
              <w:top w:val="nil"/>
              <w:left w:val="nil"/>
              <w:bottom w:val="single" w:sz="4" w:space="0" w:color="000000"/>
              <w:right w:val="single" w:sz="4" w:space="0" w:color="000000"/>
            </w:tcBorders>
            <w:shd w:val="clear" w:color="000000" w:fill="FFFFFF"/>
            <w:noWrap/>
            <w:vAlign w:val="center"/>
            <w:hideMark/>
          </w:tcPr>
          <w:p w14:paraId="5DB7032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1887" w:type="pct"/>
            <w:tcBorders>
              <w:top w:val="nil"/>
              <w:left w:val="nil"/>
              <w:bottom w:val="single" w:sz="4" w:space="0" w:color="000000"/>
              <w:right w:val="single" w:sz="4" w:space="0" w:color="000000"/>
            </w:tcBorders>
            <w:shd w:val="clear" w:color="000000" w:fill="FFFFFF"/>
            <w:noWrap/>
            <w:vAlign w:val="center"/>
            <w:hideMark/>
          </w:tcPr>
          <w:p w14:paraId="50FFF17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963" w:type="pct"/>
            <w:tcBorders>
              <w:top w:val="nil"/>
              <w:left w:val="nil"/>
              <w:bottom w:val="single" w:sz="4" w:space="0" w:color="000000"/>
              <w:right w:val="single" w:sz="4" w:space="0" w:color="000000"/>
            </w:tcBorders>
            <w:shd w:val="clear" w:color="000000" w:fill="FFFFFF"/>
            <w:noWrap/>
            <w:vAlign w:val="center"/>
            <w:hideMark/>
          </w:tcPr>
          <w:p w14:paraId="05DE377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903" w:type="pct"/>
            <w:tcBorders>
              <w:top w:val="nil"/>
              <w:left w:val="nil"/>
              <w:bottom w:val="single" w:sz="4" w:space="0" w:color="000000"/>
              <w:right w:val="single" w:sz="4" w:space="0" w:color="000000"/>
            </w:tcBorders>
            <w:shd w:val="clear" w:color="000000" w:fill="FFFFFF"/>
            <w:noWrap/>
            <w:vAlign w:val="center"/>
            <w:hideMark/>
          </w:tcPr>
          <w:p w14:paraId="3902D20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r>
      <w:tr w:rsidR="00E6666C" w:rsidRPr="00E6666C" w14:paraId="0C46B6E7" w14:textId="77777777" w:rsidTr="00E6666C">
        <w:trPr>
          <w:trHeight w:val="300"/>
          <w:jc w:val="center"/>
        </w:trPr>
        <w:tc>
          <w:tcPr>
            <w:tcW w:w="484" w:type="pct"/>
            <w:tcBorders>
              <w:top w:val="nil"/>
              <w:left w:val="single" w:sz="4" w:space="0" w:color="000000"/>
              <w:bottom w:val="single" w:sz="4" w:space="0" w:color="000000"/>
              <w:right w:val="single" w:sz="4" w:space="0" w:color="000000"/>
            </w:tcBorders>
            <w:shd w:val="clear" w:color="000000" w:fill="FFFFFF"/>
            <w:noWrap/>
            <w:vAlign w:val="center"/>
            <w:hideMark/>
          </w:tcPr>
          <w:p w14:paraId="6683D6B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w:t>
            </w:r>
          </w:p>
        </w:tc>
        <w:tc>
          <w:tcPr>
            <w:tcW w:w="763" w:type="pct"/>
            <w:tcBorders>
              <w:top w:val="nil"/>
              <w:left w:val="nil"/>
              <w:bottom w:val="single" w:sz="4" w:space="0" w:color="000000"/>
              <w:right w:val="single" w:sz="4" w:space="0" w:color="000000"/>
            </w:tcBorders>
            <w:shd w:val="clear" w:color="000000" w:fill="FFFFFF"/>
            <w:noWrap/>
            <w:vAlign w:val="center"/>
            <w:hideMark/>
          </w:tcPr>
          <w:p w14:paraId="6AD19A0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c>
          <w:tcPr>
            <w:tcW w:w="1887" w:type="pct"/>
            <w:tcBorders>
              <w:top w:val="nil"/>
              <w:left w:val="nil"/>
              <w:bottom w:val="single" w:sz="4" w:space="0" w:color="000000"/>
              <w:right w:val="single" w:sz="4" w:space="0" w:color="000000"/>
            </w:tcBorders>
            <w:shd w:val="clear" w:color="000000" w:fill="FFFFFF"/>
            <w:noWrap/>
            <w:vAlign w:val="center"/>
            <w:hideMark/>
          </w:tcPr>
          <w:p w14:paraId="060ECD1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0.909</w:t>
            </w:r>
          </w:p>
        </w:tc>
        <w:tc>
          <w:tcPr>
            <w:tcW w:w="963" w:type="pct"/>
            <w:tcBorders>
              <w:top w:val="nil"/>
              <w:left w:val="nil"/>
              <w:bottom w:val="single" w:sz="4" w:space="0" w:color="000000"/>
              <w:right w:val="single" w:sz="4" w:space="0" w:color="000000"/>
            </w:tcBorders>
            <w:shd w:val="clear" w:color="000000" w:fill="FFFFFF"/>
            <w:noWrap/>
            <w:vAlign w:val="center"/>
            <w:hideMark/>
          </w:tcPr>
          <w:p w14:paraId="00DDECC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9.09 </w:t>
            </w:r>
          </w:p>
        </w:tc>
        <w:tc>
          <w:tcPr>
            <w:tcW w:w="903" w:type="pct"/>
            <w:tcBorders>
              <w:top w:val="nil"/>
              <w:left w:val="nil"/>
              <w:bottom w:val="single" w:sz="4" w:space="0" w:color="000000"/>
              <w:right w:val="single" w:sz="4" w:space="0" w:color="000000"/>
            </w:tcBorders>
            <w:shd w:val="clear" w:color="000000" w:fill="FFFFFF"/>
            <w:noWrap/>
            <w:vAlign w:val="center"/>
            <w:hideMark/>
          </w:tcPr>
          <w:p w14:paraId="5CD2565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40.91 </w:t>
            </w:r>
          </w:p>
        </w:tc>
      </w:tr>
      <w:tr w:rsidR="00E6666C" w:rsidRPr="00E6666C" w14:paraId="7A068D6D" w14:textId="77777777" w:rsidTr="00E6666C">
        <w:trPr>
          <w:trHeight w:val="300"/>
          <w:jc w:val="center"/>
        </w:trPr>
        <w:tc>
          <w:tcPr>
            <w:tcW w:w="484" w:type="pct"/>
            <w:tcBorders>
              <w:top w:val="nil"/>
              <w:left w:val="single" w:sz="4" w:space="0" w:color="000000"/>
              <w:bottom w:val="single" w:sz="4" w:space="0" w:color="000000"/>
              <w:right w:val="single" w:sz="4" w:space="0" w:color="000000"/>
            </w:tcBorders>
            <w:shd w:val="clear" w:color="000000" w:fill="FFFFFF"/>
            <w:noWrap/>
            <w:vAlign w:val="center"/>
            <w:hideMark/>
          </w:tcPr>
          <w:p w14:paraId="0FE3677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2</w:t>
            </w:r>
          </w:p>
        </w:tc>
        <w:tc>
          <w:tcPr>
            <w:tcW w:w="763" w:type="pct"/>
            <w:tcBorders>
              <w:top w:val="nil"/>
              <w:left w:val="nil"/>
              <w:bottom w:val="single" w:sz="4" w:space="0" w:color="000000"/>
              <w:right w:val="single" w:sz="4" w:space="0" w:color="000000"/>
            </w:tcBorders>
            <w:shd w:val="clear" w:color="000000" w:fill="FFFFFF"/>
            <w:noWrap/>
            <w:vAlign w:val="center"/>
            <w:hideMark/>
          </w:tcPr>
          <w:p w14:paraId="2204951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12.00 </w:t>
            </w:r>
          </w:p>
        </w:tc>
        <w:tc>
          <w:tcPr>
            <w:tcW w:w="1887" w:type="pct"/>
            <w:tcBorders>
              <w:top w:val="nil"/>
              <w:left w:val="nil"/>
              <w:bottom w:val="single" w:sz="4" w:space="0" w:color="000000"/>
              <w:right w:val="single" w:sz="4" w:space="0" w:color="000000"/>
            </w:tcBorders>
            <w:shd w:val="clear" w:color="000000" w:fill="FFFFFF"/>
            <w:noWrap/>
            <w:vAlign w:val="center"/>
            <w:hideMark/>
          </w:tcPr>
          <w:p w14:paraId="24D7BBC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0.826</w:t>
            </w:r>
          </w:p>
        </w:tc>
        <w:tc>
          <w:tcPr>
            <w:tcW w:w="963" w:type="pct"/>
            <w:tcBorders>
              <w:top w:val="nil"/>
              <w:left w:val="nil"/>
              <w:bottom w:val="single" w:sz="4" w:space="0" w:color="000000"/>
              <w:right w:val="single" w:sz="4" w:space="0" w:color="000000"/>
            </w:tcBorders>
            <w:shd w:val="clear" w:color="000000" w:fill="FFFFFF"/>
            <w:noWrap/>
            <w:vAlign w:val="center"/>
            <w:hideMark/>
          </w:tcPr>
          <w:p w14:paraId="034B1B1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9.92 </w:t>
            </w:r>
          </w:p>
        </w:tc>
        <w:tc>
          <w:tcPr>
            <w:tcW w:w="903" w:type="pct"/>
            <w:tcBorders>
              <w:top w:val="nil"/>
              <w:left w:val="nil"/>
              <w:bottom w:val="single" w:sz="4" w:space="0" w:color="000000"/>
              <w:right w:val="single" w:sz="4" w:space="0" w:color="000000"/>
            </w:tcBorders>
            <w:shd w:val="clear" w:color="000000" w:fill="FFFFFF"/>
            <w:noWrap/>
            <w:vAlign w:val="center"/>
            <w:hideMark/>
          </w:tcPr>
          <w:p w14:paraId="735AB60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30.99 </w:t>
            </w:r>
          </w:p>
        </w:tc>
      </w:tr>
      <w:tr w:rsidR="00E6666C" w:rsidRPr="00E6666C" w14:paraId="55CD46DF" w14:textId="77777777" w:rsidTr="00E6666C">
        <w:trPr>
          <w:trHeight w:val="300"/>
          <w:jc w:val="center"/>
        </w:trPr>
        <w:tc>
          <w:tcPr>
            <w:tcW w:w="484" w:type="pct"/>
            <w:tcBorders>
              <w:top w:val="nil"/>
              <w:left w:val="single" w:sz="4" w:space="0" w:color="000000"/>
              <w:bottom w:val="single" w:sz="4" w:space="0" w:color="000000"/>
              <w:right w:val="single" w:sz="4" w:space="0" w:color="000000"/>
            </w:tcBorders>
            <w:shd w:val="clear" w:color="000000" w:fill="FFFFFF"/>
            <w:noWrap/>
            <w:vAlign w:val="center"/>
            <w:hideMark/>
          </w:tcPr>
          <w:p w14:paraId="686C7FD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3</w:t>
            </w:r>
          </w:p>
        </w:tc>
        <w:tc>
          <w:tcPr>
            <w:tcW w:w="763" w:type="pct"/>
            <w:tcBorders>
              <w:top w:val="nil"/>
              <w:left w:val="nil"/>
              <w:bottom w:val="single" w:sz="4" w:space="0" w:color="000000"/>
              <w:right w:val="single" w:sz="4" w:space="0" w:color="000000"/>
            </w:tcBorders>
            <w:shd w:val="clear" w:color="000000" w:fill="FFFFFF"/>
            <w:noWrap/>
            <w:vAlign w:val="center"/>
            <w:hideMark/>
          </w:tcPr>
          <w:p w14:paraId="25703A1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14.00 </w:t>
            </w:r>
          </w:p>
        </w:tc>
        <w:tc>
          <w:tcPr>
            <w:tcW w:w="1887" w:type="pct"/>
            <w:tcBorders>
              <w:top w:val="nil"/>
              <w:left w:val="nil"/>
              <w:bottom w:val="single" w:sz="4" w:space="0" w:color="000000"/>
              <w:right w:val="single" w:sz="4" w:space="0" w:color="000000"/>
            </w:tcBorders>
            <w:shd w:val="clear" w:color="000000" w:fill="FFFFFF"/>
            <w:noWrap/>
            <w:vAlign w:val="center"/>
            <w:hideMark/>
          </w:tcPr>
          <w:p w14:paraId="5D712A9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0.751</w:t>
            </w:r>
          </w:p>
        </w:tc>
        <w:tc>
          <w:tcPr>
            <w:tcW w:w="963" w:type="pct"/>
            <w:tcBorders>
              <w:top w:val="nil"/>
              <w:left w:val="nil"/>
              <w:bottom w:val="single" w:sz="4" w:space="0" w:color="000000"/>
              <w:right w:val="single" w:sz="4" w:space="0" w:color="000000"/>
            </w:tcBorders>
            <w:shd w:val="clear" w:color="000000" w:fill="FFFFFF"/>
            <w:noWrap/>
            <w:vAlign w:val="center"/>
            <w:hideMark/>
          </w:tcPr>
          <w:p w14:paraId="597AEEF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10.52 </w:t>
            </w:r>
          </w:p>
        </w:tc>
        <w:tc>
          <w:tcPr>
            <w:tcW w:w="903" w:type="pct"/>
            <w:tcBorders>
              <w:top w:val="nil"/>
              <w:left w:val="nil"/>
              <w:bottom w:val="single" w:sz="4" w:space="0" w:color="000000"/>
              <w:right w:val="single" w:sz="4" w:space="0" w:color="000000"/>
            </w:tcBorders>
            <w:shd w:val="clear" w:color="000000" w:fill="FFFFFF"/>
            <w:noWrap/>
            <w:vAlign w:val="center"/>
            <w:hideMark/>
          </w:tcPr>
          <w:p w14:paraId="5C2D6D7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20.47 </w:t>
            </w:r>
          </w:p>
        </w:tc>
      </w:tr>
      <w:tr w:rsidR="00E6666C" w:rsidRPr="00E6666C" w14:paraId="6F7E8F66" w14:textId="77777777" w:rsidTr="00E6666C">
        <w:trPr>
          <w:trHeight w:val="300"/>
          <w:jc w:val="center"/>
        </w:trPr>
        <w:tc>
          <w:tcPr>
            <w:tcW w:w="484" w:type="pct"/>
            <w:tcBorders>
              <w:top w:val="nil"/>
              <w:left w:val="single" w:sz="4" w:space="0" w:color="000000"/>
              <w:bottom w:val="single" w:sz="4" w:space="0" w:color="000000"/>
              <w:right w:val="single" w:sz="4" w:space="0" w:color="000000"/>
            </w:tcBorders>
            <w:shd w:val="clear" w:color="000000" w:fill="FFFFFF"/>
            <w:noWrap/>
            <w:vAlign w:val="center"/>
            <w:hideMark/>
          </w:tcPr>
          <w:p w14:paraId="3F24AE4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4</w:t>
            </w:r>
          </w:p>
        </w:tc>
        <w:tc>
          <w:tcPr>
            <w:tcW w:w="763" w:type="pct"/>
            <w:tcBorders>
              <w:top w:val="nil"/>
              <w:left w:val="nil"/>
              <w:bottom w:val="single" w:sz="4" w:space="0" w:color="000000"/>
              <w:right w:val="single" w:sz="4" w:space="0" w:color="000000"/>
            </w:tcBorders>
            <w:shd w:val="clear" w:color="000000" w:fill="FFFFFF"/>
            <w:noWrap/>
            <w:vAlign w:val="center"/>
            <w:hideMark/>
          </w:tcPr>
          <w:p w14:paraId="7D3ECEC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c>
          <w:tcPr>
            <w:tcW w:w="1887" w:type="pct"/>
            <w:tcBorders>
              <w:top w:val="nil"/>
              <w:left w:val="nil"/>
              <w:bottom w:val="single" w:sz="4" w:space="0" w:color="000000"/>
              <w:right w:val="single" w:sz="4" w:space="0" w:color="000000"/>
            </w:tcBorders>
            <w:shd w:val="clear" w:color="000000" w:fill="FFFFFF"/>
            <w:noWrap/>
            <w:vAlign w:val="center"/>
            <w:hideMark/>
          </w:tcPr>
          <w:p w14:paraId="6D8EB0B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0.683</w:t>
            </w:r>
          </w:p>
        </w:tc>
        <w:tc>
          <w:tcPr>
            <w:tcW w:w="963" w:type="pct"/>
            <w:tcBorders>
              <w:top w:val="nil"/>
              <w:left w:val="nil"/>
              <w:bottom w:val="single" w:sz="4" w:space="0" w:color="000000"/>
              <w:right w:val="single" w:sz="4" w:space="0" w:color="000000"/>
            </w:tcBorders>
            <w:shd w:val="clear" w:color="000000" w:fill="FFFFFF"/>
            <w:noWrap/>
            <w:vAlign w:val="center"/>
            <w:hideMark/>
          </w:tcPr>
          <w:p w14:paraId="161DED7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6.83 </w:t>
            </w:r>
          </w:p>
        </w:tc>
        <w:tc>
          <w:tcPr>
            <w:tcW w:w="903" w:type="pct"/>
            <w:tcBorders>
              <w:top w:val="nil"/>
              <w:left w:val="nil"/>
              <w:bottom w:val="single" w:sz="4" w:space="0" w:color="000000"/>
              <w:right w:val="single" w:sz="4" w:space="0" w:color="000000"/>
            </w:tcBorders>
            <w:shd w:val="clear" w:color="000000" w:fill="FFFFFF"/>
            <w:noWrap/>
            <w:vAlign w:val="center"/>
            <w:hideMark/>
          </w:tcPr>
          <w:p w14:paraId="152CB73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13.64 </w:t>
            </w:r>
          </w:p>
        </w:tc>
      </w:tr>
      <w:tr w:rsidR="00E6666C" w:rsidRPr="00E6666C" w14:paraId="765A1ECB" w14:textId="77777777" w:rsidTr="00E6666C">
        <w:trPr>
          <w:trHeight w:val="300"/>
          <w:jc w:val="center"/>
        </w:trPr>
        <w:tc>
          <w:tcPr>
            <w:tcW w:w="484" w:type="pct"/>
            <w:tcBorders>
              <w:top w:val="nil"/>
              <w:left w:val="single" w:sz="4" w:space="0" w:color="000000"/>
              <w:bottom w:val="single" w:sz="4" w:space="0" w:color="000000"/>
              <w:right w:val="single" w:sz="4" w:space="0" w:color="000000"/>
            </w:tcBorders>
            <w:shd w:val="clear" w:color="000000" w:fill="FFFFFF"/>
            <w:noWrap/>
            <w:vAlign w:val="center"/>
            <w:hideMark/>
          </w:tcPr>
          <w:p w14:paraId="6550400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5</w:t>
            </w:r>
          </w:p>
        </w:tc>
        <w:tc>
          <w:tcPr>
            <w:tcW w:w="763" w:type="pct"/>
            <w:tcBorders>
              <w:top w:val="nil"/>
              <w:left w:val="nil"/>
              <w:bottom w:val="single" w:sz="4" w:space="0" w:color="000000"/>
              <w:right w:val="single" w:sz="4" w:space="0" w:color="000000"/>
            </w:tcBorders>
            <w:shd w:val="clear" w:color="000000" w:fill="FFFFFF"/>
            <w:noWrap/>
            <w:vAlign w:val="center"/>
            <w:hideMark/>
          </w:tcPr>
          <w:p w14:paraId="52B43B4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8.00 </w:t>
            </w:r>
          </w:p>
        </w:tc>
        <w:tc>
          <w:tcPr>
            <w:tcW w:w="1887" w:type="pct"/>
            <w:tcBorders>
              <w:top w:val="nil"/>
              <w:left w:val="nil"/>
              <w:bottom w:val="single" w:sz="4" w:space="0" w:color="000000"/>
              <w:right w:val="single" w:sz="4" w:space="0" w:color="000000"/>
            </w:tcBorders>
            <w:shd w:val="clear" w:color="000000" w:fill="FFFFFF"/>
            <w:noWrap/>
            <w:vAlign w:val="center"/>
            <w:hideMark/>
          </w:tcPr>
          <w:p w14:paraId="6752251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0.621</w:t>
            </w:r>
          </w:p>
        </w:tc>
        <w:tc>
          <w:tcPr>
            <w:tcW w:w="963" w:type="pct"/>
            <w:tcBorders>
              <w:top w:val="nil"/>
              <w:left w:val="nil"/>
              <w:bottom w:val="single" w:sz="4" w:space="0" w:color="000000"/>
              <w:right w:val="single" w:sz="4" w:space="0" w:color="000000"/>
            </w:tcBorders>
            <w:shd w:val="clear" w:color="000000" w:fill="FFFFFF"/>
            <w:noWrap/>
            <w:vAlign w:val="center"/>
            <w:hideMark/>
          </w:tcPr>
          <w:p w14:paraId="55660CE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4.97 </w:t>
            </w:r>
          </w:p>
        </w:tc>
        <w:tc>
          <w:tcPr>
            <w:tcW w:w="903" w:type="pct"/>
            <w:tcBorders>
              <w:top w:val="nil"/>
              <w:left w:val="nil"/>
              <w:bottom w:val="single" w:sz="4" w:space="0" w:color="000000"/>
              <w:right w:val="single" w:sz="4" w:space="0" w:color="000000"/>
            </w:tcBorders>
            <w:shd w:val="clear" w:color="000000" w:fill="FFFFFF"/>
            <w:noWrap/>
            <w:vAlign w:val="center"/>
            <w:hideMark/>
          </w:tcPr>
          <w:p w14:paraId="470A6F3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8.68 </w:t>
            </w:r>
          </w:p>
        </w:tc>
      </w:tr>
      <w:tr w:rsidR="00E6666C" w:rsidRPr="00E6666C" w14:paraId="567EE8D2" w14:textId="77777777" w:rsidTr="00E6666C">
        <w:trPr>
          <w:trHeight w:val="312"/>
          <w:jc w:val="center"/>
        </w:trPr>
        <w:tc>
          <w:tcPr>
            <w:tcW w:w="4097" w:type="pct"/>
            <w:gridSpan w:val="4"/>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7A5C5551"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"Payback Period (PBP) of Project A"</w:t>
            </w:r>
          </w:p>
        </w:tc>
        <w:tc>
          <w:tcPr>
            <w:tcW w:w="903" w:type="pct"/>
            <w:tcBorders>
              <w:top w:val="nil"/>
              <w:left w:val="nil"/>
              <w:bottom w:val="single" w:sz="4" w:space="0" w:color="000000"/>
              <w:right w:val="single" w:sz="4" w:space="0" w:color="000000"/>
            </w:tcBorders>
            <w:shd w:val="clear" w:color="000000" w:fill="FFFFFF"/>
            <w:vAlign w:val="center"/>
            <w:hideMark/>
          </w:tcPr>
          <w:p w14:paraId="43420321"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Not Recovered</w:t>
            </w:r>
          </w:p>
        </w:tc>
      </w:tr>
    </w:tbl>
    <w:p w14:paraId="5DB6A657" w14:textId="77777777" w:rsidR="00E6666C" w:rsidRDefault="00E6666C" w:rsidP="005A5E32">
      <w:pPr>
        <w:jc w:val="center"/>
        <w:rPr>
          <w:rFonts w:ascii="Arial" w:eastAsia="Arial" w:hAnsi="Arial" w:cs="Arial"/>
        </w:rPr>
      </w:pPr>
    </w:p>
    <w:tbl>
      <w:tblPr>
        <w:tblW w:w="5000" w:type="pct"/>
        <w:jc w:val="center"/>
        <w:tblLook w:val="04A0" w:firstRow="1" w:lastRow="0" w:firstColumn="1" w:lastColumn="0" w:noHBand="0" w:noVBand="1"/>
      </w:tblPr>
      <w:tblGrid>
        <w:gridCol w:w="1088"/>
        <w:gridCol w:w="2388"/>
        <w:gridCol w:w="3425"/>
        <w:gridCol w:w="2118"/>
      </w:tblGrid>
      <w:tr w:rsidR="00E6666C" w:rsidRPr="00E6666C" w14:paraId="75237B4E" w14:textId="77777777" w:rsidTr="00E6666C">
        <w:trPr>
          <w:trHeight w:val="624"/>
          <w:jc w:val="center"/>
        </w:trPr>
        <w:tc>
          <w:tcPr>
            <w:tcW w:w="603" w:type="pct"/>
            <w:tcBorders>
              <w:top w:val="single" w:sz="4" w:space="0" w:color="000000"/>
              <w:left w:val="single" w:sz="4" w:space="0" w:color="000000"/>
              <w:bottom w:val="single" w:sz="4" w:space="0" w:color="000000"/>
              <w:right w:val="single" w:sz="4" w:space="0" w:color="000000"/>
            </w:tcBorders>
            <w:shd w:val="clear" w:color="000000" w:fill="4D93D9"/>
            <w:vAlign w:val="center"/>
            <w:hideMark/>
          </w:tcPr>
          <w:p w14:paraId="43184095"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Year</w:t>
            </w:r>
          </w:p>
        </w:tc>
        <w:tc>
          <w:tcPr>
            <w:tcW w:w="1324" w:type="pct"/>
            <w:tcBorders>
              <w:top w:val="single" w:sz="4" w:space="0" w:color="000000"/>
              <w:left w:val="nil"/>
              <w:bottom w:val="single" w:sz="4" w:space="0" w:color="000000"/>
              <w:right w:val="single" w:sz="4" w:space="0" w:color="000000"/>
            </w:tcBorders>
            <w:shd w:val="clear" w:color="000000" w:fill="4D93D9"/>
            <w:vAlign w:val="center"/>
            <w:hideMark/>
          </w:tcPr>
          <w:p w14:paraId="147259F7"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Cashflow</w:t>
            </w:r>
          </w:p>
        </w:tc>
        <w:tc>
          <w:tcPr>
            <w:tcW w:w="1899" w:type="pct"/>
            <w:tcBorders>
              <w:top w:val="single" w:sz="4" w:space="0" w:color="000000"/>
              <w:left w:val="nil"/>
              <w:bottom w:val="single" w:sz="4" w:space="0" w:color="000000"/>
              <w:right w:val="single" w:sz="4" w:space="0" w:color="000000"/>
            </w:tcBorders>
            <w:shd w:val="clear" w:color="000000" w:fill="4D93D9"/>
            <w:vAlign w:val="center"/>
            <w:hideMark/>
          </w:tcPr>
          <w:p w14:paraId="01F2174D"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"Discounting Factor @10%"</w:t>
            </w:r>
          </w:p>
        </w:tc>
        <w:tc>
          <w:tcPr>
            <w:tcW w:w="1174" w:type="pct"/>
            <w:tcBorders>
              <w:top w:val="single" w:sz="4" w:space="0" w:color="000000"/>
              <w:left w:val="nil"/>
              <w:bottom w:val="single" w:sz="4" w:space="0" w:color="000000"/>
              <w:right w:val="single" w:sz="4" w:space="0" w:color="000000"/>
            </w:tcBorders>
            <w:shd w:val="clear" w:color="000000" w:fill="4D93D9"/>
            <w:vAlign w:val="center"/>
            <w:hideMark/>
          </w:tcPr>
          <w:p w14:paraId="3F748BC9"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Present value</w:t>
            </w:r>
          </w:p>
        </w:tc>
      </w:tr>
      <w:tr w:rsidR="00E6666C" w:rsidRPr="00E6666C" w14:paraId="159481C0" w14:textId="77777777" w:rsidTr="00E6666C">
        <w:trPr>
          <w:trHeight w:val="300"/>
          <w:jc w:val="center"/>
        </w:trPr>
        <w:tc>
          <w:tcPr>
            <w:tcW w:w="603" w:type="pct"/>
            <w:tcBorders>
              <w:top w:val="nil"/>
              <w:left w:val="single" w:sz="4" w:space="0" w:color="000000"/>
              <w:bottom w:val="single" w:sz="4" w:space="0" w:color="000000"/>
              <w:right w:val="single" w:sz="4" w:space="0" w:color="000000"/>
            </w:tcBorders>
            <w:shd w:val="clear" w:color="000000" w:fill="FFFFFF"/>
            <w:noWrap/>
            <w:vAlign w:val="center"/>
            <w:hideMark/>
          </w:tcPr>
          <w:p w14:paraId="6D3E55A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w:t>
            </w:r>
          </w:p>
        </w:tc>
        <w:tc>
          <w:tcPr>
            <w:tcW w:w="1324" w:type="pct"/>
            <w:tcBorders>
              <w:top w:val="nil"/>
              <w:left w:val="nil"/>
              <w:bottom w:val="single" w:sz="4" w:space="0" w:color="000000"/>
              <w:right w:val="single" w:sz="4" w:space="0" w:color="000000"/>
            </w:tcBorders>
            <w:shd w:val="clear" w:color="000000" w:fill="FFFFFF"/>
            <w:noWrap/>
            <w:vAlign w:val="center"/>
            <w:hideMark/>
          </w:tcPr>
          <w:p w14:paraId="0B6893F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1899" w:type="pct"/>
            <w:tcBorders>
              <w:top w:val="nil"/>
              <w:left w:val="nil"/>
              <w:bottom w:val="single" w:sz="4" w:space="0" w:color="000000"/>
              <w:right w:val="single" w:sz="4" w:space="0" w:color="000000"/>
            </w:tcBorders>
            <w:shd w:val="clear" w:color="000000" w:fill="FFFFFF"/>
            <w:noWrap/>
            <w:vAlign w:val="center"/>
            <w:hideMark/>
          </w:tcPr>
          <w:p w14:paraId="4600B89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174" w:type="pct"/>
            <w:tcBorders>
              <w:top w:val="nil"/>
              <w:left w:val="nil"/>
              <w:bottom w:val="single" w:sz="4" w:space="0" w:color="000000"/>
              <w:right w:val="single" w:sz="4" w:space="0" w:color="000000"/>
            </w:tcBorders>
            <w:shd w:val="clear" w:color="000000" w:fill="FFFFFF"/>
            <w:noWrap/>
            <w:vAlign w:val="center"/>
            <w:hideMark/>
          </w:tcPr>
          <w:p w14:paraId="24B6D84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r>
      <w:tr w:rsidR="00E6666C" w:rsidRPr="00E6666C" w14:paraId="5F1B58DC" w14:textId="77777777" w:rsidTr="00E6666C">
        <w:trPr>
          <w:trHeight w:val="300"/>
          <w:jc w:val="center"/>
        </w:trPr>
        <w:tc>
          <w:tcPr>
            <w:tcW w:w="603" w:type="pct"/>
            <w:tcBorders>
              <w:top w:val="nil"/>
              <w:left w:val="single" w:sz="4" w:space="0" w:color="000000"/>
              <w:bottom w:val="single" w:sz="4" w:space="0" w:color="000000"/>
              <w:right w:val="single" w:sz="4" w:space="0" w:color="000000"/>
            </w:tcBorders>
            <w:shd w:val="clear" w:color="000000" w:fill="FFFFFF"/>
            <w:noWrap/>
            <w:vAlign w:val="center"/>
            <w:hideMark/>
          </w:tcPr>
          <w:p w14:paraId="7D4267A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w:t>
            </w:r>
          </w:p>
        </w:tc>
        <w:tc>
          <w:tcPr>
            <w:tcW w:w="1324" w:type="pct"/>
            <w:tcBorders>
              <w:top w:val="nil"/>
              <w:left w:val="nil"/>
              <w:bottom w:val="single" w:sz="4" w:space="0" w:color="000000"/>
              <w:right w:val="single" w:sz="4" w:space="0" w:color="000000"/>
            </w:tcBorders>
            <w:shd w:val="clear" w:color="000000" w:fill="FFFFFF"/>
            <w:noWrap/>
            <w:vAlign w:val="center"/>
            <w:hideMark/>
          </w:tcPr>
          <w:p w14:paraId="7790829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c>
          <w:tcPr>
            <w:tcW w:w="1899" w:type="pct"/>
            <w:tcBorders>
              <w:top w:val="nil"/>
              <w:left w:val="nil"/>
              <w:bottom w:val="single" w:sz="4" w:space="0" w:color="000000"/>
              <w:right w:val="single" w:sz="4" w:space="0" w:color="000000"/>
            </w:tcBorders>
            <w:shd w:val="clear" w:color="000000" w:fill="FFFFFF"/>
            <w:noWrap/>
            <w:vAlign w:val="center"/>
            <w:hideMark/>
          </w:tcPr>
          <w:p w14:paraId="7DEF730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0.909</w:t>
            </w:r>
          </w:p>
        </w:tc>
        <w:tc>
          <w:tcPr>
            <w:tcW w:w="1174" w:type="pct"/>
            <w:tcBorders>
              <w:top w:val="nil"/>
              <w:left w:val="nil"/>
              <w:bottom w:val="single" w:sz="4" w:space="0" w:color="000000"/>
              <w:right w:val="single" w:sz="4" w:space="0" w:color="000000"/>
            </w:tcBorders>
            <w:shd w:val="clear" w:color="000000" w:fill="FFFFFF"/>
            <w:noWrap/>
            <w:vAlign w:val="center"/>
            <w:hideMark/>
          </w:tcPr>
          <w:p w14:paraId="661C19E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9.09 </w:t>
            </w:r>
          </w:p>
        </w:tc>
      </w:tr>
      <w:tr w:rsidR="00E6666C" w:rsidRPr="00E6666C" w14:paraId="364AA9C0" w14:textId="77777777" w:rsidTr="00E6666C">
        <w:trPr>
          <w:trHeight w:val="300"/>
          <w:jc w:val="center"/>
        </w:trPr>
        <w:tc>
          <w:tcPr>
            <w:tcW w:w="603" w:type="pct"/>
            <w:tcBorders>
              <w:top w:val="nil"/>
              <w:left w:val="single" w:sz="4" w:space="0" w:color="000000"/>
              <w:bottom w:val="single" w:sz="4" w:space="0" w:color="000000"/>
              <w:right w:val="single" w:sz="4" w:space="0" w:color="000000"/>
            </w:tcBorders>
            <w:shd w:val="clear" w:color="000000" w:fill="FFFFFF"/>
            <w:noWrap/>
            <w:vAlign w:val="center"/>
            <w:hideMark/>
          </w:tcPr>
          <w:p w14:paraId="372CDFD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2</w:t>
            </w:r>
          </w:p>
        </w:tc>
        <w:tc>
          <w:tcPr>
            <w:tcW w:w="1324" w:type="pct"/>
            <w:tcBorders>
              <w:top w:val="nil"/>
              <w:left w:val="nil"/>
              <w:bottom w:val="single" w:sz="4" w:space="0" w:color="000000"/>
              <w:right w:val="single" w:sz="4" w:space="0" w:color="000000"/>
            </w:tcBorders>
            <w:shd w:val="clear" w:color="000000" w:fill="FFFFFF"/>
            <w:noWrap/>
            <w:vAlign w:val="center"/>
            <w:hideMark/>
          </w:tcPr>
          <w:p w14:paraId="4F95095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12.00 </w:t>
            </w:r>
          </w:p>
        </w:tc>
        <w:tc>
          <w:tcPr>
            <w:tcW w:w="1899" w:type="pct"/>
            <w:tcBorders>
              <w:top w:val="nil"/>
              <w:left w:val="nil"/>
              <w:bottom w:val="single" w:sz="4" w:space="0" w:color="000000"/>
              <w:right w:val="single" w:sz="4" w:space="0" w:color="000000"/>
            </w:tcBorders>
            <w:shd w:val="clear" w:color="000000" w:fill="FFFFFF"/>
            <w:noWrap/>
            <w:vAlign w:val="center"/>
            <w:hideMark/>
          </w:tcPr>
          <w:p w14:paraId="2394F3B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0.826</w:t>
            </w:r>
          </w:p>
        </w:tc>
        <w:tc>
          <w:tcPr>
            <w:tcW w:w="1174" w:type="pct"/>
            <w:tcBorders>
              <w:top w:val="nil"/>
              <w:left w:val="nil"/>
              <w:bottom w:val="single" w:sz="4" w:space="0" w:color="000000"/>
              <w:right w:val="single" w:sz="4" w:space="0" w:color="000000"/>
            </w:tcBorders>
            <w:shd w:val="clear" w:color="000000" w:fill="FFFFFF"/>
            <w:noWrap/>
            <w:vAlign w:val="center"/>
            <w:hideMark/>
          </w:tcPr>
          <w:p w14:paraId="2456F03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9.92 </w:t>
            </w:r>
          </w:p>
        </w:tc>
      </w:tr>
      <w:tr w:rsidR="00E6666C" w:rsidRPr="00E6666C" w14:paraId="71B52101" w14:textId="77777777" w:rsidTr="00E6666C">
        <w:trPr>
          <w:trHeight w:val="300"/>
          <w:jc w:val="center"/>
        </w:trPr>
        <w:tc>
          <w:tcPr>
            <w:tcW w:w="603" w:type="pct"/>
            <w:tcBorders>
              <w:top w:val="nil"/>
              <w:left w:val="single" w:sz="4" w:space="0" w:color="000000"/>
              <w:bottom w:val="single" w:sz="4" w:space="0" w:color="000000"/>
              <w:right w:val="single" w:sz="4" w:space="0" w:color="000000"/>
            </w:tcBorders>
            <w:shd w:val="clear" w:color="000000" w:fill="FFFFFF"/>
            <w:noWrap/>
            <w:vAlign w:val="center"/>
            <w:hideMark/>
          </w:tcPr>
          <w:p w14:paraId="695F0BE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3</w:t>
            </w:r>
          </w:p>
        </w:tc>
        <w:tc>
          <w:tcPr>
            <w:tcW w:w="1324" w:type="pct"/>
            <w:tcBorders>
              <w:top w:val="nil"/>
              <w:left w:val="nil"/>
              <w:bottom w:val="single" w:sz="4" w:space="0" w:color="000000"/>
              <w:right w:val="single" w:sz="4" w:space="0" w:color="000000"/>
            </w:tcBorders>
            <w:shd w:val="clear" w:color="000000" w:fill="FFFFFF"/>
            <w:noWrap/>
            <w:vAlign w:val="center"/>
            <w:hideMark/>
          </w:tcPr>
          <w:p w14:paraId="7E5999D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14.00 </w:t>
            </w:r>
          </w:p>
        </w:tc>
        <w:tc>
          <w:tcPr>
            <w:tcW w:w="1899" w:type="pct"/>
            <w:tcBorders>
              <w:top w:val="nil"/>
              <w:left w:val="nil"/>
              <w:bottom w:val="single" w:sz="4" w:space="0" w:color="000000"/>
              <w:right w:val="single" w:sz="4" w:space="0" w:color="000000"/>
            </w:tcBorders>
            <w:shd w:val="clear" w:color="000000" w:fill="FFFFFF"/>
            <w:noWrap/>
            <w:vAlign w:val="center"/>
            <w:hideMark/>
          </w:tcPr>
          <w:p w14:paraId="4E702BB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0.751</w:t>
            </w:r>
          </w:p>
        </w:tc>
        <w:tc>
          <w:tcPr>
            <w:tcW w:w="1174" w:type="pct"/>
            <w:tcBorders>
              <w:top w:val="nil"/>
              <w:left w:val="nil"/>
              <w:bottom w:val="single" w:sz="4" w:space="0" w:color="000000"/>
              <w:right w:val="single" w:sz="4" w:space="0" w:color="000000"/>
            </w:tcBorders>
            <w:shd w:val="clear" w:color="000000" w:fill="FFFFFF"/>
            <w:noWrap/>
            <w:vAlign w:val="center"/>
            <w:hideMark/>
          </w:tcPr>
          <w:p w14:paraId="4049FE7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10.52 </w:t>
            </w:r>
          </w:p>
        </w:tc>
      </w:tr>
      <w:tr w:rsidR="00E6666C" w:rsidRPr="00E6666C" w14:paraId="077F9CDC" w14:textId="77777777" w:rsidTr="00E6666C">
        <w:trPr>
          <w:trHeight w:val="300"/>
          <w:jc w:val="center"/>
        </w:trPr>
        <w:tc>
          <w:tcPr>
            <w:tcW w:w="603" w:type="pct"/>
            <w:tcBorders>
              <w:top w:val="nil"/>
              <w:left w:val="single" w:sz="4" w:space="0" w:color="000000"/>
              <w:bottom w:val="single" w:sz="4" w:space="0" w:color="000000"/>
              <w:right w:val="single" w:sz="4" w:space="0" w:color="000000"/>
            </w:tcBorders>
            <w:shd w:val="clear" w:color="000000" w:fill="FFFFFF"/>
            <w:noWrap/>
            <w:vAlign w:val="center"/>
            <w:hideMark/>
          </w:tcPr>
          <w:p w14:paraId="4CC01F8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4</w:t>
            </w:r>
          </w:p>
        </w:tc>
        <w:tc>
          <w:tcPr>
            <w:tcW w:w="1324" w:type="pct"/>
            <w:tcBorders>
              <w:top w:val="nil"/>
              <w:left w:val="nil"/>
              <w:bottom w:val="single" w:sz="4" w:space="0" w:color="000000"/>
              <w:right w:val="single" w:sz="4" w:space="0" w:color="000000"/>
            </w:tcBorders>
            <w:shd w:val="clear" w:color="000000" w:fill="FFFFFF"/>
            <w:noWrap/>
            <w:vAlign w:val="center"/>
            <w:hideMark/>
          </w:tcPr>
          <w:p w14:paraId="01860A6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c>
          <w:tcPr>
            <w:tcW w:w="1899" w:type="pct"/>
            <w:tcBorders>
              <w:top w:val="nil"/>
              <w:left w:val="nil"/>
              <w:bottom w:val="single" w:sz="4" w:space="0" w:color="000000"/>
              <w:right w:val="single" w:sz="4" w:space="0" w:color="000000"/>
            </w:tcBorders>
            <w:shd w:val="clear" w:color="000000" w:fill="FFFFFF"/>
            <w:noWrap/>
            <w:vAlign w:val="center"/>
            <w:hideMark/>
          </w:tcPr>
          <w:p w14:paraId="0E4A108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0.683</w:t>
            </w:r>
          </w:p>
        </w:tc>
        <w:tc>
          <w:tcPr>
            <w:tcW w:w="1174" w:type="pct"/>
            <w:tcBorders>
              <w:top w:val="nil"/>
              <w:left w:val="nil"/>
              <w:bottom w:val="single" w:sz="4" w:space="0" w:color="000000"/>
              <w:right w:val="single" w:sz="4" w:space="0" w:color="000000"/>
            </w:tcBorders>
            <w:shd w:val="clear" w:color="000000" w:fill="FFFFFF"/>
            <w:noWrap/>
            <w:vAlign w:val="center"/>
            <w:hideMark/>
          </w:tcPr>
          <w:p w14:paraId="4A67B46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6.83 </w:t>
            </w:r>
          </w:p>
        </w:tc>
      </w:tr>
      <w:tr w:rsidR="00E6666C" w:rsidRPr="00E6666C" w14:paraId="2809410F" w14:textId="77777777" w:rsidTr="00E6666C">
        <w:trPr>
          <w:trHeight w:val="300"/>
          <w:jc w:val="center"/>
        </w:trPr>
        <w:tc>
          <w:tcPr>
            <w:tcW w:w="603" w:type="pct"/>
            <w:tcBorders>
              <w:top w:val="nil"/>
              <w:left w:val="single" w:sz="4" w:space="0" w:color="000000"/>
              <w:bottom w:val="single" w:sz="4" w:space="0" w:color="000000"/>
              <w:right w:val="single" w:sz="4" w:space="0" w:color="000000"/>
            </w:tcBorders>
            <w:shd w:val="clear" w:color="000000" w:fill="FFFFFF"/>
            <w:noWrap/>
            <w:vAlign w:val="center"/>
            <w:hideMark/>
          </w:tcPr>
          <w:p w14:paraId="45B154C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5</w:t>
            </w:r>
          </w:p>
        </w:tc>
        <w:tc>
          <w:tcPr>
            <w:tcW w:w="1324" w:type="pct"/>
            <w:tcBorders>
              <w:top w:val="nil"/>
              <w:left w:val="nil"/>
              <w:bottom w:val="single" w:sz="4" w:space="0" w:color="000000"/>
              <w:right w:val="single" w:sz="4" w:space="0" w:color="000000"/>
            </w:tcBorders>
            <w:shd w:val="clear" w:color="000000" w:fill="FFFFFF"/>
            <w:noWrap/>
            <w:vAlign w:val="center"/>
            <w:hideMark/>
          </w:tcPr>
          <w:p w14:paraId="3F0E1A4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8.00 </w:t>
            </w:r>
          </w:p>
        </w:tc>
        <w:tc>
          <w:tcPr>
            <w:tcW w:w="1899" w:type="pct"/>
            <w:tcBorders>
              <w:top w:val="nil"/>
              <w:left w:val="nil"/>
              <w:bottom w:val="single" w:sz="4" w:space="0" w:color="000000"/>
              <w:right w:val="single" w:sz="4" w:space="0" w:color="000000"/>
            </w:tcBorders>
            <w:shd w:val="clear" w:color="000000" w:fill="FFFFFF"/>
            <w:noWrap/>
            <w:vAlign w:val="center"/>
            <w:hideMark/>
          </w:tcPr>
          <w:p w14:paraId="1B11FFC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0.621</w:t>
            </w:r>
          </w:p>
        </w:tc>
        <w:tc>
          <w:tcPr>
            <w:tcW w:w="1174" w:type="pct"/>
            <w:tcBorders>
              <w:top w:val="nil"/>
              <w:left w:val="nil"/>
              <w:bottom w:val="single" w:sz="4" w:space="0" w:color="000000"/>
              <w:right w:val="single" w:sz="4" w:space="0" w:color="000000"/>
            </w:tcBorders>
            <w:shd w:val="clear" w:color="000000" w:fill="FFFFFF"/>
            <w:noWrap/>
            <w:vAlign w:val="center"/>
            <w:hideMark/>
          </w:tcPr>
          <w:p w14:paraId="1C8EA97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4.97 </w:t>
            </w:r>
          </w:p>
        </w:tc>
      </w:tr>
      <w:tr w:rsidR="00E6666C" w:rsidRPr="00E6666C" w14:paraId="11502E78" w14:textId="77777777" w:rsidTr="00E6666C">
        <w:trPr>
          <w:trHeight w:val="312"/>
          <w:jc w:val="center"/>
        </w:trPr>
        <w:tc>
          <w:tcPr>
            <w:tcW w:w="3826" w:type="pct"/>
            <w:gridSpan w:val="3"/>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0611A0B6"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"Internal Rate of Return (IRR) of Project A"</w:t>
            </w:r>
          </w:p>
        </w:tc>
        <w:tc>
          <w:tcPr>
            <w:tcW w:w="1174" w:type="pct"/>
            <w:tcBorders>
              <w:top w:val="nil"/>
              <w:left w:val="nil"/>
              <w:bottom w:val="single" w:sz="4" w:space="0" w:color="000000"/>
              <w:right w:val="single" w:sz="4" w:space="0" w:color="000000"/>
            </w:tcBorders>
            <w:shd w:val="clear" w:color="000000" w:fill="FFFFFF"/>
            <w:vAlign w:val="center"/>
            <w:hideMark/>
          </w:tcPr>
          <w:p w14:paraId="6D4F2BCC"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2.72%</w:t>
            </w:r>
          </w:p>
        </w:tc>
      </w:tr>
      <w:tr w:rsidR="00E6666C" w:rsidRPr="00E6666C" w14:paraId="64A344FD" w14:textId="77777777" w:rsidTr="00E6666C">
        <w:trPr>
          <w:trHeight w:val="312"/>
          <w:jc w:val="center"/>
        </w:trPr>
        <w:tc>
          <w:tcPr>
            <w:tcW w:w="603" w:type="pct"/>
            <w:tcBorders>
              <w:top w:val="nil"/>
              <w:left w:val="nil"/>
              <w:bottom w:val="nil"/>
              <w:right w:val="nil"/>
            </w:tcBorders>
            <w:shd w:val="clear" w:color="000000" w:fill="FFFFFF"/>
            <w:noWrap/>
            <w:vAlign w:val="center"/>
            <w:hideMark/>
          </w:tcPr>
          <w:p w14:paraId="4C1360B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324" w:type="pct"/>
            <w:tcBorders>
              <w:top w:val="nil"/>
              <w:left w:val="nil"/>
              <w:bottom w:val="nil"/>
              <w:right w:val="nil"/>
            </w:tcBorders>
            <w:shd w:val="clear" w:color="000000" w:fill="FFFFFF"/>
            <w:noWrap/>
            <w:vAlign w:val="center"/>
            <w:hideMark/>
          </w:tcPr>
          <w:p w14:paraId="1E727CB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899" w:type="pct"/>
            <w:tcBorders>
              <w:top w:val="nil"/>
              <w:left w:val="nil"/>
              <w:bottom w:val="nil"/>
              <w:right w:val="nil"/>
            </w:tcBorders>
            <w:shd w:val="clear" w:color="000000" w:fill="FFFFFF"/>
            <w:noWrap/>
            <w:vAlign w:val="center"/>
            <w:hideMark/>
          </w:tcPr>
          <w:p w14:paraId="2927345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174" w:type="pct"/>
            <w:tcBorders>
              <w:top w:val="nil"/>
              <w:left w:val="nil"/>
              <w:bottom w:val="nil"/>
              <w:right w:val="nil"/>
            </w:tcBorders>
            <w:shd w:val="clear" w:color="000000" w:fill="FFFFFF"/>
            <w:noWrap/>
            <w:vAlign w:val="center"/>
            <w:hideMark/>
          </w:tcPr>
          <w:p w14:paraId="6010193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5F130AF7" w14:textId="77777777" w:rsidTr="00E6666C">
        <w:trPr>
          <w:trHeight w:val="300"/>
          <w:jc w:val="center"/>
        </w:trPr>
        <w:tc>
          <w:tcPr>
            <w:tcW w:w="603" w:type="pct"/>
            <w:tcBorders>
              <w:top w:val="nil"/>
              <w:left w:val="nil"/>
              <w:bottom w:val="nil"/>
              <w:right w:val="nil"/>
            </w:tcBorders>
            <w:shd w:val="clear" w:color="000000" w:fill="FFFFFF"/>
            <w:noWrap/>
            <w:vAlign w:val="center"/>
            <w:hideMark/>
          </w:tcPr>
          <w:p w14:paraId="669A961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324" w:type="pct"/>
            <w:tcBorders>
              <w:top w:val="nil"/>
              <w:left w:val="nil"/>
              <w:bottom w:val="nil"/>
              <w:right w:val="nil"/>
            </w:tcBorders>
            <w:shd w:val="clear" w:color="000000" w:fill="FFFFFF"/>
            <w:noWrap/>
            <w:vAlign w:val="center"/>
            <w:hideMark/>
          </w:tcPr>
          <w:p w14:paraId="537CFE0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899" w:type="pct"/>
            <w:tcBorders>
              <w:top w:val="nil"/>
              <w:left w:val="nil"/>
              <w:bottom w:val="nil"/>
              <w:right w:val="nil"/>
            </w:tcBorders>
            <w:shd w:val="clear" w:color="000000" w:fill="FFFFFF"/>
            <w:noWrap/>
            <w:vAlign w:val="center"/>
            <w:hideMark/>
          </w:tcPr>
          <w:p w14:paraId="7D2AD85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174" w:type="pct"/>
            <w:tcBorders>
              <w:top w:val="nil"/>
              <w:left w:val="nil"/>
              <w:bottom w:val="nil"/>
              <w:right w:val="nil"/>
            </w:tcBorders>
            <w:shd w:val="clear" w:color="000000" w:fill="FFFFFF"/>
            <w:noWrap/>
            <w:vAlign w:val="center"/>
            <w:hideMark/>
          </w:tcPr>
          <w:p w14:paraId="6FBA747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3DA6643E" w14:textId="77777777" w:rsidTr="00E6666C">
        <w:trPr>
          <w:trHeight w:val="624"/>
          <w:jc w:val="center"/>
        </w:trPr>
        <w:tc>
          <w:tcPr>
            <w:tcW w:w="603" w:type="pct"/>
            <w:tcBorders>
              <w:top w:val="single" w:sz="4" w:space="0" w:color="auto"/>
              <w:left w:val="single" w:sz="4" w:space="0" w:color="auto"/>
              <w:bottom w:val="single" w:sz="4" w:space="0" w:color="auto"/>
              <w:right w:val="single" w:sz="4" w:space="0" w:color="auto"/>
            </w:tcBorders>
            <w:shd w:val="clear" w:color="000000" w:fill="4D93D9"/>
            <w:vAlign w:val="center"/>
            <w:hideMark/>
          </w:tcPr>
          <w:p w14:paraId="78988ACE"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"Year"</w:t>
            </w:r>
          </w:p>
        </w:tc>
        <w:tc>
          <w:tcPr>
            <w:tcW w:w="1324" w:type="pct"/>
            <w:tcBorders>
              <w:top w:val="single" w:sz="4" w:space="0" w:color="auto"/>
              <w:left w:val="nil"/>
              <w:bottom w:val="single" w:sz="4" w:space="0" w:color="auto"/>
              <w:right w:val="single" w:sz="4" w:space="0" w:color="auto"/>
            </w:tcBorders>
            <w:shd w:val="clear" w:color="000000" w:fill="4D93D9"/>
            <w:vAlign w:val="center"/>
            <w:hideMark/>
          </w:tcPr>
          <w:p w14:paraId="0F120251"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"Cash Flow"</w:t>
            </w:r>
          </w:p>
        </w:tc>
        <w:tc>
          <w:tcPr>
            <w:tcW w:w="1899" w:type="pct"/>
            <w:tcBorders>
              <w:top w:val="single" w:sz="4" w:space="0" w:color="auto"/>
              <w:left w:val="nil"/>
              <w:bottom w:val="single" w:sz="4" w:space="0" w:color="auto"/>
              <w:right w:val="single" w:sz="4" w:space="0" w:color="auto"/>
            </w:tcBorders>
            <w:shd w:val="clear" w:color="000000" w:fill="4D93D9"/>
            <w:vAlign w:val="center"/>
            <w:hideMark/>
          </w:tcPr>
          <w:p w14:paraId="40EF8C1B"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 xml:space="preserve">"Depreciation" </w:t>
            </w:r>
          </w:p>
        </w:tc>
        <w:tc>
          <w:tcPr>
            <w:tcW w:w="1174" w:type="pct"/>
            <w:tcBorders>
              <w:top w:val="single" w:sz="4" w:space="0" w:color="auto"/>
              <w:left w:val="nil"/>
              <w:bottom w:val="single" w:sz="4" w:space="0" w:color="auto"/>
              <w:right w:val="single" w:sz="4" w:space="0" w:color="auto"/>
            </w:tcBorders>
            <w:shd w:val="clear" w:color="000000" w:fill="4D93D9"/>
            <w:vAlign w:val="center"/>
            <w:hideMark/>
          </w:tcPr>
          <w:p w14:paraId="40DEC7DE"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"Present Value"</w:t>
            </w:r>
          </w:p>
        </w:tc>
      </w:tr>
      <w:tr w:rsidR="00E6666C" w:rsidRPr="00E6666C" w14:paraId="49E31E5A" w14:textId="77777777" w:rsidTr="00E6666C">
        <w:trPr>
          <w:trHeight w:val="300"/>
          <w:jc w:val="center"/>
        </w:trPr>
        <w:tc>
          <w:tcPr>
            <w:tcW w:w="603" w:type="pct"/>
            <w:tcBorders>
              <w:top w:val="nil"/>
              <w:left w:val="single" w:sz="4" w:space="0" w:color="auto"/>
              <w:bottom w:val="single" w:sz="4" w:space="0" w:color="auto"/>
              <w:right w:val="single" w:sz="4" w:space="0" w:color="auto"/>
            </w:tcBorders>
            <w:shd w:val="clear" w:color="000000" w:fill="FFFFFF"/>
            <w:noWrap/>
            <w:vAlign w:val="center"/>
            <w:hideMark/>
          </w:tcPr>
          <w:p w14:paraId="33607B2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w:t>
            </w:r>
          </w:p>
        </w:tc>
        <w:tc>
          <w:tcPr>
            <w:tcW w:w="1324" w:type="pct"/>
            <w:tcBorders>
              <w:top w:val="nil"/>
              <w:left w:val="nil"/>
              <w:bottom w:val="single" w:sz="4" w:space="0" w:color="auto"/>
              <w:right w:val="single" w:sz="4" w:space="0" w:color="auto"/>
            </w:tcBorders>
            <w:shd w:val="clear" w:color="000000" w:fill="FFFFFF"/>
            <w:noWrap/>
            <w:vAlign w:val="center"/>
            <w:hideMark/>
          </w:tcPr>
          <w:p w14:paraId="1760B4A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1899" w:type="pct"/>
            <w:tcBorders>
              <w:top w:val="nil"/>
              <w:left w:val="nil"/>
              <w:bottom w:val="single" w:sz="4" w:space="0" w:color="auto"/>
              <w:right w:val="single" w:sz="4" w:space="0" w:color="auto"/>
            </w:tcBorders>
            <w:shd w:val="clear" w:color="000000" w:fill="FFFFFF"/>
            <w:noWrap/>
            <w:vAlign w:val="center"/>
            <w:hideMark/>
          </w:tcPr>
          <w:p w14:paraId="740004D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0.00</w:t>
            </w:r>
          </w:p>
        </w:tc>
        <w:tc>
          <w:tcPr>
            <w:tcW w:w="1174" w:type="pct"/>
            <w:tcBorders>
              <w:top w:val="nil"/>
              <w:left w:val="nil"/>
              <w:bottom w:val="single" w:sz="4" w:space="0" w:color="auto"/>
              <w:right w:val="single" w:sz="4" w:space="0" w:color="auto"/>
            </w:tcBorders>
            <w:shd w:val="clear" w:color="000000" w:fill="FFFFFF"/>
            <w:noWrap/>
            <w:vAlign w:val="center"/>
            <w:hideMark/>
          </w:tcPr>
          <w:p w14:paraId="3FC6D4E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r>
      <w:tr w:rsidR="00E6666C" w:rsidRPr="00E6666C" w14:paraId="299FE253" w14:textId="77777777" w:rsidTr="00E6666C">
        <w:trPr>
          <w:trHeight w:val="300"/>
          <w:jc w:val="center"/>
        </w:trPr>
        <w:tc>
          <w:tcPr>
            <w:tcW w:w="603" w:type="pct"/>
            <w:tcBorders>
              <w:top w:val="nil"/>
              <w:left w:val="single" w:sz="4" w:space="0" w:color="auto"/>
              <w:bottom w:val="single" w:sz="4" w:space="0" w:color="auto"/>
              <w:right w:val="single" w:sz="4" w:space="0" w:color="auto"/>
            </w:tcBorders>
            <w:shd w:val="clear" w:color="000000" w:fill="FFFFFF"/>
            <w:noWrap/>
            <w:vAlign w:val="center"/>
            <w:hideMark/>
          </w:tcPr>
          <w:p w14:paraId="29103A8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w:t>
            </w:r>
          </w:p>
        </w:tc>
        <w:tc>
          <w:tcPr>
            <w:tcW w:w="1324" w:type="pct"/>
            <w:tcBorders>
              <w:top w:val="nil"/>
              <w:left w:val="nil"/>
              <w:bottom w:val="single" w:sz="4" w:space="0" w:color="auto"/>
              <w:right w:val="single" w:sz="4" w:space="0" w:color="auto"/>
            </w:tcBorders>
            <w:shd w:val="clear" w:color="000000" w:fill="FFFFFF"/>
            <w:noWrap/>
            <w:vAlign w:val="center"/>
            <w:hideMark/>
          </w:tcPr>
          <w:p w14:paraId="6EA188E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c>
          <w:tcPr>
            <w:tcW w:w="1899" w:type="pct"/>
            <w:tcBorders>
              <w:top w:val="nil"/>
              <w:left w:val="nil"/>
              <w:bottom w:val="single" w:sz="4" w:space="0" w:color="auto"/>
              <w:right w:val="single" w:sz="4" w:space="0" w:color="auto"/>
            </w:tcBorders>
            <w:shd w:val="clear" w:color="000000" w:fill="FFFFFF"/>
            <w:noWrap/>
            <w:vAlign w:val="center"/>
            <w:hideMark/>
          </w:tcPr>
          <w:p w14:paraId="460F0E6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174" w:type="pct"/>
            <w:tcBorders>
              <w:top w:val="nil"/>
              <w:left w:val="nil"/>
              <w:bottom w:val="single" w:sz="4" w:space="0" w:color="auto"/>
              <w:right w:val="single" w:sz="4" w:space="0" w:color="auto"/>
            </w:tcBorders>
            <w:shd w:val="clear" w:color="000000" w:fill="FFFFFF"/>
            <w:noWrap/>
            <w:vAlign w:val="center"/>
            <w:hideMark/>
          </w:tcPr>
          <w:p w14:paraId="4AA7FCF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   </w:t>
            </w:r>
          </w:p>
        </w:tc>
      </w:tr>
      <w:tr w:rsidR="00E6666C" w:rsidRPr="00E6666C" w14:paraId="0E9B2B0C" w14:textId="77777777" w:rsidTr="00E6666C">
        <w:trPr>
          <w:trHeight w:val="300"/>
          <w:jc w:val="center"/>
        </w:trPr>
        <w:tc>
          <w:tcPr>
            <w:tcW w:w="603" w:type="pct"/>
            <w:tcBorders>
              <w:top w:val="nil"/>
              <w:left w:val="single" w:sz="4" w:space="0" w:color="auto"/>
              <w:bottom w:val="single" w:sz="4" w:space="0" w:color="auto"/>
              <w:right w:val="single" w:sz="4" w:space="0" w:color="auto"/>
            </w:tcBorders>
            <w:shd w:val="clear" w:color="000000" w:fill="FFFFFF"/>
            <w:noWrap/>
            <w:vAlign w:val="center"/>
            <w:hideMark/>
          </w:tcPr>
          <w:p w14:paraId="75BA612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2</w:t>
            </w:r>
          </w:p>
        </w:tc>
        <w:tc>
          <w:tcPr>
            <w:tcW w:w="1324" w:type="pct"/>
            <w:tcBorders>
              <w:top w:val="nil"/>
              <w:left w:val="nil"/>
              <w:bottom w:val="single" w:sz="4" w:space="0" w:color="auto"/>
              <w:right w:val="single" w:sz="4" w:space="0" w:color="auto"/>
            </w:tcBorders>
            <w:shd w:val="clear" w:color="000000" w:fill="FFFFFF"/>
            <w:noWrap/>
            <w:vAlign w:val="center"/>
            <w:hideMark/>
          </w:tcPr>
          <w:p w14:paraId="0A2D9DD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12.00 </w:t>
            </w:r>
          </w:p>
        </w:tc>
        <w:tc>
          <w:tcPr>
            <w:tcW w:w="1899" w:type="pct"/>
            <w:tcBorders>
              <w:top w:val="nil"/>
              <w:left w:val="nil"/>
              <w:bottom w:val="single" w:sz="4" w:space="0" w:color="auto"/>
              <w:right w:val="single" w:sz="4" w:space="0" w:color="auto"/>
            </w:tcBorders>
            <w:shd w:val="clear" w:color="000000" w:fill="FFFFFF"/>
            <w:noWrap/>
            <w:vAlign w:val="center"/>
            <w:hideMark/>
          </w:tcPr>
          <w:p w14:paraId="130DDD7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174" w:type="pct"/>
            <w:tcBorders>
              <w:top w:val="nil"/>
              <w:left w:val="nil"/>
              <w:bottom w:val="single" w:sz="4" w:space="0" w:color="auto"/>
              <w:right w:val="single" w:sz="4" w:space="0" w:color="auto"/>
            </w:tcBorders>
            <w:shd w:val="clear" w:color="000000" w:fill="FFFFFF"/>
            <w:noWrap/>
            <w:vAlign w:val="center"/>
            <w:hideMark/>
          </w:tcPr>
          <w:p w14:paraId="15F5B7D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2.00 </w:t>
            </w:r>
          </w:p>
        </w:tc>
      </w:tr>
      <w:tr w:rsidR="00E6666C" w:rsidRPr="00E6666C" w14:paraId="49900786" w14:textId="77777777" w:rsidTr="00E6666C">
        <w:trPr>
          <w:trHeight w:val="300"/>
          <w:jc w:val="center"/>
        </w:trPr>
        <w:tc>
          <w:tcPr>
            <w:tcW w:w="603" w:type="pct"/>
            <w:tcBorders>
              <w:top w:val="nil"/>
              <w:left w:val="single" w:sz="4" w:space="0" w:color="auto"/>
              <w:bottom w:val="single" w:sz="4" w:space="0" w:color="auto"/>
              <w:right w:val="single" w:sz="4" w:space="0" w:color="auto"/>
            </w:tcBorders>
            <w:shd w:val="clear" w:color="000000" w:fill="FFFFFF"/>
            <w:noWrap/>
            <w:vAlign w:val="center"/>
            <w:hideMark/>
          </w:tcPr>
          <w:p w14:paraId="71CF20B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3</w:t>
            </w:r>
          </w:p>
        </w:tc>
        <w:tc>
          <w:tcPr>
            <w:tcW w:w="1324" w:type="pct"/>
            <w:tcBorders>
              <w:top w:val="nil"/>
              <w:left w:val="nil"/>
              <w:bottom w:val="single" w:sz="4" w:space="0" w:color="auto"/>
              <w:right w:val="single" w:sz="4" w:space="0" w:color="auto"/>
            </w:tcBorders>
            <w:shd w:val="clear" w:color="000000" w:fill="FFFFFF"/>
            <w:noWrap/>
            <w:vAlign w:val="center"/>
            <w:hideMark/>
          </w:tcPr>
          <w:p w14:paraId="3226A62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14.00 </w:t>
            </w:r>
          </w:p>
        </w:tc>
        <w:tc>
          <w:tcPr>
            <w:tcW w:w="1899" w:type="pct"/>
            <w:tcBorders>
              <w:top w:val="nil"/>
              <w:left w:val="nil"/>
              <w:bottom w:val="single" w:sz="4" w:space="0" w:color="auto"/>
              <w:right w:val="single" w:sz="4" w:space="0" w:color="auto"/>
            </w:tcBorders>
            <w:shd w:val="clear" w:color="000000" w:fill="FFFFFF"/>
            <w:noWrap/>
            <w:vAlign w:val="center"/>
            <w:hideMark/>
          </w:tcPr>
          <w:p w14:paraId="0FC2183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174" w:type="pct"/>
            <w:tcBorders>
              <w:top w:val="nil"/>
              <w:left w:val="nil"/>
              <w:bottom w:val="single" w:sz="4" w:space="0" w:color="auto"/>
              <w:right w:val="single" w:sz="4" w:space="0" w:color="auto"/>
            </w:tcBorders>
            <w:shd w:val="clear" w:color="000000" w:fill="FFFFFF"/>
            <w:noWrap/>
            <w:vAlign w:val="center"/>
            <w:hideMark/>
          </w:tcPr>
          <w:p w14:paraId="2428BAB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4.00 </w:t>
            </w:r>
          </w:p>
        </w:tc>
      </w:tr>
      <w:tr w:rsidR="00E6666C" w:rsidRPr="00E6666C" w14:paraId="1FC817FB" w14:textId="77777777" w:rsidTr="00E6666C">
        <w:trPr>
          <w:trHeight w:val="300"/>
          <w:jc w:val="center"/>
        </w:trPr>
        <w:tc>
          <w:tcPr>
            <w:tcW w:w="603" w:type="pct"/>
            <w:tcBorders>
              <w:top w:val="nil"/>
              <w:left w:val="single" w:sz="4" w:space="0" w:color="auto"/>
              <w:bottom w:val="single" w:sz="4" w:space="0" w:color="auto"/>
              <w:right w:val="single" w:sz="4" w:space="0" w:color="auto"/>
            </w:tcBorders>
            <w:shd w:val="clear" w:color="000000" w:fill="FFFFFF"/>
            <w:noWrap/>
            <w:vAlign w:val="center"/>
            <w:hideMark/>
          </w:tcPr>
          <w:p w14:paraId="357D81F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4</w:t>
            </w:r>
          </w:p>
        </w:tc>
        <w:tc>
          <w:tcPr>
            <w:tcW w:w="1324" w:type="pct"/>
            <w:tcBorders>
              <w:top w:val="nil"/>
              <w:left w:val="nil"/>
              <w:bottom w:val="single" w:sz="4" w:space="0" w:color="auto"/>
              <w:right w:val="single" w:sz="4" w:space="0" w:color="auto"/>
            </w:tcBorders>
            <w:shd w:val="clear" w:color="000000" w:fill="FFFFFF"/>
            <w:noWrap/>
            <w:vAlign w:val="center"/>
            <w:hideMark/>
          </w:tcPr>
          <w:p w14:paraId="2AF0866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c>
          <w:tcPr>
            <w:tcW w:w="1899" w:type="pct"/>
            <w:tcBorders>
              <w:top w:val="nil"/>
              <w:left w:val="nil"/>
              <w:bottom w:val="single" w:sz="4" w:space="0" w:color="auto"/>
              <w:right w:val="single" w:sz="4" w:space="0" w:color="auto"/>
            </w:tcBorders>
            <w:shd w:val="clear" w:color="000000" w:fill="FFFFFF"/>
            <w:noWrap/>
            <w:vAlign w:val="center"/>
            <w:hideMark/>
          </w:tcPr>
          <w:p w14:paraId="685FE4F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174" w:type="pct"/>
            <w:tcBorders>
              <w:top w:val="nil"/>
              <w:left w:val="nil"/>
              <w:bottom w:val="single" w:sz="4" w:space="0" w:color="auto"/>
              <w:right w:val="single" w:sz="4" w:space="0" w:color="auto"/>
            </w:tcBorders>
            <w:shd w:val="clear" w:color="000000" w:fill="FFFFFF"/>
            <w:noWrap/>
            <w:vAlign w:val="center"/>
            <w:hideMark/>
          </w:tcPr>
          <w:p w14:paraId="41DEEA1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   </w:t>
            </w:r>
          </w:p>
        </w:tc>
      </w:tr>
      <w:tr w:rsidR="00E6666C" w:rsidRPr="00E6666C" w14:paraId="1A05E457" w14:textId="77777777" w:rsidTr="00E6666C">
        <w:trPr>
          <w:trHeight w:val="300"/>
          <w:jc w:val="center"/>
        </w:trPr>
        <w:tc>
          <w:tcPr>
            <w:tcW w:w="603" w:type="pct"/>
            <w:tcBorders>
              <w:top w:val="nil"/>
              <w:left w:val="single" w:sz="4" w:space="0" w:color="auto"/>
              <w:bottom w:val="single" w:sz="4" w:space="0" w:color="auto"/>
              <w:right w:val="single" w:sz="4" w:space="0" w:color="auto"/>
            </w:tcBorders>
            <w:shd w:val="clear" w:color="000000" w:fill="FFFFFF"/>
            <w:noWrap/>
            <w:vAlign w:val="center"/>
            <w:hideMark/>
          </w:tcPr>
          <w:p w14:paraId="5A4CA98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5</w:t>
            </w:r>
          </w:p>
        </w:tc>
        <w:tc>
          <w:tcPr>
            <w:tcW w:w="1324" w:type="pct"/>
            <w:tcBorders>
              <w:top w:val="nil"/>
              <w:left w:val="nil"/>
              <w:bottom w:val="single" w:sz="4" w:space="0" w:color="auto"/>
              <w:right w:val="single" w:sz="4" w:space="0" w:color="auto"/>
            </w:tcBorders>
            <w:shd w:val="clear" w:color="000000" w:fill="FFFFFF"/>
            <w:noWrap/>
            <w:vAlign w:val="center"/>
            <w:hideMark/>
          </w:tcPr>
          <w:p w14:paraId="4A11C7B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8.00 </w:t>
            </w:r>
          </w:p>
        </w:tc>
        <w:tc>
          <w:tcPr>
            <w:tcW w:w="1899" w:type="pct"/>
            <w:tcBorders>
              <w:top w:val="nil"/>
              <w:left w:val="nil"/>
              <w:bottom w:val="single" w:sz="4" w:space="0" w:color="auto"/>
              <w:right w:val="single" w:sz="4" w:space="0" w:color="auto"/>
            </w:tcBorders>
            <w:shd w:val="clear" w:color="000000" w:fill="FFFFFF"/>
            <w:noWrap/>
            <w:vAlign w:val="center"/>
            <w:hideMark/>
          </w:tcPr>
          <w:p w14:paraId="272684A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174" w:type="pct"/>
            <w:tcBorders>
              <w:top w:val="nil"/>
              <w:left w:val="nil"/>
              <w:bottom w:val="single" w:sz="4" w:space="0" w:color="auto"/>
              <w:right w:val="single" w:sz="4" w:space="0" w:color="auto"/>
            </w:tcBorders>
            <w:shd w:val="clear" w:color="000000" w:fill="FFFFFF"/>
            <w:noWrap/>
            <w:vAlign w:val="center"/>
            <w:hideMark/>
          </w:tcPr>
          <w:p w14:paraId="0BBAD83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2.00 </w:t>
            </w:r>
          </w:p>
        </w:tc>
      </w:tr>
      <w:tr w:rsidR="00E6666C" w:rsidRPr="00E6666C" w14:paraId="1AFC7F80" w14:textId="77777777" w:rsidTr="00E6666C">
        <w:trPr>
          <w:trHeight w:val="312"/>
          <w:jc w:val="center"/>
        </w:trPr>
        <w:tc>
          <w:tcPr>
            <w:tcW w:w="3826" w:type="pct"/>
            <w:gridSpan w:val="3"/>
            <w:tcBorders>
              <w:top w:val="single" w:sz="4" w:space="0" w:color="auto"/>
              <w:left w:val="single" w:sz="4" w:space="0" w:color="auto"/>
              <w:bottom w:val="single" w:sz="4" w:space="0" w:color="auto"/>
              <w:right w:val="single" w:sz="4" w:space="0" w:color="000000"/>
            </w:tcBorders>
            <w:shd w:val="clear" w:color="000000" w:fill="FFFFFF"/>
            <w:vAlign w:val="center"/>
            <w:hideMark/>
          </w:tcPr>
          <w:p w14:paraId="6F15AB14"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 xml:space="preserve">"Accounting Rate of Return (ARR) of Project A" </w:t>
            </w:r>
          </w:p>
        </w:tc>
        <w:tc>
          <w:tcPr>
            <w:tcW w:w="1174" w:type="pct"/>
            <w:tcBorders>
              <w:top w:val="nil"/>
              <w:left w:val="nil"/>
              <w:bottom w:val="single" w:sz="4" w:space="0" w:color="auto"/>
              <w:right w:val="single" w:sz="4" w:space="0" w:color="auto"/>
            </w:tcBorders>
            <w:shd w:val="clear" w:color="000000" w:fill="FFFFFF"/>
            <w:vAlign w:val="center"/>
            <w:hideMark/>
          </w:tcPr>
          <w:p w14:paraId="2D51176D"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1.60%</w:t>
            </w:r>
          </w:p>
        </w:tc>
      </w:tr>
    </w:tbl>
    <w:p w14:paraId="63B40F3D" w14:textId="77777777" w:rsidR="00E6666C" w:rsidRDefault="00E6666C" w:rsidP="005A5E32">
      <w:pPr>
        <w:jc w:val="center"/>
        <w:rPr>
          <w:rFonts w:ascii="Arial" w:eastAsia="Arial" w:hAnsi="Arial" w:cs="Arial"/>
        </w:rPr>
      </w:pPr>
    </w:p>
    <w:tbl>
      <w:tblPr>
        <w:tblW w:w="5000" w:type="pct"/>
        <w:jc w:val="center"/>
        <w:tblLook w:val="04A0" w:firstRow="1" w:lastRow="0" w:firstColumn="1" w:lastColumn="0" w:noHBand="0" w:noVBand="1"/>
      </w:tblPr>
      <w:tblGrid>
        <w:gridCol w:w="965"/>
        <w:gridCol w:w="1498"/>
        <w:gridCol w:w="2900"/>
        <w:gridCol w:w="1897"/>
        <w:gridCol w:w="1764"/>
      </w:tblGrid>
      <w:tr w:rsidR="00E6666C" w:rsidRPr="00E6666C" w14:paraId="586F90D0" w14:textId="77777777" w:rsidTr="00E6666C">
        <w:trPr>
          <w:trHeight w:val="624"/>
          <w:jc w:val="center"/>
        </w:trPr>
        <w:tc>
          <w:tcPr>
            <w:tcW w:w="513" w:type="pct"/>
            <w:tcBorders>
              <w:top w:val="single" w:sz="4" w:space="0" w:color="000000"/>
              <w:left w:val="single" w:sz="4" w:space="0" w:color="000000"/>
              <w:bottom w:val="single" w:sz="4" w:space="0" w:color="000000"/>
              <w:right w:val="single" w:sz="4" w:space="0" w:color="000000"/>
            </w:tcBorders>
            <w:shd w:val="clear" w:color="000000" w:fill="4D93D9"/>
            <w:vAlign w:val="center"/>
            <w:hideMark/>
          </w:tcPr>
          <w:p w14:paraId="0DB98AC7"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"Year"</w:t>
            </w:r>
          </w:p>
        </w:tc>
        <w:tc>
          <w:tcPr>
            <w:tcW w:w="808" w:type="pct"/>
            <w:tcBorders>
              <w:top w:val="single" w:sz="4" w:space="0" w:color="000000"/>
              <w:left w:val="nil"/>
              <w:bottom w:val="single" w:sz="4" w:space="0" w:color="000000"/>
              <w:right w:val="single" w:sz="4" w:space="0" w:color="000000"/>
            </w:tcBorders>
            <w:shd w:val="clear" w:color="000000" w:fill="4D93D9"/>
            <w:vAlign w:val="center"/>
            <w:hideMark/>
          </w:tcPr>
          <w:p w14:paraId="220DB230"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"Cash Flow"</w:t>
            </w:r>
          </w:p>
        </w:tc>
        <w:tc>
          <w:tcPr>
            <w:tcW w:w="1701" w:type="pct"/>
            <w:tcBorders>
              <w:top w:val="single" w:sz="4" w:space="0" w:color="000000"/>
              <w:left w:val="nil"/>
              <w:bottom w:val="single" w:sz="4" w:space="0" w:color="000000"/>
              <w:right w:val="nil"/>
            </w:tcBorders>
            <w:shd w:val="clear" w:color="000000" w:fill="4D93D9"/>
            <w:vAlign w:val="center"/>
            <w:hideMark/>
          </w:tcPr>
          <w:p w14:paraId="02799044"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"Discounting Factor @10%"</w:t>
            </w:r>
          </w:p>
        </w:tc>
        <w:tc>
          <w:tcPr>
            <w:tcW w:w="1021" w:type="pct"/>
            <w:tcBorders>
              <w:top w:val="single" w:sz="4" w:space="0" w:color="000000"/>
              <w:left w:val="single" w:sz="4" w:space="0" w:color="000000"/>
              <w:bottom w:val="single" w:sz="4" w:space="0" w:color="000000"/>
              <w:right w:val="single" w:sz="4" w:space="0" w:color="000000"/>
            </w:tcBorders>
            <w:shd w:val="clear" w:color="000000" w:fill="4D93D9"/>
            <w:vAlign w:val="center"/>
            <w:hideMark/>
          </w:tcPr>
          <w:p w14:paraId="0CA0365B"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"Present Value"</w:t>
            </w:r>
          </w:p>
        </w:tc>
        <w:tc>
          <w:tcPr>
            <w:tcW w:w="957" w:type="pct"/>
            <w:tcBorders>
              <w:top w:val="nil"/>
              <w:left w:val="nil"/>
              <w:bottom w:val="nil"/>
              <w:right w:val="nil"/>
            </w:tcBorders>
            <w:noWrap/>
            <w:vAlign w:val="center"/>
            <w:hideMark/>
          </w:tcPr>
          <w:p w14:paraId="7951F6A2" w14:textId="77777777" w:rsidR="00E6666C" w:rsidRPr="00E6666C" w:rsidRDefault="00E6666C" w:rsidP="00E6666C">
            <w:pPr>
              <w:spacing w:before="0" w:after="0" w:line="240" w:lineRule="auto"/>
              <w:jc w:val="center"/>
              <w:rPr>
                <w:rFonts w:ascii="Arial" w:hAnsi="Arial" w:cs="Arial"/>
                <w:b/>
                <w:bCs/>
                <w:color w:val="000000"/>
                <w:lang w:val="en-IN"/>
              </w:rPr>
            </w:pPr>
          </w:p>
        </w:tc>
      </w:tr>
      <w:tr w:rsidR="00E6666C" w:rsidRPr="00E6666C" w14:paraId="1B1BEE87" w14:textId="77777777" w:rsidTr="00E6666C">
        <w:trPr>
          <w:trHeight w:val="300"/>
          <w:jc w:val="center"/>
        </w:trPr>
        <w:tc>
          <w:tcPr>
            <w:tcW w:w="513" w:type="pct"/>
            <w:tcBorders>
              <w:top w:val="nil"/>
              <w:left w:val="single" w:sz="4" w:space="0" w:color="000000"/>
              <w:bottom w:val="single" w:sz="4" w:space="0" w:color="000000"/>
              <w:right w:val="single" w:sz="4" w:space="0" w:color="000000"/>
            </w:tcBorders>
            <w:shd w:val="clear" w:color="000000" w:fill="FFFFFF"/>
            <w:noWrap/>
            <w:vAlign w:val="center"/>
            <w:hideMark/>
          </w:tcPr>
          <w:p w14:paraId="4B1362B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w:t>
            </w:r>
          </w:p>
        </w:tc>
        <w:tc>
          <w:tcPr>
            <w:tcW w:w="808" w:type="pct"/>
            <w:tcBorders>
              <w:top w:val="nil"/>
              <w:left w:val="nil"/>
              <w:bottom w:val="single" w:sz="4" w:space="0" w:color="000000"/>
              <w:right w:val="single" w:sz="4" w:space="0" w:color="000000"/>
            </w:tcBorders>
            <w:shd w:val="clear" w:color="000000" w:fill="FFFFFF"/>
            <w:noWrap/>
            <w:vAlign w:val="center"/>
            <w:hideMark/>
          </w:tcPr>
          <w:p w14:paraId="41BFCB1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1701" w:type="pct"/>
            <w:tcBorders>
              <w:top w:val="nil"/>
              <w:left w:val="nil"/>
              <w:bottom w:val="single" w:sz="4" w:space="0" w:color="000000"/>
              <w:right w:val="nil"/>
            </w:tcBorders>
            <w:shd w:val="clear" w:color="000000" w:fill="FFFFFF"/>
            <w:noWrap/>
            <w:vAlign w:val="center"/>
            <w:hideMark/>
          </w:tcPr>
          <w:p w14:paraId="75DE464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021" w:type="pct"/>
            <w:tcBorders>
              <w:top w:val="nil"/>
              <w:left w:val="single" w:sz="4" w:space="0" w:color="000000"/>
              <w:bottom w:val="single" w:sz="4" w:space="0" w:color="000000"/>
              <w:right w:val="single" w:sz="4" w:space="0" w:color="000000"/>
            </w:tcBorders>
            <w:shd w:val="clear" w:color="000000" w:fill="FFFFFF"/>
            <w:noWrap/>
            <w:vAlign w:val="center"/>
            <w:hideMark/>
          </w:tcPr>
          <w:p w14:paraId="6B3B22B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957" w:type="pct"/>
            <w:tcBorders>
              <w:top w:val="nil"/>
              <w:left w:val="nil"/>
              <w:bottom w:val="nil"/>
              <w:right w:val="nil"/>
            </w:tcBorders>
            <w:noWrap/>
            <w:vAlign w:val="center"/>
            <w:hideMark/>
          </w:tcPr>
          <w:p w14:paraId="56AF389E" w14:textId="77777777" w:rsidR="00E6666C" w:rsidRPr="00E6666C" w:rsidRDefault="00E6666C" w:rsidP="00E6666C">
            <w:pPr>
              <w:spacing w:before="0" w:after="0" w:line="240" w:lineRule="auto"/>
              <w:jc w:val="center"/>
              <w:rPr>
                <w:rFonts w:ascii="Arial" w:hAnsi="Arial" w:cs="Arial"/>
                <w:color w:val="000000"/>
                <w:lang w:val="en-IN"/>
              </w:rPr>
            </w:pPr>
          </w:p>
        </w:tc>
      </w:tr>
      <w:tr w:rsidR="00E6666C" w:rsidRPr="00E6666C" w14:paraId="222784DD" w14:textId="77777777" w:rsidTr="00E6666C">
        <w:trPr>
          <w:trHeight w:val="300"/>
          <w:jc w:val="center"/>
        </w:trPr>
        <w:tc>
          <w:tcPr>
            <w:tcW w:w="513" w:type="pct"/>
            <w:tcBorders>
              <w:top w:val="nil"/>
              <w:left w:val="single" w:sz="4" w:space="0" w:color="000000"/>
              <w:bottom w:val="single" w:sz="4" w:space="0" w:color="000000"/>
              <w:right w:val="single" w:sz="4" w:space="0" w:color="000000"/>
            </w:tcBorders>
            <w:shd w:val="clear" w:color="000000" w:fill="FFFFFF"/>
            <w:noWrap/>
            <w:vAlign w:val="center"/>
            <w:hideMark/>
          </w:tcPr>
          <w:p w14:paraId="199A5E7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w:t>
            </w:r>
          </w:p>
        </w:tc>
        <w:tc>
          <w:tcPr>
            <w:tcW w:w="808" w:type="pct"/>
            <w:tcBorders>
              <w:top w:val="nil"/>
              <w:left w:val="nil"/>
              <w:bottom w:val="single" w:sz="4" w:space="0" w:color="000000"/>
              <w:right w:val="single" w:sz="4" w:space="0" w:color="000000"/>
            </w:tcBorders>
            <w:shd w:val="clear" w:color="000000" w:fill="FFFFFF"/>
            <w:noWrap/>
            <w:vAlign w:val="center"/>
            <w:hideMark/>
          </w:tcPr>
          <w:p w14:paraId="52263E7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701" w:type="pct"/>
            <w:tcBorders>
              <w:top w:val="nil"/>
              <w:left w:val="nil"/>
              <w:bottom w:val="single" w:sz="4" w:space="0" w:color="000000"/>
              <w:right w:val="nil"/>
            </w:tcBorders>
            <w:shd w:val="clear" w:color="000000" w:fill="FFFFFF"/>
            <w:noWrap/>
            <w:vAlign w:val="center"/>
            <w:hideMark/>
          </w:tcPr>
          <w:p w14:paraId="2037292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0.909</w:t>
            </w:r>
          </w:p>
        </w:tc>
        <w:tc>
          <w:tcPr>
            <w:tcW w:w="1021" w:type="pct"/>
            <w:tcBorders>
              <w:top w:val="nil"/>
              <w:left w:val="single" w:sz="4" w:space="0" w:color="000000"/>
              <w:bottom w:val="single" w:sz="4" w:space="0" w:color="000000"/>
              <w:right w:val="single" w:sz="4" w:space="0" w:color="000000"/>
            </w:tcBorders>
            <w:shd w:val="clear" w:color="000000" w:fill="FFFFFF"/>
            <w:noWrap/>
            <w:vAlign w:val="center"/>
            <w:hideMark/>
          </w:tcPr>
          <w:p w14:paraId="7F32B9C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c>
          <w:tcPr>
            <w:tcW w:w="957" w:type="pct"/>
            <w:tcBorders>
              <w:top w:val="nil"/>
              <w:left w:val="nil"/>
              <w:bottom w:val="nil"/>
              <w:right w:val="nil"/>
            </w:tcBorders>
            <w:noWrap/>
            <w:vAlign w:val="center"/>
            <w:hideMark/>
          </w:tcPr>
          <w:p w14:paraId="580DBD64" w14:textId="77777777" w:rsidR="00E6666C" w:rsidRPr="00E6666C" w:rsidRDefault="00E6666C" w:rsidP="00E6666C">
            <w:pPr>
              <w:spacing w:before="0" w:after="0" w:line="240" w:lineRule="auto"/>
              <w:jc w:val="center"/>
              <w:rPr>
                <w:rFonts w:ascii="Arial" w:hAnsi="Arial" w:cs="Arial"/>
                <w:color w:val="000000"/>
                <w:lang w:val="en-IN"/>
              </w:rPr>
            </w:pPr>
          </w:p>
        </w:tc>
      </w:tr>
      <w:tr w:rsidR="00E6666C" w:rsidRPr="00E6666C" w14:paraId="78816F2E" w14:textId="77777777" w:rsidTr="00E6666C">
        <w:trPr>
          <w:trHeight w:val="300"/>
          <w:jc w:val="center"/>
        </w:trPr>
        <w:tc>
          <w:tcPr>
            <w:tcW w:w="513" w:type="pct"/>
            <w:tcBorders>
              <w:top w:val="nil"/>
              <w:left w:val="single" w:sz="4" w:space="0" w:color="000000"/>
              <w:bottom w:val="single" w:sz="4" w:space="0" w:color="000000"/>
              <w:right w:val="single" w:sz="4" w:space="0" w:color="000000"/>
            </w:tcBorders>
            <w:shd w:val="clear" w:color="000000" w:fill="FFFFFF"/>
            <w:noWrap/>
            <w:vAlign w:val="center"/>
            <w:hideMark/>
          </w:tcPr>
          <w:p w14:paraId="6120DC7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2</w:t>
            </w:r>
          </w:p>
        </w:tc>
        <w:tc>
          <w:tcPr>
            <w:tcW w:w="808" w:type="pct"/>
            <w:tcBorders>
              <w:top w:val="nil"/>
              <w:left w:val="nil"/>
              <w:bottom w:val="single" w:sz="4" w:space="0" w:color="000000"/>
              <w:right w:val="single" w:sz="4" w:space="0" w:color="000000"/>
            </w:tcBorders>
            <w:shd w:val="clear" w:color="000000" w:fill="FFFFFF"/>
            <w:noWrap/>
            <w:vAlign w:val="center"/>
            <w:hideMark/>
          </w:tcPr>
          <w:p w14:paraId="44B6945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701" w:type="pct"/>
            <w:tcBorders>
              <w:top w:val="nil"/>
              <w:left w:val="nil"/>
              <w:bottom w:val="single" w:sz="4" w:space="0" w:color="000000"/>
              <w:right w:val="nil"/>
            </w:tcBorders>
            <w:shd w:val="clear" w:color="000000" w:fill="FFFFFF"/>
            <w:noWrap/>
            <w:vAlign w:val="center"/>
            <w:hideMark/>
          </w:tcPr>
          <w:p w14:paraId="2B651ED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0.826</w:t>
            </w:r>
          </w:p>
        </w:tc>
        <w:tc>
          <w:tcPr>
            <w:tcW w:w="1021" w:type="pct"/>
            <w:tcBorders>
              <w:top w:val="nil"/>
              <w:left w:val="single" w:sz="4" w:space="0" w:color="000000"/>
              <w:bottom w:val="single" w:sz="4" w:space="0" w:color="000000"/>
              <w:right w:val="single" w:sz="4" w:space="0" w:color="000000"/>
            </w:tcBorders>
            <w:shd w:val="clear" w:color="000000" w:fill="FFFFFF"/>
            <w:noWrap/>
            <w:vAlign w:val="center"/>
            <w:hideMark/>
          </w:tcPr>
          <w:p w14:paraId="615D5DD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9.09 </w:t>
            </w:r>
          </w:p>
        </w:tc>
        <w:tc>
          <w:tcPr>
            <w:tcW w:w="957" w:type="pct"/>
            <w:tcBorders>
              <w:top w:val="nil"/>
              <w:left w:val="nil"/>
              <w:bottom w:val="nil"/>
              <w:right w:val="nil"/>
            </w:tcBorders>
            <w:noWrap/>
            <w:vAlign w:val="center"/>
            <w:hideMark/>
          </w:tcPr>
          <w:p w14:paraId="55E620B4" w14:textId="77777777" w:rsidR="00E6666C" w:rsidRPr="00E6666C" w:rsidRDefault="00E6666C" w:rsidP="00E6666C">
            <w:pPr>
              <w:spacing w:before="0" w:after="0" w:line="240" w:lineRule="auto"/>
              <w:jc w:val="center"/>
              <w:rPr>
                <w:rFonts w:ascii="Arial" w:hAnsi="Arial" w:cs="Arial"/>
                <w:color w:val="000000"/>
                <w:lang w:val="en-IN"/>
              </w:rPr>
            </w:pPr>
          </w:p>
        </w:tc>
      </w:tr>
      <w:tr w:rsidR="00E6666C" w:rsidRPr="00E6666C" w14:paraId="095DB0AC" w14:textId="77777777" w:rsidTr="00E6666C">
        <w:trPr>
          <w:trHeight w:val="300"/>
          <w:jc w:val="center"/>
        </w:trPr>
        <w:tc>
          <w:tcPr>
            <w:tcW w:w="513" w:type="pct"/>
            <w:tcBorders>
              <w:top w:val="nil"/>
              <w:left w:val="single" w:sz="4" w:space="0" w:color="000000"/>
              <w:bottom w:val="single" w:sz="4" w:space="0" w:color="000000"/>
              <w:right w:val="single" w:sz="4" w:space="0" w:color="000000"/>
            </w:tcBorders>
            <w:shd w:val="clear" w:color="000000" w:fill="FFFFFF"/>
            <w:noWrap/>
            <w:vAlign w:val="center"/>
            <w:hideMark/>
          </w:tcPr>
          <w:p w14:paraId="1893371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3</w:t>
            </w:r>
          </w:p>
        </w:tc>
        <w:tc>
          <w:tcPr>
            <w:tcW w:w="808" w:type="pct"/>
            <w:tcBorders>
              <w:top w:val="nil"/>
              <w:left w:val="nil"/>
              <w:bottom w:val="single" w:sz="4" w:space="0" w:color="000000"/>
              <w:right w:val="single" w:sz="4" w:space="0" w:color="000000"/>
            </w:tcBorders>
            <w:shd w:val="clear" w:color="000000" w:fill="FFFFFF"/>
            <w:noWrap/>
            <w:vAlign w:val="center"/>
            <w:hideMark/>
          </w:tcPr>
          <w:p w14:paraId="62B53F1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701" w:type="pct"/>
            <w:tcBorders>
              <w:top w:val="nil"/>
              <w:left w:val="nil"/>
              <w:bottom w:val="single" w:sz="4" w:space="0" w:color="000000"/>
              <w:right w:val="nil"/>
            </w:tcBorders>
            <w:shd w:val="clear" w:color="000000" w:fill="FFFFFF"/>
            <w:noWrap/>
            <w:vAlign w:val="center"/>
            <w:hideMark/>
          </w:tcPr>
          <w:p w14:paraId="5E42A8C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0.751</w:t>
            </w:r>
          </w:p>
        </w:tc>
        <w:tc>
          <w:tcPr>
            <w:tcW w:w="1021" w:type="pct"/>
            <w:tcBorders>
              <w:top w:val="nil"/>
              <w:left w:val="single" w:sz="4" w:space="0" w:color="000000"/>
              <w:bottom w:val="single" w:sz="4" w:space="0" w:color="000000"/>
              <w:right w:val="single" w:sz="4" w:space="0" w:color="000000"/>
            </w:tcBorders>
            <w:shd w:val="clear" w:color="000000" w:fill="FFFFFF"/>
            <w:noWrap/>
            <w:vAlign w:val="center"/>
            <w:hideMark/>
          </w:tcPr>
          <w:p w14:paraId="3E52B0F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8.26 </w:t>
            </w:r>
          </w:p>
        </w:tc>
        <w:tc>
          <w:tcPr>
            <w:tcW w:w="957" w:type="pct"/>
            <w:tcBorders>
              <w:top w:val="nil"/>
              <w:left w:val="nil"/>
              <w:bottom w:val="nil"/>
              <w:right w:val="nil"/>
            </w:tcBorders>
            <w:noWrap/>
            <w:vAlign w:val="center"/>
            <w:hideMark/>
          </w:tcPr>
          <w:p w14:paraId="055AD9AF" w14:textId="77777777" w:rsidR="00E6666C" w:rsidRPr="00E6666C" w:rsidRDefault="00E6666C" w:rsidP="00E6666C">
            <w:pPr>
              <w:spacing w:before="0" w:after="0" w:line="240" w:lineRule="auto"/>
              <w:jc w:val="center"/>
              <w:rPr>
                <w:rFonts w:ascii="Arial" w:hAnsi="Arial" w:cs="Arial"/>
                <w:color w:val="000000"/>
                <w:lang w:val="en-IN"/>
              </w:rPr>
            </w:pPr>
          </w:p>
        </w:tc>
      </w:tr>
      <w:tr w:rsidR="00E6666C" w:rsidRPr="00E6666C" w14:paraId="675033F8" w14:textId="77777777" w:rsidTr="00E6666C">
        <w:trPr>
          <w:trHeight w:val="300"/>
          <w:jc w:val="center"/>
        </w:trPr>
        <w:tc>
          <w:tcPr>
            <w:tcW w:w="513" w:type="pct"/>
            <w:tcBorders>
              <w:top w:val="nil"/>
              <w:left w:val="single" w:sz="4" w:space="0" w:color="000000"/>
              <w:bottom w:val="single" w:sz="4" w:space="0" w:color="000000"/>
              <w:right w:val="single" w:sz="4" w:space="0" w:color="000000"/>
            </w:tcBorders>
            <w:shd w:val="clear" w:color="000000" w:fill="FFFFFF"/>
            <w:noWrap/>
            <w:vAlign w:val="center"/>
            <w:hideMark/>
          </w:tcPr>
          <w:p w14:paraId="6A4F5C6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4</w:t>
            </w:r>
          </w:p>
        </w:tc>
        <w:tc>
          <w:tcPr>
            <w:tcW w:w="808" w:type="pct"/>
            <w:tcBorders>
              <w:top w:val="nil"/>
              <w:left w:val="nil"/>
              <w:bottom w:val="single" w:sz="4" w:space="0" w:color="000000"/>
              <w:right w:val="single" w:sz="4" w:space="0" w:color="000000"/>
            </w:tcBorders>
            <w:shd w:val="clear" w:color="000000" w:fill="FFFFFF"/>
            <w:noWrap/>
            <w:vAlign w:val="center"/>
            <w:hideMark/>
          </w:tcPr>
          <w:p w14:paraId="01988B7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701" w:type="pct"/>
            <w:tcBorders>
              <w:top w:val="nil"/>
              <w:left w:val="nil"/>
              <w:bottom w:val="single" w:sz="4" w:space="0" w:color="000000"/>
              <w:right w:val="nil"/>
            </w:tcBorders>
            <w:shd w:val="clear" w:color="000000" w:fill="FFFFFF"/>
            <w:noWrap/>
            <w:vAlign w:val="center"/>
            <w:hideMark/>
          </w:tcPr>
          <w:p w14:paraId="542A7ED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0.683</w:t>
            </w:r>
          </w:p>
        </w:tc>
        <w:tc>
          <w:tcPr>
            <w:tcW w:w="1021" w:type="pct"/>
            <w:tcBorders>
              <w:top w:val="nil"/>
              <w:left w:val="single" w:sz="4" w:space="0" w:color="000000"/>
              <w:bottom w:val="single" w:sz="4" w:space="0" w:color="000000"/>
              <w:right w:val="single" w:sz="4" w:space="0" w:color="000000"/>
            </w:tcBorders>
            <w:shd w:val="clear" w:color="000000" w:fill="FFFFFF"/>
            <w:noWrap/>
            <w:vAlign w:val="center"/>
            <w:hideMark/>
          </w:tcPr>
          <w:p w14:paraId="7D4FC8B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7.51 </w:t>
            </w:r>
          </w:p>
        </w:tc>
        <w:tc>
          <w:tcPr>
            <w:tcW w:w="957" w:type="pct"/>
            <w:tcBorders>
              <w:top w:val="nil"/>
              <w:left w:val="nil"/>
              <w:bottom w:val="nil"/>
              <w:right w:val="nil"/>
            </w:tcBorders>
            <w:noWrap/>
            <w:vAlign w:val="center"/>
            <w:hideMark/>
          </w:tcPr>
          <w:p w14:paraId="78D39035" w14:textId="77777777" w:rsidR="00E6666C" w:rsidRPr="00E6666C" w:rsidRDefault="00E6666C" w:rsidP="00E6666C">
            <w:pPr>
              <w:spacing w:before="0" w:after="0" w:line="240" w:lineRule="auto"/>
              <w:jc w:val="center"/>
              <w:rPr>
                <w:rFonts w:ascii="Arial" w:hAnsi="Arial" w:cs="Arial"/>
                <w:color w:val="000000"/>
                <w:lang w:val="en-IN"/>
              </w:rPr>
            </w:pPr>
          </w:p>
        </w:tc>
      </w:tr>
      <w:tr w:rsidR="00E6666C" w:rsidRPr="00E6666C" w14:paraId="7370A3D9" w14:textId="77777777" w:rsidTr="00E6666C">
        <w:trPr>
          <w:trHeight w:val="300"/>
          <w:jc w:val="center"/>
        </w:trPr>
        <w:tc>
          <w:tcPr>
            <w:tcW w:w="513" w:type="pct"/>
            <w:tcBorders>
              <w:top w:val="nil"/>
              <w:left w:val="single" w:sz="4" w:space="0" w:color="000000"/>
              <w:bottom w:val="single" w:sz="4" w:space="0" w:color="000000"/>
              <w:right w:val="single" w:sz="4" w:space="0" w:color="000000"/>
            </w:tcBorders>
            <w:shd w:val="clear" w:color="000000" w:fill="FFFFFF"/>
            <w:noWrap/>
            <w:vAlign w:val="center"/>
            <w:hideMark/>
          </w:tcPr>
          <w:p w14:paraId="0AE68E8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5</w:t>
            </w:r>
          </w:p>
        </w:tc>
        <w:tc>
          <w:tcPr>
            <w:tcW w:w="808" w:type="pct"/>
            <w:tcBorders>
              <w:top w:val="nil"/>
              <w:left w:val="nil"/>
              <w:bottom w:val="single" w:sz="4" w:space="0" w:color="000000"/>
              <w:right w:val="single" w:sz="4" w:space="0" w:color="000000"/>
            </w:tcBorders>
            <w:shd w:val="clear" w:color="000000" w:fill="FFFFFF"/>
            <w:noWrap/>
            <w:vAlign w:val="center"/>
            <w:hideMark/>
          </w:tcPr>
          <w:p w14:paraId="49F6BE4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701" w:type="pct"/>
            <w:tcBorders>
              <w:top w:val="nil"/>
              <w:left w:val="nil"/>
              <w:bottom w:val="single" w:sz="4" w:space="0" w:color="000000"/>
              <w:right w:val="nil"/>
            </w:tcBorders>
            <w:shd w:val="clear" w:color="000000" w:fill="FFFFFF"/>
            <w:noWrap/>
            <w:vAlign w:val="center"/>
            <w:hideMark/>
          </w:tcPr>
          <w:p w14:paraId="19EEF04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0.621</w:t>
            </w:r>
          </w:p>
        </w:tc>
        <w:tc>
          <w:tcPr>
            <w:tcW w:w="1021" w:type="pct"/>
            <w:tcBorders>
              <w:top w:val="nil"/>
              <w:left w:val="single" w:sz="4" w:space="0" w:color="000000"/>
              <w:bottom w:val="single" w:sz="4" w:space="0" w:color="000000"/>
              <w:right w:val="single" w:sz="4" w:space="0" w:color="000000"/>
            </w:tcBorders>
            <w:shd w:val="clear" w:color="000000" w:fill="FFFFFF"/>
            <w:noWrap/>
            <w:vAlign w:val="center"/>
            <w:hideMark/>
          </w:tcPr>
          <w:p w14:paraId="7E84B3F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6.83 </w:t>
            </w:r>
          </w:p>
        </w:tc>
        <w:tc>
          <w:tcPr>
            <w:tcW w:w="957" w:type="pct"/>
            <w:tcBorders>
              <w:top w:val="nil"/>
              <w:left w:val="nil"/>
              <w:bottom w:val="nil"/>
              <w:right w:val="nil"/>
            </w:tcBorders>
            <w:noWrap/>
            <w:vAlign w:val="center"/>
            <w:hideMark/>
          </w:tcPr>
          <w:p w14:paraId="43FA4688" w14:textId="77777777" w:rsidR="00E6666C" w:rsidRPr="00E6666C" w:rsidRDefault="00E6666C" w:rsidP="00E6666C">
            <w:pPr>
              <w:spacing w:before="0" w:after="0" w:line="240" w:lineRule="auto"/>
              <w:jc w:val="center"/>
              <w:rPr>
                <w:rFonts w:ascii="Arial" w:hAnsi="Arial" w:cs="Arial"/>
                <w:color w:val="000000"/>
                <w:lang w:val="en-IN"/>
              </w:rPr>
            </w:pPr>
          </w:p>
        </w:tc>
      </w:tr>
      <w:tr w:rsidR="00E6666C" w:rsidRPr="00E6666C" w14:paraId="62171558" w14:textId="77777777" w:rsidTr="00E6666C">
        <w:trPr>
          <w:trHeight w:val="312"/>
          <w:jc w:val="center"/>
        </w:trPr>
        <w:tc>
          <w:tcPr>
            <w:tcW w:w="3022" w:type="pct"/>
            <w:gridSpan w:val="3"/>
            <w:tcBorders>
              <w:top w:val="single" w:sz="4" w:space="0" w:color="000000"/>
              <w:left w:val="single" w:sz="4" w:space="0" w:color="000000"/>
              <w:bottom w:val="single" w:sz="4" w:space="0" w:color="auto"/>
              <w:right w:val="nil"/>
            </w:tcBorders>
            <w:shd w:val="clear" w:color="000000" w:fill="FFFFFF"/>
            <w:vAlign w:val="center"/>
            <w:hideMark/>
          </w:tcPr>
          <w:p w14:paraId="434AB0DF"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"Net Present Value (NPV) of Project B"</w:t>
            </w:r>
          </w:p>
        </w:tc>
        <w:tc>
          <w:tcPr>
            <w:tcW w:w="1021" w:type="pct"/>
            <w:tcBorders>
              <w:top w:val="nil"/>
              <w:left w:val="single" w:sz="4" w:space="0" w:color="000000"/>
              <w:bottom w:val="single" w:sz="4" w:space="0" w:color="000000"/>
              <w:right w:val="single" w:sz="4" w:space="0" w:color="000000"/>
            </w:tcBorders>
            <w:shd w:val="clear" w:color="000000" w:fill="FFFFFF"/>
            <w:vAlign w:val="center"/>
            <w:hideMark/>
          </w:tcPr>
          <w:p w14:paraId="23702A5D" w14:textId="77777777" w:rsidR="00E6666C" w:rsidRPr="00E6666C" w:rsidRDefault="00E6666C" w:rsidP="00E6666C">
            <w:pPr>
              <w:spacing w:before="0" w:after="0" w:line="240" w:lineRule="auto"/>
              <w:jc w:val="left"/>
              <w:rPr>
                <w:rFonts w:ascii="Arial" w:hAnsi="Arial" w:cs="Arial"/>
                <w:b/>
                <w:bCs/>
                <w:color w:val="000000"/>
                <w:lang w:val="en-IN"/>
              </w:rPr>
            </w:pPr>
            <w:r w:rsidRPr="00E6666C">
              <w:rPr>
                <w:rFonts w:ascii="Arial" w:hAnsi="Arial" w:cs="Arial"/>
                <w:b/>
                <w:bCs/>
                <w:color w:val="000000"/>
                <w:lang w:val="en-IN"/>
              </w:rPr>
              <w:t xml:space="preserve">-£               8.30 </w:t>
            </w:r>
          </w:p>
        </w:tc>
        <w:tc>
          <w:tcPr>
            <w:tcW w:w="957" w:type="pct"/>
            <w:tcBorders>
              <w:top w:val="nil"/>
              <w:left w:val="nil"/>
              <w:bottom w:val="nil"/>
              <w:right w:val="nil"/>
            </w:tcBorders>
            <w:noWrap/>
            <w:vAlign w:val="center"/>
            <w:hideMark/>
          </w:tcPr>
          <w:p w14:paraId="2115F2FA" w14:textId="77777777" w:rsidR="00E6666C" w:rsidRPr="00E6666C" w:rsidRDefault="00E6666C" w:rsidP="00E6666C">
            <w:pPr>
              <w:spacing w:before="0" w:after="0" w:line="240" w:lineRule="auto"/>
              <w:jc w:val="left"/>
              <w:rPr>
                <w:rFonts w:ascii="Arial" w:hAnsi="Arial" w:cs="Arial"/>
                <w:b/>
                <w:bCs/>
                <w:color w:val="000000"/>
                <w:lang w:val="en-IN"/>
              </w:rPr>
            </w:pPr>
          </w:p>
        </w:tc>
      </w:tr>
      <w:tr w:rsidR="00E6666C" w:rsidRPr="00E6666C" w14:paraId="2AA23BEA" w14:textId="77777777" w:rsidTr="00E6666C">
        <w:trPr>
          <w:trHeight w:val="312"/>
          <w:jc w:val="center"/>
        </w:trPr>
        <w:tc>
          <w:tcPr>
            <w:tcW w:w="3022" w:type="pct"/>
            <w:gridSpan w:val="3"/>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2A9AB779"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"Profitability Index (PI) of Project B"</w:t>
            </w:r>
          </w:p>
        </w:tc>
        <w:tc>
          <w:tcPr>
            <w:tcW w:w="1021" w:type="pct"/>
            <w:tcBorders>
              <w:top w:val="nil"/>
              <w:left w:val="single" w:sz="4" w:space="0" w:color="000000"/>
              <w:bottom w:val="single" w:sz="4" w:space="0" w:color="000000"/>
              <w:right w:val="single" w:sz="4" w:space="0" w:color="000000"/>
            </w:tcBorders>
            <w:shd w:val="clear" w:color="000000" w:fill="FFFFFF"/>
            <w:noWrap/>
            <w:vAlign w:val="center"/>
            <w:hideMark/>
          </w:tcPr>
          <w:p w14:paraId="0C7D6305"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1.17</w:t>
            </w:r>
          </w:p>
        </w:tc>
        <w:tc>
          <w:tcPr>
            <w:tcW w:w="957" w:type="pct"/>
            <w:tcBorders>
              <w:top w:val="nil"/>
              <w:left w:val="nil"/>
              <w:bottom w:val="nil"/>
              <w:right w:val="nil"/>
            </w:tcBorders>
            <w:noWrap/>
            <w:vAlign w:val="center"/>
            <w:hideMark/>
          </w:tcPr>
          <w:p w14:paraId="414C63EC" w14:textId="77777777" w:rsidR="00E6666C" w:rsidRPr="00E6666C" w:rsidRDefault="00E6666C" w:rsidP="00E6666C">
            <w:pPr>
              <w:spacing w:before="0" w:after="0" w:line="240" w:lineRule="auto"/>
              <w:jc w:val="center"/>
              <w:rPr>
                <w:rFonts w:ascii="Arial" w:hAnsi="Arial" w:cs="Arial"/>
                <w:b/>
                <w:bCs/>
                <w:color w:val="000000"/>
                <w:lang w:val="en-IN"/>
              </w:rPr>
            </w:pPr>
          </w:p>
        </w:tc>
      </w:tr>
      <w:tr w:rsidR="00E6666C" w:rsidRPr="00E6666C" w14:paraId="06507FF8" w14:textId="77777777" w:rsidTr="00E6666C">
        <w:trPr>
          <w:trHeight w:val="300"/>
          <w:jc w:val="center"/>
        </w:trPr>
        <w:tc>
          <w:tcPr>
            <w:tcW w:w="513" w:type="pct"/>
            <w:tcBorders>
              <w:top w:val="nil"/>
              <w:left w:val="nil"/>
              <w:bottom w:val="nil"/>
              <w:right w:val="nil"/>
            </w:tcBorders>
            <w:shd w:val="clear" w:color="000000" w:fill="FFFFFF"/>
            <w:noWrap/>
            <w:vAlign w:val="center"/>
            <w:hideMark/>
          </w:tcPr>
          <w:p w14:paraId="2CE1380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808" w:type="pct"/>
            <w:tcBorders>
              <w:top w:val="nil"/>
              <w:left w:val="nil"/>
              <w:bottom w:val="nil"/>
              <w:right w:val="nil"/>
            </w:tcBorders>
            <w:shd w:val="clear" w:color="000000" w:fill="FFFFFF"/>
            <w:noWrap/>
            <w:vAlign w:val="center"/>
            <w:hideMark/>
          </w:tcPr>
          <w:p w14:paraId="573045D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701" w:type="pct"/>
            <w:tcBorders>
              <w:top w:val="nil"/>
              <w:left w:val="nil"/>
              <w:bottom w:val="nil"/>
              <w:right w:val="nil"/>
            </w:tcBorders>
            <w:shd w:val="clear" w:color="000000" w:fill="FFFFFF"/>
            <w:noWrap/>
            <w:vAlign w:val="center"/>
            <w:hideMark/>
          </w:tcPr>
          <w:p w14:paraId="71F3C09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021" w:type="pct"/>
            <w:tcBorders>
              <w:top w:val="nil"/>
              <w:left w:val="nil"/>
              <w:bottom w:val="nil"/>
              <w:right w:val="nil"/>
            </w:tcBorders>
            <w:shd w:val="clear" w:color="000000" w:fill="FFFFFF"/>
            <w:noWrap/>
            <w:vAlign w:val="center"/>
            <w:hideMark/>
          </w:tcPr>
          <w:p w14:paraId="2F2F396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957" w:type="pct"/>
            <w:tcBorders>
              <w:top w:val="nil"/>
              <w:left w:val="nil"/>
              <w:bottom w:val="nil"/>
              <w:right w:val="nil"/>
            </w:tcBorders>
            <w:shd w:val="clear" w:color="000000" w:fill="FFFFFF"/>
            <w:noWrap/>
            <w:vAlign w:val="center"/>
            <w:hideMark/>
          </w:tcPr>
          <w:p w14:paraId="41B98C8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3FB5058D" w14:textId="77777777" w:rsidTr="00E6666C">
        <w:trPr>
          <w:trHeight w:val="624"/>
          <w:jc w:val="center"/>
        </w:trPr>
        <w:tc>
          <w:tcPr>
            <w:tcW w:w="513" w:type="pct"/>
            <w:tcBorders>
              <w:top w:val="single" w:sz="4" w:space="0" w:color="000000"/>
              <w:left w:val="single" w:sz="4" w:space="0" w:color="000000"/>
              <w:bottom w:val="single" w:sz="4" w:space="0" w:color="000000"/>
              <w:right w:val="single" w:sz="4" w:space="0" w:color="000000"/>
            </w:tcBorders>
            <w:shd w:val="clear" w:color="000000" w:fill="4D93D9"/>
            <w:vAlign w:val="center"/>
            <w:hideMark/>
          </w:tcPr>
          <w:p w14:paraId="594A02AB"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"Year"</w:t>
            </w:r>
          </w:p>
        </w:tc>
        <w:tc>
          <w:tcPr>
            <w:tcW w:w="808" w:type="pct"/>
            <w:tcBorders>
              <w:top w:val="single" w:sz="4" w:space="0" w:color="000000"/>
              <w:left w:val="nil"/>
              <w:bottom w:val="single" w:sz="4" w:space="0" w:color="000000"/>
              <w:right w:val="single" w:sz="4" w:space="0" w:color="000000"/>
            </w:tcBorders>
            <w:shd w:val="clear" w:color="000000" w:fill="4D93D9"/>
            <w:vAlign w:val="center"/>
            <w:hideMark/>
          </w:tcPr>
          <w:p w14:paraId="07552F18"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"Cash Flow"</w:t>
            </w:r>
          </w:p>
        </w:tc>
        <w:tc>
          <w:tcPr>
            <w:tcW w:w="1701" w:type="pct"/>
            <w:tcBorders>
              <w:top w:val="single" w:sz="4" w:space="0" w:color="000000"/>
              <w:left w:val="nil"/>
              <w:bottom w:val="single" w:sz="4" w:space="0" w:color="000000"/>
              <w:right w:val="single" w:sz="4" w:space="0" w:color="000000"/>
            </w:tcBorders>
            <w:shd w:val="clear" w:color="000000" w:fill="4D93D9"/>
            <w:vAlign w:val="center"/>
            <w:hideMark/>
          </w:tcPr>
          <w:p w14:paraId="69FC5E71"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"Discounting Factor @10%"</w:t>
            </w:r>
          </w:p>
        </w:tc>
        <w:tc>
          <w:tcPr>
            <w:tcW w:w="1021" w:type="pct"/>
            <w:tcBorders>
              <w:top w:val="single" w:sz="4" w:space="0" w:color="000000"/>
              <w:left w:val="nil"/>
              <w:bottom w:val="single" w:sz="4" w:space="0" w:color="000000"/>
              <w:right w:val="single" w:sz="4" w:space="0" w:color="000000"/>
            </w:tcBorders>
            <w:shd w:val="clear" w:color="000000" w:fill="4D93D9"/>
            <w:vAlign w:val="center"/>
            <w:hideMark/>
          </w:tcPr>
          <w:p w14:paraId="11C01422"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"Present Value"</w:t>
            </w:r>
          </w:p>
        </w:tc>
        <w:tc>
          <w:tcPr>
            <w:tcW w:w="957" w:type="pct"/>
            <w:tcBorders>
              <w:top w:val="single" w:sz="4" w:space="0" w:color="000000"/>
              <w:left w:val="nil"/>
              <w:bottom w:val="single" w:sz="4" w:space="0" w:color="000000"/>
              <w:right w:val="single" w:sz="4" w:space="0" w:color="000000"/>
            </w:tcBorders>
            <w:shd w:val="clear" w:color="000000" w:fill="4D93D9"/>
            <w:vAlign w:val="center"/>
            <w:hideMark/>
          </w:tcPr>
          <w:p w14:paraId="10D1123A"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Cumulative</w:t>
            </w:r>
          </w:p>
        </w:tc>
      </w:tr>
      <w:tr w:rsidR="00E6666C" w:rsidRPr="00E6666C" w14:paraId="7EEE8355" w14:textId="77777777" w:rsidTr="00E6666C">
        <w:trPr>
          <w:trHeight w:val="300"/>
          <w:jc w:val="center"/>
        </w:trPr>
        <w:tc>
          <w:tcPr>
            <w:tcW w:w="513" w:type="pct"/>
            <w:tcBorders>
              <w:top w:val="nil"/>
              <w:left w:val="single" w:sz="4" w:space="0" w:color="000000"/>
              <w:bottom w:val="single" w:sz="4" w:space="0" w:color="000000"/>
              <w:right w:val="single" w:sz="4" w:space="0" w:color="000000"/>
            </w:tcBorders>
            <w:shd w:val="clear" w:color="000000" w:fill="FFFFFF"/>
            <w:noWrap/>
            <w:vAlign w:val="center"/>
            <w:hideMark/>
          </w:tcPr>
          <w:p w14:paraId="1EA2BAD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w:t>
            </w:r>
          </w:p>
        </w:tc>
        <w:tc>
          <w:tcPr>
            <w:tcW w:w="808" w:type="pct"/>
            <w:tcBorders>
              <w:top w:val="nil"/>
              <w:left w:val="nil"/>
              <w:bottom w:val="single" w:sz="4" w:space="0" w:color="000000"/>
              <w:right w:val="single" w:sz="4" w:space="0" w:color="000000"/>
            </w:tcBorders>
            <w:shd w:val="clear" w:color="000000" w:fill="FFFFFF"/>
            <w:noWrap/>
            <w:vAlign w:val="center"/>
            <w:hideMark/>
          </w:tcPr>
          <w:p w14:paraId="63E6313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1701" w:type="pct"/>
            <w:tcBorders>
              <w:top w:val="nil"/>
              <w:left w:val="nil"/>
              <w:bottom w:val="single" w:sz="4" w:space="0" w:color="000000"/>
              <w:right w:val="single" w:sz="4" w:space="0" w:color="000000"/>
            </w:tcBorders>
            <w:shd w:val="clear" w:color="000000" w:fill="FFFFFF"/>
            <w:noWrap/>
            <w:vAlign w:val="center"/>
            <w:hideMark/>
          </w:tcPr>
          <w:p w14:paraId="10FB729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021" w:type="pct"/>
            <w:tcBorders>
              <w:top w:val="nil"/>
              <w:left w:val="nil"/>
              <w:bottom w:val="single" w:sz="4" w:space="0" w:color="000000"/>
              <w:right w:val="single" w:sz="4" w:space="0" w:color="000000"/>
            </w:tcBorders>
            <w:shd w:val="clear" w:color="000000" w:fill="FFFFFF"/>
            <w:noWrap/>
            <w:vAlign w:val="center"/>
            <w:hideMark/>
          </w:tcPr>
          <w:p w14:paraId="1967A94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957" w:type="pct"/>
            <w:tcBorders>
              <w:top w:val="nil"/>
              <w:left w:val="nil"/>
              <w:bottom w:val="single" w:sz="4" w:space="0" w:color="000000"/>
              <w:right w:val="single" w:sz="4" w:space="0" w:color="000000"/>
            </w:tcBorders>
            <w:shd w:val="clear" w:color="000000" w:fill="FFFFFF"/>
            <w:noWrap/>
            <w:vAlign w:val="center"/>
            <w:hideMark/>
          </w:tcPr>
          <w:p w14:paraId="38D5D8E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r>
      <w:tr w:rsidR="00E6666C" w:rsidRPr="00E6666C" w14:paraId="3016CA10" w14:textId="77777777" w:rsidTr="00E6666C">
        <w:trPr>
          <w:trHeight w:val="300"/>
          <w:jc w:val="center"/>
        </w:trPr>
        <w:tc>
          <w:tcPr>
            <w:tcW w:w="513" w:type="pct"/>
            <w:tcBorders>
              <w:top w:val="nil"/>
              <w:left w:val="single" w:sz="4" w:space="0" w:color="000000"/>
              <w:bottom w:val="single" w:sz="4" w:space="0" w:color="000000"/>
              <w:right w:val="single" w:sz="4" w:space="0" w:color="000000"/>
            </w:tcBorders>
            <w:shd w:val="clear" w:color="000000" w:fill="FFFFFF"/>
            <w:noWrap/>
            <w:vAlign w:val="center"/>
            <w:hideMark/>
          </w:tcPr>
          <w:p w14:paraId="1F31524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w:t>
            </w:r>
          </w:p>
        </w:tc>
        <w:tc>
          <w:tcPr>
            <w:tcW w:w="808" w:type="pct"/>
            <w:tcBorders>
              <w:top w:val="nil"/>
              <w:left w:val="nil"/>
              <w:bottom w:val="single" w:sz="4" w:space="0" w:color="000000"/>
              <w:right w:val="single" w:sz="4" w:space="0" w:color="000000"/>
            </w:tcBorders>
            <w:shd w:val="clear" w:color="000000" w:fill="FFFFFF"/>
            <w:noWrap/>
            <w:vAlign w:val="center"/>
            <w:hideMark/>
          </w:tcPr>
          <w:p w14:paraId="422E7E7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701" w:type="pct"/>
            <w:tcBorders>
              <w:top w:val="nil"/>
              <w:left w:val="nil"/>
              <w:bottom w:val="single" w:sz="4" w:space="0" w:color="000000"/>
              <w:right w:val="single" w:sz="4" w:space="0" w:color="000000"/>
            </w:tcBorders>
            <w:shd w:val="clear" w:color="000000" w:fill="FFFFFF"/>
            <w:noWrap/>
            <w:vAlign w:val="center"/>
            <w:hideMark/>
          </w:tcPr>
          <w:p w14:paraId="0CB704D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0.909</w:t>
            </w:r>
          </w:p>
        </w:tc>
        <w:tc>
          <w:tcPr>
            <w:tcW w:w="1021" w:type="pct"/>
            <w:tcBorders>
              <w:top w:val="nil"/>
              <w:left w:val="nil"/>
              <w:bottom w:val="single" w:sz="4" w:space="0" w:color="000000"/>
              <w:right w:val="single" w:sz="4" w:space="0" w:color="000000"/>
            </w:tcBorders>
            <w:shd w:val="clear" w:color="000000" w:fill="FFFFFF"/>
            <w:noWrap/>
            <w:vAlign w:val="center"/>
            <w:hideMark/>
          </w:tcPr>
          <w:p w14:paraId="64422D0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c>
          <w:tcPr>
            <w:tcW w:w="957" w:type="pct"/>
            <w:tcBorders>
              <w:top w:val="nil"/>
              <w:left w:val="nil"/>
              <w:bottom w:val="single" w:sz="4" w:space="0" w:color="000000"/>
              <w:right w:val="single" w:sz="4" w:space="0" w:color="000000"/>
            </w:tcBorders>
            <w:shd w:val="clear" w:color="000000" w:fill="FFFFFF"/>
            <w:noWrap/>
            <w:vAlign w:val="center"/>
            <w:hideMark/>
          </w:tcPr>
          <w:p w14:paraId="59C6863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40.00 </w:t>
            </w:r>
          </w:p>
        </w:tc>
      </w:tr>
      <w:tr w:rsidR="00E6666C" w:rsidRPr="00E6666C" w14:paraId="4E358CBE" w14:textId="77777777" w:rsidTr="00E6666C">
        <w:trPr>
          <w:trHeight w:val="300"/>
          <w:jc w:val="center"/>
        </w:trPr>
        <w:tc>
          <w:tcPr>
            <w:tcW w:w="513" w:type="pct"/>
            <w:tcBorders>
              <w:top w:val="nil"/>
              <w:left w:val="single" w:sz="4" w:space="0" w:color="000000"/>
              <w:bottom w:val="single" w:sz="4" w:space="0" w:color="000000"/>
              <w:right w:val="single" w:sz="4" w:space="0" w:color="000000"/>
            </w:tcBorders>
            <w:shd w:val="clear" w:color="000000" w:fill="FFFFFF"/>
            <w:noWrap/>
            <w:vAlign w:val="center"/>
            <w:hideMark/>
          </w:tcPr>
          <w:p w14:paraId="75528D7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2</w:t>
            </w:r>
          </w:p>
        </w:tc>
        <w:tc>
          <w:tcPr>
            <w:tcW w:w="808" w:type="pct"/>
            <w:tcBorders>
              <w:top w:val="nil"/>
              <w:left w:val="nil"/>
              <w:bottom w:val="single" w:sz="4" w:space="0" w:color="000000"/>
              <w:right w:val="single" w:sz="4" w:space="0" w:color="000000"/>
            </w:tcBorders>
            <w:shd w:val="clear" w:color="000000" w:fill="FFFFFF"/>
            <w:noWrap/>
            <w:vAlign w:val="center"/>
            <w:hideMark/>
          </w:tcPr>
          <w:p w14:paraId="7B0B182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701" w:type="pct"/>
            <w:tcBorders>
              <w:top w:val="nil"/>
              <w:left w:val="nil"/>
              <w:bottom w:val="single" w:sz="4" w:space="0" w:color="000000"/>
              <w:right w:val="single" w:sz="4" w:space="0" w:color="000000"/>
            </w:tcBorders>
            <w:shd w:val="clear" w:color="000000" w:fill="FFFFFF"/>
            <w:noWrap/>
            <w:vAlign w:val="center"/>
            <w:hideMark/>
          </w:tcPr>
          <w:p w14:paraId="73A97F7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0.826</w:t>
            </w:r>
          </w:p>
        </w:tc>
        <w:tc>
          <w:tcPr>
            <w:tcW w:w="1021" w:type="pct"/>
            <w:tcBorders>
              <w:top w:val="nil"/>
              <w:left w:val="nil"/>
              <w:bottom w:val="single" w:sz="4" w:space="0" w:color="000000"/>
              <w:right w:val="single" w:sz="4" w:space="0" w:color="000000"/>
            </w:tcBorders>
            <w:shd w:val="clear" w:color="000000" w:fill="FFFFFF"/>
            <w:noWrap/>
            <w:vAlign w:val="center"/>
            <w:hideMark/>
          </w:tcPr>
          <w:p w14:paraId="488C754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9.09 </w:t>
            </w:r>
          </w:p>
        </w:tc>
        <w:tc>
          <w:tcPr>
            <w:tcW w:w="957" w:type="pct"/>
            <w:tcBorders>
              <w:top w:val="nil"/>
              <w:left w:val="nil"/>
              <w:bottom w:val="single" w:sz="4" w:space="0" w:color="000000"/>
              <w:right w:val="single" w:sz="4" w:space="0" w:color="000000"/>
            </w:tcBorders>
            <w:shd w:val="clear" w:color="000000" w:fill="FFFFFF"/>
            <w:noWrap/>
            <w:vAlign w:val="center"/>
            <w:hideMark/>
          </w:tcPr>
          <w:p w14:paraId="4F7B749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30.91 </w:t>
            </w:r>
          </w:p>
        </w:tc>
      </w:tr>
      <w:tr w:rsidR="00E6666C" w:rsidRPr="00E6666C" w14:paraId="43C4DCA3" w14:textId="77777777" w:rsidTr="00E6666C">
        <w:trPr>
          <w:trHeight w:val="300"/>
          <w:jc w:val="center"/>
        </w:trPr>
        <w:tc>
          <w:tcPr>
            <w:tcW w:w="513" w:type="pct"/>
            <w:tcBorders>
              <w:top w:val="nil"/>
              <w:left w:val="single" w:sz="4" w:space="0" w:color="000000"/>
              <w:bottom w:val="single" w:sz="4" w:space="0" w:color="000000"/>
              <w:right w:val="single" w:sz="4" w:space="0" w:color="000000"/>
            </w:tcBorders>
            <w:shd w:val="clear" w:color="000000" w:fill="FFFFFF"/>
            <w:noWrap/>
            <w:vAlign w:val="center"/>
            <w:hideMark/>
          </w:tcPr>
          <w:p w14:paraId="7765297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3</w:t>
            </w:r>
          </w:p>
        </w:tc>
        <w:tc>
          <w:tcPr>
            <w:tcW w:w="808" w:type="pct"/>
            <w:tcBorders>
              <w:top w:val="nil"/>
              <w:left w:val="nil"/>
              <w:bottom w:val="single" w:sz="4" w:space="0" w:color="000000"/>
              <w:right w:val="single" w:sz="4" w:space="0" w:color="000000"/>
            </w:tcBorders>
            <w:shd w:val="clear" w:color="000000" w:fill="FFFFFF"/>
            <w:noWrap/>
            <w:vAlign w:val="center"/>
            <w:hideMark/>
          </w:tcPr>
          <w:p w14:paraId="7EF4AF4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701" w:type="pct"/>
            <w:tcBorders>
              <w:top w:val="nil"/>
              <w:left w:val="nil"/>
              <w:bottom w:val="single" w:sz="4" w:space="0" w:color="000000"/>
              <w:right w:val="single" w:sz="4" w:space="0" w:color="000000"/>
            </w:tcBorders>
            <w:shd w:val="clear" w:color="000000" w:fill="FFFFFF"/>
            <w:noWrap/>
            <w:vAlign w:val="center"/>
            <w:hideMark/>
          </w:tcPr>
          <w:p w14:paraId="0BF4B96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0.751</w:t>
            </w:r>
          </w:p>
        </w:tc>
        <w:tc>
          <w:tcPr>
            <w:tcW w:w="1021" w:type="pct"/>
            <w:tcBorders>
              <w:top w:val="nil"/>
              <w:left w:val="nil"/>
              <w:bottom w:val="single" w:sz="4" w:space="0" w:color="000000"/>
              <w:right w:val="single" w:sz="4" w:space="0" w:color="000000"/>
            </w:tcBorders>
            <w:shd w:val="clear" w:color="000000" w:fill="FFFFFF"/>
            <w:noWrap/>
            <w:vAlign w:val="center"/>
            <w:hideMark/>
          </w:tcPr>
          <w:p w14:paraId="4679FF2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8.26 </w:t>
            </w:r>
          </w:p>
        </w:tc>
        <w:tc>
          <w:tcPr>
            <w:tcW w:w="957" w:type="pct"/>
            <w:tcBorders>
              <w:top w:val="nil"/>
              <w:left w:val="nil"/>
              <w:bottom w:val="single" w:sz="4" w:space="0" w:color="000000"/>
              <w:right w:val="single" w:sz="4" w:space="0" w:color="000000"/>
            </w:tcBorders>
            <w:shd w:val="clear" w:color="000000" w:fill="FFFFFF"/>
            <w:noWrap/>
            <w:vAlign w:val="center"/>
            <w:hideMark/>
          </w:tcPr>
          <w:p w14:paraId="513D9D3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22.64 </w:t>
            </w:r>
          </w:p>
        </w:tc>
      </w:tr>
      <w:tr w:rsidR="00E6666C" w:rsidRPr="00E6666C" w14:paraId="59612066" w14:textId="77777777" w:rsidTr="00E6666C">
        <w:trPr>
          <w:trHeight w:val="300"/>
          <w:jc w:val="center"/>
        </w:trPr>
        <w:tc>
          <w:tcPr>
            <w:tcW w:w="513" w:type="pct"/>
            <w:tcBorders>
              <w:top w:val="nil"/>
              <w:left w:val="single" w:sz="4" w:space="0" w:color="000000"/>
              <w:bottom w:val="single" w:sz="4" w:space="0" w:color="000000"/>
              <w:right w:val="single" w:sz="4" w:space="0" w:color="000000"/>
            </w:tcBorders>
            <w:shd w:val="clear" w:color="000000" w:fill="FFFFFF"/>
            <w:noWrap/>
            <w:vAlign w:val="center"/>
            <w:hideMark/>
          </w:tcPr>
          <w:p w14:paraId="72511FA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4</w:t>
            </w:r>
          </w:p>
        </w:tc>
        <w:tc>
          <w:tcPr>
            <w:tcW w:w="808" w:type="pct"/>
            <w:tcBorders>
              <w:top w:val="nil"/>
              <w:left w:val="nil"/>
              <w:bottom w:val="single" w:sz="4" w:space="0" w:color="000000"/>
              <w:right w:val="single" w:sz="4" w:space="0" w:color="000000"/>
            </w:tcBorders>
            <w:shd w:val="clear" w:color="000000" w:fill="FFFFFF"/>
            <w:noWrap/>
            <w:vAlign w:val="center"/>
            <w:hideMark/>
          </w:tcPr>
          <w:p w14:paraId="2D37F34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701" w:type="pct"/>
            <w:tcBorders>
              <w:top w:val="nil"/>
              <w:left w:val="nil"/>
              <w:bottom w:val="single" w:sz="4" w:space="0" w:color="000000"/>
              <w:right w:val="single" w:sz="4" w:space="0" w:color="000000"/>
            </w:tcBorders>
            <w:shd w:val="clear" w:color="000000" w:fill="FFFFFF"/>
            <w:noWrap/>
            <w:vAlign w:val="center"/>
            <w:hideMark/>
          </w:tcPr>
          <w:p w14:paraId="567BD74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0.683</w:t>
            </w:r>
          </w:p>
        </w:tc>
        <w:tc>
          <w:tcPr>
            <w:tcW w:w="1021" w:type="pct"/>
            <w:tcBorders>
              <w:top w:val="nil"/>
              <w:left w:val="nil"/>
              <w:bottom w:val="single" w:sz="4" w:space="0" w:color="000000"/>
              <w:right w:val="single" w:sz="4" w:space="0" w:color="000000"/>
            </w:tcBorders>
            <w:shd w:val="clear" w:color="000000" w:fill="FFFFFF"/>
            <w:noWrap/>
            <w:vAlign w:val="center"/>
            <w:hideMark/>
          </w:tcPr>
          <w:p w14:paraId="67FDE63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7.51 </w:t>
            </w:r>
          </w:p>
        </w:tc>
        <w:tc>
          <w:tcPr>
            <w:tcW w:w="957" w:type="pct"/>
            <w:tcBorders>
              <w:top w:val="nil"/>
              <w:left w:val="nil"/>
              <w:bottom w:val="single" w:sz="4" w:space="0" w:color="000000"/>
              <w:right w:val="single" w:sz="4" w:space="0" w:color="000000"/>
            </w:tcBorders>
            <w:shd w:val="clear" w:color="000000" w:fill="FFFFFF"/>
            <w:noWrap/>
            <w:vAlign w:val="center"/>
            <w:hideMark/>
          </w:tcPr>
          <w:p w14:paraId="1276247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15.13 </w:t>
            </w:r>
          </w:p>
        </w:tc>
      </w:tr>
      <w:tr w:rsidR="00E6666C" w:rsidRPr="00E6666C" w14:paraId="42D6C615" w14:textId="77777777" w:rsidTr="00E6666C">
        <w:trPr>
          <w:trHeight w:val="300"/>
          <w:jc w:val="center"/>
        </w:trPr>
        <w:tc>
          <w:tcPr>
            <w:tcW w:w="513" w:type="pct"/>
            <w:tcBorders>
              <w:top w:val="nil"/>
              <w:left w:val="single" w:sz="4" w:space="0" w:color="000000"/>
              <w:bottom w:val="single" w:sz="4" w:space="0" w:color="000000"/>
              <w:right w:val="single" w:sz="4" w:space="0" w:color="000000"/>
            </w:tcBorders>
            <w:shd w:val="clear" w:color="000000" w:fill="FFFFFF"/>
            <w:noWrap/>
            <w:vAlign w:val="center"/>
            <w:hideMark/>
          </w:tcPr>
          <w:p w14:paraId="7E24D3F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5</w:t>
            </w:r>
          </w:p>
        </w:tc>
        <w:tc>
          <w:tcPr>
            <w:tcW w:w="808" w:type="pct"/>
            <w:tcBorders>
              <w:top w:val="nil"/>
              <w:left w:val="nil"/>
              <w:bottom w:val="single" w:sz="4" w:space="0" w:color="000000"/>
              <w:right w:val="single" w:sz="4" w:space="0" w:color="000000"/>
            </w:tcBorders>
            <w:shd w:val="clear" w:color="000000" w:fill="FFFFFF"/>
            <w:noWrap/>
            <w:vAlign w:val="center"/>
            <w:hideMark/>
          </w:tcPr>
          <w:p w14:paraId="65E4FF6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701" w:type="pct"/>
            <w:tcBorders>
              <w:top w:val="nil"/>
              <w:left w:val="nil"/>
              <w:bottom w:val="single" w:sz="4" w:space="0" w:color="000000"/>
              <w:right w:val="single" w:sz="4" w:space="0" w:color="000000"/>
            </w:tcBorders>
            <w:shd w:val="clear" w:color="000000" w:fill="FFFFFF"/>
            <w:noWrap/>
            <w:vAlign w:val="center"/>
            <w:hideMark/>
          </w:tcPr>
          <w:p w14:paraId="1D25F2E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0.621</w:t>
            </w:r>
          </w:p>
        </w:tc>
        <w:tc>
          <w:tcPr>
            <w:tcW w:w="1021" w:type="pct"/>
            <w:tcBorders>
              <w:top w:val="nil"/>
              <w:left w:val="nil"/>
              <w:bottom w:val="single" w:sz="4" w:space="0" w:color="000000"/>
              <w:right w:val="single" w:sz="4" w:space="0" w:color="000000"/>
            </w:tcBorders>
            <w:shd w:val="clear" w:color="000000" w:fill="FFFFFF"/>
            <w:noWrap/>
            <w:vAlign w:val="center"/>
            <w:hideMark/>
          </w:tcPr>
          <w:p w14:paraId="53E4200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6.83 </w:t>
            </w:r>
          </w:p>
        </w:tc>
        <w:tc>
          <w:tcPr>
            <w:tcW w:w="957" w:type="pct"/>
            <w:tcBorders>
              <w:top w:val="nil"/>
              <w:left w:val="nil"/>
              <w:bottom w:val="single" w:sz="4" w:space="0" w:color="000000"/>
              <w:right w:val="single" w:sz="4" w:space="0" w:color="000000"/>
            </w:tcBorders>
            <w:shd w:val="clear" w:color="000000" w:fill="FFFFFF"/>
            <w:noWrap/>
            <w:vAlign w:val="center"/>
            <w:hideMark/>
          </w:tcPr>
          <w:p w14:paraId="71AE329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8.30 </w:t>
            </w:r>
          </w:p>
        </w:tc>
      </w:tr>
      <w:tr w:rsidR="00E6666C" w:rsidRPr="00E6666C" w14:paraId="6D1DB8A8" w14:textId="77777777" w:rsidTr="00E6666C">
        <w:trPr>
          <w:trHeight w:val="312"/>
          <w:jc w:val="center"/>
        </w:trPr>
        <w:tc>
          <w:tcPr>
            <w:tcW w:w="4043" w:type="pct"/>
            <w:gridSpan w:val="4"/>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4479F290"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lastRenderedPageBreak/>
              <w:t>"Payback Period (PBP) of Project B"</w:t>
            </w:r>
          </w:p>
        </w:tc>
        <w:tc>
          <w:tcPr>
            <w:tcW w:w="957" w:type="pct"/>
            <w:tcBorders>
              <w:top w:val="nil"/>
              <w:left w:val="nil"/>
              <w:bottom w:val="single" w:sz="4" w:space="0" w:color="000000"/>
              <w:right w:val="single" w:sz="4" w:space="0" w:color="000000"/>
            </w:tcBorders>
            <w:shd w:val="clear" w:color="000000" w:fill="FFFFFF"/>
            <w:vAlign w:val="center"/>
            <w:hideMark/>
          </w:tcPr>
          <w:p w14:paraId="155B5D79"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Not Recovered</w:t>
            </w:r>
          </w:p>
        </w:tc>
      </w:tr>
    </w:tbl>
    <w:p w14:paraId="2841ECBC" w14:textId="77777777" w:rsidR="00E6666C" w:rsidRDefault="00E6666C" w:rsidP="005A5E32">
      <w:pPr>
        <w:jc w:val="center"/>
        <w:rPr>
          <w:rFonts w:ascii="Arial" w:eastAsia="Arial" w:hAnsi="Arial" w:cs="Arial"/>
        </w:rPr>
      </w:pPr>
    </w:p>
    <w:tbl>
      <w:tblPr>
        <w:tblW w:w="5000" w:type="pct"/>
        <w:tblLook w:val="04A0" w:firstRow="1" w:lastRow="0" w:firstColumn="1" w:lastColumn="0" w:noHBand="0" w:noVBand="1"/>
      </w:tblPr>
      <w:tblGrid>
        <w:gridCol w:w="1026"/>
        <w:gridCol w:w="1934"/>
        <w:gridCol w:w="3550"/>
        <w:gridCol w:w="2509"/>
      </w:tblGrid>
      <w:tr w:rsidR="00E6666C" w:rsidRPr="00E6666C" w14:paraId="6E7B6725" w14:textId="77777777" w:rsidTr="00E6666C">
        <w:trPr>
          <w:trHeight w:val="624"/>
        </w:trPr>
        <w:tc>
          <w:tcPr>
            <w:tcW w:w="569" w:type="pct"/>
            <w:tcBorders>
              <w:top w:val="single" w:sz="4" w:space="0" w:color="000000"/>
              <w:left w:val="single" w:sz="4" w:space="0" w:color="000000"/>
              <w:bottom w:val="single" w:sz="4" w:space="0" w:color="000000"/>
              <w:right w:val="single" w:sz="4" w:space="0" w:color="000000"/>
            </w:tcBorders>
            <w:shd w:val="clear" w:color="000000" w:fill="4D93D9"/>
            <w:vAlign w:val="center"/>
            <w:hideMark/>
          </w:tcPr>
          <w:p w14:paraId="0423AAC3"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Year</w:t>
            </w:r>
          </w:p>
        </w:tc>
        <w:tc>
          <w:tcPr>
            <w:tcW w:w="1072" w:type="pct"/>
            <w:tcBorders>
              <w:top w:val="single" w:sz="4" w:space="0" w:color="000000"/>
              <w:left w:val="nil"/>
              <w:bottom w:val="single" w:sz="4" w:space="0" w:color="000000"/>
              <w:right w:val="single" w:sz="4" w:space="0" w:color="000000"/>
            </w:tcBorders>
            <w:shd w:val="clear" w:color="000000" w:fill="4D93D9"/>
            <w:vAlign w:val="center"/>
            <w:hideMark/>
          </w:tcPr>
          <w:p w14:paraId="675AB2BC"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Cashflow</w:t>
            </w:r>
          </w:p>
        </w:tc>
        <w:tc>
          <w:tcPr>
            <w:tcW w:w="1968" w:type="pct"/>
            <w:tcBorders>
              <w:top w:val="single" w:sz="4" w:space="0" w:color="000000"/>
              <w:left w:val="nil"/>
              <w:bottom w:val="single" w:sz="4" w:space="0" w:color="000000"/>
              <w:right w:val="single" w:sz="4" w:space="0" w:color="000000"/>
            </w:tcBorders>
            <w:shd w:val="clear" w:color="000000" w:fill="4D93D9"/>
            <w:vAlign w:val="center"/>
            <w:hideMark/>
          </w:tcPr>
          <w:p w14:paraId="1D87C378"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"Discounting Factor @10%"</w:t>
            </w:r>
          </w:p>
        </w:tc>
        <w:tc>
          <w:tcPr>
            <w:tcW w:w="1391" w:type="pct"/>
            <w:tcBorders>
              <w:top w:val="single" w:sz="4" w:space="0" w:color="000000"/>
              <w:left w:val="nil"/>
              <w:bottom w:val="single" w:sz="4" w:space="0" w:color="000000"/>
              <w:right w:val="single" w:sz="4" w:space="0" w:color="000000"/>
            </w:tcBorders>
            <w:shd w:val="clear" w:color="000000" w:fill="4D93D9"/>
            <w:vAlign w:val="center"/>
            <w:hideMark/>
          </w:tcPr>
          <w:p w14:paraId="7C629F04"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Present value</w:t>
            </w:r>
          </w:p>
        </w:tc>
      </w:tr>
      <w:tr w:rsidR="00E6666C" w:rsidRPr="00E6666C" w14:paraId="01A5DB03" w14:textId="77777777" w:rsidTr="00E6666C">
        <w:trPr>
          <w:trHeight w:val="300"/>
        </w:trPr>
        <w:tc>
          <w:tcPr>
            <w:tcW w:w="569" w:type="pct"/>
            <w:tcBorders>
              <w:top w:val="nil"/>
              <w:left w:val="single" w:sz="4" w:space="0" w:color="000000"/>
              <w:bottom w:val="single" w:sz="4" w:space="0" w:color="000000"/>
              <w:right w:val="single" w:sz="4" w:space="0" w:color="000000"/>
            </w:tcBorders>
            <w:shd w:val="clear" w:color="000000" w:fill="FFFFFF"/>
            <w:noWrap/>
            <w:vAlign w:val="center"/>
            <w:hideMark/>
          </w:tcPr>
          <w:p w14:paraId="0F30D8A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w:t>
            </w:r>
          </w:p>
        </w:tc>
        <w:tc>
          <w:tcPr>
            <w:tcW w:w="1072" w:type="pct"/>
            <w:tcBorders>
              <w:top w:val="nil"/>
              <w:left w:val="nil"/>
              <w:bottom w:val="single" w:sz="4" w:space="0" w:color="000000"/>
              <w:right w:val="single" w:sz="4" w:space="0" w:color="000000"/>
            </w:tcBorders>
            <w:shd w:val="clear" w:color="000000" w:fill="FFFFFF"/>
            <w:noWrap/>
            <w:vAlign w:val="center"/>
            <w:hideMark/>
          </w:tcPr>
          <w:p w14:paraId="5FF51D6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1968" w:type="pct"/>
            <w:tcBorders>
              <w:top w:val="nil"/>
              <w:left w:val="nil"/>
              <w:bottom w:val="single" w:sz="4" w:space="0" w:color="000000"/>
              <w:right w:val="single" w:sz="4" w:space="0" w:color="000000"/>
            </w:tcBorders>
            <w:shd w:val="clear" w:color="000000" w:fill="FFFFFF"/>
            <w:noWrap/>
            <w:vAlign w:val="center"/>
            <w:hideMark/>
          </w:tcPr>
          <w:p w14:paraId="5976710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391" w:type="pct"/>
            <w:tcBorders>
              <w:top w:val="nil"/>
              <w:left w:val="nil"/>
              <w:bottom w:val="single" w:sz="4" w:space="0" w:color="000000"/>
              <w:right w:val="single" w:sz="4" w:space="0" w:color="000000"/>
            </w:tcBorders>
            <w:shd w:val="clear" w:color="000000" w:fill="FFFFFF"/>
            <w:noWrap/>
            <w:vAlign w:val="center"/>
            <w:hideMark/>
          </w:tcPr>
          <w:p w14:paraId="2FDB0D9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r>
      <w:tr w:rsidR="00E6666C" w:rsidRPr="00E6666C" w14:paraId="76526C25" w14:textId="77777777" w:rsidTr="00E6666C">
        <w:trPr>
          <w:trHeight w:val="300"/>
        </w:trPr>
        <w:tc>
          <w:tcPr>
            <w:tcW w:w="569" w:type="pct"/>
            <w:tcBorders>
              <w:top w:val="nil"/>
              <w:left w:val="single" w:sz="4" w:space="0" w:color="000000"/>
              <w:bottom w:val="single" w:sz="4" w:space="0" w:color="000000"/>
              <w:right w:val="single" w:sz="4" w:space="0" w:color="000000"/>
            </w:tcBorders>
            <w:shd w:val="clear" w:color="000000" w:fill="FFFFFF"/>
            <w:noWrap/>
            <w:vAlign w:val="center"/>
            <w:hideMark/>
          </w:tcPr>
          <w:p w14:paraId="52CFC48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w:t>
            </w:r>
          </w:p>
        </w:tc>
        <w:tc>
          <w:tcPr>
            <w:tcW w:w="1072" w:type="pct"/>
            <w:tcBorders>
              <w:top w:val="nil"/>
              <w:left w:val="nil"/>
              <w:bottom w:val="single" w:sz="4" w:space="0" w:color="000000"/>
              <w:right w:val="single" w:sz="4" w:space="0" w:color="000000"/>
            </w:tcBorders>
            <w:shd w:val="clear" w:color="000000" w:fill="FFFFFF"/>
            <w:noWrap/>
            <w:vAlign w:val="center"/>
            <w:hideMark/>
          </w:tcPr>
          <w:p w14:paraId="07B4337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968" w:type="pct"/>
            <w:tcBorders>
              <w:top w:val="nil"/>
              <w:left w:val="nil"/>
              <w:bottom w:val="single" w:sz="4" w:space="0" w:color="000000"/>
              <w:right w:val="single" w:sz="4" w:space="0" w:color="000000"/>
            </w:tcBorders>
            <w:shd w:val="clear" w:color="000000" w:fill="FFFFFF"/>
            <w:noWrap/>
            <w:vAlign w:val="center"/>
            <w:hideMark/>
          </w:tcPr>
          <w:p w14:paraId="2727EE5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0.909</w:t>
            </w:r>
          </w:p>
        </w:tc>
        <w:tc>
          <w:tcPr>
            <w:tcW w:w="1391" w:type="pct"/>
            <w:tcBorders>
              <w:top w:val="nil"/>
              <w:left w:val="nil"/>
              <w:bottom w:val="single" w:sz="4" w:space="0" w:color="000000"/>
              <w:right w:val="single" w:sz="4" w:space="0" w:color="000000"/>
            </w:tcBorders>
            <w:shd w:val="clear" w:color="000000" w:fill="FFFFFF"/>
            <w:noWrap/>
            <w:vAlign w:val="center"/>
            <w:hideMark/>
          </w:tcPr>
          <w:p w14:paraId="41EE843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r>
      <w:tr w:rsidR="00E6666C" w:rsidRPr="00E6666C" w14:paraId="17B57D00" w14:textId="77777777" w:rsidTr="00E6666C">
        <w:trPr>
          <w:trHeight w:val="300"/>
        </w:trPr>
        <w:tc>
          <w:tcPr>
            <w:tcW w:w="569" w:type="pct"/>
            <w:tcBorders>
              <w:top w:val="nil"/>
              <w:left w:val="single" w:sz="4" w:space="0" w:color="000000"/>
              <w:bottom w:val="single" w:sz="4" w:space="0" w:color="000000"/>
              <w:right w:val="single" w:sz="4" w:space="0" w:color="000000"/>
            </w:tcBorders>
            <w:shd w:val="clear" w:color="000000" w:fill="FFFFFF"/>
            <w:noWrap/>
            <w:vAlign w:val="center"/>
            <w:hideMark/>
          </w:tcPr>
          <w:p w14:paraId="530BBC8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2</w:t>
            </w:r>
          </w:p>
        </w:tc>
        <w:tc>
          <w:tcPr>
            <w:tcW w:w="1072" w:type="pct"/>
            <w:tcBorders>
              <w:top w:val="nil"/>
              <w:left w:val="nil"/>
              <w:bottom w:val="single" w:sz="4" w:space="0" w:color="000000"/>
              <w:right w:val="single" w:sz="4" w:space="0" w:color="000000"/>
            </w:tcBorders>
            <w:shd w:val="clear" w:color="000000" w:fill="FFFFFF"/>
            <w:noWrap/>
            <w:vAlign w:val="center"/>
            <w:hideMark/>
          </w:tcPr>
          <w:p w14:paraId="044D69D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968" w:type="pct"/>
            <w:tcBorders>
              <w:top w:val="nil"/>
              <w:left w:val="nil"/>
              <w:bottom w:val="single" w:sz="4" w:space="0" w:color="000000"/>
              <w:right w:val="single" w:sz="4" w:space="0" w:color="000000"/>
            </w:tcBorders>
            <w:shd w:val="clear" w:color="000000" w:fill="FFFFFF"/>
            <w:noWrap/>
            <w:vAlign w:val="center"/>
            <w:hideMark/>
          </w:tcPr>
          <w:p w14:paraId="28E1C67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0.826</w:t>
            </w:r>
          </w:p>
        </w:tc>
        <w:tc>
          <w:tcPr>
            <w:tcW w:w="1391" w:type="pct"/>
            <w:tcBorders>
              <w:top w:val="nil"/>
              <w:left w:val="nil"/>
              <w:bottom w:val="single" w:sz="4" w:space="0" w:color="000000"/>
              <w:right w:val="single" w:sz="4" w:space="0" w:color="000000"/>
            </w:tcBorders>
            <w:shd w:val="clear" w:color="000000" w:fill="FFFFFF"/>
            <w:noWrap/>
            <w:vAlign w:val="center"/>
            <w:hideMark/>
          </w:tcPr>
          <w:p w14:paraId="788815B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9.09 </w:t>
            </w:r>
          </w:p>
        </w:tc>
      </w:tr>
      <w:tr w:rsidR="00E6666C" w:rsidRPr="00E6666C" w14:paraId="238A77AE" w14:textId="77777777" w:rsidTr="00E6666C">
        <w:trPr>
          <w:trHeight w:val="300"/>
        </w:trPr>
        <w:tc>
          <w:tcPr>
            <w:tcW w:w="569" w:type="pct"/>
            <w:tcBorders>
              <w:top w:val="nil"/>
              <w:left w:val="single" w:sz="4" w:space="0" w:color="000000"/>
              <w:bottom w:val="single" w:sz="4" w:space="0" w:color="000000"/>
              <w:right w:val="single" w:sz="4" w:space="0" w:color="000000"/>
            </w:tcBorders>
            <w:shd w:val="clear" w:color="000000" w:fill="FFFFFF"/>
            <w:noWrap/>
            <w:vAlign w:val="center"/>
            <w:hideMark/>
          </w:tcPr>
          <w:p w14:paraId="28891DF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3</w:t>
            </w:r>
          </w:p>
        </w:tc>
        <w:tc>
          <w:tcPr>
            <w:tcW w:w="1072" w:type="pct"/>
            <w:tcBorders>
              <w:top w:val="nil"/>
              <w:left w:val="nil"/>
              <w:bottom w:val="single" w:sz="4" w:space="0" w:color="000000"/>
              <w:right w:val="single" w:sz="4" w:space="0" w:color="000000"/>
            </w:tcBorders>
            <w:shd w:val="clear" w:color="000000" w:fill="FFFFFF"/>
            <w:noWrap/>
            <w:vAlign w:val="center"/>
            <w:hideMark/>
          </w:tcPr>
          <w:p w14:paraId="2F4FC36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968" w:type="pct"/>
            <w:tcBorders>
              <w:top w:val="nil"/>
              <w:left w:val="nil"/>
              <w:bottom w:val="single" w:sz="4" w:space="0" w:color="000000"/>
              <w:right w:val="single" w:sz="4" w:space="0" w:color="000000"/>
            </w:tcBorders>
            <w:shd w:val="clear" w:color="000000" w:fill="FFFFFF"/>
            <w:noWrap/>
            <w:vAlign w:val="center"/>
            <w:hideMark/>
          </w:tcPr>
          <w:p w14:paraId="2208407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0.751</w:t>
            </w:r>
          </w:p>
        </w:tc>
        <w:tc>
          <w:tcPr>
            <w:tcW w:w="1391" w:type="pct"/>
            <w:tcBorders>
              <w:top w:val="nil"/>
              <w:left w:val="nil"/>
              <w:bottom w:val="single" w:sz="4" w:space="0" w:color="000000"/>
              <w:right w:val="single" w:sz="4" w:space="0" w:color="000000"/>
            </w:tcBorders>
            <w:shd w:val="clear" w:color="000000" w:fill="FFFFFF"/>
            <w:noWrap/>
            <w:vAlign w:val="center"/>
            <w:hideMark/>
          </w:tcPr>
          <w:p w14:paraId="319E5E0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8.26 </w:t>
            </w:r>
          </w:p>
        </w:tc>
      </w:tr>
      <w:tr w:rsidR="00E6666C" w:rsidRPr="00E6666C" w14:paraId="6DE3A5C0" w14:textId="77777777" w:rsidTr="00E6666C">
        <w:trPr>
          <w:trHeight w:val="300"/>
        </w:trPr>
        <w:tc>
          <w:tcPr>
            <w:tcW w:w="569" w:type="pct"/>
            <w:tcBorders>
              <w:top w:val="nil"/>
              <w:left w:val="single" w:sz="4" w:space="0" w:color="000000"/>
              <w:bottom w:val="single" w:sz="4" w:space="0" w:color="000000"/>
              <w:right w:val="single" w:sz="4" w:space="0" w:color="000000"/>
            </w:tcBorders>
            <w:shd w:val="clear" w:color="000000" w:fill="FFFFFF"/>
            <w:noWrap/>
            <w:vAlign w:val="center"/>
            <w:hideMark/>
          </w:tcPr>
          <w:p w14:paraId="121E241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4</w:t>
            </w:r>
          </w:p>
        </w:tc>
        <w:tc>
          <w:tcPr>
            <w:tcW w:w="1072" w:type="pct"/>
            <w:tcBorders>
              <w:top w:val="nil"/>
              <w:left w:val="nil"/>
              <w:bottom w:val="single" w:sz="4" w:space="0" w:color="000000"/>
              <w:right w:val="single" w:sz="4" w:space="0" w:color="000000"/>
            </w:tcBorders>
            <w:shd w:val="clear" w:color="000000" w:fill="FFFFFF"/>
            <w:noWrap/>
            <w:vAlign w:val="center"/>
            <w:hideMark/>
          </w:tcPr>
          <w:p w14:paraId="295AF34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968" w:type="pct"/>
            <w:tcBorders>
              <w:top w:val="nil"/>
              <w:left w:val="nil"/>
              <w:bottom w:val="single" w:sz="4" w:space="0" w:color="000000"/>
              <w:right w:val="single" w:sz="4" w:space="0" w:color="000000"/>
            </w:tcBorders>
            <w:shd w:val="clear" w:color="000000" w:fill="FFFFFF"/>
            <w:noWrap/>
            <w:vAlign w:val="center"/>
            <w:hideMark/>
          </w:tcPr>
          <w:p w14:paraId="2132ABE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0.683</w:t>
            </w:r>
          </w:p>
        </w:tc>
        <w:tc>
          <w:tcPr>
            <w:tcW w:w="1391" w:type="pct"/>
            <w:tcBorders>
              <w:top w:val="nil"/>
              <w:left w:val="nil"/>
              <w:bottom w:val="single" w:sz="4" w:space="0" w:color="000000"/>
              <w:right w:val="single" w:sz="4" w:space="0" w:color="000000"/>
            </w:tcBorders>
            <w:shd w:val="clear" w:color="000000" w:fill="FFFFFF"/>
            <w:noWrap/>
            <w:vAlign w:val="center"/>
            <w:hideMark/>
          </w:tcPr>
          <w:p w14:paraId="2FF8911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7.51 </w:t>
            </w:r>
          </w:p>
        </w:tc>
      </w:tr>
      <w:tr w:rsidR="00E6666C" w:rsidRPr="00E6666C" w14:paraId="2CB99608" w14:textId="77777777" w:rsidTr="00E6666C">
        <w:trPr>
          <w:trHeight w:val="300"/>
        </w:trPr>
        <w:tc>
          <w:tcPr>
            <w:tcW w:w="569" w:type="pct"/>
            <w:tcBorders>
              <w:top w:val="nil"/>
              <w:left w:val="single" w:sz="4" w:space="0" w:color="000000"/>
              <w:bottom w:val="single" w:sz="4" w:space="0" w:color="000000"/>
              <w:right w:val="single" w:sz="4" w:space="0" w:color="000000"/>
            </w:tcBorders>
            <w:shd w:val="clear" w:color="000000" w:fill="FFFFFF"/>
            <w:noWrap/>
            <w:vAlign w:val="center"/>
            <w:hideMark/>
          </w:tcPr>
          <w:p w14:paraId="515ABAF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5</w:t>
            </w:r>
          </w:p>
        </w:tc>
        <w:tc>
          <w:tcPr>
            <w:tcW w:w="1072" w:type="pct"/>
            <w:tcBorders>
              <w:top w:val="nil"/>
              <w:left w:val="nil"/>
              <w:bottom w:val="single" w:sz="4" w:space="0" w:color="000000"/>
              <w:right w:val="single" w:sz="4" w:space="0" w:color="000000"/>
            </w:tcBorders>
            <w:shd w:val="clear" w:color="000000" w:fill="FFFFFF"/>
            <w:noWrap/>
            <w:vAlign w:val="center"/>
            <w:hideMark/>
          </w:tcPr>
          <w:p w14:paraId="20C4B96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968" w:type="pct"/>
            <w:tcBorders>
              <w:top w:val="nil"/>
              <w:left w:val="nil"/>
              <w:bottom w:val="single" w:sz="4" w:space="0" w:color="000000"/>
              <w:right w:val="single" w:sz="4" w:space="0" w:color="000000"/>
            </w:tcBorders>
            <w:shd w:val="clear" w:color="000000" w:fill="FFFFFF"/>
            <w:noWrap/>
            <w:vAlign w:val="center"/>
            <w:hideMark/>
          </w:tcPr>
          <w:p w14:paraId="36098C6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0.621</w:t>
            </w:r>
          </w:p>
        </w:tc>
        <w:tc>
          <w:tcPr>
            <w:tcW w:w="1391" w:type="pct"/>
            <w:tcBorders>
              <w:top w:val="nil"/>
              <w:left w:val="nil"/>
              <w:bottom w:val="single" w:sz="4" w:space="0" w:color="000000"/>
              <w:right w:val="single" w:sz="4" w:space="0" w:color="000000"/>
            </w:tcBorders>
            <w:shd w:val="clear" w:color="000000" w:fill="FFFFFF"/>
            <w:noWrap/>
            <w:vAlign w:val="center"/>
            <w:hideMark/>
          </w:tcPr>
          <w:p w14:paraId="275CC33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6.83 </w:t>
            </w:r>
          </w:p>
        </w:tc>
      </w:tr>
      <w:tr w:rsidR="00E6666C" w:rsidRPr="00E6666C" w14:paraId="6339B56C" w14:textId="77777777" w:rsidTr="00E6666C">
        <w:trPr>
          <w:trHeight w:val="312"/>
        </w:trPr>
        <w:tc>
          <w:tcPr>
            <w:tcW w:w="3609" w:type="pct"/>
            <w:gridSpan w:val="3"/>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66BD7936"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"Internal Rate of Return (IRR) of Project B"</w:t>
            </w:r>
          </w:p>
        </w:tc>
        <w:tc>
          <w:tcPr>
            <w:tcW w:w="1391" w:type="pct"/>
            <w:tcBorders>
              <w:top w:val="nil"/>
              <w:left w:val="nil"/>
              <w:bottom w:val="single" w:sz="4" w:space="0" w:color="000000"/>
              <w:right w:val="single" w:sz="4" w:space="0" w:color="000000"/>
            </w:tcBorders>
            <w:shd w:val="clear" w:color="000000" w:fill="FFFFFF"/>
            <w:vAlign w:val="center"/>
            <w:hideMark/>
          </w:tcPr>
          <w:p w14:paraId="0DDFF153"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3.26%</w:t>
            </w:r>
          </w:p>
        </w:tc>
      </w:tr>
      <w:tr w:rsidR="00E6666C" w:rsidRPr="00E6666C" w14:paraId="1F797012" w14:textId="77777777" w:rsidTr="00E6666C">
        <w:trPr>
          <w:trHeight w:val="312"/>
        </w:trPr>
        <w:tc>
          <w:tcPr>
            <w:tcW w:w="569" w:type="pct"/>
            <w:tcBorders>
              <w:top w:val="nil"/>
              <w:left w:val="nil"/>
              <w:bottom w:val="nil"/>
              <w:right w:val="nil"/>
            </w:tcBorders>
            <w:shd w:val="clear" w:color="000000" w:fill="FFFFFF"/>
            <w:noWrap/>
            <w:vAlign w:val="center"/>
            <w:hideMark/>
          </w:tcPr>
          <w:p w14:paraId="37F1D9E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072" w:type="pct"/>
            <w:tcBorders>
              <w:top w:val="nil"/>
              <w:left w:val="nil"/>
              <w:bottom w:val="nil"/>
              <w:right w:val="nil"/>
            </w:tcBorders>
            <w:shd w:val="clear" w:color="000000" w:fill="FFFFFF"/>
            <w:noWrap/>
            <w:vAlign w:val="center"/>
            <w:hideMark/>
          </w:tcPr>
          <w:p w14:paraId="5440914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968" w:type="pct"/>
            <w:tcBorders>
              <w:top w:val="nil"/>
              <w:left w:val="nil"/>
              <w:bottom w:val="nil"/>
              <w:right w:val="nil"/>
            </w:tcBorders>
            <w:shd w:val="clear" w:color="000000" w:fill="FFFFFF"/>
            <w:noWrap/>
            <w:vAlign w:val="center"/>
            <w:hideMark/>
          </w:tcPr>
          <w:p w14:paraId="4C1283B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391" w:type="pct"/>
            <w:tcBorders>
              <w:top w:val="nil"/>
              <w:left w:val="nil"/>
              <w:bottom w:val="nil"/>
              <w:right w:val="nil"/>
            </w:tcBorders>
            <w:shd w:val="clear" w:color="000000" w:fill="FFFFFF"/>
            <w:noWrap/>
            <w:vAlign w:val="center"/>
            <w:hideMark/>
          </w:tcPr>
          <w:p w14:paraId="7D5420C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22A57F01" w14:textId="77777777" w:rsidTr="00E6666C">
        <w:trPr>
          <w:trHeight w:val="300"/>
        </w:trPr>
        <w:tc>
          <w:tcPr>
            <w:tcW w:w="569" w:type="pct"/>
            <w:tcBorders>
              <w:top w:val="nil"/>
              <w:left w:val="nil"/>
              <w:bottom w:val="nil"/>
              <w:right w:val="nil"/>
            </w:tcBorders>
            <w:shd w:val="clear" w:color="000000" w:fill="FFFFFF"/>
            <w:noWrap/>
            <w:vAlign w:val="center"/>
            <w:hideMark/>
          </w:tcPr>
          <w:p w14:paraId="10CD220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072" w:type="pct"/>
            <w:tcBorders>
              <w:top w:val="nil"/>
              <w:left w:val="nil"/>
              <w:bottom w:val="nil"/>
              <w:right w:val="nil"/>
            </w:tcBorders>
            <w:shd w:val="clear" w:color="000000" w:fill="FFFFFF"/>
            <w:noWrap/>
            <w:vAlign w:val="center"/>
            <w:hideMark/>
          </w:tcPr>
          <w:p w14:paraId="289E546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968" w:type="pct"/>
            <w:tcBorders>
              <w:top w:val="nil"/>
              <w:left w:val="nil"/>
              <w:bottom w:val="nil"/>
              <w:right w:val="nil"/>
            </w:tcBorders>
            <w:shd w:val="clear" w:color="000000" w:fill="FFFFFF"/>
            <w:noWrap/>
            <w:vAlign w:val="center"/>
            <w:hideMark/>
          </w:tcPr>
          <w:p w14:paraId="5D19F88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391" w:type="pct"/>
            <w:tcBorders>
              <w:top w:val="nil"/>
              <w:left w:val="nil"/>
              <w:bottom w:val="nil"/>
              <w:right w:val="nil"/>
            </w:tcBorders>
            <w:shd w:val="clear" w:color="000000" w:fill="FFFFFF"/>
            <w:noWrap/>
            <w:vAlign w:val="center"/>
            <w:hideMark/>
          </w:tcPr>
          <w:p w14:paraId="485FEA1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69E040B1" w14:textId="77777777" w:rsidTr="00E6666C">
        <w:trPr>
          <w:trHeight w:val="624"/>
        </w:trPr>
        <w:tc>
          <w:tcPr>
            <w:tcW w:w="569" w:type="pct"/>
            <w:tcBorders>
              <w:top w:val="single" w:sz="4" w:space="0" w:color="auto"/>
              <w:left w:val="single" w:sz="4" w:space="0" w:color="auto"/>
              <w:bottom w:val="single" w:sz="4" w:space="0" w:color="auto"/>
              <w:right w:val="single" w:sz="4" w:space="0" w:color="auto"/>
            </w:tcBorders>
            <w:shd w:val="clear" w:color="000000" w:fill="4D93D9"/>
            <w:vAlign w:val="center"/>
            <w:hideMark/>
          </w:tcPr>
          <w:p w14:paraId="420617BD"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"Year"</w:t>
            </w:r>
          </w:p>
        </w:tc>
        <w:tc>
          <w:tcPr>
            <w:tcW w:w="1072" w:type="pct"/>
            <w:tcBorders>
              <w:top w:val="single" w:sz="4" w:space="0" w:color="auto"/>
              <w:left w:val="nil"/>
              <w:bottom w:val="single" w:sz="4" w:space="0" w:color="auto"/>
              <w:right w:val="single" w:sz="4" w:space="0" w:color="auto"/>
            </w:tcBorders>
            <w:shd w:val="clear" w:color="000000" w:fill="4D93D9"/>
            <w:vAlign w:val="center"/>
            <w:hideMark/>
          </w:tcPr>
          <w:p w14:paraId="7EC98759"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"Cash Flow"</w:t>
            </w:r>
          </w:p>
        </w:tc>
        <w:tc>
          <w:tcPr>
            <w:tcW w:w="1968" w:type="pct"/>
            <w:tcBorders>
              <w:top w:val="single" w:sz="4" w:space="0" w:color="auto"/>
              <w:left w:val="nil"/>
              <w:bottom w:val="single" w:sz="4" w:space="0" w:color="auto"/>
              <w:right w:val="single" w:sz="4" w:space="0" w:color="auto"/>
            </w:tcBorders>
            <w:shd w:val="clear" w:color="000000" w:fill="4D93D9"/>
            <w:vAlign w:val="center"/>
            <w:hideMark/>
          </w:tcPr>
          <w:p w14:paraId="145A4B6F"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 xml:space="preserve">"Depreciation" </w:t>
            </w:r>
          </w:p>
        </w:tc>
        <w:tc>
          <w:tcPr>
            <w:tcW w:w="1391" w:type="pct"/>
            <w:tcBorders>
              <w:top w:val="single" w:sz="4" w:space="0" w:color="auto"/>
              <w:left w:val="nil"/>
              <w:bottom w:val="single" w:sz="4" w:space="0" w:color="auto"/>
              <w:right w:val="single" w:sz="4" w:space="0" w:color="auto"/>
            </w:tcBorders>
            <w:shd w:val="clear" w:color="000000" w:fill="4D93D9"/>
            <w:vAlign w:val="center"/>
            <w:hideMark/>
          </w:tcPr>
          <w:p w14:paraId="670C9C97"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"Present Value"</w:t>
            </w:r>
          </w:p>
        </w:tc>
      </w:tr>
      <w:tr w:rsidR="00E6666C" w:rsidRPr="00E6666C" w14:paraId="1FE33055" w14:textId="77777777" w:rsidTr="00E6666C">
        <w:trPr>
          <w:trHeight w:val="300"/>
        </w:trPr>
        <w:tc>
          <w:tcPr>
            <w:tcW w:w="569" w:type="pct"/>
            <w:tcBorders>
              <w:top w:val="nil"/>
              <w:left w:val="single" w:sz="4" w:space="0" w:color="auto"/>
              <w:bottom w:val="single" w:sz="4" w:space="0" w:color="auto"/>
              <w:right w:val="single" w:sz="4" w:space="0" w:color="auto"/>
            </w:tcBorders>
            <w:shd w:val="clear" w:color="000000" w:fill="FFFFFF"/>
            <w:noWrap/>
            <w:vAlign w:val="center"/>
            <w:hideMark/>
          </w:tcPr>
          <w:p w14:paraId="5B1EBF7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w:t>
            </w:r>
          </w:p>
        </w:tc>
        <w:tc>
          <w:tcPr>
            <w:tcW w:w="1072" w:type="pct"/>
            <w:tcBorders>
              <w:top w:val="nil"/>
              <w:left w:val="nil"/>
              <w:bottom w:val="single" w:sz="4" w:space="0" w:color="auto"/>
              <w:right w:val="single" w:sz="4" w:space="0" w:color="auto"/>
            </w:tcBorders>
            <w:shd w:val="clear" w:color="000000" w:fill="FFFFFF"/>
            <w:noWrap/>
            <w:vAlign w:val="center"/>
            <w:hideMark/>
          </w:tcPr>
          <w:p w14:paraId="45A3E0B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1968" w:type="pct"/>
            <w:tcBorders>
              <w:top w:val="nil"/>
              <w:left w:val="nil"/>
              <w:bottom w:val="single" w:sz="4" w:space="0" w:color="auto"/>
              <w:right w:val="single" w:sz="4" w:space="0" w:color="auto"/>
            </w:tcBorders>
            <w:shd w:val="clear" w:color="000000" w:fill="FFFFFF"/>
            <w:noWrap/>
            <w:vAlign w:val="center"/>
            <w:hideMark/>
          </w:tcPr>
          <w:p w14:paraId="3AEFC37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0.00</w:t>
            </w:r>
          </w:p>
        </w:tc>
        <w:tc>
          <w:tcPr>
            <w:tcW w:w="1391" w:type="pct"/>
            <w:tcBorders>
              <w:top w:val="nil"/>
              <w:left w:val="nil"/>
              <w:bottom w:val="single" w:sz="4" w:space="0" w:color="auto"/>
              <w:right w:val="single" w:sz="4" w:space="0" w:color="auto"/>
            </w:tcBorders>
            <w:shd w:val="clear" w:color="000000" w:fill="FFFFFF"/>
            <w:noWrap/>
            <w:vAlign w:val="center"/>
            <w:hideMark/>
          </w:tcPr>
          <w:p w14:paraId="1B29711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r>
      <w:tr w:rsidR="00E6666C" w:rsidRPr="00E6666C" w14:paraId="6897C4F9" w14:textId="77777777" w:rsidTr="00E6666C">
        <w:trPr>
          <w:trHeight w:val="300"/>
        </w:trPr>
        <w:tc>
          <w:tcPr>
            <w:tcW w:w="569" w:type="pct"/>
            <w:tcBorders>
              <w:top w:val="nil"/>
              <w:left w:val="single" w:sz="4" w:space="0" w:color="auto"/>
              <w:bottom w:val="single" w:sz="4" w:space="0" w:color="auto"/>
              <w:right w:val="single" w:sz="4" w:space="0" w:color="auto"/>
            </w:tcBorders>
            <w:shd w:val="clear" w:color="000000" w:fill="FFFFFF"/>
            <w:noWrap/>
            <w:vAlign w:val="center"/>
            <w:hideMark/>
          </w:tcPr>
          <w:p w14:paraId="69C1E53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w:t>
            </w:r>
          </w:p>
        </w:tc>
        <w:tc>
          <w:tcPr>
            <w:tcW w:w="1072" w:type="pct"/>
            <w:tcBorders>
              <w:top w:val="nil"/>
              <w:left w:val="nil"/>
              <w:bottom w:val="single" w:sz="4" w:space="0" w:color="auto"/>
              <w:right w:val="single" w:sz="4" w:space="0" w:color="auto"/>
            </w:tcBorders>
            <w:shd w:val="clear" w:color="000000" w:fill="FFFFFF"/>
            <w:noWrap/>
            <w:vAlign w:val="center"/>
            <w:hideMark/>
          </w:tcPr>
          <w:p w14:paraId="4E83AC5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968" w:type="pct"/>
            <w:tcBorders>
              <w:top w:val="nil"/>
              <w:left w:val="nil"/>
              <w:bottom w:val="single" w:sz="4" w:space="0" w:color="auto"/>
              <w:right w:val="single" w:sz="4" w:space="0" w:color="auto"/>
            </w:tcBorders>
            <w:shd w:val="clear" w:color="000000" w:fill="FFFFFF"/>
            <w:noWrap/>
            <w:vAlign w:val="center"/>
            <w:hideMark/>
          </w:tcPr>
          <w:p w14:paraId="2C76C63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391" w:type="pct"/>
            <w:tcBorders>
              <w:top w:val="nil"/>
              <w:left w:val="nil"/>
              <w:bottom w:val="single" w:sz="4" w:space="0" w:color="auto"/>
              <w:right w:val="single" w:sz="4" w:space="0" w:color="auto"/>
            </w:tcBorders>
            <w:shd w:val="clear" w:color="000000" w:fill="FFFFFF"/>
            <w:noWrap/>
            <w:vAlign w:val="center"/>
            <w:hideMark/>
          </w:tcPr>
          <w:p w14:paraId="639F128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 </w:t>
            </w:r>
          </w:p>
        </w:tc>
      </w:tr>
      <w:tr w:rsidR="00E6666C" w:rsidRPr="00E6666C" w14:paraId="34F6D403" w14:textId="77777777" w:rsidTr="00E6666C">
        <w:trPr>
          <w:trHeight w:val="300"/>
        </w:trPr>
        <w:tc>
          <w:tcPr>
            <w:tcW w:w="569" w:type="pct"/>
            <w:tcBorders>
              <w:top w:val="nil"/>
              <w:left w:val="single" w:sz="4" w:space="0" w:color="auto"/>
              <w:bottom w:val="single" w:sz="4" w:space="0" w:color="auto"/>
              <w:right w:val="single" w:sz="4" w:space="0" w:color="auto"/>
            </w:tcBorders>
            <w:shd w:val="clear" w:color="000000" w:fill="FFFFFF"/>
            <w:noWrap/>
            <w:vAlign w:val="center"/>
            <w:hideMark/>
          </w:tcPr>
          <w:p w14:paraId="216C7A2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2</w:t>
            </w:r>
          </w:p>
        </w:tc>
        <w:tc>
          <w:tcPr>
            <w:tcW w:w="1072" w:type="pct"/>
            <w:tcBorders>
              <w:top w:val="nil"/>
              <w:left w:val="nil"/>
              <w:bottom w:val="single" w:sz="4" w:space="0" w:color="auto"/>
              <w:right w:val="single" w:sz="4" w:space="0" w:color="auto"/>
            </w:tcBorders>
            <w:shd w:val="clear" w:color="000000" w:fill="FFFFFF"/>
            <w:noWrap/>
            <w:vAlign w:val="center"/>
            <w:hideMark/>
          </w:tcPr>
          <w:p w14:paraId="5997AB2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968" w:type="pct"/>
            <w:tcBorders>
              <w:top w:val="nil"/>
              <w:left w:val="nil"/>
              <w:bottom w:val="single" w:sz="4" w:space="0" w:color="auto"/>
              <w:right w:val="single" w:sz="4" w:space="0" w:color="auto"/>
            </w:tcBorders>
            <w:shd w:val="clear" w:color="000000" w:fill="FFFFFF"/>
            <w:noWrap/>
            <w:vAlign w:val="center"/>
            <w:hideMark/>
          </w:tcPr>
          <w:p w14:paraId="2A8E91E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391" w:type="pct"/>
            <w:tcBorders>
              <w:top w:val="nil"/>
              <w:left w:val="nil"/>
              <w:bottom w:val="single" w:sz="4" w:space="0" w:color="auto"/>
              <w:right w:val="single" w:sz="4" w:space="0" w:color="auto"/>
            </w:tcBorders>
            <w:shd w:val="clear" w:color="000000" w:fill="FFFFFF"/>
            <w:noWrap/>
            <w:vAlign w:val="center"/>
            <w:hideMark/>
          </w:tcPr>
          <w:p w14:paraId="3A7EFE8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 </w:t>
            </w:r>
          </w:p>
        </w:tc>
      </w:tr>
      <w:tr w:rsidR="00E6666C" w:rsidRPr="00E6666C" w14:paraId="13F50A88" w14:textId="77777777" w:rsidTr="00E6666C">
        <w:trPr>
          <w:trHeight w:val="300"/>
        </w:trPr>
        <w:tc>
          <w:tcPr>
            <w:tcW w:w="569" w:type="pct"/>
            <w:tcBorders>
              <w:top w:val="nil"/>
              <w:left w:val="single" w:sz="4" w:space="0" w:color="auto"/>
              <w:bottom w:val="single" w:sz="4" w:space="0" w:color="auto"/>
              <w:right w:val="single" w:sz="4" w:space="0" w:color="auto"/>
            </w:tcBorders>
            <w:shd w:val="clear" w:color="000000" w:fill="FFFFFF"/>
            <w:noWrap/>
            <w:vAlign w:val="center"/>
            <w:hideMark/>
          </w:tcPr>
          <w:p w14:paraId="7C304A8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3</w:t>
            </w:r>
          </w:p>
        </w:tc>
        <w:tc>
          <w:tcPr>
            <w:tcW w:w="1072" w:type="pct"/>
            <w:tcBorders>
              <w:top w:val="nil"/>
              <w:left w:val="nil"/>
              <w:bottom w:val="single" w:sz="4" w:space="0" w:color="auto"/>
              <w:right w:val="single" w:sz="4" w:space="0" w:color="auto"/>
            </w:tcBorders>
            <w:shd w:val="clear" w:color="000000" w:fill="FFFFFF"/>
            <w:noWrap/>
            <w:vAlign w:val="center"/>
            <w:hideMark/>
          </w:tcPr>
          <w:p w14:paraId="63A9372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968" w:type="pct"/>
            <w:tcBorders>
              <w:top w:val="nil"/>
              <w:left w:val="nil"/>
              <w:bottom w:val="single" w:sz="4" w:space="0" w:color="auto"/>
              <w:right w:val="single" w:sz="4" w:space="0" w:color="auto"/>
            </w:tcBorders>
            <w:shd w:val="clear" w:color="000000" w:fill="FFFFFF"/>
            <w:noWrap/>
            <w:vAlign w:val="center"/>
            <w:hideMark/>
          </w:tcPr>
          <w:p w14:paraId="6DB4A51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391" w:type="pct"/>
            <w:tcBorders>
              <w:top w:val="nil"/>
              <w:left w:val="nil"/>
              <w:bottom w:val="single" w:sz="4" w:space="0" w:color="auto"/>
              <w:right w:val="single" w:sz="4" w:space="0" w:color="auto"/>
            </w:tcBorders>
            <w:shd w:val="clear" w:color="000000" w:fill="FFFFFF"/>
            <w:noWrap/>
            <w:vAlign w:val="center"/>
            <w:hideMark/>
          </w:tcPr>
          <w:p w14:paraId="462EFEE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 </w:t>
            </w:r>
          </w:p>
        </w:tc>
      </w:tr>
      <w:tr w:rsidR="00E6666C" w:rsidRPr="00E6666C" w14:paraId="0F91F167" w14:textId="77777777" w:rsidTr="00E6666C">
        <w:trPr>
          <w:trHeight w:val="300"/>
        </w:trPr>
        <w:tc>
          <w:tcPr>
            <w:tcW w:w="569" w:type="pct"/>
            <w:tcBorders>
              <w:top w:val="nil"/>
              <w:left w:val="single" w:sz="4" w:space="0" w:color="auto"/>
              <w:bottom w:val="single" w:sz="4" w:space="0" w:color="auto"/>
              <w:right w:val="single" w:sz="4" w:space="0" w:color="auto"/>
            </w:tcBorders>
            <w:shd w:val="clear" w:color="000000" w:fill="FFFFFF"/>
            <w:noWrap/>
            <w:vAlign w:val="center"/>
            <w:hideMark/>
          </w:tcPr>
          <w:p w14:paraId="3AA1C27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4</w:t>
            </w:r>
          </w:p>
        </w:tc>
        <w:tc>
          <w:tcPr>
            <w:tcW w:w="1072" w:type="pct"/>
            <w:tcBorders>
              <w:top w:val="nil"/>
              <w:left w:val="nil"/>
              <w:bottom w:val="single" w:sz="4" w:space="0" w:color="auto"/>
              <w:right w:val="single" w:sz="4" w:space="0" w:color="auto"/>
            </w:tcBorders>
            <w:shd w:val="clear" w:color="000000" w:fill="FFFFFF"/>
            <w:noWrap/>
            <w:vAlign w:val="center"/>
            <w:hideMark/>
          </w:tcPr>
          <w:p w14:paraId="6AAF59B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968" w:type="pct"/>
            <w:tcBorders>
              <w:top w:val="nil"/>
              <w:left w:val="nil"/>
              <w:bottom w:val="single" w:sz="4" w:space="0" w:color="auto"/>
              <w:right w:val="single" w:sz="4" w:space="0" w:color="auto"/>
            </w:tcBorders>
            <w:shd w:val="clear" w:color="000000" w:fill="FFFFFF"/>
            <w:noWrap/>
            <w:vAlign w:val="center"/>
            <w:hideMark/>
          </w:tcPr>
          <w:p w14:paraId="64121B5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391" w:type="pct"/>
            <w:tcBorders>
              <w:top w:val="nil"/>
              <w:left w:val="nil"/>
              <w:bottom w:val="single" w:sz="4" w:space="0" w:color="auto"/>
              <w:right w:val="single" w:sz="4" w:space="0" w:color="auto"/>
            </w:tcBorders>
            <w:shd w:val="clear" w:color="000000" w:fill="FFFFFF"/>
            <w:noWrap/>
            <w:vAlign w:val="center"/>
            <w:hideMark/>
          </w:tcPr>
          <w:p w14:paraId="25B0ED7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 </w:t>
            </w:r>
          </w:p>
        </w:tc>
      </w:tr>
      <w:tr w:rsidR="00E6666C" w:rsidRPr="00E6666C" w14:paraId="60F87E96" w14:textId="77777777" w:rsidTr="00E6666C">
        <w:trPr>
          <w:trHeight w:val="300"/>
        </w:trPr>
        <w:tc>
          <w:tcPr>
            <w:tcW w:w="569" w:type="pct"/>
            <w:tcBorders>
              <w:top w:val="nil"/>
              <w:left w:val="single" w:sz="4" w:space="0" w:color="auto"/>
              <w:bottom w:val="single" w:sz="4" w:space="0" w:color="auto"/>
              <w:right w:val="single" w:sz="4" w:space="0" w:color="auto"/>
            </w:tcBorders>
            <w:shd w:val="clear" w:color="000000" w:fill="FFFFFF"/>
            <w:noWrap/>
            <w:vAlign w:val="center"/>
            <w:hideMark/>
          </w:tcPr>
          <w:p w14:paraId="6CE6BEB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5</w:t>
            </w:r>
          </w:p>
        </w:tc>
        <w:tc>
          <w:tcPr>
            <w:tcW w:w="1072" w:type="pct"/>
            <w:tcBorders>
              <w:top w:val="nil"/>
              <w:left w:val="nil"/>
              <w:bottom w:val="single" w:sz="4" w:space="0" w:color="auto"/>
              <w:right w:val="single" w:sz="4" w:space="0" w:color="auto"/>
            </w:tcBorders>
            <w:shd w:val="clear" w:color="000000" w:fill="FFFFFF"/>
            <w:noWrap/>
            <w:vAlign w:val="center"/>
            <w:hideMark/>
          </w:tcPr>
          <w:p w14:paraId="6B2FDC4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11.00 </w:t>
            </w:r>
          </w:p>
        </w:tc>
        <w:tc>
          <w:tcPr>
            <w:tcW w:w="1968" w:type="pct"/>
            <w:tcBorders>
              <w:top w:val="nil"/>
              <w:left w:val="nil"/>
              <w:bottom w:val="single" w:sz="4" w:space="0" w:color="auto"/>
              <w:right w:val="single" w:sz="4" w:space="0" w:color="auto"/>
            </w:tcBorders>
            <w:shd w:val="clear" w:color="000000" w:fill="FFFFFF"/>
            <w:noWrap/>
            <w:vAlign w:val="center"/>
            <w:hideMark/>
          </w:tcPr>
          <w:p w14:paraId="26219F0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391" w:type="pct"/>
            <w:tcBorders>
              <w:top w:val="nil"/>
              <w:left w:val="nil"/>
              <w:bottom w:val="single" w:sz="4" w:space="0" w:color="auto"/>
              <w:right w:val="single" w:sz="4" w:space="0" w:color="auto"/>
            </w:tcBorders>
            <w:shd w:val="clear" w:color="000000" w:fill="FFFFFF"/>
            <w:noWrap/>
            <w:vAlign w:val="center"/>
            <w:hideMark/>
          </w:tcPr>
          <w:p w14:paraId="72DE9B4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 </w:t>
            </w:r>
          </w:p>
        </w:tc>
      </w:tr>
      <w:tr w:rsidR="00E6666C" w:rsidRPr="00E6666C" w14:paraId="09F1B01F" w14:textId="77777777" w:rsidTr="00E6666C">
        <w:trPr>
          <w:trHeight w:val="312"/>
        </w:trPr>
        <w:tc>
          <w:tcPr>
            <w:tcW w:w="3609" w:type="pct"/>
            <w:gridSpan w:val="3"/>
            <w:tcBorders>
              <w:top w:val="single" w:sz="4" w:space="0" w:color="auto"/>
              <w:left w:val="single" w:sz="4" w:space="0" w:color="auto"/>
              <w:bottom w:val="single" w:sz="4" w:space="0" w:color="auto"/>
              <w:right w:val="single" w:sz="4" w:space="0" w:color="000000"/>
            </w:tcBorders>
            <w:shd w:val="clear" w:color="000000" w:fill="FFFFFF"/>
            <w:vAlign w:val="center"/>
            <w:hideMark/>
          </w:tcPr>
          <w:p w14:paraId="381D2186"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 xml:space="preserve">"Accounting Rate of Return (ARR) of Project B" </w:t>
            </w:r>
          </w:p>
        </w:tc>
        <w:tc>
          <w:tcPr>
            <w:tcW w:w="1391" w:type="pct"/>
            <w:tcBorders>
              <w:top w:val="nil"/>
              <w:left w:val="nil"/>
              <w:bottom w:val="single" w:sz="4" w:space="0" w:color="auto"/>
              <w:right w:val="single" w:sz="4" w:space="0" w:color="auto"/>
            </w:tcBorders>
            <w:shd w:val="clear" w:color="000000" w:fill="FFFFFF"/>
            <w:vAlign w:val="center"/>
            <w:hideMark/>
          </w:tcPr>
          <w:p w14:paraId="509BF423"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2.00%</w:t>
            </w:r>
          </w:p>
        </w:tc>
      </w:tr>
    </w:tbl>
    <w:p w14:paraId="17FE3ABB" w14:textId="77777777" w:rsidR="00E6666C" w:rsidRDefault="00E6666C" w:rsidP="005A5E32">
      <w:pPr>
        <w:jc w:val="center"/>
        <w:rPr>
          <w:rFonts w:ascii="Arial" w:eastAsia="Arial" w:hAnsi="Arial" w:cs="Arial"/>
        </w:rPr>
      </w:pPr>
    </w:p>
    <w:tbl>
      <w:tblPr>
        <w:tblW w:w="5000" w:type="pct"/>
        <w:jc w:val="center"/>
        <w:tblLook w:val="04A0" w:firstRow="1" w:lastRow="0" w:firstColumn="1" w:lastColumn="0" w:noHBand="0" w:noVBand="1"/>
      </w:tblPr>
      <w:tblGrid>
        <w:gridCol w:w="965"/>
        <w:gridCol w:w="1498"/>
        <w:gridCol w:w="2900"/>
        <w:gridCol w:w="1897"/>
        <w:gridCol w:w="1764"/>
      </w:tblGrid>
      <w:tr w:rsidR="00E6666C" w:rsidRPr="00E6666C" w14:paraId="1CCA55D2" w14:textId="77777777" w:rsidTr="00E6666C">
        <w:trPr>
          <w:trHeight w:val="312"/>
          <w:jc w:val="center"/>
        </w:trPr>
        <w:tc>
          <w:tcPr>
            <w:tcW w:w="490" w:type="pct"/>
            <w:tcBorders>
              <w:top w:val="single" w:sz="4" w:space="0" w:color="000000"/>
              <w:left w:val="single" w:sz="4" w:space="0" w:color="000000"/>
              <w:bottom w:val="single" w:sz="4" w:space="0" w:color="000000"/>
              <w:right w:val="single" w:sz="4" w:space="0" w:color="000000"/>
            </w:tcBorders>
            <w:shd w:val="clear" w:color="000000" w:fill="4D93D9"/>
            <w:vAlign w:val="center"/>
            <w:hideMark/>
          </w:tcPr>
          <w:p w14:paraId="0F1FC485"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"Year"</w:t>
            </w:r>
          </w:p>
        </w:tc>
        <w:tc>
          <w:tcPr>
            <w:tcW w:w="772" w:type="pct"/>
            <w:tcBorders>
              <w:top w:val="single" w:sz="4" w:space="0" w:color="000000"/>
              <w:left w:val="nil"/>
              <w:bottom w:val="single" w:sz="4" w:space="0" w:color="000000"/>
              <w:right w:val="single" w:sz="4" w:space="0" w:color="000000"/>
            </w:tcBorders>
            <w:shd w:val="clear" w:color="000000" w:fill="4D93D9"/>
            <w:vAlign w:val="center"/>
            <w:hideMark/>
          </w:tcPr>
          <w:p w14:paraId="50C2D8B7"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"Cash Flow"</w:t>
            </w:r>
          </w:p>
        </w:tc>
        <w:tc>
          <w:tcPr>
            <w:tcW w:w="1849" w:type="pct"/>
            <w:tcBorders>
              <w:top w:val="single" w:sz="4" w:space="0" w:color="000000"/>
              <w:left w:val="nil"/>
              <w:bottom w:val="single" w:sz="4" w:space="0" w:color="000000"/>
              <w:right w:val="single" w:sz="4" w:space="0" w:color="000000"/>
            </w:tcBorders>
            <w:shd w:val="clear" w:color="000000" w:fill="4D93D9"/>
            <w:vAlign w:val="center"/>
            <w:hideMark/>
          </w:tcPr>
          <w:p w14:paraId="5E00B95F"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"Discounting Factor @10%"</w:t>
            </w:r>
          </w:p>
        </w:tc>
        <w:tc>
          <w:tcPr>
            <w:tcW w:w="975" w:type="pct"/>
            <w:tcBorders>
              <w:top w:val="single" w:sz="4" w:space="0" w:color="000000"/>
              <w:left w:val="nil"/>
              <w:bottom w:val="single" w:sz="4" w:space="0" w:color="000000"/>
              <w:right w:val="single" w:sz="4" w:space="0" w:color="000000"/>
            </w:tcBorders>
            <w:shd w:val="clear" w:color="000000" w:fill="4D93D9"/>
            <w:vAlign w:val="center"/>
            <w:hideMark/>
          </w:tcPr>
          <w:p w14:paraId="5CD469FF"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"Present Value"</w:t>
            </w:r>
          </w:p>
        </w:tc>
        <w:tc>
          <w:tcPr>
            <w:tcW w:w="914" w:type="pct"/>
            <w:tcBorders>
              <w:top w:val="nil"/>
              <w:left w:val="nil"/>
              <w:bottom w:val="nil"/>
              <w:right w:val="nil"/>
            </w:tcBorders>
            <w:shd w:val="clear" w:color="000000" w:fill="FFFFFF"/>
            <w:noWrap/>
            <w:vAlign w:val="center"/>
            <w:hideMark/>
          </w:tcPr>
          <w:p w14:paraId="5BF3387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62208519" w14:textId="77777777" w:rsidTr="00E6666C">
        <w:trPr>
          <w:trHeight w:val="312"/>
          <w:jc w:val="center"/>
        </w:trPr>
        <w:tc>
          <w:tcPr>
            <w:tcW w:w="490" w:type="pct"/>
            <w:tcBorders>
              <w:top w:val="nil"/>
              <w:left w:val="single" w:sz="4" w:space="0" w:color="000000"/>
              <w:bottom w:val="single" w:sz="4" w:space="0" w:color="000000"/>
              <w:right w:val="single" w:sz="4" w:space="0" w:color="000000"/>
            </w:tcBorders>
            <w:shd w:val="clear" w:color="000000" w:fill="FFFFFF"/>
            <w:noWrap/>
            <w:vAlign w:val="center"/>
            <w:hideMark/>
          </w:tcPr>
          <w:p w14:paraId="194B274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w:t>
            </w:r>
          </w:p>
        </w:tc>
        <w:tc>
          <w:tcPr>
            <w:tcW w:w="772" w:type="pct"/>
            <w:tcBorders>
              <w:top w:val="nil"/>
              <w:left w:val="nil"/>
              <w:bottom w:val="single" w:sz="4" w:space="0" w:color="000000"/>
              <w:right w:val="single" w:sz="4" w:space="0" w:color="000000"/>
            </w:tcBorders>
            <w:shd w:val="clear" w:color="000000" w:fill="FFFFFF"/>
            <w:noWrap/>
            <w:vAlign w:val="center"/>
            <w:hideMark/>
          </w:tcPr>
          <w:p w14:paraId="732F1F1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1849" w:type="pct"/>
            <w:tcBorders>
              <w:top w:val="nil"/>
              <w:left w:val="nil"/>
              <w:bottom w:val="single" w:sz="4" w:space="0" w:color="000000"/>
              <w:right w:val="single" w:sz="4" w:space="0" w:color="000000"/>
            </w:tcBorders>
            <w:shd w:val="clear" w:color="000000" w:fill="FFFFFF"/>
            <w:noWrap/>
            <w:vAlign w:val="center"/>
            <w:hideMark/>
          </w:tcPr>
          <w:p w14:paraId="71C8B40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975" w:type="pct"/>
            <w:tcBorders>
              <w:top w:val="nil"/>
              <w:left w:val="nil"/>
              <w:bottom w:val="single" w:sz="4" w:space="0" w:color="000000"/>
              <w:right w:val="single" w:sz="4" w:space="0" w:color="000000"/>
            </w:tcBorders>
            <w:shd w:val="clear" w:color="000000" w:fill="FFFFFF"/>
            <w:noWrap/>
            <w:vAlign w:val="center"/>
            <w:hideMark/>
          </w:tcPr>
          <w:p w14:paraId="3BB0834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914" w:type="pct"/>
            <w:tcBorders>
              <w:top w:val="nil"/>
              <w:left w:val="nil"/>
              <w:bottom w:val="nil"/>
              <w:right w:val="nil"/>
            </w:tcBorders>
            <w:shd w:val="clear" w:color="000000" w:fill="FFFFFF"/>
            <w:noWrap/>
            <w:vAlign w:val="center"/>
            <w:hideMark/>
          </w:tcPr>
          <w:p w14:paraId="7DA9474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5F5E0286" w14:textId="77777777" w:rsidTr="00E6666C">
        <w:trPr>
          <w:trHeight w:val="312"/>
          <w:jc w:val="center"/>
        </w:trPr>
        <w:tc>
          <w:tcPr>
            <w:tcW w:w="490" w:type="pct"/>
            <w:tcBorders>
              <w:top w:val="nil"/>
              <w:left w:val="single" w:sz="4" w:space="0" w:color="000000"/>
              <w:bottom w:val="single" w:sz="4" w:space="0" w:color="000000"/>
              <w:right w:val="single" w:sz="4" w:space="0" w:color="000000"/>
            </w:tcBorders>
            <w:shd w:val="clear" w:color="000000" w:fill="FFFFFF"/>
            <w:noWrap/>
            <w:vAlign w:val="center"/>
            <w:hideMark/>
          </w:tcPr>
          <w:p w14:paraId="149EF84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w:t>
            </w:r>
          </w:p>
        </w:tc>
        <w:tc>
          <w:tcPr>
            <w:tcW w:w="772" w:type="pct"/>
            <w:tcBorders>
              <w:top w:val="nil"/>
              <w:left w:val="nil"/>
              <w:bottom w:val="single" w:sz="4" w:space="0" w:color="000000"/>
              <w:right w:val="single" w:sz="4" w:space="0" w:color="000000"/>
            </w:tcBorders>
            <w:shd w:val="clear" w:color="000000" w:fill="FFFFFF"/>
            <w:noWrap/>
            <w:vAlign w:val="center"/>
            <w:hideMark/>
          </w:tcPr>
          <w:p w14:paraId="31A8BB9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5.00 </w:t>
            </w:r>
          </w:p>
        </w:tc>
        <w:tc>
          <w:tcPr>
            <w:tcW w:w="1849" w:type="pct"/>
            <w:tcBorders>
              <w:top w:val="nil"/>
              <w:left w:val="nil"/>
              <w:bottom w:val="single" w:sz="4" w:space="0" w:color="000000"/>
              <w:right w:val="single" w:sz="4" w:space="0" w:color="000000"/>
            </w:tcBorders>
            <w:shd w:val="clear" w:color="000000" w:fill="FFFFFF"/>
            <w:noWrap/>
            <w:vAlign w:val="center"/>
            <w:hideMark/>
          </w:tcPr>
          <w:p w14:paraId="3130DE2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0.909</w:t>
            </w:r>
          </w:p>
        </w:tc>
        <w:tc>
          <w:tcPr>
            <w:tcW w:w="975" w:type="pct"/>
            <w:tcBorders>
              <w:top w:val="nil"/>
              <w:left w:val="nil"/>
              <w:bottom w:val="single" w:sz="4" w:space="0" w:color="000000"/>
              <w:right w:val="single" w:sz="4" w:space="0" w:color="000000"/>
            </w:tcBorders>
            <w:shd w:val="clear" w:color="000000" w:fill="FFFFFF"/>
            <w:noWrap/>
            <w:vAlign w:val="center"/>
            <w:hideMark/>
          </w:tcPr>
          <w:p w14:paraId="3AC8542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4.55 </w:t>
            </w:r>
          </w:p>
        </w:tc>
        <w:tc>
          <w:tcPr>
            <w:tcW w:w="914" w:type="pct"/>
            <w:tcBorders>
              <w:top w:val="nil"/>
              <w:left w:val="nil"/>
              <w:bottom w:val="nil"/>
              <w:right w:val="nil"/>
            </w:tcBorders>
            <w:shd w:val="clear" w:color="000000" w:fill="FFFFFF"/>
            <w:noWrap/>
            <w:vAlign w:val="center"/>
            <w:hideMark/>
          </w:tcPr>
          <w:p w14:paraId="3250C33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2B756361" w14:textId="77777777" w:rsidTr="00E6666C">
        <w:trPr>
          <w:trHeight w:val="312"/>
          <w:jc w:val="center"/>
        </w:trPr>
        <w:tc>
          <w:tcPr>
            <w:tcW w:w="490" w:type="pct"/>
            <w:tcBorders>
              <w:top w:val="nil"/>
              <w:left w:val="single" w:sz="4" w:space="0" w:color="000000"/>
              <w:bottom w:val="single" w:sz="4" w:space="0" w:color="000000"/>
              <w:right w:val="single" w:sz="4" w:space="0" w:color="000000"/>
            </w:tcBorders>
            <w:shd w:val="clear" w:color="000000" w:fill="FFFFFF"/>
            <w:noWrap/>
            <w:vAlign w:val="center"/>
            <w:hideMark/>
          </w:tcPr>
          <w:p w14:paraId="3493BDF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2</w:t>
            </w:r>
          </w:p>
        </w:tc>
        <w:tc>
          <w:tcPr>
            <w:tcW w:w="772" w:type="pct"/>
            <w:tcBorders>
              <w:top w:val="nil"/>
              <w:left w:val="nil"/>
              <w:bottom w:val="single" w:sz="4" w:space="0" w:color="000000"/>
              <w:right w:val="single" w:sz="4" w:space="0" w:color="000000"/>
            </w:tcBorders>
            <w:shd w:val="clear" w:color="000000" w:fill="FFFFFF"/>
            <w:noWrap/>
            <w:vAlign w:val="center"/>
            <w:hideMark/>
          </w:tcPr>
          <w:p w14:paraId="22EAE30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c>
          <w:tcPr>
            <w:tcW w:w="1849" w:type="pct"/>
            <w:tcBorders>
              <w:top w:val="nil"/>
              <w:left w:val="nil"/>
              <w:bottom w:val="single" w:sz="4" w:space="0" w:color="000000"/>
              <w:right w:val="single" w:sz="4" w:space="0" w:color="000000"/>
            </w:tcBorders>
            <w:shd w:val="clear" w:color="000000" w:fill="FFFFFF"/>
            <w:noWrap/>
            <w:vAlign w:val="center"/>
            <w:hideMark/>
          </w:tcPr>
          <w:p w14:paraId="28135B0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0.826</w:t>
            </w:r>
          </w:p>
        </w:tc>
        <w:tc>
          <w:tcPr>
            <w:tcW w:w="975" w:type="pct"/>
            <w:tcBorders>
              <w:top w:val="nil"/>
              <w:left w:val="nil"/>
              <w:bottom w:val="single" w:sz="4" w:space="0" w:color="000000"/>
              <w:right w:val="single" w:sz="4" w:space="0" w:color="000000"/>
            </w:tcBorders>
            <w:shd w:val="clear" w:color="000000" w:fill="FFFFFF"/>
            <w:noWrap/>
            <w:vAlign w:val="center"/>
            <w:hideMark/>
          </w:tcPr>
          <w:p w14:paraId="0998083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8.26 </w:t>
            </w:r>
          </w:p>
        </w:tc>
        <w:tc>
          <w:tcPr>
            <w:tcW w:w="914" w:type="pct"/>
            <w:tcBorders>
              <w:top w:val="nil"/>
              <w:left w:val="nil"/>
              <w:bottom w:val="nil"/>
              <w:right w:val="nil"/>
            </w:tcBorders>
            <w:shd w:val="clear" w:color="000000" w:fill="FFFFFF"/>
            <w:noWrap/>
            <w:vAlign w:val="center"/>
            <w:hideMark/>
          </w:tcPr>
          <w:p w14:paraId="287F01D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3DCE1650" w14:textId="77777777" w:rsidTr="00E6666C">
        <w:trPr>
          <w:trHeight w:val="312"/>
          <w:jc w:val="center"/>
        </w:trPr>
        <w:tc>
          <w:tcPr>
            <w:tcW w:w="490" w:type="pct"/>
            <w:tcBorders>
              <w:top w:val="nil"/>
              <w:left w:val="single" w:sz="4" w:space="0" w:color="000000"/>
              <w:bottom w:val="single" w:sz="4" w:space="0" w:color="000000"/>
              <w:right w:val="single" w:sz="4" w:space="0" w:color="000000"/>
            </w:tcBorders>
            <w:shd w:val="clear" w:color="000000" w:fill="FFFFFF"/>
            <w:noWrap/>
            <w:vAlign w:val="center"/>
            <w:hideMark/>
          </w:tcPr>
          <w:p w14:paraId="5172396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3</w:t>
            </w:r>
          </w:p>
        </w:tc>
        <w:tc>
          <w:tcPr>
            <w:tcW w:w="772" w:type="pct"/>
            <w:tcBorders>
              <w:top w:val="nil"/>
              <w:left w:val="nil"/>
              <w:bottom w:val="single" w:sz="4" w:space="0" w:color="000000"/>
              <w:right w:val="single" w:sz="4" w:space="0" w:color="000000"/>
            </w:tcBorders>
            <w:shd w:val="clear" w:color="000000" w:fill="FFFFFF"/>
            <w:noWrap/>
            <w:vAlign w:val="center"/>
            <w:hideMark/>
          </w:tcPr>
          <w:p w14:paraId="26113B5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20.00 </w:t>
            </w:r>
          </w:p>
        </w:tc>
        <w:tc>
          <w:tcPr>
            <w:tcW w:w="1849" w:type="pct"/>
            <w:tcBorders>
              <w:top w:val="nil"/>
              <w:left w:val="nil"/>
              <w:bottom w:val="single" w:sz="4" w:space="0" w:color="000000"/>
              <w:right w:val="single" w:sz="4" w:space="0" w:color="000000"/>
            </w:tcBorders>
            <w:shd w:val="clear" w:color="000000" w:fill="FFFFFF"/>
            <w:noWrap/>
            <w:vAlign w:val="center"/>
            <w:hideMark/>
          </w:tcPr>
          <w:p w14:paraId="7E1DB23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0.751</w:t>
            </w:r>
          </w:p>
        </w:tc>
        <w:tc>
          <w:tcPr>
            <w:tcW w:w="975" w:type="pct"/>
            <w:tcBorders>
              <w:top w:val="nil"/>
              <w:left w:val="nil"/>
              <w:bottom w:val="single" w:sz="4" w:space="0" w:color="000000"/>
              <w:right w:val="single" w:sz="4" w:space="0" w:color="000000"/>
            </w:tcBorders>
            <w:shd w:val="clear" w:color="000000" w:fill="FFFFFF"/>
            <w:noWrap/>
            <w:vAlign w:val="center"/>
            <w:hideMark/>
          </w:tcPr>
          <w:p w14:paraId="544C059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15.03 </w:t>
            </w:r>
          </w:p>
        </w:tc>
        <w:tc>
          <w:tcPr>
            <w:tcW w:w="914" w:type="pct"/>
            <w:tcBorders>
              <w:top w:val="nil"/>
              <w:left w:val="nil"/>
              <w:bottom w:val="nil"/>
              <w:right w:val="nil"/>
            </w:tcBorders>
            <w:shd w:val="clear" w:color="000000" w:fill="FFFFFF"/>
            <w:noWrap/>
            <w:vAlign w:val="center"/>
            <w:hideMark/>
          </w:tcPr>
          <w:p w14:paraId="037F182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0C9C95EA" w14:textId="77777777" w:rsidTr="00E6666C">
        <w:trPr>
          <w:trHeight w:val="312"/>
          <w:jc w:val="center"/>
        </w:trPr>
        <w:tc>
          <w:tcPr>
            <w:tcW w:w="490" w:type="pct"/>
            <w:tcBorders>
              <w:top w:val="nil"/>
              <w:left w:val="single" w:sz="4" w:space="0" w:color="000000"/>
              <w:bottom w:val="single" w:sz="4" w:space="0" w:color="000000"/>
              <w:right w:val="single" w:sz="4" w:space="0" w:color="000000"/>
            </w:tcBorders>
            <w:shd w:val="clear" w:color="000000" w:fill="FFFFFF"/>
            <w:noWrap/>
            <w:vAlign w:val="center"/>
            <w:hideMark/>
          </w:tcPr>
          <w:p w14:paraId="263AD0D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4</w:t>
            </w:r>
          </w:p>
        </w:tc>
        <w:tc>
          <w:tcPr>
            <w:tcW w:w="772" w:type="pct"/>
            <w:tcBorders>
              <w:top w:val="nil"/>
              <w:left w:val="nil"/>
              <w:bottom w:val="single" w:sz="4" w:space="0" w:color="000000"/>
              <w:right w:val="single" w:sz="4" w:space="0" w:color="000000"/>
            </w:tcBorders>
            <w:shd w:val="clear" w:color="000000" w:fill="FFFFFF"/>
            <w:noWrap/>
            <w:vAlign w:val="center"/>
            <w:hideMark/>
          </w:tcPr>
          <w:p w14:paraId="396B3A9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25.00 </w:t>
            </w:r>
          </w:p>
        </w:tc>
        <w:tc>
          <w:tcPr>
            <w:tcW w:w="1849" w:type="pct"/>
            <w:tcBorders>
              <w:top w:val="nil"/>
              <w:left w:val="nil"/>
              <w:bottom w:val="single" w:sz="4" w:space="0" w:color="000000"/>
              <w:right w:val="single" w:sz="4" w:space="0" w:color="000000"/>
            </w:tcBorders>
            <w:shd w:val="clear" w:color="000000" w:fill="FFFFFF"/>
            <w:noWrap/>
            <w:vAlign w:val="center"/>
            <w:hideMark/>
          </w:tcPr>
          <w:p w14:paraId="61B2EB2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0.683</w:t>
            </w:r>
          </w:p>
        </w:tc>
        <w:tc>
          <w:tcPr>
            <w:tcW w:w="975" w:type="pct"/>
            <w:tcBorders>
              <w:top w:val="nil"/>
              <w:left w:val="nil"/>
              <w:bottom w:val="single" w:sz="4" w:space="0" w:color="000000"/>
              <w:right w:val="single" w:sz="4" w:space="0" w:color="000000"/>
            </w:tcBorders>
            <w:shd w:val="clear" w:color="000000" w:fill="FFFFFF"/>
            <w:noWrap/>
            <w:vAlign w:val="center"/>
            <w:hideMark/>
          </w:tcPr>
          <w:p w14:paraId="27F3F12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17.08 </w:t>
            </w:r>
          </w:p>
        </w:tc>
        <w:tc>
          <w:tcPr>
            <w:tcW w:w="914" w:type="pct"/>
            <w:tcBorders>
              <w:top w:val="nil"/>
              <w:left w:val="nil"/>
              <w:bottom w:val="nil"/>
              <w:right w:val="nil"/>
            </w:tcBorders>
            <w:shd w:val="clear" w:color="000000" w:fill="FFFFFF"/>
            <w:noWrap/>
            <w:vAlign w:val="center"/>
            <w:hideMark/>
          </w:tcPr>
          <w:p w14:paraId="5477A25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38FA06D4" w14:textId="77777777" w:rsidTr="00E6666C">
        <w:trPr>
          <w:trHeight w:val="312"/>
          <w:jc w:val="center"/>
        </w:trPr>
        <w:tc>
          <w:tcPr>
            <w:tcW w:w="490" w:type="pct"/>
            <w:tcBorders>
              <w:top w:val="nil"/>
              <w:left w:val="single" w:sz="4" w:space="0" w:color="000000"/>
              <w:bottom w:val="single" w:sz="4" w:space="0" w:color="000000"/>
              <w:right w:val="single" w:sz="4" w:space="0" w:color="000000"/>
            </w:tcBorders>
            <w:shd w:val="clear" w:color="000000" w:fill="FFFFFF"/>
            <w:noWrap/>
            <w:vAlign w:val="center"/>
            <w:hideMark/>
          </w:tcPr>
          <w:p w14:paraId="6E2FFA7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5</w:t>
            </w:r>
          </w:p>
        </w:tc>
        <w:tc>
          <w:tcPr>
            <w:tcW w:w="772" w:type="pct"/>
            <w:tcBorders>
              <w:top w:val="nil"/>
              <w:left w:val="nil"/>
              <w:bottom w:val="single" w:sz="4" w:space="0" w:color="000000"/>
              <w:right w:val="single" w:sz="4" w:space="0" w:color="000000"/>
            </w:tcBorders>
            <w:shd w:val="clear" w:color="000000" w:fill="FFFFFF"/>
            <w:noWrap/>
            <w:vAlign w:val="center"/>
            <w:hideMark/>
          </w:tcPr>
          <w:p w14:paraId="41A8738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5.00 </w:t>
            </w:r>
          </w:p>
        </w:tc>
        <w:tc>
          <w:tcPr>
            <w:tcW w:w="1849" w:type="pct"/>
            <w:tcBorders>
              <w:top w:val="nil"/>
              <w:left w:val="nil"/>
              <w:bottom w:val="single" w:sz="4" w:space="0" w:color="000000"/>
              <w:right w:val="single" w:sz="4" w:space="0" w:color="000000"/>
            </w:tcBorders>
            <w:shd w:val="clear" w:color="000000" w:fill="FFFFFF"/>
            <w:noWrap/>
            <w:vAlign w:val="center"/>
            <w:hideMark/>
          </w:tcPr>
          <w:p w14:paraId="766418C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0.621</w:t>
            </w:r>
          </w:p>
        </w:tc>
        <w:tc>
          <w:tcPr>
            <w:tcW w:w="975" w:type="pct"/>
            <w:tcBorders>
              <w:top w:val="nil"/>
              <w:left w:val="nil"/>
              <w:bottom w:val="single" w:sz="4" w:space="0" w:color="000000"/>
              <w:right w:val="single" w:sz="4" w:space="0" w:color="000000"/>
            </w:tcBorders>
            <w:shd w:val="clear" w:color="000000" w:fill="FFFFFF"/>
            <w:noWrap/>
            <w:vAlign w:val="center"/>
            <w:hideMark/>
          </w:tcPr>
          <w:p w14:paraId="79170F8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3.10 </w:t>
            </w:r>
          </w:p>
        </w:tc>
        <w:tc>
          <w:tcPr>
            <w:tcW w:w="914" w:type="pct"/>
            <w:tcBorders>
              <w:top w:val="nil"/>
              <w:left w:val="nil"/>
              <w:bottom w:val="nil"/>
              <w:right w:val="nil"/>
            </w:tcBorders>
            <w:shd w:val="clear" w:color="000000" w:fill="FFFFFF"/>
            <w:noWrap/>
            <w:vAlign w:val="center"/>
            <w:hideMark/>
          </w:tcPr>
          <w:p w14:paraId="04BBF03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670E3E3C" w14:textId="77777777" w:rsidTr="00E6666C">
        <w:trPr>
          <w:trHeight w:val="312"/>
          <w:jc w:val="center"/>
        </w:trPr>
        <w:tc>
          <w:tcPr>
            <w:tcW w:w="3111" w:type="pct"/>
            <w:gridSpan w:val="3"/>
            <w:tcBorders>
              <w:top w:val="single" w:sz="4" w:space="0" w:color="000000"/>
              <w:left w:val="single" w:sz="4" w:space="0" w:color="000000"/>
              <w:bottom w:val="single" w:sz="4" w:space="0" w:color="auto"/>
              <w:right w:val="single" w:sz="4" w:space="0" w:color="000000"/>
            </w:tcBorders>
            <w:shd w:val="clear" w:color="000000" w:fill="FFFFFF"/>
            <w:vAlign w:val="center"/>
            <w:hideMark/>
          </w:tcPr>
          <w:p w14:paraId="6AE4BEFE"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"Net Present Value (NPV) of Project C"</w:t>
            </w:r>
          </w:p>
        </w:tc>
        <w:tc>
          <w:tcPr>
            <w:tcW w:w="975" w:type="pct"/>
            <w:tcBorders>
              <w:top w:val="nil"/>
              <w:left w:val="nil"/>
              <w:bottom w:val="nil"/>
              <w:right w:val="single" w:sz="4" w:space="0" w:color="000000"/>
            </w:tcBorders>
            <w:shd w:val="clear" w:color="000000" w:fill="FFFFFF"/>
            <w:vAlign w:val="center"/>
            <w:hideMark/>
          </w:tcPr>
          <w:p w14:paraId="647FF727" w14:textId="77777777" w:rsidR="00E6666C" w:rsidRPr="00E6666C" w:rsidRDefault="00E6666C" w:rsidP="00E6666C">
            <w:pPr>
              <w:spacing w:before="0" w:after="0" w:line="240" w:lineRule="auto"/>
              <w:jc w:val="left"/>
              <w:rPr>
                <w:rFonts w:ascii="Arial" w:hAnsi="Arial" w:cs="Arial"/>
                <w:b/>
                <w:bCs/>
                <w:color w:val="000000"/>
                <w:lang w:val="en-IN"/>
              </w:rPr>
            </w:pPr>
            <w:r w:rsidRPr="00E6666C">
              <w:rPr>
                <w:rFonts w:ascii="Arial" w:hAnsi="Arial" w:cs="Arial"/>
                <w:b/>
                <w:bCs/>
                <w:color w:val="000000"/>
                <w:lang w:val="en-IN"/>
              </w:rPr>
              <w:t xml:space="preserve">-£               1.98 </w:t>
            </w:r>
          </w:p>
        </w:tc>
        <w:tc>
          <w:tcPr>
            <w:tcW w:w="914" w:type="pct"/>
            <w:tcBorders>
              <w:top w:val="nil"/>
              <w:left w:val="nil"/>
              <w:bottom w:val="nil"/>
              <w:right w:val="nil"/>
            </w:tcBorders>
            <w:shd w:val="clear" w:color="000000" w:fill="FFFFFF"/>
            <w:noWrap/>
            <w:vAlign w:val="center"/>
            <w:hideMark/>
          </w:tcPr>
          <w:p w14:paraId="1C398E2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447EDC81" w14:textId="77777777" w:rsidTr="00E6666C">
        <w:trPr>
          <w:trHeight w:val="312"/>
          <w:jc w:val="center"/>
        </w:trPr>
        <w:tc>
          <w:tcPr>
            <w:tcW w:w="3111" w:type="pct"/>
            <w:gridSpan w:val="3"/>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2876711E"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"Profitability Index (PI) of Project C"</w:t>
            </w:r>
          </w:p>
        </w:tc>
        <w:tc>
          <w:tcPr>
            <w:tcW w:w="975" w:type="pct"/>
            <w:tcBorders>
              <w:top w:val="single" w:sz="4" w:space="0" w:color="auto"/>
              <w:left w:val="nil"/>
              <w:bottom w:val="single" w:sz="4" w:space="0" w:color="auto"/>
              <w:right w:val="single" w:sz="4" w:space="0" w:color="auto"/>
            </w:tcBorders>
            <w:shd w:val="clear" w:color="000000" w:fill="FFFFFF"/>
            <w:noWrap/>
            <w:vAlign w:val="center"/>
            <w:hideMark/>
          </w:tcPr>
          <w:p w14:paraId="62DE6643"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1.04</w:t>
            </w:r>
          </w:p>
        </w:tc>
        <w:tc>
          <w:tcPr>
            <w:tcW w:w="914" w:type="pct"/>
            <w:tcBorders>
              <w:top w:val="nil"/>
              <w:left w:val="nil"/>
              <w:bottom w:val="nil"/>
              <w:right w:val="nil"/>
            </w:tcBorders>
            <w:shd w:val="clear" w:color="000000" w:fill="FFFFFF"/>
            <w:noWrap/>
            <w:vAlign w:val="center"/>
            <w:hideMark/>
          </w:tcPr>
          <w:p w14:paraId="0905F46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2DFF80E0" w14:textId="77777777" w:rsidTr="00E6666C">
        <w:trPr>
          <w:trHeight w:val="312"/>
          <w:jc w:val="center"/>
        </w:trPr>
        <w:tc>
          <w:tcPr>
            <w:tcW w:w="490" w:type="pct"/>
            <w:tcBorders>
              <w:top w:val="nil"/>
              <w:left w:val="nil"/>
              <w:bottom w:val="nil"/>
              <w:right w:val="nil"/>
            </w:tcBorders>
            <w:shd w:val="clear" w:color="000000" w:fill="FFFFFF"/>
            <w:noWrap/>
            <w:vAlign w:val="center"/>
            <w:hideMark/>
          </w:tcPr>
          <w:p w14:paraId="51DE11B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772" w:type="pct"/>
            <w:tcBorders>
              <w:top w:val="nil"/>
              <w:left w:val="nil"/>
              <w:bottom w:val="nil"/>
              <w:right w:val="nil"/>
            </w:tcBorders>
            <w:shd w:val="clear" w:color="000000" w:fill="FFFFFF"/>
            <w:noWrap/>
            <w:vAlign w:val="center"/>
            <w:hideMark/>
          </w:tcPr>
          <w:p w14:paraId="4F5A4C9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849" w:type="pct"/>
            <w:tcBorders>
              <w:top w:val="nil"/>
              <w:left w:val="nil"/>
              <w:bottom w:val="nil"/>
              <w:right w:val="nil"/>
            </w:tcBorders>
            <w:shd w:val="clear" w:color="000000" w:fill="FFFFFF"/>
            <w:noWrap/>
            <w:vAlign w:val="center"/>
            <w:hideMark/>
          </w:tcPr>
          <w:p w14:paraId="5638C55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975" w:type="pct"/>
            <w:tcBorders>
              <w:top w:val="nil"/>
              <w:left w:val="nil"/>
              <w:bottom w:val="nil"/>
              <w:right w:val="nil"/>
            </w:tcBorders>
            <w:shd w:val="clear" w:color="000000" w:fill="FFFFFF"/>
            <w:noWrap/>
            <w:vAlign w:val="center"/>
            <w:hideMark/>
          </w:tcPr>
          <w:p w14:paraId="5AF6C8C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914" w:type="pct"/>
            <w:tcBorders>
              <w:top w:val="nil"/>
              <w:left w:val="nil"/>
              <w:bottom w:val="nil"/>
              <w:right w:val="nil"/>
            </w:tcBorders>
            <w:shd w:val="clear" w:color="000000" w:fill="FFFFFF"/>
            <w:noWrap/>
            <w:vAlign w:val="center"/>
            <w:hideMark/>
          </w:tcPr>
          <w:p w14:paraId="4881935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30366D1D" w14:textId="77777777" w:rsidTr="00E6666C">
        <w:trPr>
          <w:trHeight w:val="312"/>
          <w:jc w:val="center"/>
        </w:trPr>
        <w:tc>
          <w:tcPr>
            <w:tcW w:w="490" w:type="pct"/>
            <w:tcBorders>
              <w:top w:val="single" w:sz="4" w:space="0" w:color="000000"/>
              <w:left w:val="single" w:sz="4" w:space="0" w:color="000000"/>
              <w:bottom w:val="single" w:sz="4" w:space="0" w:color="000000"/>
              <w:right w:val="single" w:sz="4" w:space="0" w:color="000000"/>
            </w:tcBorders>
            <w:shd w:val="clear" w:color="000000" w:fill="4D93D9"/>
            <w:vAlign w:val="center"/>
            <w:hideMark/>
          </w:tcPr>
          <w:p w14:paraId="3DFFD14A"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"Year"</w:t>
            </w:r>
          </w:p>
        </w:tc>
        <w:tc>
          <w:tcPr>
            <w:tcW w:w="772" w:type="pct"/>
            <w:tcBorders>
              <w:top w:val="single" w:sz="4" w:space="0" w:color="000000"/>
              <w:left w:val="nil"/>
              <w:bottom w:val="single" w:sz="4" w:space="0" w:color="000000"/>
              <w:right w:val="single" w:sz="4" w:space="0" w:color="000000"/>
            </w:tcBorders>
            <w:shd w:val="clear" w:color="000000" w:fill="4D93D9"/>
            <w:vAlign w:val="center"/>
            <w:hideMark/>
          </w:tcPr>
          <w:p w14:paraId="1A0CDB67"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"Cash Flow"</w:t>
            </w:r>
          </w:p>
        </w:tc>
        <w:tc>
          <w:tcPr>
            <w:tcW w:w="1849" w:type="pct"/>
            <w:tcBorders>
              <w:top w:val="single" w:sz="4" w:space="0" w:color="000000"/>
              <w:left w:val="nil"/>
              <w:bottom w:val="single" w:sz="4" w:space="0" w:color="000000"/>
              <w:right w:val="single" w:sz="4" w:space="0" w:color="000000"/>
            </w:tcBorders>
            <w:shd w:val="clear" w:color="000000" w:fill="4D93D9"/>
            <w:vAlign w:val="center"/>
            <w:hideMark/>
          </w:tcPr>
          <w:p w14:paraId="7A49B7E2"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"Discounting Factor @10%"</w:t>
            </w:r>
          </w:p>
        </w:tc>
        <w:tc>
          <w:tcPr>
            <w:tcW w:w="975" w:type="pct"/>
            <w:tcBorders>
              <w:top w:val="single" w:sz="4" w:space="0" w:color="000000"/>
              <w:left w:val="nil"/>
              <w:bottom w:val="single" w:sz="4" w:space="0" w:color="000000"/>
              <w:right w:val="single" w:sz="4" w:space="0" w:color="000000"/>
            </w:tcBorders>
            <w:shd w:val="clear" w:color="000000" w:fill="4D93D9"/>
            <w:vAlign w:val="center"/>
            <w:hideMark/>
          </w:tcPr>
          <w:p w14:paraId="79206584"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"Present Value"</w:t>
            </w:r>
          </w:p>
        </w:tc>
        <w:tc>
          <w:tcPr>
            <w:tcW w:w="914" w:type="pct"/>
            <w:tcBorders>
              <w:top w:val="single" w:sz="4" w:space="0" w:color="000000"/>
              <w:left w:val="nil"/>
              <w:bottom w:val="single" w:sz="4" w:space="0" w:color="000000"/>
              <w:right w:val="single" w:sz="4" w:space="0" w:color="000000"/>
            </w:tcBorders>
            <w:shd w:val="clear" w:color="000000" w:fill="4D93D9"/>
            <w:vAlign w:val="center"/>
            <w:hideMark/>
          </w:tcPr>
          <w:p w14:paraId="6AE36213"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Cumulative</w:t>
            </w:r>
          </w:p>
        </w:tc>
      </w:tr>
      <w:tr w:rsidR="00E6666C" w:rsidRPr="00E6666C" w14:paraId="419B6C6F" w14:textId="77777777" w:rsidTr="00E6666C">
        <w:trPr>
          <w:trHeight w:val="312"/>
          <w:jc w:val="center"/>
        </w:trPr>
        <w:tc>
          <w:tcPr>
            <w:tcW w:w="490" w:type="pct"/>
            <w:tcBorders>
              <w:top w:val="nil"/>
              <w:left w:val="single" w:sz="4" w:space="0" w:color="000000"/>
              <w:bottom w:val="single" w:sz="4" w:space="0" w:color="000000"/>
              <w:right w:val="single" w:sz="4" w:space="0" w:color="000000"/>
            </w:tcBorders>
            <w:shd w:val="clear" w:color="000000" w:fill="FFFFFF"/>
            <w:noWrap/>
            <w:vAlign w:val="center"/>
            <w:hideMark/>
          </w:tcPr>
          <w:p w14:paraId="3304AEE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w:t>
            </w:r>
          </w:p>
        </w:tc>
        <w:tc>
          <w:tcPr>
            <w:tcW w:w="772" w:type="pct"/>
            <w:tcBorders>
              <w:top w:val="nil"/>
              <w:left w:val="nil"/>
              <w:bottom w:val="single" w:sz="4" w:space="0" w:color="000000"/>
              <w:right w:val="single" w:sz="4" w:space="0" w:color="000000"/>
            </w:tcBorders>
            <w:shd w:val="clear" w:color="000000" w:fill="FFFFFF"/>
            <w:noWrap/>
            <w:vAlign w:val="center"/>
            <w:hideMark/>
          </w:tcPr>
          <w:p w14:paraId="55B6A4B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1849" w:type="pct"/>
            <w:tcBorders>
              <w:top w:val="nil"/>
              <w:left w:val="nil"/>
              <w:bottom w:val="single" w:sz="4" w:space="0" w:color="000000"/>
              <w:right w:val="single" w:sz="4" w:space="0" w:color="000000"/>
            </w:tcBorders>
            <w:shd w:val="clear" w:color="000000" w:fill="FFFFFF"/>
            <w:noWrap/>
            <w:vAlign w:val="center"/>
            <w:hideMark/>
          </w:tcPr>
          <w:p w14:paraId="5AD8ECC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975" w:type="pct"/>
            <w:tcBorders>
              <w:top w:val="nil"/>
              <w:left w:val="nil"/>
              <w:bottom w:val="single" w:sz="4" w:space="0" w:color="000000"/>
              <w:right w:val="single" w:sz="4" w:space="0" w:color="000000"/>
            </w:tcBorders>
            <w:shd w:val="clear" w:color="000000" w:fill="FFFFFF"/>
            <w:noWrap/>
            <w:vAlign w:val="center"/>
            <w:hideMark/>
          </w:tcPr>
          <w:p w14:paraId="4F01276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914" w:type="pct"/>
            <w:tcBorders>
              <w:top w:val="nil"/>
              <w:left w:val="nil"/>
              <w:bottom w:val="single" w:sz="4" w:space="0" w:color="000000"/>
              <w:right w:val="single" w:sz="4" w:space="0" w:color="000000"/>
            </w:tcBorders>
            <w:shd w:val="clear" w:color="000000" w:fill="FFFFFF"/>
            <w:noWrap/>
            <w:vAlign w:val="center"/>
            <w:hideMark/>
          </w:tcPr>
          <w:p w14:paraId="7A5247D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r>
      <w:tr w:rsidR="00E6666C" w:rsidRPr="00E6666C" w14:paraId="0CA825EA" w14:textId="77777777" w:rsidTr="00E6666C">
        <w:trPr>
          <w:trHeight w:val="312"/>
          <w:jc w:val="center"/>
        </w:trPr>
        <w:tc>
          <w:tcPr>
            <w:tcW w:w="490" w:type="pct"/>
            <w:tcBorders>
              <w:top w:val="nil"/>
              <w:left w:val="single" w:sz="4" w:space="0" w:color="000000"/>
              <w:bottom w:val="single" w:sz="4" w:space="0" w:color="000000"/>
              <w:right w:val="single" w:sz="4" w:space="0" w:color="000000"/>
            </w:tcBorders>
            <w:shd w:val="clear" w:color="000000" w:fill="FFFFFF"/>
            <w:noWrap/>
            <w:vAlign w:val="center"/>
            <w:hideMark/>
          </w:tcPr>
          <w:p w14:paraId="029BAA1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w:t>
            </w:r>
          </w:p>
        </w:tc>
        <w:tc>
          <w:tcPr>
            <w:tcW w:w="772" w:type="pct"/>
            <w:tcBorders>
              <w:top w:val="nil"/>
              <w:left w:val="nil"/>
              <w:bottom w:val="single" w:sz="4" w:space="0" w:color="000000"/>
              <w:right w:val="single" w:sz="4" w:space="0" w:color="000000"/>
            </w:tcBorders>
            <w:shd w:val="clear" w:color="000000" w:fill="FFFFFF"/>
            <w:noWrap/>
            <w:vAlign w:val="center"/>
            <w:hideMark/>
          </w:tcPr>
          <w:p w14:paraId="28D88D3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5.00 </w:t>
            </w:r>
          </w:p>
        </w:tc>
        <w:tc>
          <w:tcPr>
            <w:tcW w:w="1849" w:type="pct"/>
            <w:tcBorders>
              <w:top w:val="nil"/>
              <w:left w:val="nil"/>
              <w:bottom w:val="single" w:sz="4" w:space="0" w:color="000000"/>
              <w:right w:val="single" w:sz="4" w:space="0" w:color="000000"/>
            </w:tcBorders>
            <w:shd w:val="clear" w:color="000000" w:fill="FFFFFF"/>
            <w:noWrap/>
            <w:vAlign w:val="center"/>
            <w:hideMark/>
          </w:tcPr>
          <w:p w14:paraId="16AF646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0.909</w:t>
            </w:r>
          </w:p>
        </w:tc>
        <w:tc>
          <w:tcPr>
            <w:tcW w:w="975" w:type="pct"/>
            <w:tcBorders>
              <w:top w:val="nil"/>
              <w:left w:val="nil"/>
              <w:bottom w:val="single" w:sz="4" w:space="0" w:color="000000"/>
              <w:right w:val="single" w:sz="4" w:space="0" w:color="000000"/>
            </w:tcBorders>
            <w:shd w:val="clear" w:color="000000" w:fill="FFFFFF"/>
            <w:noWrap/>
            <w:vAlign w:val="center"/>
            <w:hideMark/>
          </w:tcPr>
          <w:p w14:paraId="61ABD54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4.55 </w:t>
            </w:r>
          </w:p>
        </w:tc>
        <w:tc>
          <w:tcPr>
            <w:tcW w:w="914" w:type="pct"/>
            <w:tcBorders>
              <w:top w:val="nil"/>
              <w:left w:val="nil"/>
              <w:bottom w:val="single" w:sz="4" w:space="0" w:color="000000"/>
              <w:right w:val="single" w:sz="4" w:space="0" w:color="000000"/>
            </w:tcBorders>
            <w:shd w:val="clear" w:color="000000" w:fill="FFFFFF"/>
            <w:noWrap/>
            <w:vAlign w:val="center"/>
            <w:hideMark/>
          </w:tcPr>
          <w:p w14:paraId="1822DDE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45.45 </w:t>
            </w:r>
          </w:p>
        </w:tc>
      </w:tr>
      <w:tr w:rsidR="00E6666C" w:rsidRPr="00E6666C" w14:paraId="0109DA14" w14:textId="77777777" w:rsidTr="00E6666C">
        <w:trPr>
          <w:trHeight w:val="312"/>
          <w:jc w:val="center"/>
        </w:trPr>
        <w:tc>
          <w:tcPr>
            <w:tcW w:w="490" w:type="pct"/>
            <w:tcBorders>
              <w:top w:val="nil"/>
              <w:left w:val="single" w:sz="4" w:space="0" w:color="000000"/>
              <w:bottom w:val="single" w:sz="4" w:space="0" w:color="000000"/>
              <w:right w:val="single" w:sz="4" w:space="0" w:color="000000"/>
            </w:tcBorders>
            <w:shd w:val="clear" w:color="000000" w:fill="FFFFFF"/>
            <w:noWrap/>
            <w:vAlign w:val="center"/>
            <w:hideMark/>
          </w:tcPr>
          <w:p w14:paraId="29C3358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2</w:t>
            </w:r>
          </w:p>
        </w:tc>
        <w:tc>
          <w:tcPr>
            <w:tcW w:w="772" w:type="pct"/>
            <w:tcBorders>
              <w:top w:val="nil"/>
              <w:left w:val="nil"/>
              <w:bottom w:val="single" w:sz="4" w:space="0" w:color="000000"/>
              <w:right w:val="single" w:sz="4" w:space="0" w:color="000000"/>
            </w:tcBorders>
            <w:shd w:val="clear" w:color="000000" w:fill="FFFFFF"/>
            <w:noWrap/>
            <w:vAlign w:val="center"/>
            <w:hideMark/>
          </w:tcPr>
          <w:p w14:paraId="40EA879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c>
          <w:tcPr>
            <w:tcW w:w="1849" w:type="pct"/>
            <w:tcBorders>
              <w:top w:val="nil"/>
              <w:left w:val="nil"/>
              <w:bottom w:val="single" w:sz="4" w:space="0" w:color="000000"/>
              <w:right w:val="single" w:sz="4" w:space="0" w:color="000000"/>
            </w:tcBorders>
            <w:shd w:val="clear" w:color="000000" w:fill="FFFFFF"/>
            <w:noWrap/>
            <w:vAlign w:val="center"/>
            <w:hideMark/>
          </w:tcPr>
          <w:p w14:paraId="0060812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0.826</w:t>
            </w:r>
          </w:p>
        </w:tc>
        <w:tc>
          <w:tcPr>
            <w:tcW w:w="975" w:type="pct"/>
            <w:tcBorders>
              <w:top w:val="nil"/>
              <w:left w:val="nil"/>
              <w:bottom w:val="single" w:sz="4" w:space="0" w:color="000000"/>
              <w:right w:val="single" w:sz="4" w:space="0" w:color="000000"/>
            </w:tcBorders>
            <w:shd w:val="clear" w:color="000000" w:fill="FFFFFF"/>
            <w:noWrap/>
            <w:vAlign w:val="center"/>
            <w:hideMark/>
          </w:tcPr>
          <w:p w14:paraId="1146773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8.26 </w:t>
            </w:r>
          </w:p>
        </w:tc>
        <w:tc>
          <w:tcPr>
            <w:tcW w:w="914" w:type="pct"/>
            <w:tcBorders>
              <w:top w:val="nil"/>
              <w:left w:val="nil"/>
              <w:bottom w:val="single" w:sz="4" w:space="0" w:color="000000"/>
              <w:right w:val="single" w:sz="4" w:space="0" w:color="000000"/>
            </w:tcBorders>
            <w:shd w:val="clear" w:color="000000" w:fill="FFFFFF"/>
            <w:noWrap/>
            <w:vAlign w:val="center"/>
            <w:hideMark/>
          </w:tcPr>
          <w:p w14:paraId="5758B44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37.19 </w:t>
            </w:r>
          </w:p>
        </w:tc>
      </w:tr>
      <w:tr w:rsidR="00E6666C" w:rsidRPr="00E6666C" w14:paraId="49A6C975" w14:textId="77777777" w:rsidTr="00E6666C">
        <w:trPr>
          <w:trHeight w:val="312"/>
          <w:jc w:val="center"/>
        </w:trPr>
        <w:tc>
          <w:tcPr>
            <w:tcW w:w="490" w:type="pct"/>
            <w:tcBorders>
              <w:top w:val="nil"/>
              <w:left w:val="single" w:sz="4" w:space="0" w:color="000000"/>
              <w:bottom w:val="single" w:sz="4" w:space="0" w:color="000000"/>
              <w:right w:val="single" w:sz="4" w:space="0" w:color="000000"/>
            </w:tcBorders>
            <w:shd w:val="clear" w:color="000000" w:fill="FFFFFF"/>
            <w:noWrap/>
            <w:vAlign w:val="center"/>
            <w:hideMark/>
          </w:tcPr>
          <w:p w14:paraId="71FFF0B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lastRenderedPageBreak/>
              <w:t>3</w:t>
            </w:r>
          </w:p>
        </w:tc>
        <w:tc>
          <w:tcPr>
            <w:tcW w:w="772" w:type="pct"/>
            <w:tcBorders>
              <w:top w:val="nil"/>
              <w:left w:val="nil"/>
              <w:bottom w:val="single" w:sz="4" w:space="0" w:color="000000"/>
              <w:right w:val="single" w:sz="4" w:space="0" w:color="000000"/>
            </w:tcBorders>
            <w:shd w:val="clear" w:color="000000" w:fill="FFFFFF"/>
            <w:noWrap/>
            <w:vAlign w:val="center"/>
            <w:hideMark/>
          </w:tcPr>
          <w:p w14:paraId="02C30A0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20.00 </w:t>
            </w:r>
          </w:p>
        </w:tc>
        <w:tc>
          <w:tcPr>
            <w:tcW w:w="1849" w:type="pct"/>
            <w:tcBorders>
              <w:top w:val="nil"/>
              <w:left w:val="nil"/>
              <w:bottom w:val="single" w:sz="4" w:space="0" w:color="000000"/>
              <w:right w:val="single" w:sz="4" w:space="0" w:color="000000"/>
            </w:tcBorders>
            <w:shd w:val="clear" w:color="000000" w:fill="FFFFFF"/>
            <w:noWrap/>
            <w:vAlign w:val="center"/>
            <w:hideMark/>
          </w:tcPr>
          <w:p w14:paraId="0F63A61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0.751</w:t>
            </w:r>
          </w:p>
        </w:tc>
        <w:tc>
          <w:tcPr>
            <w:tcW w:w="975" w:type="pct"/>
            <w:tcBorders>
              <w:top w:val="nil"/>
              <w:left w:val="nil"/>
              <w:bottom w:val="single" w:sz="4" w:space="0" w:color="000000"/>
              <w:right w:val="single" w:sz="4" w:space="0" w:color="000000"/>
            </w:tcBorders>
            <w:shd w:val="clear" w:color="000000" w:fill="FFFFFF"/>
            <w:noWrap/>
            <w:vAlign w:val="center"/>
            <w:hideMark/>
          </w:tcPr>
          <w:p w14:paraId="7CE7EFD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15.03 </w:t>
            </w:r>
          </w:p>
        </w:tc>
        <w:tc>
          <w:tcPr>
            <w:tcW w:w="914" w:type="pct"/>
            <w:tcBorders>
              <w:top w:val="nil"/>
              <w:left w:val="nil"/>
              <w:bottom w:val="single" w:sz="4" w:space="0" w:color="000000"/>
              <w:right w:val="single" w:sz="4" w:space="0" w:color="000000"/>
            </w:tcBorders>
            <w:shd w:val="clear" w:color="000000" w:fill="FFFFFF"/>
            <w:noWrap/>
            <w:vAlign w:val="center"/>
            <w:hideMark/>
          </w:tcPr>
          <w:p w14:paraId="68E8E50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22.16 </w:t>
            </w:r>
          </w:p>
        </w:tc>
      </w:tr>
      <w:tr w:rsidR="00E6666C" w:rsidRPr="00E6666C" w14:paraId="59C1502E" w14:textId="77777777" w:rsidTr="00E6666C">
        <w:trPr>
          <w:trHeight w:val="312"/>
          <w:jc w:val="center"/>
        </w:trPr>
        <w:tc>
          <w:tcPr>
            <w:tcW w:w="490" w:type="pct"/>
            <w:tcBorders>
              <w:top w:val="nil"/>
              <w:left w:val="single" w:sz="4" w:space="0" w:color="000000"/>
              <w:bottom w:val="single" w:sz="4" w:space="0" w:color="000000"/>
              <w:right w:val="single" w:sz="4" w:space="0" w:color="000000"/>
            </w:tcBorders>
            <w:shd w:val="clear" w:color="000000" w:fill="FFFFFF"/>
            <w:noWrap/>
            <w:vAlign w:val="center"/>
            <w:hideMark/>
          </w:tcPr>
          <w:p w14:paraId="1E8B62C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4</w:t>
            </w:r>
          </w:p>
        </w:tc>
        <w:tc>
          <w:tcPr>
            <w:tcW w:w="772" w:type="pct"/>
            <w:tcBorders>
              <w:top w:val="nil"/>
              <w:left w:val="nil"/>
              <w:bottom w:val="single" w:sz="4" w:space="0" w:color="000000"/>
              <w:right w:val="single" w:sz="4" w:space="0" w:color="000000"/>
            </w:tcBorders>
            <w:shd w:val="clear" w:color="000000" w:fill="FFFFFF"/>
            <w:noWrap/>
            <w:vAlign w:val="center"/>
            <w:hideMark/>
          </w:tcPr>
          <w:p w14:paraId="6459148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25.00 </w:t>
            </w:r>
          </w:p>
        </w:tc>
        <w:tc>
          <w:tcPr>
            <w:tcW w:w="1849" w:type="pct"/>
            <w:tcBorders>
              <w:top w:val="nil"/>
              <w:left w:val="nil"/>
              <w:bottom w:val="single" w:sz="4" w:space="0" w:color="000000"/>
              <w:right w:val="single" w:sz="4" w:space="0" w:color="000000"/>
            </w:tcBorders>
            <w:shd w:val="clear" w:color="000000" w:fill="FFFFFF"/>
            <w:noWrap/>
            <w:vAlign w:val="center"/>
            <w:hideMark/>
          </w:tcPr>
          <w:p w14:paraId="48756DA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0.683</w:t>
            </w:r>
          </w:p>
        </w:tc>
        <w:tc>
          <w:tcPr>
            <w:tcW w:w="975" w:type="pct"/>
            <w:tcBorders>
              <w:top w:val="nil"/>
              <w:left w:val="nil"/>
              <w:bottom w:val="single" w:sz="4" w:space="0" w:color="000000"/>
              <w:right w:val="single" w:sz="4" w:space="0" w:color="000000"/>
            </w:tcBorders>
            <w:shd w:val="clear" w:color="000000" w:fill="FFFFFF"/>
            <w:noWrap/>
            <w:vAlign w:val="center"/>
            <w:hideMark/>
          </w:tcPr>
          <w:p w14:paraId="5BFBE3F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17.08 </w:t>
            </w:r>
          </w:p>
        </w:tc>
        <w:tc>
          <w:tcPr>
            <w:tcW w:w="914" w:type="pct"/>
            <w:tcBorders>
              <w:top w:val="nil"/>
              <w:left w:val="nil"/>
              <w:bottom w:val="single" w:sz="4" w:space="0" w:color="000000"/>
              <w:right w:val="single" w:sz="4" w:space="0" w:color="000000"/>
            </w:tcBorders>
            <w:shd w:val="clear" w:color="000000" w:fill="FFFFFF"/>
            <w:noWrap/>
            <w:vAlign w:val="center"/>
            <w:hideMark/>
          </w:tcPr>
          <w:p w14:paraId="6964C40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5.09 </w:t>
            </w:r>
          </w:p>
        </w:tc>
      </w:tr>
      <w:tr w:rsidR="00E6666C" w:rsidRPr="00E6666C" w14:paraId="563B2AB7" w14:textId="77777777" w:rsidTr="00E6666C">
        <w:trPr>
          <w:trHeight w:val="312"/>
          <w:jc w:val="center"/>
        </w:trPr>
        <w:tc>
          <w:tcPr>
            <w:tcW w:w="490" w:type="pct"/>
            <w:tcBorders>
              <w:top w:val="nil"/>
              <w:left w:val="single" w:sz="4" w:space="0" w:color="000000"/>
              <w:bottom w:val="single" w:sz="4" w:space="0" w:color="000000"/>
              <w:right w:val="single" w:sz="4" w:space="0" w:color="000000"/>
            </w:tcBorders>
            <w:shd w:val="clear" w:color="000000" w:fill="FFFFFF"/>
            <w:noWrap/>
            <w:vAlign w:val="center"/>
            <w:hideMark/>
          </w:tcPr>
          <w:p w14:paraId="682DD66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5</w:t>
            </w:r>
          </w:p>
        </w:tc>
        <w:tc>
          <w:tcPr>
            <w:tcW w:w="772" w:type="pct"/>
            <w:tcBorders>
              <w:top w:val="nil"/>
              <w:left w:val="nil"/>
              <w:bottom w:val="single" w:sz="4" w:space="0" w:color="000000"/>
              <w:right w:val="single" w:sz="4" w:space="0" w:color="000000"/>
            </w:tcBorders>
            <w:shd w:val="clear" w:color="000000" w:fill="FFFFFF"/>
            <w:noWrap/>
            <w:vAlign w:val="center"/>
            <w:hideMark/>
          </w:tcPr>
          <w:p w14:paraId="41879B5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5.00 </w:t>
            </w:r>
          </w:p>
        </w:tc>
        <w:tc>
          <w:tcPr>
            <w:tcW w:w="1849" w:type="pct"/>
            <w:tcBorders>
              <w:top w:val="nil"/>
              <w:left w:val="nil"/>
              <w:bottom w:val="single" w:sz="4" w:space="0" w:color="000000"/>
              <w:right w:val="single" w:sz="4" w:space="0" w:color="000000"/>
            </w:tcBorders>
            <w:shd w:val="clear" w:color="000000" w:fill="FFFFFF"/>
            <w:noWrap/>
            <w:vAlign w:val="center"/>
            <w:hideMark/>
          </w:tcPr>
          <w:p w14:paraId="0A5E411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0.621</w:t>
            </w:r>
          </w:p>
        </w:tc>
        <w:tc>
          <w:tcPr>
            <w:tcW w:w="975" w:type="pct"/>
            <w:tcBorders>
              <w:top w:val="nil"/>
              <w:left w:val="nil"/>
              <w:bottom w:val="single" w:sz="4" w:space="0" w:color="000000"/>
              <w:right w:val="single" w:sz="4" w:space="0" w:color="000000"/>
            </w:tcBorders>
            <w:shd w:val="clear" w:color="000000" w:fill="FFFFFF"/>
            <w:noWrap/>
            <w:vAlign w:val="center"/>
            <w:hideMark/>
          </w:tcPr>
          <w:p w14:paraId="5CF451A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3.10 </w:t>
            </w:r>
          </w:p>
        </w:tc>
        <w:tc>
          <w:tcPr>
            <w:tcW w:w="914" w:type="pct"/>
            <w:tcBorders>
              <w:top w:val="nil"/>
              <w:left w:val="nil"/>
              <w:bottom w:val="single" w:sz="4" w:space="0" w:color="000000"/>
              <w:right w:val="single" w:sz="4" w:space="0" w:color="000000"/>
            </w:tcBorders>
            <w:shd w:val="clear" w:color="000000" w:fill="FFFFFF"/>
            <w:noWrap/>
            <w:vAlign w:val="center"/>
            <w:hideMark/>
          </w:tcPr>
          <w:p w14:paraId="23ED008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1.98 </w:t>
            </w:r>
          </w:p>
        </w:tc>
      </w:tr>
      <w:tr w:rsidR="00E6666C" w:rsidRPr="00E6666C" w14:paraId="793FE3DE" w14:textId="77777777" w:rsidTr="00E6666C">
        <w:trPr>
          <w:trHeight w:val="312"/>
          <w:jc w:val="center"/>
        </w:trPr>
        <w:tc>
          <w:tcPr>
            <w:tcW w:w="4086" w:type="pct"/>
            <w:gridSpan w:val="4"/>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36E2943C"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"Payback Period (PBP) of Project C"</w:t>
            </w:r>
          </w:p>
        </w:tc>
        <w:tc>
          <w:tcPr>
            <w:tcW w:w="914" w:type="pct"/>
            <w:tcBorders>
              <w:top w:val="nil"/>
              <w:left w:val="nil"/>
              <w:bottom w:val="single" w:sz="4" w:space="0" w:color="000000"/>
              <w:right w:val="single" w:sz="4" w:space="0" w:color="000000"/>
            </w:tcBorders>
            <w:shd w:val="clear" w:color="000000" w:fill="FFFFFF"/>
            <w:vAlign w:val="center"/>
            <w:hideMark/>
          </w:tcPr>
          <w:p w14:paraId="2D5D8EE6"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Not Recovered</w:t>
            </w:r>
          </w:p>
        </w:tc>
      </w:tr>
    </w:tbl>
    <w:p w14:paraId="2315C572" w14:textId="77777777" w:rsidR="00E6666C" w:rsidRDefault="00E6666C" w:rsidP="005A5E32">
      <w:pPr>
        <w:jc w:val="center"/>
        <w:rPr>
          <w:rFonts w:ascii="Arial" w:eastAsia="Arial" w:hAnsi="Arial" w:cs="Arial"/>
        </w:rPr>
      </w:pPr>
    </w:p>
    <w:tbl>
      <w:tblPr>
        <w:tblW w:w="5000" w:type="pct"/>
        <w:jc w:val="center"/>
        <w:tblLook w:val="04A0" w:firstRow="1" w:lastRow="0" w:firstColumn="1" w:lastColumn="0" w:noHBand="0" w:noVBand="1"/>
      </w:tblPr>
      <w:tblGrid>
        <w:gridCol w:w="1067"/>
        <w:gridCol w:w="1679"/>
        <w:gridCol w:w="3712"/>
        <w:gridCol w:w="2561"/>
      </w:tblGrid>
      <w:tr w:rsidR="00E6666C" w:rsidRPr="00E6666C" w14:paraId="10602118" w14:textId="77777777" w:rsidTr="00E6666C">
        <w:trPr>
          <w:trHeight w:val="312"/>
          <w:jc w:val="center"/>
        </w:trPr>
        <w:tc>
          <w:tcPr>
            <w:tcW w:w="591" w:type="pct"/>
            <w:tcBorders>
              <w:top w:val="single" w:sz="4" w:space="0" w:color="000000"/>
              <w:left w:val="single" w:sz="4" w:space="0" w:color="000000"/>
              <w:bottom w:val="single" w:sz="4" w:space="0" w:color="000000"/>
              <w:right w:val="single" w:sz="4" w:space="0" w:color="000000"/>
            </w:tcBorders>
            <w:shd w:val="clear" w:color="000000" w:fill="4D93D9"/>
            <w:vAlign w:val="center"/>
            <w:hideMark/>
          </w:tcPr>
          <w:p w14:paraId="15445B64"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Year</w:t>
            </w:r>
          </w:p>
        </w:tc>
        <w:tc>
          <w:tcPr>
            <w:tcW w:w="931" w:type="pct"/>
            <w:tcBorders>
              <w:top w:val="single" w:sz="4" w:space="0" w:color="000000"/>
              <w:left w:val="nil"/>
              <w:bottom w:val="single" w:sz="4" w:space="0" w:color="000000"/>
              <w:right w:val="single" w:sz="4" w:space="0" w:color="000000"/>
            </w:tcBorders>
            <w:shd w:val="clear" w:color="000000" w:fill="4D93D9"/>
            <w:vAlign w:val="center"/>
            <w:hideMark/>
          </w:tcPr>
          <w:p w14:paraId="7A72CEE9"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Cashflow</w:t>
            </w:r>
          </w:p>
        </w:tc>
        <w:tc>
          <w:tcPr>
            <w:tcW w:w="2058" w:type="pct"/>
            <w:tcBorders>
              <w:top w:val="single" w:sz="4" w:space="0" w:color="000000"/>
              <w:left w:val="nil"/>
              <w:bottom w:val="single" w:sz="4" w:space="0" w:color="000000"/>
              <w:right w:val="single" w:sz="4" w:space="0" w:color="000000"/>
            </w:tcBorders>
            <w:shd w:val="clear" w:color="000000" w:fill="4D93D9"/>
            <w:vAlign w:val="center"/>
            <w:hideMark/>
          </w:tcPr>
          <w:p w14:paraId="2178BAB4"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"Discounting Factor @10%"</w:t>
            </w:r>
          </w:p>
        </w:tc>
        <w:tc>
          <w:tcPr>
            <w:tcW w:w="1421" w:type="pct"/>
            <w:tcBorders>
              <w:top w:val="single" w:sz="4" w:space="0" w:color="000000"/>
              <w:left w:val="nil"/>
              <w:bottom w:val="single" w:sz="4" w:space="0" w:color="000000"/>
              <w:right w:val="single" w:sz="4" w:space="0" w:color="000000"/>
            </w:tcBorders>
            <w:shd w:val="clear" w:color="000000" w:fill="4D93D9"/>
            <w:vAlign w:val="center"/>
            <w:hideMark/>
          </w:tcPr>
          <w:p w14:paraId="2F9F612F"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Present value</w:t>
            </w:r>
          </w:p>
        </w:tc>
      </w:tr>
      <w:tr w:rsidR="00E6666C" w:rsidRPr="00E6666C" w14:paraId="79EA52AA" w14:textId="77777777" w:rsidTr="00E6666C">
        <w:trPr>
          <w:trHeight w:val="312"/>
          <w:jc w:val="center"/>
        </w:trPr>
        <w:tc>
          <w:tcPr>
            <w:tcW w:w="591" w:type="pct"/>
            <w:tcBorders>
              <w:top w:val="nil"/>
              <w:left w:val="single" w:sz="4" w:space="0" w:color="000000"/>
              <w:bottom w:val="single" w:sz="4" w:space="0" w:color="000000"/>
              <w:right w:val="single" w:sz="4" w:space="0" w:color="000000"/>
            </w:tcBorders>
            <w:shd w:val="clear" w:color="000000" w:fill="FFFFFF"/>
            <w:noWrap/>
            <w:vAlign w:val="center"/>
            <w:hideMark/>
          </w:tcPr>
          <w:p w14:paraId="52E2411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w:t>
            </w:r>
          </w:p>
        </w:tc>
        <w:tc>
          <w:tcPr>
            <w:tcW w:w="931" w:type="pct"/>
            <w:tcBorders>
              <w:top w:val="nil"/>
              <w:left w:val="nil"/>
              <w:bottom w:val="single" w:sz="4" w:space="0" w:color="000000"/>
              <w:right w:val="single" w:sz="4" w:space="0" w:color="000000"/>
            </w:tcBorders>
            <w:shd w:val="clear" w:color="000000" w:fill="FFFFFF"/>
            <w:noWrap/>
            <w:vAlign w:val="center"/>
            <w:hideMark/>
          </w:tcPr>
          <w:p w14:paraId="4CE862C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2058" w:type="pct"/>
            <w:tcBorders>
              <w:top w:val="nil"/>
              <w:left w:val="nil"/>
              <w:bottom w:val="single" w:sz="4" w:space="0" w:color="000000"/>
              <w:right w:val="single" w:sz="4" w:space="0" w:color="000000"/>
            </w:tcBorders>
            <w:shd w:val="clear" w:color="000000" w:fill="FFFFFF"/>
            <w:noWrap/>
            <w:vAlign w:val="center"/>
            <w:hideMark/>
          </w:tcPr>
          <w:p w14:paraId="0A2342F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421" w:type="pct"/>
            <w:tcBorders>
              <w:top w:val="nil"/>
              <w:left w:val="nil"/>
              <w:bottom w:val="single" w:sz="4" w:space="0" w:color="000000"/>
              <w:right w:val="single" w:sz="4" w:space="0" w:color="000000"/>
            </w:tcBorders>
            <w:shd w:val="clear" w:color="000000" w:fill="FFFFFF"/>
            <w:noWrap/>
            <w:vAlign w:val="center"/>
            <w:hideMark/>
          </w:tcPr>
          <w:p w14:paraId="05CBE3AF"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r>
      <w:tr w:rsidR="00E6666C" w:rsidRPr="00E6666C" w14:paraId="14961F3B" w14:textId="77777777" w:rsidTr="00E6666C">
        <w:trPr>
          <w:trHeight w:val="312"/>
          <w:jc w:val="center"/>
        </w:trPr>
        <w:tc>
          <w:tcPr>
            <w:tcW w:w="591" w:type="pct"/>
            <w:tcBorders>
              <w:top w:val="nil"/>
              <w:left w:val="single" w:sz="4" w:space="0" w:color="000000"/>
              <w:bottom w:val="single" w:sz="4" w:space="0" w:color="000000"/>
              <w:right w:val="single" w:sz="4" w:space="0" w:color="000000"/>
            </w:tcBorders>
            <w:shd w:val="clear" w:color="000000" w:fill="FFFFFF"/>
            <w:noWrap/>
            <w:vAlign w:val="center"/>
            <w:hideMark/>
          </w:tcPr>
          <w:p w14:paraId="2D72366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w:t>
            </w:r>
          </w:p>
        </w:tc>
        <w:tc>
          <w:tcPr>
            <w:tcW w:w="931" w:type="pct"/>
            <w:tcBorders>
              <w:top w:val="nil"/>
              <w:left w:val="nil"/>
              <w:bottom w:val="single" w:sz="4" w:space="0" w:color="000000"/>
              <w:right w:val="single" w:sz="4" w:space="0" w:color="000000"/>
            </w:tcBorders>
            <w:shd w:val="clear" w:color="000000" w:fill="FFFFFF"/>
            <w:noWrap/>
            <w:vAlign w:val="center"/>
            <w:hideMark/>
          </w:tcPr>
          <w:p w14:paraId="119DBD9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5.00 </w:t>
            </w:r>
          </w:p>
        </w:tc>
        <w:tc>
          <w:tcPr>
            <w:tcW w:w="2058" w:type="pct"/>
            <w:tcBorders>
              <w:top w:val="nil"/>
              <w:left w:val="nil"/>
              <w:bottom w:val="single" w:sz="4" w:space="0" w:color="000000"/>
              <w:right w:val="single" w:sz="4" w:space="0" w:color="000000"/>
            </w:tcBorders>
            <w:shd w:val="clear" w:color="000000" w:fill="FFFFFF"/>
            <w:noWrap/>
            <w:vAlign w:val="center"/>
            <w:hideMark/>
          </w:tcPr>
          <w:p w14:paraId="6B7F688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0.909</w:t>
            </w:r>
          </w:p>
        </w:tc>
        <w:tc>
          <w:tcPr>
            <w:tcW w:w="1421" w:type="pct"/>
            <w:tcBorders>
              <w:top w:val="nil"/>
              <w:left w:val="nil"/>
              <w:bottom w:val="single" w:sz="4" w:space="0" w:color="000000"/>
              <w:right w:val="single" w:sz="4" w:space="0" w:color="000000"/>
            </w:tcBorders>
            <w:shd w:val="clear" w:color="000000" w:fill="FFFFFF"/>
            <w:noWrap/>
            <w:vAlign w:val="center"/>
            <w:hideMark/>
          </w:tcPr>
          <w:p w14:paraId="11DADE7D"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4.55 </w:t>
            </w:r>
          </w:p>
        </w:tc>
      </w:tr>
      <w:tr w:rsidR="00E6666C" w:rsidRPr="00E6666C" w14:paraId="000E1040" w14:textId="77777777" w:rsidTr="00E6666C">
        <w:trPr>
          <w:trHeight w:val="312"/>
          <w:jc w:val="center"/>
        </w:trPr>
        <w:tc>
          <w:tcPr>
            <w:tcW w:w="591" w:type="pct"/>
            <w:tcBorders>
              <w:top w:val="nil"/>
              <w:left w:val="single" w:sz="4" w:space="0" w:color="000000"/>
              <w:bottom w:val="single" w:sz="4" w:space="0" w:color="000000"/>
              <w:right w:val="single" w:sz="4" w:space="0" w:color="000000"/>
            </w:tcBorders>
            <w:shd w:val="clear" w:color="000000" w:fill="FFFFFF"/>
            <w:noWrap/>
            <w:vAlign w:val="center"/>
            <w:hideMark/>
          </w:tcPr>
          <w:p w14:paraId="5E38C84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2</w:t>
            </w:r>
          </w:p>
        </w:tc>
        <w:tc>
          <w:tcPr>
            <w:tcW w:w="931" w:type="pct"/>
            <w:tcBorders>
              <w:top w:val="nil"/>
              <w:left w:val="nil"/>
              <w:bottom w:val="single" w:sz="4" w:space="0" w:color="000000"/>
              <w:right w:val="single" w:sz="4" w:space="0" w:color="000000"/>
            </w:tcBorders>
            <w:shd w:val="clear" w:color="000000" w:fill="FFFFFF"/>
            <w:noWrap/>
            <w:vAlign w:val="center"/>
            <w:hideMark/>
          </w:tcPr>
          <w:p w14:paraId="43689F0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c>
          <w:tcPr>
            <w:tcW w:w="2058" w:type="pct"/>
            <w:tcBorders>
              <w:top w:val="nil"/>
              <w:left w:val="nil"/>
              <w:bottom w:val="single" w:sz="4" w:space="0" w:color="000000"/>
              <w:right w:val="single" w:sz="4" w:space="0" w:color="000000"/>
            </w:tcBorders>
            <w:shd w:val="clear" w:color="000000" w:fill="FFFFFF"/>
            <w:noWrap/>
            <w:vAlign w:val="center"/>
            <w:hideMark/>
          </w:tcPr>
          <w:p w14:paraId="1FA9380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0.826</w:t>
            </w:r>
          </w:p>
        </w:tc>
        <w:tc>
          <w:tcPr>
            <w:tcW w:w="1421" w:type="pct"/>
            <w:tcBorders>
              <w:top w:val="nil"/>
              <w:left w:val="nil"/>
              <w:bottom w:val="single" w:sz="4" w:space="0" w:color="000000"/>
              <w:right w:val="single" w:sz="4" w:space="0" w:color="000000"/>
            </w:tcBorders>
            <w:shd w:val="clear" w:color="000000" w:fill="FFFFFF"/>
            <w:noWrap/>
            <w:vAlign w:val="center"/>
            <w:hideMark/>
          </w:tcPr>
          <w:p w14:paraId="39D6C9F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8.26 </w:t>
            </w:r>
          </w:p>
        </w:tc>
      </w:tr>
      <w:tr w:rsidR="00E6666C" w:rsidRPr="00E6666C" w14:paraId="778A97E3" w14:textId="77777777" w:rsidTr="00E6666C">
        <w:trPr>
          <w:trHeight w:val="312"/>
          <w:jc w:val="center"/>
        </w:trPr>
        <w:tc>
          <w:tcPr>
            <w:tcW w:w="591" w:type="pct"/>
            <w:tcBorders>
              <w:top w:val="nil"/>
              <w:left w:val="single" w:sz="4" w:space="0" w:color="000000"/>
              <w:bottom w:val="single" w:sz="4" w:space="0" w:color="000000"/>
              <w:right w:val="single" w:sz="4" w:space="0" w:color="000000"/>
            </w:tcBorders>
            <w:shd w:val="clear" w:color="000000" w:fill="FFFFFF"/>
            <w:noWrap/>
            <w:vAlign w:val="center"/>
            <w:hideMark/>
          </w:tcPr>
          <w:p w14:paraId="369217B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3</w:t>
            </w:r>
          </w:p>
        </w:tc>
        <w:tc>
          <w:tcPr>
            <w:tcW w:w="931" w:type="pct"/>
            <w:tcBorders>
              <w:top w:val="nil"/>
              <w:left w:val="nil"/>
              <w:bottom w:val="single" w:sz="4" w:space="0" w:color="000000"/>
              <w:right w:val="single" w:sz="4" w:space="0" w:color="000000"/>
            </w:tcBorders>
            <w:shd w:val="clear" w:color="000000" w:fill="FFFFFF"/>
            <w:noWrap/>
            <w:vAlign w:val="center"/>
            <w:hideMark/>
          </w:tcPr>
          <w:p w14:paraId="1DA5286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20.00 </w:t>
            </w:r>
          </w:p>
        </w:tc>
        <w:tc>
          <w:tcPr>
            <w:tcW w:w="2058" w:type="pct"/>
            <w:tcBorders>
              <w:top w:val="nil"/>
              <w:left w:val="nil"/>
              <w:bottom w:val="single" w:sz="4" w:space="0" w:color="000000"/>
              <w:right w:val="single" w:sz="4" w:space="0" w:color="000000"/>
            </w:tcBorders>
            <w:shd w:val="clear" w:color="000000" w:fill="FFFFFF"/>
            <w:noWrap/>
            <w:vAlign w:val="center"/>
            <w:hideMark/>
          </w:tcPr>
          <w:p w14:paraId="640C5CE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0.751</w:t>
            </w:r>
          </w:p>
        </w:tc>
        <w:tc>
          <w:tcPr>
            <w:tcW w:w="1421" w:type="pct"/>
            <w:tcBorders>
              <w:top w:val="nil"/>
              <w:left w:val="nil"/>
              <w:bottom w:val="single" w:sz="4" w:space="0" w:color="000000"/>
              <w:right w:val="single" w:sz="4" w:space="0" w:color="000000"/>
            </w:tcBorders>
            <w:shd w:val="clear" w:color="000000" w:fill="FFFFFF"/>
            <w:noWrap/>
            <w:vAlign w:val="center"/>
            <w:hideMark/>
          </w:tcPr>
          <w:p w14:paraId="4955B19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15.03 </w:t>
            </w:r>
          </w:p>
        </w:tc>
      </w:tr>
      <w:tr w:rsidR="00E6666C" w:rsidRPr="00E6666C" w14:paraId="719ECE7B" w14:textId="77777777" w:rsidTr="00E6666C">
        <w:trPr>
          <w:trHeight w:val="312"/>
          <w:jc w:val="center"/>
        </w:trPr>
        <w:tc>
          <w:tcPr>
            <w:tcW w:w="591" w:type="pct"/>
            <w:tcBorders>
              <w:top w:val="nil"/>
              <w:left w:val="single" w:sz="4" w:space="0" w:color="000000"/>
              <w:bottom w:val="single" w:sz="4" w:space="0" w:color="000000"/>
              <w:right w:val="single" w:sz="4" w:space="0" w:color="000000"/>
            </w:tcBorders>
            <w:shd w:val="clear" w:color="000000" w:fill="FFFFFF"/>
            <w:noWrap/>
            <w:vAlign w:val="center"/>
            <w:hideMark/>
          </w:tcPr>
          <w:p w14:paraId="1AF1DBD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4</w:t>
            </w:r>
          </w:p>
        </w:tc>
        <w:tc>
          <w:tcPr>
            <w:tcW w:w="931" w:type="pct"/>
            <w:tcBorders>
              <w:top w:val="nil"/>
              <w:left w:val="nil"/>
              <w:bottom w:val="single" w:sz="4" w:space="0" w:color="000000"/>
              <w:right w:val="single" w:sz="4" w:space="0" w:color="000000"/>
            </w:tcBorders>
            <w:shd w:val="clear" w:color="000000" w:fill="FFFFFF"/>
            <w:noWrap/>
            <w:vAlign w:val="center"/>
            <w:hideMark/>
          </w:tcPr>
          <w:p w14:paraId="4B8BDB6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25.00 </w:t>
            </w:r>
          </w:p>
        </w:tc>
        <w:tc>
          <w:tcPr>
            <w:tcW w:w="2058" w:type="pct"/>
            <w:tcBorders>
              <w:top w:val="nil"/>
              <w:left w:val="nil"/>
              <w:bottom w:val="single" w:sz="4" w:space="0" w:color="000000"/>
              <w:right w:val="single" w:sz="4" w:space="0" w:color="000000"/>
            </w:tcBorders>
            <w:shd w:val="clear" w:color="000000" w:fill="FFFFFF"/>
            <w:noWrap/>
            <w:vAlign w:val="center"/>
            <w:hideMark/>
          </w:tcPr>
          <w:p w14:paraId="4F6C50B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0.683</w:t>
            </w:r>
          </w:p>
        </w:tc>
        <w:tc>
          <w:tcPr>
            <w:tcW w:w="1421" w:type="pct"/>
            <w:tcBorders>
              <w:top w:val="nil"/>
              <w:left w:val="nil"/>
              <w:bottom w:val="single" w:sz="4" w:space="0" w:color="000000"/>
              <w:right w:val="single" w:sz="4" w:space="0" w:color="000000"/>
            </w:tcBorders>
            <w:shd w:val="clear" w:color="000000" w:fill="FFFFFF"/>
            <w:noWrap/>
            <w:vAlign w:val="center"/>
            <w:hideMark/>
          </w:tcPr>
          <w:p w14:paraId="0961379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17.08 </w:t>
            </w:r>
          </w:p>
        </w:tc>
      </w:tr>
      <w:tr w:rsidR="00E6666C" w:rsidRPr="00E6666C" w14:paraId="2F68112C" w14:textId="77777777" w:rsidTr="00E6666C">
        <w:trPr>
          <w:trHeight w:val="312"/>
          <w:jc w:val="center"/>
        </w:trPr>
        <w:tc>
          <w:tcPr>
            <w:tcW w:w="591" w:type="pct"/>
            <w:tcBorders>
              <w:top w:val="nil"/>
              <w:left w:val="single" w:sz="4" w:space="0" w:color="000000"/>
              <w:bottom w:val="single" w:sz="4" w:space="0" w:color="000000"/>
              <w:right w:val="single" w:sz="4" w:space="0" w:color="000000"/>
            </w:tcBorders>
            <w:shd w:val="clear" w:color="000000" w:fill="FFFFFF"/>
            <w:noWrap/>
            <w:vAlign w:val="center"/>
            <w:hideMark/>
          </w:tcPr>
          <w:p w14:paraId="7464461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5</w:t>
            </w:r>
          </w:p>
        </w:tc>
        <w:tc>
          <w:tcPr>
            <w:tcW w:w="931" w:type="pct"/>
            <w:tcBorders>
              <w:top w:val="nil"/>
              <w:left w:val="nil"/>
              <w:bottom w:val="single" w:sz="4" w:space="0" w:color="000000"/>
              <w:right w:val="single" w:sz="4" w:space="0" w:color="000000"/>
            </w:tcBorders>
            <w:shd w:val="clear" w:color="000000" w:fill="FFFFFF"/>
            <w:noWrap/>
            <w:vAlign w:val="center"/>
            <w:hideMark/>
          </w:tcPr>
          <w:p w14:paraId="45E1882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5.00 </w:t>
            </w:r>
          </w:p>
        </w:tc>
        <w:tc>
          <w:tcPr>
            <w:tcW w:w="2058" w:type="pct"/>
            <w:tcBorders>
              <w:top w:val="nil"/>
              <w:left w:val="nil"/>
              <w:bottom w:val="single" w:sz="4" w:space="0" w:color="000000"/>
              <w:right w:val="single" w:sz="4" w:space="0" w:color="000000"/>
            </w:tcBorders>
            <w:shd w:val="clear" w:color="000000" w:fill="FFFFFF"/>
            <w:noWrap/>
            <w:vAlign w:val="center"/>
            <w:hideMark/>
          </w:tcPr>
          <w:p w14:paraId="7830B84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0.621</w:t>
            </w:r>
          </w:p>
        </w:tc>
        <w:tc>
          <w:tcPr>
            <w:tcW w:w="1421" w:type="pct"/>
            <w:tcBorders>
              <w:top w:val="nil"/>
              <w:left w:val="nil"/>
              <w:bottom w:val="single" w:sz="4" w:space="0" w:color="000000"/>
              <w:right w:val="single" w:sz="4" w:space="0" w:color="000000"/>
            </w:tcBorders>
            <w:shd w:val="clear" w:color="000000" w:fill="FFFFFF"/>
            <w:noWrap/>
            <w:vAlign w:val="center"/>
            <w:hideMark/>
          </w:tcPr>
          <w:p w14:paraId="001B390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3.10 </w:t>
            </w:r>
          </w:p>
        </w:tc>
      </w:tr>
      <w:tr w:rsidR="00E6666C" w:rsidRPr="00E6666C" w14:paraId="21223A6F" w14:textId="77777777" w:rsidTr="00E6666C">
        <w:trPr>
          <w:trHeight w:val="312"/>
          <w:jc w:val="center"/>
        </w:trPr>
        <w:tc>
          <w:tcPr>
            <w:tcW w:w="3579" w:type="pct"/>
            <w:gridSpan w:val="3"/>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466784F9"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"Internal Rate of Return (IRR) of Project C"</w:t>
            </w:r>
          </w:p>
        </w:tc>
        <w:tc>
          <w:tcPr>
            <w:tcW w:w="1421" w:type="pct"/>
            <w:tcBorders>
              <w:top w:val="nil"/>
              <w:left w:val="nil"/>
              <w:bottom w:val="single" w:sz="4" w:space="0" w:color="000000"/>
              <w:right w:val="single" w:sz="4" w:space="0" w:color="000000"/>
            </w:tcBorders>
            <w:shd w:val="clear" w:color="000000" w:fill="FFFFFF"/>
            <w:vAlign w:val="center"/>
            <w:hideMark/>
          </w:tcPr>
          <w:p w14:paraId="0C653155"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8.59%</w:t>
            </w:r>
          </w:p>
        </w:tc>
      </w:tr>
      <w:tr w:rsidR="00E6666C" w:rsidRPr="00E6666C" w14:paraId="766364E6" w14:textId="77777777" w:rsidTr="00E6666C">
        <w:trPr>
          <w:trHeight w:val="312"/>
          <w:jc w:val="center"/>
        </w:trPr>
        <w:tc>
          <w:tcPr>
            <w:tcW w:w="591" w:type="pct"/>
            <w:tcBorders>
              <w:top w:val="nil"/>
              <w:left w:val="nil"/>
              <w:bottom w:val="nil"/>
              <w:right w:val="nil"/>
            </w:tcBorders>
            <w:shd w:val="clear" w:color="000000" w:fill="FFFFFF"/>
            <w:noWrap/>
            <w:vAlign w:val="center"/>
            <w:hideMark/>
          </w:tcPr>
          <w:p w14:paraId="392882C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931" w:type="pct"/>
            <w:tcBorders>
              <w:top w:val="nil"/>
              <w:left w:val="nil"/>
              <w:bottom w:val="nil"/>
              <w:right w:val="nil"/>
            </w:tcBorders>
            <w:shd w:val="clear" w:color="000000" w:fill="FFFFFF"/>
            <w:noWrap/>
            <w:vAlign w:val="center"/>
            <w:hideMark/>
          </w:tcPr>
          <w:p w14:paraId="622DC696"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2058" w:type="pct"/>
            <w:tcBorders>
              <w:top w:val="nil"/>
              <w:left w:val="nil"/>
              <w:bottom w:val="nil"/>
              <w:right w:val="nil"/>
            </w:tcBorders>
            <w:shd w:val="clear" w:color="000000" w:fill="FFFFFF"/>
            <w:noWrap/>
            <w:vAlign w:val="center"/>
            <w:hideMark/>
          </w:tcPr>
          <w:p w14:paraId="11284E7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421" w:type="pct"/>
            <w:tcBorders>
              <w:top w:val="nil"/>
              <w:left w:val="nil"/>
              <w:bottom w:val="nil"/>
              <w:right w:val="nil"/>
            </w:tcBorders>
            <w:shd w:val="clear" w:color="000000" w:fill="FFFFFF"/>
            <w:noWrap/>
            <w:vAlign w:val="center"/>
            <w:hideMark/>
          </w:tcPr>
          <w:p w14:paraId="5257339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7CBFA711" w14:textId="77777777" w:rsidTr="00E6666C">
        <w:trPr>
          <w:trHeight w:val="312"/>
          <w:jc w:val="center"/>
        </w:trPr>
        <w:tc>
          <w:tcPr>
            <w:tcW w:w="591" w:type="pct"/>
            <w:tcBorders>
              <w:top w:val="nil"/>
              <w:left w:val="nil"/>
              <w:bottom w:val="nil"/>
              <w:right w:val="nil"/>
            </w:tcBorders>
            <w:shd w:val="clear" w:color="000000" w:fill="FFFFFF"/>
            <w:noWrap/>
            <w:vAlign w:val="center"/>
            <w:hideMark/>
          </w:tcPr>
          <w:p w14:paraId="5E22B01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931" w:type="pct"/>
            <w:tcBorders>
              <w:top w:val="nil"/>
              <w:left w:val="nil"/>
              <w:bottom w:val="nil"/>
              <w:right w:val="nil"/>
            </w:tcBorders>
            <w:shd w:val="clear" w:color="000000" w:fill="FFFFFF"/>
            <w:noWrap/>
            <w:vAlign w:val="center"/>
            <w:hideMark/>
          </w:tcPr>
          <w:p w14:paraId="73CAF30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2058" w:type="pct"/>
            <w:tcBorders>
              <w:top w:val="nil"/>
              <w:left w:val="nil"/>
              <w:bottom w:val="nil"/>
              <w:right w:val="nil"/>
            </w:tcBorders>
            <w:shd w:val="clear" w:color="000000" w:fill="FFFFFF"/>
            <w:noWrap/>
            <w:vAlign w:val="center"/>
            <w:hideMark/>
          </w:tcPr>
          <w:p w14:paraId="4BD9E04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c>
          <w:tcPr>
            <w:tcW w:w="1421" w:type="pct"/>
            <w:tcBorders>
              <w:top w:val="nil"/>
              <w:left w:val="nil"/>
              <w:bottom w:val="nil"/>
              <w:right w:val="nil"/>
            </w:tcBorders>
            <w:shd w:val="clear" w:color="000000" w:fill="FFFFFF"/>
            <w:noWrap/>
            <w:vAlign w:val="center"/>
            <w:hideMark/>
          </w:tcPr>
          <w:p w14:paraId="007DFF81"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w:t>
            </w:r>
          </w:p>
        </w:tc>
      </w:tr>
      <w:tr w:rsidR="00E6666C" w:rsidRPr="00E6666C" w14:paraId="09332250" w14:textId="77777777" w:rsidTr="00E6666C">
        <w:trPr>
          <w:trHeight w:val="312"/>
          <w:jc w:val="center"/>
        </w:trPr>
        <w:tc>
          <w:tcPr>
            <w:tcW w:w="591" w:type="pct"/>
            <w:tcBorders>
              <w:top w:val="single" w:sz="4" w:space="0" w:color="auto"/>
              <w:left w:val="single" w:sz="4" w:space="0" w:color="auto"/>
              <w:bottom w:val="single" w:sz="4" w:space="0" w:color="auto"/>
              <w:right w:val="single" w:sz="4" w:space="0" w:color="auto"/>
            </w:tcBorders>
            <w:shd w:val="clear" w:color="000000" w:fill="4D93D9"/>
            <w:vAlign w:val="center"/>
            <w:hideMark/>
          </w:tcPr>
          <w:p w14:paraId="5F7921A6"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"Year"</w:t>
            </w:r>
          </w:p>
        </w:tc>
        <w:tc>
          <w:tcPr>
            <w:tcW w:w="931" w:type="pct"/>
            <w:tcBorders>
              <w:top w:val="single" w:sz="4" w:space="0" w:color="auto"/>
              <w:left w:val="nil"/>
              <w:bottom w:val="single" w:sz="4" w:space="0" w:color="auto"/>
              <w:right w:val="single" w:sz="4" w:space="0" w:color="auto"/>
            </w:tcBorders>
            <w:shd w:val="clear" w:color="000000" w:fill="4D93D9"/>
            <w:vAlign w:val="center"/>
            <w:hideMark/>
          </w:tcPr>
          <w:p w14:paraId="450CC707"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"Cash Flow"</w:t>
            </w:r>
          </w:p>
        </w:tc>
        <w:tc>
          <w:tcPr>
            <w:tcW w:w="2058" w:type="pct"/>
            <w:tcBorders>
              <w:top w:val="single" w:sz="4" w:space="0" w:color="auto"/>
              <w:left w:val="nil"/>
              <w:bottom w:val="single" w:sz="4" w:space="0" w:color="auto"/>
              <w:right w:val="single" w:sz="4" w:space="0" w:color="auto"/>
            </w:tcBorders>
            <w:shd w:val="clear" w:color="000000" w:fill="4D93D9"/>
            <w:vAlign w:val="center"/>
            <w:hideMark/>
          </w:tcPr>
          <w:p w14:paraId="163C3CB3"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 xml:space="preserve">"Depreciation" </w:t>
            </w:r>
          </w:p>
        </w:tc>
        <w:tc>
          <w:tcPr>
            <w:tcW w:w="1421" w:type="pct"/>
            <w:tcBorders>
              <w:top w:val="single" w:sz="4" w:space="0" w:color="auto"/>
              <w:left w:val="nil"/>
              <w:bottom w:val="single" w:sz="4" w:space="0" w:color="auto"/>
              <w:right w:val="single" w:sz="4" w:space="0" w:color="auto"/>
            </w:tcBorders>
            <w:shd w:val="clear" w:color="000000" w:fill="4D93D9"/>
            <w:vAlign w:val="center"/>
            <w:hideMark/>
          </w:tcPr>
          <w:p w14:paraId="1FF15ABF"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"Present Value"</w:t>
            </w:r>
          </w:p>
        </w:tc>
      </w:tr>
      <w:tr w:rsidR="00E6666C" w:rsidRPr="00E6666C" w14:paraId="695F57B4" w14:textId="77777777" w:rsidTr="00E6666C">
        <w:trPr>
          <w:trHeight w:val="312"/>
          <w:jc w:val="center"/>
        </w:trPr>
        <w:tc>
          <w:tcPr>
            <w:tcW w:w="591" w:type="pct"/>
            <w:tcBorders>
              <w:top w:val="nil"/>
              <w:left w:val="single" w:sz="4" w:space="0" w:color="auto"/>
              <w:bottom w:val="single" w:sz="4" w:space="0" w:color="auto"/>
              <w:right w:val="single" w:sz="4" w:space="0" w:color="auto"/>
            </w:tcBorders>
            <w:shd w:val="clear" w:color="000000" w:fill="FFFFFF"/>
            <w:noWrap/>
            <w:vAlign w:val="center"/>
            <w:hideMark/>
          </w:tcPr>
          <w:p w14:paraId="09B8112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w:t>
            </w:r>
          </w:p>
        </w:tc>
        <w:tc>
          <w:tcPr>
            <w:tcW w:w="931" w:type="pct"/>
            <w:tcBorders>
              <w:top w:val="nil"/>
              <w:left w:val="nil"/>
              <w:bottom w:val="single" w:sz="4" w:space="0" w:color="auto"/>
              <w:right w:val="single" w:sz="4" w:space="0" w:color="auto"/>
            </w:tcBorders>
            <w:shd w:val="clear" w:color="000000" w:fill="FFFFFF"/>
            <w:noWrap/>
            <w:vAlign w:val="center"/>
            <w:hideMark/>
          </w:tcPr>
          <w:p w14:paraId="7576166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c>
          <w:tcPr>
            <w:tcW w:w="2058" w:type="pct"/>
            <w:tcBorders>
              <w:top w:val="nil"/>
              <w:left w:val="nil"/>
              <w:bottom w:val="single" w:sz="4" w:space="0" w:color="auto"/>
              <w:right w:val="single" w:sz="4" w:space="0" w:color="auto"/>
            </w:tcBorders>
            <w:shd w:val="clear" w:color="000000" w:fill="FFFFFF"/>
            <w:noWrap/>
            <w:vAlign w:val="center"/>
            <w:hideMark/>
          </w:tcPr>
          <w:p w14:paraId="4E471B9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0.00</w:t>
            </w:r>
          </w:p>
        </w:tc>
        <w:tc>
          <w:tcPr>
            <w:tcW w:w="1421" w:type="pct"/>
            <w:tcBorders>
              <w:top w:val="nil"/>
              <w:left w:val="nil"/>
              <w:bottom w:val="single" w:sz="4" w:space="0" w:color="auto"/>
              <w:right w:val="single" w:sz="4" w:space="0" w:color="auto"/>
            </w:tcBorders>
            <w:shd w:val="clear" w:color="000000" w:fill="FFFFFF"/>
            <w:noWrap/>
            <w:vAlign w:val="center"/>
            <w:hideMark/>
          </w:tcPr>
          <w:p w14:paraId="18FAD23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50.00 </w:t>
            </w:r>
          </w:p>
        </w:tc>
      </w:tr>
      <w:tr w:rsidR="00E6666C" w:rsidRPr="00E6666C" w14:paraId="175153EC" w14:textId="77777777" w:rsidTr="00E6666C">
        <w:trPr>
          <w:trHeight w:val="312"/>
          <w:jc w:val="center"/>
        </w:trPr>
        <w:tc>
          <w:tcPr>
            <w:tcW w:w="591" w:type="pct"/>
            <w:tcBorders>
              <w:top w:val="nil"/>
              <w:left w:val="single" w:sz="4" w:space="0" w:color="auto"/>
              <w:bottom w:val="single" w:sz="4" w:space="0" w:color="auto"/>
              <w:right w:val="single" w:sz="4" w:space="0" w:color="auto"/>
            </w:tcBorders>
            <w:shd w:val="clear" w:color="000000" w:fill="FFFFFF"/>
            <w:noWrap/>
            <w:vAlign w:val="center"/>
            <w:hideMark/>
          </w:tcPr>
          <w:p w14:paraId="09B4786C"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w:t>
            </w:r>
          </w:p>
        </w:tc>
        <w:tc>
          <w:tcPr>
            <w:tcW w:w="931" w:type="pct"/>
            <w:tcBorders>
              <w:top w:val="nil"/>
              <w:left w:val="nil"/>
              <w:bottom w:val="single" w:sz="4" w:space="0" w:color="auto"/>
              <w:right w:val="single" w:sz="4" w:space="0" w:color="auto"/>
            </w:tcBorders>
            <w:shd w:val="clear" w:color="000000" w:fill="FFFFFF"/>
            <w:noWrap/>
            <w:vAlign w:val="center"/>
            <w:hideMark/>
          </w:tcPr>
          <w:p w14:paraId="6B7C8D84"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5.00 </w:t>
            </w:r>
          </w:p>
        </w:tc>
        <w:tc>
          <w:tcPr>
            <w:tcW w:w="2058" w:type="pct"/>
            <w:tcBorders>
              <w:top w:val="nil"/>
              <w:left w:val="nil"/>
              <w:bottom w:val="single" w:sz="4" w:space="0" w:color="auto"/>
              <w:right w:val="single" w:sz="4" w:space="0" w:color="auto"/>
            </w:tcBorders>
            <w:shd w:val="clear" w:color="000000" w:fill="FFFFFF"/>
            <w:noWrap/>
            <w:vAlign w:val="center"/>
            <w:hideMark/>
          </w:tcPr>
          <w:p w14:paraId="244DE95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421" w:type="pct"/>
            <w:tcBorders>
              <w:top w:val="nil"/>
              <w:left w:val="nil"/>
              <w:bottom w:val="single" w:sz="4" w:space="0" w:color="auto"/>
              <w:right w:val="single" w:sz="4" w:space="0" w:color="auto"/>
            </w:tcBorders>
            <w:shd w:val="clear" w:color="000000" w:fill="FFFFFF"/>
            <w:noWrap/>
            <w:vAlign w:val="center"/>
            <w:hideMark/>
          </w:tcPr>
          <w:p w14:paraId="5BFD166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 </w:t>
            </w:r>
          </w:p>
        </w:tc>
      </w:tr>
      <w:tr w:rsidR="00E6666C" w:rsidRPr="00E6666C" w14:paraId="204D904C" w14:textId="77777777" w:rsidTr="00E6666C">
        <w:trPr>
          <w:trHeight w:val="312"/>
          <w:jc w:val="center"/>
        </w:trPr>
        <w:tc>
          <w:tcPr>
            <w:tcW w:w="591" w:type="pct"/>
            <w:tcBorders>
              <w:top w:val="nil"/>
              <w:left w:val="single" w:sz="4" w:space="0" w:color="auto"/>
              <w:bottom w:val="single" w:sz="4" w:space="0" w:color="auto"/>
              <w:right w:val="single" w:sz="4" w:space="0" w:color="auto"/>
            </w:tcBorders>
            <w:shd w:val="clear" w:color="000000" w:fill="FFFFFF"/>
            <w:noWrap/>
            <w:vAlign w:val="center"/>
            <w:hideMark/>
          </w:tcPr>
          <w:p w14:paraId="260D4AC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2</w:t>
            </w:r>
          </w:p>
        </w:tc>
        <w:tc>
          <w:tcPr>
            <w:tcW w:w="931" w:type="pct"/>
            <w:tcBorders>
              <w:top w:val="nil"/>
              <w:left w:val="nil"/>
              <w:bottom w:val="single" w:sz="4" w:space="0" w:color="auto"/>
              <w:right w:val="single" w:sz="4" w:space="0" w:color="auto"/>
            </w:tcBorders>
            <w:shd w:val="clear" w:color="000000" w:fill="FFFFFF"/>
            <w:noWrap/>
            <w:vAlign w:val="center"/>
            <w:hideMark/>
          </w:tcPr>
          <w:p w14:paraId="66FB213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c>
          <w:tcPr>
            <w:tcW w:w="2058" w:type="pct"/>
            <w:tcBorders>
              <w:top w:val="nil"/>
              <w:left w:val="nil"/>
              <w:bottom w:val="single" w:sz="4" w:space="0" w:color="auto"/>
              <w:right w:val="single" w:sz="4" w:space="0" w:color="auto"/>
            </w:tcBorders>
            <w:shd w:val="clear" w:color="000000" w:fill="FFFFFF"/>
            <w:noWrap/>
            <w:vAlign w:val="center"/>
            <w:hideMark/>
          </w:tcPr>
          <w:p w14:paraId="4B362228"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421" w:type="pct"/>
            <w:tcBorders>
              <w:top w:val="nil"/>
              <w:left w:val="nil"/>
              <w:bottom w:val="single" w:sz="4" w:space="0" w:color="auto"/>
              <w:right w:val="single" w:sz="4" w:space="0" w:color="auto"/>
            </w:tcBorders>
            <w:shd w:val="clear" w:color="000000" w:fill="FFFFFF"/>
            <w:noWrap/>
            <w:vAlign w:val="center"/>
            <w:hideMark/>
          </w:tcPr>
          <w:p w14:paraId="76C936F0"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   </w:t>
            </w:r>
          </w:p>
        </w:tc>
      </w:tr>
      <w:tr w:rsidR="00E6666C" w:rsidRPr="00E6666C" w14:paraId="7853C450" w14:textId="77777777" w:rsidTr="00E6666C">
        <w:trPr>
          <w:trHeight w:val="312"/>
          <w:jc w:val="center"/>
        </w:trPr>
        <w:tc>
          <w:tcPr>
            <w:tcW w:w="591" w:type="pct"/>
            <w:tcBorders>
              <w:top w:val="nil"/>
              <w:left w:val="single" w:sz="4" w:space="0" w:color="auto"/>
              <w:bottom w:val="single" w:sz="4" w:space="0" w:color="auto"/>
              <w:right w:val="single" w:sz="4" w:space="0" w:color="auto"/>
            </w:tcBorders>
            <w:shd w:val="clear" w:color="000000" w:fill="FFFFFF"/>
            <w:noWrap/>
            <w:vAlign w:val="center"/>
            <w:hideMark/>
          </w:tcPr>
          <w:p w14:paraId="5AA577DE"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3</w:t>
            </w:r>
          </w:p>
        </w:tc>
        <w:tc>
          <w:tcPr>
            <w:tcW w:w="931" w:type="pct"/>
            <w:tcBorders>
              <w:top w:val="nil"/>
              <w:left w:val="nil"/>
              <w:bottom w:val="single" w:sz="4" w:space="0" w:color="auto"/>
              <w:right w:val="single" w:sz="4" w:space="0" w:color="auto"/>
            </w:tcBorders>
            <w:shd w:val="clear" w:color="000000" w:fill="FFFFFF"/>
            <w:noWrap/>
            <w:vAlign w:val="center"/>
            <w:hideMark/>
          </w:tcPr>
          <w:p w14:paraId="18F46BB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20.00 </w:t>
            </w:r>
          </w:p>
        </w:tc>
        <w:tc>
          <w:tcPr>
            <w:tcW w:w="2058" w:type="pct"/>
            <w:tcBorders>
              <w:top w:val="nil"/>
              <w:left w:val="nil"/>
              <w:bottom w:val="single" w:sz="4" w:space="0" w:color="auto"/>
              <w:right w:val="single" w:sz="4" w:space="0" w:color="auto"/>
            </w:tcBorders>
            <w:shd w:val="clear" w:color="000000" w:fill="FFFFFF"/>
            <w:noWrap/>
            <w:vAlign w:val="center"/>
            <w:hideMark/>
          </w:tcPr>
          <w:p w14:paraId="73D462A7"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421" w:type="pct"/>
            <w:tcBorders>
              <w:top w:val="nil"/>
              <w:left w:val="nil"/>
              <w:bottom w:val="single" w:sz="4" w:space="0" w:color="auto"/>
              <w:right w:val="single" w:sz="4" w:space="0" w:color="auto"/>
            </w:tcBorders>
            <w:shd w:val="clear" w:color="000000" w:fill="FFFFFF"/>
            <w:noWrap/>
            <w:vAlign w:val="center"/>
            <w:hideMark/>
          </w:tcPr>
          <w:p w14:paraId="35D99C7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10.00 </w:t>
            </w:r>
          </w:p>
        </w:tc>
      </w:tr>
      <w:tr w:rsidR="00E6666C" w:rsidRPr="00E6666C" w14:paraId="31744551" w14:textId="77777777" w:rsidTr="00E6666C">
        <w:trPr>
          <w:trHeight w:val="312"/>
          <w:jc w:val="center"/>
        </w:trPr>
        <w:tc>
          <w:tcPr>
            <w:tcW w:w="591" w:type="pct"/>
            <w:tcBorders>
              <w:top w:val="nil"/>
              <w:left w:val="single" w:sz="4" w:space="0" w:color="auto"/>
              <w:bottom w:val="single" w:sz="4" w:space="0" w:color="auto"/>
              <w:right w:val="single" w:sz="4" w:space="0" w:color="auto"/>
            </w:tcBorders>
            <w:shd w:val="clear" w:color="000000" w:fill="FFFFFF"/>
            <w:noWrap/>
            <w:vAlign w:val="center"/>
            <w:hideMark/>
          </w:tcPr>
          <w:p w14:paraId="409F176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4</w:t>
            </w:r>
          </w:p>
        </w:tc>
        <w:tc>
          <w:tcPr>
            <w:tcW w:w="931" w:type="pct"/>
            <w:tcBorders>
              <w:top w:val="nil"/>
              <w:left w:val="nil"/>
              <w:bottom w:val="single" w:sz="4" w:space="0" w:color="auto"/>
              <w:right w:val="single" w:sz="4" w:space="0" w:color="auto"/>
            </w:tcBorders>
            <w:shd w:val="clear" w:color="000000" w:fill="FFFFFF"/>
            <w:noWrap/>
            <w:vAlign w:val="center"/>
            <w:hideMark/>
          </w:tcPr>
          <w:p w14:paraId="32521C25"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25.00 </w:t>
            </w:r>
          </w:p>
        </w:tc>
        <w:tc>
          <w:tcPr>
            <w:tcW w:w="2058" w:type="pct"/>
            <w:tcBorders>
              <w:top w:val="nil"/>
              <w:left w:val="nil"/>
              <w:bottom w:val="single" w:sz="4" w:space="0" w:color="auto"/>
              <w:right w:val="single" w:sz="4" w:space="0" w:color="auto"/>
            </w:tcBorders>
            <w:shd w:val="clear" w:color="000000" w:fill="FFFFFF"/>
            <w:noWrap/>
            <w:vAlign w:val="center"/>
            <w:hideMark/>
          </w:tcPr>
          <w:p w14:paraId="130E7ABB"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421" w:type="pct"/>
            <w:tcBorders>
              <w:top w:val="nil"/>
              <w:left w:val="nil"/>
              <w:bottom w:val="single" w:sz="4" w:space="0" w:color="auto"/>
              <w:right w:val="single" w:sz="4" w:space="0" w:color="auto"/>
            </w:tcBorders>
            <w:shd w:val="clear" w:color="000000" w:fill="FFFFFF"/>
            <w:noWrap/>
            <w:vAlign w:val="center"/>
            <w:hideMark/>
          </w:tcPr>
          <w:p w14:paraId="2D870FC2"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15.00 </w:t>
            </w:r>
          </w:p>
        </w:tc>
      </w:tr>
      <w:tr w:rsidR="00E6666C" w:rsidRPr="00E6666C" w14:paraId="5388FE75" w14:textId="77777777" w:rsidTr="00E6666C">
        <w:trPr>
          <w:trHeight w:val="312"/>
          <w:jc w:val="center"/>
        </w:trPr>
        <w:tc>
          <w:tcPr>
            <w:tcW w:w="591" w:type="pct"/>
            <w:tcBorders>
              <w:top w:val="nil"/>
              <w:left w:val="single" w:sz="4" w:space="0" w:color="auto"/>
              <w:bottom w:val="single" w:sz="4" w:space="0" w:color="auto"/>
              <w:right w:val="single" w:sz="4" w:space="0" w:color="auto"/>
            </w:tcBorders>
            <w:shd w:val="clear" w:color="000000" w:fill="FFFFFF"/>
            <w:noWrap/>
            <w:vAlign w:val="center"/>
            <w:hideMark/>
          </w:tcPr>
          <w:p w14:paraId="549404F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5</w:t>
            </w:r>
          </w:p>
        </w:tc>
        <w:tc>
          <w:tcPr>
            <w:tcW w:w="931" w:type="pct"/>
            <w:tcBorders>
              <w:top w:val="nil"/>
              <w:left w:val="nil"/>
              <w:bottom w:val="single" w:sz="4" w:space="0" w:color="auto"/>
              <w:right w:val="single" w:sz="4" w:space="0" w:color="auto"/>
            </w:tcBorders>
            <w:shd w:val="clear" w:color="000000" w:fill="FFFFFF"/>
            <w:noWrap/>
            <w:vAlign w:val="center"/>
            <w:hideMark/>
          </w:tcPr>
          <w:p w14:paraId="4D8FA869"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         5.00 </w:t>
            </w:r>
          </w:p>
        </w:tc>
        <w:tc>
          <w:tcPr>
            <w:tcW w:w="2058" w:type="pct"/>
            <w:tcBorders>
              <w:top w:val="nil"/>
              <w:left w:val="nil"/>
              <w:bottom w:val="single" w:sz="4" w:space="0" w:color="auto"/>
              <w:right w:val="single" w:sz="4" w:space="0" w:color="auto"/>
            </w:tcBorders>
            <w:shd w:val="clear" w:color="000000" w:fill="FFFFFF"/>
            <w:noWrap/>
            <w:vAlign w:val="center"/>
            <w:hideMark/>
          </w:tcPr>
          <w:p w14:paraId="1B3CA9D3"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10.00</w:t>
            </w:r>
          </w:p>
        </w:tc>
        <w:tc>
          <w:tcPr>
            <w:tcW w:w="1421" w:type="pct"/>
            <w:tcBorders>
              <w:top w:val="nil"/>
              <w:left w:val="nil"/>
              <w:bottom w:val="single" w:sz="4" w:space="0" w:color="auto"/>
              <w:right w:val="single" w:sz="4" w:space="0" w:color="auto"/>
            </w:tcBorders>
            <w:shd w:val="clear" w:color="000000" w:fill="FFFFFF"/>
            <w:noWrap/>
            <w:vAlign w:val="center"/>
            <w:hideMark/>
          </w:tcPr>
          <w:p w14:paraId="014BC9CA" w14:textId="77777777" w:rsidR="00E6666C" w:rsidRPr="00E6666C" w:rsidRDefault="00E6666C" w:rsidP="00E6666C">
            <w:pPr>
              <w:spacing w:before="0" w:after="0" w:line="240" w:lineRule="auto"/>
              <w:jc w:val="center"/>
              <w:rPr>
                <w:rFonts w:ascii="Arial" w:hAnsi="Arial" w:cs="Arial"/>
                <w:color w:val="000000"/>
                <w:lang w:val="en-IN"/>
              </w:rPr>
            </w:pPr>
            <w:r w:rsidRPr="00E6666C">
              <w:rPr>
                <w:rFonts w:ascii="Arial" w:hAnsi="Arial" w:cs="Arial"/>
                <w:color w:val="000000"/>
                <w:lang w:val="en-IN"/>
              </w:rPr>
              <w:t xml:space="preserve">-£                    5.00 </w:t>
            </w:r>
          </w:p>
        </w:tc>
      </w:tr>
      <w:tr w:rsidR="00E6666C" w:rsidRPr="00E6666C" w14:paraId="269C5EBC" w14:textId="77777777" w:rsidTr="00E6666C">
        <w:trPr>
          <w:trHeight w:val="312"/>
          <w:jc w:val="center"/>
        </w:trPr>
        <w:tc>
          <w:tcPr>
            <w:tcW w:w="3579" w:type="pct"/>
            <w:gridSpan w:val="3"/>
            <w:tcBorders>
              <w:top w:val="single" w:sz="4" w:space="0" w:color="auto"/>
              <w:left w:val="single" w:sz="4" w:space="0" w:color="auto"/>
              <w:bottom w:val="single" w:sz="4" w:space="0" w:color="auto"/>
              <w:right w:val="single" w:sz="4" w:space="0" w:color="000000"/>
            </w:tcBorders>
            <w:shd w:val="clear" w:color="000000" w:fill="FFFFFF"/>
            <w:vAlign w:val="center"/>
            <w:hideMark/>
          </w:tcPr>
          <w:p w14:paraId="4996B18F"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 xml:space="preserve">"Accounting Rate of Return (ARR) of Project C" </w:t>
            </w:r>
          </w:p>
        </w:tc>
        <w:tc>
          <w:tcPr>
            <w:tcW w:w="1421" w:type="pct"/>
            <w:tcBorders>
              <w:top w:val="nil"/>
              <w:left w:val="nil"/>
              <w:bottom w:val="single" w:sz="4" w:space="0" w:color="auto"/>
              <w:right w:val="single" w:sz="4" w:space="0" w:color="auto"/>
            </w:tcBorders>
            <w:shd w:val="clear" w:color="000000" w:fill="FFFFFF"/>
            <w:vAlign w:val="center"/>
            <w:hideMark/>
          </w:tcPr>
          <w:p w14:paraId="3526A533" w14:textId="77777777" w:rsidR="00E6666C" w:rsidRPr="00E6666C" w:rsidRDefault="00E6666C" w:rsidP="00E6666C">
            <w:pPr>
              <w:spacing w:before="0" w:after="0" w:line="240" w:lineRule="auto"/>
              <w:jc w:val="center"/>
              <w:rPr>
                <w:rFonts w:ascii="Arial" w:hAnsi="Arial" w:cs="Arial"/>
                <w:b/>
                <w:bCs/>
                <w:color w:val="000000"/>
                <w:lang w:val="en-IN"/>
              </w:rPr>
            </w:pPr>
            <w:r w:rsidRPr="00E6666C">
              <w:rPr>
                <w:rFonts w:ascii="Arial" w:hAnsi="Arial" w:cs="Arial"/>
                <w:b/>
                <w:bCs/>
                <w:color w:val="000000"/>
                <w:lang w:val="en-IN"/>
              </w:rPr>
              <w:t>6.00%</w:t>
            </w:r>
          </w:p>
        </w:tc>
      </w:tr>
    </w:tbl>
    <w:p w14:paraId="57EB1788" w14:textId="77777777" w:rsidR="00094755" w:rsidRDefault="005A5E32" w:rsidP="005A5E32">
      <w:pPr>
        <w:jc w:val="center"/>
        <w:rPr>
          <w:rFonts w:ascii="Arial" w:eastAsia="Arial" w:hAnsi="Arial" w:cs="Arial"/>
        </w:rPr>
      </w:pPr>
      <w:r>
        <w:rPr>
          <w:rFonts w:ascii="Arial" w:eastAsia="Arial" w:hAnsi="Arial" w:cs="Arial"/>
        </w:rPr>
        <w:t>(Source: MS-Excel)</w:t>
      </w:r>
    </w:p>
    <w:sectPr w:rsidR="00094755" w:rsidSect="005A5E32">
      <w:footerReference w:type="default" r:id="rId52"/>
      <w:footerReference w:type="first" r:id="rId5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2742B" w14:textId="77777777" w:rsidR="009B1CB7" w:rsidRDefault="009B1CB7">
      <w:pPr>
        <w:spacing w:before="0" w:after="0" w:line="240" w:lineRule="auto"/>
      </w:pPr>
      <w:r>
        <w:separator/>
      </w:r>
    </w:p>
  </w:endnote>
  <w:endnote w:type="continuationSeparator" w:id="0">
    <w:p w14:paraId="1104A0CA" w14:textId="77777777" w:rsidR="009B1CB7" w:rsidRDefault="009B1CB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embedRegular r:id="rId1" w:fontKey="{5C771F15-3887-420D-818E-2A8B84BAA28D}"/>
  </w:font>
  <w:font w:name="Calibri">
    <w:panose1 w:val="020F0502020204030204"/>
    <w:charset w:val="00"/>
    <w:family w:val="swiss"/>
    <w:pitch w:val="variable"/>
    <w:sig w:usb0="E4002EFF" w:usb1="C200247B" w:usb2="00000009" w:usb3="00000000" w:csb0="000001FF" w:csb1="00000000"/>
    <w:embedRegular r:id="rId2" w:fontKey="{0A37EF55-9D45-4371-BE95-3B0CBACC8EBF}"/>
  </w:font>
  <w:font w:name="Cambria">
    <w:panose1 w:val="02040503050406030204"/>
    <w:charset w:val="00"/>
    <w:family w:val="roman"/>
    <w:pitch w:val="variable"/>
    <w:sig w:usb0="E00006FF" w:usb1="420024FF" w:usb2="02000000" w:usb3="00000000" w:csb0="0000019F" w:csb1="00000000"/>
    <w:embedRegular r:id="rId3" w:fontKey="{7C74B7E6-2321-436B-8DEC-C41474EF8FF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02C53D" w14:textId="77777777" w:rsidR="00094755" w:rsidRDefault="009B1CB7">
    <w:pPr>
      <w:jc w:val="right"/>
      <w:rPr>
        <w:rFonts w:ascii="Arial" w:eastAsia="Arial" w:hAnsi="Arial" w:cs="Arial"/>
        <w:sz w:val="20"/>
        <w:szCs w:val="20"/>
      </w:rPr>
    </w:pPr>
    <w:r>
      <w:rPr>
        <w:rFonts w:ascii="Arial" w:eastAsia="Arial" w:hAnsi="Arial" w:cs="Arial"/>
        <w:sz w:val="20"/>
        <w:szCs w:val="20"/>
      </w:rPr>
      <w:fldChar w:fldCharType="begin"/>
    </w:r>
    <w:r>
      <w:rPr>
        <w:rFonts w:ascii="Arial" w:eastAsia="Arial" w:hAnsi="Arial" w:cs="Arial"/>
        <w:sz w:val="20"/>
        <w:szCs w:val="20"/>
      </w:rPr>
      <w:instrText>PAGE</w:instrText>
    </w:r>
    <w:r>
      <w:rPr>
        <w:rFonts w:ascii="Arial" w:eastAsia="Arial" w:hAnsi="Arial" w:cs="Arial"/>
        <w:sz w:val="20"/>
        <w:szCs w:val="20"/>
      </w:rPr>
      <w:fldChar w:fldCharType="separate"/>
    </w:r>
    <w:r w:rsidR="005A5E32">
      <w:rPr>
        <w:rFonts w:ascii="Arial" w:eastAsia="Arial" w:hAnsi="Arial" w:cs="Arial"/>
        <w:noProof/>
        <w:sz w:val="20"/>
        <w:szCs w:val="20"/>
      </w:rPr>
      <w:t>1</w:t>
    </w:r>
    <w:r>
      <w:rPr>
        <w:rFonts w:ascii="Arial" w:eastAsia="Arial" w:hAnsi="Arial" w:cs="Arial"/>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2E900" w14:textId="77777777" w:rsidR="00094755" w:rsidRDefault="0009475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4F474C" w14:textId="77777777" w:rsidR="009B1CB7" w:rsidRDefault="009B1CB7">
      <w:pPr>
        <w:spacing w:before="0" w:after="0" w:line="240" w:lineRule="auto"/>
      </w:pPr>
      <w:r>
        <w:separator/>
      </w:r>
    </w:p>
  </w:footnote>
  <w:footnote w:type="continuationSeparator" w:id="0">
    <w:p w14:paraId="3EC33D02" w14:textId="77777777" w:rsidR="009B1CB7" w:rsidRDefault="009B1CB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755"/>
    <w:rsid w:val="00094755"/>
    <w:rsid w:val="000F5576"/>
    <w:rsid w:val="0025172A"/>
    <w:rsid w:val="00272F6F"/>
    <w:rsid w:val="003B0FFF"/>
    <w:rsid w:val="00416567"/>
    <w:rsid w:val="00503C5C"/>
    <w:rsid w:val="005A5E32"/>
    <w:rsid w:val="005C4E15"/>
    <w:rsid w:val="006373CB"/>
    <w:rsid w:val="006F7D65"/>
    <w:rsid w:val="00731149"/>
    <w:rsid w:val="0075642B"/>
    <w:rsid w:val="00765223"/>
    <w:rsid w:val="009A2A09"/>
    <w:rsid w:val="009B1CB7"/>
    <w:rsid w:val="009C3A0C"/>
    <w:rsid w:val="00AD6ABE"/>
    <w:rsid w:val="00AE030E"/>
    <w:rsid w:val="00B5651F"/>
    <w:rsid w:val="00B65E43"/>
    <w:rsid w:val="00B96BB9"/>
    <w:rsid w:val="00C3588E"/>
    <w:rsid w:val="00D74404"/>
    <w:rsid w:val="00E6666C"/>
    <w:rsid w:val="00EF4918"/>
    <w:rsid w:val="00F30A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705B9"/>
  <w15:docId w15:val="{27078B6E-97D1-4060-AE0D-14FC9C37D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Arial" w:eastAsia="Arial" w:hAnsi="Arial" w:cs="Arial"/>
      <w:b/>
      <w:bCs/>
      <w:sz w:val="28"/>
      <w:szCs w:val="28"/>
    </w:rPr>
  </w:style>
  <w:style w:type="paragraph" w:styleId="Heading2">
    <w:name w:val="heading 2"/>
    <w:basedOn w:val="Normal"/>
    <w:next w:val="Normal"/>
    <w:uiPriority w:val="9"/>
    <w:unhideWhenUsed/>
    <w:qFormat/>
    <w:pPr>
      <w:keepNext/>
      <w:keepLines/>
      <w:outlineLvl w:val="1"/>
    </w:pPr>
    <w:rPr>
      <w:rFonts w:ascii="Arial" w:eastAsia="Arial" w:hAnsi="Arial" w:cs="Arial"/>
      <w:b/>
      <w:bCs/>
      <w:sz w:val="26"/>
      <w:szCs w:val="26"/>
    </w:rPr>
  </w:style>
  <w:style w:type="paragraph" w:styleId="Heading3">
    <w:name w:val="heading 3"/>
    <w:basedOn w:val="Normal"/>
    <w:next w:val="Normal"/>
    <w:uiPriority w:val="9"/>
    <w:unhideWhenUsed/>
    <w:qFormat/>
    <w:pPr>
      <w:keepNext/>
      <w:keepLines/>
      <w:outlineLvl w:val="2"/>
    </w:pPr>
    <w:rPr>
      <w:rFonts w:ascii="Arial" w:eastAsia="Arial" w:hAnsi="Arial" w:cs="Arial"/>
      <w:b/>
      <w:bCs/>
    </w:rPr>
  </w:style>
  <w:style w:type="paragraph" w:styleId="Heading4">
    <w:name w:val="heading 4"/>
    <w:basedOn w:val="Normal"/>
    <w:next w:val="Normal"/>
    <w:uiPriority w:val="9"/>
    <w:semiHidden/>
    <w:unhideWhenUsed/>
    <w:qFormat/>
    <w:pPr>
      <w:keepNext/>
      <w:keepLines/>
      <w:outlineLvl w:val="3"/>
    </w:pPr>
    <w:rPr>
      <w:b/>
      <w:bCs/>
    </w:rPr>
  </w:style>
  <w:style w:type="paragraph" w:styleId="Heading5">
    <w:name w:val="heading 5"/>
    <w:basedOn w:val="Normal"/>
    <w:next w:val="Normal"/>
    <w:uiPriority w:val="9"/>
    <w:semiHidden/>
    <w:unhideWhenUsed/>
    <w:qFormat/>
    <w:pPr>
      <w:keepNext/>
      <w:keepLines/>
      <w:jc w:val="center"/>
      <w:outlineLvl w:val="4"/>
    </w:pPr>
    <w:rPr>
      <w:b/>
      <w:bCs/>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character" w:styleId="Hyperlink">
    <w:name w:val="Hyperlink"/>
    <w:basedOn w:val="DefaultParagraphFont"/>
    <w:uiPriority w:val="99"/>
    <w:semiHidden/>
    <w:unhideWhenUsed/>
    <w:rsid w:val="005A5E32"/>
    <w:rPr>
      <w:color w:val="467886"/>
      <w:u w:val="single"/>
    </w:rPr>
  </w:style>
  <w:style w:type="character" w:styleId="FollowedHyperlink">
    <w:name w:val="FollowedHyperlink"/>
    <w:basedOn w:val="DefaultParagraphFont"/>
    <w:uiPriority w:val="99"/>
    <w:semiHidden/>
    <w:unhideWhenUsed/>
    <w:rsid w:val="005A5E32"/>
    <w:rPr>
      <w:color w:val="96607D"/>
      <w:u w:val="single"/>
    </w:rPr>
  </w:style>
  <w:style w:type="paragraph" w:customStyle="1" w:styleId="msonormal0">
    <w:name w:val="msonormal"/>
    <w:basedOn w:val="Normal"/>
    <w:rsid w:val="005A5E32"/>
    <w:pPr>
      <w:spacing w:before="100" w:beforeAutospacing="1" w:after="100" w:afterAutospacing="1" w:line="240" w:lineRule="auto"/>
      <w:jc w:val="left"/>
    </w:pPr>
    <w:rPr>
      <w:lang w:val="en-IN"/>
    </w:rPr>
  </w:style>
  <w:style w:type="paragraph" w:customStyle="1" w:styleId="xl65">
    <w:name w:val="xl65"/>
    <w:basedOn w:val="Normal"/>
    <w:rsid w:val="005A5E32"/>
    <w:pPr>
      <w:shd w:val="clear" w:color="000000" w:fill="FFFFFF"/>
      <w:spacing w:before="100" w:beforeAutospacing="1" w:after="100" w:afterAutospacing="1" w:line="240" w:lineRule="auto"/>
      <w:jc w:val="left"/>
    </w:pPr>
    <w:rPr>
      <w:lang w:val="en-IN"/>
    </w:rPr>
  </w:style>
  <w:style w:type="paragraph" w:customStyle="1" w:styleId="xl66">
    <w:name w:val="xl66"/>
    <w:basedOn w:val="Normal"/>
    <w:rsid w:val="005A5E32"/>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pPr>
    <w:rPr>
      <w:rFonts w:ascii="Arial" w:hAnsi="Arial" w:cs="Arial"/>
      <w:b/>
      <w:bCs/>
      <w:lang w:val="en-IN"/>
    </w:rPr>
  </w:style>
  <w:style w:type="paragraph" w:customStyle="1" w:styleId="xl67">
    <w:name w:val="xl67"/>
    <w:basedOn w:val="Normal"/>
    <w:rsid w:val="005A5E32"/>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rFonts w:ascii="Arial" w:hAnsi="Arial" w:cs="Arial"/>
      <w:lang w:val="en-IN"/>
    </w:rPr>
  </w:style>
  <w:style w:type="paragraph" w:customStyle="1" w:styleId="xl68">
    <w:name w:val="xl68"/>
    <w:basedOn w:val="Normal"/>
    <w:rsid w:val="005A5E32"/>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Arial" w:hAnsi="Arial" w:cs="Arial"/>
      <w:b/>
      <w:bCs/>
      <w:lang w:val="en-IN"/>
    </w:rPr>
  </w:style>
  <w:style w:type="paragraph" w:customStyle="1" w:styleId="xl69">
    <w:name w:val="xl69"/>
    <w:basedOn w:val="Normal"/>
    <w:rsid w:val="005A5E32"/>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rFonts w:ascii="Arial" w:hAnsi="Arial" w:cs="Arial"/>
      <w:lang w:val="en-IN"/>
    </w:rPr>
  </w:style>
  <w:style w:type="paragraph" w:customStyle="1" w:styleId="xl70">
    <w:name w:val="xl70"/>
    <w:basedOn w:val="Normal"/>
    <w:rsid w:val="005A5E32"/>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rFonts w:ascii="Arial" w:hAnsi="Arial" w:cs="Arial"/>
      <w:b/>
      <w:bCs/>
      <w:lang w:val="en-IN"/>
    </w:rPr>
  </w:style>
  <w:style w:type="paragraph" w:customStyle="1" w:styleId="xl71">
    <w:name w:val="xl71"/>
    <w:basedOn w:val="Normal"/>
    <w:rsid w:val="005A5E32"/>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rFonts w:ascii="Arial" w:hAnsi="Arial" w:cs="Arial"/>
      <w:b/>
      <w:bCs/>
      <w:lang w:val="en-IN"/>
    </w:rPr>
  </w:style>
  <w:style w:type="paragraph" w:customStyle="1" w:styleId="xl72">
    <w:name w:val="xl72"/>
    <w:basedOn w:val="Normal"/>
    <w:rsid w:val="005A5E32"/>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pPr>
    <w:rPr>
      <w:rFonts w:ascii="Arial" w:hAnsi="Arial" w:cs="Arial"/>
      <w:lang w:val="en-IN"/>
    </w:rPr>
  </w:style>
  <w:style w:type="paragraph" w:customStyle="1" w:styleId="xl73">
    <w:name w:val="xl73"/>
    <w:basedOn w:val="Normal"/>
    <w:rsid w:val="005A5E32"/>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rFonts w:ascii="Arial" w:hAnsi="Arial" w:cs="Arial"/>
      <w:b/>
      <w:bCs/>
      <w:lang w:val="en-IN"/>
    </w:rPr>
  </w:style>
  <w:style w:type="paragraph" w:customStyle="1" w:styleId="xl74">
    <w:name w:val="xl74"/>
    <w:basedOn w:val="Normal"/>
    <w:rsid w:val="005A5E32"/>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rFonts w:ascii="Arial" w:hAnsi="Arial" w:cs="Arial"/>
      <w:b/>
      <w:bCs/>
      <w:lang w:val="en-IN"/>
    </w:rPr>
  </w:style>
  <w:style w:type="paragraph" w:customStyle="1" w:styleId="xl75">
    <w:name w:val="xl75"/>
    <w:basedOn w:val="Normal"/>
    <w:rsid w:val="005A5E32"/>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Arial" w:hAnsi="Arial" w:cs="Arial"/>
      <w:b/>
      <w:bCs/>
      <w:lang w:val="en-IN"/>
    </w:rPr>
  </w:style>
  <w:style w:type="paragraph" w:customStyle="1" w:styleId="xl76">
    <w:name w:val="xl76"/>
    <w:basedOn w:val="Normal"/>
    <w:rsid w:val="005A5E32"/>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lang w:val="en-IN"/>
    </w:rPr>
  </w:style>
  <w:style w:type="paragraph" w:customStyle="1" w:styleId="xl77">
    <w:name w:val="xl77"/>
    <w:basedOn w:val="Normal"/>
    <w:rsid w:val="0075642B"/>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rFonts w:ascii="Arial" w:hAnsi="Arial" w:cs="Arial"/>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atlantis-press.com/article/126013059.pdf" TargetMode="External"/><Relationship Id="rId26" Type="http://schemas.openxmlformats.org/officeDocument/2006/relationships/hyperlink" Target="https://www.mdpi.com/2076-3387/15/6/212" TargetMode="External"/><Relationship Id="rId39" Type="http://schemas.openxmlformats.org/officeDocument/2006/relationships/hyperlink" Target="https://ir.tesla.com/_flysystem/s3/sec/000162828025003063/tsla-20241231-gen.pdf" TargetMode="External"/><Relationship Id="rId21" Type="http://schemas.openxmlformats.org/officeDocument/2006/relationships/hyperlink" Target="https://www.extension.iastate.edu/agdm/wholefarm/html/c5-242.html" TargetMode="External"/><Relationship Id="rId34" Type="http://schemas.openxmlformats.org/officeDocument/2006/relationships/hyperlink" Target="https://pdfs.semanticscholar.org/35f5/923a958b071288b38d4e960e8268477ec19a.pdf" TargetMode="External"/><Relationship Id="rId42" Type="http://schemas.openxmlformats.org/officeDocument/2006/relationships/hyperlink" Target="https://www.researchgate.net/profile/Stanley-Umeorah-2/publication/382457979_Artificial_Intelligence_AI_in_working_capital_management_Practices_and_future_potential/links/669f0c88cb7fbf12a4692898/Artificial-Intelligence-AI-in-working-capital-management-Practices-and-future-potential.pdf" TargetMode="External"/><Relationship Id="rId47" Type="http://schemas.openxmlformats.org/officeDocument/2006/relationships/image" Target="media/image14.png"/><Relationship Id="rId50" Type="http://schemas.openxmlformats.org/officeDocument/2006/relationships/image" Target="media/image17.png"/><Relationship Id="rId55"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sk.sagepub.com/cases/skpromo/0yPt3W/corporate-income-tax-reporting-tesla-electrifying-ride-profitability" TargetMode="External"/><Relationship Id="rId29" Type="http://schemas.openxmlformats.org/officeDocument/2006/relationships/hyperlink" Target="https://www.researchgate.net/profile/Chandra-Sekhar-Oleti/publication/395305772_Real-time_payment_systems_transforming_global_economic_infrastructure_through_digital_financial_innovation/links/68db38a002d6215259b70ef6/Real-time-payment-systems-transforming-global-economic-infrastructure-through-digital-financial-innovation.pdf" TargetMode="External"/><Relationship Id="rId11" Type="http://schemas.openxmlformats.org/officeDocument/2006/relationships/image" Target="media/image6.png"/><Relationship Id="rId24" Type="http://schemas.openxmlformats.org/officeDocument/2006/relationships/hyperlink" Target="https://www.taylorfrancis.com/books/mono/10.4324/9781003687986/corporate-short-term-financing-europe-julia-koralun-bere%C5%BAnicka" TargetMode="External"/><Relationship Id="rId32" Type="http://schemas.openxmlformats.org/officeDocument/2006/relationships/hyperlink" Target="https://www.academia.edu/download/124198295/Accelerating_the_Future_Tesla_Market_Strategy_and_Growth_Opportunities.pdf" TargetMode="External"/><Relationship Id="rId37" Type="http://schemas.openxmlformats.org/officeDocument/2006/relationships/hyperlink" Target="https://ir.tesla.com/_flysystem/s3/sec/000095017023001409/tsla-20221231-gen.pdf" TargetMode="External"/><Relationship Id="rId40" Type="http://schemas.openxmlformats.org/officeDocument/2006/relationships/hyperlink" Target="https://www.tesla.com/" TargetMode="External"/><Relationship Id="rId45" Type="http://schemas.openxmlformats.org/officeDocument/2006/relationships/image" Target="media/image12.png"/><Relationship Id="rId53"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image" Target="media/image5.png"/><Relationship Id="rId19" Type="http://schemas.openxmlformats.org/officeDocument/2006/relationships/hyperlink" Target="https://books.google.com/books?hl=en&amp;lr=&amp;id=mTHMEQAAQBAJ&amp;oi=fnd&amp;pg=PT10&amp;dq=Overview+of++Accounting+Rate+of+Return+(ARR)&amp;ots=i5dhB09hgA&amp;sig=JRLa-FNb9nXrO9NGWZrpPPlR60o" TargetMode="External"/><Relationship Id="rId31" Type="http://schemas.openxmlformats.org/officeDocument/2006/relationships/hyperlink" Target="https://www.researchgate.net/profile/Subharun-Pal/publication/375415923_Advancements_in_AI-Enhanced_Just-In-Time_Inventory_Elevating_Demand_Forecasting_Accuracy/links/65495776b1398a779d695871/Advancements-in-AI-Enhanced-Just-In-Time-Inventory-Elevating-Demand-Forecasting-Accuracy.pdf" TargetMode="External"/><Relationship Id="rId44" Type="http://schemas.openxmlformats.org/officeDocument/2006/relationships/image" Target="media/image11.png"/><Relationship Id="rId52"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emerald.com/imr/article-pdf/39/4/785/1230206/imr-01-2021-0024.pdf" TargetMode="External"/><Relationship Id="rId27" Type="http://schemas.openxmlformats.org/officeDocument/2006/relationships/hyperlink" Target="https://papers.ssrn.com/sol3/Delivery.cfm?abstractid=4708490" TargetMode="External"/><Relationship Id="rId30" Type="http://schemas.openxmlformats.org/officeDocument/2006/relationships/hyperlink" Target="https://dj.univ-danubius.ro/index.php/AUDOE/article/download/1937/2234" TargetMode="External"/><Relationship Id="rId35" Type="http://schemas.openxmlformats.org/officeDocument/2006/relationships/hyperlink" Target="https://ir.tesla.com/_flysystem/s3/sec/000156459021004599/tsla-10k_20201231-gen.pdf" TargetMode="External"/><Relationship Id="rId43" Type="http://schemas.openxmlformats.org/officeDocument/2006/relationships/image" Target="media/image10.png"/><Relationship Id="rId48" Type="http://schemas.openxmlformats.org/officeDocument/2006/relationships/image" Target="media/image15.png"/><Relationship Id="rId8" Type="http://schemas.openxmlformats.org/officeDocument/2006/relationships/image" Target="media/image3.png"/><Relationship Id="rId51" Type="http://schemas.openxmlformats.org/officeDocument/2006/relationships/image" Target="media/image18.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hyperlink" Target="https://ojs.apspublisher.com/index.php/jaet/article/download/398/307" TargetMode="External"/><Relationship Id="rId25" Type="http://schemas.openxmlformats.org/officeDocument/2006/relationships/hyperlink" Target="https://financetp.fa.ru/jour/issue/download/94/103" TargetMode="External"/><Relationship Id="rId33" Type="http://schemas.openxmlformats.org/officeDocument/2006/relationships/hyperlink" Target="https://osuva.uwasa.fi/bitstreams/a19484c5-c406-4434-9b09-30d3b8bab5af/download" TargetMode="External"/><Relationship Id="rId38" Type="http://schemas.openxmlformats.org/officeDocument/2006/relationships/hyperlink" Target="https://ir.tesla.com/_flysystem/s3/sec/000162828024002390/tsla-20231231-gen.pdf" TargetMode="External"/><Relationship Id="rId46" Type="http://schemas.openxmlformats.org/officeDocument/2006/relationships/image" Target="media/image13.png"/><Relationship Id="rId20" Type="http://schemas.openxmlformats.org/officeDocument/2006/relationships/hyperlink" Target="https://www.extension.iastate.edu/agdm/wholefarm/html/c5-96.html" TargetMode="External"/><Relationship Id="rId41" Type="http://schemas.openxmlformats.org/officeDocument/2006/relationships/hyperlink" Target="https://www.researchgate.net/profile/Maitrey-Bhagat-2/publication/380294708_Corporate_Governance_And_Financial_Performance_The_Role_Of_Management_Practices_In_Enhancing_Shareholders'_Value/links/6634679f35243041535b3c8a/Corporate-Governance-And-Financial-Performance-The-Role-Of-Management-Practices-In-Enhancing-Shareholders-Value.pdf" TargetMode="External"/><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sciencedirect.com/science/article/pii/S2352484725005712" TargetMode="External"/><Relationship Id="rId23" Type="http://schemas.openxmlformats.org/officeDocument/2006/relationships/hyperlink" Target="https://www.emerald.com/ajeb/article-pdf/8/1/67/9525823/ajeb-03-2022-0033.pdf" TargetMode="External"/><Relationship Id="rId28" Type="http://schemas.openxmlformats.org/officeDocument/2006/relationships/hyperlink" Target="https://www.elgaronline.com/abstract/book/9781035341405/chapter4.xml" TargetMode="External"/><Relationship Id="rId36" Type="http://schemas.openxmlformats.org/officeDocument/2006/relationships/hyperlink" Target="https://ir.tesla.com/_flysystem/s3/sec/000095017021002253/tsla-20210930-gen.pdf" TargetMode="External"/><Relationship Id="rId49" Type="http://schemas.openxmlformats.org/officeDocument/2006/relationships/image" Target="media/image1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47</Pages>
  <Words>10445</Words>
  <Characters>59539</Characters>
  <Application>Microsoft Office Word</Application>
  <DocSecurity>0</DocSecurity>
  <Lines>496</Lines>
  <Paragraphs>139</Paragraphs>
  <ScaleCrop>false</ScaleCrop>
  <Company/>
  <LinksUpToDate>false</LinksUpToDate>
  <CharactersWithSpaces>69845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YAXESH</dc:creator>
  <cp:lastModifiedBy>Yaxesh Ghoghari</cp:lastModifiedBy>
  <cp:revision>2</cp:revision>
  <dcterms:created xsi:type="dcterms:W3CDTF">2026-04-24T11:33:00Z</dcterms:created>
  <dcterms:modified xsi:type="dcterms:W3CDTF">2026-04-24T11:33:00Z</dcterms:modified>
</cp:coreProperties>
</file>