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96521" w14:textId="6C0122CA" w:rsidR="0031181C" w:rsidRDefault="00BF2D76">
      <w:pPr>
        <w:pStyle w:val="NoSpacing"/>
        <w:spacing w:before="1540" w:after="240"/>
        <w:jc w:val="center"/>
        <w:rPr>
          <w:color w:val="156082" w:themeColor="accent1"/>
        </w:rPr>
      </w:pPr>
      <w:r>
        <w:rPr>
          <w:noProof/>
          <w:color w:val="156082" w:themeColor="accent1"/>
          <w14:ligatures w14:val="standardContextual"/>
        </w:rPr>
        <mc:AlternateContent>
          <mc:Choice Requires="wps">
            <w:drawing>
              <wp:anchor distT="0" distB="0" distL="114300" distR="114300" simplePos="0" relativeHeight="251666432" behindDoc="0" locked="0" layoutInCell="1" allowOverlap="1" wp14:anchorId="02A0934D" wp14:editId="2BCF4F1A">
                <wp:simplePos x="0" y="0"/>
                <wp:positionH relativeFrom="margin">
                  <wp:align>left</wp:align>
                </wp:positionH>
                <wp:positionV relativeFrom="paragraph">
                  <wp:posOffset>987254</wp:posOffset>
                </wp:positionV>
                <wp:extent cx="1775196" cy="820648"/>
                <wp:effectExtent l="0" t="0" r="15875" b="17780"/>
                <wp:wrapNone/>
                <wp:docPr id="366499613" name="Rectangle 4"/>
                <wp:cNvGraphicFramePr/>
                <a:graphic xmlns:a="http://schemas.openxmlformats.org/drawingml/2006/main">
                  <a:graphicData uri="http://schemas.microsoft.com/office/word/2010/wordprocessingShape">
                    <wps:wsp>
                      <wps:cNvSpPr/>
                      <wps:spPr>
                        <a:xfrm>
                          <a:off x="0" y="0"/>
                          <a:ext cx="1775196" cy="82064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2C4D205" w14:textId="401964B4" w:rsidR="00BF2D76" w:rsidRPr="00BF2D76" w:rsidRDefault="00BF2D76" w:rsidP="00BF2D76">
                            <w:pPr>
                              <w:jc w:val="center"/>
                              <w:rPr>
                                <w:rFonts w:ascii="Arial" w:hAnsi="Arial" w:cs="Arial"/>
                                <w:sz w:val="44"/>
                                <w:szCs w:val="44"/>
                              </w:rPr>
                            </w:pPr>
                            <w:r w:rsidRPr="00BF2D76">
                              <w:rPr>
                                <w:rFonts w:ascii="Arial" w:hAnsi="Arial" w:cs="Arial"/>
                                <w:sz w:val="44"/>
                                <w:szCs w:val="44"/>
                              </w:rPr>
                              <w:t>30-04-2026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A0934D" id="Rectangle 4" o:spid="_x0000_s1026" style="position:absolute;left:0;text-align:left;margin-left:0;margin-top:77.75pt;width:139.8pt;height:64.6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" fillcolor="#156082 [3204]" strokecolor="#030e13 [484]" strokeweight="1pt">
                <v:textbox>
                  <w:txbxContent>
                    <w:p w14:paraId="32C4D205" w14:textId="401964B4" w:rsidR="00BF2D76" w:rsidRPr="00BF2D76" w:rsidRDefault="00BF2D76" w:rsidP="00BF2D76">
                      <w:pPr>
                        <w:jc w:val="center"/>
                        <w:rPr>
                          <w:rFonts w:ascii="Arial" w:hAnsi="Arial" w:cs="Arial"/>
                          <w:sz w:val="44"/>
                          <w:szCs w:val="44"/>
                        </w:rPr>
                      </w:pPr>
                      <w:r w:rsidRPr="00BF2D76">
                        <w:rPr>
                          <w:rFonts w:ascii="Arial" w:hAnsi="Arial" w:cs="Arial"/>
                          <w:sz w:val="44"/>
                          <w:szCs w:val="44"/>
                        </w:rPr>
                        <w:t>30-04-2026</w:t>
                      </w:r>
                    </w:p>
                  </w:txbxContent>
                </v:textbox>
                <w10:wrap anchorx="margin"/>
              </v:rect>
            </w:pict>
          </mc:Fallback>
        </mc:AlternateContent>
      </w:r>
      <w:r w:rsidR="006933D1">
        <w:rPr>
          <w:noProof/>
          <w:color w:val="156082" w:themeColor="accent1"/>
          <w14:ligatures w14:val="standardContextual"/>
        </w:rPr>
        <w:drawing>
          <wp:anchor distT="0" distB="0" distL="114300" distR="114300" simplePos="0" relativeHeight="251663360" behindDoc="0" locked="0" layoutInCell="1" allowOverlap="1" wp14:anchorId="3E295999" wp14:editId="13E50E38">
            <wp:simplePos x="0" y="0"/>
            <wp:positionH relativeFrom="column">
              <wp:posOffset>4391039</wp:posOffset>
            </wp:positionH>
            <wp:positionV relativeFrom="paragraph">
              <wp:posOffset>766723</wp:posOffset>
            </wp:positionV>
            <wp:extent cx="1281430" cy="1266825"/>
            <wp:effectExtent l="0" t="0" r="0" b="9525"/>
            <wp:wrapThrough wrapText="bothSides">
              <wp:wrapPolygon edited="0">
                <wp:start x="0" y="0"/>
                <wp:lineTo x="0" y="21438"/>
                <wp:lineTo x="21193" y="21438"/>
                <wp:lineTo x="21193" y="0"/>
                <wp:lineTo x="0" y="0"/>
              </wp:wrapPolygon>
            </wp:wrapThrough>
            <wp:docPr id="1845680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680177" name="Picture 1845680177"/>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81430" cy="1266825"/>
                    </a:xfrm>
                    <a:prstGeom prst="rect">
                      <a:avLst/>
                    </a:prstGeom>
                  </pic:spPr>
                </pic:pic>
              </a:graphicData>
            </a:graphic>
            <wp14:sizeRelH relativeFrom="margin">
              <wp14:pctWidth>0</wp14:pctWidth>
            </wp14:sizeRelH>
            <wp14:sizeRelV relativeFrom="margin">
              <wp14:pctHeight>0</wp14:pctHeight>
            </wp14:sizeRelV>
          </wp:anchor>
        </w:drawing>
      </w:r>
      <w:r w:rsidR="0031181C">
        <w:rPr>
          <w:noProof/>
          <w:color w:val="156082" w:themeColor="accent1"/>
        </w:rPr>
        <w:drawing>
          <wp:anchor distT="0" distB="0" distL="114300" distR="114300" simplePos="0" relativeHeight="251662336" behindDoc="1" locked="0" layoutInCell="1" allowOverlap="1" wp14:anchorId="6B75776D" wp14:editId="20A586EB">
            <wp:simplePos x="0" y="0"/>
            <wp:positionH relativeFrom="margin">
              <wp:align>center</wp:align>
            </wp:positionH>
            <wp:positionV relativeFrom="paragraph">
              <wp:posOffset>987749</wp:posOffset>
            </wp:positionV>
            <wp:extent cx="1417320" cy="750570"/>
            <wp:effectExtent l="0" t="0" r="0" b="0"/>
            <wp:wrapTight wrapText="bothSides">
              <wp:wrapPolygon edited="0">
                <wp:start x="7258" y="0"/>
                <wp:lineTo x="5806" y="1096"/>
                <wp:lineTo x="871" y="8223"/>
                <wp:lineTo x="0" y="16995"/>
                <wp:lineTo x="0" y="20832"/>
                <wp:lineTo x="21194" y="20832"/>
                <wp:lineTo x="21194" y="16995"/>
                <wp:lineTo x="20323" y="8223"/>
                <wp:lineTo x="15387" y="1096"/>
                <wp:lineTo x="13935" y="0"/>
                <wp:lineTo x="7258" y="0"/>
              </wp:wrapPolygon>
            </wp:wrapTight>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anchor>
        </w:drawing>
      </w:r>
    </w:p>
    <w:sdt>
      <w:sdtPr>
        <w:rPr>
          <w:rFonts w:eastAsiaTheme="minorHAnsi"/>
          <w:color w:val="156082" w:themeColor="accent1"/>
          <w:kern w:val="2"/>
          <w:lang w:val="en-GB"/>
          <w14:ligatures w14:val="standardContextual"/>
        </w:rPr>
        <w:id w:val="-1466969920"/>
        <w:docPartObj>
          <w:docPartGallery w:val="Cover Pages"/>
          <w:docPartUnique/>
        </w:docPartObj>
      </w:sdtPr>
      <w:sdtEndPr>
        <w:rPr>
          <w:color w:val="auto"/>
        </w:rPr>
      </w:sdtEndPr>
      <w:sdtContent>
        <w:p w14:paraId="126FFCF7" w14:textId="77777777" w:rsidR="0031181C" w:rsidRDefault="0031181C">
          <w:pPr>
            <w:pStyle w:val="NoSpacing"/>
            <w:spacing w:before="1540" w:after="240"/>
            <w:jc w:val="center"/>
            <w:rPr>
              <w:color w:val="156082" w:themeColor="accent1"/>
            </w:rPr>
          </w:pPr>
        </w:p>
        <w:sdt>
          <w:sdtPr>
            <w:rPr>
              <w:rFonts w:ascii="Arial" w:eastAsiaTheme="majorEastAsia" w:hAnsi="Arial" w:cs="Arial"/>
              <w:b/>
              <w:bCs/>
              <w:caps/>
              <w:color w:val="156082" w:themeColor="accent1"/>
              <w:sz w:val="72"/>
              <w:szCs w:val="72"/>
            </w:rPr>
            <w:alias w:val="Title"/>
            <w:tag w:val=""/>
            <w:id w:val="1735040861"/>
            <w:placeholder>
              <w:docPart w:val="D3A6898BF8F0457DB8611C16D76ABAF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8C96980" w14:textId="19C1E6AF" w:rsidR="0031181C" w:rsidRDefault="00466B42" w:rsidP="00C90C16">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164E8D">
                <w:rPr>
                  <w:rFonts w:ascii="Arial" w:eastAsiaTheme="majorEastAsia" w:hAnsi="Arial" w:cs="Arial"/>
                  <w:b/>
                  <w:bCs/>
                  <w:caps/>
                  <w:color w:val="156082" w:themeColor="accent1"/>
                  <w:sz w:val="72"/>
                  <w:szCs w:val="72"/>
                </w:rPr>
                <w:t>d</w:t>
              </w:r>
              <w:r w:rsidR="00C90C16" w:rsidRPr="00164E8D">
                <w:rPr>
                  <w:rFonts w:ascii="Arial" w:eastAsiaTheme="majorEastAsia" w:hAnsi="Arial" w:cs="Arial"/>
                  <w:b/>
                  <w:bCs/>
                  <w:caps/>
                  <w:color w:val="156082" w:themeColor="accent1"/>
                  <w:sz w:val="72"/>
                  <w:szCs w:val="72"/>
                </w:rPr>
                <w:t>ATA SECURITE &amp; COMPLIANCE</w:t>
              </w:r>
            </w:p>
          </w:sdtContent>
        </w:sdt>
        <w:sdt>
          <w:sdtPr>
            <w:rPr>
              <w:b/>
              <w:bCs/>
              <w:color w:val="156082" w:themeColor="accent1"/>
              <w:sz w:val="36"/>
              <w:szCs w:val="36"/>
            </w:rPr>
            <w:alias w:val="Subtitle"/>
            <w:tag w:val=""/>
            <w:id w:val="328029620"/>
            <w:placeholder>
              <w:docPart w:val="DFF78EE81E78426DB63FFFEA343CF10A"/>
            </w:placeholder>
            <w:dataBinding w:prefixMappings="xmlns:ns0='http://purl.org/dc/elements/1.1/' xmlns:ns1='http://schemas.openxmlformats.org/package/2006/metadata/core-properties' " w:xpath="/ns1:coreProperties[1]/ns0:subject[1]" w:storeItemID="{6C3C8BC8-F283-45AE-878A-BAB7291924A1}"/>
            <w:text/>
          </w:sdtPr>
          <w:sdtEndPr/>
          <w:sdtContent>
            <w:p w14:paraId="31E1040E" w14:textId="3AD43EC9" w:rsidR="0031181C" w:rsidRPr="006D1CAD" w:rsidRDefault="000A2569">
              <w:pPr>
                <w:pStyle w:val="NoSpacing"/>
                <w:jc w:val="center"/>
                <w:rPr>
                  <w:b/>
                  <w:bCs/>
                  <w:color w:val="156082" w:themeColor="accent1"/>
                  <w:sz w:val="36"/>
                  <w:szCs w:val="36"/>
                </w:rPr>
              </w:pPr>
              <w:r w:rsidRPr="006D1CAD">
                <w:rPr>
                  <w:b/>
                  <w:bCs/>
                  <w:color w:val="156082" w:themeColor="accent1"/>
                  <w:sz w:val="36"/>
                  <w:szCs w:val="36"/>
                </w:rPr>
                <w:t xml:space="preserve">Computing </w:t>
              </w:r>
              <w:r w:rsidR="00A149D3" w:rsidRPr="006D1CAD">
                <w:rPr>
                  <w:b/>
                  <w:bCs/>
                  <w:color w:val="156082" w:themeColor="accent1"/>
                  <w:sz w:val="36"/>
                  <w:szCs w:val="36"/>
                </w:rPr>
                <w:t>Portfolio</w:t>
              </w:r>
            </w:p>
          </w:sdtContent>
        </w:sdt>
        <w:p w14:paraId="20655B8A" w14:textId="603A83A4" w:rsidR="0031181C" w:rsidRDefault="0031181C">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2C98C77C" wp14:editId="0593972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F23826" w14:textId="0FB69D93" w:rsidR="0031181C" w:rsidRDefault="0031181C">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2C98C77C" id="Text Box 146" o:spid="_x0000_s1027"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" filled="f" stroked="f" strokeweight=".5pt">
                    <v:textbox style="mso-fit-shape-to-text:t" inset="0,0,0,0">
                      <w:txbxContent>
                        <w:p w14:paraId="58F23826" w14:textId="0FB69D93" w:rsidR="0031181C" w:rsidRDefault="0031181C">
                          <w:pPr>
                            <w:pStyle w:val="NoSpacing"/>
                            <w:jc w:val="center"/>
                            <w:rPr>
                              <w:color w:val="156082" w:themeColor="accent1"/>
                            </w:rPr>
                          </w:pPr>
                        </w:p>
                      </w:txbxContent>
                    </v:textbox>
                    <w10:wrap anchorx="margin" anchory="page"/>
                  </v:shape>
                </w:pict>
              </mc:Fallback>
            </mc:AlternateContent>
          </w:r>
          <w:r>
            <w:rPr>
              <w:noProof/>
              <w:color w:val="156082" w:themeColor="accent1"/>
            </w:rPr>
            <w:drawing>
              <wp:inline distT="0" distB="0" distL="0" distR="0" wp14:anchorId="6676FA86" wp14:editId="7D75DE30">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C13F02" w14:textId="46DE3DCD" w:rsidR="0031181C" w:rsidRDefault="000619A7">
          <w:r w:rsidRPr="000619A7">
            <w:rPr>
              <w:noProof/>
              <w:color w:val="156082" w:themeColor="accent1"/>
            </w:rPr>
            <mc:AlternateContent>
              <mc:Choice Requires="wps">
                <w:drawing>
                  <wp:anchor distT="91440" distB="91440" distL="114300" distR="114300" simplePos="0" relativeHeight="251665408" behindDoc="1" locked="0" layoutInCell="1" allowOverlap="1" wp14:anchorId="57525775" wp14:editId="6BC18B5A">
                    <wp:simplePos x="0" y="0"/>
                    <wp:positionH relativeFrom="page">
                      <wp:posOffset>2122170</wp:posOffset>
                    </wp:positionH>
                    <wp:positionV relativeFrom="paragraph">
                      <wp:posOffset>679450</wp:posOffset>
                    </wp:positionV>
                    <wp:extent cx="3563620" cy="2529205"/>
                    <wp:effectExtent l="0" t="0" r="0" b="4445"/>
                    <wp:wrapTight wrapText="bothSides">
                      <wp:wrapPolygon edited="0">
                        <wp:start x="346" y="0"/>
                        <wp:lineTo x="346" y="21475"/>
                        <wp:lineTo x="21246" y="21475"/>
                        <wp:lineTo x="21246" y="0"/>
                        <wp:lineTo x="346"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3620" cy="2529205"/>
                            </a:xfrm>
                            <a:prstGeom prst="rect">
                              <a:avLst/>
                            </a:prstGeom>
                            <a:noFill/>
                            <a:ln w="9525">
                              <a:noFill/>
                              <a:miter lim="800000"/>
                              <a:headEnd/>
                              <a:tailEnd/>
                            </a:ln>
                          </wps:spPr>
                          <wps:txbx>
                            <w:txbxContent>
                              <w:p w14:paraId="4B7071BE" w14:textId="78C0C2CF" w:rsidR="000619A7" w:rsidRDefault="00F837B9">
                                <w:pPr>
                                  <w:pBdr>
                                    <w:top w:val="single" w:sz="24" w:space="8" w:color="156082" w:themeColor="accent1"/>
                                    <w:bottom w:val="single" w:sz="24" w:space="8" w:color="156082" w:themeColor="accent1"/>
                                  </w:pBdr>
                                  <w:spacing w:after="0"/>
                                  <w:rPr>
                                    <w:rFonts w:ascii="Arial" w:hAnsi="Arial" w:cs="Arial"/>
                                    <w:b/>
                                    <w:bCs/>
                                    <w:color w:val="0070C0"/>
                                    <w:sz w:val="24"/>
                                  </w:rPr>
                                </w:pPr>
                                <w:r w:rsidRPr="007C7486">
                                  <w:rPr>
                                    <w:rFonts w:ascii="Arial" w:hAnsi="Arial" w:cs="Arial"/>
                                    <w:b/>
                                    <w:bCs/>
                                    <w:sz w:val="24"/>
                                  </w:rPr>
                                  <w:t>Module Name</w:t>
                                </w:r>
                                <w:r w:rsidR="007C7486" w:rsidRPr="007C7486">
                                  <w:rPr>
                                    <w:rFonts w:ascii="Arial" w:hAnsi="Arial" w:cs="Arial"/>
                                    <w:b/>
                                    <w:bCs/>
                                    <w:sz w:val="24"/>
                                  </w:rPr>
                                  <w:t>:</w:t>
                                </w:r>
                                <w:r w:rsidR="007C7486" w:rsidRPr="007C7486">
                                  <w:rPr>
                                    <w:sz w:val="24"/>
                                  </w:rPr>
                                  <w:t xml:space="preserve"> </w:t>
                                </w:r>
                                <w:r w:rsidR="007C7486" w:rsidRPr="00BA59AE">
                                  <w:rPr>
                                    <w:rFonts w:ascii="Arial" w:hAnsi="Arial" w:cs="Arial"/>
                                    <w:b/>
                                    <w:bCs/>
                                    <w:color w:val="0070C0"/>
                                    <w:sz w:val="24"/>
                                  </w:rPr>
                                  <w:t>Data Security &amp; Compliance</w:t>
                                </w:r>
                              </w:p>
                              <w:p w14:paraId="1AAFC79D" w14:textId="77777777" w:rsidR="00BA59AE" w:rsidRDefault="00BA59AE">
                                <w:pPr>
                                  <w:pBdr>
                                    <w:top w:val="single" w:sz="24" w:space="8" w:color="156082" w:themeColor="accent1"/>
                                    <w:bottom w:val="single" w:sz="24" w:space="8" w:color="156082" w:themeColor="accent1"/>
                                  </w:pBdr>
                                  <w:spacing w:after="0"/>
                                  <w:rPr>
                                    <w:rFonts w:ascii="Arial" w:hAnsi="Arial" w:cs="Arial"/>
                                    <w:b/>
                                    <w:bCs/>
                                    <w:color w:val="0070C0"/>
                                    <w:sz w:val="24"/>
                                  </w:rPr>
                                </w:pPr>
                              </w:p>
                              <w:p w14:paraId="0D6326C7" w14:textId="1131A9B5" w:rsidR="00BA59AE" w:rsidRPr="00BA59AE" w:rsidRDefault="00BA59AE">
                                <w:pPr>
                                  <w:pBdr>
                                    <w:top w:val="single" w:sz="24" w:space="8" w:color="156082" w:themeColor="accent1"/>
                                    <w:bottom w:val="single" w:sz="24" w:space="8" w:color="156082" w:themeColor="accent1"/>
                                  </w:pBdr>
                                  <w:spacing w:after="0"/>
                                  <w:rPr>
                                    <w:rFonts w:ascii="Arial" w:hAnsi="Arial" w:cs="Arial"/>
                                    <w:b/>
                                    <w:bCs/>
                                    <w:color w:val="0070C0"/>
                                    <w:sz w:val="24"/>
                                  </w:rPr>
                                </w:pPr>
                                <w:r w:rsidRPr="00FA09D3">
                                  <w:rPr>
                                    <w:rFonts w:ascii="Arial" w:hAnsi="Arial" w:cs="Arial"/>
                                    <w:b/>
                                    <w:bCs/>
                                    <w:sz w:val="24"/>
                                  </w:rPr>
                                  <w:t xml:space="preserve">Module Code: </w:t>
                                </w:r>
                                <w:r w:rsidR="00FA09D3">
                                  <w:rPr>
                                    <w:rFonts w:ascii="Arial" w:hAnsi="Arial" w:cs="Arial"/>
                                    <w:b/>
                                    <w:bCs/>
                                    <w:color w:val="0070C0"/>
                                    <w:sz w:val="24"/>
                                  </w:rPr>
                                  <w:t>ACCA 5034</w:t>
                                </w:r>
                              </w:p>
                              <w:p w14:paraId="5CAA23EC" w14:textId="77777777" w:rsidR="007C7486" w:rsidRDefault="007C7486">
                                <w:pPr>
                                  <w:pBdr>
                                    <w:top w:val="single" w:sz="24" w:space="8" w:color="156082" w:themeColor="accent1"/>
                                    <w:bottom w:val="single" w:sz="24" w:space="8" w:color="156082" w:themeColor="accent1"/>
                                  </w:pBdr>
                                  <w:spacing w:after="0"/>
                                  <w:rPr>
                                    <w:color w:val="156082" w:themeColor="accent1"/>
                                    <w:sz w:val="24"/>
                                  </w:rPr>
                                </w:pPr>
                              </w:p>
                              <w:p w14:paraId="62B4C64D" w14:textId="4E557F1C" w:rsidR="00CE19E7" w:rsidRPr="005C6514" w:rsidRDefault="00595048">
                                <w:pPr>
                                  <w:pBdr>
                                    <w:top w:val="single" w:sz="24" w:space="8" w:color="156082" w:themeColor="accent1"/>
                                    <w:bottom w:val="single" w:sz="24" w:space="8" w:color="156082" w:themeColor="accent1"/>
                                  </w:pBdr>
                                  <w:spacing w:after="0"/>
                                  <w:rPr>
                                    <w:rFonts w:ascii="Arial" w:hAnsi="Arial" w:cs="Arial"/>
                                    <w:color w:val="156082" w:themeColor="accent1"/>
                                    <w:sz w:val="24"/>
                                  </w:rPr>
                                </w:pPr>
                                <w:r w:rsidRPr="005C6514">
                                  <w:rPr>
                                    <w:rFonts w:ascii="Arial" w:hAnsi="Arial" w:cs="Arial"/>
                                    <w:b/>
                                    <w:bCs/>
                                    <w:sz w:val="24"/>
                                  </w:rPr>
                                  <w:t>Student Name</w:t>
                                </w:r>
                                <w:r w:rsidRPr="005C6514">
                                  <w:rPr>
                                    <w:rFonts w:ascii="Arial" w:hAnsi="Arial" w:cs="Arial"/>
                                    <w:sz w:val="24"/>
                                  </w:rPr>
                                  <w:t xml:space="preserve">: </w:t>
                                </w:r>
                                <w:r w:rsidRPr="005C6514">
                                  <w:rPr>
                                    <w:rFonts w:ascii="Arial" w:hAnsi="Arial" w:cs="Arial"/>
                                    <w:b/>
                                    <w:bCs/>
                                    <w:color w:val="0070C0"/>
                                    <w:sz w:val="24"/>
                                  </w:rPr>
                                  <w:t xml:space="preserve">Beda </w:t>
                                </w:r>
                                <w:r w:rsidR="00B26F34" w:rsidRPr="005C6514">
                                  <w:rPr>
                                    <w:rFonts w:ascii="Arial" w:hAnsi="Arial" w:cs="Arial"/>
                                    <w:b/>
                                    <w:bCs/>
                                    <w:color w:val="0070C0"/>
                                    <w:sz w:val="24"/>
                                  </w:rPr>
                                  <w:t>Clement NDEPO</w:t>
                                </w:r>
                              </w:p>
                              <w:p w14:paraId="2FA8B736" w14:textId="77777777" w:rsidR="00F7016F" w:rsidRPr="005C6514" w:rsidRDefault="00F7016F">
                                <w:pPr>
                                  <w:pBdr>
                                    <w:top w:val="single" w:sz="24" w:space="8" w:color="156082" w:themeColor="accent1"/>
                                    <w:bottom w:val="single" w:sz="24" w:space="8" w:color="156082" w:themeColor="accent1"/>
                                  </w:pBdr>
                                  <w:spacing w:after="0"/>
                                  <w:rPr>
                                    <w:rFonts w:ascii="Arial" w:hAnsi="Arial" w:cs="Arial"/>
                                    <w:color w:val="156082" w:themeColor="accent1"/>
                                    <w:sz w:val="24"/>
                                  </w:rPr>
                                </w:pPr>
                              </w:p>
                              <w:p w14:paraId="0FDAB436" w14:textId="77777777" w:rsidR="00F7016F" w:rsidRDefault="00F7016F">
                                <w:pPr>
                                  <w:pBdr>
                                    <w:top w:val="single" w:sz="24" w:space="8" w:color="156082" w:themeColor="accent1"/>
                                    <w:bottom w:val="single" w:sz="24" w:space="8" w:color="156082" w:themeColor="accent1"/>
                                  </w:pBdr>
                                  <w:spacing w:after="0"/>
                                  <w:rPr>
                                    <w:color w:val="156082" w:themeColor="accent1"/>
                                    <w:sz w:val="24"/>
                                  </w:rPr>
                                </w:pPr>
                              </w:p>
                              <w:p w14:paraId="3E3033D2" w14:textId="7B526152" w:rsidR="00F7016F" w:rsidRPr="005C6514" w:rsidRDefault="00F7016F">
                                <w:pPr>
                                  <w:pBdr>
                                    <w:top w:val="single" w:sz="24" w:space="8" w:color="156082" w:themeColor="accent1"/>
                                    <w:bottom w:val="single" w:sz="24" w:space="8" w:color="156082" w:themeColor="accent1"/>
                                  </w:pBdr>
                                  <w:spacing w:after="0"/>
                                  <w:rPr>
                                    <w:rFonts w:ascii="Arial" w:hAnsi="Arial" w:cs="Arial"/>
                                    <w:color w:val="156082" w:themeColor="accent1"/>
                                    <w:sz w:val="24"/>
                                  </w:rPr>
                                </w:pPr>
                                <w:r w:rsidRPr="005C6514">
                                  <w:rPr>
                                    <w:rFonts w:ascii="Arial" w:hAnsi="Arial" w:cs="Arial"/>
                                    <w:b/>
                                    <w:bCs/>
                                    <w:sz w:val="24"/>
                                  </w:rPr>
                                  <w:t>Student ID</w:t>
                                </w:r>
                                <w:r w:rsidRPr="005C6514">
                                  <w:rPr>
                                    <w:rFonts w:ascii="Arial" w:hAnsi="Arial" w:cs="Arial"/>
                                    <w:sz w:val="24"/>
                                  </w:rPr>
                                  <w:t xml:space="preserve">: </w:t>
                                </w:r>
                                <w:r w:rsidRPr="005C6514">
                                  <w:rPr>
                                    <w:rFonts w:ascii="Arial" w:hAnsi="Arial" w:cs="Arial"/>
                                    <w:b/>
                                    <w:bCs/>
                                    <w:color w:val="0070C0"/>
                                    <w:sz w:val="24"/>
                                  </w:rPr>
                                  <w:t>2411399</w:t>
                                </w:r>
                              </w:p>
                              <w:p w14:paraId="43064BE0" w14:textId="77777777" w:rsidR="006B14A3" w:rsidRDefault="006B14A3">
                                <w:pPr>
                                  <w:pBdr>
                                    <w:top w:val="single" w:sz="24" w:space="8" w:color="156082" w:themeColor="accent1"/>
                                    <w:bottom w:val="single" w:sz="24" w:space="8" w:color="156082" w:themeColor="accent1"/>
                                  </w:pBdr>
                                  <w:spacing w:after="0"/>
                                  <w:rPr>
                                    <w:color w:val="156082" w:themeColor="accent1"/>
                                    <w:sz w:val="24"/>
                                  </w:rPr>
                                </w:pPr>
                              </w:p>
                              <w:p w14:paraId="16B40DB8" w14:textId="77777777" w:rsidR="006B14A3" w:rsidRDefault="006B14A3">
                                <w:pPr>
                                  <w:pBdr>
                                    <w:top w:val="single" w:sz="24" w:space="8" w:color="156082" w:themeColor="accent1"/>
                                    <w:bottom w:val="single" w:sz="24" w:space="8" w:color="156082" w:themeColor="accent1"/>
                                  </w:pBdr>
                                  <w:spacing w:after="0"/>
                                  <w:rPr>
                                    <w:color w:val="156082" w:themeColor="accent1"/>
                                    <w:sz w:val="24"/>
                                  </w:rPr>
                                </w:pPr>
                              </w:p>
                              <w:p w14:paraId="68CD8AAC" w14:textId="11302931" w:rsidR="006B14A3" w:rsidRPr="005C6514" w:rsidRDefault="006B14A3">
                                <w:pPr>
                                  <w:pBdr>
                                    <w:top w:val="single" w:sz="24" w:space="8" w:color="156082" w:themeColor="accent1"/>
                                    <w:bottom w:val="single" w:sz="24" w:space="8" w:color="156082" w:themeColor="accent1"/>
                                  </w:pBdr>
                                  <w:spacing w:after="0"/>
                                  <w:rPr>
                                    <w:rFonts w:ascii="Arial" w:hAnsi="Arial" w:cs="Arial"/>
                                    <w:b/>
                                    <w:bCs/>
                                    <w:sz w:val="24"/>
                                  </w:rPr>
                                </w:pPr>
                                <w:r w:rsidRPr="005C6514">
                                  <w:rPr>
                                    <w:rFonts w:ascii="Arial" w:hAnsi="Arial" w:cs="Arial"/>
                                    <w:b/>
                                    <w:bCs/>
                                    <w:sz w:val="24"/>
                                  </w:rPr>
                                  <w:t>Lectu</w:t>
                                </w:r>
                                <w:r w:rsidR="006D7083" w:rsidRPr="005C6514">
                                  <w:rPr>
                                    <w:rFonts w:ascii="Arial" w:hAnsi="Arial" w:cs="Arial"/>
                                    <w:b/>
                                    <w:bCs/>
                                    <w:sz w:val="24"/>
                                  </w:rPr>
                                  <w:t>rer Name:</w:t>
                                </w:r>
                                <w:r w:rsidR="00585A14" w:rsidRPr="005C6514">
                                  <w:rPr>
                                    <w:rFonts w:ascii="Arial" w:hAnsi="Arial" w:cs="Arial"/>
                                    <w:b/>
                                    <w:bCs/>
                                    <w:sz w:val="24"/>
                                  </w:rPr>
                                  <w:t xml:space="preserve"> </w:t>
                                </w:r>
                                <w:r w:rsidR="00585A14" w:rsidRPr="005C6514">
                                  <w:rPr>
                                    <w:rFonts w:ascii="Arial" w:hAnsi="Arial" w:cs="Arial"/>
                                    <w:b/>
                                    <w:bCs/>
                                    <w:color w:val="0070C0"/>
                                    <w:sz w:val="24"/>
                                  </w:rPr>
                                  <w:t>Dr A</w:t>
                                </w:r>
                                <w:r w:rsidR="007042F7" w:rsidRPr="005C6514">
                                  <w:rPr>
                                    <w:rFonts w:ascii="Arial" w:hAnsi="Arial" w:cs="Arial"/>
                                    <w:b/>
                                    <w:bCs/>
                                    <w:color w:val="0070C0"/>
                                    <w:sz w:val="24"/>
                                  </w:rPr>
                                  <w:t>yman AI H</w:t>
                                </w:r>
                                <w:r w:rsidR="005C6514" w:rsidRPr="005C6514">
                                  <w:rPr>
                                    <w:rFonts w:ascii="Arial" w:hAnsi="Arial" w:cs="Arial"/>
                                    <w:b/>
                                    <w:bCs/>
                                    <w:color w:val="0070C0"/>
                                    <w:sz w:val="24"/>
                                  </w:rPr>
                                  <w:t>ajjar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525775" id="_x0000_t202" coordsize="21600,21600" o:spt="202" path="m,l,21600r21600,l21600,xe">
                    <v:stroke joinstyle="miter"/>
                    <v:path gradientshapeok="t" o:connecttype="rect"/>
                  </v:shapetype>
                  <v:shape id="Text Box 2" o:spid="_x0000_s1028" type="#_x0000_t202" style="position:absolute;margin-left:167.1pt;margin-top:53.5pt;width:280.6pt;height:199.15pt;z-index:-251651072;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" filled="f" stroked="f">
                    <v:textbox>
                      <w:txbxContent>
                        <w:p w14:paraId="4B7071BE" w14:textId="78C0C2CF" w:rsidR="000619A7" w:rsidRDefault="00F837B9">
                          <w:pPr>
                            <w:pBdr>
                              <w:top w:val="single" w:sz="24" w:space="8" w:color="156082" w:themeColor="accent1"/>
                              <w:bottom w:val="single" w:sz="24" w:space="8" w:color="156082" w:themeColor="accent1"/>
                            </w:pBdr>
                            <w:spacing w:after="0"/>
                            <w:rPr>
                              <w:rFonts w:ascii="Arial" w:hAnsi="Arial" w:cs="Arial"/>
                              <w:b/>
                              <w:bCs/>
                              <w:color w:val="0070C0"/>
                              <w:sz w:val="24"/>
                            </w:rPr>
                          </w:pPr>
                          <w:r w:rsidRPr="007C7486">
                            <w:rPr>
                              <w:rFonts w:ascii="Arial" w:hAnsi="Arial" w:cs="Arial"/>
                              <w:b/>
                              <w:bCs/>
                              <w:sz w:val="24"/>
                            </w:rPr>
                            <w:t>Module Name</w:t>
                          </w:r>
                          <w:r w:rsidR="007C7486" w:rsidRPr="007C7486">
                            <w:rPr>
                              <w:rFonts w:ascii="Arial" w:hAnsi="Arial" w:cs="Arial"/>
                              <w:b/>
                              <w:bCs/>
                              <w:sz w:val="24"/>
                            </w:rPr>
                            <w:t>:</w:t>
                          </w:r>
                          <w:r w:rsidR="007C7486" w:rsidRPr="007C7486">
                            <w:rPr>
                              <w:sz w:val="24"/>
                            </w:rPr>
                            <w:t xml:space="preserve"> </w:t>
                          </w:r>
                          <w:r w:rsidR="007C7486" w:rsidRPr="00BA59AE">
                            <w:rPr>
                              <w:rFonts w:ascii="Arial" w:hAnsi="Arial" w:cs="Arial"/>
                              <w:b/>
                              <w:bCs/>
                              <w:color w:val="0070C0"/>
                              <w:sz w:val="24"/>
                            </w:rPr>
                            <w:t>Data Security &amp; Compliance</w:t>
                          </w:r>
                        </w:p>
                        <w:p w14:paraId="1AAFC79D" w14:textId="77777777" w:rsidR="00BA59AE" w:rsidRDefault="00BA59AE">
                          <w:pPr>
                            <w:pBdr>
                              <w:top w:val="single" w:sz="24" w:space="8" w:color="156082" w:themeColor="accent1"/>
                              <w:bottom w:val="single" w:sz="24" w:space="8" w:color="156082" w:themeColor="accent1"/>
                            </w:pBdr>
                            <w:spacing w:after="0"/>
                            <w:rPr>
                              <w:rFonts w:ascii="Arial" w:hAnsi="Arial" w:cs="Arial"/>
                              <w:b/>
                              <w:bCs/>
                              <w:color w:val="0070C0"/>
                              <w:sz w:val="24"/>
                            </w:rPr>
                          </w:pPr>
                        </w:p>
                        <w:p w14:paraId="0D6326C7" w14:textId="1131A9B5" w:rsidR="00BA59AE" w:rsidRPr="00BA59AE" w:rsidRDefault="00BA59AE">
                          <w:pPr>
                            <w:pBdr>
                              <w:top w:val="single" w:sz="24" w:space="8" w:color="156082" w:themeColor="accent1"/>
                              <w:bottom w:val="single" w:sz="24" w:space="8" w:color="156082" w:themeColor="accent1"/>
                            </w:pBdr>
                            <w:spacing w:after="0"/>
                            <w:rPr>
                              <w:rFonts w:ascii="Arial" w:hAnsi="Arial" w:cs="Arial"/>
                              <w:b/>
                              <w:bCs/>
                              <w:color w:val="0070C0"/>
                              <w:sz w:val="24"/>
                            </w:rPr>
                          </w:pPr>
                          <w:r w:rsidRPr="00FA09D3">
                            <w:rPr>
                              <w:rFonts w:ascii="Arial" w:hAnsi="Arial" w:cs="Arial"/>
                              <w:b/>
                              <w:bCs/>
                              <w:sz w:val="24"/>
                            </w:rPr>
                            <w:t xml:space="preserve">Module Code: </w:t>
                          </w:r>
                          <w:r w:rsidR="00FA09D3">
                            <w:rPr>
                              <w:rFonts w:ascii="Arial" w:hAnsi="Arial" w:cs="Arial"/>
                              <w:b/>
                              <w:bCs/>
                              <w:color w:val="0070C0"/>
                              <w:sz w:val="24"/>
                            </w:rPr>
                            <w:t>ACCA 5034</w:t>
                          </w:r>
                        </w:p>
                        <w:p w14:paraId="5CAA23EC" w14:textId="77777777" w:rsidR="007C7486" w:rsidRDefault="007C7486">
                          <w:pPr>
                            <w:pBdr>
                              <w:top w:val="single" w:sz="24" w:space="8" w:color="156082" w:themeColor="accent1"/>
                              <w:bottom w:val="single" w:sz="24" w:space="8" w:color="156082" w:themeColor="accent1"/>
                            </w:pBdr>
                            <w:spacing w:after="0"/>
                            <w:rPr>
                              <w:color w:val="156082" w:themeColor="accent1"/>
                              <w:sz w:val="24"/>
                            </w:rPr>
                          </w:pPr>
                        </w:p>
                        <w:p w14:paraId="62B4C64D" w14:textId="4E557F1C" w:rsidR="00CE19E7" w:rsidRPr="005C6514" w:rsidRDefault="00595048">
                          <w:pPr>
                            <w:pBdr>
                              <w:top w:val="single" w:sz="24" w:space="8" w:color="156082" w:themeColor="accent1"/>
                              <w:bottom w:val="single" w:sz="24" w:space="8" w:color="156082" w:themeColor="accent1"/>
                            </w:pBdr>
                            <w:spacing w:after="0"/>
                            <w:rPr>
                              <w:rFonts w:ascii="Arial" w:hAnsi="Arial" w:cs="Arial"/>
                              <w:color w:val="156082" w:themeColor="accent1"/>
                              <w:sz w:val="24"/>
                            </w:rPr>
                          </w:pPr>
                          <w:r w:rsidRPr="005C6514">
                            <w:rPr>
                              <w:rFonts w:ascii="Arial" w:hAnsi="Arial" w:cs="Arial"/>
                              <w:b/>
                              <w:bCs/>
                              <w:sz w:val="24"/>
                            </w:rPr>
                            <w:t>Student Name</w:t>
                          </w:r>
                          <w:r w:rsidRPr="005C6514">
                            <w:rPr>
                              <w:rFonts w:ascii="Arial" w:hAnsi="Arial" w:cs="Arial"/>
                              <w:sz w:val="24"/>
                            </w:rPr>
                            <w:t xml:space="preserve">: </w:t>
                          </w:r>
                          <w:r w:rsidRPr="005C6514">
                            <w:rPr>
                              <w:rFonts w:ascii="Arial" w:hAnsi="Arial" w:cs="Arial"/>
                              <w:b/>
                              <w:bCs/>
                              <w:color w:val="0070C0"/>
                              <w:sz w:val="24"/>
                            </w:rPr>
                            <w:t xml:space="preserve">Beda </w:t>
                          </w:r>
                          <w:r w:rsidR="00B26F34" w:rsidRPr="005C6514">
                            <w:rPr>
                              <w:rFonts w:ascii="Arial" w:hAnsi="Arial" w:cs="Arial"/>
                              <w:b/>
                              <w:bCs/>
                              <w:color w:val="0070C0"/>
                              <w:sz w:val="24"/>
                            </w:rPr>
                            <w:t>Clement NDEPO</w:t>
                          </w:r>
                        </w:p>
                        <w:p w14:paraId="2FA8B736" w14:textId="77777777" w:rsidR="00F7016F" w:rsidRPr="005C6514" w:rsidRDefault="00F7016F">
                          <w:pPr>
                            <w:pBdr>
                              <w:top w:val="single" w:sz="24" w:space="8" w:color="156082" w:themeColor="accent1"/>
                              <w:bottom w:val="single" w:sz="24" w:space="8" w:color="156082" w:themeColor="accent1"/>
                            </w:pBdr>
                            <w:spacing w:after="0"/>
                            <w:rPr>
                              <w:rFonts w:ascii="Arial" w:hAnsi="Arial" w:cs="Arial"/>
                              <w:color w:val="156082" w:themeColor="accent1"/>
                              <w:sz w:val="24"/>
                            </w:rPr>
                          </w:pPr>
                        </w:p>
                        <w:p w14:paraId="0FDAB436" w14:textId="77777777" w:rsidR="00F7016F" w:rsidRDefault="00F7016F">
                          <w:pPr>
                            <w:pBdr>
                              <w:top w:val="single" w:sz="24" w:space="8" w:color="156082" w:themeColor="accent1"/>
                              <w:bottom w:val="single" w:sz="24" w:space="8" w:color="156082" w:themeColor="accent1"/>
                            </w:pBdr>
                            <w:spacing w:after="0"/>
                            <w:rPr>
                              <w:color w:val="156082" w:themeColor="accent1"/>
                              <w:sz w:val="24"/>
                            </w:rPr>
                          </w:pPr>
                        </w:p>
                        <w:p w14:paraId="3E3033D2" w14:textId="7B526152" w:rsidR="00F7016F" w:rsidRPr="005C6514" w:rsidRDefault="00F7016F">
                          <w:pPr>
                            <w:pBdr>
                              <w:top w:val="single" w:sz="24" w:space="8" w:color="156082" w:themeColor="accent1"/>
                              <w:bottom w:val="single" w:sz="24" w:space="8" w:color="156082" w:themeColor="accent1"/>
                            </w:pBdr>
                            <w:spacing w:after="0"/>
                            <w:rPr>
                              <w:rFonts w:ascii="Arial" w:hAnsi="Arial" w:cs="Arial"/>
                              <w:color w:val="156082" w:themeColor="accent1"/>
                              <w:sz w:val="24"/>
                            </w:rPr>
                          </w:pPr>
                          <w:r w:rsidRPr="005C6514">
                            <w:rPr>
                              <w:rFonts w:ascii="Arial" w:hAnsi="Arial" w:cs="Arial"/>
                              <w:b/>
                              <w:bCs/>
                              <w:sz w:val="24"/>
                            </w:rPr>
                            <w:t>Student ID</w:t>
                          </w:r>
                          <w:r w:rsidRPr="005C6514">
                            <w:rPr>
                              <w:rFonts w:ascii="Arial" w:hAnsi="Arial" w:cs="Arial"/>
                              <w:sz w:val="24"/>
                            </w:rPr>
                            <w:t xml:space="preserve">: </w:t>
                          </w:r>
                          <w:r w:rsidRPr="005C6514">
                            <w:rPr>
                              <w:rFonts w:ascii="Arial" w:hAnsi="Arial" w:cs="Arial"/>
                              <w:b/>
                              <w:bCs/>
                              <w:color w:val="0070C0"/>
                              <w:sz w:val="24"/>
                            </w:rPr>
                            <w:t>2411399</w:t>
                          </w:r>
                        </w:p>
                        <w:p w14:paraId="43064BE0" w14:textId="77777777" w:rsidR="006B14A3" w:rsidRDefault="006B14A3">
                          <w:pPr>
                            <w:pBdr>
                              <w:top w:val="single" w:sz="24" w:space="8" w:color="156082" w:themeColor="accent1"/>
                              <w:bottom w:val="single" w:sz="24" w:space="8" w:color="156082" w:themeColor="accent1"/>
                            </w:pBdr>
                            <w:spacing w:after="0"/>
                            <w:rPr>
                              <w:color w:val="156082" w:themeColor="accent1"/>
                              <w:sz w:val="24"/>
                            </w:rPr>
                          </w:pPr>
                        </w:p>
                        <w:p w14:paraId="16B40DB8" w14:textId="77777777" w:rsidR="006B14A3" w:rsidRDefault="006B14A3">
                          <w:pPr>
                            <w:pBdr>
                              <w:top w:val="single" w:sz="24" w:space="8" w:color="156082" w:themeColor="accent1"/>
                              <w:bottom w:val="single" w:sz="24" w:space="8" w:color="156082" w:themeColor="accent1"/>
                            </w:pBdr>
                            <w:spacing w:after="0"/>
                            <w:rPr>
                              <w:color w:val="156082" w:themeColor="accent1"/>
                              <w:sz w:val="24"/>
                            </w:rPr>
                          </w:pPr>
                        </w:p>
                        <w:p w14:paraId="68CD8AAC" w14:textId="11302931" w:rsidR="006B14A3" w:rsidRPr="005C6514" w:rsidRDefault="006B14A3">
                          <w:pPr>
                            <w:pBdr>
                              <w:top w:val="single" w:sz="24" w:space="8" w:color="156082" w:themeColor="accent1"/>
                              <w:bottom w:val="single" w:sz="24" w:space="8" w:color="156082" w:themeColor="accent1"/>
                            </w:pBdr>
                            <w:spacing w:after="0"/>
                            <w:rPr>
                              <w:rFonts w:ascii="Arial" w:hAnsi="Arial" w:cs="Arial"/>
                              <w:b/>
                              <w:bCs/>
                              <w:sz w:val="24"/>
                            </w:rPr>
                          </w:pPr>
                          <w:r w:rsidRPr="005C6514">
                            <w:rPr>
                              <w:rFonts w:ascii="Arial" w:hAnsi="Arial" w:cs="Arial"/>
                              <w:b/>
                              <w:bCs/>
                              <w:sz w:val="24"/>
                            </w:rPr>
                            <w:t>Lectu</w:t>
                          </w:r>
                          <w:r w:rsidR="006D7083" w:rsidRPr="005C6514">
                            <w:rPr>
                              <w:rFonts w:ascii="Arial" w:hAnsi="Arial" w:cs="Arial"/>
                              <w:b/>
                              <w:bCs/>
                              <w:sz w:val="24"/>
                            </w:rPr>
                            <w:t>rer Name:</w:t>
                          </w:r>
                          <w:r w:rsidR="00585A14" w:rsidRPr="005C6514">
                            <w:rPr>
                              <w:rFonts w:ascii="Arial" w:hAnsi="Arial" w:cs="Arial"/>
                              <w:b/>
                              <w:bCs/>
                              <w:sz w:val="24"/>
                            </w:rPr>
                            <w:t xml:space="preserve"> </w:t>
                          </w:r>
                          <w:r w:rsidR="00585A14" w:rsidRPr="005C6514">
                            <w:rPr>
                              <w:rFonts w:ascii="Arial" w:hAnsi="Arial" w:cs="Arial"/>
                              <w:b/>
                              <w:bCs/>
                              <w:color w:val="0070C0"/>
                              <w:sz w:val="24"/>
                            </w:rPr>
                            <w:t>Dr A</w:t>
                          </w:r>
                          <w:r w:rsidR="007042F7" w:rsidRPr="005C6514">
                            <w:rPr>
                              <w:rFonts w:ascii="Arial" w:hAnsi="Arial" w:cs="Arial"/>
                              <w:b/>
                              <w:bCs/>
                              <w:color w:val="0070C0"/>
                              <w:sz w:val="24"/>
                            </w:rPr>
                            <w:t>yman AI H</w:t>
                          </w:r>
                          <w:r w:rsidR="005C6514" w:rsidRPr="005C6514">
                            <w:rPr>
                              <w:rFonts w:ascii="Arial" w:hAnsi="Arial" w:cs="Arial"/>
                              <w:b/>
                              <w:bCs/>
                              <w:color w:val="0070C0"/>
                              <w:sz w:val="24"/>
                            </w:rPr>
                            <w:t>ajjar</w:t>
                          </w:r>
                        </w:p>
                      </w:txbxContent>
                    </v:textbox>
                    <w10:wrap type="tight" anchorx="page"/>
                  </v:shape>
                </w:pict>
              </mc:Fallback>
            </mc:AlternateContent>
          </w:r>
          <w:r w:rsidR="0031181C">
            <w:br w:type="page"/>
          </w:r>
        </w:p>
      </w:sdtContent>
    </w:sdt>
    <w:sdt>
      <w:sdtPr>
        <w:rPr>
          <w:rFonts w:asciiTheme="minorHAnsi" w:eastAsiaTheme="minorHAnsi" w:hAnsiTheme="minorHAnsi" w:cstheme="minorBidi"/>
          <w:color w:val="auto"/>
          <w:kern w:val="2"/>
          <w:sz w:val="22"/>
          <w:szCs w:val="22"/>
          <w:lang w:val="en-GB"/>
          <w14:ligatures w14:val="standardContextual"/>
        </w:rPr>
        <w:id w:val="-1865752004"/>
        <w:docPartObj>
          <w:docPartGallery w:val="Table of Contents"/>
          <w:docPartUnique/>
        </w:docPartObj>
      </w:sdtPr>
      <w:sdtEndPr>
        <w:rPr>
          <w:b/>
          <w:bCs/>
        </w:rPr>
      </w:sdtEndPr>
      <w:sdtContent>
        <w:p w14:paraId="29122430" w14:textId="71DB5E65" w:rsidR="0064190C" w:rsidRPr="00860D1E" w:rsidRDefault="0064190C">
          <w:pPr>
            <w:pStyle w:val="TOCHeading"/>
            <w:rPr>
              <w:lang w:val="en-GB"/>
            </w:rPr>
          </w:pPr>
          <w:r w:rsidRPr="00860D1E">
            <w:rPr>
              <w:lang w:val="en-GB"/>
            </w:rPr>
            <w:t>Table of Contents</w:t>
          </w:r>
        </w:p>
        <w:p w14:paraId="7AAE3A23" w14:textId="5B31C72D" w:rsidR="00CA7E6E" w:rsidRDefault="0064190C">
          <w:pPr>
            <w:pStyle w:val="TOC1"/>
            <w:tabs>
              <w:tab w:val="right" w:leader="dot" w:pos="9016"/>
            </w:tabs>
            <w:rPr>
              <w:rFonts w:eastAsiaTheme="minorEastAsia"/>
              <w:noProof/>
              <w:sz w:val="24"/>
              <w:szCs w:val="24"/>
              <w:lang w:eastAsia="en-GB"/>
            </w:rPr>
          </w:pPr>
          <w:r w:rsidRPr="00860D1E">
            <w:fldChar w:fldCharType="begin"/>
          </w:r>
          <w:r w:rsidRPr="00860D1E">
            <w:instrText xml:space="preserve"> TOC \o "1-3" \h \z \u </w:instrText>
          </w:r>
          <w:r w:rsidRPr="00860D1E">
            <w:fldChar w:fldCharType="separate"/>
          </w:r>
          <w:hyperlink w:anchor="_Toc227682425" w:history="1">
            <w:r w:rsidR="00CA7E6E" w:rsidRPr="00E411C0">
              <w:rPr>
                <w:rStyle w:val="Hyperlink"/>
                <w:b/>
                <w:bCs/>
                <w:noProof/>
                <w:highlight w:val="yellow"/>
              </w:rPr>
              <w:t>TASK1</w:t>
            </w:r>
            <w:r w:rsidR="00CA7E6E" w:rsidRPr="00E411C0">
              <w:rPr>
                <w:rStyle w:val="Hyperlink"/>
                <w:b/>
                <w:bCs/>
                <w:noProof/>
              </w:rPr>
              <w:t xml:space="preserve"> </w:t>
            </w:r>
            <w:r w:rsidR="00CA7E6E" w:rsidRPr="00E411C0">
              <w:rPr>
                <w:rStyle w:val="Hyperlink"/>
                <w:b/>
                <w:bCs/>
                <w:noProof/>
                <w:highlight w:val="yellow"/>
              </w:rPr>
              <w:t>RESEARCH IN DATA SECURITY AND COMPLIANCE</w:t>
            </w:r>
            <w:r w:rsidR="00CA7E6E">
              <w:rPr>
                <w:noProof/>
                <w:webHidden/>
              </w:rPr>
              <w:tab/>
            </w:r>
            <w:r w:rsidR="00CA7E6E">
              <w:rPr>
                <w:noProof/>
                <w:webHidden/>
              </w:rPr>
              <w:fldChar w:fldCharType="begin"/>
            </w:r>
            <w:r w:rsidR="00CA7E6E">
              <w:rPr>
                <w:noProof/>
                <w:webHidden/>
              </w:rPr>
              <w:instrText xml:space="preserve"> PAGEREF _Toc227682425 \h </w:instrText>
            </w:r>
            <w:r w:rsidR="00CA7E6E">
              <w:rPr>
                <w:noProof/>
                <w:webHidden/>
              </w:rPr>
            </w:r>
            <w:r w:rsidR="00CA7E6E">
              <w:rPr>
                <w:noProof/>
                <w:webHidden/>
              </w:rPr>
              <w:fldChar w:fldCharType="separate"/>
            </w:r>
            <w:r w:rsidR="00CA7E6E">
              <w:rPr>
                <w:noProof/>
                <w:webHidden/>
              </w:rPr>
              <w:t>3</w:t>
            </w:r>
            <w:r w:rsidR="00CA7E6E">
              <w:rPr>
                <w:noProof/>
                <w:webHidden/>
              </w:rPr>
              <w:fldChar w:fldCharType="end"/>
            </w:r>
          </w:hyperlink>
        </w:p>
        <w:p w14:paraId="08F93FB0" w14:textId="2E4688A7" w:rsidR="00CA7E6E" w:rsidRDefault="00CA7E6E">
          <w:pPr>
            <w:pStyle w:val="TOC1"/>
            <w:tabs>
              <w:tab w:val="right" w:leader="dot" w:pos="9016"/>
            </w:tabs>
            <w:rPr>
              <w:rFonts w:eastAsiaTheme="minorEastAsia"/>
              <w:noProof/>
              <w:sz w:val="24"/>
              <w:szCs w:val="24"/>
              <w:lang w:eastAsia="en-GB"/>
            </w:rPr>
          </w:pPr>
          <w:hyperlink w:anchor="_Toc227682426" w:history="1">
            <w:r w:rsidRPr="00E411C0">
              <w:rPr>
                <w:rStyle w:val="Hyperlink"/>
                <w:b/>
                <w:bCs/>
                <w:noProof/>
              </w:rPr>
              <w:t>Governance of AI and Machine Learning Systems: Managing risk, ethics, and compliance for AI data and models.</w:t>
            </w:r>
            <w:r>
              <w:rPr>
                <w:noProof/>
                <w:webHidden/>
              </w:rPr>
              <w:tab/>
            </w:r>
            <w:r>
              <w:rPr>
                <w:noProof/>
                <w:webHidden/>
              </w:rPr>
              <w:fldChar w:fldCharType="begin"/>
            </w:r>
            <w:r>
              <w:rPr>
                <w:noProof/>
                <w:webHidden/>
              </w:rPr>
              <w:instrText xml:space="preserve"> PAGEREF _Toc227682426 \h </w:instrText>
            </w:r>
            <w:r>
              <w:rPr>
                <w:noProof/>
                <w:webHidden/>
              </w:rPr>
            </w:r>
            <w:r>
              <w:rPr>
                <w:noProof/>
                <w:webHidden/>
              </w:rPr>
              <w:fldChar w:fldCharType="separate"/>
            </w:r>
            <w:r>
              <w:rPr>
                <w:noProof/>
                <w:webHidden/>
              </w:rPr>
              <w:t>3</w:t>
            </w:r>
            <w:r>
              <w:rPr>
                <w:noProof/>
                <w:webHidden/>
              </w:rPr>
              <w:fldChar w:fldCharType="end"/>
            </w:r>
          </w:hyperlink>
        </w:p>
        <w:p w14:paraId="5D0CF6DD" w14:textId="73F776E9" w:rsidR="00CA7E6E" w:rsidRDefault="00CA7E6E">
          <w:pPr>
            <w:pStyle w:val="TOC1"/>
            <w:tabs>
              <w:tab w:val="right" w:leader="dot" w:pos="9016"/>
            </w:tabs>
            <w:rPr>
              <w:rFonts w:eastAsiaTheme="minorEastAsia"/>
              <w:noProof/>
              <w:sz w:val="24"/>
              <w:szCs w:val="24"/>
              <w:lang w:eastAsia="en-GB"/>
            </w:rPr>
          </w:pPr>
          <w:hyperlink w:anchor="_Toc227682427" w:history="1">
            <w:r w:rsidRPr="00E411C0">
              <w:rPr>
                <w:rStyle w:val="Hyperlink"/>
                <w:b/>
                <w:bCs/>
                <w:noProof/>
              </w:rPr>
              <w:t>INTRODUCTION</w:t>
            </w:r>
            <w:r>
              <w:rPr>
                <w:noProof/>
                <w:webHidden/>
              </w:rPr>
              <w:tab/>
            </w:r>
            <w:r>
              <w:rPr>
                <w:noProof/>
                <w:webHidden/>
              </w:rPr>
              <w:fldChar w:fldCharType="begin"/>
            </w:r>
            <w:r>
              <w:rPr>
                <w:noProof/>
                <w:webHidden/>
              </w:rPr>
              <w:instrText xml:space="preserve"> PAGEREF _Toc227682427 \h </w:instrText>
            </w:r>
            <w:r>
              <w:rPr>
                <w:noProof/>
                <w:webHidden/>
              </w:rPr>
            </w:r>
            <w:r>
              <w:rPr>
                <w:noProof/>
                <w:webHidden/>
              </w:rPr>
              <w:fldChar w:fldCharType="separate"/>
            </w:r>
            <w:r>
              <w:rPr>
                <w:noProof/>
                <w:webHidden/>
              </w:rPr>
              <w:t>3</w:t>
            </w:r>
            <w:r>
              <w:rPr>
                <w:noProof/>
                <w:webHidden/>
              </w:rPr>
              <w:fldChar w:fldCharType="end"/>
            </w:r>
          </w:hyperlink>
        </w:p>
        <w:p w14:paraId="55675167" w14:textId="5D5CD0F6" w:rsidR="00CA7E6E" w:rsidRDefault="00CA7E6E">
          <w:pPr>
            <w:pStyle w:val="TOC1"/>
            <w:tabs>
              <w:tab w:val="right" w:leader="dot" w:pos="9016"/>
            </w:tabs>
            <w:rPr>
              <w:rFonts w:eastAsiaTheme="minorEastAsia"/>
              <w:noProof/>
              <w:sz w:val="24"/>
              <w:szCs w:val="24"/>
              <w:lang w:eastAsia="en-GB"/>
            </w:rPr>
          </w:pPr>
          <w:hyperlink w:anchor="_Toc227682428" w:history="1">
            <w:r w:rsidRPr="00E411C0">
              <w:rPr>
                <w:rStyle w:val="Hyperlink"/>
                <w:b/>
                <w:bCs/>
                <w:noProof/>
              </w:rPr>
              <w:t>1 Why AI and Machine Learning Systems governance is a contemporary challenge?</w:t>
            </w:r>
            <w:r>
              <w:rPr>
                <w:noProof/>
                <w:webHidden/>
              </w:rPr>
              <w:tab/>
            </w:r>
            <w:r>
              <w:rPr>
                <w:noProof/>
                <w:webHidden/>
              </w:rPr>
              <w:fldChar w:fldCharType="begin"/>
            </w:r>
            <w:r>
              <w:rPr>
                <w:noProof/>
                <w:webHidden/>
              </w:rPr>
              <w:instrText xml:space="preserve"> PAGEREF _Toc227682428 \h </w:instrText>
            </w:r>
            <w:r>
              <w:rPr>
                <w:noProof/>
                <w:webHidden/>
              </w:rPr>
            </w:r>
            <w:r>
              <w:rPr>
                <w:noProof/>
                <w:webHidden/>
              </w:rPr>
              <w:fldChar w:fldCharType="separate"/>
            </w:r>
            <w:r>
              <w:rPr>
                <w:noProof/>
                <w:webHidden/>
              </w:rPr>
              <w:t>3</w:t>
            </w:r>
            <w:r>
              <w:rPr>
                <w:noProof/>
                <w:webHidden/>
              </w:rPr>
              <w:fldChar w:fldCharType="end"/>
            </w:r>
          </w:hyperlink>
        </w:p>
        <w:p w14:paraId="77AAC371" w14:textId="618C849D" w:rsidR="00CA7E6E" w:rsidRDefault="00CA7E6E">
          <w:pPr>
            <w:pStyle w:val="TOC1"/>
            <w:tabs>
              <w:tab w:val="right" w:leader="dot" w:pos="9016"/>
            </w:tabs>
            <w:rPr>
              <w:rFonts w:eastAsiaTheme="minorEastAsia"/>
              <w:noProof/>
              <w:sz w:val="24"/>
              <w:szCs w:val="24"/>
              <w:lang w:eastAsia="en-GB"/>
            </w:rPr>
          </w:pPr>
          <w:hyperlink w:anchor="_Toc227682429" w:history="1">
            <w:r w:rsidRPr="00E411C0">
              <w:rPr>
                <w:rStyle w:val="Hyperlink"/>
                <w:b/>
                <w:bCs/>
                <w:noProof/>
              </w:rPr>
              <w:t>2 Risks in AI and Machine Learning systems</w:t>
            </w:r>
            <w:r>
              <w:rPr>
                <w:noProof/>
                <w:webHidden/>
              </w:rPr>
              <w:tab/>
            </w:r>
            <w:r>
              <w:rPr>
                <w:noProof/>
                <w:webHidden/>
              </w:rPr>
              <w:fldChar w:fldCharType="begin"/>
            </w:r>
            <w:r>
              <w:rPr>
                <w:noProof/>
                <w:webHidden/>
              </w:rPr>
              <w:instrText xml:space="preserve"> PAGEREF _Toc227682429 \h </w:instrText>
            </w:r>
            <w:r>
              <w:rPr>
                <w:noProof/>
                <w:webHidden/>
              </w:rPr>
            </w:r>
            <w:r>
              <w:rPr>
                <w:noProof/>
                <w:webHidden/>
              </w:rPr>
              <w:fldChar w:fldCharType="separate"/>
            </w:r>
            <w:r>
              <w:rPr>
                <w:noProof/>
                <w:webHidden/>
              </w:rPr>
              <w:t>4</w:t>
            </w:r>
            <w:r>
              <w:rPr>
                <w:noProof/>
                <w:webHidden/>
              </w:rPr>
              <w:fldChar w:fldCharType="end"/>
            </w:r>
          </w:hyperlink>
        </w:p>
        <w:p w14:paraId="6D18BCE2" w14:textId="2FE2963C" w:rsidR="00CA7E6E" w:rsidRDefault="00CA7E6E">
          <w:pPr>
            <w:pStyle w:val="TOC2"/>
            <w:tabs>
              <w:tab w:val="right" w:leader="dot" w:pos="9016"/>
            </w:tabs>
            <w:rPr>
              <w:rFonts w:eastAsiaTheme="minorEastAsia"/>
              <w:noProof/>
              <w:sz w:val="24"/>
              <w:szCs w:val="24"/>
              <w:lang w:eastAsia="en-GB"/>
            </w:rPr>
          </w:pPr>
          <w:hyperlink w:anchor="_Toc227682430" w:history="1">
            <w:r w:rsidRPr="00E411C0">
              <w:rPr>
                <w:rStyle w:val="Hyperlink"/>
                <w:noProof/>
              </w:rPr>
              <w:t>2-1 Technical and operational risks</w:t>
            </w:r>
            <w:r>
              <w:rPr>
                <w:noProof/>
                <w:webHidden/>
              </w:rPr>
              <w:tab/>
            </w:r>
            <w:r>
              <w:rPr>
                <w:noProof/>
                <w:webHidden/>
              </w:rPr>
              <w:fldChar w:fldCharType="begin"/>
            </w:r>
            <w:r>
              <w:rPr>
                <w:noProof/>
                <w:webHidden/>
              </w:rPr>
              <w:instrText xml:space="preserve"> PAGEREF _Toc227682430 \h </w:instrText>
            </w:r>
            <w:r>
              <w:rPr>
                <w:noProof/>
                <w:webHidden/>
              </w:rPr>
            </w:r>
            <w:r>
              <w:rPr>
                <w:noProof/>
                <w:webHidden/>
              </w:rPr>
              <w:fldChar w:fldCharType="separate"/>
            </w:r>
            <w:r>
              <w:rPr>
                <w:noProof/>
                <w:webHidden/>
              </w:rPr>
              <w:t>4</w:t>
            </w:r>
            <w:r>
              <w:rPr>
                <w:noProof/>
                <w:webHidden/>
              </w:rPr>
              <w:fldChar w:fldCharType="end"/>
            </w:r>
          </w:hyperlink>
        </w:p>
        <w:p w14:paraId="69132D99" w14:textId="7BC69E55" w:rsidR="00CA7E6E" w:rsidRDefault="00CA7E6E">
          <w:pPr>
            <w:pStyle w:val="TOC2"/>
            <w:tabs>
              <w:tab w:val="right" w:leader="dot" w:pos="9016"/>
            </w:tabs>
            <w:rPr>
              <w:rFonts w:eastAsiaTheme="minorEastAsia"/>
              <w:noProof/>
              <w:sz w:val="24"/>
              <w:szCs w:val="24"/>
              <w:lang w:eastAsia="en-GB"/>
            </w:rPr>
          </w:pPr>
          <w:hyperlink w:anchor="_Toc227682431" w:history="1">
            <w:r w:rsidRPr="00E411C0">
              <w:rPr>
                <w:rStyle w:val="Hyperlink"/>
                <w:noProof/>
              </w:rPr>
              <w:t>2-2 Ethical risks</w:t>
            </w:r>
            <w:r>
              <w:rPr>
                <w:noProof/>
                <w:webHidden/>
              </w:rPr>
              <w:tab/>
            </w:r>
            <w:r>
              <w:rPr>
                <w:noProof/>
                <w:webHidden/>
              </w:rPr>
              <w:fldChar w:fldCharType="begin"/>
            </w:r>
            <w:r>
              <w:rPr>
                <w:noProof/>
                <w:webHidden/>
              </w:rPr>
              <w:instrText xml:space="preserve"> PAGEREF _Toc227682431 \h </w:instrText>
            </w:r>
            <w:r>
              <w:rPr>
                <w:noProof/>
                <w:webHidden/>
              </w:rPr>
            </w:r>
            <w:r>
              <w:rPr>
                <w:noProof/>
                <w:webHidden/>
              </w:rPr>
              <w:fldChar w:fldCharType="separate"/>
            </w:r>
            <w:r>
              <w:rPr>
                <w:noProof/>
                <w:webHidden/>
              </w:rPr>
              <w:t>5</w:t>
            </w:r>
            <w:r>
              <w:rPr>
                <w:noProof/>
                <w:webHidden/>
              </w:rPr>
              <w:fldChar w:fldCharType="end"/>
            </w:r>
          </w:hyperlink>
        </w:p>
        <w:p w14:paraId="1FC93E65" w14:textId="7755024A" w:rsidR="00CA7E6E" w:rsidRDefault="00CA7E6E">
          <w:pPr>
            <w:pStyle w:val="TOC1"/>
            <w:tabs>
              <w:tab w:val="right" w:leader="dot" w:pos="9016"/>
            </w:tabs>
            <w:rPr>
              <w:rFonts w:eastAsiaTheme="minorEastAsia"/>
              <w:noProof/>
              <w:sz w:val="24"/>
              <w:szCs w:val="24"/>
              <w:lang w:eastAsia="en-GB"/>
            </w:rPr>
          </w:pPr>
          <w:hyperlink w:anchor="_Toc227682432" w:history="1">
            <w:r w:rsidRPr="00E411C0">
              <w:rPr>
                <w:rStyle w:val="Hyperlink"/>
                <w:b/>
                <w:bCs/>
                <w:noProof/>
              </w:rPr>
              <w:t>3 Frameworks and Structures</w:t>
            </w:r>
            <w:r>
              <w:rPr>
                <w:noProof/>
                <w:webHidden/>
              </w:rPr>
              <w:tab/>
            </w:r>
            <w:r>
              <w:rPr>
                <w:noProof/>
                <w:webHidden/>
              </w:rPr>
              <w:fldChar w:fldCharType="begin"/>
            </w:r>
            <w:r>
              <w:rPr>
                <w:noProof/>
                <w:webHidden/>
              </w:rPr>
              <w:instrText xml:space="preserve"> PAGEREF _Toc227682432 \h </w:instrText>
            </w:r>
            <w:r>
              <w:rPr>
                <w:noProof/>
                <w:webHidden/>
              </w:rPr>
            </w:r>
            <w:r>
              <w:rPr>
                <w:noProof/>
                <w:webHidden/>
              </w:rPr>
              <w:fldChar w:fldCharType="separate"/>
            </w:r>
            <w:r>
              <w:rPr>
                <w:noProof/>
                <w:webHidden/>
              </w:rPr>
              <w:t>5</w:t>
            </w:r>
            <w:r>
              <w:rPr>
                <w:noProof/>
                <w:webHidden/>
              </w:rPr>
              <w:fldChar w:fldCharType="end"/>
            </w:r>
          </w:hyperlink>
        </w:p>
        <w:p w14:paraId="066B6D2E" w14:textId="76CC7DAC" w:rsidR="00CA7E6E" w:rsidRDefault="00CA7E6E">
          <w:pPr>
            <w:pStyle w:val="TOC2"/>
            <w:tabs>
              <w:tab w:val="right" w:leader="dot" w:pos="9016"/>
            </w:tabs>
            <w:rPr>
              <w:rFonts w:eastAsiaTheme="minorEastAsia"/>
              <w:noProof/>
              <w:sz w:val="24"/>
              <w:szCs w:val="24"/>
              <w:lang w:eastAsia="en-GB"/>
            </w:rPr>
          </w:pPr>
          <w:hyperlink w:anchor="_Toc227682433" w:history="1">
            <w:r w:rsidRPr="00E411C0">
              <w:rPr>
                <w:rStyle w:val="Hyperlink"/>
                <w:noProof/>
              </w:rPr>
              <w:t>3.1 AI and ML Governance Frameworks</w:t>
            </w:r>
            <w:r>
              <w:rPr>
                <w:noProof/>
                <w:webHidden/>
              </w:rPr>
              <w:tab/>
            </w:r>
            <w:r>
              <w:rPr>
                <w:noProof/>
                <w:webHidden/>
              </w:rPr>
              <w:fldChar w:fldCharType="begin"/>
            </w:r>
            <w:r>
              <w:rPr>
                <w:noProof/>
                <w:webHidden/>
              </w:rPr>
              <w:instrText xml:space="preserve"> PAGEREF _Toc227682433 \h </w:instrText>
            </w:r>
            <w:r>
              <w:rPr>
                <w:noProof/>
                <w:webHidden/>
              </w:rPr>
            </w:r>
            <w:r>
              <w:rPr>
                <w:noProof/>
                <w:webHidden/>
              </w:rPr>
              <w:fldChar w:fldCharType="separate"/>
            </w:r>
            <w:r>
              <w:rPr>
                <w:noProof/>
                <w:webHidden/>
              </w:rPr>
              <w:t>5</w:t>
            </w:r>
            <w:r>
              <w:rPr>
                <w:noProof/>
                <w:webHidden/>
              </w:rPr>
              <w:fldChar w:fldCharType="end"/>
            </w:r>
          </w:hyperlink>
        </w:p>
        <w:p w14:paraId="624831EF" w14:textId="3A337360" w:rsidR="00CA7E6E" w:rsidRDefault="00CA7E6E">
          <w:pPr>
            <w:pStyle w:val="TOC2"/>
            <w:tabs>
              <w:tab w:val="right" w:leader="dot" w:pos="9016"/>
            </w:tabs>
            <w:rPr>
              <w:rFonts w:eastAsiaTheme="minorEastAsia"/>
              <w:noProof/>
              <w:sz w:val="24"/>
              <w:szCs w:val="24"/>
              <w:lang w:eastAsia="en-GB"/>
            </w:rPr>
          </w:pPr>
          <w:hyperlink w:anchor="_Toc227682434" w:history="1">
            <w:r w:rsidRPr="00E411C0">
              <w:rPr>
                <w:rStyle w:val="Hyperlink"/>
                <w:noProof/>
              </w:rPr>
              <w:t>3.2 AI and ML Governance Structures</w:t>
            </w:r>
            <w:r>
              <w:rPr>
                <w:noProof/>
                <w:webHidden/>
              </w:rPr>
              <w:tab/>
            </w:r>
            <w:r>
              <w:rPr>
                <w:noProof/>
                <w:webHidden/>
              </w:rPr>
              <w:fldChar w:fldCharType="begin"/>
            </w:r>
            <w:r>
              <w:rPr>
                <w:noProof/>
                <w:webHidden/>
              </w:rPr>
              <w:instrText xml:space="preserve"> PAGEREF _Toc227682434 \h </w:instrText>
            </w:r>
            <w:r>
              <w:rPr>
                <w:noProof/>
                <w:webHidden/>
              </w:rPr>
            </w:r>
            <w:r>
              <w:rPr>
                <w:noProof/>
                <w:webHidden/>
              </w:rPr>
              <w:fldChar w:fldCharType="separate"/>
            </w:r>
            <w:r>
              <w:rPr>
                <w:noProof/>
                <w:webHidden/>
              </w:rPr>
              <w:t>6</w:t>
            </w:r>
            <w:r>
              <w:rPr>
                <w:noProof/>
                <w:webHidden/>
              </w:rPr>
              <w:fldChar w:fldCharType="end"/>
            </w:r>
          </w:hyperlink>
        </w:p>
        <w:p w14:paraId="06B08ED2" w14:textId="775316E7" w:rsidR="00CA7E6E" w:rsidRDefault="00CA7E6E">
          <w:pPr>
            <w:pStyle w:val="TOC1"/>
            <w:tabs>
              <w:tab w:val="right" w:leader="dot" w:pos="9016"/>
            </w:tabs>
            <w:rPr>
              <w:rFonts w:eastAsiaTheme="minorEastAsia"/>
              <w:noProof/>
              <w:sz w:val="24"/>
              <w:szCs w:val="24"/>
              <w:lang w:eastAsia="en-GB"/>
            </w:rPr>
          </w:pPr>
          <w:hyperlink w:anchor="_Toc227682435" w:history="1">
            <w:r w:rsidRPr="00E411C0">
              <w:rPr>
                <w:rStyle w:val="Hyperlink"/>
                <w:b/>
                <w:bCs/>
                <w:noProof/>
              </w:rPr>
              <w:t>4 Life Cycle Governance Principles</w:t>
            </w:r>
            <w:r>
              <w:rPr>
                <w:noProof/>
                <w:webHidden/>
              </w:rPr>
              <w:tab/>
            </w:r>
            <w:r>
              <w:rPr>
                <w:noProof/>
                <w:webHidden/>
              </w:rPr>
              <w:fldChar w:fldCharType="begin"/>
            </w:r>
            <w:r>
              <w:rPr>
                <w:noProof/>
                <w:webHidden/>
              </w:rPr>
              <w:instrText xml:space="preserve"> PAGEREF _Toc227682435 \h </w:instrText>
            </w:r>
            <w:r>
              <w:rPr>
                <w:noProof/>
                <w:webHidden/>
              </w:rPr>
            </w:r>
            <w:r>
              <w:rPr>
                <w:noProof/>
                <w:webHidden/>
              </w:rPr>
              <w:fldChar w:fldCharType="separate"/>
            </w:r>
            <w:r>
              <w:rPr>
                <w:noProof/>
                <w:webHidden/>
              </w:rPr>
              <w:t>6</w:t>
            </w:r>
            <w:r>
              <w:rPr>
                <w:noProof/>
                <w:webHidden/>
              </w:rPr>
              <w:fldChar w:fldCharType="end"/>
            </w:r>
          </w:hyperlink>
        </w:p>
        <w:p w14:paraId="3E63BE78" w14:textId="7E718140" w:rsidR="00CA7E6E" w:rsidRDefault="00CA7E6E">
          <w:pPr>
            <w:pStyle w:val="TOC2"/>
            <w:tabs>
              <w:tab w:val="right" w:leader="dot" w:pos="9016"/>
            </w:tabs>
            <w:rPr>
              <w:rFonts w:eastAsiaTheme="minorEastAsia"/>
              <w:noProof/>
              <w:sz w:val="24"/>
              <w:szCs w:val="24"/>
              <w:lang w:eastAsia="en-GB"/>
            </w:rPr>
          </w:pPr>
          <w:hyperlink w:anchor="_Toc227682436" w:history="1">
            <w:r w:rsidRPr="00E411C0">
              <w:rPr>
                <w:rStyle w:val="Hyperlink"/>
                <w:noProof/>
              </w:rPr>
              <w:t>4.1 Integrating Governance across the AI Lifecycle</w:t>
            </w:r>
            <w:r>
              <w:rPr>
                <w:noProof/>
                <w:webHidden/>
              </w:rPr>
              <w:tab/>
            </w:r>
            <w:r>
              <w:rPr>
                <w:noProof/>
                <w:webHidden/>
              </w:rPr>
              <w:fldChar w:fldCharType="begin"/>
            </w:r>
            <w:r>
              <w:rPr>
                <w:noProof/>
                <w:webHidden/>
              </w:rPr>
              <w:instrText xml:space="preserve"> PAGEREF _Toc227682436 \h </w:instrText>
            </w:r>
            <w:r>
              <w:rPr>
                <w:noProof/>
                <w:webHidden/>
              </w:rPr>
            </w:r>
            <w:r>
              <w:rPr>
                <w:noProof/>
                <w:webHidden/>
              </w:rPr>
              <w:fldChar w:fldCharType="separate"/>
            </w:r>
            <w:r>
              <w:rPr>
                <w:noProof/>
                <w:webHidden/>
              </w:rPr>
              <w:t>7</w:t>
            </w:r>
            <w:r>
              <w:rPr>
                <w:noProof/>
                <w:webHidden/>
              </w:rPr>
              <w:fldChar w:fldCharType="end"/>
            </w:r>
          </w:hyperlink>
        </w:p>
        <w:p w14:paraId="2038D5DF" w14:textId="4480CFC5" w:rsidR="00CA7E6E" w:rsidRDefault="00CA7E6E">
          <w:pPr>
            <w:pStyle w:val="TOC2"/>
            <w:tabs>
              <w:tab w:val="right" w:leader="dot" w:pos="9016"/>
            </w:tabs>
            <w:rPr>
              <w:rFonts w:eastAsiaTheme="minorEastAsia"/>
              <w:noProof/>
              <w:sz w:val="24"/>
              <w:szCs w:val="24"/>
              <w:lang w:eastAsia="en-GB"/>
            </w:rPr>
          </w:pPr>
          <w:hyperlink w:anchor="_Toc227682443" w:history="1">
            <w:r w:rsidRPr="00E411C0">
              <w:rPr>
                <w:rStyle w:val="Hyperlink"/>
                <w:noProof/>
              </w:rPr>
              <w:t>4.2 AI Governance Methods and Tools</w:t>
            </w:r>
            <w:r>
              <w:rPr>
                <w:noProof/>
                <w:webHidden/>
              </w:rPr>
              <w:tab/>
            </w:r>
            <w:r>
              <w:rPr>
                <w:noProof/>
                <w:webHidden/>
              </w:rPr>
              <w:fldChar w:fldCharType="begin"/>
            </w:r>
            <w:r>
              <w:rPr>
                <w:noProof/>
                <w:webHidden/>
              </w:rPr>
              <w:instrText xml:space="preserve"> PAGEREF _Toc227682443 \h </w:instrText>
            </w:r>
            <w:r>
              <w:rPr>
                <w:noProof/>
                <w:webHidden/>
              </w:rPr>
            </w:r>
            <w:r>
              <w:rPr>
                <w:noProof/>
                <w:webHidden/>
              </w:rPr>
              <w:fldChar w:fldCharType="separate"/>
            </w:r>
            <w:r>
              <w:rPr>
                <w:noProof/>
                <w:webHidden/>
              </w:rPr>
              <w:t>7</w:t>
            </w:r>
            <w:r>
              <w:rPr>
                <w:noProof/>
                <w:webHidden/>
              </w:rPr>
              <w:fldChar w:fldCharType="end"/>
            </w:r>
          </w:hyperlink>
        </w:p>
        <w:p w14:paraId="3F718196" w14:textId="190E94BF" w:rsidR="00CA7E6E" w:rsidRDefault="00CA7E6E">
          <w:pPr>
            <w:pStyle w:val="TOC1"/>
            <w:tabs>
              <w:tab w:val="right" w:leader="dot" w:pos="9016"/>
            </w:tabs>
            <w:rPr>
              <w:rFonts w:eastAsiaTheme="minorEastAsia"/>
              <w:noProof/>
              <w:sz w:val="24"/>
              <w:szCs w:val="24"/>
              <w:lang w:eastAsia="en-GB"/>
            </w:rPr>
          </w:pPr>
          <w:hyperlink w:anchor="_Toc227682444" w:history="1">
            <w:r w:rsidRPr="00E411C0">
              <w:rPr>
                <w:rStyle w:val="Hyperlink"/>
                <w:b/>
                <w:bCs/>
                <w:noProof/>
              </w:rPr>
              <w:t>5 Integrating AI Governance with Security, Risks and Compliance</w:t>
            </w:r>
            <w:r>
              <w:rPr>
                <w:noProof/>
                <w:webHidden/>
              </w:rPr>
              <w:tab/>
            </w:r>
            <w:r>
              <w:rPr>
                <w:noProof/>
                <w:webHidden/>
              </w:rPr>
              <w:fldChar w:fldCharType="begin"/>
            </w:r>
            <w:r>
              <w:rPr>
                <w:noProof/>
                <w:webHidden/>
              </w:rPr>
              <w:instrText xml:space="preserve"> PAGEREF _Toc227682444 \h </w:instrText>
            </w:r>
            <w:r>
              <w:rPr>
                <w:noProof/>
                <w:webHidden/>
              </w:rPr>
            </w:r>
            <w:r>
              <w:rPr>
                <w:noProof/>
                <w:webHidden/>
              </w:rPr>
              <w:fldChar w:fldCharType="separate"/>
            </w:r>
            <w:r>
              <w:rPr>
                <w:noProof/>
                <w:webHidden/>
              </w:rPr>
              <w:t>8</w:t>
            </w:r>
            <w:r>
              <w:rPr>
                <w:noProof/>
                <w:webHidden/>
              </w:rPr>
              <w:fldChar w:fldCharType="end"/>
            </w:r>
          </w:hyperlink>
        </w:p>
        <w:p w14:paraId="00852C77" w14:textId="77E1E4A4" w:rsidR="00CA7E6E" w:rsidRDefault="00CA7E6E">
          <w:pPr>
            <w:pStyle w:val="TOC2"/>
            <w:tabs>
              <w:tab w:val="right" w:leader="dot" w:pos="9016"/>
            </w:tabs>
            <w:rPr>
              <w:rFonts w:eastAsiaTheme="minorEastAsia"/>
              <w:noProof/>
              <w:sz w:val="24"/>
              <w:szCs w:val="24"/>
              <w:lang w:eastAsia="en-GB"/>
            </w:rPr>
          </w:pPr>
          <w:hyperlink w:anchor="_Toc227682445" w:history="1">
            <w:r w:rsidRPr="00E411C0">
              <w:rPr>
                <w:rStyle w:val="Hyperlink"/>
                <w:noProof/>
              </w:rPr>
              <w:t>5.1 Governance vs. security</w:t>
            </w:r>
            <w:r>
              <w:rPr>
                <w:noProof/>
                <w:webHidden/>
              </w:rPr>
              <w:tab/>
            </w:r>
            <w:r>
              <w:rPr>
                <w:noProof/>
                <w:webHidden/>
              </w:rPr>
              <w:fldChar w:fldCharType="begin"/>
            </w:r>
            <w:r>
              <w:rPr>
                <w:noProof/>
                <w:webHidden/>
              </w:rPr>
              <w:instrText xml:space="preserve"> PAGEREF _Toc227682445 \h </w:instrText>
            </w:r>
            <w:r>
              <w:rPr>
                <w:noProof/>
                <w:webHidden/>
              </w:rPr>
            </w:r>
            <w:r>
              <w:rPr>
                <w:noProof/>
                <w:webHidden/>
              </w:rPr>
              <w:fldChar w:fldCharType="separate"/>
            </w:r>
            <w:r>
              <w:rPr>
                <w:noProof/>
                <w:webHidden/>
              </w:rPr>
              <w:t>8</w:t>
            </w:r>
            <w:r>
              <w:rPr>
                <w:noProof/>
                <w:webHidden/>
              </w:rPr>
              <w:fldChar w:fldCharType="end"/>
            </w:r>
          </w:hyperlink>
        </w:p>
        <w:p w14:paraId="100783F6" w14:textId="0EC8E498" w:rsidR="00CA7E6E" w:rsidRDefault="00CA7E6E">
          <w:pPr>
            <w:pStyle w:val="TOC2"/>
            <w:tabs>
              <w:tab w:val="right" w:leader="dot" w:pos="9016"/>
            </w:tabs>
            <w:rPr>
              <w:rFonts w:eastAsiaTheme="minorEastAsia"/>
              <w:noProof/>
              <w:sz w:val="24"/>
              <w:szCs w:val="24"/>
              <w:lang w:eastAsia="en-GB"/>
            </w:rPr>
          </w:pPr>
          <w:hyperlink w:anchor="_Toc227682446" w:history="1">
            <w:r w:rsidRPr="00E411C0">
              <w:rPr>
                <w:rStyle w:val="Hyperlink"/>
                <w:noProof/>
              </w:rPr>
              <w:t>5.2 Regulatory and compliance pressures</w:t>
            </w:r>
            <w:r>
              <w:rPr>
                <w:noProof/>
                <w:webHidden/>
              </w:rPr>
              <w:tab/>
            </w:r>
            <w:r>
              <w:rPr>
                <w:noProof/>
                <w:webHidden/>
              </w:rPr>
              <w:fldChar w:fldCharType="begin"/>
            </w:r>
            <w:r>
              <w:rPr>
                <w:noProof/>
                <w:webHidden/>
              </w:rPr>
              <w:instrText xml:space="preserve"> PAGEREF _Toc227682446 \h </w:instrText>
            </w:r>
            <w:r>
              <w:rPr>
                <w:noProof/>
                <w:webHidden/>
              </w:rPr>
            </w:r>
            <w:r>
              <w:rPr>
                <w:noProof/>
                <w:webHidden/>
              </w:rPr>
              <w:fldChar w:fldCharType="separate"/>
            </w:r>
            <w:r>
              <w:rPr>
                <w:noProof/>
                <w:webHidden/>
              </w:rPr>
              <w:t>8</w:t>
            </w:r>
            <w:r>
              <w:rPr>
                <w:noProof/>
                <w:webHidden/>
              </w:rPr>
              <w:fldChar w:fldCharType="end"/>
            </w:r>
          </w:hyperlink>
        </w:p>
        <w:p w14:paraId="0B5E26B9" w14:textId="4463A6C2" w:rsidR="00CA7E6E" w:rsidRDefault="00CA7E6E">
          <w:pPr>
            <w:pStyle w:val="TOC1"/>
            <w:tabs>
              <w:tab w:val="right" w:leader="dot" w:pos="9016"/>
            </w:tabs>
            <w:rPr>
              <w:rFonts w:eastAsiaTheme="minorEastAsia"/>
              <w:noProof/>
              <w:sz w:val="24"/>
              <w:szCs w:val="24"/>
              <w:lang w:eastAsia="en-GB"/>
            </w:rPr>
          </w:pPr>
          <w:hyperlink w:anchor="_Toc227682447" w:history="1">
            <w:r w:rsidRPr="00E411C0">
              <w:rPr>
                <w:rStyle w:val="Hyperlink"/>
                <w:b/>
                <w:bCs/>
                <w:noProof/>
              </w:rPr>
              <w:t>6. Critical evaluation and practical recommendations</w:t>
            </w:r>
            <w:r>
              <w:rPr>
                <w:noProof/>
                <w:webHidden/>
              </w:rPr>
              <w:tab/>
            </w:r>
            <w:r>
              <w:rPr>
                <w:noProof/>
                <w:webHidden/>
              </w:rPr>
              <w:fldChar w:fldCharType="begin"/>
            </w:r>
            <w:r>
              <w:rPr>
                <w:noProof/>
                <w:webHidden/>
              </w:rPr>
              <w:instrText xml:space="preserve"> PAGEREF _Toc227682447 \h </w:instrText>
            </w:r>
            <w:r>
              <w:rPr>
                <w:noProof/>
                <w:webHidden/>
              </w:rPr>
            </w:r>
            <w:r>
              <w:rPr>
                <w:noProof/>
                <w:webHidden/>
              </w:rPr>
              <w:fldChar w:fldCharType="separate"/>
            </w:r>
            <w:r>
              <w:rPr>
                <w:noProof/>
                <w:webHidden/>
              </w:rPr>
              <w:t>8</w:t>
            </w:r>
            <w:r>
              <w:rPr>
                <w:noProof/>
                <w:webHidden/>
              </w:rPr>
              <w:fldChar w:fldCharType="end"/>
            </w:r>
          </w:hyperlink>
        </w:p>
        <w:p w14:paraId="36004895" w14:textId="4E7ABA5E" w:rsidR="00CA7E6E" w:rsidRDefault="00CA7E6E">
          <w:pPr>
            <w:pStyle w:val="TOC2"/>
            <w:tabs>
              <w:tab w:val="right" w:leader="dot" w:pos="9016"/>
            </w:tabs>
            <w:rPr>
              <w:rFonts w:eastAsiaTheme="minorEastAsia"/>
              <w:noProof/>
              <w:sz w:val="24"/>
              <w:szCs w:val="24"/>
              <w:lang w:eastAsia="en-GB"/>
            </w:rPr>
          </w:pPr>
          <w:hyperlink w:anchor="_Toc227682448" w:history="1">
            <w:r w:rsidRPr="00E411C0">
              <w:rPr>
                <w:rStyle w:val="Hyperlink"/>
                <w:noProof/>
              </w:rPr>
              <w:t>6.1 Key shortcomings in current practice</w:t>
            </w:r>
            <w:r>
              <w:rPr>
                <w:noProof/>
                <w:webHidden/>
              </w:rPr>
              <w:tab/>
            </w:r>
            <w:r>
              <w:rPr>
                <w:noProof/>
                <w:webHidden/>
              </w:rPr>
              <w:fldChar w:fldCharType="begin"/>
            </w:r>
            <w:r>
              <w:rPr>
                <w:noProof/>
                <w:webHidden/>
              </w:rPr>
              <w:instrText xml:space="preserve"> PAGEREF _Toc227682448 \h </w:instrText>
            </w:r>
            <w:r>
              <w:rPr>
                <w:noProof/>
                <w:webHidden/>
              </w:rPr>
            </w:r>
            <w:r>
              <w:rPr>
                <w:noProof/>
                <w:webHidden/>
              </w:rPr>
              <w:fldChar w:fldCharType="separate"/>
            </w:r>
            <w:r>
              <w:rPr>
                <w:noProof/>
                <w:webHidden/>
              </w:rPr>
              <w:t>8</w:t>
            </w:r>
            <w:r>
              <w:rPr>
                <w:noProof/>
                <w:webHidden/>
              </w:rPr>
              <w:fldChar w:fldCharType="end"/>
            </w:r>
          </w:hyperlink>
        </w:p>
        <w:p w14:paraId="43ED5542" w14:textId="731AF8F8" w:rsidR="00CA7E6E" w:rsidRDefault="00CA7E6E">
          <w:pPr>
            <w:pStyle w:val="TOC2"/>
            <w:tabs>
              <w:tab w:val="right" w:leader="dot" w:pos="9016"/>
            </w:tabs>
            <w:rPr>
              <w:rFonts w:eastAsiaTheme="minorEastAsia"/>
              <w:noProof/>
              <w:sz w:val="24"/>
              <w:szCs w:val="24"/>
              <w:lang w:eastAsia="en-GB"/>
            </w:rPr>
          </w:pPr>
          <w:hyperlink w:anchor="_Toc227682449" w:history="1">
            <w:r w:rsidRPr="00E411C0">
              <w:rPr>
                <w:rStyle w:val="Hyperlink"/>
                <w:noProof/>
              </w:rPr>
              <w:t>6.2 The effectiveness of AI governance measures</w:t>
            </w:r>
            <w:r>
              <w:rPr>
                <w:noProof/>
                <w:webHidden/>
              </w:rPr>
              <w:tab/>
            </w:r>
            <w:r>
              <w:rPr>
                <w:noProof/>
                <w:webHidden/>
              </w:rPr>
              <w:fldChar w:fldCharType="begin"/>
            </w:r>
            <w:r>
              <w:rPr>
                <w:noProof/>
                <w:webHidden/>
              </w:rPr>
              <w:instrText xml:space="preserve"> PAGEREF _Toc227682449 \h </w:instrText>
            </w:r>
            <w:r>
              <w:rPr>
                <w:noProof/>
                <w:webHidden/>
              </w:rPr>
            </w:r>
            <w:r>
              <w:rPr>
                <w:noProof/>
                <w:webHidden/>
              </w:rPr>
              <w:fldChar w:fldCharType="separate"/>
            </w:r>
            <w:r>
              <w:rPr>
                <w:noProof/>
                <w:webHidden/>
              </w:rPr>
              <w:t>9</w:t>
            </w:r>
            <w:r>
              <w:rPr>
                <w:noProof/>
                <w:webHidden/>
              </w:rPr>
              <w:fldChar w:fldCharType="end"/>
            </w:r>
          </w:hyperlink>
        </w:p>
        <w:p w14:paraId="02EC8DF6" w14:textId="3BDB7D15" w:rsidR="00CA7E6E" w:rsidRDefault="00CA7E6E">
          <w:pPr>
            <w:pStyle w:val="TOC1"/>
            <w:tabs>
              <w:tab w:val="right" w:leader="dot" w:pos="9016"/>
            </w:tabs>
            <w:rPr>
              <w:rFonts w:eastAsiaTheme="minorEastAsia"/>
              <w:noProof/>
              <w:sz w:val="24"/>
              <w:szCs w:val="24"/>
              <w:lang w:eastAsia="en-GB"/>
            </w:rPr>
          </w:pPr>
          <w:hyperlink w:anchor="_Toc227682450" w:history="1">
            <w:r w:rsidRPr="00E411C0">
              <w:rPr>
                <w:rStyle w:val="Hyperlink"/>
                <w:b/>
                <w:bCs/>
                <w:noProof/>
              </w:rPr>
              <w:t>CONCLUSION</w:t>
            </w:r>
            <w:r>
              <w:rPr>
                <w:noProof/>
                <w:webHidden/>
              </w:rPr>
              <w:tab/>
            </w:r>
            <w:r>
              <w:rPr>
                <w:noProof/>
                <w:webHidden/>
              </w:rPr>
              <w:fldChar w:fldCharType="begin"/>
            </w:r>
            <w:r>
              <w:rPr>
                <w:noProof/>
                <w:webHidden/>
              </w:rPr>
              <w:instrText xml:space="preserve"> PAGEREF _Toc227682450 \h </w:instrText>
            </w:r>
            <w:r>
              <w:rPr>
                <w:noProof/>
                <w:webHidden/>
              </w:rPr>
            </w:r>
            <w:r>
              <w:rPr>
                <w:noProof/>
                <w:webHidden/>
              </w:rPr>
              <w:fldChar w:fldCharType="separate"/>
            </w:r>
            <w:r>
              <w:rPr>
                <w:noProof/>
                <w:webHidden/>
              </w:rPr>
              <w:t>9</w:t>
            </w:r>
            <w:r>
              <w:rPr>
                <w:noProof/>
                <w:webHidden/>
              </w:rPr>
              <w:fldChar w:fldCharType="end"/>
            </w:r>
          </w:hyperlink>
        </w:p>
        <w:p w14:paraId="480EC6B2" w14:textId="1EF9032A" w:rsidR="00CA7E6E" w:rsidRDefault="00CA7E6E">
          <w:pPr>
            <w:pStyle w:val="TOC1"/>
            <w:tabs>
              <w:tab w:val="right" w:leader="dot" w:pos="9016"/>
            </w:tabs>
            <w:rPr>
              <w:rFonts w:eastAsiaTheme="minorEastAsia"/>
              <w:noProof/>
              <w:sz w:val="24"/>
              <w:szCs w:val="24"/>
              <w:lang w:eastAsia="en-GB"/>
            </w:rPr>
          </w:pPr>
          <w:hyperlink w:anchor="_Toc227682451" w:history="1">
            <w:r w:rsidRPr="00E411C0">
              <w:rPr>
                <w:rStyle w:val="Hyperlink"/>
                <w:b/>
                <w:bCs/>
                <w:noProof/>
                <w:highlight w:val="yellow"/>
              </w:rPr>
              <w:t>TASK2 Case Scenario</w:t>
            </w:r>
            <w:r>
              <w:rPr>
                <w:noProof/>
                <w:webHidden/>
              </w:rPr>
              <w:tab/>
            </w:r>
            <w:r>
              <w:rPr>
                <w:noProof/>
                <w:webHidden/>
              </w:rPr>
              <w:fldChar w:fldCharType="begin"/>
            </w:r>
            <w:r>
              <w:rPr>
                <w:noProof/>
                <w:webHidden/>
              </w:rPr>
              <w:instrText xml:space="preserve"> PAGEREF _Toc227682451 \h </w:instrText>
            </w:r>
            <w:r>
              <w:rPr>
                <w:noProof/>
                <w:webHidden/>
              </w:rPr>
            </w:r>
            <w:r>
              <w:rPr>
                <w:noProof/>
                <w:webHidden/>
              </w:rPr>
              <w:fldChar w:fldCharType="separate"/>
            </w:r>
            <w:r>
              <w:rPr>
                <w:noProof/>
                <w:webHidden/>
              </w:rPr>
              <w:t>10</w:t>
            </w:r>
            <w:r>
              <w:rPr>
                <w:noProof/>
                <w:webHidden/>
              </w:rPr>
              <w:fldChar w:fldCharType="end"/>
            </w:r>
          </w:hyperlink>
        </w:p>
        <w:p w14:paraId="79E97A92" w14:textId="2838A213" w:rsidR="00CA7E6E" w:rsidRDefault="00CA7E6E">
          <w:pPr>
            <w:pStyle w:val="TOC1"/>
            <w:tabs>
              <w:tab w:val="right" w:leader="dot" w:pos="9016"/>
            </w:tabs>
            <w:rPr>
              <w:rFonts w:eastAsiaTheme="minorEastAsia"/>
              <w:noProof/>
              <w:sz w:val="24"/>
              <w:szCs w:val="24"/>
              <w:lang w:eastAsia="en-GB"/>
            </w:rPr>
          </w:pPr>
          <w:hyperlink w:anchor="_Toc227682452" w:history="1">
            <w:r w:rsidRPr="00E411C0">
              <w:rPr>
                <w:rStyle w:val="Hyperlink"/>
                <w:b/>
                <w:bCs/>
                <w:noProof/>
              </w:rPr>
              <w:t>INTRODUCTION</w:t>
            </w:r>
            <w:r>
              <w:rPr>
                <w:noProof/>
                <w:webHidden/>
              </w:rPr>
              <w:tab/>
            </w:r>
            <w:r>
              <w:rPr>
                <w:noProof/>
                <w:webHidden/>
              </w:rPr>
              <w:fldChar w:fldCharType="begin"/>
            </w:r>
            <w:r>
              <w:rPr>
                <w:noProof/>
                <w:webHidden/>
              </w:rPr>
              <w:instrText xml:space="preserve"> PAGEREF _Toc227682452 \h </w:instrText>
            </w:r>
            <w:r>
              <w:rPr>
                <w:noProof/>
                <w:webHidden/>
              </w:rPr>
            </w:r>
            <w:r>
              <w:rPr>
                <w:noProof/>
                <w:webHidden/>
              </w:rPr>
              <w:fldChar w:fldCharType="separate"/>
            </w:r>
            <w:r>
              <w:rPr>
                <w:noProof/>
                <w:webHidden/>
              </w:rPr>
              <w:t>10</w:t>
            </w:r>
            <w:r>
              <w:rPr>
                <w:noProof/>
                <w:webHidden/>
              </w:rPr>
              <w:fldChar w:fldCharType="end"/>
            </w:r>
          </w:hyperlink>
        </w:p>
        <w:p w14:paraId="0D103711" w14:textId="03DC0369" w:rsidR="00CA7E6E" w:rsidRDefault="00CA7E6E">
          <w:pPr>
            <w:pStyle w:val="TOC1"/>
            <w:tabs>
              <w:tab w:val="right" w:leader="dot" w:pos="9016"/>
            </w:tabs>
            <w:rPr>
              <w:rFonts w:eastAsiaTheme="minorEastAsia"/>
              <w:noProof/>
              <w:sz w:val="24"/>
              <w:szCs w:val="24"/>
              <w:lang w:eastAsia="en-GB"/>
            </w:rPr>
          </w:pPr>
          <w:hyperlink w:anchor="_Toc227682453" w:history="1">
            <w:r w:rsidRPr="00E411C0">
              <w:rPr>
                <w:rStyle w:val="Hyperlink"/>
                <w:rFonts w:ascii="Arial" w:hAnsi="Arial" w:cs="Arial"/>
                <w:b/>
                <w:bCs/>
                <w:noProof/>
              </w:rPr>
              <w:t>1.Zero</w:t>
            </w:r>
            <w:r w:rsidRPr="00E411C0">
              <w:rPr>
                <w:rStyle w:val="Hyperlink"/>
                <w:rFonts w:ascii="Arial" w:hAnsi="Arial" w:cs="Arial"/>
                <w:b/>
                <w:bCs/>
                <w:noProof/>
              </w:rPr>
              <w:noBreakHyphen/>
              <w:t>Trust–Aligned Security Programme for MediTrust Analytics Ltd</w:t>
            </w:r>
            <w:r>
              <w:rPr>
                <w:noProof/>
                <w:webHidden/>
              </w:rPr>
              <w:tab/>
            </w:r>
            <w:r>
              <w:rPr>
                <w:noProof/>
                <w:webHidden/>
              </w:rPr>
              <w:fldChar w:fldCharType="begin"/>
            </w:r>
            <w:r>
              <w:rPr>
                <w:noProof/>
                <w:webHidden/>
              </w:rPr>
              <w:instrText xml:space="preserve"> PAGEREF _Toc227682453 \h </w:instrText>
            </w:r>
            <w:r>
              <w:rPr>
                <w:noProof/>
                <w:webHidden/>
              </w:rPr>
            </w:r>
            <w:r>
              <w:rPr>
                <w:noProof/>
                <w:webHidden/>
              </w:rPr>
              <w:fldChar w:fldCharType="separate"/>
            </w:r>
            <w:r>
              <w:rPr>
                <w:noProof/>
                <w:webHidden/>
              </w:rPr>
              <w:t>10</w:t>
            </w:r>
            <w:r>
              <w:rPr>
                <w:noProof/>
                <w:webHidden/>
              </w:rPr>
              <w:fldChar w:fldCharType="end"/>
            </w:r>
          </w:hyperlink>
        </w:p>
        <w:p w14:paraId="421D3CC0" w14:textId="5EF6DE4C" w:rsidR="00CA7E6E" w:rsidRDefault="00CA7E6E">
          <w:pPr>
            <w:pStyle w:val="TOC2"/>
            <w:tabs>
              <w:tab w:val="right" w:leader="dot" w:pos="9016"/>
            </w:tabs>
            <w:rPr>
              <w:rFonts w:eastAsiaTheme="minorEastAsia"/>
              <w:noProof/>
              <w:sz w:val="24"/>
              <w:szCs w:val="24"/>
              <w:lang w:eastAsia="en-GB"/>
            </w:rPr>
          </w:pPr>
          <w:hyperlink w:anchor="_Toc227682454" w:history="1">
            <w:r w:rsidRPr="00E411C0">
              <w:rPr>
                <w:rStyle w:val="Hyperlink"/>
                <w:rFonts w:ascii="Arial" w:hAnsi="Arial" w:cs="Arial"/>
                <w:noProof/>
              </w:rPr>
              <w:t>1.1. Strategic Vision</w:t>
            </w:r>
            <w:r>
              <w:rPr>
                <w:noProof/>
                <w:webHidden/>
              </w:rPr>
              <w:tab/>
            </w:r>
            <w:r>
              <w:rPr>
                <w:noProof/>
                <w:webHidden/>
              </w:rPr>
              <w:fldChar w:fldCharType="begin"/>
            </w:r>
            <w:r>
              <w:rPr>
                <w:noProof/>
                <w:webHidden/>
              </w:rPr>
              <w:instrText xml:space="preserve"> PAGEREF _Toc227682454 \h </w:instrText>
            </w:r>
            <w:r>
              <w:rPr>
                <w:noProof/>
                <w:webHidden/>
              </w:rPr>
            </w:r>
            <w:r>
              <w:rPr>
                <w:noProof/>
                <w:webHidden/>
              </w:rPr>
              <w:fldChar w:fldCharType="separate"/>
            </w:r>
            <w:r>
              <w:rPr>
                <w:noProof/>
                <w:webHidden/>
              </w:rPr>
              <w:t>10</w:t>
            </w:r>
            <w:r>
              <w:rPr>
                <w:noProof/>
                <w:webHidden/>
              </w:rPr>
              <w:fldChar w:fldCharType="end"/>
            </w:r>
          </w:hyperlink>
        </w:p>
        <w:p w14:paraId="76B066B7" w14:textId="7FC5C3AB" w:rsidR="00CA7E6E" w:rsidRDefault="00CA7E6E">
          <w:pPr>
            <w:pStyle w:val="TOC1"/>
            <w:tabs>
              <w:tab w:val="right" w:leader="dot" w:pos="9016"/>
            </w:tabs>
            <w:rPr>
              <w:rFonts w:eastAsiaTheme="minorEastAsia"/>
              <w:noProof/>
              <w:sz w:val="24"/>
              <w:szCs w:val="24"/>
              <w:lang w:eastAsia="en-GB"/>
            </w:rPr>
          </w:pPr>
          <w:hyperlink w:anchor="_Toc227682455" w:history="1">
            <w:r w:rsidRPr="00E411C0">
              <w:rPr>
                <w:rStyle w:val="Hyperlink"/>
                <w:rFonts w:ascii="Arial" w:hAnsi="Arial" w:cs="Arial"/>
                <w:b/>
                <w:bCs/>
                <w:noProof/>
              </w:rPr>
              <w:t>2. Organisation Structure</w:t>
            </w:r>
            <w:r>
              <w:rPr>
                <w:noProof/>
                <w:webHidden/>
              </w:rPr>
              <w:tab/>
            </w:r>
            <w:r>
              <w:rPr>
                <w:noProof/>
                <w:webHidden/>
              </w:rPr>
              <w:fldChar w:fldCharType="begin"/>
            </w:r>
            <w:r>
              <w:rPr>
                <w:noProof/>
                <w:webHidden/>
              </w:rPr>
              <w:instrText xml:space="preserve"> PAGEREF _Toc227682455 \h </w:instrText>
            </w:r>
            <w:r>
              <w:rPr>
                <w:noProof/>
                <w:webHidden/>
              </w:rPr>
            </w:r>
            <w:r>
              <w:rPr>
                <w:noProof/>
                <w:webHidden/>
              </w:rPr>
              <w:fldChar w:fldCharType="separate"/>
            </w:r>
            <w:r>
              <w:rPr>
                <w:noProof/>
                <w:webHidden/>
              </w:rPr>
              <w:t>11</w:t>
            </w:r>
            <w:r>
              <w:rPr>
                <w:noProof/>
                <w:webHidden/>
              </w:rPr>
              <w:fldChar w:fldCharType="end"/>
            </w:r>
          </w:hyperlink>
        </w:p>
        <w:p w14:paraId="686179EE" w14:textId="06186624" w:rsidR="00CA7E6E" w:rsidRDefault="00CA7E6E">
          <w:pPr>
            <w:pStyle w:val="TOC2"/>
            <w:tabs>
              <w:tab w:val="right" w:leader="dot" w:pos="9016"/>
            </w:tabs>
            <w:rPr>
              <w:rFonts w:eastAsiaTheme="minorEastAsia"/>
              <w:noProof/>
              <w:sz w:val="24"/>
              <w:szCs w:val="24"/>
              <w:lang w:eastAsia="en-GB"/>
            </w:rPr>
          </w:pPr>
          <w:hyperlink w:anchor="_Toc227682456" w:history="1">
            <w:r w:rsidRPr="00E411C0">
              <w:rPr>
                <w:rStyle w:val="Hyperlink"/>
                <w:rFonts w:ascii="Arial" w:hAnsi="Arial" w:cs="Arial"/>
                <w:noProof/>
              </w:rPr>
              <w:t>2.1 Regulatory Context</w:t>
            </w:r>
            <w:r>
              <w:rPr>
                <w:noProof/>
                <w:webHidden/>
              </w:rPr>
              <w:tab/>
            </w:r>
            <w:r>
              <w:rPr>
                <w:noProof/>
                <w:webHidden/>
              </w:rPr>
              <w:fldChar w:fldCharType="begin"/>
            </w:r>
            <w:r>
              <w:rPr>
                <w:noProof/>
                <w:webHidden/>
              </w:rPr>
              <w:instrText xml:space="preserve"> PAGEREF _Toc227682456 \h </w:instrText>
            </w:r>
            <w:r>
              <w:rPr>
                <w:noProof/>
                <w:webHidden/>
              </w:rPr>
            </w:r>
            <w:r>
              <w:rPr>
                <w:noProof/>
                <w:webHidden/>
              </w:rPr>
              <w:fldChar w:fldCharType="separate"/>
            </w:r>
            <w:r>
              <w:rPr>
                <w:noProof/>
                <w:webHidden/>
              </w:rPr>
              <w:t>11</w:t>
            </w:r>
            <w:r>
              <w:rPr>
                <w:noProof/>
                <w:webHidden/>
              </w:rPr>
              <w:fldChar w:fldCharType="end"/>
            </w:r>
          </w:hyperlink>
        </w:p>
        <w:p w14:paraId="7E8F9E9C" w14:textId="083EF5CD" w:rsidR="00CA7E6E" w:rsidRDefault="00CA7E6E">
          <w:pPr>
            <w:pStyle w:val="TOC2"/>
            <w:tabs>
              <w:tab w:val="right" w:leader="dot" w:pos="9016"/>
            </w:tabs>
            <w:rPr>
              <w:rFonts w:eastAsiaTheme="minorEastAsia"/>
              <w:noProof/>
              <w:sz w:val="24"/>
              <w:szCs w:val="24"/>
              <w:lang w:eastAsia="en-GB"/>
            </w:rPr>
          </w:pPr>
          <w:hyperlink w:anchor="_Toc227682457" w:history="1">
            <w:r w:rsidRPr="00E411C0">
              <w:rPr>
                <w:rStyle w:val="Hyperlink"/>
                <w:noProof/>
              </w:rPr>
              <w:t>2.2 General Data Protection Regulation (GDPR)</w:t>
            </w:r>
            <w:r>
              <w:rPr>
                <w:noProof/>
                <w:webHidden/>
              </w:rPr>
              <w:tab/>
            </w:r>
            <w:r>
              <w:rPr>
                <w:noProof/>
                <w:webHidden/>
              </w:rPr>
              <w:fldChar w:fldCharType="begin"/>
            </w:r>
            <w:r>
              <w:rPr>
                <w:noProof/>
                <w:webHidden/>
              </w:rPr>
              <w:instrText xml:space="preserve"> PAGEREF _Toc227682457 \h </w:instrText>
            </w:r>
            <w:r>
              <w:rPr>
                <w:noProof/>
                <w:webHidden/>
              </w:rPr>
            </w:r>
            <w:r>
              <w:rPr>
                <w:noProof/>
                <w:webHidden/>
              </w:rPr>
              <w:fldChar w:fldCharType="separate"/>
            </w:r>
            <w:r>
              <w:rPr>
                <w:noProof/>
                <w:webHidden/>
              </w:rPr>
              <w:t>11</w:t>
            </w:r>
            <w:r>
              <w:rPr>
                <w:noProof/>
                <w:webHidden/>
              </w:rPr>
              <w:fldChar w:fldCharType="end"/>
            </w:r>
          </w:hyperlink>
        </w:p>
        <w:p w14:paraId="66C4D03D" w14:textId="2DF7179F" w:rsidR="00CA7E6E" w:rsidRDefault="00CA7E6E">
          <w:pPr>
            <w:pStyle w:val="TOC2"/>
            <w:tabs>
              <w:tab w:val="right" w:leader="dot" w:pos="9016"/>
            </w:tabs>
            <w:rPr>
              <w:rFonts w:eastAsiaTheme="minorEastAsia"/>
              <w:noProof/>
              <w:sz w:val="24"/>
              <w:szCs w:val="24"/>
              <w:lang w:eastAsia="en-GB"/>
            </w:rPr>
          </w:pPr>
          <w:hyperlink w:anchor="_Toc227682458" w:history="1">
            <w:r w:rsidRPr="00E411C0">
              <w:rPr>
                <w:rStyle w:val="Hyperlink"/>
                <w:rFonts w:ascii="Arial" w:hAnsi="Arial" w:cs="Arial"/>
                <w:noProof/>
              </w:rPr>
              <w:t>2.3 Digital Operational Resilience Act (DORA)</w:t>
            </w:r>
            <w:r>
              <w:rPr>
                <w:noProof/>
                <w:webHidden/>
              </w:rPr>
              <w:tab/>
            </w:r>
            <w:r>
              <w:rPr>
                <w:noProof/>
                <w:webHidden/>
              </w:rPr>
              <w:fldChar w:fldCharType="begin"/>
            </w:r>
            <w:r>
              <w:rPr>
                <w:noProof/>
                <w:webHidden/>
              </w:rPr>
              <w:instrText xml:space="preserve"> PAGEREF _Toc227682458 \h </w:instrText>
            </w:r>
            <w:r>
              <w:rPr>
                <w:noProof/>
                <w:webHidden/>
              </w:rPr>
            </w:r>
            <w:r>
              <w:rPr>
                <w:noProof/>
                <w:webHidden/>
              </w:rPr>
              <w:fldChar w:fldCharType="separate"/>
            </w:r>
            <w:r>
              <w:rPr>
                <w:noProof/>
                <w:webHidden/>
              </w:rPr>
              <w:t>11</w:t>
            </w:r>
            <w:r>
              <w:rPr>
                <w:noProof/>
                <w:webHidden/>
              </w:rPr>
              <w:fldChar w:fldCharType="end"/>
            </w:r>
          </w:hyperlink>
        </w:p>
        <w:p w14:paraId="2775A0E2" w14:textId="1024870B" w:rsidR="00CA7E6E" w:rsidRDefault="00CA7E6E">
          <w:pPr>
            <w:pStyle w:val="TOC1"/>
            <w:tabs>
              <w:tab w:val="right" w:leader="dot" w:pos="9016"/>
            </w:tabs>
            <w:rPr>
              <w:rFonts w:eastAsiaTheme="minorEastAsia"/>
              <w:noProof/>
              <w:sz w:val="24"/>
              <w:szCs w:val="24"/>
              <w:lang w:eastAsia="en-GB"/>
            </w:rPr>
          </w:pPr>
          <w:hyperlink w:anchor="_Toc227682459" w:history="1">
            <w:r w:rsidRPr="00E411C0">
              <w:rPr>
                <w:rStyle w:val="Hyperlink"/>
                <w:rFonts w:ascii="Arial" w:hAnsi="Arial" w:cs="Arial"/>
                <w:b/>
                <w:bCs/>
                <w:noProof/>
              </w:rPr>
              <w:t>3. Policies and procedures</w:t>
            </w:r>
            <w:r>
              <w:rPr>
                <w:noProof/>
                <w:webHidden/>
              </w:rPr>
              <w:tab/>
            </w:r>
            <w:r>
              <w:rPr>
                <w:noProof/>
                <w:webHidden/>
              </w:rPr>
              <w:fldChar w:fldCharType="begin"/>
            </w:r>
            <w:r>
              <w:rPr>
                <w:noProof/>
                <w:webHidden/>
              </w:rPr>
              <w:instrText xml:space="preserve"> PAGEREF _Toc227682459 \h </w:instrText>
            </w:r>
            <w:r>
              <w:rPr>
                <w:noProof/>
                <w:webHidden/>
              </w:rPr>
            </w:r>
            <w:r>
              <w:rPr>
                <w:noProof/>
                <w:webHidden/>
              </w:rPr>
              <w:fldChar w:fldCharType="separate"/>
            </w:r>
            <w:r>
              <w:rPr>
                <w:noProof/>
                <w:webHidden/>
              </w:rPr>
              <w:t>11</w:t>
            </w:r>
            <w:r>
              <w:rPr>
                <w:noProof/>
                <w:webHidden/>
              </w:rPr>
              <w:fldChar w:fldCharType="end"/>
            </w:r>
          </w:hyperlink>
        </w:p>
        <w:p w14:paraId="66A9C714" w14:textId="6C185C52" w:rsidR="00CA7E6E" w:rsidRDefault="00CA7E6E">
          <w:pPr>
            <w:pStyle w:val="TOC2"/>
            <w:tabs>
              <w:tab w:val="right" w:leader="dot" w:pos="9016"/>
            </w:tabs>
            <w:rPr>
              <w:rFonts w:eastAsiaTheme="minorEastAsia"/>
              <w:noProof/>
              <w:sz w:val="24"/>
              <w:szCs w:val="24"/>
              <w:lang w:eastAsia="en-GB"/>
            </w:rPr>
          </w:pPr>
          <w:hyperlink w:anchor="_Toc227682460" w:history="1">
            <w:r w:rsidRPr="00E411C0">
              <w:rPr>
                <w:rStyle w:val="Hyperlink"/>
                <w:rFonts w:ascii="Arial" w:hAnsi="Arial" w:cs="Arial"/>
                <w:noProof/>
              </w:rPr>
              <w:t>3.1 AI Use Policy</w:t>
            </w:r>
            <w:r>
              <w:rPr>
                <w:noProof/>
                <w:webHidden/>
              </w:rPr>
              <w:tab/>
            </w:r>
            <w:r>
              <w:rPr>
                <w:noProof/>
                <w:webHidden/>
              </w:rPr>
              <w:fldChar w:fldCharType="begin"/>
            </w:r>
            <w:r>
              <w:rPr>
                <w:noProof/>
                <w:webHidden/>
              </w:rPr>
              <w:instrText xml:space="preserve"> PAGEREF _Toc227682460 \h </w:instrText>
            </w:r>
            <w:r>
              <w:rPr>
                <w:noProof/>
                <w:webHidden/>
              </w:rPr>
            </w:r>
            <w:r>
              <w:rPr>
                <w:noProof/>
                <w:webHidden/>
              </w:rPr>
              <w:fldChar w:fldCharType="separate"/>
            </w:r>
            <w:r>
              <w:rPr>
                <w:noProof/>
                <w:webHidden/>
              </w:rPr>
              <w:t>12</w:t>
            </w:r>
            <w:r>
              <w:rPr>
                <w:noProof/>
                <w:webHidden/>
              </w:rPr>
              <w:fldChar w:fldCharType="end"/>
            </w:r>
          </w:hyperlink>
        </w:p>
        <w:p w14:paraId="1A474753" w14:textId="2E879999" w:rsidR="00CA7E6E" w:rsidRDefault="00CA7E6E">
          <w:pPr>
            <w:pStyle w:val="TOC2"/>
            <w:tabs>
              <w:tab w:val="right" w:leader="dot" w:pos="9016"/>
            </w:tabs>
            <w:rPr>
              <w:rFonts w:eastAsiaTheme="minorEastAsia"/>
              <w:noProof/>
              <w:sz w:val="24"/>
              <w:szCs w:val="24"/>
              <w:lang w:eastAsia="en-GB"/>
            </w:rPr>
          </w:pPr>
          <w:hyperlink w:anchor="_Toc227682461" w:history="1">
            <w:r w:rsidRPr="00E411C0">
              <w:rPr>
                <w:rStyle w:val="Hyperlink"/>
                <w:rFonts w:ascii="Arial" w:hAnsi="Arial" w:cs="Arial"/>
                <w:noProof/>
              </w:rPr>
              <w:t>3.2 Secure SaaS Configuration Policy</w:t>
            </w:r>
            <w:r>
              <w:rPr>
                <w:noProof/>
                <w:webHidden/>
              </w:rPr>
              <w:tab/>
            </w:r>
            <w:r>
              <w:rPr>
                <w:noProof/>
                <w:webHidden/>
              </w:rPr>
              <w:fldChar w:fldCharType="begin"/>
            </w:r>
            <w:r>
              <w:rPr>
                <w:noProof/>
                <w:webHidden/>
              </w:rPr>
              <w:instrText xml:space="preserve"> PAGEREF _Toc227682461 \h </w:instrText>
            </w:r>
            <w:r>
              <w:rPr>
                <w:noProof/>
                <w:webHidden/>
              </w:rPr>
            </w:r>
            <w:r>
              <w:rPr>
                <w:noProof/>
                <w:webHidden/>
              </w:rPr>
              <w:fldChar w:fldCharType="separate"/>
            </w:r>
            <w:r>
              <w:rPr>
                <w:noProof/>
                <w:webHidden/>
              </w:rPr>
              <w:t>12</w:t>
            </w:r>
            <w:r>
              <w:rPr>
                <w:noProof/>
                <w:webHidden/>
              </w:rPr>
              <w:fldChar w:fldCharType="end"/>
            </w:r>
          </w:hyperlink>
        </w:p>
        <w:p w14:paraId="3B87F4B3" w14:textId="0F384DC2" w:rsidR="00CA7E6E" w:rsidRDefault="00CA7E6E">
          <w:pPr>
            <w:pStyle w:val="TOC2"/>
            <w:tabs>
              <w:tab w:val="right" w:leader="dot" w:pos="9016"/>
            </w:tabs>
            <w:rPr>
              <w:rFonts w:eastAsiaTheme="minorEastAsia"/>
              <w:noProof/>
              <w:sz w:val="24"/>
              <w:szCs w:val="24"/>
              <w:lang w:eastAsia="en-GB"/>
            </w:rPr>
          </w:pPr>
          <w:hyperlink w:anchor="_Toc227682462" w:history="1">
            <w:r w:rsidRPr="00E411C0">
              <w:rPr>
                <w:rStyle w:val="Hyperlink"/>
                <w:rFonts w:ascii="Arial" w:hAnsi="Arial" w:cs="Arial"/>
                <w:noProof/>
              </w:rPr>
              <w:t>3.3 BYOD Policy for Hybrid Workforce</w:t>
            </w:r>
            <w:r>
              <w:rPr>
                <w:noProof/>
                <w:webHidden/>
              </w:rPr>
              <w:tab/>
            </w:r>
            <w:r>
              <w:rPr>
                <w:noProof/>
                <w:webHidden/>
              </w:rPr>
              <w:fldChar w:fldCharType="begin"/>
            </w:r>
            <w:r>
              <w:rPr>
                <w:noProof/>
                <w:webHidden/>
              </w:rPr>
              <w:instrText xml:space="preserve"> PAGEREF _Toc227682462 \h </w:instrText>
            </w:r>
            <w:r>
              <w:rPr>
                <w:noProof/>
                <w:webHidden/>
              </w:rPr>
            </w:r>
            <w:r>
              <w:rPr>
                <w:noProof/>
                <w:webHidden/>
              </w:rPr>
              <w:fldChar w:fldCharType="separate"/>
            </w:r>
            <w:r>
              <w:rPr>
                <w:noProof/>
                <w:webHidden/>
              </w:rPr>
              <w:t>13</w:t>
            </w:r>
            <w:r>
              <w:rPr>
                <w:noProof/>
                <w:webHidden/>
              </w:rPr>
              <w:fldChar w:fldCharType="end"/>
            </w:r>
          </w:hyperlink>
        </w:p>
        <w:p w14:paraId="69C33DAF" w14:textId="253BD635" w:rsidR="00CA7E6E" w:rsidRDefault="00CA7E6E">
          <w:pPr>
            <w:pStyle w:val="TOC1"/>
            <w:tabs>
              <w:tab w:val="right" w:leader="dot" w:pos="9016"/>
            </w:tabs>
            <w:rPr>
              <w:rFonts w:eastAsiaTheme="minorEastAsia"/>
              <w:noProof/>
              <w:sz w:val="24"/>
              <w:szCs w:val="24"/>
              <w:lang w:eastAsia="en-GB"/>
            </w:rPr>
          </w:pPr>
          <w:hyperlink w:anchor="_Toc227682463" w:history="1">
            <w:r w:rsidRPr="00E411C0">
              <w:rPr>
                <w:rStyle w:val="Hyperlink"/>
                <w:rFonts w:ascii="Arial" w:hAnsi="Arial" w:cs="Arial"/>
                <w:b/>
                <w:bCs/>
                <w:noProof/>
              </w:rPr>
              <w:t>4. Compliance Strategy (GDPR, DORA, NIS2)</w:t>
            </w:r>
            <w:r>
              <w:rPr>
                <w:noProof/>
                <w:webHidden/>
              </w:rPr>
              <w:tab/>
            </w:r>
            <w:r>
              <w:rPr>
                <w:noProof/>
                <w:webHidden/>
              </w:rPr>
              <w:fldChar w:fldCharType="begin"/>
            </w:r>
            <w:r>
              <w:rPr>
                <w:noProof/>
                <w:webHidden/>
              </w:rPr>
              <w:instrText xml:space="preserve"> PAGEREF _Toc227682463 \h </w:instrText>
            </w:r>
            <w:r>
              <w:rPr>
                <w:noProof/>
                <w:webHidden/>
              </w:rPr>
            </w:r>
            <w:r>
              <w:rPr>
                <w:noProof/>
                <w:webHidden/>
              </w:rPr>
              <w:fldChar w:fldCharType="separate"/>
            </w:r>
            <w:r>
              <w:rPr>
                <w:noProof/>
                <w:webHidden/>
              </w:rPr>
              <w:t>13</w:t>
            </w:r>
            <w:r>
              <w:rPr>
                <w:noProof/>
                <w:webHidden/>
              </w:rPr>
              <w:fldChar w:fldCharType="end"/>
            </w:r>
          </w:hyperlink>
        </w:p>
        <w:p w14:paraId="0222476F" w14:textId="1A74327F" w:rsidR="00CA7E6E" w:rsidRDefault="00CA7E6E">
          <w:pPr>
            <w:pStyle w:val="TOC2"/>
            <w:tabs>
              <w:tab w:val="right" w:leader="dot" w:pos="9016"/>
            </w:tabs>
            <w:rPr>
              <w:rFonts w:eastAsiaTheme="minorEastAsia"/>
              <w:noProof/>
              <w:sz w:val="24"/>
              <w:szCs w:val="24"/>
              <w:lang w:eastAsia="en-GB"/>
            </w:rPr>
          </w:pPr>
          <w:hyperlink w:anchor="_Toc227682464" w:history="1">
            <w:r w:rsidRPr="00E411C0">
              <w:rPr>
                <w:rStyle w:val="Hyperlink"/>
                <w:rFonts w:ascii="Arial" w:hAnsi="Arial" w:cs="Arial"/>
                <w:noProof/>
              </w:rPr>
              <w:t>4.1 DORA (Digital Operational Resilience Act)</w:t>
            </w:r>
            <w:r>
              <w:rPr>
                <w:noProof/>
                <w:webHidden/>
              </w:rPr>
              <w:tab/>
            </w:r>
            <w:r>
              <w:rPr>
                <w:noProof/>
                <w:webHidden/>
              </w:rPr>
              <w:fldChar w:fldCharType="begin"/>
            </w:r>
            <w:r>
              <w:rPr>
                <w:noProof/>
                <w:webHidden/>
              </w:rPr>
              <w:instrText xml:space="preserve"> PAGEREF _Toc227682464 \h </w:instrText>
            </w:r>
            <w:r>
              <w:rPr>
                <w:noProof/>
                <w:webHidden/>
              </w:rPr>
            </w:r>
            <w:r>
              <w:rPr>
                <w:noProof/>
                <w:webHidden/>
              </w:rPr>
              <w:fldChar w:fldCharType="separate"/>
            </w:r>
            <w:r>
              <w:rPr>
                <w:noProof/>
                <w:webHidden/>
              </w:rPr>
              <w:t>13</w:t>
            </w:r>
            <w:r>
              <w:rPr>
                <w:noProof/>
                <w:webHidden/>
              </w:rPr>
              <w:fldChar w:fldCharType="end"/>
            </w:r>
          </w:hyperlink>
        </w:p>
        <w:p w14:paraId="781B0D2A" w14:textId="0AD42435" w:rsidR="00CA7E6E" w:rsidRDefault="00CA7E6E">
          <w:pPr>
            <w:pStyle w:val="TOC2"/>
            <w:tabs>
              <w:tab w:val="right" w:leader="dot" w:pos="9016"/>
            </w:tabs>
            <w:rPr>
              <w:rFonts w:eastAsiaTheme="minorEastAsia"/>
              <w:noProof/>
              <w:sz w:val="24"/>
              <w:szCs w:val="24"/>
              <w:lang w:eastAsia="en-GB"/>
            </w:rPr>
          </w:pPr>
          <w:hyperlink w:anchor="_Toc227682465" w:history="1">
            <w:r w:rsidRPr="00E411C0">
              <w:rPr>
                <w:rStyle w:val="Hyperlink"/>
                <w:rFonts w:ascii="Arial" w:hAnsi="Arial" w:cs="Arial"/>
                <w:noProof/>
              </w:rPr>
              <w:t>4.2 NIS2 (Network Information Security Directive2)</w:t>
            </w:r>
            <w:r>
              <w:rPr>
                <w:noProof/>
                <w:webHidden/>
              </w:rPr>
              <w:tab/>
            </w:r>
            <w:r>
              <w:rPr>
                <w:noProof/>
                <w:webHidden/>
              </w:rPr>
              <w:fldChar w:fldCharType="begin"/>
            </w:r>
            <w:r>
              <w:rPr>
                <w:noProof/>
                <w:webHidden/>
              </w:rPr>
              <w:instrText xml:space="preserve"> PAGEREF _Toc227682465 \h </w:instrText>
            </w:r>
            <w:r>
              <w:rPr>
                <w:noProof/>
                <w:webHidden/>
              </w:rPr>
            </w:r>
            <w:r>
              <w:rPr>
                <w:noProof/>
                <w:webHidden/>
              </w:rPr>
              <w:fldChar w:fldCharType="separate"/>
            </w:r>
            <w:r>
              <w:rPr>
                <w:noProof/>
                <w:webHidden/>
              </w:rPr>
              <w:t>14</w:t>
            </w:r>
            <w:r>
              <w:rPr>
                <w:noProof/>
                <w:webHidden/>
              </w:rPr>
              <w:fldChar w:fldCharType="end"/>
            </w:r>
          </w:hyperlink>
        </w:p>
        <w:p w14:paraId="40D50C08" w14:textId="7C333A77" w:rsidR="00CA7E6E" w:rsidRDefault="00CA7E6E">
          <w:pPr>
            <w:pStyle w:val="TOC2"/>
            <w:tabs>
              <w:tab w:val="right" w:leader="dot" w:pos="9016"/>
            </w:tabs>
            <w:rPr>
              <w:rFonts w:eastAsiaTheme="minorEastAsia"/>
              <w:noProof/>
              <w:sz w:val="24"/>
              <w:szCs w:val="24"/>
              <w:lang w:eastAsia="en-GB"/>
            </w:rPr>
          </w:pPr>
          <w:hyperlink w:anchor="_Toc227682466" w:history="1">
            <w:r w:rsidRPr="00E411C0">
              <w:rPr>
                <w:rStyle w:val="Hyperlink"/>
                <w:rFonts w:ascii="Arial" w:hAnsi="Arial" w:cs="Arial"/>
                <w:noProof/>
              </w:rPr>
              <w:t>4.3 GDPR (General Data Protection Regulation)</w:t>
            </w:r>
            <w:r>
              <w:rPr>
                <w:noProof/>
                <w:webHidden/>
              </w:rPr>
              <w:tab/>
            </w:r>
            <w:r>
              <w:rPr>
                <w:noProof/>
                <w:webHidden/>
              </w:rPr>
              <w:fldChar w:fldCharType="begin"/>
            </w:r>
            <w:r>
              <w:rPr>
                <w:noProof/>
                <w:webHidden/>
              </w:rPr>
              <w:instrText xml:space="preserve"> PAGEREF _Toc227682466 \h </w:instrText>
            </w:r>
            <w:r>
              <w:rPr>
                <w:noProof/>
                <w:webHidden/>
              </w:rPr>
            </w:r>
            <w:r>
              <w:rPr>
                <w:noProof/>
                <w:webHidden/>
              </w:rPr>
              <w:fldChar w:fldCharType="separate"/>
            </w:r>
            <w:r>
              <w:rPr>
                <w:noProof/>
                <w:webHidden/>
              </w:rPr>
              <w:t>14</w:t>
            </w:r>
            <w:r>
              <w:rPr>
                <w:noProof/>
                <w:webHidden/>
              </w:rPr>
              <w:fldChar w:fldCharType="end"/>
            </w:r>
          </w:hyperlink>
        </w:p>
        <w:p w14:paraId="483B5E8E" w14:textId="250A9E4C" w:rsidR="00CA7E6E" w:rsidRDefault="00CA7E6E">
          <w:pPr>
            <w:pStyle w:val="TOC1"/>
            <w:tabs>
              <w:tab w:val="right" w:leader="dot" w:pos="9016"/>
            </w:tabs>
            <w:rPr>
              <w:rFonts w:eastAsiaTheme="minorEastAsia"/>
              <w:noProof/>
              <w:sz w:val="24"/>
              <w:szCs w:val="24"/>
              <w:lang w:eastAsia="en-GB"/>
            </w:rPr>
          </w:pPr>
          <w:hyperlink w:anchor="_Toc227682467" w:history="1">
            <w:r w:rsidRPr="00E411C0">
              <w:rPr>
                <w:rStyle w:val="Hyperlink"/>
                <w:rFonts w:ascii="Arial" w:hAnsi="Arial" w:cs="Arial"/>
                <w:b/>
                <w:bCs/>
                <w:noProof/>
              </w:rPr>
              <w:t>5. MediTrust Governance &amp; Strategy (NIST CSF 2.0)</w:t>
            </w:r>
            <w:r>
              <w:rPr>
                <w:noProof/>
                <w:webHidden/>
              </w:rPr>
              <w:tab/>
            </w:r>
            <w:r>
              <w:rPr>
                <w:noProof/>
                <w:webHidden/>
              </w:rPr>
              <w:fldChar w:fldCharType="begin"/>
            </w:r>
            <w:r>
              <w:rPr>
                <w:noProof/>
                <w:webHidden/>
              </w:rPr>
              <w:instrText xml:space="preserve"> PAGEREF _Toc227682467 \h </w:instrText>
            </w:r>
            <w:r>
              <w:rPr>
                <w:noProof/>
                <w:webHidden/>
              </w:rPr>
            </w:r>
            <w:r>
              <w:rPr>
                <w:noProof/>
                <w:webHidden/>
              </w:rPr>
              <w:fldChar w:fldCharType="separate"/>
            </w:r>
            <w:r>
              <w:rPr>
                <w:noProof/>
                <w:webHidden/>
              </w:rPr>
              <w:t>14</w:t>
            </w:r>
            <w:r>
              <w:rPr>
                <w:noProof/>
                <w:webHidden/>
              </w:rPr>
              <w:fldChar w:fldCharType="end"/>
            </w:r>
          </w:hyperlink>
        </w:p>
        <w:p w14:paraId="28A74AA6" w14:textId="573BC3E0" w:rsidR="00CA7E6E" w:rsidRDefault="00CA7E6E">
          <w:pPr>
            <w:pStyle w:val="TOC1"/>
            <w:tabs>
              <w:tab w:val="right" w:leader="dot" w:pos="9016"/>
            </w:tabs>
            <w:rPr>
              <w:rFonts w:eastAsiaTheme="minorEastAsia"/>
              <w:noProof/>
              <w:sz w:val="24"/>
              <w:szCs w:val="24"/>
              <w:lang w:eastAsia="en-GB"/>
            </w:rPr>
          </w:pPr>
          <w:hyperlink w:anchor="_Toc227682468" w:history="1">
            <w:r w:rsidRPr="00E411C0">
              <w:rPr>
                <w:rStyle w:val="Hyperlink"/>
                <w:rFonts w:ascii="Arial" w:hAnsi="Arial" w:cs="Arial"/>
                <w:b/>
                <w:bCs/>
                <w:noProof/>
              </w:rPr>
              <w:t>6. Risks Assessment</w:t>
            </w:r>
            <w:r>
              <w:rPr>
                <w:noProof/>
                <w:webHidden/>
              </w:rPr>
              <w:tab/>
            </w:r>
            <w:r>
              <w:rPr>
                <w:noProof/>
                <w:webHidden/>
              </w:rPr>
              <w:fldChar w:fldCharType="begin"/>
            </w:r>
            <w:r>
              <w:rPr>
                <w:noProof/>
                <w:webHidden/>
              </w:rPr>
              <w:instrText xml:space="preserve"> PAGEREF _Toc227682468 \h </w:instrText>
            </w:r>
            <w:r>
              <w:rPr>
                <w:noProof/>
                <w:webHidden/>
              </w:rPr>
            </w:r>
            <w:r>
              <w:rPr>
                <w:noProof/>
                <w:webHidden/>
              </w:rPr>
              <w:fldChar w:fldCharType="separate"/>
            </w:r>
            <w:r>
              <w:rPr>
                <w:noProof/>
                <w:webHidden/>
              </w:rPr>
              <w:t>15</w:t>
            </w:r>
            <w:r>
              <w:rPr>
                <w:noProof/>
                <w:webHidden/>
              </w:rPr>
              <w:fldChar w:fldCharType="end"/>
            </w:r>
          </w:hyperlink>
        </w:p>
        <w:p w14:paraId="34E78CB6" w14:textId="793E2392" w:rsidR="00CA7E6E" w:rsidRDefault="00CA7E6E">
          <w:pPr>
            <w:pStyle w:val="TOC2"/>
            <w:tabs>
              <w:tab w:val="right" w:leader="dot" w:pos="9016"/>
            </w:tabs>
            <w:rPr>
              <w:rFonts w:eastAsiaTheme="minorEastAsia"/>
              <w:noProof/>
              <w:sz w:val="24"/>
              <w:szCs w:val="24"/>
              <w:lang w:eastAsia="en-GB"/>
            </w:rPr>
          </w:pPr>
          <w:hyperlink w:anchor="_Toc227682469" w:history="1">
            <w:r w:rsidRPr="00E411C0">
              <w:rPr>
                <w:rStyle w:val="Hyperlink"/>
                <w:rFonts w:ascii="Arial" w:hAnsi="Arial" w:cs="Arial"/>
                <w:noProof/>
              </w:rPr>
              <w:t>6.1 Key Risks of MediTrust</w:t>
            </w:r>
            <w:r>
              <w:rPr>
                <w:noProof/>
                <w:webHidden/>
              </w:rPr>
              <w:tab/>
            </w:r>
            <w:r>
              <w:rPr>
                <w:noProof/>
                <w:webHidden/>
              </w:rPr>
              <w:fldChar w:fldCharType="begin"/>
            </w:r>
            <w:r>
              <w:rPr>
                <w:noProof/>
                <w:webHidden/>
              </w:rPr>
              <w:instrText xml:space="preserve"> PAGEREF _Toc227682469 \h </w:instrText>
            </w:r>
            <w:r>
              <w:rPr>
                <w:noProof/>
                <w:webHidden/>
              </w:rPr>
            </w:r>
            <w:r>
              <w:rPr>
                <w:noProof/>
                <w:webHidden/>
              </w:rPr>
              <w:fldChar w:fldCharType="separate"/>
            </w:r>
            <w:r>
              <w:rPr>
                <w:noProof/>
                <w:webHidden/>
              </w:rPr>
              <w:t>15</w:t>
            </w:r>
            <w:r>
              <w:rPr>
                <w:noProof/>
                <w:webHidden/>
              </w:rPr>
              <w:fldChar w:fldCharType="end"/>
            </w:r>
          </w:hyperlink>
        </w:p>
        <w:p w14:paraId="320DE3C1" w14:textId="526F3834" w:rsidR="00CA7E6E" w:rsidRDefault="00CA7E6E">
          <w:pPr>
            <w:pStyle w:val="TOC2"/>
            <w:tabs>
              <w:tab w:val="right" w:leader="dot" w:pos="9016"/>
            </w:tabs>
            <w:rPr>
              <w:rFonts w:eastAsiaTheme="minorEastAsia"/>
              <w:noProof/>
              <w:sz w:val="24"/>
              <w:szCs w:val="24"/>
              <w:lang w:eastAsia="en-GB"/>
            </w:rPr>
          </w:pPr>
          <w:hyperlink w:anchor="_Toc227682470" w:history="1">
            <w:r w:rsidRPr="00E411C0">
              <w:rPr>
                <w:rStyle w:val="Hyperlink"/>
                <w:rFonts w:ascii="Arial" w:hAnsi="Arial" w:cs="Arial"/>
                <w:noProof/>
              </w:rPr>
              <w:t>6.2 Risk Treatment Strategy</w:t>
            </w:r>
            <w:r>
              <w:rPr>
                <w:noProof/>
                <w:webHidden/>
              </w:rPr>
              <w:tab/>
            </w:r>
            <w:r>
              <w:rPr>
                <w:noProof/>
                <w:webHidden/>
              </w:rPr>
              <w:fldChar w:fldCharType="begin"/>
            </w:r>
            <w:r>
              <w:rPr>
                <w:noProof/>
                <w:webHidden/>
              </w:rPr>
              <w:instrText xml:space="preserve"> PAGEREF _Toc227682470 \h </w:instrText>
            </w:r>
            <w:r>
              <w:rPr>
                <w:noProof/>
                <w:webHidden/>
              </w:rPr>
            </w:r>
            <w:r>
              <w:rPr>
                <w:noProof/>
                <w:webHidden/>
              </w:rPr>
              <w:fldChar w:fldCharType="separate"/>
            </w:r>
            <w:r>
              <w:rPr>
                <w:noProof/>
                <w:webHidden/>
              </w:rPr>
              <w:t>15</w:t>
            </w:r>
            <w:r>
              <w:rPr>
                <w:noProof/>
                <w:webHidden/>
              </w:rPr>
              <w:fldChar w:fldCharType="end"/>
            </w:r>
          </w:hyperlink>
        </w:p>
        <w:p w14:paraId="59E74172" w14:textId="217FEE87" w:rsidR="00CA7E6E" w:rsidRDefault="00CA7E6E">
          <w:pPr>
            <w:pStyle w:val="TOC1"/>
            <w:tabs>
              <w:tab w:val="right" w:leader="dot" w:pos="9016"/>
            </w:tabs>
            <w:rPr>
              <w:rFonts w:eastAsiaTheme="minorEastAsia"/>
              <w:noProof/>
              <w:sz w:val="24"/>
              <w:szCs w:val="24"/>
              <w:lang w:eastAsia="en-GB"/>
            </w:rPr>
          </w:pPr>
          <w:hyperlink w:anchor="_Toc227682471" w:history="1">
            <w:r w:rsidRPr="00E411C0">
              <w:rPr>
                <w:rStyle w:val="Hyperlink"/>
                <w:rFonts w:ascii="Arial" w:hAnsi="Arial" w:cs="Arial"/>
                <w:b/>
                <w:bCs/>
                <w:noProof/>
              </w:rPr>
              <w:t>7.MediTrust Protection Mechanisms (Modern Zero</w:t>
            </w:r>
            <w:r w:rsidRPr="00E411C0">
              <w:rPr>
                <w:rStyle w:val="Hyperlink"/>
                <w:rFonts w:ascii="Arial" w:hAnsi="Arial" w:cs="Arial"/>
                <w:b/>
                <w:bCs/>
                <w:noProof/>
              </w:rPr>
              <w:noBreakHyphen/>
              <w:t>Trust Controls)</w:t>
            </w:r>
            <w:r>
              <w:rPr>
                <w:noProof/>
                <w:webHidden/>
              </w:rPr>
              <w:tab/>
            </w:r>
            <w:r>
              <w:rPr>
                <w:noProof/>
                <w:webHidden/>
              </w:rPr>
              <w:fldChar w:fldCharType="begin"/>
            </w:r>
            <w:r>
              <w:rPr>
                <w:noProof/>
                <w:webHidden/>
              </w:rPr>
              <w:instrText xml:space="preserve"> PAGEREF _Toc227682471 \h </w:instrText>
            </w:r>
            <w:r>
              <w:rPr>
                <w:noProof/>
                <w:webHidden/>
              </w:rPr>
            </w:r>
            <w:r>
              <w:rPr>
                <w:noProof/>
                <w:webHidden/>
              </w:rPr>
              <w:fldChar w:fldCharType="separate"/>
            </w:r>
            <w:r>
              <w:rPr>
                <w:noProof/>
                <w:webHidden/>
              </w:rPr>
              <w:t>16</w:t>
            </w:r>
            <w:r>
              <w:rPr>
                <w:noProof/>
                <w:webHidden/>
              </w:rPr>
              <w:fldChar w:fldCharType="end"/>
            </w:r>
          </w:hyperlink>
        </w:p>
        <w:p w14:paraId="17C6A68E" w14:textId="2E53544E" w:rsidR="00CA7E6E" w:rsidRDefault="00CA7E6E">
          <w:pPr>
            <w:pStyle w:val="TOC1"/>
            <w:tabs>
              <w:tab w:val="right" w:leader="dot" w:pos="9016"/>
            </w:tabs>
            <w:rPr>
              <w:rFonts w:eastAsiaTheme="minorEastAsia"/>
              <w:noProof/>
              <w:sz w:val="24"/>
              <w:szCs w:val="24"/>
              <w:lang w:eastAsia="en-GB"/>
            </w:rPr>
          </w:pPr>
          <w:hyperlink w:anchor="_Toc227682472" w:history="1">
            <w:r w:rsidRPr="00E411C0">
              <w:rPr>
                <w:rStyle w:val="Hyperlink"/>
                <w:rFonts w:ascii="Arial" w:hAnsi="Arial" w:cs="Arial"/>
                <w:b/>
                <w:bCs/>
                <w:noProof/>
              </w:rPr>
              <w:t>COCLUSION</w:t>
            </w:r>
            <w:r>
              <w:rPr>
                <w:noProof/>
                <w:webHidden/>
              </w:rPr>
              <w:tab/>
            </w:r>
            <w:r>
              <w:rPr>
                <w:noProof/>
                <w:webHidden/>
              </w:rPr>
              <w:fldChar w:fldCharType="begin"/>
            </w:r>
            <w:r>
              <w:rPr>
                <w:noProof/>
                <w:webHidden/>
              </w:rPr>
              <w:instrText xml:space="preserve"> PAGEREF _Toc227682472 \h </w:instrText>
            </w:r>
            <w:r>
              <w:rPr>
                <w:noProof/>
                <w:webHidden/>
              </w:rPr>
            </w:r>
            <w:r>
              <w:rPr>
                <w:noProof/>
                <w:webHidden/>
              </w:rPr>
              <w:fldChar w:fldCharType="separate"/>
            </w:r>
            <w:r>
              <w:rPr>
                <w:noProof/>
                <w:webHidden/>
              </w:rPr>
              <w:t>16</w:t>
            </w:r>
            <w:r>
              <w:rPr>
                <w:noProof/>
                <w:webHidden/>
              </w:rPr>
              <w:fldChar w:fldCharType="end"/>
            </w:r>
          </w:hyperlink>
        </w:p>
        <w:p w14:paraId="3AF05DE4" w14:textId="2604DBE1" w:rsidR="00CA7E6E" w:rsidRDefault="00CA7E6E">
          <w:pPr>
            <w:pStyle w:val="TOC1"/>
            <w:tabs>
              <w:tab w:val="right" w:leader="dot" w:pos="9016"/>
            </w:tabs>
            <w:rPr>
              <w:rFonts w:eastAsiaTheme="minorEastAsia"/>
              <w:noProof/>
              <w:sz w:val="24"/>
              <w:szCs w:val="24"/>
              <w:lang w:eastAsia="en-GB"/>
            </w:rPr>
          </w:pPr>
          <w:hyperlink w:anchor="_Toc227682473" w:history="1">
            <w:r w:rsidRPr="00E411C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_Toc227682473 \h </w:instrText>
            </w:r>
            <w:r>
              <w:rPr>
                <w:noProof/>
                <w:webHidden/>
              </w:rPr>
            </w:r>
            <w:r>
              <w:rPr>
                <w:noProof/>
                <w:webHidden/>
              </w:rPr>
              <w:fldChar w:fldCharType="separate"/>
            </w:r>
            <w:r>
              <w:rPr>
                <w:noProof/>
                <w:webHidden/>
              </w:rPr>
              <w:t>17</w:t>
            </w:r>
            <w:r>
              <w:rPr>
                <w:noProof/>
                <w:webHidden/>
              </w:rPr>
              <w:fldChar w:fldCharType="end"/>
            </w:r>
          </w:hyperlink>
        </w:p>
        <w:p w14:paraId="38031084" w14:textId="324ED888" w:rsidR="0064190C" w:rsidRPr="00860D1E" w:rsidRDefault="0064190C">
          <w:r w:rsidRPr="00860D1E">
            <w:rPr>
              <w:b/>
              <w:bCs/>
            </w:rPr>
            <w:fldChar w:fldCharType="end"/>
          </w:r>
        </w:p>
      </w:sdtContent>
    </w:sdt>
    <w:p w14:paraId="5959863D" w14:textId="77777777" w:rsidR="00116D9D" w:rsidRPr="00860D1E" w:rsidRDefault="00116D9D" w:rsidP="00A24DEC">
      <w:pPr>
        <w:pStyle w:val="Heading1"/>
        <w:rPr>
          <w:b/>
          <w:bCs/>
          <w:sz w:val="32"/>
          <w:szCs w:val="32"/>
        </w:rPr>
      </w:pPr>
    </w:p>
    <w:p w14:paraId="71D34CB1" w14:textId="77777777" w:rsidR="00116D9D" w:rsidRPr="00860D1E" w:rsidRDefault="00116D9D" w:rsidP="00A24DEC">
      <w:pPr>
        <w:pStyle w:val="Heading1"/>
        <w:rPr>
          <w:b/>
          <w:bCs/>
          <w:sz w:val="32"/>
          <w:szCs w:val="32"/>
        </w:rPr>
      </w:pPr>
    </w:p>
    <w:p w14:paraId="660F7B4E" w14:textId="77777777" w:rsidR="00116D9D" w:rsidRPr="00860D1E" w:rsidRDefault="00116D9D" w:rsidP="00A24DEC">
      <w:pPr>
        <w:pStyle w:val="Heading1"/>
        <w:rPr>
          <w:b/>
          <w:bCs/>
          <w:sz w:val="32"/>
          <w:szCs w:val="32"/>
        </w:rPr>
      </w:pPr>
    </w:p>
    <w:p w14:paraId="3C6B3624" w14:textId="523212FE" w:rsidR="00D619FE" w:rsidRPr="00446FFC" w:rsidRDefault="00B437B0" w:rsidP="00446FFC">
      <w:pPr>
        <w:pStyle w:val="Heading1"/>
        <w:rPr>
          <w:b/>
          <w:bCs/>
          <w:sz w:val="32"/>
          <w:szCs w:val="32"/>
        </w:rPr>
      </w:pPr>
      <w:bookmarkStart w:id="0" w:name="_Toc227682425"/>
      <w:r w:rsidRPr="00446FFC">
        <w:rPr>
          <w:b/>
          <w:bCs/>
          <w:sz w:val="32"/>
          <w:szCs w:val="32"/>
          <w:highlight w:val="yellow"/>
        </w:rPr>
        <w:t>TASK1</w:t>
      </w:r>
      <w:r w:rsidRPr="00446FFC">
        <w:rPr>
          <w:b/>
          <w:bCs/>
          <w:sz w:val="32"/>
          <w:szCs w:val="32"/>
        </w:rPr>
        <w:t xml:space="preserve"> </w:t>
      </w:r>
      <w:r w:rsidRPr="00446FFC">
        <w:rPr>
          <w:b/>
          <w:bCs/>
          <w:sz w:val="32"/>
          <w:szCs w:val="32"/>
          <w:highlight w:val="yellow"/>
        </w:rPr>
        <w:t>RESEARCH IN DATA SECURITY AND COMPLIANCE</w:t>
      </w:r>
      <w:bookmarkEnd w:id="0"/>
    </w:p>
    <w:p w14:paraId="10276D58" w14:textId="2058FCE5" w:rsidR="001E11D9" w:rsidRPr="00446FFC" w:rsidRDefault="00446FFC" w:rsidP="00446FFC">
      <w:pPr>
        <w:pStyle w:val="Heading1"/>
        <w:rPr>
          <w:b/>
          <w:bCs/>
          <w:sz w:val="32"/>
          <w:szCs w:val="32"/>
        </w:rPr>
      </w:pPr>
      <w:bookmarkStart w:id="1" w:name="_Toc227682426"/>
      <w:r w:rsidRPr="00446FFC">
        <w:rPr>
          <w:b/>
          <w:bCs/>
          <w:sz w:val="32"/>
          <w:szCs w:val="32"/>
        </w:rPr>
        <w:t>Governance of AI and Machine Learning Systems: Managing risk, ethics, and compliance for AI data and models.</w:t>
      </w:r>
      <w:bookmarkEnd w:id="1"/>
    </w:p>
    <w:p w14:paraId="69ED02E9" w14:textId="77777777" w:rsidR="00D36C4B" w:rsidRPr="00860D1E" w:rsidRDefault="00D36C4B" w:rsidP="0047308E">
      <w:pPr>
        <w:pStyle w:val="Heading1"/>
        <w:rPr>
          <w:b/>
          <w:bCs/>
          <w:sz w:val="32"/>
          <w:szCs w:val="32"/>
        </w:rPr>
      </w:pPr>
      <w:bookmarkStart w:id="2" w:name="_Toc227682427"/>
      <w:r w:rsidRPr="00860D1E">
        <w:rPr>
          <w:b/>
          <w:bCs/>
          <w:sz w:val="32"/>
          <w:szCs w:val="32"/>
        </w:rPr>
        <w:t>INTRODUCTION</w:t>
      </w:r>
      <w:bookmarkEnd w:id="2"/>
    </w:p>
    <w:p w14:paraId="449588C0" w14:textId="36667B3C" w:rsidR="00D36C4B" w:rsidRPr="00860D1E" w:rsidRDefault="00746979" w:rsidP="00D36C4B">
      <w:pPr>
        <w:rPr>
          <w:rFonts w:ascii="Arial" w:hAnsi="Arial" w:cs="Arial"/>
        </w:rPr>
      </w:pPr>
      <w:r w:rsidRPr="00746979">
        <w:rPr>
          <w:rFonts w:ascii="Arial" w:hAnsi="Arial" w:cs="Arial"/>
        </w:rPr>
        <w:t>Data security and compliance have become critical priorities across sectors such as healthcare, finance, and the public domain, driven by increasing regulatory demands. To meet these requirements and counter escalating cyber threats, organisations are adopting Security Information and Event Management (SIEM) solutions. SIEM provides real</w:t>
      </w:r>
      <w:r w:rsidRPr="00746979">
        <w:rPr>
          <w:rFonts w:ascii="Arial" w:hAnsi="Arial" w:cs="Arial"/>
        </w:rPr>
        <w:noBreakHyphen/>
        <w:t>time monitoring, threat detection, and incident response, helping organisations strengthen their security posture while aligning with industry and regulatory standards</w:t>
      </w:r>
      <w:sdt>
        <w:sdtPr>
          <w:rPr>
            <w:rFonts w:ascii="Arial" w:hAnsi="Arial" w:cs="Arial"/>
          </w:rPr>
          <w:id w:val="-1018998846"/>
          <w:citation/>
        </w:sdtPr>
        <w:sdtEndPr/>
        <w:sdtContent>
          <w:r w:rsidR="00D36C4B" w:rsidRPr="00860D1E">
            <w:rPr>
              <w:rFonts w:ascii="Arial" w:hAnsi="Arial" w:cs="Arial"/>
            </w:rPr>
            <w:fldChar w:fldCharType="begin"/>
          </w:r>
          <w:r w:rsidR="00D36C4B" w:rsidRPr="00860D1E">
            <w:rPr>
              <w:rFonts w:ascii="Arial" w:hAnsi="Arial" w:cs="Arial"/>
            </w:rPr>
            <w:instrText xml:space="preserve"> CITATION Jan19 \l 2057 </w:instrText>
          </w:r>
          <w:r w:rsidR="00D36C4B"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[1]</w:t>
          </w:r>
          <w:r w:rsidR="00D36C4B" w:rsidRPr="00860D1E">
            <w:rPr>
              <w:rFonts w:ascii="Arial" w:hAnsi="Arial" w:cs="Arial"/>
            </w:rPr>
            <w:fldChar w:fldCharType="end"/>
          </w:r>
        </w:sdtContent>
      </w:sdt>
      <w:r w:rsidR="00AD07C2">
        <w:rPr>
          <w:rFonts w:ascii="Arial" w:hAnsi="Arial" w:cs="Arial"/>
        </w:rPr>
        <w:t>.</w:t>
      </w:r>
      <w:r w:rsidR="00D36C4B" w:rsidRPr="00860D1E">
        <w:rPr>
          <w:rFonts w:ascii="Arial" w:hAnsi="Arial" w:cs="Arial"/>
        </w:rPr>
        <w:t xml:space="preserve"> In this research, we will go through the contemporary challenge area of Governance of AI and Machine Learning Systems:</w:t>
      </w:r>
      <w:r w:rsidR="00D36C4B" w:rsidRPr="00860D1E">
        <w:t xml:space="preserve"> </w:t>
      </w:r>
      <w:r w:rsidR="00D36C4B" w:rsidRPr="00860D1E">
        <w:rPr>
          <w:rFonts w:ascii="Arial" w:hAnsi="Arial" w:cs="Arial"/>
        </w:rPr>
        <w:t xml:space="preserve">Managing risk, ethics, and compliance for AI data and models. </w:t>
      </w:r>
      <w:r w:rsidR="00B437B0" w:rsidRPr="00860D1E">
        <w:rPr>
          <w:rFonts w:ascii="Arial" w:hAnsi="Arial" w:cs="Arial"/>
        </w:rPr>
        <w:t>We will analyse and critically in this research evaluate how modern organisations can create an environment that anticipates, protects, detects, and automatically responds to threats.</w:t>
      </w:r>
    </w:p>
    <w:p w14:paraId="35E4352D" w14:textId="77777777" w:rsidR="00D17877" w:rsidRPr="00860D1E" w:rsidRDefault="00D17877" w:rsidP="0047308E">
      <w:pPr>
        <w:pStyle w:val="Heading1"/>
      </w:pPr>
    </w:p>
    <w:p w14:paraId="00F0D382" w14:textId="2745D45E" w:rsidR="00B437B0" w:rsidRPr="00860D1E" w:rsidRDefault="00B437B0" w:rsidP="0047308E">
      <w:pPr>
        <w:pStyle w:val="Heading1"/>
        <w:rPr>
          <w:b/>
          <w:bCs/>
          <w:sz w:val="32"/>
          <w:szCs w:val="32"/>
        </w:rPr>
      </w:pPr>
      <w:bookmarkStart w:id="3" w:name="_Toc227682428"/>
      <w:r w:rsidRPr="00860D1E">
        <w:rPr>
          <w:b/>
          <w:bCs/>
          <w:sz w:val="32"/>
          <w:szCs w:val="32"/>
        </w:rPr>
        <w:t>1 Why AI and Machine Learning Systems governance is a contemporary challenge?</w:t>
      </w:r>
      <w:bookmarkEnd w:id="3"/>
    </w:p>
    <w:p w14:paraId="0960C881" w14:textId="5B726F48" w:rsidR="00D36C4B" w:rsidRPr="00860D1E" w:rsidRDefault="00D36C4B" w:rsidP="00D36C4B">
      <w:pPr>
        <w:rPr>
          <w:rFonts w:ascii="Arial" w:hAnsi="Arial" w:cs="Arial"/>
        </w:rPr>
      </w:pPr>
      <w:r w:rsidRPr="00860D1E">
        <w:rPr>
          <w:rFonts w:ascii="Arial" w:hAnsi="Arial" w:cs="Arial"/>
        </w:rPr>
        <w:t>Modern organi</w:t>
      </w:r>
      <w:r w:rsidR="00860D1E">
        <w:rPr>
          <w:rFonts w:ascii="Arial" w:hAnsi="Arial" w:cs="Arial"/>
        </w:rPr>
        <w:t>s</w:t>
      </w:r>
      <w:r w:rsidRPr="00860D1E">
        <w:rPr>
          <w:rFonts w:ascii="Arial" w:hAnsi="Arial" w:cs="Arial"/>
        </w:rPr>
        <w:t xml:space="preserve">ations face rapidly evolving cyber threats while increasingly relying on AI and machine learning, which strengthen defence capabilities but also introduce new risks. Staying secure and compliant requires protecting traditional IT systems and applying strong governance to AI data and models, with clear attention to risk, ethics, and </w:t>
      </w:r>
      <w:r w:rsidR="000F4A5D" w:rsidRPr="00860D1E">
        <w:rPr>
          <w:rFonts w:ascii="Arial" w:hAnsi="Arial" w:cs="Arial"/>
        </w:rPr>
        <w:t>regulation.</w:t>
      </w:r>
      <w:r w:rsidR="000F4A5D" w:rsidRPr="00EA37B9">
        <w:rPr>
          <w:rFonts w:ascii="Arial" w:hAnsi="Arial" w:cs="Arial"/>
        </w:rPr>
        <w:t xml:space="preserve"> This</w:t>
      </w:r>
      <w:r w:rsidR="00EA37B9" w:rsidRPr="00EA37B9">
        <w:rPr>
          <w:rFonts w:ascii="Arial" w:hAnsi="Arial" w:cs="Arial"/>
        </w:rPr>
        <w:t xml:space="preserve"> requires a proactive security posture that can anticipate, prevent, detect, and automatically respond to threats while ensuring AI systems remain transparent, accountable, and compliant throughout their lifecycle.</w:t>
      </w:r>
      <w:r w:rsidRPr="00860D1E">
        <w:rPr>
          <w:rFonts w:ascii="Arial" w:hAnsi="Arial" w:cs="Arial"/>
        </w:rPr>
        <w:t xml:space="preserve"> Effective AI governance supports this by embedding fairness, transparency, accountability, and privacy into every stage of model development. Techniques such as fairness testing, bias mitigation, and explainability methods, including Shapley values and counterfactuals, enhance model transparency, while tools like Fair Learn, Interpret ML, and cloud</w:t>
      </w:r>
      <w:r w:rsidRPr="00860D1E">
        <w:rPr>
          <w:rFonts w:ascii="Arial" w:hAnsi="Arial" w:cs="Arial"/>
        </w:rPr>
        <w:noBreakHyphen/>
        <w:t>based toolkits help organi</w:t>
      </w:r>
      <w:r w:rsidR="00AD07C2">
        <w:rPr>
          <w:rFonts w:ascii="Arial" w:hAnsi="Arial" w:cs="Arial"/>
        </w:rPr>
        <w:t>s</w:t>
      </w:r>
      <w:r w:rsidRPr="00860D1E">
        <w:rPr>
          <w:rFonts w:ascii="Arial" w:hAnsi="Arial" w:cs="Arial"/>
        </w:rPr>
        <w:t>ations evaluate fairness and improve interpretability in practice</w:t>
      </w:r>
      <w:sdt>
        <w:sdtPr>
          <w:rPr>
            <w:rFonts w:ascii="Arial" w:hAnsi="Arial" w:cs="Arial"/>
          </w:rPr>
          <w:id w:val="-1323043627"/>
          <w:citation/>
        </w:sdtPr>
        <w:sdtEndPr/>
        <w:sdtContent>
          <w:r w:rsidR="00B437B0" w:rsidRPr="00860D1E">
            <w:rPr>
              <w:rFonts w:ascii="Arial" w:hAnsi="Arial" w:cs="Arial"/>
            </w:rPr>
            <w:fldChar w:fldCharType="begin"/>
          </w:r>
          <w:r w:rsidR="00B437B0" w:rsidRPr="00860D1E">
            <w:rPr>
              <w:rFonts w:ascii="Arial" w:hAnsi="Arial" w:cs="Arial"/>
            </w:rPr>
            <w:instrText xml:space="preserve"> CITATION Mas231 \l 2057 </w:instrText>
          </w:r>
          <w:r w:rsidR="00B437B0"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[2]</w:t>
          </w:r>
          <w:r w:rsidR="00B437B0" w:rsidRPr="00860D1E">
            <w:rPr>
              <w:rFonts w:ascii="Arial" w:hAnsi="Arial" w:cs="Arial"/>
            </w:rPr>
            <w:fldChar w:fldCharType="end"/>
          </w:r>
        </w:sdtContent>
      </w:sdt>
      <w:r w:rsidR="008C18D3">
        <w:rPr>
          <w:rFonts w:ascii="Arial" w:hAnsi="Arial" w:cs="Arial"/>
        </w:rPr>
        <w:t>.</w:t>
      </w:r>
    </w:p>
    <w:p w14:paraId="5D3E98A6" w14:textId="3B2E99C8" w:rsidR="00A66AA1" w:rsidRPr="00860D1E" w:rsidRDefault="00A66AA1" w:rsidP="0047308E">
      <w:pPr>
        <w:pStyle w:val="Heading1"/>
      </w:pPr>
    </w:p>
    <w:p w14:paraId="2EBB676A" w14:textId="66514244" w:rsidR="00780975" w:rsidRPr="00860D1E" w:rsidRDefault="00D17877" w:rsidP="0047308E">
      <w:pPr>
        <w:pStyle w:val="Heading1"/>
        <w:rPr>
          <w:b/>
          <w:bCs/>
          <w:sz w:val="32"/>
          <w:szCs w:val="32"/>
        </w:rPr>
      </w:pPr>
      <w:bookmarkStart w:id="4" w:name="_Toc227682429"/>
      <w:r w:rsidRPr="00860D1E">
        <w:rPr>
          <w:b/>
          <w:bCs/>
          <w:sz w:val="32"/>
          <w:szCs w:val="32"/>
        </w:rPr>
        <w:t xml:space="preserve">2 </w:t>
      </w:r>
      <w:r w:rsidR="00A66AA1" w:rsidRPr="00860D1E">
        <w:rPr>
          <w:b/>
          <w:bCs/>
          <w:sz w:val="32"/>
          <w:szCs w:val="32"/>
        </w:rPr>
        <w:t>R</w:t>
      </w:r>
      <w:r w:rsidR="00780975" w:rsidRPr="00860D1E">
        <w:rPr>
          <w:b/>
          <w:bCs/>
          <w:sz w:val="32"/>
          <w:szCs w:val="32"/>
        </w:rPr>
        <w:t>isks in AI and M</w:t>
      </w:r>
      <w:r w:rsidR="00A66AA1" w:rsidRPr="00860D1E">
        <w:rPr>
          <w:b/>
          <w:bCs/>
          <w:sz w:val="32"/>
          <w:szCs w:val="32"/>
        </w:rPr>
        <w:t xml:space="preserve">achine </w:t>
      </w:r>
      <w:r w:rsidR="00780975" w:rsidRPr="00860D1E">
        <w:rPr>
          <w:b/>
          <w:bCs/>
          <w:sz w:val="32"/>
          <w:szCs w:val="32"/>
        </w:rPr>
        <w:t>L</w:t>
      </w:r>
      <w:r w:rsidR="00A66AA1" w:rsidRPr="00860D1E">
        <w:rPr>
          <w:b/>
          <w:bCs/>
          <w:sz w:val="32"/>
          <w:szCs w:val="32"/>
        </w:rPr>
        <w:t>earning</w:t>
      </w:r>
      <w:r w:rsidR="00780975" w:rsidRPr="00860D1E">
        <w:rPr>
          <w:b/>
          <w:bCs/>
          <w:sz w:val="32"/>
          <w:szCs w:val="32"/>
        </w:rPr>
        <w:t xml:space="preserve"> systems</w:t>
      </w:r>
      <w:bookmarkEnd w:id="4"/>
    </w:p>
    <w:p w14:paraId="53559F57" w14:textId="62F79D3A" w:rsidR="00B71DB4" w:rsidRPr="00860D1E" w:rsidRDefault="00B71DB4" w:rsidP="00780975">
      <w:pPr>
        <w:rPr>
          <w:rFonts w:ascii="Arial" w:hAnsi="Arial" w:cs="Arial"/>
          <w:b/>
          <w:bCs/>
        </w:rPr>
      </w:pPr>
      <w:r w:rsidRPr="00860D1E">
        <w:rPr>
          <w:rFonts w:ascii="Arial" w:hAnsi="Arial" w:cs="Arial"/>
        </w:rPr>
        <w:t>AI and ML systems have unique vulnerabilities that differ from traditional IT, including failure modes across the model lifecycle. These risks require specialised analysis and threat</w:t>
      </w:r>
      <w:r w:rsidRPr="00860D1E">
        <w:rPr>
          <w:rFonts w:ascii="Arial" w:hAnsi="Arial" w:cs="Arial"/>
        </w:rPr>
        <w:noBreakHyphen/>
        <w:t>modelling approaches. Frameworks like STRIDE</w:t>
      </w:r>
      <w:r w:rsidRPr="00860D1E">
        <w:rPr>
          <w:rFonts w:ascii="Arial" w:hAnsi="Arial" w:cs="Arial"/>
        </w:rPr>
        <w:noBreakHyphen/>
        <w:t xml:space="preserve">AI </w:t>
      </w:r>
      <w:r w:rsidR="00411C83">
        <w:rPr>
          <w:rFonts w:ascii="Arial" w:hAnsi="Arial" w:cs="Arial"/>
        </w:rPr>
        <w:t>(</w:t>
      </w:r>
      <w:r w:rsidR="00B70B20">
        <w:rPr>
          <w:rFonts w:ascii="Arial" w:hAnsi="Arial" w:cs="Arial"/>
        </w:rPr>
        <w:t>Spoofing, Tempering</w:t>
      </w:r>
      <w:r w:rsidR="00BA13A8">
        <w:rPr>
          <w:rFonts w:ascii="Arial" w:hAnsi="Arial" w:cs="Arial"/>
        </w:rPr>
        <w:t>, Repudiation, information disclosure</w:t>
      </w:r>
      <w:r w:rsidR="001D0AAB">
        <w:rPr>
          <w:rFonts w:ascii="Arial" w:hAnsi="Arial" w:cs="Arial"/>
        </w:rPr>
        <w:t>, Denial, Elevation of privilege</w:t>
      </w:r>
      <w:r w:rsidR="006A4413">
        <w:rPr>
          <w:rFonts w:ascii="Arial" w:hAnsi="Arial" w:cs="Arial"/>
        </w:rPr>
        <w:t xml:space="preserve">) </w:t>
      </w:r>
      <w:r w:rsidRPr="00860D1E">
        <w:rPr>
          <w:rFonts w:ascii="Arial" w:hAnsi="Arial" w:cs="Arial"/>
        </w:rPr>
        <w:t>adapt traditional security methods to the AI context by linking model</w:t>
      </w:r>
      <w:r w:rsidRPr="00860D1E">
        <w:rPr>
          <w:rFonts w:ascii="Arial" w:hAnsi="Arial" w:cs="Arial"/>
        </w:rPr>
        <w:noBreakHyphen/>
        <w:t>specific failures to potential threats, enabling more targeted risk management</w:t>
      </w:r>
      <w:sdt>
        <w:sdtPr>
          <w:rPr>
            <w:rFonts w:ascii="Arial" w:hAnsi="Arial" w:cs="Arial"/>
            <w:b/>
            <w:bCs/>
          </w:rPr>
          <w:id w:val="-1726298183"/>
          <w:citation/>
        </w:sdtPr>
        <w:sdtEndPr/>
        <w:sdtContent>
          <w:r w:rsidR="00BC760F" w:rsidRPr="00860D1E">
            <w:rPr>
              <w:rFonts w:ascii="Arial" w:hAnsi="Arial" w:cs="Arial"/>
              <w:b/>
              <w:bCs/>
            </w:rPr>
            <w:fldChar w:fldCharType="begin"/>
          </w:r>
          <w:r w:rsidR="00BC760F" w:rsidRPr="00860D1E">
            <w:rPr>
              <w:rFonts w:ascii="Arial" w:hAnsi="Arial" w:cs="Arial"/>
              <w:b/>
              <w:bCs/>
            </w:rPr>
            <w:instrText xml:space="preserve"> CITATION Gon25 \l 2057 </w:instrText>
          </w:r>
          <w:r w:rsidR="00BC760F" w:rsidRPr="00860D1E">
            <w:rPr>
              <w:rFonts w:ascii="Arial" w:hAnsi="Arial" w:cs="Arial"/>
              <w:b/>
              <w:bCs/>
            </w:rPr>
            <w:fldChar w:fldCharType="separate"/>
          </w:r>
          <w:r w:rsidR="00D3013B">
            <w:rPr>
              <w:rFonts w:ascii="Arial" w:hAnsi="Arial" w:cs="Arial"/>
              <w:b/>
              <w:bCs/>
              <w:noProof/>
            </w:rPr>
            <w:t xml:space="preserve"> </w:t>
          </w:r>
          <w:r w:rsidR="00D3013B" w:rsidRPr="00D3013B">
            <w:rPr>
              <w:rFonts w:ascii="Arial" w:hAnsi="Arial" w:cs="Arial"/>
              <w:noProof/>
            </w:rPr>
            <w:t>[3]</w:t>
          </w:r>
          <w:r w:rsidR="00BC760F" w:rsidRPr="00860D1E">
            <w:rPr>
              <w:rFonts w:ascii="Arial" w:hAnsi="Arial" w:cs="Arial"/>
              <w:b/>
              <w:bCs/>
            </w:rPr>
            <w:fldChar w:fldCharType="end"/>
          </w:r>
        </w:sdtContent>
      </w:sdt>
      <w:r w:rsidR="008C18D3">
        <w:rPr>
          <w:rFonts w:ascii="Arial" w:hAnsi="Arial" w:cs="Arial"/>
          <w:b/>
          <w:bCs/>
        </w:rPr>
        <w:t>.</w:t>
      </w:r>
    </w:p>
    <w:p w14:paraId="21C769AF" w14:textId="77777777" w:rsidR="00FA3ADA" w:rsidRPr="00860D1E" w:rsidRDefault="00FA3ADA" w:rsidP="00780975">
      <w:pPr>
        <w:rPr>
          <w:rFonts w:ascii="Arial" w:hAnsi="Arial" w:cs="Arial"/>
          <w:b/>
          <w:bCs/>
        </w:rPr>
      </w:pPr>
    </w:p>
    <w:p w14:paraId="6AB554FB" w14:textId="5979CCAF" w:rsidR="00846461" w:rsidRPr="00860D1E" w:rsidRDefault="00313278" w:rsidP="00313278">
      <w:pPr>
        <w:rPr>
          <w:rFonts w:ascii="Arial" w:hAnsi="Arial" w:cs="Arial"/>
          <w:b/>
          <w:bCs/>
        </w:rPr>
      </w:pPr>
      <w:r w:rsidRPr="00860D1E">
        <w:rPr>
          <w:rFonts w:ascii="Arial" w:hAnsi="Arial" w:cs="Arial"/>
        </w:rPr>
        <w:t>STRIDE</w:t>
      </w:r>
      <w:r w:rsidRPr="00860D1E">
        <w:rPr>
          <w:rFonts w:ascii="Arial" w:hAnsi="Arial" w:cs="Arial"/>
        </w:rPr>
        <w:noBreakHyphen/>
        <w:t>AI applies an asset</w:t>
      </w:r>
      <w:r w:rsidRPr="00860D1E">
        <w:rPr>
          <w:rFonts w:ascii="Arial" w:hAnsi="Arial" w:cs="Arial"/>
        </w:rPr>
        <w:noBreakHyphen/>
        <w:t>centric view across the ML lifecycle and uses FMEA to link ML failure modes to STRIDE threats, helping identify vulnerabilities unique to ML systems such as adversarial inputs and data poisoning that don’t appear in traditional IT</w:t>
      </w:r>
      <w:r w:rsidRPr="00860D1E">
        <w:rPr>
          <w:rFonts w:ascii="Arial" w:hAnsi="Arial" w:cs="Arial"/>
          <w:b/>
          <w:bCs/>
        </w:rPr>
        <w:t xml:space="preserve"> </w:t>
      </w:r>
      <w:sdt>
        <w:sdtPr>
          <w:rPr>
            <w:rFonts w:ascii="Arial" w:hAnsi="Arial" w:cs="Arial"/>
            <w:b/>
            <w:bCs/>
          </w:rPr>
          <w:id w:val="471178180"/>
          <w:citation/>
        </w:sdtPr>
        <w:sdtEndPr/>
        <w:sdtContent>
          <w:r w:rsidRPr="00860D1E">
            <w:rPr>
              <w:rFonts w:ascii="Arial" w:hAnsi="Arial" w:cs="Arial"/>
              <w:b/>
              <w:bCs/>
            </w:rPr>
            <w:fldChar w:fldCharType="begin"/>
          </w:r>
          <w:r w:rsidRPr="00860D1E">
            <w:rPr>
              <w:rFonts w:ascii="Arial" w:hAnsi="Arial" w:cs="Arial"/>
              <w:b/>
              <w:bCs/>
            </w:rPr>
            <w:instrText xml:space="preserve"> CITATION Mau221 \l 2057 </w:instrText>
          </w:r>
          <w:r w:rsidRPr="00860D1E">
            <w:rPr>
              <w:rFonts w:ascii="Arial" w:hAnsi="Arial" w:cs="Arial"/>
              <w:b/>
              <w:bCs/>
            </w:rPr>
            <w:fldChar w:fldCharType="separate"/>
          </w:r>
          <w:r w:rsidR="00D3013B" w:rsidRPr="00D3013B">
            <w:rPr>
              <w:rFonts w:ascii="Arial" w:hAnsi="Arial" w:cs="Arial"/>
              <w:noProof/>
            </w:rPr>
            <w:t>[4]</w:t>
          </w:r>
          <w:r w:rsidRPr="00860D1E">
            <w:rPr>
              <w:rFonts w:ascii="Arial" w:hAnsi="Arial" w:cs="Arial"/>
              <w:b/>
              <w:bCs/>
            </w:rPr>
            <w:fldChar w:fldCharType="end"/>
          </w:r>
        </w:sdtContent>
      </w:sdt>
      <w:r w:rsidR="00797123">
        <w:rPr>
          <w:rFonts w:ascii="Arial" w:hAnsi="Arial" w:cs="Arial"/>
          <w:b/>
          <w:bCs/>
        </w:rPr>
        <w:t>.</w:t>
      </w:r>
      <w:r w:rsidR="002D4088" w:rsidRPr="00860D1E">
        <w:rPr>
          <w:rFonts w:ascii="Arial" w:hAnsi="Arial" w:cs="Arial"/>
          <w:b/>
          <w:bCs/>
        </w:rPr>
        <w:t xml:space="preserve"> </w:t>
      </w:r>
    </w:p>
    <w:p w14:paraId="71B859E2" w14:textId="79090551" w:rsidR="00313278" w:rsidRPr="00860D1E" w:rsidRDefault="00B27737" w:rsidP="00780975">
      <w:pPr>
        <w:rPr>
          <w:rFonts w:ascii="Arial" w:hAnsi="Arial" w:cs="Arial"/>
          <w:b/>
          <w:bCs/>
        </w:rPr>
      </w:pPr>
      <w:r w:rsidRPr="00860D1E">
        <w:rPr>
          <w:rFonts w:ascii="Arial" w:hAnsi="Arial" w:cs="Arial"/>
        </w:rPr>
        <w:t>The following diagram provides a visual representation of</w:t>
      </w:r>
      <w:r w:rsidR="00E04B45" w:rsidRPr="00860D1E">
        <w:rPr>
          <w:rFonts w:ascii="Arial" w:hAnsi="Arial" w:cs="Arial"/>
        </w:rPr>
        <w:t xml:space="preserve"> these risks.</w:t>
      </w:r>
    </w:p>
    <w:p w14:paraId="7ED40DC5" w14:textId="08E1F61C" w:rsidR="0071540E" w:rsidRPr="00860D1E" w:rsidRDefault="0071540E" w:rsidP="00780975">
      <w:pPr>
        <w:rPr>
          <w:rFonts w:ascii="Arial" w:hAnsi="Arial" w:cs="Arial"/>
          <w:b/>
          <w:bCs/>
        </w:rPr>
      </w:pPr>
      <w:r w:rsidRPr="00860D1E">
        <w:rPr>
          <w:rFonts w:ascii="Arial" w:hAnsi="Arial" w:cs="Arial"/>
          <w:b/>
          <w:bCs/>
          <w:noProof/>
        </w:rPr>
        <w:lastRenderedPageBreak/>
        <w:drawing>
          <wp:inline distT="0" distB="0" distL="0" distR="0" wp14:anchorId="5FAB55DB" wp14:editId="0E7CFFF4">
            <wp:extent cx="5731510" cy="3820795"/>
            <wp:effectExtent l="0" t="0" r="2540" b="8255"/>
            <wp:docPr id="19643508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350878" name="Picture 196435087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41CFEB75" w14:textId="28C1A66D" w:rsidR="00C52177" w:rsidRPr="00860D1E" w:rsidRDefault="00C52177" w:rsidP="00780975">
      <w:pPr>
        <w:rPr>
          <w:rFonts w:ascii="Arial" w:hAnsi="Arial" w:cs="Arial"/>
          <w:b/>
          <w:bCs/>
        </w:rPr>
      </w:pPr>
    </w:p>
    <w:p w14:paraId="59E73DB3" w14:textId="3B0476D9" w:rsidR="00F75587" w:rsidRPr="00860D1E" w:rsidRDefault="00131593" w:rsidP="0047308E">
      <w:pPr>
        <w:pStyle w:val="Heading2"/>
        <w:rPr>
          <w:sz w:val="28"/>
          <w:szCs w:val="28"/>
        </w:rPr>
      </w:pPr>
      <w:bookmarkStart w:id="5" w:name="_Toc227682430"/>
      <w:r w:rsidRPr="00860D1E">
        <w:rPr>
          <w:sz w:val="28"/>
          <w:szCs w:val="28"/>
        </w:rPr>
        <w:t>2-1</w:t>
      </w:r>
      <w:r w:rsidR="005F164B" w:rsidRPr="00860D1E">
        <w:rPr>
          <w:sz w:val="28"/>
          <w:szCs w:val="28"/>
        </w:rPr>
        <w:t xml:space="preserve"> </w:t>
      </w:r>
      <w:r w:rsidR="00780975" w:rsidRPr="00860D1E">
        <w:rPr>
          <w:sz w:val="28"/>
          <w:szCs w:val="28"/>
        </w:rPr>
        <w:t>Technical and operational risks</w:t>
      </w:r>
      <w:bookmarkEnd w:id="5"/>
    </w:p>
    <w:p w14:paraId="6F3CF330" w14:textId="24170A11" w:rsidR="00D62821" w:rsidRPr="00860D1E" w:rsidRDefault="00A92F1B" w:rsidP="0037790A">
      <w:pPr>
        <w:rPr>
          <w:rFonts w:ascii="Arial" w:hAnsi="Arial" w:cs="Arial"/>
        </w:rPr>
      </w:pPr>
      <w:r w:rsidRPr="00860D1E">
        <w:rPr>
          <w:rFonts w:ascii="Arial" w:hAnsi="Arial" w:cs="Arial"/>
        </w:rPr>
        <w:t>AI and ML systems introduce distinct technical and operational risks, particularly model failure modes that can lead to incorrect or unreliable outputs. These vulnerabilities require careful assessment and specialised risk</w:t>
      </w:r>
      <w:r w:rsidRPr="00860D1E">
        <w:rPr>
          <w:rFonts w:ascii="Arial" w:hAnsi="Arial" w:cs="Arial"/>
        </w:rPr>
        <w:noBreakHyphen/>
        <w:t>management approaches to ensure system reliability and security</w:t>
      </w:r>
      <w:sdt>
        <w:sdtPr>
          <w:rPr>
            <w:rFonts w:ascii="Arial" w:hAnsi="Arial" w:cs="Arial"/>
          </w:rPr>
          <w:id w:val="-363292577"/>
          <w:citation/>
        </w:sdtPr>
        <w:sdtEndPr/>
        <w:sdtContent>
          <w:r w:rsidRPr="00860D1E">
            <w:rPr>
              <w:rFonts w:ascii="Arial" w:hAnsi="Arial" w:cs="Arial"/>
            </w:rPr>
            <w:fldChar w:fldCharType="begin"/>
          </w:r>
          <w:r w:rsidRPr="00860D1E">
            <w:rPr>
              <w:rFonts w:ascii="Arial" w:hAnsi="Arial" w:cs="Arial"/>
            </w:rPr>
            <w:instrText xml:space="preserve"> CITATION Gon251 \l 2057 </w:instrText>
          </w:r>
          <w:r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[5]</w:t>
          </w:r>
          <w:r w:rsidRPr="00860D1E">
            <w:rPr>
              <w:rFonts w:ascii="Arial" w:hAnsi="Arial" w:cs="Arial"/>
            </w:rPr>
            <w:fldChar w:fldCharType="end"/>
          </w:r>
        </w:sdtContent>
      </w:sdt>
      <w:r w:rsidR="00B23923">
        <w:rPr>
          <w:rFonts w:ascii="Arial" w:hAnsi="Arial" w:cs="Arial"/>
        </w:rPr>
        <w:t>.</w:t>
      </w:r>
    </w:p>
    <w:p w14:paraId="31B9D4E8" w14:textId="5178680E" w:rsidR="0037790A" w:rsidRPr="00860D1E" w:rsidRDefault="0037790A" w:rsidP="00F75587">
      <w:pPr>
        <w:pStyle w:val="ListParagraph"/>
        <w:numPr>
          <w:ilvl w:val="0"/>
          <w:numId w:val="4"/>
        </w:numPr>
        <w:rPr>
          <w:rFonts w:ascii="Arial" w:hAnsi="Arial" w:cs="Arial"/>
        </w:rPr>
      </w:pPr>
      <w:r w:rsidRPr="00860D1E">
        <w:rPr>
          <w:rFonts w:ascii="Arial" w:hAnsi="Arial" w:cs="Arial"/>
          <w:b/>
          <w:bCs/>
        </w:rPr>
        <w:t>Model risk:</w:t>
      </w:r>
      <w:r w:rsidRPr="00860D1E">
        <w:rPr>
          <w:rFonts w:ascii="Arial" w:hAnsi="Arial" w:cs="Arial"/>
        </w:rPr>
        <w:t xml:space="preserve"> Includes opaque or hard</w:t>
      </w:r>
      <w:r w:rsidRPr="00860D1E">
        <w:rPr>
          <w:rFonts w:ascii="Arial" w:hAnsi="Arial" w:cs="Arial"/>
        </w:rPr>
        <w:noBreakHyphen/>
        <w:t>to</w:t>
      </w:r>
      <w:r w:rsidRPr="00860D1E">
        <w:rPr>
          <w:rFonts w:ascii="Arial" w:hAnsi="Arial" w:cs="Arial"/>
        </w:rPr>
        <w:noBreakHyphen/>
        <w:t>explain models, performance drift over time, susceptibility to adversarial attacks, data poisoning, and unpredictable behaviour in edge cases.</w:t>
      </w:r>
    </w:p>
    <w:p w14:paraId="41299C5A" w14:textId="5031E67E" w:rsidR="0037790A" w:rsidRPr="00860D1E" w:rsidRDefault="0037790A" w:rsidP="0037790A">
      <w:pPr>
        <w:numPr>
          <w:ilvl w:val="0"/>
          <w:numId w:val="3"/>
        </w:numPr>
        <w:rPr>
          <w:rFonts w:ascii="Arial" w:hAnsi="Arial" w:cs="Arial"/>
        </w:rPr>
      </w:pPr>
      <w:r w:rsidRPr="00860D1E">
        <w:rPr>
          <w:rFonts w:ascii="Arial" w:hAnsi="Arial" w:cs="Arial"/>
          <w:b/>
          <w:bCs/>
        </w:rPr>
        <w:t>Data risk:</w:t>
      </w:r>
      <w:r w:rsidRPr="00860D1E">
        <w:rPr>
          <w:rFonts w:ascii="Arial" w:hAnsi="Arial" w:cs="Arial"/>
        </w:rPr>
        <w:t xml:space="preserve"> Involves </w:t>
      </w:r>
      <w:r w:rsidR="00E117B9" w:rsidRPr="00860D1E">
        <w:rPr>
          <w:rFonts w:ascii="Arial" w:hAnsi="Arial" w:cs="Arial"/>
        </w:rPr>
        <w:t>managing</w:t>
      </w:r>
      <w:r w:rsidRPr="00860D1E">
        <w:rPr>
          <w:rFonts w:ascii="Arial" w:hAnsi="Arial" w:cs="Arial"/>
        </w:rPr>
        <w:t xml:space="preserve"> sensitive data, poor data provenance, unclear consent or licensing, and the possibility of re</w:t>
      </w:r>
      <w:r w:rsidRPr="00860D1E">
        <w:rPr>
          <w:rFonts w:ascii="Arial" w:hAnsi="Arial" w:cs="Arial"/>
        </w:rPr>
        <w:noBreakHyphen/>
        <w:t>identifying individuals.</w:t>
      </w:r>
    </w:p>
    <w:p w14:paraId="29B2EA3B" w14:textId="1E24A7F7" w:rsidR="002718A0" w:rsidRPr="00860D1E" w:rsidRDefault="0037790A" w:rsidP="002718A0">
      <w:pPr>
        <w:numPr>
          <w:ilvl w:val="0"/>
          <w:numId w:val="3"/>
        </w:numPr>
        <w:rPr>
          <w:rFonts w:ascii="Arial" w:hAnsi="Arial" w:cs="Arial"/>
        </w:rPr>
      </w:pPr>
      <w:r w:rsidRPr="00860D1E">
        <w:rPr>
          <w:rFonts w:ascii="Arial" w:hAnsi="Arial" w:cs="Arial"/>
          <w:b/>
          <w:bCs/>
        </w:rPr>
        <w:t>M</w:t>
      </w:r>
      <w:r w:rsidR="004D3A79" w:rsidRPr="00860D1E">
        <w:rPr>
          <w:rFonts w:ascii="Arial" w:hAnsi="Arial" w:cs="Arial"/>
          <w:b/>
          <w:bCs/>
        </w:rPr>
        <w:t xml:space="preserve">achine </w:t>
      </w:r>
      <w:r w:rsidRPr="00860D1E">
        <w:rPr>
          <w:rFonts w:ascii="Arial" w:hAnsi="Arial" w:cs="Arial"/>
          <w:b/>
          <w:bCs/>
        </w:rPr>
        <w:t>L</w:t>
      </w:r>
      <w:r w:rsidR="004D3A79" w:rsidRPr="00860D1E">
        <w:rPr>
          <w:rFonts w:ascii="Arial" w:hAnsi="Arial" w:cs="Arial"/>
          <w:b/>
          <w:bCs/>
        </w:rPr>
        <w:t xml:space="preserve">earning </w:t>
      </w:r>
      <w:r w:rsidRPr="00860D1E">
        <w:rPr>
          <w:rFonts w:ascii="Arial" w:hAnsi="Arial" w:cs="Arial"/>
          <w:b/>
          <w:bCs/>
        </w:rPr>
        <w:t>Ops risk:</w:t>
      </w:r>
      <w:r w:rsidRPr="00860D1E">
        <w:rPr>
          <w:rFonts w:ascii="Arial" w:hAnsi="Arial" w:cs="Arial"/>
        </w:rPr>
        <w:t xml:space="preserve"> Arises from uncontrolled model updates, missing versioning, insufficient testing, and the use of unapproved “shadow AI” tools outside formal governance processes.</w:t>
      </w:r>
    </w:p>
    <w:p w14:paraId="2757F780" w14:textId="69A71780" w:rsidR="00E3062D" w:rsidRPr="00860D1E" w:rsidRDefault="00E3062D" w:rsidP="002718A0">
      <w:pPr>
        <w:rPr>
          <w:rFonts w:ascii="Arial" w:hAnsi="Arial" w:cs="Arial"/>
        </w:rPr>
      </w:pPr>
    </w:p>
    <w:p w14:paraId="7C6F060B" w14:textId="22EDA2F8" w:rsidR="00F674AF" w:rsidRPr="00860D1E" w:rsidRDefault="00131593" w:rsidP="00131593">
      <w:pPr>
        <w:pStyle w:val="Heading2"/>
        <w:rPr>
          <w:sz w:val="28"/>
          <w:szCs w:val="28"/>
        </w:rPr>
      </w:pPr>
      <w:bookmarkStart w:id="6" w:name="_Toc227682431"/>
      <w:r w:rsidRPr="00860D1E">
        <w:rPr>
          <w:sz w:val="28"/>
          <w:szCs w:val="28"/>
        </w:rPr>
        <w:t>2-2</w:t>
      </w:r>
      <w:r w:rsidR="00F674AF" w:rsidRPr="00860D1E">
        <w:rPr>
          <w:sz w:val="28"/>
          <w:szCs w:val="28"/>
        </w:rPr>
        <w:t xml:space="preserve"> Ethical risks</w:t>
      </w:r>
      <w:bookmarkEnd w:id="6"/>
    </w:p>
    <w:p w14:paraId="1D6CF57B" w14:textId="4C263F7B" w:rsidR="00C01A13" w:rsidRPr="00860D1E" w:rsidRDefault="002C2DC9" w:rsidP="00C01A13">
      <w:pPr>
        <w:rPr>
          <w:rFonts w:ascii="Arial" w:hAnsi="Arial" w:cs="Arial"/>
        </w:rPr>
      </w:pPr>
      <w:r w:rsidRPr="00860D1E">
        <w:rPr>
          <w:rFonts w:ascii="Arial" w:hAnsi="Arial" w:cs="Arial"/>
        </w:rPr>
        <w:t>Ethical concerns in defence arise from the autonomy and learning capabilities of AI, making it essential to apply governance frameworks grounded in AI ethics and Just War Theory to ensure responsible and accountable use</w:t>
      </w:r>
      <w:sdt>
        <w:sdtPr>
          <w:rPr>
            <w:rFonts w:ascii="Arial" w:hAnsi="Arial" w:cs="Arial"/>
          </w:rPr>
          <w:id w:val="-502584425"/>
          <w:citation/>
        </w:sdtPr>
        <w:sdtEndPr/>
        <w:sdtContent>
          <w:r w:rsidR="003C6FF7" w:rsidRPr="00860D1E">
            <w:rPr>
              <w:rFonts w:ascii="Arial" w:hAnsi="Arial" w:cs="Arial"/>
            </w:rPr>
            <w:fldChar w:fldCharType="begin"/>
          </w:r>
          <w:r w:rsidR="003C6FF7" w:rsidRPr="00860D1E">
            <w:rPr>
              <w:rFonts w:ascii="Arial" w:hAnsi="Arial" w:cs="Arial"/>
            </w:rPr>
            <w:instrText xml:space="preserve"> CITATION Tad24 \l 2057 </w:instrText>
          </w:r>
          <w:r w:rsidR="003C6FF7"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[6]</w:t>
          </w:r>
          <w:r w:rsidR="003C6FF7" w:rsidRPr="00860D1E">
            <w:rPr>
              <w:rFonts w:ascii="Arial" w:hAnsi="Arial" w:cs="Arial"/>
            </w:rPr>
            <w:fldChar w:fldCharType="end"/>
          </w:r>
        </w:sdtContent>
      </w:sdt>
      <w:r w:rsidR="00B23923">
        <w:rPr>
          <w:rFonts w:ascii="Arial" w:hAnsi="Arial" w:cs="Arial"/>
        </w:rPr>
        <w:t>.</w:t>
      </w:r>
    </w:p>
    <w:p w14:paraId="6A4AAEB9" w14:textId="00A8831A" w:rsidR="00C01A13" w:rsidRPr="00860D1E" w:rsidRDefault="00C01A13" w:rsidP="00C01A13">
      <w:pPr>
        <w:pStyle w:val="ListParagraph"/>
        <w:numPr>
          <w:ilvl w:val="0"/>
          <w:numId w:val="6"/>
        </w:numPr>
        <w:rPr>
          <w:rFonts w:ascii="Arial" w:hAnsi="Arial" w:cs="Arial"/>
        </w:rPr>
      </w:pPr>
      <w:r w:rsidRPr="00860D1E">
        <w:rPr>
          <w:rFonts w:ascii="Arial" w:hAnsi="Arial" w:cs="Arial"/>
          <w:b/>
          <w:bCs/>
        </w:rPr>
        <w:t>Bias and discrimination</w:t>
      </w:r>
      <w:r w:rsidRPr="00860D1E">
        <w:rPr>
          <w:rFonts w:ascii="Arial" w:hAnsi="Arial" w:cs="Arial"/>
        </w:rPr>
        <w:t>: Occur when skewed data or design choices systematically disadvantage protected groups.</w:t>
      </w:r>
    </w:p>
    <w:p w14:paraId="4E1DCCA4" w14:textId="6A438D41" w:rsidR="00C01A13" w:rsidRPr="00860D1E" w:rsidRDefault="00C01A13" w:rsidP="00C01A13">
      <w:pPr>
        <w:numPr>
          <w:ilvl w:val="0"/>
          <w:numId w:val="6"/>
        </w:numPr>
        <w:rPr>
          <w:rFonts w:ascii="Arial" w:hAnsi="Arial" w:cs="Arial"/>
        </w:rPr>
      </w:pPr>
      <w:r w:rsidRPr="00860D1E">
        <w:rPr>
          <w:rFonts w:ascii="Arial" w:hAnsi="Arial" w:cs="Arial"/>
          <w:b/>
          <w:bCs/>
        </w:rPr>
        <w:lastRenderedPageBreak/>
        <w:t>Lack of transparency and explainability:</w:t>
      </w:r>
      <w:r w:rsidRPr="00860D1E">
        <w:rPr>
          <w:rFonts w:ascii="Arial" w:hAnsi="Arial" w:cs="Arial"/>
        </w:rPr>
        <w:t xml:space="preserve"> Stakeholders are unable to understand or challenge the decisions produced by AI systems.</w:t>
      </w:r>
    </w:p>
    <w:p w14:paraId="5D1F9567" w14:textId="31FEC499" w:rsidR="00C01A13" w:rsidRPr="00860D1E" w:rsidRDefault="00C01A13" w:rsidP="00F674AF">
      <w:pPr>
        <w:numPr>
          <w:ilvl w:val="0"/>
          <w:numId w:val="6"/>
        </w:numPr>
        <w:rPr>
          <w:rFonts w:ascii="Arial" w:hAnsi="Arial" w:cs="Arial"/>
        </w:rPr>
      </w:pPr>
      <w:r w:rsidRPr="00860D1E">
        <w:rPr>
          <w:rFonts w:ascii="Arial" w:hAnsi="Arial" w:cs="Arial"/>
          <w:b/>
          <w:bCs/>
        </w:rPr>
        <w:t>Erosion of trust</w:t>
      </w:r>
      <w:r w:rsidRPr="00860D1E">
        <w:rPr>
          <w:rFonts w:ascii="Arial" w:hAnsi="Arial" w:cs="Arial"/>
        </w:rPr>
        <w:t>: Harmful or unfair AI outcomes undermine public confidence, regulatory trust, and an organi</w:t>
      </w:r>
      <w:r w:rsidR="00A37306" w:rsidRPr="00860D1E">
        <w:rPr>
          <w:rFonts w:ascii="Arial" w:hAnsi="Arial" w:cs="Arial"/>
        </w:rPr>
        <w:t>s</w:t>
      </w:r>
      <w:r w:rsidRPr="00860D1E">
        <w:rPr>
          <w:rFonts w:ascii="Arial" w:hAnsi="Arial" w:cs="Arial"/>
        </w:rPr>
        <w:t>ation’s social licence to operate.</w:t>
      </w:r>
    </w:p>
    <w:p w14:paraId="415673C5" w14:textId="4251EC2E" w:rsidR="00C01A13" w:rsidRPr="00860D1E" w:rsidRDefault="00C01A13" w:rsidP="00F674AF">
      <w:pPr>
        <w:rPr>
          <w:rFonts w:ascii="Arial" w:hAnsi="Arial" w:cs="Arial"/>
          <w:b/>
          <w:bCs/>
        </w:rPr>
      </w:pPr>
    </w:p>
    <w:p w14:paraId="3EEDF2A6" w14:textId="7B22C6F4" w:rsidR="00D36C4B" w:rsidRPr="00860D1E" w:rsidRDefault="00247416" w:rsidP="00D36C4B">
      <w:pPr>
        <w:rPr>
          <w:rFonts w:ascii="Arial" w:hAnsi="Arial" w:cs="Arial"/>
          <w:b/>
          <w:bCs/>
          <w:i/>
          <w:iCs/>
        </w:rPr>
      </w:pPr>
      <w:r w:rsidRPr="00860D1E">
        <w:rPr>
          <w:rFonts w:ascii="Arial" w:hAnsi="Arial" w:cs="Arial"/>
          <w:b/>
          <w:bCs/>
          <w:i/>
          <w:iCs/>
        </w:rPr>
        <w:t>The governance challenge lies in the fact that these risks span legal, technical, and ethical domains, making it impossible for any single function</w:t>
      </w:r>
      <w:r w:rsidR="002700C5" w:rsidRPr="00860D1E">
        <w:rPr>
          <w:rFonts w:ascii="Arial" w:hAnsi="Arial" w:cs="Arial"/>
          <w:b/>
          <w:bCs/>
          <w:i/>
          <w:iCs/>
        </w:rPr>
        <w:t xml:space="preserve">, </w:t>
      </w:r>
      <w:r w:rsidRPr="00860D1E">
        <w:rPr>
          <w:rFonts w:ascii="Arial" w:hAnsi="Arial" w:cs="Arial"/>
          <w:b/>
          <w:bCs/>
          <w:i/>
          <w:iCs/>
        </w:rPr>
        <w:t>such as IT, legal, or data science</w:t>
      </w:r>
      <w:r w:rsidR="002700C5" w:rsidRPr="00860D1E">
        <w:rPr>
          <w:rFonts w:ascii="Arial" w:hAnsi="Arial" w:cs="Arial"/>
          <w:b/>
          <w:bCs/>
          <w:i/>
          <w:iCs/>
        </w:rPr>
        <w:t xml:space="preserve"> </w:t>
      </w:r>
      <w:r w:rsidRPr="00860D1E">
        <w:rPr>
          <w:rFonts w:ascii="Arial" w:hAnsi="Arial" w:cs="Arial"/>
          <w:b/>
          <w:bCs/>
          <w:i/>
          <w:iCs/>
        </w:rPr>
        <w:t>to manage them in isolation.</w:t>
      </w:r>
    </w:p>
    <w:p w14:paraId="3483C9BE" w14:textId="51D4C391" w:rsidR="00D36C4B" w:rsidRPr="00860D1E" w:rsidRDefault="00D36C4B" w:rsidP="00D36C4B">
      <w:pPr>
        <w:rPr>
          <w:rFonts w:ascii="Arial" w:hAnsi="Arial" w:cs="Arial"/>
        </w:rPr>
      </w:pPr>
    </w:p>
    <w:p w14:paraId="187433E2" w14:textId="2658BBED" w:rsidR="00D36C4B" w:rsidRPr="00860D1E" w:rsidRDefault="006B2D66" w:rsidP="0047308E">
      <w:pPr>
        <w:pStyle w:val="Heading1"/>
        <w:rPr>
          <w:b/>
          <w:bCs/>
          <w:sz w:val="32"/>
          <w:szCs w:val="32"/>
        </w:rPr>
      </w:pPr>
      <w:bookmarkStart w:id="7" w:name="_Toc227682432"/>
      <w:r w:rsidRPr="00860D1E">
        <w:rPr>
          <w:b/>
          <w:bCs/>
          <w:sz w:val="32"/>
          <w:szCs w:val="32"/>
        </w:rPr>
        <w:t>3</w:t>
      </w:r>
      <w:r w:rsidR="00EC7433" w:rsidRPr="00860D1E">
        <w:rPr>
          <w:b/>
          <w:bCs/>
          <w:sz w:val="32"/>
          <w:szCs w:val="32"/>
        </w:rPr>
        <w:t xml:space="preserve"> Frameworks and Structures</w:t>
      </w:r>
      <w:bookmarkEnd w:id="7"/>
    </w:p>
    <w:p w14:paraId="46E3C311" w14:textId="7602AC6F" w:rsidR="00EC7433" w:rsidRPr="00860D1E" w:rsidRDefault="00B23923" w:rsidP="00D36C4B">
      <w:pPr>
        <w:rPr>
          <w:rFonts w:ascii="Arial" w:hAnsi="Arial" w:cs="Arial"/>
        </w:rPr>
      </w:pPr>
      <w:r w:rsidRPr="00B23923">
        <w:rPr>
          <w:rFonts w:ascii="Arial" w:hAnsi="Arial" w:cs="Arial"/>
        </w:rPr>
        <w:t>AI governance frameworks aim to balance innovation with ethical and regulatory demands. They integrate market</w:t>
      </w:r>
      <w:r w:rsidRPr="00B23923">
        <w:rPr>
          <w:rFonts w:ascii="Arial" w:hAnsi="Arial" w:cs="Arial"/>
        </w:rPr>
        <w:noBreakHyphen/>
        <w:t>driven, state</w:t>
      </w:r>
      <w:r w:rsidRPr="00B23923">
        <w:rPr>
          <w:rFonts w:ascii="Arial" w:hAnsi="Arial" w:cs="Arial"/>
        </w:rPr>
        <w:noBreakHyphen/>
        <w:t>driven, and rights</w:t>
      </w:r>
      <w:r w:rsidRPr="00B23923">
        <w:rPr>
          <w:rFonts w:ascii="Arial" w:hAnsi="Arial" w:cs="Arial"/>
        </w:rPr>
        <w:noBreakHyphen/>
        <w:t>based models, supported by core controls such as data governance, risk management, and human oversight. Their effectiveness also depends on international coordination and broad stakeholder engagement to keep pace with rapid technological change and ensure responsible AI deployment</w:t>
      </w:r>
      <w:sdt>
        <w:sdtPr>
          <w:rPr>
            <w:rFonts w:ascii="Arial" w:hAnsi="Arial" w:cs="Arial"/>
          </w:rPr>
          <w:id w:val="-428431704"/>
          <w:citation/>
        </w:sdtPr>
        <w:sdtEndPr/>
        <w:sdtContent>
          <w:r w:rsidR="007474EF" w:rsidRPr="00860D1E">
            <w:rPr>
              <w:rFonts w:ascii="Arial" w:hAnsi="Arial" w:cs="Arial"/>
            </w:rPr>
            <w:fldChar w:fldCharType="begin"/>
          </w:r>
          <w:r w:rsidR="007474EF" w:rsidRPr="00860D1E">
            <w:rPr>
              <w:rFonts w:ascii="Arial" w:hAnsi="Arial" w:cs="Arial"/>
            </w:rPr>
            <w:instrText xml:space="preserve"> CITATION Ato25 \l 2057 </w:instrText>
          </w:r>
          <w:r w:rsidR="007474EF"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[7]</w:t>
          </w:r>
          <w:r w:rsidR="007474EF" w:rsidRPr="00860D1E">
            <w:rPr>
              <w:rFonts w:ascii="Arial" w:hAnsi="Arial" w:cs="Arial"/>
            </w:rPr>
            <w:fldChar w:fldCharType="end"/>
          </w:r>
        </w:sdtContent>
      </w:sdt>
      <w:r>
        <w:rPr>
          <w:rFonts w:ascii="Arial" w:hAnsi="Arial" w:cs="Arial"/>
        </w:rPr>
        <w:t>.</w:t>
      </w:r>
    </w:p>
    <w:p w14:paraId="4820B789" w14:textId="6B9265F1" w:rsidR="002C12D9" w:rsidRPr="00860D1E" w:rsidRDefault="00377157" w:rsidP="00F65874">
      <w:pPr>
        <w:pStyle w:val="Heading2"/>
        <w:rPr>
          <w:sz w:val="28"/>
          <w:szCs w:val="28"/>
        </w:rPr>
      </w:pPr>
      <w:bookmarkStart w:id="8" w:name="_Toc227682433"/>
      <w:r w:rsidRPr="00860D1E">
        <w:rPr>
          <w:sz w:val="28"/>
          <w:szCs w:val="28"/>
        </w:rPr>
        <w:t xml:space="preserve">3.1 </w:t>
      </w:r>
      <w:r w:rsidR="00832E65" w:rsidRPr="00860D1E">
        <w:rPr>
          <w:sz w:val="28"/>
          <w:szCs w:val="28"/>
        </w:rPr>
        <w:t xml:space="preserve">AI and ML </w:t>
      </w:r>
      <w:r w:rsidR="009C51EC" w:rsidRPr="00860D1E">
        <w:rPr>
          <w:sz w:val="28"/>
          <w:szCs w:val="28"/>
        </w:rPr>
        <w:t>Governance Frameworks</w:t>
      </w:r>
      <w:bookmarkEnd w:id="8"/>
      <w:r w:rsidR="009C51EC" w:rsidRPr="00860D1E">
        <w:rPr>
          <w:sz w:val="28"/>
          <w:szCs w:val="28"/>
        </w:rPr>
        <w:t xml:space="preserve"> </w:t>
      </w:r>
    </w:p>
    <w:p w14:paraId="6F2E28E1" w14:textId="78E5546E" w:rsidR="00835E8B" w:rsidRPr="00860D1E" w:rsidRDefault="00E31FB6" w:rsidP="00365FC1">
      <w:pPr>
        <w:rPr>
          <w:rFonts w:ascii="Arial" w:hAnsi="Arial" w:cs="Arial"/>
        </w:rPr>
      </w:pPr>
      <w:r w:rsidRPr="00860D1E">
        <w:rPr>
          <w:rFonts w:ascii="Arial" w:hAnsi="Arial" w:cs="Arial"/>
        </w:rPr>
        <w:t xml:space="preserve">AI and ML governance frameworks aim to protect public safety and human rights while still enabling innovation. They establish the policies, processes, and institutional structures needed to ensure accountability and oversight across AI technologies, services, </w:t>
      </w:r>
      <w:r w:rsidR="00CE7A54" w:rsidRPr="00860D1E">
        <w:rPr>
          <w:rFonts w:ascii="Arial" w:hAnsi="Arial" w:cs="Arial"/>
        </w:rPr>
        <w:t>and devices</w:t>
      </w:r>
      <w:r w:rsidRPr="00860D1E">
        <w:rPr>
          <w:rFonts w:ascii="Arial" w:hAnsi="Arial" w:cs="Arial"/>
        </w:rPr>
        <w:t>.</w:t>
      </w:r>
      <w:sdt>
        <w:sdtPr>
          <w:rPr>
            <w:rFonts w:ascii="Arial" w:hAnsi="Arial" w:cs="Arial"/>
          </w:rPr>
          <w:id w:val="1790325657"/>
          <w:citation/>
        </w:sdtPr>
        <w:sdtEndPr/>
        <w:sdtContent>
          <w:r w:rsidR="001D5487" w:rsidRPr="00860D1E">
            <w:rPr>
              <w:rFonts w:ascii="Arial" w:hAnsi="Arial" w:cs="Arial"/>
            </w:rPr>
            <w:fldChar w:fldCharType="begin"/>
          </w:r>
          <w:r w:rsidR="001D5487" w:rsidRPr="00860D1E">
            <w:rPr>
              <w:rFonts w:ascii="Arial" w:hAnsi="Arial" w:cs="Arial"/>
            </w:rPr>
            <w:instrText xml:space="preserve"> CITATION Alm23 \l 2057 </w:instrText>
          </w:r>
          <w:r w:rsidR="001D5487"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[8]</w:t>
          </w:r>
          <w:r w:rsidR="001D5487" w:rsidRPr="00860D1E">
            <w:rPr>
              <w:rFonts w:ascii="Arial" w:hAnsi="Arial" w:cs="Arial"/>
            </w:rPr>
            <w:fldChar w:fldCharType="end"/>
          </w:r>
        </w:sdtContent>
      </w:sdt>
      <w:r w:rsidR="005703D0" w:rsidRPr="00860D1E">
        <w:rPr>
          <w:rFonts w:ascii="Arial" w:hAnsi="Arial" w:cs="Arial"/>
        </w:rPr>
        <w:t xml:space="preserve"> </w:t>
      </w:r>
    </w:p>
    <w:p w14:paraId="641BC976" w14:textId="6B1D2400" w:rsidR="00365FC1" w:rsidRPr="00860D1E" w:rsidRDefault="00D6017F" w:rsidP="00365FC1">
      <w:pPr>
        <w:rPr>
          <w:rFonts w:ascii="Arial" w:hAnsi="Arial" w:cs="Arial"/>
        </w:rPr>
      </w:pPr>
      <w:r w:rsidRPr="00860D1E">
        <w:rPr>
          <w:rFonts w:ascii="Arial" w:hAnsi="Arial" w:cs="Arial"/>
          <w:b/>
          <w:bCs/>
        </w:rPr>
        <w:t>NIST</w:t>
      </w:r>
      <w:r w:rsidR="00016C6C" w:rsidRPr="00860D1E">
        <w:rPr>
          <w:rFonts w:ascii="Arial" w:hAnsi="Arial" w:cs="Arial"/>
          <w:b/>
          <w:bCs/>
        </w:rPr>
        <w:t>(</w:t>
      </w:r>
      <w:r w:rsidR="00246B45" w:rsidRPr="00860D1E">
        <w:rPr>
          <w:rFonts w:ascii="Arial" w:hAnsi="Arial" w:cs="Arial"/>
          <w:b/>
          <w:bCs/>
        </w:rPr>
        <w:t xml:space="preserve">National </w:t>
      </w:r>
      <w:r w:rsidR="00527852" w:rsidRPr="00860D1E">
        <w:rPr>
          <w:rFonts w:ascii="Arial" w:hAnsi="Arial" w:cs="Arial"/>
          <w:b/>
          <w:bCs/>
        </w:rPr>
        <w:t>Institute</w:t>
      </w:r>
      <w:r w:rsidR="00246B45" w:rsidRPr="00860D1E">
        <w:rPr>
          <w:rFonts w:ascii="Arial" w:hAnsi="Arial" w:cs="Arial"/>
          <w:b/>
          <w:bCs/>
        </w:rPr>
        <w:t xml:space="preserve"> of Standards and </w:t>
      </w:r>
      <w:r w:rsidR="00527852" w:rsidRPr="00860D1E">
        <w:rPr>
          <w:rFonts w:ascii="Arial" w:hAnsi="Arial" w:cs="Arial"/>
          <w:b/>
          <w:bCs/>
        </w:rPr>
        <w:t>Technology</w:t>
      </w:r>
      <w:r w:rsidR="00365FC1" w:rsidRPr="00860D1E">
        <w:rPr>
          <w:rFonts w:ascii="Arial" w:hAnsi="Arial" w:cs="Arial"/>
          <w:b/>
          <w:bCs/>
        </w:rPr>
        <w:t xml:space="preserve"> AI RMF</w:t>
      </w:r>
      <w:r w:rsidR="00E96E41" w:rsidRPr="00860D1E">
        <w:rPr>
          <w:rFonts w:ascii="Arial" w:hAnsi="Arial" w:cs="Arial"/>
          <w:b/>
          <w:bCs/>
        </w:rPr>
        <w:t>(</w:t>
      </w:r>
      <w:r w:rsidR="00016C6C" w:rsidRPr="00860D1E">
        <w:rPr>
          <w:rFonts w:ascii="Arial" w:hAnsi="Arial" w:cs="Arial"/>
          <w:b/>
          <w:bCs/>
        </w:rPr>
        <w:t>Risk Management Framework)</w:t>
      </w:r>
      <w:r w:rsidR="00365FC1" w:rsidRPr="00860D1E">
        <w:rPr>
          <w:rFonts w:ascii="Arial" w:hAnsi="Arial" w:cs="Arial"/>
          <w:b/>
          <w:bCs/>
        </w:rPr>
        <w:t>:</w:t>
      </w:r>
      <w:r w:rsidR="00365FC1" w:rsidRPr="00860D1E">
        <w:rPr>
          <w:rFonts w:ascii="Arial" w:hAnsi="Arial" w:cs="Arial"/>
        </w:rPr>
        <w:t xml:space="preserve"> Introduces a “Govern</w:t>
      </w:r>
      <w:r w:rsidRPr="00860D1E">
        <w:rPr>
          <w:rFonts w:ascii="Arial" w:hAnsi="Arial" w:cs="Arial"/>
        </w:rPr>
        <w:t xml:space="preserve"> </w:t>
      </w:r>
      <w:r w:rsidR="00365FC1" w:rsidRPr="00860D1E">
        <w:rPr>
          <w:rFonts w:ascii="Arial" w:hAnsi="Arial" w:cs="Arial"/>
        </w:rPr>
        <w:t>Map</w:t>
      </w:r>
      <w:r w:rsidRPr="00860D1E">
        <w:rPr>
          <w:rFonts w:ascii="Arial" w:hAnsi="Arial" w:cs="Arial"/>
        </w:rPr>
        <w:t xml:space="preserve"> </w:t>
      </w:r>
      <w:r w:rsidR="00365FC1" w:rsidRPr="00860D1E">
        <w:rPr>
          <w:rFonts w:ascii="Arial" w:hAnsi="Arial" w:cs="Arial"/>
        </w:rPr>
        <w:t>Measure</w:t>
      </w:r>
      <w:r w:rsidRPr="00860D1E">
        <w:rPr>
          <w:rFonts w:ascii="Arial" w:hAnsi="Arial" w:cs="Arial"/>
        </w:rPr>
        <w:t xml:space="preserve"> </w:t>
      </w:r>
      <w:r w:rsidR="00365FC1" w:rsidRPr="00860D1E">
        <w:rPr>
          <w:rFonts w:ascii="Arial" w:hAnsi="Arial" w:cs="Arial"/>
        </w:rPr>
        <w:t>Manage” cycle focused on building trustworthy AI, emphasising validity, safety, security, accountability, explainability, privacy, and fairness.</w:t>
      </w:r>
      <w:sdt>
        <w:sdtPr>
          <w:rPr>
            <w:rFonts w:ascii="Arial" w:hAnsi="Arial" w:cs="Arial"/>
          </w:rPr>
          <w:id w:val="-1094013282"/>
          <w:citation/>
        </w:sdtPr>
        <w:sdtEndPr/>
        <w:sdtContent>
          <w:r w:rsidR="00013084" w:rsidRPr="00860D1E">
            <w:rPr>
              <w:rFonts w:ascii="Arial" w:hAnsi="Arial" w:cs="Arial"/>
            </w:rPr>
            <w:fldChar w:fldCharType="begin"/>
          </w:r>
          <w:r w:rsidR="00013084" w:rsidRPr="00860D1E">
            <w:rPr>
              <w:rFonts w:ascii="Arial" w:hAnsi="Arial" w:cs="Arial"/>
            </w:rPr>
            <w:instrText xml:space="preserve"> CITATION NIS23 \l 2057 </w:instrText>
          </w:r>
          <w:r w:rsidR="00013084"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[9]</w:t>
          </w:r>
          <w:r w:rsidR="00013084" w:rsidRPr="00860D1E">
            <w:rPr>
              <w:rFonts w:ascii="Arial" w:hAnsi="Arial" w:cs="Arial"/>
            </w:rPr>
            <w:fldChar w:fldCharType="end"/>
          </w:r>
        </w:sdtContent>
      </w:sdt>
    </w:p>
    <w:p w14:paraId="354718B9" w14:textId="181E7712" w:rsidR="00133F6E" w:rsidRPr="00860D1E" w:rsidRDefault="00133F6E" w:rsidP="00365FC1">
      <w:pPr>
        <w:rPr>
          <w:rFonts w:ascii="Arial" w:hAnsi="Arial" w:cs="Arial"/>
        </w:rPr>
      </w:pPr>
      <w:r w:rsidRPr="00860D1E">
        <w:rPr>
          <w:rFonts w:ascii="Arial" w:hAnsi="Arial" w:cs="Arial"/>
          <w:b/>
          <w:bCs/>
        </w:rPr>
        <w:t>Systematic AI governance literature:</w:t>
      </w:r>
      <w:r w:rsidRPr="00860D1E">
        <w:rPr>
          <w:rFonts w:ascii="Arial" w:hAnsi="Arial" w:cs="Arial"/>
        </w:rPr>
        <w:t xml:space="preserve"> Emphasises defining clear accountability</w:t>
      </w:r>
      <w:r w:rsidR="00023BC9" w:rsidRPr="00860D1E">
        <w:rPr>
          <w:rFonts w:ascii="Arial" w:hAnsi="Arial" w:cs="Arial"/>
        </w:rPr>
        <w:t xml:space="preserve"> </w:t>
      </w:r>
      <w:r w:rsidRPr="00860D1E">
        <w:rPr>
          <w:rFonts w:ascii="Arial" w:hAnsi="Arial" w:cs="Arial"/>
        </w:rPr>
        <w:t>who owns decisions, what assets are governed (data, models, processes), when governance applies across the lifecycle, and how it is enforced through tools, policies, and oversight structures.</w:t>
      </w:r>
      <w:r w:rsidR="009665EA" w:rsidRPr="00860D1E">
        <w:rPr>
          <w:rFonts w:ascii="Arial" w:hAnsi="Arial" w:cs="Arial"/>
        </w:rPr>
        <w:t xml:space="preserve"> </w:t>
      </w:r>
      <w:sdt>
        <w:sdtPr>
          <w:rPr>
            <w:rFonts w:ascii="Arial" w:hAnsi="Arial" w:cs="Arial"/>
          </w:rPr>
          <w:id w:val="2077472877"/>
          <w:citation/>
        </w:sdtPr>
        <w:sdtEndPr/>
        <w:sdtContent>
          <w:r w:rsidR="009665EA" w:rsidRPr="00860D1E">
            <w:rPr>
              <w:rFonts w:ascii="Arial" w:hAnsi="Arial" w:cs="Arial"/>
            </w:rPr>
            <w:fldChar w:fldCharType="begin"/>
          </w:r>
          <w:r w:rsidR="001E2BD4" w:rsidRPr="00860D1E">
            <w:rPr>
              <w:rFonts w:ascii="Arial" w:hAnsi="Arial" w:cs="Arial"/>
            </w:rPr>
            <w:instrText xml:space="preserve">CITATION Amn25 \n  \y  \t  \l 2057 </w:instrText>
          </w:r>
          <w:r w:rsidR="009665EA" w:rsidRPr="00860D1E">
            <w:rPr>
              <w:rFonts w:ascii="Arial" w:hAnsi="Arial" w:cs="Arial"/>
            </w:rPr>
            <w:fldChar w:fldCharType="separate"/>
          </w:r>
          <w:r w:rsidR="00D3013B" w:rsidRPr="00D3013B">
            <w:rPr>
              <w:rFonts w:ascii="Arial" w:hAnsi="Arial" w:cs="Arial"/>
              <w:noProof/>
            </w:rPr>
            <w:t>[10]</w:t>
          </w:r>
          <w:r w:rsidR="009665EA" w:rsidRPr="00860D1E">
            <w:rPr>
              <w:rFonts w:ascii="Arial" w:hAnsi="Arial" w:cs="Arial"/>
            </w:rPr>
            <w:fldChar w:fldCharType="end"/>
          </w:r>
        </w:sdtContent>
      </w:sdt>
    </w:p>
    <w:p w14:paraId="770B5F89" w14:textId="7D69DA9A" w:rsidR="00C5686D" w:rsidRPr="00860D1E" w:rsidRDefault="00C5686D" w:rsidP="00C5686D">
      <w:pPr>
        <w:rPr>
          <w:rFonts w:ascii="Arial" w:hAnsi="Arial" w:cs="Arial"/>
        </w:rPr>
      </w:pPr>
      <w:r w:rsidRPr="00860D1E">
        <w:rPr>
          <w:rFonts w:ascii="Arial" w:hAnsi="Arial" w:cs="Arial"/>
          <w:b/>
          <w:bCs/>
        </w:rPr>
        <w:t>Enterprise frameworks:</w:t>
      </w:r>
      <w:r w:rsidRPr="00860D1E">
        <w:rPr>
          <w:rFonts w:ascii="Arial" w:hAnsi="Arial" w:cs="Arial"/>
        </w:rPr>
        <w:t xml:space="preserve"> Present AI governance as a structured blend of risk management, legal compliance, ethical oversight, and operational monitoring to enable responsible, scalable AI deployment.</w:t>
      </w:r>
      <w:sdt>
        <w:sdtPr>
          <w:rPr>
            <w:rFonts w:ascii="Arial" w:hAnsi="Arial" w:cs="Arial"/>
          </w:rPr>
          <w:id w:val="1249931544"/>
          <w:citation/>
        </w:sdtPr>
        <w:sdtEndPr/>
        <w:sdtContent>
          <w:r w:rsidR="00814FAA" w:rsidRPr="00860D1E">
            <w:rPr>
              <w:rFonts w:ascii="Arial" w:hAnsi="Arial" w:cs="Arial"/>
            </w:rPr>
            <w:fldChar w:fldCharType="begin"/>
          </w:r>
          <w:r w:rsidR="00814FAA" w:rsidRPr="00860D1E">
            <w:rPr>
              <w:rFonts w:ascii="Arial" w:hAnsi="Arial" w:cs="Arial"/>
            </w:rPr>
            <w:instrText xml:space="preserve"> CITATION Sar26 \l 2057 </w:instrText>
          </w:r>
          <w:r w:rsidR="00814FAA"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[11]</w:t>
          </w:r>
          <w:r w:rsidR="00814FAA" w:rsidRPr="00860D1E">
            <w:rPr>
              <w:rFonts w:ascii="Arial" w:hAnsi="Arial" w:cs="Arial"/>
            </w:rPr>
            <w:fldChar w:fldCharType="end"/>
          </w:r>
        </w:sdtContent>
      </w:sdt>
      <w:sdt>
        <w:sdtPr>
          <w:rPr>
            <w:rFonts w:ascii="Arial" w:hAnsi="Arial" w:cs="Arial"/>
          </w:rPr>
          <w:id w:val="-673567571"/>
          <w:citation/>
        </w:sdtPr>
        <w:sdtEndPr/>
        <w:sdtContent>
          <w:r w:rsidR="00E30F8F" w:rsidRPr="00860D1E">
            <w:rPr>
              <w:rFonts w:ascii="Arial" w:hAnsi="Arial" w:cs="Arial"/>
            </w:rPr>
            <w:fldChar w:fldCharType="begin"/>
          </w:r>
          <w:r w:rsidR="00E30F8F" w:rsidRPr="00860D1E">
            <w:rPr>
              <w:rFonts w:ascii="Arial" w:hAnsi="Arial" w:cs="Arial"/>
            </w:rPr>
            <w:instrText xml:space="preserve"> CITATION Alm231 \l 2057 </w:instrText>
          </w:r>
          <w:r w:rsidR="00E30F8F"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[12]</w:t>
          </w:r>
          <w:r w:rsidR="00E30F8F" w:rsidRPr="00860D1E">
            <w:rPr>
              <w:rFonts w:ascii="Arial" w:hAnsi="Arial" w:cs="Arial"/>
            </w:rPr>
            <w:fldChar w:fldCharType="end"/>
          </w:r>
        </w:sdtContent>
      </w:sdt>
      <w:sdt>
        <w:sdtPr>
          <w:rPr>
            <w:rFonts w:ascii="Arial" w:hAnsi="Arial" w:cs="Arial"/>
          </w:rPr>
          <w:id w:val="734361854"/>
          <w:citation/>
        </w:sdtPr>
        <w:sdtEndPr/>
        <w:sdtContent>
          <w:r w:rsidR="00A95249" w:rsidRPr="00860D1E">
            <w:rPr>
              <w:rFonts w:ascii="Arial" w:hAnsi="Arial" w:cs="Arial"/>
            </w:rPr>
            <w:fldChar w:fldCharType="begin"/>
          </w:r>
          <w:r w:rsidR="00A95249" w:rsidRPr="00860D1E">
            <w:rPr>
              <w:rFonts w:ascii="Arial" w:hAnsi="Arial" w:cs="Arial"/>
            </w:rPr>
            <w:instrText xml:space="preserve"> CITATION Aro25 \l 2057 </w:instrText>
          </w:r>
          <w:r w:rsidR="00A95249"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[13]</w:t>
          </w:r>
          <w:r w:rsidR="00A95249" w:rsidRPr="00860D1E">
            <w:rPr>
              <w:rFonts w:ascii="Arial" w:hAnsi="Arial" w:cs="Arial"/>
            </w:rPr>
            <w:fldChar w:fldCharType="end"/>
          </w:r>
        </w:sdtContent>
      </w:sdt>
    </w:p>
    <w:p w14:paraId="3C99B4F5" w14:textId="77777777" w:rsidR="0019717F" w:rsidRPr="00860D1E" w:rsidRDefault="0019717F" w:rsidP="00C5686D">
      <w:pPr>
        <w:rPr>
          <w:rFonts w:ascii="Arial" w:hAnsi="Arial" w:cs="Arial"/>
        </w:rPr>
      </w:pPr>
    </w:p>
    <w:p w14:paraId="53AC349F" w14:textId="5ABFC108" w:rsidR="0019717F" w:rsidRPr="00860D1E" w:rsidRDefault="0019717F" w:rsidP="0019717F">
      <w:pPr>
        <w:pStyle w:val="Heading2"/>
        <w:rPr>
          <w:sz w:val="28"/>
          <w:szCs w:val="28"/>
        </w:rPr>
      </w:pPr>
      <w:bookmarkStart w:id="9" w:name="_Toc227682434"/>
      <w:r w:rsidRPr="00860D1E">
        <w:rPr>
          <w:sz w:val="28"/>
          <w:szCs w:val="28"/>
        </w:rPr>
        <w:t>3.</w:t>
      </w:r>
      <w:r w:rsidR="004258F5" w:rsidRPr="00860D1E">
        <w:rPr>
          <w:sz w:val="28"/>
          <w:szCs w:val="28"/>
        </w:rPr>
        <w:t>2</w:t>
      </w:r>
      <w:r w:rsidRPr="00860D1E">
        <w:rPr>
          <w:sz w:val="28"/>
          <w:szCs w:val="28"/>
        </w:rPr>
        <w:t xml:space="preserve"> AI and ML Governance </w:t>
      </w:r>
      <w:r w:rsidR="004258F5" w:rsidRPr="00860D1E">
        <w:rPr>
          <w:sz w:val="28"/>
          <w:szCs w:val="28"/>
        </w:rPr>
        <w:t>Structures</w:t>
      </w:r>
      <w:bookmarkEnd w:id="9"/>
      <w:r w:rsidRPr="00860D1E">
        <w:rPr>
          <w:sz w:val="28"/>
          <w:szCs w:val="28"/>
        </w:rPr>
        <w:t xml:space="preserve"> </w:t>
      </w:r>
    </w:p>
    <w:p w14:paraId="04E942B6" w14:textId="72F0381A" w:rsidR="00DC6AAC" w:rsidRPr="00860D1E" w:rsidRDefault="000F1EE4" w:rsidP="00DC6AAC">
      <w:pPr>
        <w:rPr>
          <w:rFonts w:ascii="Arial" w:hAnsi="Arial" w:cs="Arial"/>
        </w:rPr>
      </w:pPr>
      <w:r w:rsidRPr="00860D1E">
        <w:rPr>
          <w:rFonts w:ascii="Arial" w:hAnsi="Arial" w:cs="Arial"/>
        </w:rPr>
        <w:t>AI and ML governance structures bring together ethical principles, organisational roles, regulatory requirements, and technical controls to ensure responsible development and deployment. These frameworks continue to evolve as organisations work to address the complex societal and business challenges posed by advanced AI technologies.</w:t>
      </w:r>
      <w:sdt>
        <w:sdtPr>
          <w:rPr>
            <w:rFonts w:ascii="Arial" w:hAnsi="Arial" w:cs="Arial"/>
          </w:rPr>
          <w:id w:val="-1754657152"/>
          <w:citation/>
        </w:sdtPr>
        <w:sdtEndPr/>
        <w:sdtContent>
          <w:r w:rsidR="00EB3DF3" w:rsidRPr="00860D1E">
            <w:rPr>
              <w:rFonts w:ascii="Arial" w:hAnsi="Arial" w:cs="Arial"/>
            </w:rPr>
            <w:fldChar w:fldCharType="begin"/>
          </w:r>
          <w:r w:rsidR="00EB3DF3" w:rsidRPr="00860D1E">
            <w:rPr>
              <w:rFonts w:ascii="Arial" w:hAnsi="Arial" w:cs="Arial"/>
            </w:rPr>
            <w:instrText xml:space="preserve"> CITATION Sar261 \l 2057 </w:instrText>
          </w:r>
          <w:r w:rsidR="00EB3DF3"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[14]</w:t>
          </w:r>
          <w:r w:rsidR="00EB3DF3" w:rsidRPr="00860D1E">
            <w:rPr>
              <w:rFonts w:ascii="Arial" w:hAnsi="Arial" w:cs="Arial"/>
            </w:rPr>
            <w:fldChar w:fldCharType="end"/>
          </w:r>
        </w:sdtContent>
      </w:sdt>
    </w:p>
    <w:p w14:paraId="3390C397" w14:textId="5CBB3242" w:rsidR="0019717F" w:rsidRPr="00860D1E" w:rsidRDefault="007B5674" w:rsidP="006339D9">
      <w:pPr>
        <w:rPr>
          <w:rFonts w:ascii="Arial" w:hAnsi="Arial" w:cs="Arial"/>
        </w:rPr>
      </w:pPr>
      <w:r w:rsidRPr="00860D1E">
        <w:rPr>
          <w:rFonts w:ascii="Arial" w:hAnsi="Arial" w:cs="Arial"/>
          <w:b/>
          <w:bCs/>
        </w:rPr>
        <w:t>AI governance boards</w:t>
      </w:r>
      <w:r w:rsidRPr="00860D1E">
        <w:rPr>
          <w:rFonts w:ascii="Arial" w:hAnsi="Arial" w:cs="Arial"/>
        </w:rPr>
        <w:t>: Offer strategic oversight, manage risk, and ensure alignment with business goals and ethical standards</w:t>
      </w:r>
      <w:r w:rsidR="000454B9" w:rsidRPr="00860D1E">
        <w:rPr>
          <w:rFonts w:ascii="Arial" w:hAnsi="Arial" w:cs="Arial"/>
        </w:rPr>
        <w:t xml:space="preserve">. </w:t>
      </w:r>
      <w:r w:rsidR="00A71A31" w:rsidRPr="00860D1E">
        <w:rPr>
          <w:rFonts w:ascii="Arial" w:hAnsi="Arial" w:cs="Arial"/>
        </w:rPr>
        <w:t xml:space="preserve">AI governance boards provide essential strategic oversight, ensuring AI initiatives align with business goals and ethical standards. They oversee the design, development, and deployment of AI systems, addressing ethical, </w:t>
      </w:r>
      <w:r w:rsidR="00A71A31" w:rsidRPr="00860D1E">
        <w:rPr>
          <w:rFonts w:ascii="Arial" w:hAnsi="Arial" w:cs="Arial"/>
        </w:rPr>
        <w:lastRenderedPageBreak/>
        <w:t>technical, and reputational risks while promoting a responsible AI culture. This responsibility includes establishing strong governance structures, integrating AI expertise at board level, and strengthening existing committees</w:t>
      </w:r>
      <w:r w:rsidR="008579AE" w:rsidRPr="00860D1E">
        <w:rPr>
          <w:rFonts w:ascii="Arial" w:hAnsi="Arial" w:cs="Arial"/>
        </w:rPr>
        <w:t xml:space="preserve">, </w:t>
      </w:r>
      <w:r w:rsidR="00A71A31" w:rsidRPr="00860D1E">
        <w:rPr>
          <w:rFonts w:ascii="Arial" w:hAnsi="Arial" w:cs="Arial"/>
        </w:rPr>
        <w:t>such as Social and Ethics Committees</w:t>
      </w:r>
      <w:r w:rsidR="008579AE" w:rsidRPr="00860D1E">
        <w:rPr>
          <w:rFonts w:ascii="Arial" w:hAnsi="Arial" w:cs="Arial"/>
        </w:rPr>
        <w:t xml:space="preserve"> </w:t>
      </w:r>
      <w:r w:rsidR="00A71A31" w:rsidRPr="00860D1E">
        <w:rPr>
          <w:rFonts w:ascii="Arial" w:hAnsi="Arial" w:cs="Arial"/>
        </w:rPr>
        <w:t>to support effective AI oversight.</w:t>
      </w:r>
      <w:sdt>
        <w:sdtPr>
          <w:id w:val="39172735"/>
          <w:citation/>
        </w:sdtPr>
        <w:sdtEndPr/>
        <w:sdtContent>
          <w:r w:rsidR="00341D4B" w:rsidRPr="00860D1E">
            <w:rPr>
              <w:rFonts w:ascii="Arial" w:hAnsi="Arial" w:cs="Arial"/>
            </w:rPr>
            <w:fldChar w:fldCharType="begin"/>
          </w:r>
          <w:r w:rsidR="00341D4B" w:rsidRPr="00860D1E">
            <w:rPr>
              <w:rFonts w:ascii="Arial" w:hAnsi="Arial" w:cs="Arial"/>
            </w:rPr>
            <w:instrText xml:space="preserve"> CITATION Cam24 \l 2057 </w:instrText>
          </w:r>
          <w:r w:rsidR="00341D4B"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[15]</w:t>
          </w:r>
          <w:r w:rsidR="00341D4B" w:rsidRPr="00860D1E">
            <w:rPr>
              <w:rFonts w:ascii="Arial" w:hAnsi="Arial" w:cs="Arial"/>
            </w:rPr>
            <w:fldChar w:fldCharType="end"/>
          </w:r>
        </w:sdtContent>
      </w:sdt>
    </w:p>
    <w:p w14:paraId="36EA0110" w14:textId="77777777" w:rsidR="00AE1631" w:rsidRPr="00860D1E" w:rsidRDefault="00AE1631" w:rsidP="00AE1631">
      <w:pPr>
        <w:pStyle w:val="ListParagraph"/>
        <w:rPr>
          <w:rFonts w:ascii="Arial" w:hAnsi="Arial" w:cs="Arial"/>
        </w:rPr>
      </w:pPr>
    </w:p>
    <w:p w14:paraId="75584668" w14:textId="1BA6F9EE" w:rsidR="00F71A48" w:rsidRPr="00860D1E" w:rsidRDefault="00F505D7" w:rsidP="006339D9">
      <w:pPr>
        <w:spacing w:after="0" w:line="240" w:lineRule="auto"/>
        <w:rPr>
          <w:rFonts w:ascii="Arial" w:eastAsia="Times New Roman" w:hAnsi="Arial" w:cs="Arial"/>
          <w:kern w:val="0"/>
          <w:lang w:eastAsia="en-GB"/>
          <w14:ligatures w14:val="none"/>
        </w:rPr>
      </w:pPr>
      <w:r w:rsidRPr="00860D1E">
        <w:rPr>
          <w:rFonts w:ascii="Arial" w:eastAsia="Times New Roman" w:hAnsi="Arial" w:cs="Arial"/>
          <w:b/>
          <w:bCs/>
          <w:kern w:val="0"/>
          <w:lang w:eastAsia="en-GB"/>
          <w14:ligatures w14:val="none"/>
        </w:rPr>
        <w:t>Ethics committees:</w:t>
      </w:r>
      <w:r w:rsidRPr="00860D1E">
        <w:rPr>
          <w:rFonts w:ascii="Arial" w:eastAsia="Times New Roman" w:hAnsi="Arial" w:cs="Arial"/>
          <w:kern w:val="0"/>
          <w:lang w:eastAsia="en-GB"/>
          <w14:ligatures w14:val="none"/>
        </w:rPr>
        <w:t xml:space="preserve"> Focus on fairness, transparency, and privacy in high</w:t>
      </w:r>
      <w:r w:rsidRPr="00860D1E">
        <w:rPr>
          <w:rFonts w:ascii="Arial" w:eastAsia="Times New Roman" w:hAnsi="Arial" w:cs="Arial"/>
          <w:kern w:val="0"/>
          <w:lang w:eastAsia="en-GB"/>
          <w14:ligatures w14:val="none"/>
        </w:rPr>
        <w:noBreakHyphen/>
        <w:t>risk use cases, often with external or civil</w:t>
      </w:r>
      <w:r w:rsidRPr="00860D1E">
        <w:rPr>
          <w:rFonts w:ascii="Arial" w:eastAsia="Times New Roman" w:hAnsi="Arial" w:cs="Arial"/>
          <w:kern w:val="0"/>
          <w:lang w:eastAsia="en-GB"/>
          <w14:ligatures w14:val="none"/>
        </w:rPr>
        <w:noBreakHyphen/>
        <w:t>society representation</w:t>
      </w:r>
      <w:r w:rsidR="00F71A48" w:rsidRPr="00860D1E">
        <w:rPr>
          <w:rFonts w:ascii="Arial" w:eastAsia="Times New Roman" w:hAnsi="Arial" w:cs="Arial"/>
          <w:kern w:val="0"/>
          <w:lang w:eastAsia="en-GB"/>
          <w14:ligatures w14:val="none"/>
        </w:rPr>
        <w:t>. Ethics committees often called Institutional Review Boards (IRBs)</w:t>
      </w:r>
      <w:r w:rsidR="00780128" w:rsidRPr="00860D1E">
        <w:rPr>
          <w:rFonts w:ascii="Arial" w:eastAsia="Times New Roman" w:hAnsi="Arial" w:cs="Arial"/>
          <w:kern w:val="0"/>
          <w:lang w:eastAsia="en-GB"/>
          <w14:ligatures w14:val="none"/>
        </w:rPr>
        <w:t xml:space="preserve"> </w:t>
      </w:r>
      <w:r w:rsidR="00F71A48" w:rsidRPr="00860D1E">
        <w:rPr>
          <w:rFonts w:ascii="Arial" w:eastAsia="Times New Roman" w:hAnsi="Arial" w:cs="Arial"/>
          <w:kern w:val="0"/>
          <w:lang w:eastAsia="en-GB"/>
          <w14:ligatures w14:val="none"/>
        </w:rPr>
        <w:t>protect human research participants by independently reviewing the ethical acceptability of studies involving people. Mandated in</w:t>
      </w:r>
      <w:r w:rsidR="003D6A85" w:rsidRPr="00860D1E">
        <w:rPr>
          <w:rFonts w:ascii="Arial" w:eastAsia="Times New Roman" w:hAnsi="Arial" w:cs="Arial"/>
          <w:kern w:val="0"/>
          <w:lang w:eastAsia="en-GB"/>
          <w14:ligatures w14:val="none"/>
        </w:rPr>
        <w:t xml:space="preserve"> </w:t>
      </w:r>
      <w:r w:rsidR="00B40BE2" w:rsidRPr="00860D1E">
        <w:rPr>
          <w:rFonts w:ascii="Arial" w:eastAsia="Times New Roman" w:hAnsi="Arial" w:cs="Arial"/>
          <w:kern w:val="0"/>
          <w:lang w:eastAsia="en-GB"/>
          <w14:ligatures w14:val="none"/>
        </w:rPr>
        <w:t>authorities</w:t>
      </w:r>
      <w:r w:rsidR="00F71A48" w:rsidRPr="00860D1E">
        <w:rPr>
          <w:rFonts w:ascii="Arial" w:eastAsia="Times New Roman" w:hAnsi="Arial" w:cs="Arial"/>
          <w:kern w:val="0"/>
          <w:lang w:eastAsia="en-GB"/>
          <w14:ligatures w14:val="none"/>
        </w:rPr>
        <w:t>, they oversee all human</w:t>
      </w:r>
      <w:r w:rsidR="00F71A48" w:rsidRPr="00860D1E">
        <w:rPr>
          <w:rFonts w:ascii="Arial" w:eastAsia="Times New Roman" w:hAnsi="Arial" w:cs="Arial"/>
          <w:kern w:val="0"/>
          <w:lang w:eastAsia="en-GB"/>
          <w14:ligatures w14:val="none"/>
        </w:rPr>
        <w:noBreakHyphen/>
        <w:t>subject research, with particular attention to vulnerable groups. They also educate researchers on ethics, scientific integrity, and the prevention of misconduct and conflicts of interest.</w:t>
      </w:r>
      <w:sdt>
        <w:sdtPr>
          <w:rPr>
            <w:lang w:eastAsia="en-GB"/>
          </w:rPr>
          <w:id w:val="-27328034"/>
          <w:citation/>
        </w:sdtPr>
        <w:sdtEndPr/>
        <w:sdtContent>
          <w:r w:rsidR="00B40BE2" w:rsidRPr="00860D1E">
            <w:rPr>
              <w:rFonts w:ascii="Arial" w:eastAsia="Times New Roman" w:hAnsi="Arial" w:cs="Arial"/>
              <w:kern w:val="0"/>
              <w:lang w:eastAsia="en-GB"/>
              <w14:ligatures w14:val="none"/>
            </w:rPr>
            <w:fldChar w:fldCharType="begin"/>
          </w:r>
          <w:r w:rsidR="00B40BE2" w:rsidRPr="00860D1E">
            <w:rPr>
              <w:rFonts w:ascii="Arial" w:eastAsia="Times New Roman" w:hAnsi="Arial" w:cs="Arial"/>
              <w:kern w:val="0"/>
              <w:lang w:eastAsia="en-GB"/>
              <w14:ligatures w14:val="none"/>
            </w:rPr>
            <w:instrText xml:space="preserve"> CITATION Gra15 \l 2057 </w:instrText>
          </w:r>
          <w:r w:rsidR="00B40BE2" w:rsidRPr="00860D1E">
            <w:rPr>
              <w:rFonts w:ascii="Arial" w:eastAsia="Times New Roman" w:hAnsi="Arial" w:cs="Arial"/>
              <w:kern w:val="0"/>
              <w:lang w:eastAsia="en-GB"/>
              <w14:ligatures w14:val="none"/>
            </w:rPr>
            <w:fldChar w:fldCharType="separate"/>
          </w:r>
          <w:r w:rsidR="00D3013B">
            <w:rPr>
              <w:rFonts w:ascii="Arial" w:eastAsia="Times New Roman" w:hAnsi="Arial" w:cs="Arial"/>
              <w:noProof/>
              <w:kern w:val="0"/>
              <w:lang w:eastAsia="en-GB"/>
              <w14:ligatures w14:val="none"/>
            </w:rPr>
            <w:t xml:space="preserve"> </w:t>
          </w:r>
          <w:r w:rsidR="00D3013B" w:rsidRPr="00D3013B">
            <w:rPr>
              <w:rFonts w:ascii="Arial" w:eastAsia="Times New Roman" w:hAnsi="Arial" w:cs="Arial"/>
              <w:noProof/>
              <w:kern w:val="0"/>
              <w:lang w:eastAsia="en-GB"/>
              <w14:ligatures w14:val="none"/>
            </w:rPr>
            <w:t>[16]</w:t>
          </w:r>
          <w:r w:rsidR="00B40BE2" w:rsidRPr="00860D1E">
            <w:rPr>
              <w:rFonts w:ascii="Arial" w:eastAsia="Times New Roman" w:hAnsi="Arial" w:cs="Arial"/>
              <w:kern w:val="0"/>
              <w:lang w:eastAsia="en-GB"/>
              <w14:ligatures w14:val="none"/>
            </w:rPr>
            <w:fldChar w:fldCharType="end"/>
          </w:r>
        </w:sdtContent>
      </w:sdt>
      <w:sdt>
        <w:sdtPr>
          <w:rPr>
            <w:lang w:eastAsia="en-GB"/>
          </w:rPr>
          <w:id w:val="758416150"/>
          <w:citation/>
        </w:sdtPr>
        <w:sdtEndPr/>
        <w:sdtContent>
          <w:r w:rsidR="006629DD" w:rsidRPr="00860D1E">
            <w:rPr>
              <w:rFonts w:ascii="Arial" w:eastAsia="Times New Roman" w:hAnsi="Arial" w:cs="Arial"/>
              <w:kern w:val="0"/>
              <w:lang w:eastAsia="en-GB"/>
              <w14:ligatures w14:val="none"/>
            </w:rPr>
            <w:fldChar w:fldCharType="begin"/>
          </w:r>
          <w:r w:rsidR="006629DD" w:rsidRPr="00860D1E">
            <w:rPr>
              <w:rFonts w:ascii="Arial" w:eastAsia="Times New Roman" w:hAnsi="Arial" w:cs="Arial"/>
              <w:kern w:val="0"/>
              <w:lang w:eastAsia="en-GB"/>
              <w14:ligatures w14:val="none"/>
            </w:rPr>
            <w:instrText xml:space="preserve"> CITATION AlF25 \l 2057 </w:instrText>
          </w:r>
          <w:r w:rsidR="006629DD" w:rsidRPr="00860D1E">
            <w:rPr>
              <w:rFonts w:ascii="Arial" w:eastAsia="Times New Roman" w:hAnsi="Arial" w:cs="Arial"/>
              <w:kern w:val="0"/>
              <w:lang w:eastAsia="en-GB"/>
              <w14:ligatures w14:val="none"/>
            </w:rPr>
            <w:fldChar w:fldCharType="separate"/>
          </w:r>
          <w:r w:rsidR="00D3013B">
            <w:rPr>
              <w:rFonts w:ascii="Arial" w:eastAsia="Times New Roman" w:hAnsi="Arial" w:cs="Arial"/>
              <w:noProof/>
              <w:kern w:val="0"/>
              <w:lang w:eastAsia="en-GB"/>
              <w14:ligatures w14:val="none"/>
            </w:rPr>
            <w:t xml:space="preserve"> </w:t>
          </w:r>
          <w:r w:rsidR="00D3013B" w:rsidRPr="00D3013B">
            <w:rPr>
              <w:rFonts w:ascii="Arial" w:eastAsia="Times New Roman" w:hAnsi="Arial" w:cs="Arial"/>
              <w:noProof/>
              <w:kern w:val="0"/>
              <w:lang w:eastAsia="en-GB"/>
              <w14:ligatures w14:val="none"/>
            </w:rPr>
            <w:t>[17]</w:t>
          </w:r>
          <w:r w:rsidR="006629DD" w:rsidRPr="00860D1E">
            <w:rPr>
              <w:rFonts w:ascii="Arial" w:eastAsia="Times New Roman" w:hAnsi="Arial" w:cs="Arial"/>
              <w:kern w:val="0"/>
              <w:lang w:eastAsia="en-GB"/>
              <w14:ligatures w14:val="none"/>
            </w:rPr>
            <w:fldChar w:fldCharType="end"/>
          </w:r>
        </w:sdtContent>
      </w:sdt>
    </w:p>
    <w:p w14:paraId="579270ED" w14:textId="77777777" w:rsidR="00E83BB8" w:rsidRPr="00860D1E" w:rsidRDefault="00E83BB8" w:rsidP="00E83BB8">
      <w:pPr>
        <w:spacing w:after="0" w:line="240" w:lineRule="auto"/>
        <w:ind w:left="360"/>
        <w:rPr>
          <w:rFonts w:ascii="Arial" w:eastAsia="Times New Roman" w:hAnsi="Arial" w:cs="Arial"/>
          <w:kern w:val="0"/>
          <w:lang w:eastAsia="en-GB"/>
          <w14:ligatures w14:val="none"/>
        </w:rPr>
      </w:pPr>
    </w:p>
    <w:p w14:paraId="35B75F67" w14:textId="36006B28" w:rsidR="00A5598C" w:rsidRPr="00860D1E" w:rsidRDefault="003828F5" w:rsidP="00AB60B1">
      <w:pPr>
        <w:spacing w:after="0" w:line="240" w:lineRule="auto"/>
        <w:rPr>
          <w:rFonts w:ascii="Arial" w:eastAsia="Times New Roman" w:hAnsi="Arial" w:cs="Arial"/>
          <w:b/>
          <w:bCs/>
          <w:i/>
          <w:iCs/>
          <w:kern w:val="0"/>
          <w:lang w:eastAsia="en-GB"/>
          <w14:ligatures w14:val="none"/>
        </w:rPr>
      </w:pPr>
      <w:r>
        <w:rPr>
          <w:rFonts w:ascii="Arial" w:eastAsia="Times New Roman" w:hAnsi="Arial" w:cs="Arial"/>
          <w:b/>
          <w:bCs/>
          <w:i/>
          <w:iCs/>
          <w:kern w:val="0"/>
          <w:lang w:eastAsia="en-GB"/>
          <w14:ligatures w14:val="none"/>
        </w:rPr>
        <w:t>O</w:t>
      </w:r>
      <w:r w:rsidR="00E83BB8" w:rsidRPr="00860D1E">
        <w:rPr>
          <w:rFonts w:ascii="Arial" w:eastAsia="Times New Roman" w:hAnsi="Arial" w:cs="Arial"/>
          <w:b/>
          <w:bCs/>
          <w:i/>
          <w:iCs/>
          <w:kern w:val="0"/>
          <w:lang w:eastAsia="en-GB"/>
          <w14:ligatures w14:val="none"/>
        </w:rPr>
        <w:t>rganisations establish ethics boards and principles but fail to resource them properly or integrate them into product decisions, resulting in superficial “ethics theatre” rather than meaningful oversight.</w:t>
      </w:r>
    </w:p>
    <w:p w14:paraId="583D5802" w14:textId="77777777" w:rsidR="007B5674" w:rsidRPr="00860D1E" w:rsidRDefault="007B5674" w:rsidP="00F505D7">
      <w:pPr>
        <w:ind w:left="360"/>
        <w:rPr>
          <w:rFonts w:ascii="Arial" w:hAnsi="Arial" w:cs="Arial"/>
        </w:rPr>
      </w:pPr>
    </w:p>
    <w:p w14:paraId="752FF9A8" w14:textId="0770ECE5" w:rsidR="00BD795F" w:rsidRPr="00860D1E" w:rsidRDefault="00BD795F" w:rsidP="00C47571">
      <w:pPr>
        <w:pStyle w:val="Heading1"/>
        <w:rPr>
          <w:b/>
          <w:bCs/>
          <w:sz w:val="32"/>
          <w:szCs w:val="32"/>
        </w:rPr>
      </w:pPr>
      <w:bookmarkStart w:id="10" w:name="_Toc227682435"/>
      <w:r w:rsidRPr="00860D1E">
        <w:rPr>
          <w:b/>
          <w:bCs/>
          <w:sz w:val="32"/>
          <w:szCs w:val="32"/>
        </w:rPr>
        <w:t>4</w:t>
      </w:r>
      <w:r w:rsidR="00327D2C" w:rsidRPr="00860D1E">
        <w:rPr>
          <w:b/>
          <w:bCs/>
          <w:sz w:val="32"/>
          <w:szCs w:val="32"/>
        </w:rPr>
        <w:t xml:space="preserve"> Life Cycle Governance</w:t>
      </w:r>
      <w:r w:rsidR="00AB4DB0" w:rsidRPr="00860D1E">
        <w:rPr>
          <w:b/>
          <w:bCs/>
          <w:sz w:val="32"/>
          <w:szCs w:val="32"/>
        </w:rPr>
        <w:t xml:space="preserve"> Principles</w:t>
      </w:r>
      <w:bookmarkEnd w:id="10"/>
    </w:p>
    <w:p w14:paraId="4AEC5C25" w14:textId="455A9445" w:rsidR="00DD258F" w:rsidRPr="00860D1E" w:rsidRDefault="008D105B" w:rsidP="00C37B33">
      <w:r w:rsidRPr="00860D1E">
        <w:rPr>
          <w:rFonts w:ascii="Arial" w:hAnsi="Arial" w:cs="Arial"/>
        </w:rPr>
        <w:t>Lifecycle governance turns principles into practice by integrating oversight mechanisms across every stage of a project or system. In power</w:t>
      </w:r>
      <w:r w:rsidRPr="00860D1E">
        <w:rPr>
          <w:rFonts w:ascii="Cambria Math" w:hAnsi="Cambria Math" w:cs="Cambria Math"/>
        </w:rPr>
        <w:t>‑</w:t>
      </w:r>
      <w:r w:rsidRPr="00860D1E">
        <w:rPr>
          <w:rFonts w:ascii="Arial" w:hAnsi="Arial" w:cs="Arial"/>
        </w:rPr>
        <w:t>grid contexts, lifecycle auditing illustrates this approach by embedding governance and sustainability considerations from project initiation through post</w:t>
      </w:r>
      <w:r w:rsidRPr="00860D1E">
        <w:rPr>
          <w:rFonts w:ascii="Cambria Math" w:hAnsi="Cambria Math" w:cs="Cambria Math"/>
        </w:rPr>
        <w:t>‑</w:t>
      </w:r>
      <w:r w:rsidRPr="00860D1E">
        <w:rPr>
          <w:rFonts w:ascii="Arial" w:hAnsi="Arial" w:cs="Arial"/>
        </w:rPr>
        <w:t>completion review.</w:t>
      </w:r>
      <w:sdt>
        <w:sdtPr>
          <w:id w:val="1512566870"/>
          <w:citation/>
        </w:sdtPr>
        <w:sdtEndPr/>
        <w:sdtContent>
          <w:r w:rsidR="002003C2" w:rsidRPr="00860D1E">
            <w:rPr>
              <w:rFonts w:ascii="Arial" w:hAnsi="Arial" w:cs="Arial"/>
            </w:rPr>
            <w:fldChar w:fldCharType="begin"/>
          </w:r>
          <w:r w:rsidR="002003C2" w:rsidRPr="00860D1E">
            <w:rPr>
              <w:rFonts w:ascii="Arial" w:hAnsi="Arial" w:cs="Arial"/>
            </w:rPr>
            <w:instrText xml:space="preserve"> CITATION Zho25 \l 2057 </w:instrText>
          </w:r>
          <w:r w:rsidR="002003C2"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[18]</w:t>
          </w:r>
          <w:r w:rsidR="002003C2" w:rsidRPr="00860D1E">
            <w:rPr>
              <w:rFonts w:ascii="Arial" w:hAnsi="Arial" w:cs="Arial"/>
            </w:rPr>
            <w:fldChar w:fldCharType="end"/>
          </w:r>
        </w:sdtContent>
      </w:sdt>
    </w:p>
    <w:p w14:paraId="04F1E27E" w14:textId="123D0B6F" w:rsidR="000B7D3B" w:rsidRPr="00860D1E" w:rsidRDefault="0029615A" w:rsidP="00DD258F">
      <w:pPr>
        <w:pStyle w:val="Heading2"/>
        <w:rPr>
          <w:sz w:val="28"/>
          <w:szCs w:val="28"/>
        </w:rPr>
      </w:pPr>
      <w:bookmarkStart w:id="11" w:name="_Toc227057647"/>
      <w:bookmarkStart w:id="12" w:name="_Toc227682436"/>
      <w:r w:rsidRPr="00860D1E">
        <w:rPr>
          <w:sz w:val="28"/>
          <w:szCs w:val="28"/>
        </w:rPr>
        <w:t xml:space="preserve">4.1 </w:t>
      </w:r>
      <w:r w:rsidR="00AF3A1C" w:rsidRPr="00860D1E">
        <w:rPr>
          <w:sz w:val="28"/>
          <w:szCs w:val="28"/>
        </w:rPr>
        <w:t>Integrating</w:t>
      </w:r>
      <w:r w:rsidR="007F729A" w:rsidRPr="00860D1E">
        <w:rPr>
          <w:sz w:val="28"/>
          <w:szCs w:val="28"/>
        </w:rPr>
        <w:t xml:space="preserve"> Governance across the </w:t>
      </w:r>
      <w:r w:rsidR="009F5CC2" w:rsidRPr="00860D1E">
        <w:rPr>
          <w:sz w:val="28"/>
          <w:szCs w:val="28"/>
        </w:rPr>
        <w:t>AI Lifecycle</w:t>
      </w:r>
      <w:bookmarkEnd w:id="11"/>
      <w:bookmarkEnd w:id="12"/>
    </w:p>
    <w:p w14:paraId="3390BB5D" w14:textId="743B5F0C" w:rsidR="00DD258F" w:rsidRPr="00860D1E" w:rsidRDefault="00DD258F" w:rsidP="00DD258F">
      <w:pPr>
        <w:pStyle w:val="Heading2"/>
        <w:rPr>
          <w:rFonts w:ascii="Arial" w:hAnsi="Arial" w:cs="Arial"/>
          <w:color w:val="auto"/>
          <w:sz w:val="22"/>
          <w:szCs w:val="22"/>
        </w:rPr>
      </w:pPr>
      <w:bookmarkStart w:id="13" w:name="_Toc226410960"/>
      <w:bookmarkStart w:id="14" w:name="_Toc226413178"/>
      <w:bookmarkStart w:id="15" w:name="_Toc226416083"/>
      <w:bookmarkStart w:id="16" w:name="_Toc226418929"/>
      <w:bookmarkStart w:id="17" w:name="_Toc227057648"/>
      <w:bookmarkStart w:id="18" w:name="_Toc227357301"/>
      <w:bookmarkStart w:id="19" w:name="_Toc227449625"/>
      <w:bookmarkStart w:id="20" w:name="_Toc227682437"/>
      <w:r w:rsidRPr="00860D1E">
        <w:rPr>
          <w:rFonts w:ascii="Arial" w:hAnsi="Arial" w:cs="Arial"/>
          <w:color w:val="auto"/>
          <w:sz w:val="22"/>
          <w:szCs w:val="22"/>
        </w:rPr>
        <w:t>Integrating governance across the AI lifecycle means applying oversight from design through deployment and retirement. Because AI systems evolve through continuous data use, learning, and probabilistic outputs, effective governance must be adaptive rather than static. This lifecycle approach ensures reliability, ethical integrity, and regulatory compliance as technical and operational conditions change over the system’s lifespan.</w:t>
      </w:r>
      <w:sdt>
        <w:sdtPr>
          <w:rPr>
            <w:rFonts w:ascii="Arial" w:hAnsi="Arial" w:cs="Arial"/>
            <w:color w:val="auto"/>
            <w:sz w:val="22"/>
            <w:szCs w:val="22"/>
          </w:rPr>
          <w:id w:val="-1792819842"/>
          <w:citation/>
        </w:sdtPr>
        <w:sdtEndPr/>
        <w:sdtContent>
          <w:r w:rsidR="00F96B6D" w:rsidRPr="00860D1E">
            <w:rPr>
              <w:rFonts w:ascii="Arial" w:hAnsi="Arial" w:cs="Arial"/>
              <w:color w:val="auto"/>
              <w:sz w:val="22"/>
              <w:szCs w:val="22"/>
            </w:rPr>
            <w:fldChar w:fldCharType="begin"/>
          </w:r>
          <w:r w:rsidR="00F96B6D" w:rsidRPr="00860D1E">
            <w:rPr>
              <w:rFonts w:ascii="Arial" w:hAnsi="Arial" w:cs="Arial"/>
              <w:color w:val="auto"/>
              <w:sz w:val="22"/>
              <w:szCs w:val="22"/>
            </w:rPr>
            <w:instrText xml:space="preserve"> CITATION Leoce \l 2057 </w:instrText>
          </w:r>
          <w:r w:rsidR="00F96B6D" w:rsidRPr="00860D1E">
            <w:rPr>
              <w:rFonts w:ascii="Arial" w:hAnsi="Arial" w:cs="Arial"/>
              <w:color w:val="auto"/>
              <w:sz w:val="22"/>
              <w:szCs w:val="22"/>
            </w:rPr>
            <w:fldChar w:fldCharType="separate"/>
          </w:r>
          <w:r w:rsidR="00D3013B">
            <w:rPr>
              <w:rFonts w:ascii="Arial" w:hAnsi="Arial" w:cs="Arial"/>
              <w:noProof/>
              <w:color w:val="auto"/>
              <w:sz w:val="22"/>
              <w:szCs w:val="22"/>
            </w:rPr>
            <w:t xml:space="preserve"> </w:t>
          </w:r>
          <w:r w:rsidR="00D3013B" w:rsidRPr="00D3013B">
            <w:rPr>
              <w:rFonts w:ascii="Arial" w:hAnsi="Arial" w:cs="Arial"/>
              <w:noProof/>
              <w:color w:val="auto"/>
              <w:sz w:val="22"/>
              <w:szCs w:val="22"/>
            </w:rPr>
            <w:t>[19]</w:t>
          </w:r>
          <w:r w:rsidR="00F96B6D" w:rsidRPr="00860D1E">
            <w:rPr>
              <w:rFonts w:ascii="Arial" w:hAnsi="Arial" w:cs="Arial"/>
              <w:color w:val="auto"/>
              <w:sz w:val="22"/>
              <w:szCs w:val="22"/>
            </w:rPr>
            <w:fldChar w:fldCharType="end"/>
          </w:r>
        </w:sdtContent>
      </w:sdt>
      <w:bookmarkEnd w:id="13"/>
      <w:bookmarkEnd w:id="14"/>
      <w:bookmarkEnd w:id="15"/>
      <w:bookmarkEnd w:id="16"/>
      <w:bookmarkEnd w:id="17"/>
      <w:bookmarkEnd w:id="18"/>
      <w:bookmarkEnd w:id="19"/>
      <w:bookmarkEnd w:id="20"/>
    </w:p>
    <w:p w14:paraId="6D98013A" w14:textId="77777777" w:rsidR="00844E5E" w:rsidRPr="00860D1E" w:rsidRDefault="00844E5E" w:rsidP="00844E5E">
      <w:pPr>
        <w:pStyle w:val="Heading2"/>
        <w:rPr>
          <w:rFonts w:ascii="Arial" w:hAnsi="Arial" w:cs="Arial"/>
          <w:color w:val="auto"/>
          <w:sz w:val="22"/>
          <w:szCs w:val="22"/>
        </w:rPr>
      </w:pPr>
      <w:bookmarkStart w:id="21" w:name="_Toc226410961"/>
      <w:bookmarkStart w:id="22" w:name="_Toc226413179"/>
      <w:bookmarkStart w:id="23" w:name="_Toc226416084"/>
      <w:bookmarkStart w:id="24" w:name="_Toc226418930"/>
      <w:bookmarkStart w:id="25" w:name="_Toc227357302"/>
      <w:bookmarkStart w:id="26" w:name="_Toc227449626"/>
      <w:bookmarkStart w:id="27" w:name="_Toc227680393"/>
      <w:bookmarkStart w:id="28" w:name="_Toc227682438"/>
      <w:r w:rsidRPr="00860D1E">
        <w:rPr>
          <w:rFonts w:ascii="Arial" w:hAnsi="Arial" w:cs="Arial"/>
          <w:color w:val="auto"/>
          <w:sz w:val="22"/>
          <w:szCs w:val="22"/>
        </w:rPr>
        <w:t>AI lifecycle governance ensures responsible practice from concept to retirement.</w:t>
      </w:r>
      <w:bookmarkEnd w:id="21"/>
      <w:bookmarkEnd w:id="22"/>
      <w:bookmarkEnd w:id="23"/>
      <w:bookmarkEnd w:id="24"/>
      <w:bookmarkEnd w:id="25"/>
      <w:bookmarkEnd w:id="26"/>
      <w:bookmarkEnd w:id="27"/>
      <w:bookmarkEnd w:id="28"/>
    </w:p>
    <w:p w14:paraId="7B73FA0A" w14:textId="77777777" w:rsidR="00844E5E" w:rsidRPr="00860D1E" w:rsidRDefault="00844E5E" w:rsidP="00844E5E">
      <w:pPr>
        <w:pStyle w:val="Heading2"/>
        <w:numPr>
          <w:ilvl w:val="0"/>
          <w:numId w:val="7"/>
        </w:numPr>
        <w:rPr>
          <w:rFonts w:ascii="Arial" w:hAnsi="Arial" w:cs="Arial"/>
          <w:color w:val="auto"/>
          <w:sz w:val="22"/>
          <w:szCs w:val="22"/>
        </w:rPr>
      </w:pPr>
      <w:bookmarkStart w:id="29" w:name="_Toc226410962"/>
      <w:bookmarkStart w:id="30" w:name="_Toc226413180"/>
      <w:bookmarkStart w:id="31" w:name="_Toc226416085"/>
      <w:bookmarkStart w:id="32" w:name="_Toc226418931"/>
      <w:bookmarkStart w:id="33" w:name="_Toc227357303"/>
      <w:bookmarkStart w:id="34" w:name="_Toc227449627"/>
      <w:bookmarkStart w:id="35" w:name="_Toc227680394"/>
      <w:bookmarkStart w:id="36" w:name="_Toc227682439"/>
      <w:r w:rsidRPr="00860D1E">
        <w:rPr>
          <w:rFonts w:ascii="Arial" w:hAnsi="Arial" w:cs="Arial"/>
          <w:b/>
          <w:bCs/>
          <w:color w:val="auto"/>
          <w:sz w:val="22"/>
          <w:szCs w:val="22"/>
        </w:rPr>
        <w:t>Ideation &amp; design:</w:t>
      </w:r>
      <w:r w:rsidRPr="00860D1E">
        <w:rPr>
          <w:rFonts w:ascii="Arial" w:hAnsi="Arial" w:cs="Arial"/>
          <w:color w:val="auto"/>
          <w:sz w:val="22"/>
          <w:szCs w:val="22"/>
        </w:rPr>
        <w:t xml:space="preserve"> Risk and impact assessments ethical, societal, and human</w:t>
      </w:r>
      <w:r w:rsidRPr="00860D1E">
        <w:rPr>
          <w:rFonts w:ascii="Cambria Math" w:hAnsi="Cambria Math" w:cs="Cambria Math"/>
          <w:color w:val="auto"/>
          <w:sz w:val="22"/>
          <w:szCs w:val="22"/>
        </w:rPr>
        <w:t>‑</w:t>
      </w:r>
      <w:r w:rsidRPr="00860D1E">
        <w:rPr>
          <w:rFonts w:ascii="Arial" w:hAnsi="Arial" w:cs="Arial"/>
          <w:color w:val="auto"/>
          <w:sz w:val="22"/>
          <w:szCs w:val="22"/>
        </w:rPr>
        <w:t>rights determine whether a use case is acceptable and at what risk level.</w:t>
      </w:r>
      <w:bookmarkEnd w:id="29"/>
      <w:bookmarkEnd w:id="30"/>
      <w:bookmarkEnd w:id="31"/>
      <w:bookmarkEnd w:id="32"/>
      <w:bookmarkEnd w:id="33"/>
      <w:bookmarkEnd w:id="34"/>
      <w:bookmarkEnd w:id="35"/>
      <w:bookmarkEnd w:id="36"/>
    </w:p>
    <w:p w14:paraId="2B4C4819" w14:textId="77777777" w:rsidR="00844E5E" w:rsidRPr="00860D1E" w:rsidRDefault="00844E5E" w:rsidP="00844E5E">
      <w:pPr>
        <w:pStyle w:val="Heading2"/>
        <w:numPr>
          <w:ilvl w:val="0"/>
          <w:numId w:val="7"/>
        </w:numPr>
        <w:rPr>
          <w:rFonts w:ascii="Arial" w:hAnsi="Arial" w:cs="Arial"/>
          <w:color w:val="auto"/>
          <w:sz w:val="22"/>
          <w:szCs w:val="22"/>
        </w:rPr>
      </w:pPr>
      <w:bookmarkStart w:id="37" w:name="_Toc226410963"/>
      <w:bookmarkStart w:id="38" w:name="_Toc226413181"/>
      <w:bookmarkStart w:id="39" w:name="_Toc226416086"/>
      <w:bookmarkStart w:id="40" w:name="_Toc226418932"/>
      <w:bookmarkStart w:id="41" w:name="_Toc227357304"/>
      <w:bookmarkStart w:id="42" w:name="_Toc227449628"/>
      <w:bookmarkStart w:id="43" w:name="_Toc227680395"/>
      <w:bookmarkStart w:id="44" w:name="_Toc227682440"/>
      <w:r w:rsidRPr="00860D1E">
        <w:rPr>
          <w:rFonts w:ascii="Arial" w:hAnsi="Arial" w:cs="Arial"/>
          <w:b/>
          <w:bCs/>
          <w:color w:val="auto"/>
          <w:sz w:val="22"/>
          <w:szCs w:val="22"/>
        </w:rPr>
        <w:t>Data collection &amp; preparation:</w:t>
      </w:r>
      <w:r w:rsidRPr="00860D1E">
        <w:rPr>
          <w:rFonts w:ascii="Arial" w:hAnsi="Arial" w:cs="Arial"/>
          <w:color w:val="auto"/>
          <w:sz w:val="22"/>
          <w:szCs w:val="22"/>
        </w:rPr>
        <w:t xml:space="preserve"> Data governance enforces provenance, consent, minimisation, and quality, supported by bias and privacy impact checks before training.</w:t>
      </w:r>
      <w:bookmarkEnd w:id="37"/>
      <w:bookmarkEnd w:id="38"/>
      <w:bookmarkEnd w:id="39"/>
      <w:bookmarkEnd w:id="40"/>
      <w:bookmarkEnd w:id="41"/>
      <w:bookmarkEnd w:id="42"/>
      <w:bookmarkEnd w:id="43"/>
      <w:bookmarkEnd w:id="44"/>
    </w:p>
    <w:p w14:paraId="2876A14E" w14:textId="77777777" w:rsidR="00844E5E" w:rsidRPr="00860D1E" w:rsidRDefault="00844E5E" w:rsidP="00844E5E">
      <w:pPr>
        <w:pStyle w:val="Heading2"/>
        <w:numPr>
          <w:ilvl w:val="0"/>
          <w:numId w:val="7"/>
        </w:numPr>
        <w:rPr>
          <w:rFonts w:ascii="Arial" w:hAnsi="Arial" w:cs="Arial"/>
          <w:color w:val="auto"/>
          <w:sz w:val="22"/>
          <w:szCs w:val="22"/>
        </w:rPr>
      </w:pPr>
      <w:bookmarkStart w:id="45" w:name="_Toc226410964"/>
      <w:bookmarkStart w:id="46" w:name="_Toc226413182"/>
      <w:bookmarkStart w:id="47" w:name="_Toc226416087"/>
      <w:bookmarkStart w:id="48" w:name="_Toc226418933"/>
      <w:bookmarkStart w:id="49" w:name="_Toc227357305"/>
      <w:bookmarkStart w:id="50" w:name="_Toc227449629"/>
      <w:bookmarkStart w:id="51" w:name="_Toc227680396"/>
      <w:bookmarkStart w:id="52" w:name="_Toc227682441"/>
      <w:r w:rsidRPr="00860D1E">
        <w:rPr>
          <w:rFonts w:ascii="Arial" w:hAnsi="Arial" w:cs="Arial"/>
          <w:b/>
          <w:bCs/>
          <w:color w:val="auto"/>
          <w:sz w:val="22"/>
          <w:szCs w:val="22"/>
        </w:rPr>
        <w:t>Model development &amp; training</w:t>
      </w:r>
      <w:r w:rsidRPr="00860D1E">
        <w:rPr>
          <w:rFonts w:ascii="Arial" w:hAnsi="Arial" w:cs="Arial"/>
          <w:color w:val="auto"/>
          <w:sz w:val="22"/>
          <w:szCs w:val="22"/>
        </w:rPr>
        <w:t xml:space="preserve">: Responsible </w:t>
      </w:r>
      <w:proofErr w:type="spellStart"/>
      <w:r w:rsidRPr="00860D1E">
        <w:rPr>
          <w:rFonts w:ascii="Arial" w:hAnsi="Arial" w:cs="Arial"/>
          <w:color w:val="auto"/>
          <w:sz w:val="22"/>
          <w:szCs w:val="22"/>
        </w:rPr>
        <w:t>MLOps</w:t>
      </w:r>
      <w:proofErr w:type="spellEnd"/>
      <w:r w:rsidRPr="00860D1E">
        <w:rPr>
          <w:rFonts w:ascii="Arial" w:hAnsi="Arial" w:cs="Arial"/>
          <w:color w:val="auto"/>
          <w:sz w:val="22"/>
          <w:szCs w:val="22"/>
        </w:rPr>
        <w:t xml:space="preserve"> introduces mandatory gates such as versioning, documentation, robustness testing, and fairness evaluation.</w:t>
      </w:r>
      <w:bookmarkEnd w:id="45"/>
      <w:bookmarkEnd w:id="46"/>
      <w:bookmarkEnd w:id="47"/>
      <w:bookmarkEnd w:id="48"/>
      <w:bookmarkEnd w:id="49"/>
      <w:bookmarkEnd w:id="50"/>
      <w:bookmarkEnd w:id="51"/>
      <w:bookmarkEnd w:id="52"/>
    </w:p>
    <w:p w14:paraId="6A16E5FB" w14:textId="77777777" w:rsidR="00844E5E" w:rsidRPr="00860D1E" w:rsidRDefault="00844E5E" w:rsidP="00844E5E">
      <w:pPr>
        <w:pStyle w:val="Heading2"/>
        <w:numPr>
          <w:ilvl w:val="0"/>
          <w:numId w:val="7"/>
        </w:numPr>
        <w:rPr>
          <w:rFonts w:ascii="Arial" w:hAnsi="Arial" w:cs="Arial"/>
          <w:color w:val="auto"/>
          <w:sz w:val="22"/>
          <w:szCs w:val="22"/>
        </w:rPr>
      </w:pPr>
      <w:bookmarkStart w:id="53" w:name="_Toc226410965"/>
      <w:bookmarkStart w:id="54" w:name="_Toc226413183"/>
      <w:bookmarkStart w:id="55" w:name="_Toc226416088"/>
      <w:bookmarkStart w:id="56" w:name="_Toc226418934"/>
      <w:bookmarkStart w:id="57" w:name="_Toc227357306"/>
      <w:bookmarkStart w:id="58" w:name="_Toc227449630"/>
      <w:bookmarkStart w:id="59" w:name="_Toc227680397"/>
      <w:bookmarkStart w:id="60" w:name="_Toc227682442"/>
      <w:r w:rsidRPr="00860D1E">
        <w:rPr>
          <w:rFonts w:ascii="Arial" w:hAnsi="Arial" w:cs="Arial"/>
          <w:b/>
          <w:bCs/>
          <w:color w:val="auto"/>
          <w:sz w:val="22"/>
          <w:szCs w:val="22"/>
        </w:rPr>
        <w:t>Deployment &amp; operation:</w:t>
      </w:r>
      <w:r w:rsidRPr="00860D1E">
        <w:rPr>
          <w:rFonts w:ascii="Arial" w:hAnsi="Arial" w:cs="Arial"/>
          <w:color w:val="auto"/>
          <w:sz w:val="22"/>
          <w:szCs w:val="22"/>
        </w:rPr>
        <w:t xml:space="preserve"> Continuous monitoring tracks performance, drift, bias, and security issues, with human oversight for high</w:t>
      </w:r>
      <w:r w:rsidRPr="00860D1E">
        <w:rPr>
          <w:rFonts w:ascii="Cambria Math" w:hAnsi="Cambria Math" w:cs="Cambria Math"/>
          <w:color w:val="auto"/>
          <w:sz w:val="22"/>
          <w:szCs w:val="22"/>
        </w:rPr>
        <w:t>‑</w:t>
      </w:r>
      <w:r w:rsidRPr="00860D1E">
        <w:rPr>
          <w:rFonts w:ascii="Arial" w:hAnsi="Arial" w:cs="Arial"/>
          <w:color w:val="auto"/>
          <w:sz w:val="22"/>
          <w:szCs w:val="22"/>
        </w:rPr>
        <w:t>risk systems.</w:t>
      </w:r>
      <w:bookmarkEnd w:id="53"/>
      <w:bookmarkEnd w:id="54"/>
      <w:bookmarkEnd w:id="55"/>
      <w:bookmarkEnd w:id="56"/>
      <w:bookmarkEnd w:id="57"/>
      <w:bookmarkEnd w:id="58"/>
      <w:bookmarkEnd w:id="59"/>
      <w:bookmarkEnd w:id="60"/>
    </w:p>
    <w:p w14:paraId="573A5DAE" w14:textId="13296D3B" w:rsidR="00CD70B3" w:rsidRPr="00860D1E" w:rsidRDefault="00844E5E" w:rsidP="00C37B33">
      <w:pPr>
        <w:pStyle w:val="ListParagraph"/>
        <w:numPr>
          <w:ilvl w:val="0"/>
          <w:numId w:val="7"/>
        </w:numPr>
      </w:pPr>
      <w:r w:rsidRPr="00860D1E">
        <w:rPr>
          <w:rFonts w:ascii="Arial" w:hAnsi="Arial" w:cs="Arial"/>
          <w:b/>
          <w:bCs/>
        </w:rPr>
        <w:t>Retirement:</w:t>
      </w:r>
      <w:r w:rsidRPr="00860D1E">
        <w:rPr>
          <w:rFonts w:ascii="Arial" w:hAnsi="Arial" w:cs="Arial"/>
        </w:rPr>
        <w:t xml:space="preserve"> Structured decommissioning and audit trails ensure decisions remain reviewable and data is handled according to policy.</w:t>
      </w:r>
    </w:p>
    <w:p w14:paraId="72B7E002" w14:textId="14244A64" w:rsidR="0089310B" w:rsidRPr="00860D1E" w:rsidRDefault="0089310B" w:rsidP="00DD6EF3">
      <w:pPr>
        <w:pStyle w:val="Heading2"/>
        <w:rPr>
          <w:sz w:val="28"/>
          <w:szCs w:val="28"/>
        </w:rPr>
      </w:pPr>
      <w:bookmarkStart w:id="61" w:name="_Toc227682443"/>
      <w:r w:rsidRPr="00860D1E">
        <w:rPr>
          <w:sz w:val="28"/>
          <w:szCs w:val="28"/>
        </w:rPr>
        <w:lastRenderedPageBreak/>
        <w:t>4.</w:t>
      </w:r>
      <w:r w:rsidR="006C2B39" w:rsidRPr="00860D1E">
        <w:rPr>
          <w:sz w:val="28"/>
          <w:szCs w:val="28"/>
        </w:rPr>
        <w:t>2</w:t>
      </w:r>
      <w:r w:rsidRPr="00860D1E">
        <w:rPr>
          <w:sz w:val="28"/>
          <w:szCs w:val="28"/>
        </w:rPr>
        <w:t xml:space="preserve"> </w:t>
      </w:r>
      <w:r w:rsidR="00145B94" w:rsidRPr="00860D1E">
        <w:rPr>
          <w:sz w:val="28"/>
          <w:szCs w:val="28"/>
        </w:rPr>
        <w:t>AI Governance Methods and Tools</w:t>
      </w:r>
      <w:bookmarkEnd w:id="61"/>
    </w:p>
    <w:p w14:paraId="55A13D17" w14:textId="5B891AD3" w:rsidR="005C63F5" w:rsidRPr="00860D1E" w:rsidRDefault="005C63F5" w:rsidP="005C63F5">
      <w:pPr>
        <w:rPr>
          <w:rFonts w:ascii="Arial" w:hAnsi="Arial" w:cs="Arial"/>
        </w:rPr>
      </w:pPr>
      <w:r w:rsidRPr="00860D1E">
        <w:rPr>
          <w:rFonts w:ascii="Arial" w:hAnsi="Arial" w:cs="Arial"/>
        </w:rPr>
        <w:t>AI governance methods and tools combine frameworks, principles, and practical techniques to ensure ethical, trustworthy, and compliant AI development. One approach strengthens AI governance by integrating ethics principles with established information</w:t>
      </w:r>
      <w:r w:rsidRPr="00860D1E">
        <w:rPr>
          <w:rFonts w:ascii="Arial" w:hAnsi="Arial" w:cs="Arial"/>
        </w:rPr>
        <w:noBreakHyphen/>
        <w:t>governance practices. For example, the ECCOLA method originally focused on ethical AI software development can be enhanced by incorporating Generally Accepted Recordkeeping Principles, such as retention and disposal, to improve governance effectiveness early in the development lifecycle.</w:t>
      </w:r>
      <w:sdt>
        <w:sdtPr>
          <w:rPr>
            <w:rFonts w:ascii="Arial" w:hAnsi="Arial" w:cs="Arial"/>
          </w:rPr>
          <w:id w:val="331113593"/>
          <w:citation/>
        </w:sdtPr>
        <w:sdtEndPr/>
        <w:sdtContent>
          <w:r w:rsidR="00397201" w:rsidRPr="00860D1E">
            <w:rPr>
              <w:rFonts w:ascii="Arial" w:hAnsi="Arial" w:cs="Arial"/>
            </w:rPr>
            <w:fldChar w:fldCharType="begin"/>
          </w:r>
          <w:r w:rsidR="00397201" w:rsidRPr="00860D1E">
            <w:rPr>
              <w:rFonts w:ascii="Arial" w:hAnsi="Arial" w:cs="Arial"/>
            </w:rPr>
            <w:instrText xml:space="preserve"> CITATION Mam23 \l 2057 </w:instrText>
          </w:r>
          <w:r w:rsidR="00397201"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[20]</w:t>
          </w:r>
          <w:r w:rsidR="00397201" w:rsidRPr="00860D1E">
            <w:rPr>
              <w:rFonts w:ascii="Arial" w:hAnsi="Arial" w:cs="Arial"/>
            </w:rPr>
            <w:fldChar w:fldCharType="end"/>
          </w:r>
        </w:sdtContent>
      </w:sdt>
    </w:p>
    <w:p w14:paraId="38D2C7C7" w14:textId="77777777" w:rsidR="00056BC2" w:rsidRPr="00860D1E" w:rsidRDefault="00651F3B" w:rsidP="003F3038">
      <w:pPr>
        <w:rPr>
          <w:rFonts w:ascii="Arial" w:hAnsi="Arial" w:cs="Arial"/>
        </w:rPr>
      </w:pPr>
      <w:r w:rsidRPr="00860D1E">
        <w:rPr>
          <w:rFonts w:ascii="Arial" w:hAnsi="Arial" w:cs="Arial"/>
        </w:rPr>
        <w:t xml:space="preserve">AI governance relies on tools and techniques that address fairness, transparency, and operational control. </w:t>
      </w:r>
    </w:p>
    <w:p w14:paraId="7EC0B058" w14:textId="77777777" w:rsidR="00056BC2" w:rsidRPr="00860D1E" w:rsidRDefault="00651F3B" w:rsidP="00110D9C">
      <w:pPr>
        <w:pStyle w:val="ListParagraph"/>
        <w:numPr>
          <w:ilvl w:val="0"/>
          <w:numId w:val="8"/>
        </w:numPr>
        <w:rPr>
          <w:rFonts w:ascii="Arial" w:hAnsi="Arial" w:cs="Arial"/>
        </w:rPr>
      </w:pPr>
      <w:r w:rsidRPr="00860D1E">
        <w:rPr>
          <w:rFonts w:ascii="Arial" w:hAnsi="Arial" w:cs="Arial"/>
          <w:b/>
          <w:bCs/>
        </w:rPr>
        <w:t>Fairness metrics</w:t>
      </w:r>
      <w:r w:rsidRPr="00860D1E">
        <w:rPr>
          <w:rFonts w:ascii="Arial" w:hAnsi="Arial" w:cs="Arial"/>
        </w:rPr>
        <w:t>, bias</w:t>
      </w:r>
      <w:r w:rsidRPr="00860D1E">
        <w:rPr>
          <w:rFonts w:ascii="Arial" w:hAnsi="Arial" w:cs="Arial"/>
        </w:rPr>
        <w:noBreakHyphen/>
        <w:t>mitigation methods, and tools like Fair Learn help assess disparate impact.</w:t>
      </w:r>
    </w:p>
    <w:p w14:paraId="397EAA96" w14:textId="77777777" w:rsidR="00056BC2" w:rsidRPr="00860D1E" w:rsidRDefault="00651F3B" w:rsidP="00110D9C">
      <w:pPr>
        <w:pStyle w:val="ListParagraph"/>
        <w:numPr>
          <w:ilvl w:val="0"/>
          <w:numId w:val="8"/>
        </w:numPr>
        <w:rPr>
          <w:rFonts w:ascii="Arial" w:hAnsi="Arial" w:cs="Arial"/>
        </w:rPr>
      </w:pPr>
      <w:r w:rsidRPr="00860D1E">
        <w:rPr>
          <w:rFonts w:ascii="Arial" w:hAnsi="Arial" w:cs="Arial"/>
          <w:b/>
          <w:bCs/>
        </w:rPr>
        <w:t>Explainability techniques</w:t>
      </w:r>
      <w:r w:rsidRPr="00860D1E">
        <w:rPr>
          <w:rFonts w:ascii="Arial" w:hAnsi="Arial" w:cs="Arial"/>
        </w:rPr>
        <w:t xml:space="preserve"> such as feature importance, Shapley values, and counterfactuals make models more auditable and contestable.</w:t>
      </w:r>
    </w:p>
    <w:p w14:paraId="6FE9B110" w14:textId="77777777" w:rsidR="00110D9C" w:rsidRPr="00860D1E" w:rsidRDefault="00651F3B" w:rsidP="00110D9C">
      <w:pPr>
        <w:pStyle w:val="ListParagraph"/>
        <w:numPr>
          <w:ilvl w:val="0"/>
          <w:numId w:val="8"/>
        </w:numPr>
        <w:rPr>
          <w:rFonts w:ascii="Arial" w:hAnsi="Arial" w:cs="Arial"/>
        </w:rPr>
      </w:pPr>
      <w:r w:rsidRPr="00860D1E">
        <w:rPr>
          <w:rFonts w:ascii="Arial" w:hAnsi="Arial" w:cs="Arial"/>
          <w:b/>
          <w:bCs/>
        </w:rPr>
        <w:t>Operational tools</w:t>
      </w:r>
      <w:r w:rsidRPr="00860D1E">
        <w:rPr>
          <w:rFonts w:ascii="Arial" w:hAnsi="Arial" w:cs="Arial"/>
        </w:rPr>
        <w:t xml:space="preserve">, including model registries, lineage tracking, and monitoring platforms, connect AI governance to existing security and compliance systems. </w:t>
      </w:r>
    </w:p>
    <w:p w14:paraId="36F57233" w14:textId="1101B10A" w:rsidR="00EC05D4" w:rsidRPr="00860D1E" w:rsidRDefault="00110D9C" w:rsidP="005C63F5">
      <w:pPr>
        <w:rPr>
          <w:rFonts w:ascii="Arial" w:hAnsi="Arial" w:cs="Arial"/>
        </w:rPr>
      </w:pPr>
      <w:r w:rsidRPr="00860D1E">
        <w:rPr>
          <w:rFonts w:ascii="Arial" w:hAnsi="Arial" w:cs="Arial"/>
        </w:rPr>
        <w:t>T</w:t>
      </w:r>
      <w:r w:rsidR="00651F3B" w:rsidRPr="00860D1E">
        <w:rPr>
          <w:rFonts w:ascii="Arial" w:hAnsi="Arial" w:cs="Arial"/>
        </w:rPr>
        <w:t>ools alone are insufficient; without clear accountability, incentives, and enforcement, they risk becoming mere “checkbox” exercises rather than meaningful governance.</w:t>
      </w:r>
    </w:p>
    <w:p w14:paraId="00C776D6" w14:textId="77777777" w:rsidR="00C5686D" w:rsidRPr="00860D1E" w:rsidRDefault="00C5686D" w:rsidP="00365FC1">
      <w:pPr>
        <w:rPr>
          <w:rFonts w:ascii="Arial" w:hAnsi="Arial" w:cs="Arial"/>
        </w:rPr>
      </w:pPr>
    </w:p>
    <w:p w14:paraId="65A7FD0F" w14:textId="10A47D34" w:rsidR="001C785A" w:rsidRPr="00860D1E" w:rsidRDefault="001C785A" w:rsidP="001C785A">
      <w:pPr>
        <w:pStyle w:val="Heading1"/>
        <w:rPr>
          <w:b/>
          <w:bCs/>
          <w:sz w:val="32"/>
          <w:szCs w:val="32"/>
        </w:rPr>
      </w:pPr>
      <w:bookmarkStart w:id="62" w:name="_Toc227682444"/>
      <w:r w:rsidRPr="00860D1E">
        <w:rPr>
          <w:b/>
          <w:bCs/>
          <w:sz w:val="32"/>
          <w:szCs w:val="32"/>
        </w:rPr>
        <w:t xml:space="preserve">5 </w:t>
      </w:r>
      <w:r w:rsidR="000F6F62" w:rsidRPr="00860D1E">
        <w:rPr>
          <w:b/>
          <w:bCs/>
          <w:sz w:val="32"/>
          <w:szCs w:val="32"/>
        </w:rPr>
        <w:t xml:space="preserve">Integrating AI </w:t>
      </w:r>
      <w:r w:rsidR="00B136C0" w:rsidRPr="00860D1E">
        <w:rPr>
          <w:b/>
          <w:bCs/>
          <w:sz w:val="32"/>
          <w:szCs w:val="32"/>
        </w:rPr>
        <w:t>Governance</w:t>
      </w:r>
      <w:r w:rsidR="00AA522B" w:rsidRPr="00860D1E">
        <w:rPr>
          <w:b/>
          <w:bCs/>
          <w:sz w:val="32"/>
          <w:szCs w:val="32"/>
        </w:rPr>
        <w:t xml:space="preserve"> with Security, Risks </w:t>
      </w:r>
      <w:r w:rsidR="00B136C0" w:rsidRPr="00860D1E">
        <w:rPr>
          <w:b/>
          <w:bCs/>
          <w:sz w:val="32"/>
          <w:szCs w:val="32"/>
        </w:rPr>
        <w:t>and Compliance</w:t>
      </w:r>
      <w:bookmarkEnd w:id="62"/>
    </w:p>
    <w:p w14:paraId="1BEB8766" w14:textId="0EEC78C3" w:rsidR="006813A5" w:rsidRPr="00860D1E" w:rsidRDefault="0092641F" w:rsidP="0092641F">
      <w:pPr>
        <w:pStyle w:val="Heading2"/>
        <w:rPr>
          <w:sz w:val="28"/>
          <w:szCs w:val="28"/>
        </w:rPr>
      </w:pPr>
      <w:bookmarkStart w:id="63" w:name="_Toc227682445"/>
      <w:r w:rsidRPr="00860D1E">
        <w:rPr>
          <w:sz w:val="28"/>
          <w:szCs w:val="28"/>
        </w:rPr>
        <w:t>5.1 Governance vs. security</w:t>
      </w:r>
      <w:bookmarkEnd w:id="63"/>
    </w:p>
    <w:p w14:paraId="1EB66924" w14:textId="60F037AB" w:rsidR="00E31AED" w:rsidRPr="00860D1E" w:rsidRDefault="000E3D79" w:rsidP="00E31AED">
      <w:pPr>
        <w:rPr>
          <w:rFonts w:ascii="Arial" w:hAnsi="Arial" w:cs="Arial"/>
        </w:rPr>
      </w:pPr>
      <w:r w:rsidRPr="00860D1E">
        <w:rPr>
          <w:rFonts w:ascii="Arial" w:hAnsi="Arial" w:cs="Arial"/>
        </w:rPr>
        <w:t>Integrating AI governance with security, risk, and compliance requires recognising the varied risk profiles of different AI applications and applying tailored regulatory and ethical controls. High</w:t>
      </w:r>
      <w:r w:rsidRPr="00860D1E">
        <w:rPr>
          <w:rFonts w:ascii="Arial" w:hAnsi="Arial" w:cs="Arial"/>
        </w:rPr>
        <w:noBreakHyphen/>
        <w:t>risk systems demand strict oversight and compliance to prevent harmful outcomes, while lower</w:t>
      </w:r>
      <w:r w:rsidRPr="00860D1E">
        <w:rPr>
          <w:rFonts w:ascii="Arial" w:hAnsi="Arial" w:cs="Arial"/>
        </w:rPr>
        <w:noBreakHyphen/>
        <w:t>risk uses still require transparency and accountability to maintain trust.</w:t>
      </w:r>
      <w:sdt>
        <w:sdtPr>
          <w:rPr>
            <w:rFonts w:ascii="Arial" w:hAnsi="Arial" w:cs="Arial"/>
          </w:rPr>
          <w:id w:val="-645740890"/>
          <w:citation/>
        </w:sdtPr>
        <w:sdtEndPr/>
        <w:sdtContent>
          <w:r w:rsidRPr="00860D1E">
            <w:rPr>
              <w:rFonts w:ascii="Arial" w:hAnsi="Arial" w:cs="Arial"/>
            </w:rPr>
            <w:fldChar w:fldCharType="begin"/>
          </w:r>
          <w:r w:rsidRPr="00860D1E">
            <w:rPr>
              <w:rFonts w:ascii="Arial" w:hAnsi="Arial" w:cs="Arial"/>
            </w:rPr>
            <w:instrText xml:space="preserve"> CITATION Sza25 \l 2057 </w:instrText>
          </w:r>
          <w:r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[21]</w:t>
          </w:r>
          <w:r w:rsidRPr="00860D1E">
            <w:rPr>
              <w:rFonts w:ascii="Arial" w:hAnsi="Arial" w:cs="Arial"/>
            </w:rPr>
            <w:fldChar w:fldCharType="end"/>
          </w:r>
        </w:sdtContent>
      </w:sdt>
    </w:p>
    <w:p w14:paraId="3D2596B7" w14:textId="77777777" w:rsidR="001E676E" w:rsidRPr="00860D1E" w:rsidRDefault="00D57E74" w:rsidP="00365FC1">
      <w:pPr>
        <w:rPr>
          <w:rFonts w:ascii="Arial" w:hAnsi="Arial" w:cs="Arial"/>
        </w:rPr>
      </w:pPr>
      <w:r w:rsidRPr="00860D1E">
        <w:rPr>
          <w:rFonts w:ascii="Arial" w:hAnsi="Arial" w:cs="Arial"/>
        </w:rPr>
        <w:t xml:space="preserve">Governance and security are complementary but distinct. </w:t>
      </w:r>
    </w:p>
    <w:p w14:paraId="616C6AE8" w14:textId="77777777" w:rsidR="002A0562" w:rsidRPr="00860D1E" w:rsidRDefault="00D57E74" w:rsidP="00365FC1">
      <w:pPr>
        <w:rPr>
          <w:rFonts w:ascii="Arial" w:hAnsi="Arial" w:cs="Arial"/>
        </w:rPr>
      </w:pPr>
      <w:r w:rsidRPr="00860D1E">
        <w:rPr>
          <w:rFonts w:ascii="Arial" w:hAnsi="Arial" w:cs="Arial"/>
          <w:b/>
          <w:bCs/>
        </w:rPr>
        <w:t xml:space="preserve">Security </w:t>
      </w:r>
      <w:r w:rsidRPr="00860D1E">
        <w:rPr>
          <w:rFonts w:ascii="Arial" w:hAnsi="Arial" w:cs="Arial"/>
        </w:rPr>
        <w:t>protects data, models, and infrastructure through controls such as access management, encryption, and adversarial</w:t>
      </w:r>
      <w:r w:rsidRPr="00860D1E">
        <w:rPr>
          <w:rFonts w:ascii="Arial" w:hAnsi="Arial" w:cs="Arial"/>
        </w:rPr>
        <w:noBreakHyphen/>
        <w:t xml:space="preserve">robustness measures. </w:t>
      </w:r>
    </w:p>
    <w:p w14:paraId="4DD45404" w14:textId="3384EE38" w:rsidR="001C785A" w:rsidRPr="00860D1E" w:rsidRDefault="00D57E74" w:rsidP="00365FC1">
      <w:pPr>
        <w:rPr>
          <w:rFonts w:ascii="Arial" w:hAnsi="Arial" w:cs="Arial"/>
        </w:rPr>
      </w:pPr>
      <w:r w:rsidRPr="00860D1E">
        <w:rPr>
          <w:rFonts w:ascii="Arial" w:hAnsi="Arial" w:cs="Arial"/>
          <w:b/>
          <w:bCs/>
        </w:rPr>
        <w:t xml:space="preserve">Governance </w:t>
      </w:r>
      <w:r w:rsidRPr="00860D1E">
        <w:rPr>
          <w:rFonts w:ascii="Arial" w:hAnsi="Arial" w:cs="Arial"/>
        </w:rPr>
        <w:t>defines how AI decisions are made</w:t>
      </w:r>
      <w:r w:rsidR="00780CBB" w:rsidRPr="00860D1E">
        <w:rPr>
          <w:rFonts w:ascii="Arial" w:hAnsi="Arial" w:cs="Arial"/>
        </w:rPr>
        <w:t xml:space="preserve"> </w:t>
      </w:r>
      <w:r w:rsidRPr="00860D1E">
        <w:rPr>
          <w:rFonts w:ascii="Arial" w:hAnsi="Arial" w:cs="Arial"/>
        </w:rPr>
        <w:t>who owns risk, what policies apply, and how ethical and legal obligations are met. Effective organisations treat them as part of a unified risk fabric, integrating AI risks into enterprise risk management, mapping them to existing frameworks like ISO 27001 and NIST CSF, and monitoring them alongside traditional cyber risks</w:t>
      </w:r>
      <w:r w:rsidR="00C30E53" w:rsidRPr="00860D1E">
        <w:rPr>
          <w:rFonts w:ascii="Arial" w:hAnsi="Arial" w:cs="Arial"/>
        </w:rPr>
        <w:t>.</w:t>
      </w:r>
    </w:p>
    <w:p w14:paraId="409E918F" w14:textId="77777777" w:rsidR="00C30E53" w:rsidRPr="00860D1E" w:rsidRDefault="00C30E53" w:rsidP="00365FC1">
      <w:pPr>
        <w:rPr>
          <w:rFonts w:ascii="Arial" w:hAnsi="Arial" w:cs="Arial"/>
        </w:rPr>
      </w:pPr>
    </w:p>
    <w:p w14:paraId="323C2C44" w14:textId="77777777" w:rsidR="006E08AA" w:rsidRPr="00860D1E" w:rsidRDefault="006E08AA" w:rsidP="00D01DA1">
      <w:pPr>
        <w:pStyle w:val="Heading2"/>
        <w:rPr>
          <w:sz w:val="28"/>
          <w:szCs w:val="28"/>
        </w:rPr>
      </w:pPr>
      <w:bookmarkStart w:id="64" w:name="_Toc227682446"/>
      <w:r w:rsidRPr="00860D1E">
        <w:rPr>
          <w:sz w:val="28"/>
          <w:szCs w:val="28"/>
        </w:rPr>
        <w:t>5.2 Regulatory and compliance pressures</w:t>
      </w:r>
      <w:bookmarkEnd w:id="64"/>
    </w:p>
    <w:p w14:paraId="12FC2BDE" w14:textId="6B5E3D45" w:rsidR="00372D8B" w:rsidRPr="00860D1E" w:rsidRDefault="00015DF9" w:rsidP="001E08D0">
      <w:pPr>
        <w:rPr>
          <w:rFonts w:ascii="Arial" w:hAnsi="Arial" w:cs="Arial"/>
        </w:rPr>
      </w:pPr>
      <w:r w:rsidRPr="00015DF9">
        <w:rPr>
          <w:rFonts w:ascii="Arial" w:hAnsi="Arial" w:cs="Arial"/>
        </w:rPr>
        <w:t>AI regulatory and compliance pressures highlight the need to balance innovation with legal certainty, accountability, and robust ethical safeguards.</w:t>
      </w:r>
      <w:r w:rsidR="003A2A2C" w:rsidRPr="00860D1E">
        <w:rPr>
          <w:rFonts w:ascii="Arial" w:hAnsi="Arial" w:cs="Arial"/>
        </w:rPr>
        <w:t xml:space="preserve"> Approaches vary across jurisdictions, making global harmonisation difficult. The EU, for example, favours stricter rules that strengthen trust and legal certainty but can raise compliance costs and slow innovation.</w:t>
      </w:r>
      <w:sdt>
        <w:sdtPr>
          <w:rPr>
            <w:rFonts w:ascii="Arial" w:hAnsi="Arial" w:cs="Arial"/>
          </w:rPr>
          <w:id w:val="1875734227"/>
          <w:citation/>
        </w:sdtPr>
        <w:sdtEndPr/>
        <w:sdtContent>
          <w:r w:rsidR="003A2A2C" w:rsidRPr="00860D1E">
            <w:rPr>
              <w:rFonts w:ascii="Arial" w:hAnsi="Arial" w:cs="Arial"/>
            </w:rPr>
            <w:fldChar w:fldCharType="begin"/>
          </w:r>
          <w:r w:rsidR="003A2A2C" w:rsidRPr="00860D1E">
            <w:rPr>
              <w:rFonts w:ascii="Arial" w:hAnsi="Arial" w:cs="Arial"/>
            </w:rPr>
            <w:instrText xml:space="preserve"> CITATION Bah25 \l 2057 </w:instrText>
          </w:r>
          <w:r w:rsidR="003A2A2C"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[22]</w:t>
          </w:r>
          <w:r w:rsidR="003A2A2C" w:rsidRPr="00860D1E">
            <w:rPr>
              <w:rFonts w:ascii="Arial" w:hAnsi="Arial" w:cs="Arial"/>
            </w:rPr>
            <w:fldChar w:fldCharType="end"/>
          </w:r>
        </w:sdtContent>
      </w:sdt>
    </w:p>
    <w:p w14:paraId="45C24D6D" w14:textId="6287E8D5" w:rsidR="001E08D0" w:rsidRPr="00860D1E" w:rsidRDefault="001E08D0" w:rsidP="001E08D0">
      <w:pPr>
        <w:rPr>
          <w:rFonts w:ascii="Arial" w:hAnsi="Arial" w:cs="Arial"/>
        </w:rPr>
      </w:pPr>
      <w:r w:rsidRPr="00860D1E">
        <w:rPr>
          <w:rFonts w:ascii="Arial" w:hAnsi="Arial" w:cs="Arial"/>
          <w:b/>
          <w:bCs/>
        </w:rPr>
        <w:lastRenderedPageBreak/>
        <w:t>Global AI regulations</w:t>
      </w:r>
      <w:r w:rsidRPr="00860D1E">
        <w:rPr>
          <w:rFonts w:ascii="Arial" w:hAnsi="Arial" w:cs="Arial"/>
        </w:rPr>
        <w:t xml:space="preserve"> such as the EU AI Act and sector</w:t>
      </w:r>
      <w:r w:rsidRPr="00860D1E">
        <w:rPr>
          <w:rFonts w:ascii="Arial" w:hAnsi="Arial" w:cs="Arial"/>
        </w:rPr>
        <w:noBreakHyphen/>
        <w:t xml:space="preserve">specific guidance are raising expectations </w:t>
      </w:r>
      <w:r w:rsidRPr="00860D1E">
        <w:rPr>
          <w:rFonts w:ascii="Arial" w:hAnsi="Arial" w:cs="Arial"/>
          <w:b/>
          <w:bCs/>
        </w:rPr>
        <w:t>for risk</w:t>
      </w:r>
      <w:r w:rsidRPr="00860D1E">
        <w:rPr>
          <w:rFonts w:ascii="Arial" w:hAnsi="Arial" w:cs="Arial"/>
          <w:b/>
          <w:bCs/>
        </w:rPr>
        <w:noBreakHyphen/>
        <w:t>based classification</w:t>
      </w:r>
      <w:r w:rsidRPr="00860D1E">
        <w:rPr>
          <w:rFonts w:ascii="Arial" w:hAnsi="Arial" w:cs="Arial"/>
        </w:rPr>
        <w:t xml:space="preserve">, detailed documentation, and strong </w:t>
      </w:r>
      <w:r w:rsidRPr="00860D1E">
        <w:rPr>
          <w:rFonts w:ascii="Arial" w:hAnsi="Arial" w:cs="Arial"/>
          <w:b/>
          <w:bCs/>
        </w:rPr>
        <w:t>human</w:t>
      </w:r>
      <w:r w:rsidRPr="00860D1E">
        <w:rPr>
          <w:rFonts w:ascii="Arial" w:hAnsi="Arial" w:cs="Arial"/>
          <w:b/>
          <w:bCs/>
        </w:rPr>
        <w:noBreakHyphen/>
        <w:t>oversight and transparency mechanisms</w:t>
      </w:r>
      <w:r w:rsidRPr="00860D1E">
        <w:rPr>
          <w:rFonts w:ascii="Arial" w:hAnsi="Arial" w:cs="Arial"/>
        </w:rPr>
        <w:t>. Governance, ethics, and compliance are now central to sustainable AI adoption, yet many leaders remain unsure how to govern AI at scale. The key tension persists overly rigid controls can push innovation into “shadow AI,” while overly lax controls increase the risk of incidents, penalties, and loss of trust.</w:t>
      </w:r>
    </w:p>
    <w:p w14:paraId="32546A46" w14:textId="77777777" w:rsidR="008138BB" w:rsidRPr="00860D1E" w:rsidRDefault="008138BB" w:rsidP="00EF52C4">
      <w:pPr>
        <w:pStyle w:val="Heading1"/>
        <w:rPr>
          <w:b/>
          <w:bCs/>
          <w:sz w:val="32"/>
          <w:szCs w:val="32"/>
        </w:rPr>
      </w:pPr>
    </w:p>
    <w:p w14:paraId="77757FAD" w14:textId="77777777" w:rsidR="00EF52C4" w:rsidRPr="00860D1E" w:rsidRDefault="00EF52C4" w:rsidP="00EF52C4">
      <w:pPr>
        <w:pStyle w:val="Heading1"/>
        <w:rPr>
          <w:b/>
          <w:bCs/>
          <w:sz w:val="32"/>
          <w:szCs w:val="32"/>
        </w:rPr>
      </w:pPr>
      <w:bookmarkStart w:id="65" w:name="_Toc227682447"/>
      <w:r w:rsidRPr="00860D1E">
        <w:rPr>
          <w:b/>
          <w:bCs/>
          <w:sz w:val="32"/>
          <w:szCs w:val="32"/>
        </w:rPr>
        <w:t>6. Critical evaluation and practical recommendations</w:t>
      </w:r>
      <w:bookmarkEnd w:id="65"/>
    </w:p>
    <w:p w14:paraId="42CDD691" w14:textId="6932C578" w:rsidR="004D6DB6" w:rsidRPr="00860D1E" w:rsidRDefault="004D6DB6" w:rsidP="004D6DB6">
      <w:pPr>
        <w:rPr>
          <w:rFonts w:ascii="Arial" w:hAnsi="Arial" w:cs="Arial"/>
        </w:rPr>
      </w:pPr>
      <w:r w:rsidRPr="00860D1E">
        <w:rPr>
          <w:rFonts w:ascii="Arial" w:hAnsi="Arial" w:cs="Arial"/>
        </w:rPr>
        <w:t>Evaluating AI systems requires looking beyond technical performance to their wider social and organisational effects. A holistic framework grounded in principles like epistemic pluralism, democratic authority, contextual responsiveness, temporal awareness, and reflexive critique challenges narrow technocentric approaches and helps organisations in diverse cultural settings assess AI implementations more effectively.</w:t>
      </w:r>
      <w:sdt>
        <w:sdtPr>
          <w:rPr>
            <w:rFonts w:ascii="Arial" w:hAnsi="Arial" w:cs="Arial"/>
          </w:rPr>
          <w:id w:val="2125190233"/>
          <w:citation/>
        </w:sdtPr>
        <w:sdtEndPr/>
        <w:sdtContent>
          <w:r w:rsidR="00FC5568" w:rsidRPr="00860D1E">
            <w:rPr>
              <w:rFonts w:ascii="Arial" w:hAnsi="Arial" w:cs="Arial"/>
            </w:rPr>
            <w:fldChar w:fldCharType="begin"/>
          </w:r>
          <w:r w:rsidR="00FC5568" w:rsidRPr="00860D1E">
            <w:rPr>
              <w:rFonts w:ascii="Arial" w:hAnsi="Arial" w:cs="Arial"/>
            </w:rPr>
            <w:instrText xml:space="preserve"> CITATION Gan25 \l 2057 </w:instrText>
          </w:r>
          <w:r w:rsidR="00FC5568"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[23]</w:t>
          </w:r>
          <w:r w:rsidR="00FC5568" w:rsidRPr="00860D1E">
            <w:rPr>
              <w:rFonts w:ascii="Arial" w:hAnsi="Arial" w:cs="Arial"/>
            </w:rPr>
            <w:fldChar w:fldCharType="end"/>
          </w:r>
        </w:sdtContent>
      </w:sdt>
    </w:p>
    <w:p w14:paraId="72AE24D9" w14:textId="77777777" w:rsidR="00A85A1D" w:rsidRPr="00860D1E" w:rsidRDefault="00A85A1D" w:rsidP="00A85A1D"/>
    <w:p w14:paraId="71AFFDB1" w14:textId="77777777" w:rsidR="00EF52C4" w:rsidRPr="00860D1E" w:rsidRDefault="00EF52C4" w:rsidP="00EF52C4">
      <w:pPr>
        <w:pStyle w:val="Heading2"/>
        <w:rPr>
          <w:sz w:val="28"/>
          <w:szCs w:val="28"/>
        </w:rPr>
      </w:pPr>
      <w:bookmarkStart w:id="66" w:name="_Toc227682448"/>
      <w:r w:rsidRPr="00860D1E">
        <w:rPr>
          <w:sz w:val="28"/>
          <w:szCs w:val="28"/>
        </w:rPr>
        <w:t>6.1 Key shortcomings in current practice</w:t>
      </w:r>
      <w:bookmarkEnd w:id="66"/>
    </w:p>
    <w:p w14:paraId="07A4543C" w14:textId="23FC00A0" w:rsidR="00EF52C4" w:rsidRPr="00860D1E" w:rsidRDefault="00EF52C4" w:rsidP="00EF52C4">
      <w:pPr>
        <w:numPr>
          <w:ilvl w:val="0"/>
          <w:numId w:val="9"/>
        </w:numPr>
        <w:rPr>
          <w:rFonts w:ascii="Arial" w:hAnsi="Arial" w:cs="Arial"/>
        </w:rPr>
      </w:pPr>
      <w:r w:rsidRPr="00860D1E">
        <w:rPr>
          <w:rFonts w:ascii="Arial" w:hAnsi="Arial" w:cs="Arial"/>
          <w:b/>
          <w:bCs/>
        </w:rPr>
        <w:t>Principle–practice gap:</w:t>
      </w:r>
      <w:r w:rsidRPr="00860D1E">
        <w:rPr>
          <w:rFonts w:ascii="Arial" w:hAnsi="Arial" w:cs="Arial"/>
        </w:rPr>
        <w:t xml:space="preserve"> </w:t>
      </w:r>
      <w:r w:rsidR="00165B69" w:rsidRPr="00860D1E">
        <w:rPr>
          <w:rFonts w:ascii="Arial" w:hAnsi="Arial" w:cs="Arial"/>
        </w:rPr>
        <w:t>The gap between AI ethics principles and real</w:t>
      </w:r>
      <w:r w:rsidR="00165B69" w:rsidRPr="00860D1E">
        <w:rPr>
          <w:rFonts w:ascii="Cambria Math" w:hAnsi="Cambria Math" w:cs="Cambria Math"/>
        </w:rPr>
        <w:t>‑</w:t>
      </w:r>
      <w:r w:rsidR="00165B69" w:rsidRPr="00860D1E">
        <w:rPr>
          <w:rFonts w:ascii="Arial" w:hAnsi="Arial" w:cs="Arial"/>
        </w:rPr>
        <w:t>world practice persists, as organisations struggle to turn high</w:t>
      </w:r>
      <w:r w:rsidR="00165B69" w:rsidRPr="00860D1E">
        <w:rPr>
          <w:rFonts w:ascii="Cambria Math" w:hAnsi="Cambria Math" w:cs="Cambria Math"/>
        </w:rPr>
        <w:t>‑</w:t>
      </w:r>
      <w:r w:rsidR="00165B69" w:rsidRPr="00860D1E">
        <w:rPr>
          <w:rFonts w:ascii="Arial" w:hAnsi="Arial" w:cs="Arial"/>
        </w:rPr>
        <w:t>level values into concrete technical and operational actions. Ethical ideals often fail to align with the practical realities of AI development, sustaining this principle–practice divide.</w:t>
      </w:r>
      <w:sdt>
        <w:sdtPr>
          <w:rPr>
            <w:rFonts w:ascii="Arial" w:hAnsi="Arial" w:cs="Arial"/>
          </w:rPr>
          <w:id w:val="-1480378117"/>
          <w:citation/>
        </w:sdtPr>
        <w:sdtEndPr/>
        <w:sdtContent>
          <w:r w:rsidR="000417C6" w:rsidRPr="00860D1E">
            <w:rPr>
              <w:rFonts w:ascii="Arial" w:hAnsi="Arial" w:cs="Arial"/>
            </w:rPr>
            <w:fldChar w:fldCharType="begin"/>
          </w:r>
          <w:r w:rsidR="000417C6" w:rsidRPr="00860D1E">
            <w:rPr>
              <w:rFonts w:ascii="Arial" w:hAnsi="Arial" w:cs="Arial"/>
            </w:rPr>
            <w:instrText xml:space="preserve"> CITATION Cor25 \l 2057 </w:instrText>
          </w:r>
          <w:r w:rsidR="000417C6"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[24]</w:t>
          </w:r>
          <w:r w:rsidR="000417C6" w:rsidRPr="00860D1E">
            <w:rPr>
              <w:rFonts w:ascii="Arial" w:hAnsi="Arial" w:cs="Arial"/>
            </w:rPr>
            <w:fldChar w:fldCharType="end"/>
          </w:r>
        </w:sdtContent>
      </w:sdt>
    </w:p>
    <w:p w14:paraId="0CA7AFA0" w14:textId="06C141E6" w:rsidR="00FB7227" w:rsidRPr="00860D1E" w:rsidRDefault="00EF52C4" w:rsidP="00FB7227">
      <w:pPr>
        <w:numPr>
          <w:ilvl w:val="0"/>
          <w:numId w:val="9"/>
        </w:numPr>
        <w:rPr>
          <w:rFonts w:ascii="Arial" w:hAnsi="Arial" w:cs="Arial"/>
        </w:rPr>
      </w:pPr>
      <w:r w:rsidRPr="00860D1E">
        <w:rPr>
          <w:rFonts w:ascii="Arial" w:hAnsi="Arial" w:cs="Arial"/>
          <w:b/>
          <w:bCs/>
        </w:rPr>
        <w:t>Fragmentation:</w:t>
      </w:r>
      <w:r w:rsidRPr="00860D1E">
        <w:rPr>
          <w:rFonts w:ascii="Arial" w:hAnsi="Arial" w:cs="Arial"/>
        </w:rPr>
        <w:t xml:space="preserve"> </w:t>
      </w:r>
      <w:r w:rsidR="004B49C5" w:rsidRPr="00860D1E">
        <w:rPr>
          <w:rFonts w:ascii="Arial" w:hAnsi="Arial" w:cs="Arial"/>
        </w:rPr>
        <w:t>Fragmented regulations and differing national priorities hinder the EU’s push for unified AI governance, risking a splintered market and inconsistent ethical standards that complicate sustainable, region</w:t>
      </w:r>
      <w:r w:rsidR="004B49C5" w:rsidRPr="00860D1E">
        <w:rPr>
          <w:rFonts w:ascii="Arial" w:hAnsi="Arial" w:cs="Arial"/>
        </w:rPr>
        <w:noBreakHyphen/>
        <w:t>wide AI adoption</w:t>
      </w:r>
      <w:r w:rsidR="00DD190B" w:rsidRPr="00860D1E">
        <w:rPr>
          <w:rFonts w:ascii="Arial" w:hAnsi="Arial" w:cs="Arial"/>
        </w:rPr>
        <w:t xml:space="preserve">. </w:t>
      </w:r>
      <w:r w:rsidR="00FB7227" w:rsidRPr="00860D1E">
        <w:rPr>
          <w:rFonts w:ascii="Arial" w:hAnsi="Arial" w:cs="Arial"/>
        </w:rPr>
        <w:t>Ethics, security, legal, and data science teams often work in isolation, resulting in inconsistent decisions and duplicated effort.</w:t>
      </w:r>
      <w:sdt>
        <w:sdtPr>
          <w:rPr>
            <w:rFonts w:ascii="Arial" w:hAnsi="Arial" w:cs="Arial"/>
          </w:rPr>
          <w:id w:val="-855584260"/>
          <w:citation/>
        </w:sdtPr>
        <w:sdtEndPr/>
        <w:sdtContent>
          <w:r w:rsidR="00DD190B" w:rsidRPr="00860D1E">
            <w:rPr>
              <w:rFonts w:ascii="Arial" w:hAnsi="Arial" w:cs="Arial"/>
            </w:rPr>
            <w:fldChar w:fldCharType="begin"/>
          </w:r>
          <w:r w:rsidR="00DD190B" w:rsidRPr="00860D1E">
            <w:rPr>
              <w:rFonts w:ascii="Arial" w:hAnsi="Arial" w:cs="Arial"/>
            </w:rPr>
            <w:instrText xml:space="preserve"> CITATION Bor23 \l 2057 </w:instrText>
          </w:r>
          <w:r w:rsidR="00DD190B"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[25]</w:t>
          </w:r>
          <w:r w:rsidR="00DD190B" w:rsidRPr="00860D1E">
            <w:rPr>
              <w:rFonts w:ascii="Arial" w:hAnsi="Arial" w:cs="Arial"/>
            </w:rPr>
            <w:fldChar w:fldCharType="end"/>
          </w:r>
        </w:sdtContent>
      </w:sdt>
    </w:p>
    <w:p w14:paraId="464028AF" w14:textId="180957D5" w:rsidR="00EF52C4" w:rsidRPr="00860D1E" w:rsidRDefault="00EF52C4" w:rsidP="00DD190B">
      <w:pPr>
        <w:ind w:left="720"/>
        <w:rPr>
          <w:rFonts w:ascii="Arial" w:hAnsi="Arial" w:cs="Arial"/>
        </w:rPr>
      </w:pPr>
    </w:p>
    <w:p w14:paraId="2665A5D5" w14:textId="1BB67247" w:rsidR="00EF52C4" w:rsidRPr="00860D1E" w:rsidRDefault="00EF52C4" w:rsidP="00EF52C4">
      <w:pPr>
        <w:numPr>
          <w:ilvl w:val="0"/>
          <w:numId w:val="9"/>
        </w:numPr>
        <w:rPr>
          <w:rFonts w:ascii="Arial" w:hAnsi="Arial" w:cs="Arial"/>
        </w:rPr>
      </w:pPr>
      <w:r w:rsidRPr="00860D1E">
        <w:rPr>
          <w:rFonts w:ascii="Arial" w:hAnsi="Arial" w:cs="Arial"/>
          <w:b/>
          <w:bCs/>
        </w:rPr>
        <w:t>Underestimation of socio</w:t>
      </w:r>
      <w:r w:rsidRPr="00860D1E">
        <w:rPr>
          <w:rFonts w:ascii="Arial" w:hAnsi="Arial" w:cs="Arial"/>
          <w:b/>
          <w:bCs/>
        </w:rPr>
        <w:noBreakHyphen/>
        <w:t>technical risk</w:t>
      </w:r>
      <w:r w:rsidRPr="00860D1E">
        <w:rPr>
          <w:rFonts w:ascii="Arial" w:hAnsi="Arial" w:cs="Arial"/>
        </w:rPr>
        <w:t>:</w:t>
      </w:r>
      <w:r w:rsidR="001665A5" w:rsidRPr="00860D1E">
        <w:rPr>
          <w:rFonts w:ascii="Arial" w:hAnsi="Arial" w:cs="Arial"/>
        </w:rPr>
        <w:t xml:space="preserve"> AI’s socio</w:t>
      </w:r>
      <w:r w:rsidR="001665A5" w:rsidRPr="00860D1E">
        <w:rPr>
          <w:rFonts w:ascii="Arial" w:hAnsi="Arial" w:cs="Arial"/>
        </w:rPr>
        <w:noBreakHyphen/>
        <w:t xml:space="preserve">technical risks are often underestimated due to complex, emergent </w:t>
      </w:r>
      <w:r w:rsidR="00AA448E" w:rsidRPr="00860D1E">
        <w:rPr>
          <w:rFonts w:ascii="Arial" w:hAnsi="Arial" w:cs="Arial"/>
        </w:rPr>
        <w:t>behaviours</w:t>
      </w:r>
      <w:r w:rsidR="001665A5" w:rsidRPr="00860D1E">
        <w:rPr>
          <w:rFonts w:ascii="Arial" w:hAnsi="Arial" w:cs="Arial"/>
        </w:rPr>
        <w:t xml:space="preserve"> and real</w:t>
      </w:r>
      <w:r w:rsidR="001665A5" w:rsidRPr="00860D1E">
        <w:rPr>
          <w:rFonts w:ascii="Arial" w:hAnsi="Arial" w:cs="Arial"/>
        </w:rPr>
        <w:noBreakHyphen/>
        <w:t>world interactions. Relying solely on developers leaves many issues unaddressed, underscoring the need for adaptive, ethically informed risk management across the entire AI lifecycle.</w:t>
      </w:r>
      <w:r w:rsidR="008E5BC0" w:rsidRPr="00860D1E">
        <w:t xml:space="preserve"> </w:t>
      </w:r>
      <w:r w:rsidR="00301941" w:rsidRPr="00860D1E">
        <w:rPr>
          <w:rFonts w:ascii="Arial" w:hAnsi="Arial" w:cs="Arial"/>
        </w:rPr>
        <w:t>T</w:t>
      </w:r>
      <w:r w:rsidR="008E5BC0" w:rsidRPr="00860D1E">
        <w:rPr>
          <w:rFonts w:ascii="Arial" w:hAnsi="Arial" w:cs="Arial"/>
        </w:rPr>
        <w:t>echnical robustness dominates AI oversight, leaving societal risks like discrimination, manipulation, and power imbalances under</w:t>
      </w:r>
      <w:r w:rsidR="008E5BC0" w:rsidRPr="00860D1E">
        <w:rPr>
          <w:rFonts w:ascii="Arial" w:hAnsi="Arial" w:cs="Arial"/>
        </w:rPr>
        <w:noBreakHyphen/>
        <w:t>governed.</w:t>
      </w:r>
      <w:sdt>
        <w:sdtPr>
          <w:rPr>
            <w:rFonts w:ascii="Arial" w:hAnsi="Arial" w:cs="Arial"/>
          </w:rPr>
          <w:id w:val="132144685"/>
          <w:citation/>
        </w:sdtPr>
        <w:sdtEndPr/>
        <w:sdtContent>
          <w:r w:rsidR="00301941" w:rsidRPr="00860D1E">
            <w:rPr>
              <w:rFonts w:ascii="Arial" w:hAnsi="Arial" w:cs="Arial"/>
            </w:rPr>
            <w:fldChar w:fldCharType="begin"/>
          </w:r>
          <w:r w:rsidR="00301941" w:rsidRPr="00860D1E">
            <w:rPr>
              <w:rFonts w:ascii="Arial" w:hAnsi="Arial" w:cs="Arial"/>
            </w:rPr>
            <w:instrText xml:space="preserve"> CITATION McG22 \l 2057 </w:instrText>
          </w:r>
          <w:r w:rsidR="00301941"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[26]</w:t>
          </w:r>
          <w:r w:rsidR="00301941" w:rsidRPr="00860D1E">
            <w:rPr>
              <w:rFonts w:ascii="Arial" w:hAnsi="Arial" w:cs="Arial"/>
            </w:rPr>
            <w:fldChar w:fldCharType="end"/>
          </w:r>
        </w:sdtContent>
      </w:sdt>
    </w:p>
    <w:p w14:paraId="24979135" w14:textId="3FDAFA82" w:rsidR="00EF52C4" w:rsidRPr="00860D1E" w:rsidRDefault="00EF52C4" w:rsidP="007A158A">
      <w:pPr>
        <w:pStyle w:val="Heading2"/>
        <w:rPr>
          <w:sz w:val="28"/>
          <w:szCs w:val="28"/>
        </w:rPr>
      </w:pPr>
      <w:bookmarkStart w:id="67" w:name="_Toc227682449"/>
      <w:r w:rsidRPr="00860D1E">
        <w:rPr>
          <w:sz w:val="28"/>
          <w:szCs w:val="28"/>
        </w:rPr>
        <w:t xml:space="preserve">6.2 </w:t>
      </w:r>
      <w:r w:rsidR="00D02DA2" w:rsidRPr="00860D1E">
        <w:rPr>
          <w:sz w:val="28"/>
          <w:szCs w:val="28"/>
        </w:rPr>
        <w:t>The effectiveness of AI governance measures</w:t>
      </w:r>
      <w:bookmarkEnd w:id="67"/>
    </w:p>
    <w:p w14:paraId="21C6D1CA" w14:textId="771DD91E" w:rsidR="00BE2906" w:rsidRPr="00860D1E" w:rsidRDefault="009743CF" w:rsidP="00BE2906">
      <w:pPr>
        <w:rPr>
          <w:rFonts w:ascii="Arial" w:hAnsi="Arial" w:cs="Arial"/>
        </w:rPr>
      </w:pPr>
      <w:r w:rsidRPr="009743CF">
        <w:rPr>
          <w:rFonts w:ascii="Arial" w:hAnsi="Arial" w:cs="Arial"/>
        </w:rPr>
        <w:t>The effectiveness of AI governance relies on flexible frameworks, well</w:t>
      </w:r>
      <w:r w:rsidRPr="009743CF">
        <w:rPr>
          <w:rFonts w:ascii="Arial" w:hAnsi="Arial" w:cs="Arial"/>
        </w:rPr>
        <w:noBreakHyphen/>
        <w:t>defined regulatory requirements, and strong institutional oversight.</w:t>
      </w:r>
      <w:r>
        <w:rPr>
          <w:rFonts w:ascii="Arial" w:hAnsi="Arial" w:cs="Arial"/>
        </w:rPr>
        <w:t xml:space="preserve"> </w:t>
      </w:r>
      <w:r w:rsidR="00BE2906" w:rsidRPr="00860D1E">
        <w:rPr>
          <w:rFonts w:ascii="Arial" w:hAnsi="Arial" w:cs="Arial"/>
        </w:rPr>
        <w:t xml:space="preserve">Because AI’s sociotechnical impacts, legal disruptions, and geopolitical dynamics evolve rapidly, static governance models quickly lose relevance. Effective governance therefore requires flexible regulatory </w:t>
      </w:r>
      <w:r w:rsidR="009A3F50" w:rsidRPr="00860D1E">
        <w:rPr>
          <w:rFonts w:ascii="Arial" w:hAnsi="Arial" w:cs="Arial"/>
        </w:rPr>
        <w:t>instruments,</w:t>
      </w:r>
      <w:r w:rsidR="00BE2906" w:rsidRPr="00860D1E">
        <w:rPr>
          <w:rFonts w:ascii="Arial" w:hAnsi="Arial" w:cs="Arial"/>
        </w:rPr>
        <w:t xml:space="preserve"> and regime designs capable of responding to fast</w:t>
      </w:r>
      <w:r w:rsidR="00BE2906" w:rsidRPr="00860D1E">
        <w:rPr>
          <w:rFonts w:ascii="Arial" w:hAnsi="Arial" w:cs="Arial"/>
        </w:rPr>
        <w:noBreakHyphen/>
        <w:t>moving technological and political change.</w:t>
      </w:r>
      <w:sdt>
        <w:sdtPr>
          <w:rPr>
            <w:rFonts w:ascii="Arial" w:hAnsi="Arial" w:cs="Arial"/>
          </w:rPr>
          <w:id w:val="-1921716461"/>
          <w:citation/>
        </w:sdtPr>
        <w:sdtEndPr/>
        <w:sdtContent>
          <w:r w:rsidR="00BE2906" w:rsidRPr="00860D1E">
            <w:rPr>
              <w:rFonts w:ascii="Arial" w:hAnsi="Arial" w:cs="Arial"/>
            </w:rPr>
            <w:fldChar w:fldCharType="begin"/>
          </w:r>
          <w:r w:rsidR="00BE2906" w:rsidRPr="00860D1E">
            <w:rPr>
              <w:rFonts w:ascii="Arial" w:hAnsi="Arial" w:cs="Arial"/>
            </w:rPr>
            <w:instrText xml:space="preserve"> CITATION Maa25 \l 2057 </w:instrText>
          </w:r>
          <w:r w:rsidR="00BE2906" w:rsidRPr="00860D1E">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[27]</w:t>
          </w:r>
          <w:r w:rsidR="00BE2906" w:rsidRPr="00860D1E">
            <w:rPr>
              <w:rFonts w:ascii="Arial" w:hAnsi="Arial" w:cs="Arial"/>
            </w:rPr>
            <w:fldChar w:fldCharType="end"/>
          </w:r>
        </w:sdtContent>
      </w:sdt>
    </w:p>
    <w:p w14:paraId="65AA53E7" w14:textId="6887F625" w:rsidR="00EF52C4" w:rsidRPr="00860D1E" w:rsidRDefault="00EF52C4" w:rsidP="007A158A">
      <w:pPr>
        <w:rPr>
          <w:rFonts w:ascii="Arial" w:hAnsi="Arial" w:cs="Arial"/>
        </w:rPr>
      </w:pPr>
      <w:r w:rsidRPr="00860D1E">
        <w:rPr>
          <w:rFonts w:ascii="Arial" w:hAnsi="Arial" w:cs="Arial"/>
          <w:b/>
          <w:bCs/>
        </w:rPr>
        <w:t>Treat AI as a first</w:t>
      </w:r>
      <w:r w:rsidRPr="00860D1E">
        <w:rPr>
          <w:rFonts w:ascii="Arial" w:hAnsi="Arial" w:cs="Arial"/>
          <w:b/>
          <w:bCs/>
        </w:rPr>
        <w:noBreakHyphen/>
        <w:t>class risk category</w:t>
      </w:r>
      <w:r w:rsidR="00F93EE0" w:rsidRPr="00860D1E">
        <w:rPr>
          <w:rFonts w:ascii="Arial" w:hAnsi="Arial" w:cs="Arial"/>
          <w:b/>
          <w:bCs/>
        </w:rPr>
        <w:t xml:space="preserve">: </w:t>
      </w:r>
      <w:r w:rsidR="00F93EE0" w:rsidRPr="00860D1E">
        <w:rPr>
          <w:rFonts w:ascii="Arial" w:hAnsi="Arial" w:cs="Arial"/>
        </w:rPr>
        <w:t>Within enterprise risk management, with clear ownership and reporting lines to senior leadership</w:t>
      </w:r>
    </w:p>
    <w:p w14:paraId="5261A0DB" w14:textId="6BF25838" w:rsidR="00EF52C4" w:rsidRPr="00860D1E" w:rsidRDefault="00EF52C4" w:rsidP="007A158A">
      <w:pPr>
        <w:rPr>
          <w:rFonts w:ascii="Arial" w:hAnsi="Arial" w:cs="Arial"/>
        </w:rPr>
      </w:pPr>
      <w:r w:rsidRPr="00860D1E">
        <w:rPr>
          <w:rFonts w:ascii="Arial" w:hAnsi="Arial" w:cs="Arial"/>
          <w:b/>
          <w:bCs/>
        </w:rPr>
        <w:lastRenderedPageBreak/>
        <w:t>Establish empowered AI governance structures</w:t>
      </w:r>
      <w:r w:rsidR="0087150E" w:rsidRPr="00860D1E">
        <w:rPr>
          <w:rFonts w:ascii="Arial" w:hAnsi="Arial" w:cs="Arial"/>
        </w:rPr>
        <w:t>: A board and ethics committee with authority over high</w:t>
      </w:r>
      <w:r w:rsidR="0087150E" w:rsidRPr="00860D1E">
        <w:rPr>
          <w:rFonts w:ascii="Arial" w:hAnsi="Arial" w:cs="Arial"/>
        </w:rPr>
        <w:noBreakHyphen/>
        <w:t>risk use cases and integration into product and change</w:t>
      </w:r>
      <w:r w:rsidR="0087150E" w:rsidRPr="00860D1E">
        <w:rPr>
          <w:rFonts w:ascii="Arial" w:hAnsi="Arial" w:cs="Arial"/>
        </w:rPr>
        <w:noBreakHyphen/>
        <w:t>management processes</w:t>
      </w:r>
    </w:p>
    <w:p w14:paraId="0664C688" w14:textId="2BC66B21" w:rsidR="00EF52C4" w:rsidRPr="00860D1E" w:rsidRDefault="00EF52C4" w:rsidP="007A158A">
      <w:pPr>
        <w:rPr>
          <w:rFonts w:ascii="Arial" w:hAnsi="Arial" w:cs="Arial"/>
        </w:rPr>
      </w:pPr>
      <w:r w:rsidRPr="00860D1E">
        <w:rPr>
          <w:rFonts w:ascii="Arial" w:hAnsi="Arial" w:cs="Arial"/>
          <w:b/>
          <w:bCs/>
        </w:rPr>
        <w:t>Adopt a recognised risk framework</w:t>
      </w:r>
      <w:r w:rsidR="003D64F8" w:rsidRPr="00860D1E">
        <w:rPr>
          <w:rFonts w:ascii="Arial" w:hAnsi="Arial" w:cs="Arial"/>
        </w:rPr>
        <w:t>: (e.g., the NIST AI RMF) and tailor it to the organisation’s context, aligning with existing security and compliance controls</w:t>
      </w:r>
    </w:p>
    <w:p w14:paraId="63210222" w14:textId="3F3F7C31" w:rsidR="00EF52C4" w:rsidRPr="00860D1E" w:rsidRDefault="00EF52C4" w:rsidP="007A158A">
      <w:pPr>
        <w:rPr>
          <w:rFonts w:ascii="Arial" w:hAnsi="Arial" w:cs="Arial"/>
        </w:rPr>
      </w:pPr>
      <w:r w:rsidRPr="00860D1E">
        <w:rPr>
          <w:rFonts w:ascii="Arial" w:hAnsi="Arial" w:cs="Arial"/>
          <w:b/>
          <w:bCs/>
        </w:rPr>
        <w:t>Embed governance into the lifecycle</w:t>
      </w:r>
      <w:r w:rsidR="00927EF2" w:rsidRPr="00860D1E">
        <w:rPr>
          <w:rFonts w:ascii="Arial" w:hAnsi="Arial" w:cs="Arial"/>
        </w:rPr>
        <w:t xml:space="preserve">: </w:t>
      </w:r>
      <w:r w:rsidR="00B46150" w:rsidRPr="00860D1E">
        <w:rPr>
          <w:rFonts w:ascii="Arial" w:hAnsi="Arial" w:cs="Arial"/>
        </w:rPr>
        <w:t>Through mandatory risk assessments, data</w:t>
      </w:r>
      <w:r w:rsidR="00B46150" w:rsidRPr="00860D1E">
        <w:rPr>
          <w:rFonts w:ascii="Arial" w:hAnsi="Arial" w:cs="Arial"/>
        </w:rPr>
        <w:noBreakHyphen/>
        <w:t>governance checks, fairness and robustness testing, and deployment approval gates</w:t>
      </w:r>
    </w:p>
    <w:p w14:paraId="045BAB12" w14:textId="0D650005" w:rsidR="00EF52C4" w:rsidRPr="00860D1E" w:rsidRDefault="00EF52C4" w:rsidP="007A158A">
      <w:pPr>
        <w:rPr>
          <w:rFonts w:ascii="Arial" w:hAnsi="Arial" w:cs="Arial"/>
        </w:rPr>
      </w:pPr>
      <w:r w:rsidRPr="00860D1E">
        <w:rPr>
          <w:rFonts w:ascii="Arial" w:hAnsi="Arial" w:cs="Arial"/>
          <w:b/>
          <w:bCs/>
        </w:rPr>
        <w:t>Invest in monitoring and continuous improvement</w:t>
      </w:r>
      <w:r w:rsidR="002A2892" w:rsidRPr="00860D1E">
        <w:rPr>
          <w:rFonts w:ascii="Arial" w:hAnsi="Arial" w:cs="Arial"/>
          <w:b/>
          <w:bCs/>
        </w:rPr>
        <w:t xml:space="preserve">: </w:t>
      </w:r>
      <w:r w:rsidR="00AF40A4" w:rsidRPr="00860D1E">
        <w:rPr>
          <w:rFonts w:ascii="Arial" w:hAnsi="Arial" w:cs="Arial"/>
        </w:rPr>
        <w:t>Using technical tools fairness, explainability, and drift detection</w:t>
      </w:r>
      <w:r w:rsidR="00DF738B" w:rsidRPr="00860D1E">
        <w:rPr>
          <w:rFonts w:ascii="Arial" w:hAnsi="Arial" w:cs="Arial"/>
        </w:rPr>
        <w:t xml:space="preserve"> </w:t>
      </w:r>
      <w:r w:rsidR="00AF40A4" w:rsidRPr="00860D1E">
        <w:rPr>
          <w:rFonts w:ascii="Arial" w:hAnsi="Arial" w:cs="Arial"/>
        </w:rPr>
        <w:t>supported by audits, incident reviews, and stakeholder feedback.</w:t>
      </w:r>
    </w:p>
    <w:p w14:paraId="76E6FEB7" w14:textId="77777777" w:rsidR="00EF52C4" w:rsidRPr="00860D1E" w:rsidRDefault="00EF52C4" w:rsidP="001E08D0">
      <w:pPr>
        <w:rPr>
          <w:rFonts w:ascii="Arial" w:hAnsi="Arial" w:cs="Arial"/>
        </w:rPr>
      </w:pPr>
    </w:p>
    <w:p w14:paraId="4E18A204" w14:textId="77777777" w:rsidR="008138BB" w:rsidRPr="00860D1E" w:rsidRDefault="008138BB" w:rsidP="001E08D0">
      <w:pPr>
        <w:rPr>
          <w:rFonts w:ascii="Arial" w:hAnsi="Arial" w:cs="Arial"/>
        </w:rPr>
      </w:pPr>
    </w:p>
    <w:p w14:paraId="51DF0979" w14:textId="77777777" w:rsidR="008138BB" w:rsidRPr="00860D1E" w:rsidRDefault="008138BB" w:rsidP="001E08D0">
      <w:pPr>
        <w:rPr>
          <w:rFonts w:ascii="Arial" w:hAnsi="Arial" w:cs="Arial"/>
        </w:rPr>
      </w:pPr>
    </w:p>
    <w:p w14:paraId="01AB96BF" w14:textId="4F0E12B8" w:rsidR="00151D1F" w:rsidRPr="00860D1E" w:rsidRDefault="00151D1F" w:rsidP="00151D1F">
      <w:pPr>
        <w:pStyle w:val="Heading1"/>
        <w:rPr>
          <w:b/>
          <w:bCs/>
          <w:sz w:val="32"/>
          <w:szCs w:val="32"/>
        </w:rPr>
      </w:pPr>
      <w:bookmarkStart w:id="68" w:name="_Toc227682450"/>
      <w:r w:rsidRPr="00860D1E">
        <w:rPr>
          <w:b/>
          <w:bCs/>
          <w:sz w:val="32"/>
          <w:szCs w:val="32"/>
        </w:rPr>
        <w:t>CONCLUSION</w:t>
      </w:r>
      <w:bookmarkEnd w:id="68"/>
    </w:p>
    <w:p w14:paraId="4AB6910C" w14:textId="022955C1" w:rsidR="00151D1F" w:rsidRPr="00860D1E" w:rsidRDefault="005C7A2C" w:rsidP="00365FC1">
      <w:pPr>
        <w:rPr>
          <w:rFonts w:ascii="Arial" w:hAnsi="Arial" w:cs="Arial"/>
        </w:rPr>
      </w:pPr>
      <w:r w:rsidRPr="00860D1E">
        <w:rPr>
          <w:rFonts w:ascii="Arial" w:hAnsi="Arial" w:cs="Arial"/>
        </w:rPr>
        <w:t>AI and ML governance is a modern challenge because it sits at the intersection of security, ethics, law, and business value. Traditional IT governance is no longer sufficient</w:t>
      </w:r>
      <w:r w:rsidR="00C91118" w:rsidRPr="00860D1E">
        <w:rPr>
          <w:rFonts w:ascii="Arial" w:hAnsi="Arial" w:cs="Arial"/>
        </w:rPr>
        <w:t xml:space="preserve"> </w:t>
      </w:r>
      <w:r w:rsidRPr="00860D1E">
        <w:rPr>
          <w:rFonts w:ascii="Arial" w:hAnsi="Arial" w:cs="Arial"/>
        </w:rPr>
        <w:t>organisations must manage AI</w:t>
      </w:r>
      <w:r w:rsidRPr="00860D1E">
        <w:rPr>
          <w:rFonts w:ascii="Arial" w:hAnsi="Arial" w:cs="Arial"/>
        </w:rPr>
        <w:noBreakHyphen/>
        <w:t>specific risks to data and models, embed ethical principles across the lifecycle, and integrate AI oversight into broader risk and compliance structures. When done well, AI governance becomes an enabler of trustworthy, scalable innovation, allowing organisations to anticipate and manage risk rather than respond only after harm occurs.</w:t>
      </w:r>
    </w:p>
    <w:p w14:paraId="7764A001" w14:textId="77777777" w:rsidR="00365FC1" w:rsidRPr="00860D1E" w:rsidRDefault="00365FC1" w:rsidP="002C12D9">
      <w:pPr>
        <w:rPr>
          <w:rFonts w:ascii="Arial" w:hAnsi="Arial" w:cs="Arial"/>
        </w:rPr>
      </w:pPr>
    </w:p>
    <w:p w14:paraId="218831D8" w14:textId="77777777" w:rsidR="00594F5D" w:rsidRPr="00860D1E" w:rsidRDefault="00594F5D" w:rsidP="00594F5D">
      <w:pPr>
        <w:pStyle w:val="Heading1"/>
        <w:rPr>
          <w:b/>
          <w:bCs/>
          <w:sz w:val="32"/>
          <w:szCs w:val="32"/>
        </w:rPr>
      </w:pPr>
    </w:p>
    <w:p w14:paraId="00ECDD9A" w14:textId="758DA516" w:rsidR="00594F5D" w:rsidRPr="00860D1E" w:rsidRDefault="00594F5D" w:rsidP="00594F5D">
      <w:pPr>
        <w:pStyle w:val="Heading1"/>
        <w:rPr>
          <w:b/>
          <w:bCs/>
          <w:sz w:val="32"/>
          <w:szCs w:val="32"/>
        </w:rPr>
      </w:pPr>
      <w:bookmarkStart w:id="69" w:name="_Toc227682451"/>
      <w:r w:rsidRPr="00860D1E">
        <w:rPr>
          <w:b/>
          <w:bCs/>
          <w:sz w:val="32"/>
          <w:szCs w:val="32"/>
          <w:highlight w:val="yellow"/>
        </w:rPr>
        <w:t xml:space="preserve">TASK2 </w:t>
      </w:r>
      <w:r w:rsidR="00783985" w:rsidRPr="00860D1E">
        <w:rPr>
          <w:b/>
          <w:bCs/>
          <w:sz w:val="32"/>
          <w:szCs w:val="32"/>
          <w:highlight w:val="yellow"/>
        </w:rPr>
        <w:t>Case</w:t>
      </w:r>
      <w:r w:rsidR="00F26C31" w:rsidRPr="00860D1E">
        <w:rPr>
          <w:b/>
          <w:bCs/>
          <w:sz w:val="32"/>
          <w:szCs w:val="32"/>
          <w:highlight w:val="yellow"/>
        </w:rPr>
        <w:t xml:space="preserve"> Scenario</w:t>
      </w:r>
      <w:bookmarkEnd w:id="69"/>
    </w:p>
    <w:p w14:paraId="32838C06" w14:textId="77777777" w:rsidR="002F116A" w:rsidRPr="00860D1E" w:rsidRDefault="002F116A" w:rsidP="002F116A"/>
    <w:p w14:paraId="3230E011" w14:textId="2D08BB08" w:rsidR="002F116A" w:rsidRPr="00860D1E" w:rsidRDefault="002F116A" w:rsidP="00747D5E">
      <w:pPr>
        <w:pStyle w:val="Heading1"/>
        <w:rPr>
          <w:b/>
          <w:bCs/>
          <w:sz w:val="32"/>
          <w:szCs w:val="32"/>
        </w:rPr>
      </w:pPr>
      <w:bookmarkStart w:id="70" w:name="_Toc227682452"/>
      <w:r w:rsidRPr="00860D1E">
        <w:rPr>
          <w:b/>
          <w:bCs/>
          <w:sz w:val="32"/>
          <w:szCs w:val="32"/>
        </w:rPr>
        <w:t>INTRODUCTION</w:t>
      </w:r>
      <w:bookmarkEnd w:id="70"/>
    </w:p>
    <w:p w14:paraId="2AD1843E" w14:textId="4F9C30D4" w:rsidR="00D257FD" w:rsidRPr="007045DE" w:rsidRDefault="0007584B" w:rsidP="007045DE">
      <w:pPr>
        <w:rPr>
          <w:rFonts w:ascii="Arial" w:hAnsi="Arial" w:cs="Arial"/>
        </w:rPr>
      </w:pPr>
      <w:proofErr w:type="spellStart"/>
      <w:r w:rsidRPr="0007584B">
        <w:rPr>
          <w:rFonts w:ascii="Arial" w:hAnsi="Arial" w:cs="Arial"/>
        </w:rPr>
        <w:t>MediTrust</w:t>
      </w:r>
      <w:proofErr w:type="spellEnd"/>
      <w:r w:rsidRPr="0007584B">
        <w:rPr>
          <w:rFonts w:ascii="Arial" w:hAnsi="Arial" w:cs="Arial"/>
        </w:rPr>
        <w:t xml:space="preserve"> Analytics Ltd develops advanced HealthTech systems that process highly sensitive medical and IoT</w:t>
      </w:r>
      <w:r w:rsidRPr="0007584B">
        <w:rPr>
          <w:rFonts w:ascii="Arial" w:hAnsi="Arial" w:cs="Arial"/>
        </w:rPr>
        <w:noBreakHyphen/>
        <w:t>based patient data through a hybrid, multi</w:t>
      </w:r>
      <w:r w:rsidRPr="0007584B">
        <w:rPr>
          <w:rFonts w:ascii="Arial" w:hAnsi="Arial" w:cs="Arial"/>
        </w:rPr>
        <w:noBreakHyphen/>
        <w:t>cloud environment. As the company expands into the EU, it must comply with GDPR, DORA, and NIS2 while addressing risks related to AI training data, access control, and third</w:t>
      </w:r>
      <w:r w:rsidRPr="0007584B">
        <w:rPr>
          <w:rFonts w:ascii="Arial" w:hAnsi="Arial" w:cs="Arial"/>
        </w:rPr>
        <w:noBreakHyphen/>
        <w:t xml:space="preserve">party software dependencies. To meet these challenges, </w:t>
      </w:r>
      <w:proofErr w:type="spellStart"/>
      <w:r w:rsidRPr="0007584B">
        <w:rPr>
          <w:rFonts w:ascii="Arial" w:hAnsi="Arial" w:cs="Arial"/>
        </w:rPr>
        <w:t>MediTrust</w:t>
      </w:r>
      <w:proofErr w:type="spellEnd"/>
      <w:r w:rsidRPr="0007584B">
        <w:rPr>
          <w:rFonts w:ascii="Arial" w:hAnsi="Arial" w:cs="Arial"/>
        </w:rPr>
        <w:t xml:space="preserve"> requires a unified security governance framework built on Zero Trust principles. This report outlines a strategic, forward</w:t>
      </w:r>
      <w:r w:rsidRPr="0007584B">
        <w:rPr>
          <w:rFonts w:ascii="Arial" w:hAnsi="Arial" w:cs="Arial"/>
        </w:rPr>
        <w:noBreakHyphen/>
        <w:t>looking security programme to support the establishment of the new EU Information Security Unit</w:t>
      </w:r>
    </w:p>
    <w:p w14:paraId="624D44DF" w14:textId="68C4829F" w:rsidR="00961D9E" w:rsidRDefault="000A44CE" w:rsidP="00B65175">
      <w:pPr>
        <w:pStyle w:val="Heading1"/>
      </w:pPr>
      <w:bookmarkStart w:id="71" w:name="_Toc227682453"/>
      <w:r>
        <w:rPr>
          <w:rFonts w:ascii="Arial" w:hAnsi="Arial" w:cs="Arial"/>
          <w:b/>
          <w:bCs/>
          <w:sz w:val="32"/>
          <w:szCs w:val="32"/>
        </w:rPr>
        <w:lastRenderedPageBreak/>
        <w:t>1</w:t>
      </w:r>
      <w:r w:rsidR="00663DB5">
        <w:rPr>
          <w:rFonts w:ascii="Arial" w:hAnsi="Arial" w:cs="Arial"/>
          <w:b/>
          <w:bCs/>
          <w:sz w:val="32"/>
          <w:szCs w:val="32"/>
        </w:rPr>
        <w:t>.</w:t>
      </w:r>
      <w:bookmarkEnd w:id="71"/>
      <w:r w:rsidR="00B65175" w:rsidRPr="00B65175">
        <w:rPr>
          <w:rFonts w:asciiTheme="minorHAnsi" w:eastAsiaTheme="minorHAnsi" w:hAnsiTheme="minorHAnsi" w:cstheme="minorBidi"/>
          <w:color w:val="auto"/>
          <w:sz w:val="22"/>
          <w:szCs w:val="22"/>
        </w:rPr>
        <w:t xml:space="preserve"> </w:t>
      </w:r>
      <w:r w:rsidR="00B65175" w:rsidRPr="00B65175">
        <w:rPr>
          <w:rFonts w:ascii="Arial" w:hAnsi="Arial" w:cs="Arial"/>
          <w:b/>
          <w:bCs/>
          <w:sz w:val="32"/>
          <w:szCs w:val="32"/>
        </w:rPr>
        <w:t>Zero</w:t>
      </w:r>
      <w:r w:rsidR="00B65175" w:rsidRPr="00B65175">
        <w:rPr>
          <w:rFonts w:ascii="Arial" w:hAnsi="Arial" w:cs="Arial"/>
          <w:b/>
          <w:bCs/>
          <w:sz w:val="32"/>
          <w:szCs w:val="32"/>
        </w:rPr>
        <w:noBreakHyphen/>
        <w:t xml:space="preserve">Trust Security Programme for </w:t>
      </w:r>
      <w:proofErr w:type="spellStart"/>
      <w:r w:rsidR="00B65175" w:rsidRPr="00B65175">
        <w:rPr>
          <w:rFonts w:ascii="Arial" w:hAnsi="Arial" w:cs="Arial"/>
          <w:b/>
          <w:bCs/>
          <w:sz w:val="32"/>
          <w:szCs w:val="32"/>
        </w:rPr>
        <w:t>MediTrust</w:t>
      </w:r>
      <w:proofErr w:type="spellEnd"/>
      <w:r w:rsidR="00B65175" w:rsidRPr="00B65175">
        <w:rPr>
          <w:rFonts w:ascii="Arial" w:hAnsi="Arial" w:cs="Arial"/>
          <w:b/>
          <w:bCs/>
          <w:sz w:val="32"/>
          <w:szCs w:val="32"/>
        </w:rPr>
        <w:t xml:space="preserve"> Analytics Ltd</w:t>
      </w:r>
    </w:p>
    <w:p w14:paraId="510EFC8E" w14:textId="38016C0C" w:rsidR="00961D9E" w:rsidRPr="00961D9E" w:rsidRDefault="00961D9E" w:rsidP="00961D9E">
      <w:r w:rsidRPr="00B722BF">
        <w:rPr>
          <w:rFonts w:ascii="Arial" w:hAnsi="Arial" w:cs="Arial"/>
        </w:rPr>
        <w:t>A Zero Trust–aligned security programme is built on the premise that no user, device, or network component is trusted by default. It enforces continuous verification and adaptive access controls, replacing static perimeter defences with dynamic, context</w:t>
      </w:r>
      <w:r w:rsidRPr="00B722BF">
        <w:rPr>
          <w:rFonts w:ascii="Arial" w:hAnsi="Arial" w:cs="Arial"/>
        </w:rPr>
        <w:noBreakHyphen/>
        <w:t>aware protection informed by identity, asset importance, and system conditions</w:t>
      </w:r>
      <w:sdt>
        <w:sdtPr>
          <w:rPr>
            <w:rFonts w:ascii="Arial" w:hAnsi="Arial" w:cs="Arial"/>
          </w:rPr>
          <w:id w:val="383300888"/>
          <w:citation/>
        </w:sdtPr>
        <w:sdtEndPr/>
        <w:sdtContent>
          <w:r w:rsidR="00986482" w:rsidRPr="00B722BF">
            <w:rPr>
              <w:rFonts w:ascii="Arial" w:hAnsi="Arial" w:cs="Arial"/>
            </w:rPr>
            <w:fldChar w:fldCharType="begin"/>
          </w:r>
          <w:r w:rsidR="00986482" w:rsidRPr="00B722BF">
            <w:rPr>
              <w:rFonts w:ascii="Arial" w:hAnsi="Arial" w:cs="Arial"/>
            </w:rPr>
            <w:instrText xml:space="preserve"> CITATION Kim24 \l 2057 </w:instrText>
          </w:r>
          <w:r w:rsidR="00986482" w:rsidRPr="00B722BF">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[28]</w:t>
          </w:r>
          <w:r w:rsidR="00986482" w:rsidRPr="00B722BF">
            <w:rPr>
              <w:rFonts w:ascii="Arial" w:hAnsi="Arial" w:cs="Arial"/>
            </w:rPr>
            <w:fldChar w:fldCharType="end"/>
          </w:r>
        </w:sdtContent>
      </w:sdt>
      <w:r w:rsidRPr="00961D9E">
        <w:t>.</w:t>
      </w:r>
    </w:p>
    <w:p w14:paraId="47031F00" w14:textId="19210CE3" w:rsidR="00DC0713" w:rsidRPr="00663DB5" w:rsidRDefault="00663DB5" w:rsidP="00663DB5">
      <w:pPr>
        <w:pStyle w:val="Heading2"/>
        <w:rPr>
          <w:rFonts w:ascii="Arial" w:hAnsi="Arial" w:cs="Arial"/>
          <w:sz w:val="28"/>
          <w:szCs w:val="28"/>
        </w:rPr>
      </w:pPr>
      <w:bookmarkStart w:id="72" w:name="_Toc227682454"/>
      <w:r w:rsidRPr="00663DB5">
        <w:rPr>
          <w:rFonts w:ascii="Arial" w:hAnsi="Arial" w:cs="Arial"/>
          <w:sz w:val="28"/>
          <w:szCs w:val="28"/>
        </w:rPr>
        <w:t>1.</w:t>
      </w:r>
      <w:r w:rsidR="00DC0713" w:rsidRPr="00663DB5">
        <w:rPr>
          <w:rFonts w:ascii="Arial" w:hAnsi="Arial" w:cs="Arial"/>
          <w:sz w:val="28"/>
          <w:szCs w:val="28"/>
        </w:rPr>
        <w:t>1. Strategic Vision</w:t>
      </w:r>
      <w:bookmarkEnd w:id="72"/>
      <w:r w:rsidR="00DC0713" w:rsidRPr="00663DB5">
        <w:rPr>
          <w:rFonts w:ascii="Arial" w:hAnsi="Arial" w:cs="Arial"/>
          <w:sz w:val="28"/>
          <w:szCs w:val="28"/>
        </w:rPr>
        <w:t xml:space="preserve"> </w:t>
      </w:r>
    </w:p>
    <w:p w14:paraId="5DC928C0" w14:textId="58279C68" w:rsidR="00DC0713" w:rsidRPr="00DC0713" w:rsidRDefault="00DC0713" w:rsidP="00DC0713">
      <w:pPr>
        <w:rPr>
          <w:rFonts w:ascii="Arial" w:hAnsi="Arial" w:cs="Arial"/>
        </w:rPr>
      </w:pPr>
      <w:r w:rsidRPr="00DC0713">
        <w:rPr>
          <w:rFonts w:ascii="Arial" w:hAnsi="Arial" w:cs="Arial"/>
        </w:rPr>
        <w:t xml:space="preserve">The overarching objective of </w:t>
      </w:r>
      <w:proofErr w:type="spellStart"/>
      <w:r w:rsidRPr="00DC0713">
        <w:rPr>
          <w:rFonts w:ascii="Arial" w:hAnsi="Arial" w:cs="Arial"/>
        </w:rPr>
        <w:t>MediTrust’s</w:t>
      </w:r>
      <w:proofErr w:type="spellEnd"/>
      <w:r w:rsidRPr="00DC0713">
        <w:rPr>
          <w:rFonts w:ascii="Arial" w:hAnsi="Arial" w:cs="Arial"/>
        </w:rPr>
        <w:t xml:space="preserve"> security programme is to establish a unified, </w:t>
      </w:r>
      <w:r w:rsidR="007045DE" w:rsidRPr="00DC0713">
        <w:rPr>
          <w:rFonts w:ascii="Arial" w:hAnsi="Arial" w:cs="Arial"/>
        </w:rPr>
        <w:t>zero</w:t>
      </w:r>
      <w:r w:rsidRPr="00DC0713">
        <w:rPr>
          <w:rFonts w:ascii="Arial" w:hAnsi="Arial" w:cs="Arial"/>
        </w:rPr>
        <w:noBreakHyphen/>
        <w:t>Trust–driven framework capable of safeguarding highly sensitive healthcare data, ensuring operational resilience, and meeting the stringent regulatory expectations of the EU market, including GDPR, DORA, and NIS2.</w:t>
      </w:r>
      <w:r w:rsidR="00AB5696" w:rsidRPr="00AB5696">
        <w:t xml:space="preserve"> </w:t>
      </w:r>
      <w:r w:rsidR="00AB5696" w:rsidRPr="00AB5696">
        <w:rPr>
          <w:rFonts w:ascii="Arial" w:hAnsi="Arial" w:cs="Arial"/>
        </w:rPr>
        <w:t>This strategic vision elevates security from a technical function to a core enabler of clinical trust, business continuity, and sustainable global growth.</w:t>
      </w:r>
    </w:p>
    <w:p w14:paraId="092D4138" w14:textId="77777777" w:rsidR="00DC0713" w:rsidRPr="00DC0713" w:rsidRDefault="00DC0713" w:rsidP="00DC0713">
      <w:pPr>
        <w:rPr>
          <w:rFonts w:ascii="Arial" w:hAnsi="Arial" w:cs="Arial"/>
        </w:rPr>
      </w:pPr>
      <w:r w:rsidRPr="00DC0713">
        <w:rPr>
          <w:rFonts w:ascii="Arial" w:hAnsi="Arial" w:cs="Arial"/>
        </w:rPr>
        <w:t>The programme is anchored in four core principles:</w:t>
      </w:r>
    </w:p>
    <w:p w14:paraId="282BB14D" w14:textId="77777777" w:rsidR="00DC0713" w:rsidRPr="00DC0713" w:rsidRDefault="00DC0713" w:rsidP="00DC0713">
      <w:pPr>
        <w:numPr>
          <w:ilvl w:val="0"/>
          <w:numId w:val="18"/>
        </w:numPr>
        <w:rPr>
          <w:rFonts w:ascii="Arial" w:hAnsi="Arial" w:cs="Arial"/>
        </w:rPr>
      </w:pPr>
      <w:r w:rsidRPr="00DC0713">
        <w:rPr>
          <w:rFonts w:ascii="Arial" w:hAnsi="Arial" w:cs="Arial"/>
          <w:b/>
          <w:bCs/>
        </w:rPr>
        <w:t>Never trust, always verify:</w:t>
      </w:r>
      <w:r w:rsidRPr="00DC0713">
        <w:rPr>
          <w:rFonts w:ascii="Arial" w:hAnsi="Arial" w:cs="Arial"/>
        </w:rPr>
        <w:t xml:space="preserve"> All users, devices, applications, and workloads must undergo continuous authentication and authorisation, regardless of their location or network context.</w:t>
      </w:r>
    </w:p>
    <w:p w14:paraId="2F3D940A" w14:textId="77777777" w:rsidR="00DC0713" w:rsidRPr="00DC0713" w:rsidRDefault="00DC0713" w:rsidP="00DC0713">
      <w:pPr>
        <w:numPr>
          <w:ilvl w:val="0"/>
          <w:numId w:val="18"/>
        </w:numPr>
        <w:rPr>
          <w:rFonts w:ascii="Arial" w:hAnsi="Arial" w:cs="Arial"/>
        </w:rPr>
      </w:pPr>
      <w:r w:rsidRPr="00DC0713">
        <w:rPr>
          <w:rFonts w:ascii="Arial" w:hAnsi="Arial" w:cs="Arial"/>
          <w:b/>
          <w:bCs/>
        </w:rPr>
        <w:t>Assume breach:</w:t>
      </w:r>
      <w:r w:rsidRPr="00DC0713">
        <w:rPr>
          <w:rFonts w:ascii="Arial" w:hAnsi="Arial" w:cs="Arial"/>
        </w:rPr>
        <w:t xml:space="preserve"> The architecture is designed with the expectation that compromise is always possible. Controls therefore prioritise rapid detection, automated containment, and minimisation of attacker dwell time.</w:t>
      </w:r>
    </w:p>
    <w:p w14:paraId="68651EE5" w14:textId="77777777" w:rsidR="00DC0713" w:rsidRPr="00DC0713" w:rsidRDefault="00DC0713" w:rsidP="00DC0713">
      <w:pPr>
        <w:numPr>
          <w:ilvl w:val="0"/>
          <w:numId w:val="18"/>
        </w:numPr>
        <w:rPr>
          <w:rFonts w:ascii="Arial" w:hAnsi="Arial" w:cs="Arial"/>
        </w:rPr>
      </w:pPr>
      <w:r w:rsidRPr="00DC0713">
        <w:rPr>
          <w:rFonts w:ascii="Arial" w:hAnsi="Arial" w:cs="Arial"/>
          <w:b/>
          <w:bCs/>
        </w:rPr>
        <w:t>Minimise blast radius:</w:t>
      </w:r>
      <w:r w:rsidRPr="00DC0713">
        <w:rPr>
          <w:rFonts w:ascii="Arial" w:hAnsi="Arial" w:cs="Arial"/>
        </w:rPr>
        <w:t xml:space="preserve"> Through micro</w:t>
      </w:r>
      <w:r w:rsidRPr="00DC0713">
        <w:rPr>
          <w:rFonts w:ascii="Arial" w:hAnsi="Arial" w:cs="Arial"/>
        </w:rPr>
        <w:noBreakHyphen/>
        <w:t>segmentation, least</w:t>
      </w:r>
      <w:r w:rsidRPr="00DC0713">
        <w:rPr>
          <w:rFonts w:ascii="Arial" w:hAnsi="Arial" w:cs="Arial"/>
        </w:rPr>
        <w:noBreakHyphen/>
        <w:t>privilege access, and strong identity governance, the organisation limits lateral movement and reduces the potential impact of any security incident.</w:t>
      </w:r>
    </w:p>
    <w:p w14:paraId="0A5F1A2D" w14:textId="77777777" w:rsidR="00DC0713" w:rsidRPr="00DC0713" w:rsidRDefault="00DC0713" w:rsidP="00DC0713">
      <w:pPr>
        <w:numPr>
          <w:ilvl w:val="0"/>
          <w:numId w:val="18"/>
        </w:numPr>
        <w:rPr>
          <w:rFonts w:ascii="Arial" w:hAnsi="Arial" w:cs="Arial"/>
        </w:rPr>
      </w:pPr>
      <w:r w:rsidRPr="00DC0713">
        <w:rPr>
          <w:rFonts w:ascii="Arial" w:hAnsi="Arial" w:cs="Arial"/>
          <w:b/>
          <w:bCs/>
        </w:rPr>
        <w:t>Security as a business enabler:</w:t>
      </w:r>
      <w:r w:rsidRPr="00DC0713">
        <w:rPr>
          <w:rFonts w:ascii="Arial" w:hAnsi="Arial" w:cs="Arial"/>
        </w:rPr>
        <w:t xml:space="preserve"> Security controls are aligned with </w:t>
      </w:r>
      <w:proofErr w:type="spellStart"/>
      <w:r w:rsidRPr="00DC0713">
        <w:rPr>
          <w:rFonts w:ascii="Arial" w:hAnsi="Arial" w:cs="Arial"/>
        </w:rPr>
        <w:t>MediTrust’s</w:t>
      </w:r>
      <w:proofErr w:type="spellEnd"/>
      <w:r w:rsidRPr="00DC0713">
        <w:rPr>
          <w:rFonts w:ascii="Arial" w:hAnsi="Arial" w:cs="Arial"/>
        </w:rPr>
        <w:t xml:space="preserve"> clinical safety requirements, service availability commitments, and the trust expectations of healthcare partners and patients. The programme supports innovation while ensuring compliance and resilience.</w:t>
      </w:r>
    </w:p>
    <w:p w14:paraId="192BD5A3" w14:textId="77777777" w:rsidR="000230CD" w:rsidRPr="00860D1E" w:rsidRDefault="000230CD" w:rsidP="00291FA6">
      <w:pPr>
        <w:rPr>
          <w:rFonts w:ascii="Arial" w:hAnsi="Arial" w:cs="Arial"/>
        </w:rPr>
      </w:pPr>
    </w:p>
    <w:p w14:paraId="7F707322" w14:textId="37F7D350" w:rsidR="00D257FD" w:rsidRPr="00072461" w:rsidRDefault="00072461" w:rsidP="00072461">
      <w:pPr>
        <w:pStyle w:val="Heading1"/>
        <w:rPr>
          <w:rFonts w:ascii="Arial" w:hAnsi="Arial" w:cs="Arial"/>
          <w:b/>
          <w:bCs/>
          <w:sz w:val="32"/>
          <w:szCs w:val="32"/>
        </w:rPr>
      </w:pPr>
      <w:bookmarkStart w:id="73" w:name="_Toc227682455"/>
      <w:r w:rsidRPr="00072461">
        <w:rPr>
          <w:rFonts w:ascii="Arial" w:hAnsi="Arial" w:cs="Arial"/>
          <w:b/>
          <w:bCs/>
          <w:sz w:val="32"/>
          <w:szCs w:val="32"/>
        </w:rPr>
        <w:t>2.</w:t>
      </w:r>
      <w:r w:rsidR="003B3718" w:rsidRPr="00072461">
        <w:rPr>
          <w:rFonts w:ascii="Arial" w:hAnsi="Arial" w:cs="Arial"/>
          <w:b/>
          <w:bCs/>
          <w:sz w:val="32"/>
          <w:szCs w:val="32"/>
        </w:rPr>
        <w:t xml:space="preserve"> </w:t>
      </w:r>
      <w:r w:rsidR="00C810DC" w:rsidRPr="00072461">
        <w:rPr>
          <w:rFonts w:ascii="Arial" w:hAnsi="Arial" w:cs="Arial"/>
          <w:b/>
          <w:bCs/>
          <w:sz w:val="32"/>
          <w:szCs w:val="32"/>
        </w:rPr>
        <w:t>Organisation Structure</w:t>
      </w:r>
      <w:bookmarkEnd w:id="73"/>
    </w:p>
    <w:p w14:paraId="1B1DFA65" w14:textId="7AACC748" w:rsidR="00181986" w:rsidRPr="00FC79C1" w:rsidRDefault="00072461" w:rsidP="00FC79C1">
      <w:pPr>
        <w:pStyle w:val="Heading2"/>
        <w:rPr>
          <w:rFonts w:ascii="Arial" w:hAnsi="Arial" w:cs="Arial"/>
          <w:sz w:val="28"/>
          <w:szCs w:val="28"/>
        </w:rPr>
      </w:pPr>
      <w:bookmarkStart w:id="74" w:name="_Toc227682456"/>
      <w:r w:rsidRPr="00FC79C1">
        <w:rPr>
          <w:rFonts w:ascii="Arial" w:hAnsi="Arial" w:cs="Arial"/>
          <w:sz w:val="28"/>
          <w:szCs w:val="28"/>
        </w:rPr>
        <w:t>2</w:t>
      </w:r>
      <w:r w:rsidR="00193E11" w:rsidRPr="00FC79C1">
        <w:rPr>
          <w:rFonts w:ascii="Arial" w:hAnsi="Arial" w:cs="Arial"/>
          <w:sz w:val="28"/>
          <w:szCs w:val="28"/>
        </w:rPr>
        <w:t xml:space="preserve">.1 </w:t>
      </w:r>
      <w:r w:rsidR="00181986" w:rsidRPr="00FC79C1">
        <w:rPr>
          <w:rFonts w:ascii="Arial" w:hAnsi="Arial" w:cs="Arial"/>
          <w:sz w:val="28"/>
          <w:szCs w:val="28"/>
        </w:rPr>
        <w:t>Regulatory Context</w:t>
      </w:r>
      <w:bookmarkEnd w:id="74"/>
    </w:p>
    <w:p w14:paraId="681BA64B" w14:textId="77777777" w:rsidR="00181986" w:rsidRPr="00860D1E" w:rsidRDefault="00181986" w:rsidP="00181986">
      <w:pPr>
        <w:rPr>
          <w:rFonts w:ascii="Arial" w:hAnsi="Arial" w:cs="Arial"/>
        </w:rPr>
      </w:pPr>
      <w:proofErr w:type="spellStart"/>
      <w:r w:rsidRPr="00860D1E">
        <w:rPr>
          <w:rFonts w:ascii="Arial" w:hAnsi="Arial" w:cs="Arial"/>
        </w:rPr>
        <w:t>MediTrust’s</w:t>
      </w:r>
      <w:proofErr w:type="spellEnd"/>
      <w:r w:rsidRPr="00860D1E">
        <w:rPr>
          <w:rFonts w:ascii="Arial" w:hAnsi="Arial" w:cs="Arial"/>
        </w:rPr>
        <w:t xml:space="preserve"> expansion into the EU healthcare market subjects the organisation to several critical regulatory frameworks that govern data protection, cybersecurity, and operational resilience.</w:t>
      </w:r>
    </w:p>
    <w:p w14:paraId="07C76E88" w14:textId="46424AAB" w:rsidR="00181986" w:rsidRPr="00FC79C1" w:rsidRDefault="00C132AB" w:rsidP="00FC79C1">
      <w:pPr>
        <w:pStyle w:val="Heading2"/>
        <w:rPr>
          <w:sz w:val="28"/>
          <w:szCs w:val="28"/>
        </w:rPr>
      </w:pPr>
      <w:bookmarkStart w:id="75" w:name="_Toc227682457"/>
      <w:r>
        <w:rPr>
          <w:sz w:val="28"/>
          <w:szCs w:val="28"/>
        </w:rPr>
        <w:t>2</w:t>
      </w:r>
      <w:r w:rsidR="00181986" w:rsidRPr="00FC79C1">
        <w:rPr>
          <w:sz w:val="28"/>
          <w:szCs w:val="28"/>
        </w:rPr>
        <w:t>.</w:t>
      </w:r>
      <w:r w:rsidR="00193E11" w:rsidRPr="00FC79C1">
        <w:rPr>
          <w:sz w:val="28"/>
          <w:szCs w:val="28"/>
        </w:rPr>
        <w:t>2</w:t>
      </w:r>
      <w:r w:rsidR="00181986" w:rsidRPr="00FC79C1">
        <w:rPr>
          <w:sz w:val="28"/>
          <w:szCs w:val="28"/>
        </w:rPr>
        <w:t xml:space="preserve"> General Data Protection Regulation (GDPR)</w:t>
      </w:r>
      <w:bookmarkEnd w:id="75"/>
    </w:p>
    <w:p w14:paraId="67E80BA9" w14:textId="3AFAAD66" w:rsidR="00263513" w:rsidRDefault="00263513" w:rsidP="00181986">
      <w:pPr>
        <w:rPr>
          <w:rFonts w:ascii="Arial" w:hAnsi="Arial" w:cs="Arial"/>
        </w:rPr>
      </w:pPr>
      <w:r w:rsidRPr="00263513">
        <w:rPr>
          <w:rFonts w:ascii="Arial" w:hAnsi="Arial" w:cs="Arial"/>
        </w:rPr>
        <w:t>The GDPR protects personal data and privacy, especially for children, by requiring parental consent, clear child</w:t>
      </w:r>
      <w:r w:rsidRPr="00263513">
        <w:rPr>
          <w:rFonts w:ascii="Arial" w:hAnsi="Arial" w:cs="Arial"/>
        </w:rPr>
        <w:noBreakHyphen/>
        <w:t>friendly privacy information, and rights such as data erasure, helping prevent unauthori</w:t>
      </w:r>
      <w:r w:rsidR="00CE21AA">
        <w:rPr>
          <w:rFonts w:ascii="Arial" w:hAnsi="Arial" w:cs="Arial"/>
        </w:rPr>
        <w:t>s</w:t>
      </w:r>
      <w:r w:rsidRPr="00263513">
        <w:rPr>
          <w:rFonts w:ascii="Arial" w:hAnsi="Arial" w:cs="Arial"/>
        </w:rPr>
        <w:t>ed data use and improving transparency</w:t>
      </w:r>
      <w:sdt>
        <w:sdtPr>
          <w:rPr>
            <w:rFonts w:ascii="Arial" w:hAnsi="Arial" w:cs="Arial"/>
          </w:rPr>
          <w:id w:val="-857891623"/>
          <w:citation/>
        </w:sdtPr>
        <w:sdtEndPr/>
        <w:sdtContent>
          <w:r w:rsidR="00CE21AA">
            <w:rPr>
              <w:rFonts w:ascii="Arial" w:hAnsi="Arial" w:cs="Arial"/>
            </w:rPr>
            <w:fldChar w:fldCharType="begin"/>
          </w:r>
          <w:r w:rsidR="00CE21AA">
            <w:rPr>
              <w:rFonts w:ascii="Arial" w:hAnsi="Arial" w:cs="Arial"/>
            </w:rPr>
            <w:instrText xml:space="preserve"> CITATION Kha92 \l 2057 </w:instrText>
          </w:r>
          <w:r w:rsidR="00CE21AA">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[29]</w:t>
          </w:r>
          <w:r w:rsidR="00CE21AA">
            <w:rPr>
              <w:rFonts w:ascii="Arial" w:hAnsi="Arial" w:cs="Arial"/>
            </w:rPr>
            <w:fldChar w:fldCharType="end"/>
          </w:r>
        </w:sdtContent>
      </w:sdt>
      <w:r w:rsidRPr="00263513">
        <w:rPr>
          <w:rFonts w:ascii="Arial" w:hAnsi="Arial" w:cs="Arial"/>
        </w:rPr>
        <w:t>.</w:t>
      </w:r>
    </w:p>
    <w:p w14:paraId="59BF86FD" w14:textId="242AFAFF" w:rsidR="00B75683" w:rsidRDefault="005B6AD1" w:rsidP="00181986">
      <w:pPr>
        <w:rPr>
          <w:rFonts w:ascii="Arial" w:hAnsi="Arial" w:cs="Arial"/>
        </w:rPr>
      </w:pPr>
      <w:r w:rsidRPr="005B6AD1">
        <w:rPr>
          <w:rFonts w:ascii="Arial" w:hAnsi="Arial" w:cs="Arial"/>
        </w:rPr>
        <w:t>GDPR sets strict requirements for managing personal and special</w:t>
      </w:r>
      <w:r w:rsidRPr="005B6AD1">
        <w:rPr>
          <w:rFonts w:ascii="Arial" w:hAnsi="Arial" w:cs="Arial"/>
        </w:rPr>
        <w:noBreakHyphen/>
        <w:t>category data, especially in healthcare. Key obligations include:</w:t>
      </w:r>
    </w:p>
    <w:p w14:paraId="4716475F" w14:textId="77777777" w:rsidR="00181986" w:rsidRPr="00860D1E" w:rsidRDefault="00181986" w:rsidP="00181986">
      <w:pPr>
        <w:numPr>
          <w:ilvl w:val="0"/>
          <w:numId w:val="16"/>
        </w:numPr>
        <w:rPr>
          <w:rFonts w:ascii="Arial" w:hAnsi="Arial" w:cs="Arial"/>
        </w:rPr>
      </w:pPr>
      <w:r w:rsidRPr="00860D1E">
        <w:rPr>
          <w:rFonts w:ascii="Arial" w:hAnsi="Arial" w:cs="Arial"/>
        </w:rPr>
        <w:t xml:space="preserve">Ensuring the </w:t>
      </w:r>
      <w:r w:rsidRPr="00860D1E">
        <w:rPr>
          <w:rFonts w:ascii="Arial" w:hAnsi="Arial" w:cs="Arial"/>
          <w:b/>
          <w:bCs/>
        </w:rPr>
        <w:t>lawful and transparent processing</w:t>
      </w:r>
      <w:r w:rsidRPr="00860D1E">
        <w:rPr>
          <w:rFonts w:ascii="Arial" w:hAnsi="Arial" w:cs="Arial"/>
        </w:rPr>
        <w:t xml:space="preserve"> of patient data</w:t>
      </w:r>
    </w:p>
    <w:p w14:paraId="3CBCDE94" w14:textId="77777777" w:rsidR="00181986" w:rsidRPr="00860D1E" w:rsidRDefault="00181986" w:rsidP="00181986">
      <w:pPr>
        <w:numPr>
          <w:ilvl w:val="0"/>
          <w:numId w:val="16"/>
        </w:numPr>
        <w:rPr>
          <w:rFonts w:ascii="Arial" w:hAnsi="Arial" w:cs="Arial"/>
        </w:rPr>
      </w:pPr>
      <w:r w:rsidRPr="00860D1E">
        <w:rPr>
          <w:rFonts w:ascii="Arial" w:hAnsi="Arial" w:cs="Arial"/>
        </w:rPr>
        <w:lastRenderedPageBreak/>
        <w:t xml:space="preserve">Adhering to </w:t>
      </w:r>
      <w:r w:rsidRPr="00860D1E">
        <w:rPr>
          <w:rFonts w:ascii="Arial" w:hAnsi="Arial" w:cs="Arial"/>
          <w:b/>
          <w:bCs/>
        </w:rPr>
        <w:t>data minimisation</w:t>
      </w:r>
      <w:r w:rsidRPr="00860D1E">
        <w:rPr>
          <w:rFonts w:ascii="Arial" w:hAnsi="Arial" w:cs="Arial"/>
        </w:rPr>
        <w:t xml:space="preserve"> and </w:t>
      </w:r>
      <w:r w:rsidRPr="00860D1E">
        <w:rPr>
          <w:rFonts w:ascii="Arial" w:hAnsi="Arial" w:cs="Arial"/>
          <w:b/>
          <w:bCs/>
        </w:rPr>
        <w:t>purpose limitation</w:t>
      </w:r>
      <w:r w:rsidRPr="00860D1E">
        <w:rPr>
          <w:rFonts w:ascii="Arial" w:hAnsi="Arial" w:cs="Arial"/>
        </w:rPr>
        <w:t xml:space="preserve"> principles</w:t>
      </w:r>
    </w:p>
    <w:p w14:paraId="34B3B027" w14:textId="77777777" w:rsidR="00181986" w:rsidRPr="00860D1E" w:rsidRDefault="00181986" w:rsidP="00181986">
      <w:pPr>
        <w:numPr>
          <w:ilvl w:val="0"/>
          <w:numId w:val="16"/>
        </w:numPr>
        <w:rPr>
          <w:rFonts w:ascii="Arial" w:hAnsi="Arial" w:cs="Arial"/>
        </w:rPr>
      </w:pPr>
      <w:r w:rsidRPr="00860D1E">
        <w:rPr>
          <w:rFonts w:ascii="Arial" w:hAnsi="Arial" w:cs="Arial"/>
        </w:rPr>
        <w:t xml:space="preserve">Implementing </w:t>
      </w:r>
      <w:r w:rsidRPr="00860D1E">
        <w:rPr>
          <w:rFonts w:ascii="Arial" w:hAnsi="Arial" w:cs="Arial"/>
          <w:b/>
          <w:bCs/>
        </w:rPr>
        <w:t>robust access controls</w:t>
      </w:r>
      <w:r w:rsidRPr="00860D1E">
        <w:rPr>
          <w:rFonts w:ascii="Arial" w:hAnsi="Arial" w:cs="Arial"/>
        </w:rPr>
        <w:t>, encryption, and other technical safeguards</w:t>
      </w:r>
    </w:p>
    <w:p w14:paraId="6C79A095" w14:textId="77777777" w:rsidR="00181986" w:rsidRPr="00860D1E" w:rsidRDefault="00181986" w:rsidP="00181986">
      <w:pPr>
        <w:numPr>
          <w:ilvl w:val="0"/>
          <w:numId w:val="16"/>
        </w:numPr>
        <w:rPr>
          <w:rFonts w:ascii="Arial" w:hAnsi="Arial" w:cs="Arial"/>
        </w:rPr>
      </w:pPr>
      <w:r w:rsidRPr="00860D1E">
        <w:rPr>
          <w:rFonts w:ascii="Arial" w:hAnsi="Arial" w:cs="Arial"/>
        </w:rPr>
        <w:t xml:space="preserve">Demonstrating </w:t>
      </w:r>
      <w:r w:rsidRPr="00860D1E">
        <w:rPr>
          <w:rFonts w:ascii="Arial" w:hAnsi="Arial" w:cs="Arial"/>
          <w:b/>
          <w:bCs/>
        </w:rPr>
        <w:t>accountability</w:t>
      </w:r>
      <w:r w:rsidRPr="00860D1E">
        <w:rPr>
          <w:rFonts w:ascii="Arial" w:hAnsi="Arial" w:cs="Arial"/>
        </w:rPr>
        <w:t>, supported by comprehensive audit trails and documentation</w:t>
      </w:r>
    </w:p>
    <w:p w14:paraId="286EE323" w14:textId="53D251E0" w:rsidR="00973325" w:rsidRPr="00CC1F7C" w:rsidRDefault="00C132AB" w:rsidP="00CC1F7C">
      <w:pPr>
        <w:pStyle w:val="Heading2"/>
        <w:rPr>
          <w:rFonts w:ascii="Arial" w:hAnsi="Arial" w:cs="Arial"/>
          <w:sz w:val="28"/>
          <w:szCs w:val="28"/>
        </w:rPr>
      </w:pPr>
      <w:bookmarkStart w:id="76" w:name="_Toc227682458"/>
      <w:r>
        <w:rPr>
          <w:rFonts w:ascii="Arial" w:hAnsi="Arial" w:cs="Arial"/>
          <w:sz w:val="28"/>
          <w:szCs w:val="28"/>
        </w:rPr>
        <w:t>2</w:t>
      </w:r>
      <w:r w:rsidR="00181986" w:rsidRPr="00C132AB">
        <w:rPr>
          <w:rFonts w:ascii="Arial" w:hAnsi="Arial" w:cs="Arial"/>
          <w:sz w:val="28"/>
          <w:szCs w:val="28"/>
        </w:rPr>
        <w:t>.</w:t>
      </w:r>
      <w:r w:rsidR="00193E11" w:rsidRPr="00C132AB">
        <w:rPr>
          <w:rFonts w:ascii="Arial" w:hAnsi="Arial" w:cs="Arial"/>
          <w:sz w:val="28"/>
          <w:szCs w:val="28"/>
        </w:rPr>
        <w:t>3</w:t>
      </w:r>
      <w:r w:rsidR="00181986" w:rsidRPr="00C132AB">
        <w:rPr>
          <w:rFonts w:ascii="Arial" w:hAnsi="Arial" w:cs="Arial"/>
          <w:sz w:val="28"/>
          <w:szCs w:val="28"/>
        </w:rPr>
        <w:t xml:space="preserve"> Digital Operational Resilience Act (DORA)</w:t>
      </w:r>
      <w:bookmarkEnd w:id="76"/>
    </w:p>
    <w:p w14:paraId="16DB4F91" w14:textId="4730D050" w:rsidR="00973325" w:rsidRPr="00973325" w:rsidRDefault="002330EE" w:rsidP="00973325">
      <w:r w:rsidRPr="002330EE">
        <w:rPr>
          <w:rFonts w:ascii="Arial" w:hAnsi="Arial" w:cs="Arial"/>
        </w:rPr>
        <w:t>DORA is an EU regulatory framework designed to strengthen the digital operational resilience of financial entities. It assigns clear responsibilities to management bodies, requiring them to continuously update their ICT risk management and operational resilience frameworks</w:t>
      </w:r>
      <w:sdt>
        <w:sdtPr>
          <w:rPr>
            <w:rFonts w:ascii="Arial" w:hAnsi="Arial" w:cs="Arial"/>
          </w:rPr>
          <w:id w:val="987745733"/>
          <w:citation/>
        </w:sdtPr>
        <w:sdtEndPr/>
        <w:sdtContent>
          <w:r w:rsidR="00774BD9" w:rsidRPr="00CC1F7C">
            <w:rPr>
              <w:rFonts w:ascii="Arial" w:hAnsi="Arial" w:cs="Arial"/>
            </w:rPr>
            <w:fldChar w:fldCharType="begin"/>
          </w:r>
          <w:r w:rsidR="00774BD9" w:rsidRPr="00CC1F7C">
            <w:rPr>
              <w:rFonts w:ascii="Arial" w:hAnsi="Arial" w:cs="Arial"/>
            </w:rPr>
            <w:instrText xml:space="preserve"> CITATION Fra24 \l 2057 </w:instrText>
          </w:r>
          <w:r w:rsidR="00774BD9" w:rsidRPr="00CC1F7C">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[30]</w:t>
          </w:r>
          <w:r w:rsidR="00774BD9" w:rsidRPr="00CC1F7C">
            <w:rPr>
              <w:rFonts w:ascii="Arial" w:hAnsi="Arial" w:cs="Arial"/>
            </w:rPr>
            <w:fldChar w:fldCharType="end"/>
          </w:r>
        </w:sdtContent>
      </w:sdt>
      <w:r w:rsidR="00973325" w:rsidRPr="00973325">
        <w:t>.</w:t>
      </w:r>
    </w:p>
    <w:p w14:paraId="08345E9A" w14:textId="77777777" w:rsidR="00181986" w:rsidRPr="00860D1E" w:rsidRDefault="00181986" w:rsidP="00181986">
      <w:pPr>
        <w:rPr>
          <w:rFonts w:ascii="Arial" w:hAnsi="Arial" w:cs="Arial"/>
        </w:rPr>
      </w:pPr>
      <w:r w:rsidRPr="00860D1E">
        <w:rPr>
          <w:rFonts w:ascii="Arial" w:hAnsi="Arial" w:cs="Arial"/>
        </w:rPr>
        <w:t>DORA establishes a harmonised framework for ICT operational resilience across critical service providers, including those operating in the healthcare technology ecosystem. Its core requirements include:</w:t>
      </w:r>
    </w:p>
    <w:p w14:paraId="5C1DE1A8" w14:textId="77777777" w:rsidR="00181986" w:rsidRPr="00860D1E" w:rsidRDefault="00181986" w:rsidP="00181986">
      <w:pPr>
        <w:numPr>
          <w:ilvl w:val="0"/>
          <w:numId w:val="17"/>
        </w:numPr>
        <w:rPr>
          <w:rFonts w:ascii="Arial" w:hAnsi="Arial" w:cs="Arial"/>
        </w:rPr>
      </w:pPr>
      <w:r w:rsidRPr="00860D1E">
        <w:rPr>
          <w:rFonts w:ascii="Arial" w:hAnsi="Arial" w:cs="Arial"/>
        </w:rPr>
        <w:t xml:space="preserve">Implementing a </w:t>
      </w:r>
      <w:r w:rsidRPr="00860D1E">
        <w:rPr>
          <w:rFonts w:ascii="Arial" w:hAnsi="Arial" w:cs="Arial"/>
          <w:b/>
          <w:bCs/>
        </w:rPr>
        <w:t>comprehensive ICT risk management framework</w:t>
      </w:r>
    </w:p>
    <w:p w14:paraId="0166CE37" w14:textId="77777777" w:rsidR="00181986" w:rsidRPr="00860D1E" w:rsidRDefault="00181986" w:rsidP="00181986">
      <w:pPr>
        <w:numPr>
          <w:ilvl w:val="0"/>
          <w:numId w:val="17"/>
        </w:numPr>
        <w:rPr>
          <w:rFonts w:ascii="Arial" w:hAnsi="Arial" w:cs="Arial"/>
        </w:rPr>
      </w:pPr>
      <w:r w:rsidRPr="00860D1E">
        <w:rPr>
          <w:rFonts w:ascii="Arial" w:hAnsi="Arial" w:cs="Arial"/>
        </w:rPr>
        <w:t xml:space="preserve">Establishing effective </w:t>
      </w:r>
      <w:r w:rsidRPr="00860D1E">
        <w:rPr>
          <w:rFonts w:ascii="Arial" w:hAnsi="Arial" w:cs="Arial"/>
          <w:b/>
          <w:bCs/>
        </w:rPr>
        <w:t>incident reporting and response mechanisms</w:t>
      </w:r>
    </w:p>
    <w:p w14:paraId="6001C1D6" w14:textId="77777777" w:rsidR="00181986" w:rsidRPr="00860D1E" w:rsidRDefault="00181986" w:rsidP="00181986">
      <w:pPr>
        <w:numPr>
          <w:ilvl w:val="0"/>
          <w:numId w:val="17"/>
        </w:numPr>
        <w:rPr>
          <w:rFonts w:ascii="Arial" w:hAnsi="Arial" w:cs="Arial"/>
        </w:rPr>
      </w:pPr>
      <w:r w:rsidRPr="00860D1E">
        <w:rPr>
          <w:rFonts w:ascii="Arial" w:hAnsi="Arial" w:cs="Arial"/>
        </w:rPr>
        <w:t xml:space="preserve">Maintaining </w:t>
      </w:r>
      <w:r w:rsidRPr="00860D1E">
        <w:rPr>
          <w:rFonts w:ascii="Arial" w:hAnsi="Arial" w:cs="Arial"/>
          <w:b/>
          <w:bCs/>
        </w:rPr>
        <w:t>business continuity</w:t>
      </w:r>
      <w:r w:rsidRPr="00860D1E">
        <w:rPr>
          <w:rFonts w:ascii="Arial" w:hAnsi="Arial" w:cs="Arial"/>
        </w:rPr>
        <w:t xml:space="preserve"> and </w:t>
      </w:r>
      <w:r w:rsidRPr="00860D1E">
        <w:rPr>
          <w:rFonts w:ascii="Arial" w:hAnsi="Arial" w:cs="Arial"/>
          <w:b/>
          <w:bCs/>
        </w:rPr>
        <w:t>disaster recovery</w:t>
      </w:r>
      <w:r w:rsidRPr="00860D1E">
        <w:rPr>
          <w:rFonts w:ascii="Arial" w:hAnsi="Arial" w:cs="Arial"/>
        </w:rPr>
        <w:t xml:space="preserve"> capabilities</w:t>
      </w:r>
    </w:p>
    <w:p w14:paraId="3066EE6F" w14:textId="7721C577" w:rsidR="00046A60" w:rsidRPr="0024503F" w:rsidRDefault="00181986" w:rsidP="003B3718">
      <w:pPr>
        <w:numPr>
          <w:ilvl w:val="0"/>
          <w:numId w:val="17"/>
        </w:numPr>
        <w:rPr>
          <w:rFonts w:ascii="Arial" w:hAnsi="Arial" w:cs="Arial"/>
        </w:rPr>
      </w:pPr>
      <w:r w:rsidRPr="00860D1E">
        <w:rPr>
          <w:rFonts w:ascii="Arial" w:hAnsi="Arial" w:cs="Arial"/>
        </w:rPr>
        <w:t xml:space="preserve">Conducting regular </w:t>
      </w:r>
      <w:r w:rsidRPr="00860D1E">
        <w:rPr>
          <w:rFonts w:ascii="Arial" w:hAnsi="Arial" w:cs="Arial"/>
          <w:b/>
          <w:bCs/>
        </w:rPr>
        <w:t>operational resilience testing</w:t>
      </w:r>
      <w:r w:rsidRPr="00860D1E">
        <w:rPr>
          <w:rFonts w:ascii="Arial" w:hAnsi="Arial" w:cs="Arial"/>
        </w:rPr>
        <w:t xml:space="preserve"> to validate preparedness</w:t>
      </w:r>
    </w:p>
    <w:p w14:paraId="4684DBAA" w14:textId="226517E8" w:rsidR="003B032C" w:rsidRPr="00DF67DA" w:rsidRDefault="00C132AB" w:rsidP="00DF67DA">
      <w:pPr>
        <w:pStyle w:val="Heading1"/>
        <w:rPr>
          <w:rFonts w:ascii="Arial" w:hAnsi="Arial" w:cs="Arial"/>
          <w:b/>
          <w:bCs/>
          <w:sz w:val="32"/>
          <w:szCs w:val="32"/>
        </w:rPr>
      </w:pPr>
      <w:bookmarkStart w:id="77" w:name="_Toc227682459"/>
      <w:r w:rsidRPr="00A70120">
        <w:rPr>
          <w:rFonts w:ascii="Arial" w:hAnsi="Arial" w:cs="Arial"/>
          <w:b/>
          <w:bCs/>
          <w:sz w:val="32"/>
          <w:szCs w:val="32"/>
        </w:rPr>
        <w:t>3.</w:t>
      </w:r>
      <w:r w:rsidR="003B4757" w:rsidRPr="00A70120">
        <w:rPr>
          <w:rFonts w:ascii="Arial" w:hAnsi="Arial" w:cs="Arial"/>
          <w:b/>
          <w:bCs/>
          <w:sz w:val="32"/>
          <w:szCs w:val="32"/>
        </w:rPr>
        <w:t xml:space="preserve"> </w:t>
      </w:r>
      <w:r w:rsidR="002C3F40" w:rsidRPr="00A70120">
        <w:rPr>
          <w:rFonts w:ascii="Arial" w:hAnsi="Arial" w:cs="Arial"/>
          <w:b/>
          <w:bCs/>
          <w:sz w:val="32"/>
          <w:szCs w:val="32"/>
        </w:rPr>
        <w:t>Polic</w:t>
      </w:r>
      <w:r w:rsidR="003B4757" w:rsidRPr="00A70120">
        <w:rPr>
          <w:rFonts w:ascii="Arial" w:hAnsi="Arial" w:cs="Arial"/>
          <w:b/>
          <w:bCs/>
          <w:sz w:val="32"/>
          <w:szCs w:val="32"/>
        </w:rPr>
        <w:t>ies and procedures</w:t>
      </w:r>
      <w:bookmarkEnd w:id="77"/>
    </w:p>
    <w:p w14:paraId="0343C388" w14:textId="185A65AA" w:rsidR="003B032C" w:rsidRPr="00034D64" w:rsidRDefault="003B032C" w:rsidP="003B032C">
      <w:pPr>
        <w:rPr>
          <w:rFonts w:ascii="Arial" w:hAnsi="Arial" w:cs="Arial"/>
        </w:rPr>
      </w:pPr>
      <w:r w:rsidRPr="00034D64">
        <w:rPr>
          <w:rFonts w:ascii="Arial" w:hAnsi="Arial" w:cs="Arial"/>
        </w:rPr>
        <w:t>Policies and procedures provide essential organisational structure by aligning daily operations with the organisation’s mission, values, and culture. They should remain clear, consistent, and easy to use, follow a standard format, and undergo regular review</w:t>
      </w:r>
      <w:r w:rsidR="00034D64" w:rsidRPr="00034D64">
        <w:rPr>
          <w:rFonts w:ascii="Arial" w:hAnsi="Arial" w:cs="Arial"/>
        </w:rPr>
        <w:t xml:space="preserve"> t</w:t>
      </w:r>
      <w:r w:rsidRPr="00034D64">
        <w:rPr>
          <w:rFonts w:ascii="Arial" w:hAnsi="Arial" w:cs="Arial"/>
        </w:rPr>
        <w:t>ypically annually, or more frequently when external requirements or emerging issues evolve rapidly</w:t>
      </w:r>
      <w:sdt>
        <w:sdtPr>
          <w:rPr>
            <w:rFonts w:ascii="Arial" w:hAnsi="Arial" w:cs="Arial"/>
          </w:rPr>
          <w:id w:val="-2060768593"/>
          <w:citation/>
        </w:sdtPr>
        <w:sdtEndPr/>
        <w:sdtContent>
          <w:r w:rsidR="002D6736">
            <w:rPr>
              <w:rFonts w:ascii="Arial" w:hAnsi="Arial" w:cs="Arial"/>
            </w:rPr>
            <w:fldChar w:fldCharType="begin"/>
          </w:r>
          <w:r w:rsidR="002D6736">
            <w:rPr>
              <w:rFonts w:ascii="Arial" w:hAnsi="Arial" w:cs="Arial"/>
            </w:rPr>
            <w:instrText xml:space="preserve"> CITATION Str06 \l 2057 </w:instrText>
          </w:r>
          <w:r w:rsidR="002D6736">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[31]</w:t>
          </w:r>
          <w:r w:rsidR="002D6736">
            <w:rPr>
              <w:rFonts w:ascii="Arial" w:hAnsi="Arial" w:cs="Arial"/>
            </w:rPr>
            <w:fldChar w:fldCharType="end"/>
          </w:r>
        </w:sdtContent>
      </w:sdt>
      <w:r w:rsidRPr="00034D64">
        <w:rPr>
          <w:rFonts w:ascii="Arial" w:hAnsi="Arial" w:cs="Arial"/>
        </w:rPr>
        <w:t>.</w:t>
      </w:r>
    </w:p>
    <w:p w14:paraId="1FE44D09" w14:textId="6610404E" w:rsidR="00A167B8" w:rsidRPr="00A167B8" w:rsidRDefault="005F3F84" w:rsidP="00A167B8">
      <w:pPr>
        <w:rPr>
          <w:rFonts w:ascii="Arial" w:hAnsi="Arial" w:cs="Arial"/>
        </w:rPr>
      </w:pPr>
      <w:proofErr w:type="spellStart"/>
      <w:r w:rsidRPr="005F3F84">
        <w:rPr>
          <w:rFonts w:ascii="Arial" w:hAnsi="Arial" w:cs="Arial"/>
        </w:rPr>
        <w:t>MediTrust’s</w:t>
      </w:r>
      <w:proofErr w:type="spellEnd"/>
      <w:r w:rsidRPr="005F3F84">
        <w:rPr>
          <w:rFonts w:ascii="Arial" w:hAnsi="Arial" w:cs="Arial"/>
        </w:rPr>
        <w:t xml:space="preserve"> Zero Trust programme depends on formal policies as much as technical controls. As the organisation expands into the EU and aligns with DORA and NIS2, these policies ensure consistent security, regulatory compliance, and operational resilience. The framework establishes mandatory controls across three domains</w:t>
      </w:r>
      <w:r w:rsidR="00230E48">
        <w:rPr>
          <w:rFonts w:ascii="Arial" w:hAnsi="Arial" w:cs="Arial"/>
        </w:rPr>
        <w:t xml:space="preserve">: </w:t>
      </w:r>
      <w:r w:rsidRPr="005F3F84">
        <w:rPr>
          <w:rFonts w:ascii="Arial" w:hAnsi="Arial" w:cs="Arial"/>
        </w:rPr>
        <w:t>AI Usage, Secure SaaS Configuration, and BYOD</w:t>
      </w:r>
      <w:r>
        <w:rPr>
          <w:rFonts w:ascii="Arial" w:hAnsi="Arial" w:cs="Arial"/>
        </w:rPr>
        <w:t xml:space="preserve"> </w:t>
      </w:r>
      <w:r w:rsidRPr="005F3F84">
        <w:rPr>
          <w:rFonts w:ascii="Arial" w:hAnsi="Arial" w:cs="Arial"/>
        </w:rPr>
        <w:t>to operationalise Zero Trust and support the secure development and operation of AI</w:t>
      </w:r>
      <w:r w:rsidRPr="005F3F84">
        <w:rPr>
          <w:rFonts w:ascii="Arial" w:hAnsi="Arial" w:cs="Arial"/>
        </w:rPr>
        <w:noBreakHyphen/>
        <w:t>enabled healthcare systems.</w:t>
      </w:r>
    </w:p>
    <w:p w14:paraId="146C04D9" w14:textId="165D6ACF" w:rsidR="00A167B8" w:rsidRPr="004820CC" w:rsidRDefault="00A167B8" w:rsidP="0010415C">
      <w:pPr>
        <w:pStyle w:val="Heading2"/>
        <w:rPr>
          <w:rFonts w:ascii="Arial" w:hAnsi="Arial" w:cs="Arial"/>
          <w:sz w:val="28"/>
          <w:szCs w:val="28"/>
        </w:rPr>
      </w:pPr>
      <w:bookmarkStart w:id="78" w:name="_Toc227682460"/>
      <w:r w:rsidRPr="0010415C">
        <w:rPr>
          <w:rFonts w:ascii="Arial" w:hAnsi="Arial" w:cs="Arial"/>
          <w:sz w:val="28"/>
          <w:szCs w:val="28"/>
        </w:rPr>
        <w:t>3.1 AI Us</w:t>
      </w:r>
      <w:r w:rsidR="00A128DF">
        <w:rPr>
          <w:rFonts w:ascii="Arial" w:hAnsi="Arial" w:cs="Arial"/>
          <w:sz w:val="28"/>
          <w:szCs w:val="28"/>
        </w:rPr>
        <w:t>e</w:t>
      </w:r>
      <w:r w:rsidR="00A41180">
        <w:rPr>
          <w:rFonts w:ascii="Arial" w:hAnsi="Arial" w:cs="Arial"/>
          <w:sz w:val="28"/>
          <w:szCs w:val="28"/>
        </w:rPr>
        <w:t xml:space="preserve"> Policy</w:t>
      </w:r>
      <w:bookmarkEnd w:id="78"/>
      <w:r w:rsidRPr="00DF2386">
        <w:rPr>
          <w:rFonts w:ascii="Arial" w:hAnsi="Arial" w:cs="Arial"/>
          <w:color w:val="auto"/>
          <w:sz w:val="22"/>
          <w:szCs w:val="22"/>
        </w:rPr>
        <w:t xml:space="preserve"> </w:t>
      </w:r>
    </w:p>
    <w:p w14:paraId="733DD262" w14:textId="2FF05F16" w:rsidR="004820CC" w:rsidRDefault="00F274A5" w:rsidP="00A167B8">
      <w:pPr>
        <w:rPr>
          <w:rFonts w:ascii="Arial" w:hAnsi="Arial" w:cs="Arial"/>
        </w:rPr>
      </w:pPr>
      <w:r w:rsidRPr="00F274A5">
        <w:rPr>
          <w:rFonts w:ascii="Arial" w:hAnsi="Arial" w:cs="Arial"/>
        </w:rPr>
        <w:t>AI governance policies regulate the ethical, legal, and societal impacts of AI, aiming to balance innovation with public trust and safety. They prioritise issues such as bias, transparency, accountability, and the need for adaptive regulatory frameworks that can keep pace with increasingly complex AI systems</w:t>
      </w:r>
      <w:sdt>
        <w:sdtPr>
          <w:rPr>
            <w:rFonts w:ascii="Arial" w:hAnsi="Arial" w:cs="Arial"/>
          </w:rPr>
          <w:id w:val="-533344508"/>
          <w:citation/>
        </w:sdtPr>
        <w:sdtEndPr/>
        <w:sdtContent>
          <w:r>
            <w:rPr>
              <w:rFonts w:ascii="Arial" w:hAnsi="Arial" w:cs="Arial"/>
            </w:rPr>
            <w:fldChar w:fldCharType="begin"/>
          </w:r>
          <w:r>
            <w:rPr>
              <w:rFonts w:ascii="Arial" w:hAnsi="Arial" w:cs="Arial"/>
            </w:rPr>
            <w:instrText xml:space="preserve"> CITATION Gho25 \l 2057 </w:instrText>
          </w:r>
          <w:r>
            <w:rPr>
              <w:rFonts w:ascii="Arial" w:hAnsi="Arial" w:cs="Arial"/>
            </w:rPr>
            <w:fldChar w:fldCharType="separate"/>
          </w:r>
          <w:r>
            <w:rPr>
              <w:rFonts w:ascii="Arial" w:hAnsi="Arial" w:cs="Arial"/>
              <w:noProof/>
            </w:rPr>
            <w:t xml:space="preserve"> </w:t>
          </w:r>
          <w:r w:rsidRPr="00F274A5">
            <w:rPr>
              <w:rFonts w:ascii="Arial" w:hAnsi="Arial" w:cs="Arial"/>
              <w:noProof/>
            </w:rPr>
            <w:t>[32]</w:t>
          </w:r>
          <w:r>
            <w:rPr>
              <w:rFonts w:ascii="Arial" w:hAnsi="Arial" w:cs="Arial"/>
            </w:rPr>
            <w:fldChar w:fldCharType="end"/>
          </w:r>
        </w:sdtContent>
      </w:sdt>
      <w:r w:rsidR="007C2F6C">
        <w:rPr>
          <w:rFonts w:ascii="Arial" w:hAnsi="Arial" w:cs="Arial"/>
        </w:rPr>
        <w:t>.</w:t>
      </w:r>
    </w:p>
    <w:p w14:paraId="0F02C39D" w14:textId="70C5E70D" w:rsidR="00A167B8" w:rsidRPr="00A167B8" w:rsidRDefault="00A167B8" w:rsidP="00A167B8">
      <w:pPr>
        <w:rPr>
          <w:rFonts w:ascii="Arial" w:hAnsi="Arial" w:cs="Arial"/>
        </w:rPr>
      </w:pPr>
      <w:proofErr w:type="spellStart"/>
      <w:r w:rsidRPr="00A167B8">
        <w:rPr>
          <w:rFonts w:ascii="Arial" w:hAnsi="Arial" w:cs="Arial"/>
        </w:rPr>
        <w:t>MediTrust</w:t>
      </w:r>
      <w:proofErr w:type="spellEnd"/>
      <w:r w:rsidRPr="00A167B8">
        <w:rPr>
          <w:rFonts w:ascii="Arial" w:hAnsi="Arial" w:cs="Arial"/>
        </w:rPr>
        <w:t xml:space="preserve"> adopts a rigorous AI governance policy to ensure the safe, ethical, and compliant use of machine</w:t>
      </w:r>
      <w:r w:rsidRPr="00A167B8">
        <w:rPr>
          <w:rFonts w:ascii="Arial" w:hAnsi="Arial" w:cs="Arial"/>
        </w:rPr>
        <w:noBreakHyphen/>
        <w:t>learning systems within clinical environments. The policy mandates:</w:t>
      </w:r>
    </w:p>
    <w:p w14:paraId="78171C26" w14:textId="77777777" w:rsidR="00A167B8" w:rsidRPr="00A167B8" w:rsidRDefault="00A167B8" w:rsidP="00A167B8">
      <w:pPr>
        <w:numPr>
          <w:ilvl w:val="0"/>
          <w:numId w:val="21"/>
        </w:numPr>
        <w:rPr>
          <w:rFonts w:ascii="Arial" w:hAnsi="Arial" w:cs="Arial"/>
        </w:rPr>
      </w:pPr>
      <w:r w:rsidRPr="00A167B8">
        <w:rPr>
          <w:rFonts w:ascii="Arial" w:hAnsi="Arial" w:cs="Arial"/>
          <w:b/>
          <w:bCs/>
        </w:rPr>
        <w:t>Data provenance and integrity validation</w:t>
      </w:r>
      <w:r w:rsidRPr="00A167B8">
        <w:rPr>
          <w:rFonts w:ascii="Arial" w:hAnsi="Arial" w:cs="Arial"/>
        </w:rPr>
        <w:t xml:space="preserve"> for all training datasets to prevent the ingestion of corrupted, manipulated, or unauthorised data sources.</w:t>
      </w:r>
    </w:p>
    <w:p w14:paraId="299FCDE6" w14:textId="77777777" w:rsidR="00A167B8" w:rsidRPr="00A167B8" w:rsidRDefault="00A167B8" w:rsidP="00A167B8">
      <w:pPr>
        <w:numPr>
          <w:ilvl w:val="0"/>
          <w:numId w:val="21"/>
        </w:numPr>
        <w:rPr>
          <w:rFonts w:ascii="Arial" w:hAnsi="Arial" w:cs="Arial"/>
        </w:rPr>
      </w:pPr>
      <w:r w:rsidRPr="00A167B8">
        <w:rPr>
          <w:rFonts w:ascii="Arial" w:hAnsi="Arial" w:cs="Arial"/>
          <w:b/>
          <w:bCs/>
        </w:rPr>
        <w:t>Security controls against model poisoning, data drift, and adversarial manipulation</w:t>
      </w:r>
      <w:r w:rsidRPr="00A167B8">
        <w:rPr>
          <w:rFonts w:ascii="Arial" w:hAnsi="Arial" w:cs="Arial"/>
        </w:rPr>
        <w:t>, including automated anomaly detection and continuous monitoring of model performance.</w:t>
      </w:r>
    </w:p>
    <w:p w14:paraId="72AAC033" w14:textId="77777777" w:rsidR="00A167B8" w:rsidRPr="00A167B8" w:rsidRDefault="00A167B8" w:rsidP="00A167B8">
      <w:pPr>
        <w:numPr>
          <w:ilvl w:val="0"/>
          <w:numId w:val="21"/>
        </w:numPr>
        <w:rPr>
          <w:rFonts w:ascii="Arial" w:hAnsi="Arial" w:cs="Arial"/>
        </w:rPr>
      </w:pPr>
      <w:r w:rsidRPr="00A167B8">
        <w:rPr>
          <w:rFonts w:ascii="Arial" w:hAnsi="Arial" w:cs="Arial"/>
          <w:b/>
          <w:bCs/>
        </w:rPr>
        <w:lastRenderedPageBreak/>
        <w:t>Strong cryptographic protection</w:t>
      </w:r>
      <w:r w:rsidRPr="00A167B8">
        <w:rPr>
          <w:rFonts w:ascii="Arial" w:hAnsi="Arial" w:cs="Arial"/>
        </w:rPr>
        <w:t xml:space="preserve"> for all AI training data, requiring encryption both at rest and in transit across all environments.</w:t>
      </w:r>
    </w:p>
    <w:p w14:paraId="1B9C67F4" w14:textId="77777777" w:rsidR="00A167B8" w:rsidRPr="00A167B8" w:rsidRDefault="00A167B8" w:rsidP="00A167B8">
      <w:pPr>
        <w:numPr>
          <w:ilvl w:val="0"/>
          <w:numId w:val="21"/>
        </w:numPr>
        <w:rPr>
          <w:rFonts w:ascii="Arial" w:hAnsi="Arial" w:cs="Arial"/>
        </w:rPr>
      </w:pPr>
      <w:r w:rsidRPr="00A167B8">
        <w:rPr>
          <w:rFonts w:ascii="Arial" w:hAnsi="Arial" w:cs="Arial"/>
          <w:b/>
          <w:bCs/>
        </w:rPr>
        <w:t>Mandatory explainability and bias</w:t>
      </w:r>
      <w:r w:rsidRPr="00A167B8">
        <w:rPr>
          <w:rFonts w:ascii="Arial" w:hAnsi="Arial" w:cs="Arial"/>
          <w:b/>
          <w:bCs/>
        </w:rPr>
        <w:noBreakHyphen/>
        <w:t>testing procedures</w:t>
      </w:r>
      <w:r w:rsidRPr="00A167B8">
        <w:rPr>
          <w:rFonts w:ascii="Arial" w:hAnsi="Arial" w:cs="Arial"/>
        </w:rPr>
        <w:t xml:space="preserve"> to ensure clinical transparency, fairness, and alignment with regulatory expectations for high</w:t>
      </w:r>
      <w:r w:rsidRPr="00A167B8">
        <w:rPr>
          <w:rFonts w:ascii="Arial" w:hAnsi="Arial" w:cs="Arial"/>
        </w:rPr>
        <w:noBreakHyphen/>
        <w:t>risk AI systems.</w:t>
      </w:r>
    </w:p>
    <w:p w14:paraId="5A4CC631" w14:textId="77777777" w:rsidR="00A167B8" w:rsidRPr="00A167B8" w:rsidRDefault="00A167B8" w:rsidP="00A167B8">
      <w:pPr>
        <w:numPr>
          <w:ilvl w:val="0"/>
          <w:numId w:val="21"/>
        </w:numPr>
        <w:rPr>
          <w:rFonts w:ascii="Arial" w:hAnsi="Arial" w:cs="Arial"/>
        </w:rPr>
      </w:pPr>
      <w:r w:rsidRPr="00A167B8">
        <w:rPr>
          <w:rFonts w:ascii="Arial" w:hAnsi="Arial" w:cs="Arial"/>
          <w:b/>
          <w:bCs/>
        </w:rPr>
        <w:t>Comprehensive logging and auditability</w:t>
      </w:r>
      <w:r w:rsidRPr="00A167B8">
        <w:rPr>
          <w:rFonts w:ascii="Arial" w:hAnsi="Arial" w:cs="Arial"/>
        </w:rPr>
        <w:t xml:space="preserve"> of all model access, inference requests, and administrative actions to support forensic investigations and regulatory reporting.</w:t>
      </w:r>
    </w:p>
    <w:p w14:paraId="4E5C3BBD" w14:textId="77777777" w:rsidR="00A167B8" w:rsidRPr="00BB29D7" w:rsidRDefault="00A167B8" w:rsidP="00A167B8">
      <w:pPr>
        <w:rPr>
          <w:rFonts w:ascii="Arial" w:hAnsi="Arial" w:cs="Arial"/>
          <w:i/>
          <w:iCs/>
        </w:rPr>
      </w:pPr>
      <w:r w:rsidRPr="00BB29D7">
        <w:rPr>
          <w:rFonts w:ascii="Arial" w:hAnsi="Arial" w:cs="Arial"/>
          <w:i/>
          <w:iCs/>
        </w:rPr>
        <w:t>This policy ensures that AI systems remain trustworthy, resilient, and compliant throughout their lifecycle.</w:t>
      </w:r>
    </w:p>
    <w:p w14:paraId="3DD74343" w14:textId="77777777" w:rsidR="00950761" w:rsidRPr="00860D1E" w:rsidRDefault="00950761" w:rsidP="002C12D9">
      <w:pPr>
        <w:rPr>
          <w:rFonts w:ascii="Arial" w:hAnsi="Arial" w:cs="Arial"/>
        </w:rPr>
      </w:pPr>
    </w:p>
    <w:p w14:paraId="1A2F0236" w14:textId="7CCBC81F" w:rsidR="000034D8" w:rsidRPr="0010415C" w:rsidRDefault="000034D8" w:rsidP="0010415C">
      <w:pPr>
        <w:pStyle w:val="Heading2"/>
        <w:rPr>
          <w:rFonts w:ascii="Arial" w:hAnsi="Arial" w:cs="Arial"/>
          <w:sz w:val="28"/>
          <w:szCs w:val="28"/>
        </w:rPr>
      </w:pPr>
      <w:bookmarkStart w:id="79" w:name="_Toc227682461"/>
      <w:r w:rsidRPr="0010415C">
        <w:rPr>
          <w:rFonts w:ascii="Arial" w:hAnsi="Arial" w:cs="Arial"/>
          <w:sz w:val="28"/>
          <w:szCs w:val="28"/>
        </w:rPr>
        <w:t>3.2 Secure SaaS Configuration Policy</w:t>
      </w:r>
      <w:bookmarkEnd w:id="79"/>
      <w:r w:rsidRPr="0010415C">
        <w:rPr>
          <w:rFonts w:ascii="Arial" w:hAnsi="Arial" w:cs="Arial"/>
          <w:sz w:val="28"/>
          <w:szCs w:val="28"/>
        </w:rPr>
        <w:t xml:space="preserve"> </w:t>
      </w:r>
    </w:p>
    <w:p w14:paraId="69C1C0E9" w14:textId="0A54F4C5" w:rsidR="00B15042" w:rsidRDefault="00E66F2F" w:rsidP="000034D8">
      <w:pPr>
        <w:rPr>
          <w:rFonts w:ascii="Arial" w:hAnsi="Arial" w:cs="Arial"/>
        </w:rPr>
      </w:pPr>
      <w:r w:rsidRPr="00E66F2F">
        <w:rPr>
          <w:rFonts w:ascii="Arial" w:hAnsi="Arial" w:cs="Arial"/>
        </w:rPr>
        <w:t>Secure SaaS configuration policies ensure that multi</w:t>
      </w:r>
      <w:r w:rsidRPr="00E66F2F">
        <w:rPr>
          <w:rFonts w:ascii="Arial" w:hAnsi="Arial" w:cs="Arial"/>
        </w:rPr>
        <w:noBreakHyphen/>
        <w:t>tenant cloud applications can meet varied customer requirements while maintaining strong security controls and consistent service quality</w:t>
      </w:r>
      <w:sdt>
        <w:sdtPr>
          <w:rPr>
            <w:rFonts w:ascii="Arial" w:hAnsi="Arial" w:cs="Arial"/>
          </w:rPr>
          <w:id w:val="1201437869"/>
          <w:citation/>
        </w:sdtPr>
        <w:sdtEndPr/>
        <w:sdtContent>
          <w:r>
            <w:rPr>
              <w:rFonts w:ascii="Arial" w:hAnsi="Arial" w:cs="Arial"/>
            </w:rPr>
            <w:fldChar w:fldCharType="begin"/>
          </w:r>
          <w:r>
            <w:rPr>
              <w:rFonts w:ascii="Arial" w:hAnsi="Arial" w:cs="Arial"/>
            </w:rPr>
            <w:instrText xml:space="preserve"> CITATION Aou20 \l 2057 </w:instrText>
          </w:r>
          <w:r>
            <w:rPr>
              <w:rFonts w:ascii="Arial" w:hAnsi="Arial" w:cs="Arial"/>
            </w:rPr>
            <w:fldChar w:fldCharType="separate"/>
          </w:r>
          <w:r>
            <w:rPr>
              <w:rFonts w:ascii="Arial" w:hAnsi="Arial" w:cs="Arial"/>
              <w:noProof/>
            </w:rPr>
            <w:t xml:space="preserve"> </w:t>
          </w:r>
          <w:r w:rsidRPr="00E66F2F">
            <w:rPr>
              <w:rFonts w:ascii="Arial" w:hAnsi="Arial" w:cs="Arial"/>
              <w:noProof/>
            </w:rPr>
            <w:t>[33]</w:t>
          </w:r>
          <w:r>
            <w:rPr>
              <w:rFonts w:ascii="Arial" w:hAnsi="Arial" w:cs="Arial"/>
            </w:rPr>
            <w:fldChar w:fldCharType="end"/>
          </w:r>
        </w:sdtContent>
      </w:sdt>
      <w:r w:rsidRPr="00E66F2F">
        <w:rPr>
          <w:rFonts w:ascii="Arial" w:hAnsi="Arial" w:cs="Arial"/>
        </w:rPr>
        <w:t>.</w:t>
      </w:r>
    </w:p>
    <w:p w14:paraId="1874A457" w14:textId="5D24D9BB" w:rsidR="000034D8" w:rsidRPr="000034D8" w:rsidRDefault="000034D8" w:rsidP="000034D8">
      <w:pPr>
        <w:rPr>
          <w:rFonts w:ascii="Arial" w:hAnsi="Arial" w:cs="Arial"/>
        </w:rPr>
      </w:pPr>
      <w:r w:rsidRPr="000034D8">
        <w:rPr>
          <w:rFonts w:ascii="Arial" w:hAnsi="Arial" w:cs="Arial"/>
        </w:rPr>
        <w:t>To safeguard sensitive healthcare data processed through cloud</w:t>
      </w:r>
      <w:r w:rsidRPr="000034D8">
        <w:rPr>
          <w:rFonts w:ascii="Arial" w:hAnsi="Arial" w:cs="Arial"/>
        </w:rPr>
        <w:noBreakHyphen/>
        <w:t xml:space="preserve">based applications, </w:t>
      </w:r>
      <w:proofErr w:type="spellStart"/>
      <w:r w:rsidRPr="000034D8">
        <w:rPr>
          <w:rFonts w:ascii="Arial" w:hAnsi="Arial" w:cs="Arial"/>
        </w:rPr>
        <w:t>MediTrust</w:t>
      </w:r>
      <w:proofErr w:type="spellEnd"/>
      <w:r w:rsidRPr="000034D8">
        <w:rPr>
          <w:rFonts w:ascii="Arial" w:hAnsi="Arial" w:cs="Arial"/>
        </w:rPr>
        <w:t xml:space="preserve"> enforces a secure configuration standard for all SaaS platforms. All SaaS solutions must:</w:t>
      </w:r>
    </w:p>
    <w:p w14:paraId="4DD16576" w14:textId="77777777" w:rsidR="000034D8" w:rsidRPr="000034D8" w:rsidRDefault="000034D8" w:rsidP="000034D8">
      <w:pPr>
        <w:numPr>
          <w:ilvl w:val="0"/>
          <w:numId w:val="22"/>
        </w:numPr>
        <w:rPr>
          <w:rFonts w:ascii="Arial" w:hAnsi="Arial" w:cs="Arial"/>
        </w:rPr>
      </w:pPr>
      <w:r w:rsidRPr="000034D8">
        <w:rPr>
          <w:rFonts w:ascii="Arial" w:hAnsi="Arial" w:cs="Arial"/>
          <w:b/>
          <w:bCs/>
        </w:rPr>
        <w:t>Support enterprise</w:t>
      </w:r>
      <w:r w:rsidRPr="000034D8">
        <w:rPr>
          <w:rFonts w:ascii="Arial" w:hAnsi="Arial" w:cs="Arial"/>
          <w:b/>
          <w:bCs/>
        </w:rPr>
        <w:noBreakHyphen/>
        <w:t>grade identity and access management</w:t>
      </w:r>
      <w:r w:rsidRPr="000034D8">
        <w:rPr>
          <w:rFonts w:ascii="Arial" w:hAnsi="Arial" w:cs="Arial"/>
        </w:rPr>
        <w:t>, including SAML/OIDC for authentication, SCIM for automated provisioning, and phishing</w:t>
      </w:r>
      <w:r w:rsidRPr="000034D8">
        <w:rPr>
          <w:rFonts w:ascii="Arial" w:hAnsi="Arial" w:cs="Arial"/>
        </w:rPr>
        <w:noBreakHyphen/>
        <w:t>resistant MFA for all privileged and clinical users.</w:t>
      </w:r>
    </w:p>
    <w:p w14:paraId="752E411F" w14:textId="77777777" w:rsidR="000034D8" w:rsidRPr="000034D8" w:rsidRDefault="000034D8" w:rsidP="000034D8">
      <w:pPr>
        <w:numPr>
          <w:ilvl w:val="0"/>
          <w:numId w:val="22"/>
        </w:numPr>
        <w:rPr>
          <w:rFonts w:ascii="Arial" w:hAnsi="Arial" w:cs="Arial"/>
        </w:rPr>
      </w:pPr>
      <w:r w:rsidRPr="000034D8">
        <w:rPr>
          <w:rFonts w:ascii="Arial" w:hAnsi="Arial" w:cs="Arial"/>
          <w:b/>
          <w:bCs/>
        </w:rPr>
        <w:t>Provide robust security and compliance capabilities</w:t>
      </w:r>
      <w:r w:rsidRPr="000034D8">
        <w:rPr>
          <w:rFonts w:ascii="Arial" w:hAnsi="Arial" w:cs="Arial"/>
        </w:rPr>
        <w:t>, including detailed audit logs, configurable data residency options, and strong tenant</w:t>
      </w:r>
      <w:r w:rsidRPr="000034D8">
        <w:rPr>
          <w:rFonts w:ascii="Arial" w:hAnsi="Arial" w:cs="Arial"/>
        </w:rPr>
        <w:noBreakHyphen/>
        <w:t>isolation guarantees to prevent cross</w:t>
      </w:r>
      <w:r w:rsidRPr="000034D8">
        <w:rPr>
          <w:rFonts w:ascii="Arial" w:hAnsi="Arial" w:cs="Arial"/>
        </w:rPr>
        <w:noBreakHyphen/>
        <w:t>customer data exposure.</w:t>
      </w:r>
    </w:p>
    <w:p w14:paraId="0A8539A0" w14:textId="77777777" w:rsidR="000034D8" w:rsidRPr="000034D8" w:rsidRDefault="000034D8" w:rsidP="000034D8">
      <w:pPr>
        <w:numPr>
          <w:ilvl w:val="0"/>
          <w:numId w:val="22"/>
        </w:numPr>
        <w:rPr>
          <w:rFonts w:ascii="Arial" w:hAnsi="Arial" w:cs="Arial"/>
        </w:rPr>
      </w:pPr>
      <w:r w:rsidRPr="000034D8">
        <w:rPr>
          <w:rFonts w:ascii="Arial" w:hAnsi="Arial" w:cs="Arial"/>
          <w:b/>
          <w:bCs/>
        </w:rPr>
        <w:t>Undergo formal security assessments</w:t>
      </w:r>
      <w:r w:rsidRPr="000034D8">
        <w:rPr>
          <w:rFonts w:ascii="Arial" w:hAnsi="Arial" w:cs="Arial"/>
        </w:rPr>
        <w:t>, consisting of annual reviews, contractual assurance checks, and continuous monitoring through a Cloud Access Security Broker (CASB) to detect misconfigurations, anomalous behaviour, and policy violations.</w:t>
      </w:r>
    </w:p>
    <w:p w14:paraId="3400703D" w14:textId="77777777" w:rsidR="000034D8" w:rsidRPr="000034D8" w:rsidRDefault="000034D8" w:rsidP="000034D8">
      <w:pPr>
        <w:rPr>
          <w:rFonts w:ascii="Arial" w:hAnsi="Arial" w:cs="Arial"/>
          <w:i/>
          <w:iCs/>
        </w:rPr>
      </w:pPr>
      <w:r w:rsidRPr="000034D8">
        <w:rPr>
          <w:rFonts w:ascii="Arial" w:hAnsi="Arial" w:cs="Arial"/>
          <w:i/>
          <w:iCs/>
        </w:rPr>
        <w:t>This policy ensures that SaaS platforms meet Zero Trust expectations and maintain compliance with GDPR, DORA, and NIS2.</w:t>
      </w:r>
    </w:p>
    <w:p w14:paraId="3A236F7C" w14:textId="77777777" w:rsidR="00823FA4" w:rsidRPr="00ED66C7" w:rsidRDefault="00823FA4" w:rsidP="00ED66C7">
      <w:pPr>
        <w:pStyle w:val="Heading2"/>
        <w:rPr>
          <w:rFonts w:ascii="Arial" w:hAnsi="Arial" w:cs="Arial"/>
          <w:sz w:val="28"/>
          <w:szCs w:val="28"/>
        </w:rPr>
      </w:pPr>
    </w:p>
    <w:p w14:paraId="554AD7E8" w14:textId="66D9A5CD" w:rsidR="004E67B5" w:rsidRPr="00ED66C7" w:rsidRDefault="004E67B5" w:rsidP="00ED66C7">
      <w:pPr>
        <w:pStyle w:val="Heading2"/>
        <w:rPr>
          <w:rFonts w:ascii="Arial" w:hAnsi="Arial" w:cs="Arial"/>
          <w:sz w:val="28"/>
          <w:szCs w:val="28"/>
        </w:rPr>
      </w:pPr>
      <w:bookmarkStart w:id="80" w:name="_Toc227682462"/>
      <w:r w:rsidRPr="00ED66C7">
        <w:rPr>
          <w:rFonts w:ascii="Arial" w:hAnsi="Arial" w:cs="Arial"/>
          <w:sz w:val="28"/>
          <w:szCs w:val="28"/>
        </w:rPr>
        <w:t>3.3 BYOD Policy for Hybrid Workforce</w:t>
      </w:r>
      <w:bookmarkEnd w:id="80"/>
    </w:p>
    <w:p w14:paraId="37E5C6F6" w14:textId="13C8635E" w:rsidR="00CB575F" w:rsidRDefault="00CB575F" w:rsidP="004E67B5">
      <w:pPr>
        <w:rPr>
          <w:rFonts w:ascii="Arial" w:hAnsi="Arial" w:cs="Arial"/>
        </w:rPr>
      </w:pPr>
      <w:r w:rsidRPr="00CB575F">
        <w:rPr>
          <w:rFonts w:ascii="Arial" w:hAnsi="Arial" w:cs="Arial"/>
        </w:rPr>
        <w:t>A BYOD</w:t>
      </w:r>
      <w:r w:rsidR="002D46EE">
        <w:rPr>
          <w:rFonts w:ascii="Arial" w:hAnsi="Arial" w:cs="Arial"/>
        </w:rPr>
        <w:t xml:space="preserve"> (Bring Your Own</w:t>
      </w:r>
      <w:r w:rsidR="00797B01">
        <w:rPr>
          <w:rFonts w:ascii="Arial" w:hAnsi="Arial" w:cs="Arial"/>
        </w:rPr>
        <w:t xml:space="preserve"> Device)</w:t>
      </w:r>
      <w:r w:rsidRPr="00CB575F">
        <w:rPr>
          <w:rFonts w:ascii="Arial" w:hAnsi="Arial" w:cs="Arial"/>
        </w:rPr>
        <w:t xml:space="preserve"> policy for a hybrid workforce must address the security risks introduced when personal devices access both on</w:t>
      </w:r>
      <w:r w:rsidRPr="00CB575F">
        <w:rPr>
          <w:rFonts w:ascii="Arial" w:hAnsi="Arial" w:cs="Arial"/>
        </w:rPr>
        <w:noBreakHyphen/>
        <w:t>premises and cloud corporate resources. Research emphasises the need for robust security controls that protect organisational data while preserving employee confidence and comfort in using their own devices</w:t>
      </w:r>
      <w:sdt>
        <w:sdtPr>
          <w:rPr>
            <w:rFonts w:ascii="Arial" w:hAnsi="Arial" w:cs="Arial"/>
          </w:rPr>
          <w:id w:val="232523264"/>
          <w:citation/>
        </w:sdtPr>
        <w:sdtEndPr/>
        <w:sdtContent>
          <w:r w:rsidR="005D74DA">
            <w:rPr>
              <w:rFonts w:ascii="Arial" w:hAnsi="Arial" w:cs="Arial"/>
            </w:rPr>
            <w:fldChar w:fldCharType="begin"/>
          </w:r>
          <w:r w:rsidR="005D74DA">
            <w:rPr>
              <w:rFonts w:ascii="Arial" w:hAnsi="Arial" w:cs="Arial"/>
            </w:rPr>
            <w:instrText xml:space="preserve"> CITATION Ahm23 \l 2057 </w:instrText>
          </w:r>
          <w:r w:rsidR="005D74DA">
            <w:rPr>
              <w:rFonts w:ascii="Arial" w:hAnsi="Arial" w:cs="Arial"/>
            </w:rPr>
            <w:fldChar w:fldCharType="separate"/>
          </w:r>
          <w:r w:rsidR="005D74DA">
            <w:rPr>
              <w:rFonts w:ascii="Arial" w:hAnsi="Arial" w:cs="Arial"/>
              <w:noProof/>
            </w:rPr>
            <w:t xml:space="preserve"> </w:t>
          </w:r>
          <w:r w:rsidR="005D74DA" w:rsidRPr="005D74DA">
            <w:rPr>
              <w:rFonts w:ascii="Arial" w:hAnsi="Arial" w:cs="Arial"/>
              <w:noProof/>
            </w:rPr>
            <w:t>[34]</w:t>
          </w:r>
          <w:r w:rsidR="005D74DA">
            <w:rPr>
              <w:rFonts w:ascii="Arial" w:hAnsi="Arial" w:cs="Arial"/>
            </w:rPr>
            <w:fldChar w:fldCharType="end"/>
          </w:r>
        </w:sdtContent>
      </w:sdt>
      <w:r w:rsidRPr="00CB575F">
        <w:rPr>
          <w:rFonts w:ascii="Arial" w:hAnsi="Arial" w:cs="Arial"/>
        </w:rPr>
        <w:t>.</w:t>
      </w:r>
    </w:p>
    <w:p w14:paraId="3349B5D3" w14:textId="0DF62B3F" w:rsidR="004E67B5" w:rsidRPr="004E67B5" w:rsidRDefault="004E67B5" w:rsidP="004E67B5">
      <w:pPr>
        <w:rPr>
          <w:rFonts w:ascii="Arial" w:hAnsi="Arial" w:cs="Arial"/>
        </w:rPr>
      </w:pPr>
      <w:r w:rsidRPr="004E67B5">
        <w:rPr>
          <w:rFonts w:ascii="Arial" w:hAnsi="Arial" w:cs="Arial"/>
        </w:rPr>
        <w:t xml:space="preserve">To support a secure hybrid working environment, </w:t>
      </w:r>
      <w:proofErr w:type="spellStart"/>
      <w:r w:rsidRPr="004E67B5">
        <w:rPr>
          <w:rFonts w:ascii="Arial" w:hAnsi="Arial" w:cs="Arial"/>
        </w:rPr>
        <w:t>MediTrust</w:t>
      </w:r>
      <w:proofErr w:type="spellEnd"/>
      <w:r w:rsidRPr="004E67B5">
        <w:rPr>
          <w:rFonts w:ascii="Arial" w:hAnsi="Arial" w:cs="Arial"/>
        </w:rPr>
        <w:t xml:space="preserve"> enforces a Zero</w:t>
      </w:r>
      <w:r w:rsidRPr="004E67B5">
        <w:rPr>
          <w:rFonts w:ascii="Arial" w:hAnsi="Arial" w:cs="Arial"/>
        </w:rPr>
        <w:noBreakHyphen/>
        <w:t>Trust</w:t>
      </w:r>
      <w:r w:rsidRPr="004E67B5">
        <w:rPr>
          <w:rFonts w:ascii="Arial" w:hAnsi="Arial" w:cs="Arial"/>
        </w:rPr>
        <w:noBreakHyphen/>
        <w:t>aligned BYOD policy that governs the use of personal devices for accessing corporate and clinical systems. The policy requires:</w:t>
      </w:r>
    </w:p>
    <w:p w14:paraId="2DD131A0" w14:textId="77777777" w:rsidR="004E67B5" w:rsidRPr="004E67B5" w:rsidRDefault="004E67B5" w:rsidP="004E67B5">
      <w:pPr>
        <w:numPr>
          <w:ilvl w:val="0"/>
          <w:numId w:val="23"/>
        </w:numPr>
        <w:rPr>
          <w:rFonts w:ascii="Arial" w:hAnsi="Arial" w:cs="Arial"/>
        </w:rPr>
      </w:pPr>
      <w:r w:rsidRPr="004E67B5">
        <w:rPr>
          <w:rFonts w:ascii="Arial" w:hAnsi="Arial" w:cs="Arial"/>
          <w:b/>
          <w:bCs/>
        </w:rPr>
        <w:lastRenderedPageBreak/>
        <w:t>Device attestation and compliance validation</w:t>
      </w:r>
      <w:r w:rsidRPr="004E67B5">
        <w:rPr>
          <w:rFonts w:ascii="Arial" w:hAnsi="Arial" w:cs="Arial"/>
        </w:rPr>
        <w:t>, including OS version checks, security patch verification, and mandatory installation of enterprise</w:t>
      </w:r>
      <w:r w:rsidRPr="004E67B5">
        <w:rPr>
          <w:rFonts w:ascii="Arial" w:hAnsi="Arial" w:cs="Arial"/>
        </w:rPr>
        <w:noBreakHyphen/>
        <w:t>approved Endpoint Detection and Response (EDR) tools.</w:t>
      </w:r>
    </w:p>
    <w:p w14:paraId="4D699606" w14:textId="77777777" w:rsidR="004E67B5" w:rsidRPr="004E67B5" w:rsidRDefault="004E67B5" w:rsidP="004E67B5">
      <w:pPr>
        <w:numPr>
          <w:ilvl w:val="0"/>
          <w:numId w:val="23"/>
        </w:numPr>
        <w:rPr>
          <w:rFonts w:ascii="Arial" w:hAnsi="Arial" w:cs="Arial"/>
        </w:rPr>
      </w:pPr>
      <w:r w:rsidRPr="004E67B5">
        <w:rPr>
          <w:rFonts w:ascii="Arial" w:hAnsi="Arial" w:cs="Arial"/>
          <w:b/>
          <w:bCs/>
        </w:rPr>
        <w:t>Strict data protection controls</w:t>
      </w:r>
      <w:r w:rsidRPr="004E67B5">
        <w:rPr>
          <w:rFonts w:ascii="Arial" w:hAnsi="Arial" w:cs="Arial"/>
        </w:rPr>
        <w:t>, prohibiting the local storage, caching, or offline retention of any patient or clinical data on personal devices.</w:t>
      </w:r>
    </w:p>
    <w:p w14:paraId="66AD4848" w14:textId="77777777" w:rsidR="004E67B5" w:rsidRPr="004E67B5" w:rsidRDefault="004E67B5" w:rsidP="004E67B5">
      <w:pPr>
        <w:numPr>
          <w:ilvl w:val="0"/>
          <w:numId w:val="23"/>
        </w:numPr>
        <w:rPr>
          <w:rFonts w:ascii="Arial" w:hAnsi="Arial" w:cs="Arial"/>
        </w:rPr>
      </w:pPr>
      <w:r w:rsidRPr="004E67B5">
        <w:rPr>
          <w:rFonts w:ascii="Arial" w:hAnsi="Arial" w:cs="Arial"/>
          <w:b/>
          <w:bCs/>
        </w:rPr>
        <w:t>Access through secure virtualised workspaces only</w:t>
      </w:r>
      <w:r w:rsidRPr="004E67B5">
        <w:rPr>
          <w:rFonts w:ascii="Arial" w:hAnsi="Arial" w:cs="Arial"/>
        </w:rPr>
        <w:t>, ensuring that all interactions with sensitive systems occur within isolated, centrally managed environments.</w:t>
      </w:r>
    </w:p>
    <w:p w14:paraId="20BAE5C6" w14:textId="77777777" w:rsidR="004E67B5" w:rsidRPr="004E67B5" w:rsidRDefault="004E67B5" w:rsidP="004E67B5">
      <w:pPr>
        <w:numPr>
          <w:ilvl w:val="0"/>
          <w:numId w:val="23"/>
        </w:numPr>
        <w:rPr>
          <w:rFonts w:ascii="Arial" w:hAnsi="Arial" w:cs="Arial"/>
        </w:rPr>
      </w:pPr>
      <w:r w:rsidRPr="004E67B5">
        <w:rPr>
          <w:rFonts w:ascii="Arial" w:hAnsi="Arial" w:cs="Arial"/>
          <w:b/>
          <w:bCs/>
        </w:rPr>
        <w:t>Automatic session revocation and access denial</w:t>
      </w:r>
      <w:r w:rsidRPr="004E67B5">
        <w:rPr>
          <w:rFonts w:ascii="Arial" w:hAnsi="Arial" w:cs="Arial"/>
        </w:rPr>
        <w:t xml:space="preserve"> for devices that fall out of compliance, exhibit suspicious behaviour, or fail posture checks.</w:t>
      </w:r>
    </w:p>
    <w:p w14:paraId="6146A9CA" w14:textId="3BD1D416" w:rsidR="004013F9" w:rsidRDefault="004E67B5" w:rsidP="00736795">
      <w:pPr>
        <w:rPr>
          <w:rFonts w:ascii="Arial" w:hAnsi="Arial" w:cs="Arial"/>
        </w:rPr>
      </w:pPr>
      <w:r w:rsidRPr="004E67B5">
        <w:rPr>
          <w:rFonts w:ascii="Arial" w:hAnsi="Arial" w:cs="Arial"/>
          <w:i/>
          <w:iCs/>
        </w:rPr>
        <w:t xml:space="preserve">This policy ensures that personal devices do not introduce security gaps and that Zero Trust principles are consistently applied across </w:t>
      </w:r>
      <w:proofErr w:type="spellStart"/>
      <w:r w:rsidRPr="004E67B5">
        <w:rPr>
          <w:rFonts w:ascii="Arial" w:hAnsi="Arial" w:cs="Arial"/>
          <w:i/>
          <w:iCs/>
        </w:rPr>
        <w:t>MediTrust’s</w:t>
      </w:r>
      <w:proofErr w:type="spellEnd"/>
      <w:r w:rsidRPr="004E67B5">
        <w:rPr>
          <w:rFonts w:ascii="Arial" w:hAnsi="Arial" w:cs="Arial"/>
          <w:i/>
          <w:iCs/>
        </w:rPr>
        <w:t xml:space="preserve"> hybrid workforce</w:t>
      </w:r>
      <w:r w:rsidRPr="004E67B5">
        <w:rPr>
          <w:rFonts w:ascii="Arial" w:hAnsi="Arial" w:cs="Arial"/>
        </w:rPr>
        <w:t>.</w:t>
      </w:r>
    </w:p>
    <w:p w14:paraId="6EBF74F0" w14:textId="77777777" w:rsidR="00461015" w:rsidRPr="00736795" w:rsidRDefault="00461015" w:rsidP="00736795">
      <w:pPr>
        <w:rPr>
          <w:rFonts w:ascii="Arial" w:hAnsi="Arial" w:cs="Arial"/>
        </w:rPr>
      </w:pPr>
    </w:p>
    <w:p w14:paraId="49DBB1A4" w14:textId="443B5111" w:rsidR="0005777A" w:rsidRPr="00E857F3" w:rsidRDefault="00E857F3" w:rsidP="00E857F3">
      <w:pPr>
        <w:pStyle w:val="Heading1"/>
        <w:rPr>
          <w:rFonts w:ascii="Arial" w:hAnsi="Arial" w:cs="Arial"/>
          <w:b/>
          <w:bCs/>
          <w:sz w:val="32"/>
          <w:szCs w:val="32"/>
        </w:rPr>
      </w:pPr>
      <w:bookmarkStart w:id="81" w:name="_Toc227682463"/>
      <w:r w:rsidRPr="00E857F3">
        <w:rPr>
          <w:rFonts w:ascii="Arial" w:hAnsi="Arial" w:cs="Arial"/>
          <w:b/>
          <w:bCs/>
          <w:sz w:val="32"/>
          <w:szCs w:val="32"/>
        </w:rPr>
        <w:t>4</w:t>
      </w:r>
      <w:r w:rsidR="0005777A" w:rsidRPr="00E857F3">
        <w:rPr>
          <w:rFonts w:ascii="Arial" w:hAnsi="Arial" w:cs="Arial"/>
          <w:b/>
          <w:bCs/>
          <w:sz w:val="32"/>
          <w:szCs w:val="32"/>
        </w:rPr>
        <w:t>. Compliance Strategy (GDPR, DORA, NIS2)</w:t>
      </w:r>
      <w:bookmarkEnd w:id="81"/>
    </w:p>
    <w:p w14:paraId="0C3ABF37" w14:textId="7306C062" w:rsidR="0005777A" w:rsidRPr="00CB099F" w:rsidRDefault="0005777A" w:rsidP="00CB099F">
      <w:pPr>
        <w:pStyle w:val="Heading2"/>
        <w:rPr>
          <w:rFonts w:ascii="Arial" w:hAnsi="Arial" w:cs="Arial"/>
          <w:sz w:val="28"/>
          <w:szCs w:val="28"/>
        </w:rPr>
      </w:pPr>
      <w:bookmarkStart w:id="82" w:name="_Toc227682464"/>
      <w:r w:rsidRPr="00CB099F">
        <w:rPr>
          <w:rFonts w:ascii="Arial" w:hAnsi="Arial" w:cs="Arial"/>
          <w:sz w:val="28"/>
          <w:szCs w:val="28"/>
        </w:rPr>
        <w:t>4.1 DORA (Digital Operational Resilience Act)</w:t>
      </w:r>
      <w:bookmarkEnd w:id="82"/>
    </w:p>
    <w:p w14:paraId="44C66444" w14:textId="77777777" w:rsidR="0005777A" w:rsidRPr="0005777A" w:rsidRDefault="0005777A" w:rsidP="0005777A">
      <w:pPr>
        <w:rPr>
          <w:rFonts w:ascii="Arial" w:hAnsi="Arial" w:cs="Arial"/>
        </w:rPr>
      </w:pPr>
      <w:proofErr w:type="spellStart"/>
      <w:r w:rsidRPr="0005777A">
        <w:rPr>
          <w:rFonts w:ascii="Arial" w:hAnsi="Arial" w:cs="Arial"/>
        </w:rPr>
        <w:t>MediTrust</w:t>
      </w:r>
      <w:proofErr w:type="spellEnd"/>
      <w:r w:rsidRPr="0005777A">
        <w:rPr>
          <w:rFonts w:ascii="Arial" w:hAnsi="Arial" w:cs="Arial"/>
        </w:rPr>
        <w:t xml:space="preserve"> must implement:</w:t>
      </w:r>
    </w:p>
    <w:p w14:paraId="0A0162E4" w14:textId="77777777" w:rsidR="0005777A" w:rsidRPr="0005777A" w:rsidRDefault="0005777A" w:rsidP="0005777A">
      <w:pPr>
        <w:numPr>
          <w:ilvl w:val="0"/>
          <w:numId w:val="24"/>
        </w:numPr>
        <w:rPr>
          <w:rFonts w:ascii="Arial" w:hAnsi="Arial" w:cs="Arial"/>
        </w:rPr>
      </w:pPr>
      <w:r w:rsidRPr="0005777A">
        <w:rPr>
          <w:rFonts w:ascii="Arial" w:hAnsi="Arial" w:cs="Arial"/>
          <w:b/>
          <w:bCs/>
        </w:rPr>
        <w:t>ICT Risk Management Framework</w:t>
      </w:r>
      <w:r w:rsidRPr="0005777A">
        <w:rPr>
          <w:rFonts w:ascii="Arial" w:hAnsi="Arial" w:cs="Arial"/>
        </w:rPr>
        <w:t xml:space="preserve"> (aligned with NIST CSF 2.0).</w:t>
      </w:r>
    </w:p>
    <w:p w14:paraId="723B84AA" w14:textId="339E21B2" w:rsidR="0005777A" w:rsidRPr="0005777A" w:rsidRDefault="0005777A" w:rsidP="0005777A">
      <w:pPr>
        <w:numPr>
          <w:ilvl w:val="0"/>
          <w:numId w:val="24"/>
        </w:numPr>
        <w:rPr>
          <w:rFonts w:ascii="Arial" w:hAnsi="Arial" w:cs="Arial"/>
        </w:rPr>
      </w:pPr>
      <w:r w:rsidRPr="0005777A">
        <w:rPr>
          <w:rFonts w:ascii="Arial" w:hAnsi="Arial" w:cs="Arial"/>
          <w:b/>
          <w:bCs/>
        </w:rPr>
        <w:t>Operational resilience testing</w:t>
      </w:r>
      <w:r w:rsidRPr="0005777A">
        <w:rPr>
          <w:rFonts w:ascii="Arial" w:hAnsi="Arial" w:cs="Arial"/>
        </w:rPr>
        <w:t xml:space="preserve"> (e.g.,</w:t>
      </w:r>
      <w:r w:rsidR="0035369B" w:rsidRPr="0035369B">
        <w:t xml:space="preserve"> </w:t>
      </w:r>
      <w:r w:rsidR="0035369B" w:rsidRPr="0035369B">
        <w:rPr>
          <w:rFonts w:ascii="Arial" w:hAnsi="Arial" w:cs="Arial"/>
        </w:rPr>
        <w:t>Threat</w:t>
      </w:r>
      <w:r w:rsidR="0035369B" w:rsidRPr="0035369B">
        <w:rPr>
          <w:rFonts w:ascii="Arial" w:hAnsi="Arial" w:cs="Arial"/>
        </w:rPr>
        <w:noBreakHyphen/>
        <w:t>driven penetration testing</w:t>
      </w:r>
      <w:r w:rsidRPr="0005777A">
        <w:rPr>
          <w:rFonts w:ascii="Arial" w:hAnsi="Arial" w:cs="Arial"/>
        </w:rPr>
        <w:t>).</w:t>
      </w:r>
    </w:p>
    <w:p w14:paraId="705D64AB" w14:textId="77777777" w:rsidR="0005777A" w:rsidRPr="0005777A" w:rsidRDefault="0005777A" w:rsidP="0005777A">
      <w:pPr>
        <w:numPr>
          <w:ilvl w:val="0"/>
          <w:numId w:val="24"/>
        </w:numPr>
        <w:rPr>
          <w:rFonts w:ascii="Arial" w:hAnsi="Arial" w:cs="Arial"/>
        </w:rPr>
      </w:pPr>
      <w:r w:rsidRPr="0005777A">
        <w:rPr>
          <w:rFonts w:ascii="Arial" w:hAnsi="Arial" w:cs="Arial"/>
          <w:b/>
          <w:bCs/>
        </w:rPr>
        <w:t>ICT incident classification and reporting</w:t>
      </w:r>
      <w:r w:rsidRPr="0005777A">
        <w:rPr>
          <w:rFonts w:ascii="Arial" w:hAnsi="Arial" w:cs="Arial"/>
        </w:rPr>
        <w:t xml:space="preserve"> within strict timelines.</w:t>
      </w:r>
    </w:p>
    <w:p w14:paraId="49EBD826" w14:textId="77777777" w:rsidR="0005777A" w:rsidRPr="0005777A" w:rsidRDefault="0005777A" w:rsidP="0005777A">
      <w:pPr>
        <w:numPr>
          <w:ilvl w:val="0"/>
          <w:numId w:val="24"/>
        </w:numPr>
        <w:rPr>
          <w:rFonts w:ascii="Arial" w:hAnsi="Arial" w:cs="Arial"/>
        </w:rPr>
      </w:pPr>
      <w:r w:rsidRPr="0005777A">
        <w:rPr>
          <w:rFonts w:ascii="Arial" w:hAnsi="Arial" w:cs="Arial"/>
          <w:b/>
          <w:bCs/>
        </w:rPr>
        <w:t>Third</w:t>
      </w:r>
      <w:r w:rsidRPr="0005777A">
        <w:rPr>
          <w:rFonts w:ascii="Arial" w:hAnsi="Arial" w:cs="Arial"/>
          <w:b/>
          <w:bCs/>
        </w:rPr>
        <w:noBreakHyphen/>
        <w:t>party risk management</w:t>
      </w:r>
      <w:r w:rsidRPr="0005777A">
        <w:rPr>
          <w:rFonts w:ascii="Arial" w:hAnsi="Arial" w:cs="Arial"/>
        </w:rPr>
        <w:t xml:space="preserve"> for cloud and AI vendors.</w:t>
      </w:r>
    </w:p>
    <w:p w14:paraId="77D01686" w14:textId="77777777" w:rsidR="0005777A" w:rsidRPr="0005777A" w:rsidRDefault="0005777A" w:rsidP="0005777A">
      <w:pPr>
        <w:numPr>
          <w:ilvl w:val="0"/>
          <w:numId w:val="24"/>
        </w:numPr>
        <w:rPr>
          <w:rFonts w:ascii="Arial" w:hAnsi="Arial" w:cs="Arial"/>
        </w:rPr>
      </w:pPr>
      <w:r w:rsidRPr="0005777A">
        <w:rPr>
          <w:rFonts w:ascii="Arial" w:hAnsi="Arial" w:cs="Arial"/>
          <w:b/>
          <w:bCs/>
        </w:rPr>
        <w:t>Business continuity and disaster recovery</w:t>
      </w:r>
      <w:r w:rsidRPr="0005777A">
        <w:rPr>
          <w:rFonts w:ascii="Arial" w:hAnsi="Arial" w:cs="Arial"/>
        </w:rPr>
        <w:t xml:space="preserve"> with evidence of testing.</w:t>
      </w:r>
    </w:p>
    <w:p w14:paraId="0B53CC92" w14:textId="77777777" w:rsidR="00C47715" w:rsidRDefault="00C47715" w:rsidP="00C47715">
      <w:pPr>
        <w:pStyle w:val="Heading2"/>
        <w:rPr>
          <w:rFonts w:ascii="Arial" w:hAnsi="Arial" w:cs="Arial"/>
          <w:sz w:val="28"/>
          <w:szCs w:val="28"/>
        </w:rPr>
      </w:pPr>
    </w:p>
    <w:p w14:paraId="08A04BC3" w14:textId="199AB8AC" w:rsidR="00235C30" w:rsidRPr="00C47715" w:rsidRDefault="00235C30" w:rsidP="00C47715">
      <w:pPr>
        <w:pStyle w:val="Heading2"/>
        <w:rPr>
          <w:rFonts w:ascii="Arial" w:hAnsi="Arial" w:cs="Arial"/>
          <w:sz w:val="28"/>
          <w:szCs w:val="28"/>
        </w:rPr>
      </w:pPr>
      <w:bookmarkStart w:id="83" w:name="_Toc227682465"/>
      <w:r w:rsidRPr="00C47715">
        <w:rPr>
          <w:rFonts w:ascii="Arial" w:hAnsi="Arial" w:cs="Arial"/>
          <w:sz w:val="28"/>
          <w:szCs w:val="28"/>
        </w:rPr>
        <w:t>4.2 NIS2</w:t>
      </w:r>
      <w:r w:rsidR="004A1104">
        <w:rPr>
          <w:rFonts w:ascii="Arial" w:hAnsi="Arial" w:cs="Arial"/>
          <w:sz w:val="28"/>
          <w:szCs w:val="28"/>
        </w:rPr>
        <w:t xml:space="preserve"> (Netwo</w:t>
      </w:r>
      <w:r w:rsidR="002771FA">
        <w:rPr>
          <w:rFonts w:ascii="Arial" w:hAnsi="Arial" w:cs="Arial"/>
          <w:sz w:val="28"/>
          <w:szCs w:val="28"/>
        </w:rPr>
        <w:t xml:space="preserve">rk Information Security </w:t>
      </w:r>
      <w:r w:rsidR="004136BD">
        <w:rPr>
          <w:rFonts w:ascii="Arial" w:hAnsi="Arial" w:cs="Arial"/>
          <w:sz w:val="28"/>
          <w:szCs w:val="28"/>
        </w:rPr>
        <w:t>Directive2)</w:t>
      </w:r>
      <w:bookmarkEnd w:id="83"/>
    </w:p>
    <w:p w14:paraId="088727DF" w14:textId="77777777" w:rsidR="00235C30" w:rsidRPr="00235C30" w:rsidRDefault="00235C30" w:rsidP="00235C30">
      <w:pPr>
        <w:rPr>
          <w:rFonts w:ascii="Arial" w:hAnsi="Arial" w:cs="Arial"/>
        </w:rPr>
      </w:pPr>
      <w:r w:rsidRPr="00235C30">
        <w:rPr>
          <w:rFonts w:ascii="Arial" w:hAnsi="Arial" w:cs="Arial"/>
        </w:rPr>
        <w:t>NIS2 requires:</w:t>
      </w:r>
    </w:p>
    <w:p w14:paraId="44115A0C" w14:textId="77777777" w:rsidR="00235C30" w:rsidRPr="00235C30" w:rsidRDefault="00235C30" w:rsidP="00235C30">
      <w:pPr>
        <w:numPr>
          <w:ilvl w:val="0"/>
          <w:numId w:val="25"/>
        </w:numPr>
        <w:rPr>
          <w:rFonts w:ascii="Arial" w:hAnsi="Arial" w:cs="Arial"/>
        </w:rPr>
      </w:pPr>
      <w:r w:rsidRPr="00235C30">
        <w:rPr>
          <w:rFonts w:ascii="Arial" w:hAnsi="Arial" w:cs="Arial"/>
          <w:b/>
          <w:bCs/>
        </w:rPr>
        <w:t>24</w:t>
      </w:r>
      <w:r w:rsidRPr="00235C30">
        <w:rPr>
          <w:rFonts w:ascii="Arial" w:hAnsi="Arial" w:cs="Arial"/>
          <w:b/>
          <w:bCs/>
        </w:rPr>
        <w:noBreakHyphen/>
        <w:t>hour early warning</w:t>
      </w:r>
      <w:r w:rsidRPr="00235C30">
        <w:rPr>
          <w:rFonts w:ascii="Arial" w:hAnsi="Arial" w:cs="Arial"/>
        </w:rPr>
        <w:t xml:space="preserve"> for significant incidents.</w:t>
      </w:r>
    </w:p>
    <w:p w14:paraId="68B85580" w14:textId="77777777" w:rsidR="00235C30" w:rsidRPr="00235C30" w:rsidRDefault="00235C30" w:rsidP="00235C30">
      <w:pPr>
        <w:numPr>
          <w:ilvl w:val="0"/>
          <w:numId w:val="25"/>
        </w:numPr>
        <w:rPr>
          <w:rFonts w:ascii="Arial" w:hAnsi="Arial" w:cs="Arial"/>
        </w:rPr>
      </w:pPr>
      <w:r w:rsidRPr="00235C30">
        <w:rPr>
          <w:rFonts w:ascii="Arial" w:hAnsi="Arial" w:cs="Arial"/>
          <w:b/>
          <w:bCs/>
        </w:rPr>
        <w:t>72</w:t>
      </w:r>
      <w:r w:rsidRPr="00235C30">
        <w:rPr>
          <w:rFonts w:ascii="Arial" w:hAnsi="Arial" w:cs="Arial"/>
          <w:b/>
          <w:bCs/>
        </w:rPr>
        <w:noBreakHyphen/>
        <w:t>hour detailed incident notification</w:t>
      </w:r>
      <w:r w:rsidRPr="00235C30">
        <w:rPr>
          <w:rFonts w:ascii="Arial" w:hAnsi="Arial" w:cs="Arial"/>
        </w:rPr>
        <w:t>.</w:t>
      </w:r>
    </w:p>
    <w:p w14:paraId="02B4F2DC" w14:textId="77777777" w:rsidR="00235C30" w:rsidRPr="00235C30" w:rsidRDefault="00235C30" w:rsidP="00235C30">
      <w:pPr>
        <w:numPr>
          <w:ilvl w:val="0"/>
          <w:numId w:val="25"/>
        </w:numPr>
        <w:rPr>
          <w:rFonts w:ascii="Arial" w:hAnsi="Arial" w:cs="Arial"/>
        </w:rPr>
      </w:pPr>
      <w:r w:rsidRPr="00235C30">
        <w:rPr>
          <w:rFonts w:ascii="Arial" w:hAnsi="Arial" w:cs="Arial"/>
          <w:b/>
          <w:bCs/>
        </w:rPr>
        <w:t>One</w:t>
      </w:r>
      <w:r w:rsidRPr="00235C30">
        <w:rPr>
          <w:rFonts w:ascii="Arial" w:hAnsi="Arial" w:cs="Arial"/>
          <w:b/>
          <w:bCs/>
        </w:rPr>
        <w:noBreakHyphen/>
        <w:t>month final incident report</w:t>
      </w:r>
      <w:r w:rsidRPr="00235C30">
        <w:rPr>
          <w:rFonts w:ascii="Arial" w:hAnsi="Arial" w:cs="Arial"/>
        </w:rPr>
        <w:t>.</w:t>
      </w:r>
    </w:p>
    <w:p w14:paraId="72D58FDA" w14:textId="77777777" w:rsidR="00235C30" w:rsidRPr="00235C30" w:rsidRDefault="00235C30" w:rsidP="00235C30">
      <w:pPr>
        <w:numPr>
          <w:ilvl w:val="0"/>
          <w:numId w:val="25"/>
        </w:numPr>
        <w:rPr>
          <w:rFonts w:ascii="Arial" w:hAnsi="Arial" w:cs="Arial"/>
        </w:rPr>
      </w:pPr>
      <w:r w:rsidRPr="00235C30">
        <w:rPr>
          <w:rFonts w:ascii="Arial" w:hAnsi="Arial" w:cs="Arial"/>
        </w:rPr>
        <w:t>Mandatory:</w:t>
      </w:r>
    </w:p>
    <w:p w14:paraId="05FC854E" w14:textId="77777777" w:rsidR="00235C30" w:rsidRPr="00235C30" w:rsidRDefault="00235C30" w:rsidP="00235C30">
      <w:pPr>
        <w:numPr>
          <w:ilvl w:val="1"/>
          <w:numId w:val="25"/>
        </w:numPr>
        <w:rPr>
          <w:rFonts w:ascii="Arial" w:hAnsi="Arial" w:cs="Arial"/>
        </w:rPr>
      </w:pPr>
      <w:r w:rsidRPr="00235C30">
        <w:rPr>
          <w:rFonts w:ascii="Arial" w:hAnsi="Arial" w:cs="Arial"/>
        </w:rPr>
        <w:t>Access control and MFA</w:t>
      </w:r>
    </w:p>
    <w:p w14:paraId="4392A321" w14:textId="77777777" w:rsidR="00235C30" w:rsidRPr="00235C30" w:rsidRDefault="00235C30" w:rsidP="00235C30">
      <w:pPr>
        <w:numPr>
          <w:ilvl w:val="1"/>
          <w:numId w:val="25"/>
        </w:numPr>
        <w:rPr>
          <w:rFonts w:ascii="Arial" w:hAnsi="Arial" w:cs="Arial"/>
        </w:rPr>
      </w:pPr>
      <w:r w:rsidRPr="00235C30">
        <w:rPr>
          <w:rFonts w:ascii="Arial" w:hAnsi="Arial" w:cs="Arial"/>
        </w:rPr>
        <w:t>Secure development practices</w:t>
      </w:r>
    </w:p>
    <w:p w14:paraId="6B88FFC1" w14:textId="77777777" w:rsidR="00235C30" w:rsidRPr="00235C30" w:rsidRDefault="00235C30" w:rsidP="00235C30">
      <w:pPr>
        <w:numPr>
          <w:ilvl w:val="1"/>
          <w:numId w:val="25"/>
        </w:numPr>
        <w:rPr>
          <w:rFonts w:ascii="Arial" w:hAnsi="Arial" w:cs="Arial"/>
        </w:rPr>
      </w:pPr>
      <w:r w:rsidRPr="00235C30">
        <w:rPr>
          <w:rFonts w:ascii="Arial" w:hAnsi="Arial" w:cs="Arial"/>
        </w:rPr>
        <w:t>Supply chain security</w:t>
      </w:r>
    </w:p>
    <w:p w14:paraId="01C875FE" w14:textId="77777777" w:rsidR="00235C30" w:rsidRPr="00235C30" w:rsidRDefault="00235C30" w:rsidP="00235C30">
      <w:pPr>
        <w:numPr>
          <w:ilvl w:val="1"/>
          <w:numId w:val="25"/>
        </w:numPr>
        <w:rPr>
          <w:rFonts w:ascii="Arial" w:hAnsi="Arial" w:cs="Arial"/>
        </w:rPr>
      </w:pPr>
      <w:r w:rsidRPr="00235C30">
        <w:rPr>
          <w:rFonts w:ascii="Arial" w:hAnsi="Arial" w:cs="Arial"/>
        </w:rPr>
        <w:t>Logging and monitoring</w:t>
      </w:r>
    </w:p>
    <w:p w14:paraId="61E7D7A5" w14:textId="7F499A90" w:rsidR="004013F9" w:rsidRPr="00F175D1" w:rsidRDefault="00235C30" w:rsidP="002C12D9">
      <w:pPr>
        <w:numPr>
          <w:ilvl w:val="1"/>
          <w:numId w:val="25"/>
        </w:numPr>
        <w:rPr>
          <w:rFonts w:ascii="Arial" w:hAnsi="Arial" w:cs="Arial"/>
        </w:rPr>
      </w:pPr>
      <w:r w:rsidRPr="00235C30">
        <w:rPr>
          <w:rFonts w:ascii="Arial" w:hAnsi="Arial" w:cs="Arial"/>
        </w:rPr>
        <w:t>Cryptographic controls</w:t>
      </w:r>
    </w:p>
    <w:p w14:paraId="01215A6F" w14:textId="77777777" w:rsidR="00134666" w:rsidRPr="00134666" w:rsidRDefault="00134666" w:rsidP="00134666">
      <w:pPr>
        <w:rPr>
          <w:rFonts w:ascii="Arial" w:hAnsi="Arial" w:cs="Arial"/>
        </w:rPr>
      </w:pPr>
      <w:r w:rsidRPr="00134666">
        <w:rPr>
          <w:rFonts w:ascii="Arial" w:hAnsi="Arial" w:cs="Arial"/>
          <w:i/>
          <w:iCs/>
        </w:rPr>
        <w:t xml:space="preserve">These requirements ensure that </w:t>
      </w:r>
      <w:proofErr w:type="spellStart"/>
      <w:r w:rsidRPr="00134666">
        <w:rPr>
          <w:rFonts w:ascii="Arial" w:hAnsi="Arial" w:cs="Arial"/>
          <w:i/>
          <w:iCs/>
        </w:rPr>
        <w:t>MediTrust</w:t>
      </w:r>
      <w:proofErr w:type="spellEnd"/>
      <w:r w:rsidRPr="00134666">
        <w:rPr>
          <w:rFonts w:ascii="Arial" w:hAnsi="Arial" w:cs="Arial"/>
          <w:i/>
          <w:iCs/>
        </w:rPr>
        <w:t xml:space="preserve"> maintains high levels of cybersecurity maturity, operational resilience, and regulatory accountability across its EU operations</w:t>
      </w:r>
      <w:r w:rsidRPr="00134666">
        <w:rPr>
          <w:rFonts w:ascii="Arial" w:hAnsi="Arial" w:cs="Arial"/>
        </w:rPr>
        <w:t>.</w:t>
      </w:r>
    </w:p>
    <w:p w14:paraId="7F9C46D9" w14:textId="77777777" w:rsidR="004013F9" w:rsidRDefault="004013F9" w:rsidP="002C12D9">
      <w:pPr>
        <w:rPr>
          <w:rFonts w:ascii="Arial" w:hAnsi="Arial" w:cs="Arial"/>
        </w:rPr>
      </w:pPr>
    </w:p>
    <w:p w14:paraId="7767BDE6" w14:textId="60E5151B" w:rsidR="00B66532" w:rsidRPr="00082533" w:rsidRDefault="00B66532" w:rsidP="00082533">
      <w:pPr>
        <w:pStyle w:val="Heading2"/>
        <w:rPr>
          <w:rFonts w:ascii="Arial" w:hAnsi="Arial" w:cs="Arial"/>
          <w:sz w:val="28"/>
          <w:szCs w:val="28"/>
        </w:rPr>
      </w:pPr>
      <w:bookmarkStart w:id="84" w:name="_Toc227682466"/>
      <w:r w:rsidRPr="00082533">
        <w:rPr>
          <w:rFonts w:ascii="Arial" w:hAnsi="Arial" w:cs="Arial"/>
          <w:sz w:val="28"/>
          <w:szCs w:val="28"/>
        </w:rPr>
        <w:t>4.3 GDPR</w:t>
      </w:r>
      <w:r w:rsidR="004136BD">
        <w:rPr>
          <w:rFonts w:ascii="Arial" w:hAnsi="Arial" w:cs="Arial"/>
          <w:sz w:val="28"/>
          <w:szCs w:val="28"/>
        </w:rPr>
        <w:t xml:space="preserve"> (</w:t>
      </w:r>
      <w:r w:rsidR="00714139" w:rsidRPr="00714139">
        <w:rPr>
          <w:rFonts w:ascii="Arial" w:hAnsi="Arial" w:cs="Arial"/>
          <w:sz w:val="28"/>
          <w:szCs w:val="28"/>
        </w:rPr>
        <w:t>General Data Protection Regulation</w:t>
      </w:r>
      <w:r w:rsidR="00E029A0">
        <w:rPr>
          <w:rFonts w:ascii="Arial" w:hAnsi="Arial" w:cs="Arial"/>
          <w:sz w:val="28"/>
          <w:szCs w:val="28"/>
        </w:rPr>
        <w:t>)</w:t>
      </w:r>
      <w:bookmarkEnd w:id="84"/>
    </w:p>
    <w:p w14:paraId="4152C9FF" w14:textId="77777777" w:rsidR="002F6AA7" w:rsidRPr="002F6AA7" w:rsidRDefault="002F6AA7" w:rsidP="002F6AA7">
      <w:pPr>
        <w:numPr>
          <w:ilvl w:val="0"/>
          <w:numId w:val="27"/>
        </w:numPr>
        <w:rPr>
          <w:rFonts w:ascii="Arial" w:hAnsi="Arial" w:cs="Arial"/>
        </w:rPr>
      </w:pPr>
      <w:r w:rsidRPr="002F6AA7">
        <w:rPr>
          <w:rFonts w:ascii="Arial" w:hAnsi="Arial" w:cs="Arial"/>
        </w:rPr>
        <w:t>Minimise and pseudonymise all data used for AI training.</w:t>
      </w:r>
    </w:p>
    <w:p w14:paraId="201C03CC" w14:textId="77777777" w:rsidR="002F6AA7" w:rsidRPr="002F6AA7" w:rsidRDefault="002F6AA7" w:rsidP="002F6AA7">
      <w:pPr>
        <w:numPr>
          <w:ilvl w:val="0"/>
          <w:numId w:val="27"/>
        </w:numPr>
        <w:rPr>
          <w:rFonts w:ascii="Arial" w:hAnsi="Arial" w:cs="Arial"/>
        </w:rPr>
      </w:pPr>
      <w:r w:rsidRPr="002F6AA7">
        <w:rPr>
          <w:rFonts w:ascii="Arial" w:hAnsi="Arial" w:cs="Arial"/>
        </w:rPr>
        <w:t>Conduct DPIAs for every AI/ML system that processes patient information.</w:t>
      </w:r>
    </w:p>
    <w:p w14:paraId="6DCA5983" w14:textId="77777777" w:rsidR="002F6AA7" w:rsidRPr="002F6AA7" w:rsidRDefault="002F6AA7" w:rsidP="002F6AA7">
      <w:pPr>
        <w:numPr>
          <w:ilvl w:val="0"/>
          <w:numId w:val="27"/>
        </w:numPr>
        <w:rPr>
          <w:rFonts w:ascii="Arial" w:hAnsi="Arial" w:cs="Arial"/>
        </w:rPr>
      </w:pPr>
      <w:r w:rsidRPr="002F6AA7">
        <w:rPr>
          <w:rFonts w:ascii="Arial" w:hAnsi="Arial" w:cs="Arial"/>
        </w:rPr>
        <w:t>Enforce strict access controls with full auditability.</w:t>
      </w:r>
    </w:p>
    <w:p w14:paraId="06B69D9B" w14:textId="77777777" w:rsidR="004013F9" w:rsidRPr="003B5691" w:rsidRDefault="004013F9" w:rsidP="003B5691">
      <w:pPr>
        <w:pStyle w:val="Heading1"/>
        <w:rPr>
          <w:rFonts w:ascii="Arial" w:hAnsi="Arial" w:cs="Arial"/>
          <w:b/>
          <w:bCs/>
          <w:sz w:val="32"/>
          <w:szCs w:val="32"/>
        </w:rPr>
      </w:pPr>
    </w:p>
    <w:p w14:paraId="062EF484" w14:textId="6FAC8FA7" w:rsidR="004013F9" w:rsidRDefault="003B5691" w:rsidP="003B5691">
      <w:pPr>
        <w:pStyle w:val="Heading1"/>
        <w:rPr>
          <w:rFonts w:ascii="Arial" w:hAnsi="Arial" w:cs="Arial"/>
          <w:b/>
          <w:bCs/>
          <w:sz w:val="32"/>
          <w:szCs w:val="32"/>
        </w:rPr>
      </w:pPr>
      <w:bookmarkStart w:id="85" w:name="_Toc227682467"/>
      <w:r w:rsidRPr="003B5691">
        <w:rPr>
          <w:rFonts w:ascii="Arial" w:hAnsi="Arial" w:cs="Arial"/>
          <w:b/>
          <w:bCs/>
          <w:sz w:val="32"/>
          <w:szCs w:val="32"/>
        </w:rPr>
        <w:t xml:space="preserve">5. </w:t>
      </w:r>
      <w:proofErr w:type="spellStart"/>
      <w:r w:rsidR="00AC52CE">
        <w:rPr>
          <w:rFonts w:ascii="Arial" w:hAnsi="Arial" w:cs="Arial"/>
          <w:b/>
          <w:bCs/>
          <w:sz w:val="32"/>
          <w:szCs w:val="32"/>
        </w:rPr>
        <w:t>Medi</w:t>
      </w:r>
      <w:r w:rsidR="00077DB2">
        <w:rPr>
          <w:rFonts w:ascii="Arial" w:hAnsi="Arial" w:cs="Arial"/>
          <w:b/>
          <w:bCs/>
          <w:sz w:val="32"/>
          <w:szCs w:val="32"/>
        </w:rPr>
        <w:t>T</w:t>
      </w:r>
      <w:r w:rsidR="00AC52CE">
        <w:rPr>
          <w:rFonts w:ascii="Arial" w:hAnsi="Arial" w:cs="Arial"/>
          <w:b/>
          <w:bCs/>
          <w:sz w:val="32"/>
          <w:szCs w:val="32"/>
        </w:rPr>
        <w:t>rust</w:t>
      </w:r>
      <w:proofErr w:type="spellEnd"/>
      <w:r w:rsidR="00AC52CE">
        <w:rPr>
          <w:rFonts w:ascii="Arial" w:hAnsi="Arial" w:cs="Arial"/>
          <w:b/>
          <w:bCs/>
          <w:sz w:val="32"/>
          <w:szCs w:val="32"/>
        </w:rPr>
        <w:t xml:space="preserve"> </w:t>
      </w:r>
      <w:r w:rsidRPr="003B5691">
        <w:rPr>
          <w:rFonts w:ascii="Arial" w:hAnsi="Arial" w:cs="Arial"/>
          <w:b/>
          <w:bCs/>
          <w:sz w:val="32"/>
          <w:szCs w:val="32"/>
        </w:rPr>
        <w:t>Governance &amp; Strategy</w:t>
      </w:r>
      <w:r w:rsidR="00020EF3">
        <w:rPr>
          <w:rFonts w:ascii="Arial" w:hAnsi="Arial" w:cs="Arial"/>
          <w:b/>
          <w:bCs/>
          <w:sz w:val="32"/>
          <w:szCs w:val="32"/>
        </w:rPr>
        <w:t xml:space="preserve"> </w:t>
      </w:r>
      <w:r w:rsidR="00020EF3" w:rsidRPr="00020EF3">
        <w:rPr>
          <w:rFonts w:ascii="Arial" w:hAnsi="Arial" w:cs="Arial"/>
          <w:b/>
          <w:bCs/>
          <w:sz w:val="32"/>
          <w:szCs w:val="32"/>
        </w:rPr>
        <w:t>(NIST CSF 2.0</w:t>
      </w:r>
      <w:r w:rsidR="00D6281A">
        <w:rPr>
          <w:rFonts w:ascii="Arial" w:hAnsi="Arial" w:cs="Arial"/>
          <w:b/>
          <w:bCs/>
          <w:sz w:val="32"/>
          <w:szCs w:val="32"/>
        </w:rPr>
        <w:t>)</w:t>
      </w:r>
      <w:bookmarkEnd w:id="85"/>
    </w:p>
    <w:p w14:paraId="1A803CFC" w14:textId="2D854706" w:rsidR="00D6281A" w:rsidRPr="00B21EAD" w:rsidRDefault="00B21EAD" w:rsidP="00D6281A">
      <w:pPr>
        <w:rPr>
          <w:rFonts w:ascii="Arial" w:hAnsi="Arial" w:cs="Arial"/>
          <w:b/>
          <w:bCs/>
        </w:rPr>
      </w:pPr>
      <w:r w:rsidRPr="00B21EAD">
        <w:rPr>
          <w:rFonts w:ascii="Arial" w:hAnsi="Arial" w:cs="Arial"/>
          <w:b/>
          <w:bCs/>
        </w:rPr>
        <w:t xml:space="preserve">Mapping </w:t>
      </w:r>
      <w:r w:rsidR="00994563" w:rsidRPr="00BA1167">
        <w:rPr>
          <w:rFonts w:ascii="Arial" w:hAnsi="Arial" w:cs="Arial"/>
        </w:rPr>
        <w:t> </w:t>
      </w:r>
      <w:hyperlink r:id="rId12" w:tgtFrame="_blank" w:history="1">
        <w:r w:rsidR="00994563" w:rsidRPr="00BA1167">
          <w:rPr>
            <w:rStyle w:val="Hyperlink"/>
            <w:rFonts w:ascii="Arial" w:hAnsi="Arial" w:cs="Arial"/>
            <w:color w:val="auto"/>
            <w:u w:val="none"/>
          </w:rPr>
          <w:t>National Institute of Standards and Technology Cybersecurity Framework</w:t>
        </w:r>
      </w:hyperlink>
      <w:r w:rsidR="00B25E97">
        <w:rPr>
          <w:rFonts w:ascii="Arial" w:hAnsi="Arial" w:cs="Arial"/>
        </w:rPr>
        <w:t xml:space="preserve"> </w:t>
      </w:r>
      <w:r w:rsidRPr="00B21EAD">
        <w:rPr>
          <w:rFonts w:ascii="Arial" w:hAnsi="Arial" w:cs="Arial"/>
          <w:b/>
          <w:bCs/>
        </w:rPr>
        <w:t xml:space="preserve">NIST CSF 2.0 to </w:t>
      </w:r>
      <w:proofErr w:type="spellStart"/>
      <w:r w:rsidRPr="00B21EAD">
        <w:rPr>
          <w:rFonts w:ascii="Arial" w:hAnsi="Arial" w:cs="Arial"/>
          <w:b/>
          <w:bCs/>
        </w:rPr>
        <w:t>MediTrust</w:t>
      </w:r>
      <w:proofErr w:type="spellEnd"/>
      <w:r w:rsidRPr="00B21EAD">
        <w:rPr>
          <w:rFonts w:ascii="Arial" w:hAnsi="Arial" w:cs="Arial"/>
          <w:b/>
          <w:bCs/>
        </w:rPr>
        <w:t xml:space="preserve"> Business Goals</w:t>
      </w:r>
    </w:p>
    <w:tbl>
      <w:tblPr>
        <w:tblStyle w:val="TableGrid"/>
        <w:tblW w:w="9918" w:type="dxa"/>
        <w:tblLook w:val="04A0" w:firstRow="1" w:lastRow="0" w:firstColumn="1" w:lastColumn="0" w:noHBand="0" w:noVBand="1"/>
      </w:tblPr>
      <w:tblGrid>
        <w:gridCol w:w="3005"/>
        <w:gridCol w:w="4078"/>
        <w:gridCol w:w="2835"/>
      </w:tblGrid>
      <w:tr w:rsidR="00E06550" w14:paraId="045F6FF7" w14:textId="77777777" w:rsidTr="00732986">
        <w:tc>
          <w:tcPr>
            <w:tcW w:w="3005" w:type="dxa"/>
          </w:tcPr>
          <w:p w14:paraId="56D352CE" w14:textId="6A549099" w:rsidR="00E06550" w:rsidRPr="0045206A" w:rsidRDefault="0005000C" w:rsidP="00E06550">
            <w:pPr>
              <w:rPr>
                <w:rFonts w:ascii="Arial" w:hAnsi="Arial" w:cs="Arial"/>
                <w:b/>
                <w:bCs/>
              </w:rPr>
            </w:pPr>
            <w:r w:rsidRPr="0045206A">
              <w:rPr>
                <w:rFonts w:ascii="Arial" w:hAnsi="Arial" w:cs="Arial"/>
                <w:b/>
                <w:bCs/>
              </w:rPr>
              <w:t>Function</w:t>
            </w:r>
            <w:r w:rsidR="00C4719D">
              <w:rPr>
                <w:rFonts w:ascii="Arial" w:hAnsi="Arial" w:cs="Arial"/>
                <w:b/>
                <w:bCs/>
              </w:rPr>
              <w:t xml:space="preserve"> NIST CSF 2.0</w:t>
            </w:r>
          </w:p>
        </w:tc>
        <w:tc>
          <w:tcPr>
            <w:tcW w:w="4078" w:type="dxa"/>
          </w:tcPr>
          <w:p w14:paraId="041C8D78" w14:textId="250798B2" w:rsidR="00E06550" w:rsidRPr="0045206A" w:rsidRDefault="00E550D9" w:rsidP="00E06550">
            <w:pPr>
              <w:rPr>
                <w:rFonts w:ascii="Arial" w:hAnsi="Arial" w:cs="Arial"/>
                <w:b/>
                <w:bCs/>
              </w:rPr>
            </w:pPr>
            <w:r w:rsidRPr="0045206A">
              <w:rPr>
                <w:rFonts w:ascii="Arial" w:hAnsi="Arial" w:cs="Arial"/>
                <w:b/>
                <w:bCs/>
              </w:rPr>
              <w:t>Strategic Objective</w:t>
            </w:r>
          </w:p>
        </w:tc>
        <w:tc>
          <w:tcPr>
            <w:tcW w:w="2835" w:type="dxa"/>
          </w:tcPr>
          <w:p w14:paraId="566BE5E5" w14:textId="19E9EF40" w:rsidR="00E06550" w:rsidRPr="0045206A" w:rsidRDefault="0069579D" w:rsidP="00E06550">
            <w:pPr>
              <w:rPr>
                <w:rFonts w:ascii="Arial" w:hAnsi="Arial" w:cs="Arial"/>
                <w:b/>
                <w:bCs/>
              </w:rPr>
            </w:pPr>
            <w:r w:rsidRPr="0045206A">
              <w:rPr>
                <w:rFonts w:ascii="Arial" w:hAnsi="Arial" w:cs="Arial"/>
                <w:b/>
                <w:bCs/>
              </w:rPr>
              <w:t>Business Alignment</w:t>
            </w:r>
          </w:p>
        </w:tc>
      </w:tr>
      <w:tr w:rsidR="00E06550" w14:paraId="38557162" w14:textId="77777777" w:rsidTr="00732986">
        <w:tc>
          <w:tcPr>
            <w:tcW w:w="3005" w:type="dxa"/>
          </w:tcPr>
          <w:p w14:paraId="5C570E2D" w14:textId="420E680B" w:rsidR="00E06550" w:rsidRPr="00941D1F" w:rsidRDefault="00941D1F" w:rsidP="00E06550">
            <w:pPr>
              <w:rPr>
                <w:rFonts w:ascii="Arial" w:hAnsi="Arial" w:cs="Arial"/>
              </w:rPr>
            </w:pPr>
            <w:r w:rsidRPr="00941D1F">
              <w:rPr>
                <w:rFonts w:ascii="Arial" w:hAnsi="Arial" w:cs="Arial"/>
              </w:rPr>
              <w:t>Identify</w:t>
            </w:r>
          </w:p>
        </w:tc>
        <w:tc>
          <w:tcPr>
            <w:tcW w:w="4078" w:type="dxa"/>
          </w:tcPr>
          <w:p w14:paraId="12C7BE13" w14:textId="5FA81154" w:rsidR="00E06550" w:rsidRPr="00732986" w:rsidRDefault="005940FC" w:rsidP="00E06550">
            <w:pPr>
              <w:rPr>
                <w:rFonts w:ascii="Arial" w:hAnsi="Arial" w:cs="Arial"/>
              </w:rPr>
            </w:pPr>
            <w:r w:rsidRPr="00732986">
              <w:rPr>
                <w:rFonts w:ascii="Arial" w:hAnsi="Arial" w:cs="Arial"/>
              </w:rPr>
              <w:t>Identify and assess all critical assets, associated risks, and system dependencies.</w:t>
            </w:r>
          </w:p>
        </w:tc>
        <w:tc>
          <w:tcPr>
            <w:tcW w:w="2835" w:type="dxa"/>
          </w:tcPr>
          <w:p w14:paraId="13D39DB2" w14:textId="592F4639" w:rsidR="00E06550" w:rsidRPr="00690FD2" w:rsidRDefault="00690FD2" w:rsidP="00E06550">
            <w:pPr>
              <w:rPr>
                <w:rFonts w:ascii="Arial" w:hAnsi="Arial" w:cs="Arial"/>
              </w:rPr>
            </w:pPr>
            <w:r w:rsidRPr="00690FD2">
              <w:rPr>
                <w:rFonts w:ascii="Arial" w:hAnsi="Arial" w:cs="Arial"/>
              </w:rPr>
              <w:t>Supports regulatory compliance &amp; audit readiness</w:t>
            </w:r>
          </w:p>
        </w:tc>
      </w:tr>
      <w:tr w:rsidR="00E06550" w14:paraId="6AF92BAD" w14:textId="77777777" w:rsidTr="00732986">
        <w:tc>
          <w:tcPr>
            <w:tcW w:w="3005" w:type="dxa"/>
          </w:tcPr>
          <w:p w14:paraId="40EB8D86" w14:textId="0132C3DC" w:rsidR="00E06550" w:rsidRPr="00725F56" w:rsidRDefault="00725F56" w:rsidP="00E06550">
            <w:pPr>
              <w:rPr>
                <w:rFonts w:ascii="Arial" w:hAnsi="Arial" w:cs="Arial"/>
              </w:rPr>
            </w:pPr>
            <w:r w:rsidRPr="00725F56">
              <w:rPr>
                <w:rFonts w:ascii="Arial" w:hAnsi="Arial" w:cs="Arial"/>
              </w:rPr>
              <w:t>Protect</w:t>
            </w:r>
          </w:p>
        </w:tc>
        <w:tc>
          <w:tcPr>
            <w:tcW w:w="4078" w:type="dxa"/>
          </w:tcPr>
          <w:p w14:paraId="27A12E1D" w14:textId="682DDA80" w:rsidR="00E06550" w:rsidRDefault="00702666" w:rsidP="00E06550">
            <w:r w:rsidRPr="00702666">
              <w:t>Implement Zero Trust controls</w:t>
            </w:r>
          </w:p>
        </w:tc>
        <w:tc>
          <w:tcPr>
            <w:tcW w:w="2835" w:type="dxa"/>
          </w:tcPr>
          <w:p w14:paraId="6D72DF9B" w14:textId="478EA8E1" w:rsidR="00E06550" w:rsidRDefault="002D452F" w:rsidP="00E06550">
            <w:r w:rsidRPr="002D452F">
              <w:t>Protects patient data &amp; IP</w:t>
            </w:r>
          </w:p>
        </w:tc>
      </w:tr>
      <w:tr w:rsidR="00E06550" w14:paraId="3F7C9BCA" w14:textId="77777777" w:rsidTr="00732986">
        <w:tc>
          <w:tcPr>
            <w:tcW w:w="3005" w:type="dxa"/>
          </w:tcPr>
          <w:p w14:paraId="740D7B1D" w14:textId="1F535CEA" w:rsidR="00E06550" w:rsidRDefault="00725F56" w:rsidP="00E06550">
            <w:r w:rsidRPr="00725F56">
              <w:rPr>
                <w:rFonts w:ascii="Arial" w:hAnsi="Arial" w:cs="Arial"/>
              </w:rPr>
              <w:t>Detec</w:t>
            </w:r>
            <w:r w:rsidRPr="00725F56">
              <w:t>t</w:t>
            </w:r>
          </w:p>
        </w:tc>
        <w:tc>
          <w:tcPr>
            <w:tcW w:w="4078" w:type="dxa"/>
          </w:tcPr>
          <w:p w14:paraId="4438FDB2" w14:textId="67F8A759" w:rsidR="00E06550" w:rsidRDefault="00DB6E92" w:rsidP="00E06550">
            <w:r w:rsidRPr="00DB6E92">
              <w:t>Real</w:t>
            </w:r>
            <w:r w:rsidRPr="00DB6E92">
              <w:noBreakHyphen/>
              <w:t>time threat monitoring</w:t>
            </w:r>
          </w:p>
        </w:tc>
        <w:tc>
          <w:tcPr>
            <w:tcW w:w="2835" w:type="dxa"/>
          </w:tcPr>
          <w:p w14:paraId="596980BC" w14:textId="25672069" w:rsidR="00E06550" w:rsidRDefault="002D452F" w:rsidP="00E06550">
            <w:r w:rsidRPr="002D452F">
              <w:t>Reduces dwell time &amp; clinical disruption</w:t>
            </w:r>
          </w:p>
        </w:tc>
      </w:tr>
      <w:tr w:rsidR="00E06550" w14:paraId="286907EA" w14:textId="77777777" w:rsidTr="00732986">
        <w:tc>
          <w:tcPr>
            <w:tcW w:w="3005" w:type="dxa"/>
          </w:tcPr>
          <w:p w14:paraId="2A717903" w14:textId="7A4280A9" w:rsidR="00E06550" w:rsidRPr="008A5A4E" w:rsidRDefault="008A5A4E" w:rsidP="00E06550">
            <w:pPr>
              <w:rPr>
                <w:rFonts w:ascii="Arial" w:hAnsi="Arial" w:cs="Arial"/>
              </w:rPr>
            </w:pPr>
            <w:r w:rsidRPr="008A5A4E">
              <w:rPr>
                <w:rFonts w:ascii="Arial" w:hAnsi="Arial" w:cs="Arial"/>
              </w:rPr>
              <w:t>Respond</w:t>
            </w:r>
          </w:p>
        </w:tc>
        <w:tc>
          <w:tcPr>
            <w:tcW w:w="4078" w:type="dxa"/>
          </w:tcPr>
          <w:p w14:paraId="5E3C3FC1" w14:textId="44E607AE" w:rsidR="00E06550" w:rsidRDefault="000E70C5" w:rsidP="00E06550">
            <w:r w:rsidRPr="000E70C5">
              <w:t>Coordinated incident response</w:t>
            </w:r>
          </w:p>
        </w:tc>
        <w:tc>
          <w:tcPr>
            <w:tcW w:w="2835" w:type="dxa"/>
          </w:tcPr>
          <w:p w14:paraId="4866BCE2" w14:textId="6F3E792B" w:rsidR="00E06550" w:rsidRDefault="00E8286B" w:rsidP="00E06550">
            <w:r w:rsidRPr="00E8286B">
              <w:t>Ensures operational resilience (DORA)</w:t>
            </w:r>
          </w:p>
        </w:tc>
      </w:tr>
      <w:tr w:rsidR="00E06550" w14:paraId="4C931402" w14:textId="77777777" w:rsidTr="00732986">
        <w:tc>
          <w:tcPr>
            <w:tcW w:w="3005" w:type="dxa"/>
          </w:tcPr>
          <w:p w14:paraId="60615F5E" w14:textId="4CE06BB4" w:rsidR="00E06550" w:rsidRDefault="008A5A4E" w:rsidP="00E06550">
            <w:r w:rsidRPr="008A5A4E">
              <w:t>Recover</w:t>
            </w:r>
          </w:p>
        </w:tc>
        <w:tc>
          <w:tcPr>
            <w:tcW w:w="4078" w:type="dxa"/>
          </w:tcPr>
          <w:p w14:paraId="12947E4E" w14:textId="1A644340" w:rsidR="00E06550" w:rsidRDefault="009312D4" w:rsidP="00E06550">
            <w:r w:rsidRPr="009312D4">
              <w:t>Restore AI models, cloud services, and data</w:t>
            </w:r>
          </w:p>
        </w:tc>
        <w:tc>
          <w:tcPr>
            <w:tcW w:w="2835" w:type="dxa"/>
          </w:tcPr>
          <w:p w14:paraId="65BE320D" w14:textId="049CC18F" w:rsidR="00E06550" w:rsidRDefault="00DB15F2" w:rsidP="00E06550">
            <w:r w:rsidRPr="00DB15F2">
              <w:t>Ensures continuity of clinical services</w:t>
            </w:r>
          </w:p>
        </w:tc>
      </w:tr>
      <w:tr w:rsidR="008A5A4E" w14:paraId="2BCE69D1" w14:textId="77777777" w:rsidTr="00732986">
        <w:tc>
          <w:tcPr>
            <w:tcW w:w="3005" w:type="dxa"/>
          </w:tcPr>
          <w:p w14:paraId="54296DF6" w14:textId="06C2A7F6" w:rsidR="008A5A4E" w:rsidRPr="008A5A4E" w:rsidRDefault="0045206A" w:rsidP="00E06550">
            <w:r w:rsidRPr="0045206A">
              <w:t>Govern</w:t>
            </w:r>
          </w:p>
        </w:tc>
        <w:tc>
          <w:tcPr>
            <w:tcW w:w="4078" w:type="dxa"/>
          </w:tcPr>
          <w:p w14:paraId="546C4FFB" w14:textId="74323356" w:rsidR="008A5A4E" w:rsidRDefault="009312D4" w:rsidP="00E06550">
            <w:r w:rsidRPr="009312D4">
              <w:t>Oversight, policies, risk management</w:t>
            </w:r>
          </w:p>
        </w:tc>
        <w:tc>
          <w:tcPr>
            <w:tcW w:w="2835" w:type="dxa"/>
          </w:tcPr>
          <w:p w14:paraId="5A453350" w14:textId="127384BF" w:rsidR="008A5A4E" w:rsidRDefault="00D61462" w:rsidP="00E06550">
            <w:r w:rsidRPr="00D61462">
              <w:t>Aligns security with business strategy</w:t>
            </w:r>
          </w:p>
        </w:tc>
      </w:tr>
    </w:tbl>
    <w:p w14:paraId="1CFD6277" w14:textId="77777777" w:rsidR="00E06550" w:rsidRDefault="00E06550" w:rsidP="00E06550"/>
    <w:p w14:paraId="07A25B5A" w14:textId="5F9A808B" w:rsidR="008B243D" w:rsidRDefault="008B243D" w:rsidP="00E06550">
      <w:pPr>
        <w:rPr>
          <w:i/>
          <w:iCs/>
        </w:rPr>
      </w:pPr>
      <w:r w:rsidRPr="002A472B">
        <w:rPr>
          <w:rFonts w:ascii="Arial" w:hAnsi="Arial" w:cs="Arial"/>
          <w:i/>
          <w:iCs/>
        </w:rPr>
        <w:t>NIST CSF 2.0 is the updated 2024 cybersecurity framework that helps organisations manage cyber risk through six core functions, adding a new focus on governance and enterprise</w:t>
      </w:r>
      <w:r w:rsidRPr="002A472B">
        <w:rPr>
          <w:rFonts w:ascii="Arial" w:hAnsi="Arial" w:cs="Arial"/>
          <w:i/>
          <w:iCs/>
        </w:rPr>
        <w:noBreakHyphen/>
        <w:t>level accountability</w:t>
      </w:r>
      <w:r w:rsidRPr="008B243D">
        <w:rPr>
          <w:i/>
          <w:iCs/>
        </w:rPr>
        <w:t>.</w:t>
      </w:r>
    </w:p>
    <w:p w14:paraId="3AEB86B9" w14:textId="77777777" w:rsidR="002A472B" w:rsidRDefault="002A472B" w:rsidP="00E06550">
      <w:pPr>
        <w:rPr>
          <w:i/>
          <w:iCs/>
        </w:rPr>
      </w:pPr>
    </w:p>
    <w:p w14:paraId="1A2B210E" w14:textId="77777777" w:rsidR="002A472B" w:rsidRPr="008B243D" w:rsidRDefault="002A472B" w:rsidP="00E06550">
      <w:pPr>
        <w:rPr>
          <w:i/>
          <w:iCs/>
        </w:rPr>
      </w:pPr>
    </w:p>
    <w:p w14:paraId="719438A5" w14:textId="47F4F59C" w:rsidR="002A472B" w:rsidRDefault="002A472B" w:rsidP="00A94940">
      <w:pPr>
        <w:pStyle w:val="Heading1"/>
        <w:rPr>
          <w:rFonts w:ascii="Arial" w:hAnsi="Arial" w:cs="Arial"/>
          <w:b/>
          <w:bCs/>
          <w:sz w:val="32"/>
          <w:szCs w:val="32"/>
        </w:rPr>
      </w:pPr>
      <w:bookmarkStart w:id="86" w:name="_Toc227682468"/>
      <w:r w:rsidRPr="00A94940">
        <w:rPr>
          <w:rFonts w:ascii="Arial" w:hAnsi="Arial" w:cs="Arial"/>
          <w:b/>
          <w:bCs/>
          <w:sz w:val="32"/>
          <w:szCs w:val="32"/>
        </w:rPr>
        <w:t>6. Risk</w:t>
      </w:r>
      <w:r w:rsidR="002835D8" w:rsidRPr="00A94940">
        <w:rPr>
          <w:rFonts w:ascii="Arial" w:hAnsi="Arial" w:cs="Arial"/>
          <w:b/>
          <w:bCs/>
          <w:sz w:val="32"/>
          <w:szCs w:val="32"/>
        </w:rPr>
        <w:t>s</w:t>
      </w:r>
      <w:r w:rsidRPr="00A94940">
        <w:rPr>
          <w:rFonts w:ascii="Arial" w:hAnsi="Arial" w:cs="Arial"/>
          <w:b/>
          <w:bCs/>
          <w:sz w:val="32"/>
          <w:szCs w:val="32"/>
        </w:rPr>
        <w:t xml:space="preserve"> Assessment</w:t>
      </w:r>
      <w:bookmarkEnd w:id="86"/>
    </w:p>
    <w:p w14:paraId="429F0479" w14:textId="46296C9E" w:rsidR="00455160" w:rsidRDefault="00455160" w:rsidP="00455160">
      <w:r w:rsidRPr="00957E23">
        <w:rPr>
          <w:rFonts w:ascii="Arial" w:hAnsi="Arial" w:cs="Arial"/>
        </w:rPr>
        <w:t>Risk assessment involves identifying hazards, estimating their likelihood and impact, and evaluating them against defined criteria to determine necessary controls, using methods such as JSA, FMEA, and expert analysis</w:t>
      </w:r>
      <w:sdt>
        <w:sdtPr>
          <w:rPr>
            <w:rFonts w:ascii="Arial" w:hAnsi="Arial" w:cs="Arial"/>
          </w:rPr>
          <w:id w:val="1886526670"/>
          <w:citation/>
        </w:sdtPr>
        <w:sdtEndPr/>
        <w:sdtContent>
          <w:r w:rsidR="00957E23">
            <w:rPr>
              <w:rFonts w:ascii="Arial" w:hAnsi="Arial" w:cs="Arial"/>
            </w:rPr>
            <w:fldChar w:fldCharType="begin"/>
          </w:r>
          <w:r w:rsidR="00957E23">
            <w:rPr>
              <w:rFonts w:ascii="Arial" w:hAnsi="Arial" w:cs="Arial"/>
            </w:rPr>
            <w:instrText xml:space="preserve"> CITATION Mos20 \l 2057 </w:instrText>
          </w:r>
          <w:r w:rsidR="00957E23">
            <w:rPr>
              <w:rFonts w:ascii="Arial" w:hAnsi="Arial" w:cs="Arial"/>
            </w:rPr>
            <w:fldChar w:fldCharType="separate"/>
          </w:r>
          <w:r w:rsidR="00D3013B">
            <w:rPr>
              <w:rFonts w:ascii="Arial" w:hAnsi="Arial" w:cs="Arial"/>
              <w:noProof/>
            </w:rPr>
            <w:t xml:space="preserve"> </w:t>
          </w:r>
          <w:r w:rsidR="00D3013B" w:rsidRPr="00D3013B">
            <w:rPr>
              <w:rFonts w:ascii="Arial" w:hAnsi="Arial" w:cs="Arial"/>
              <w:noProof/>
            </w:rPr>
            <w:t>[32]</w:t>
          </w:r>
          <w:r w:rsidR="00957E23">
            <w:rPr>
              <w:rFonts w:ascii="Arial" w:hAnsi="Arial" w:cs="Arial"/>
            </w:rPr>
            <w:fldChar w:fldCharType="end"/>
          </w:r>
        </w:sdtContent>
      </w:sdt>
      <w:r w:rsidRPr="00455160">
        <w:t>.</w:t>
      </w:r>
    </w:p>
    <w:p w14:paraId="3E0FA735" w14:textId="77777777" w:rsidR="00455160" w:rsidRPr="00455160" w:rsidRDefault="00455160" w:rsidP="00455160"/>
    <w:p w14:paraId="5E4E01CF" w14:textId="3FE16B31" w:rsidR="002A472B" w:rsidRPr="00D84AB9" w:rsidRDefault="002A472B" w:rsidP="00D84AB9">
      <w:pPr>
        <w:pStyle w:val="Heading2"/>
        <w:rPr>
          <w:rFonts w:ascii="Arial" w:hAnsi="Arial" w:cs="Arial"/>
          <w:sz w:val="28"/>
          <w:szCs w:val="28"/>
        </w:rPr>
      </w:pPr>
      <w:bookmarkStart w:id="87" w:name="_Toc227682469"/>
      <w:r w:rsidRPr="00D84AB9">
        <w:rPr>
          <w:rFonts w:ascii="Arial" w:hAnsi="Arial" w:cs="Arial"/>
          <w:sz w:val="28"/>
          <w:szCs w:val="28"/>
        </w:rPr>
        <w:t>6.1 Key Risks</w:t>
      </w:r>
      <w:r w:rsidR="004A28D2">
        <w:rPr>
          <w:rFonts w:ascii="Arial" w:hAnsi="Arial" w:cs="Arial"/>
          <w:sz w:val="28"/>
          <w:szCs w:val="28"/>
        </w:rPr>
        <w:t xml:space="preserve"> </w:t>
      </w:r>
      <w:r w:rsidR="00B320FC">
        <w:rPr>
          <w:rFonts w:ascii="Arial" w:hAnsi="Arial" w:cs="Arial"/>
          <w:sz w:val="28"/>
          <w:szCs w:val="28"/>
        </w:rPr>
        <w:t xml:space="preserve">of </w:t>
      </w:r>
      <w:proofErr w:type="spellStart"/>
      <w:r w:rsidR="00B320FC">
        <w:rPr>
          <w:rFonts w:ascii="Arial" w:hAnsi="Arial" w:cs="Arial"/>
          <w:sz w:val="28"/>
          <w:szCs w:val="28"/>
        </w:rPr>
        <w:t>MediTrust</w:t>
      </w:r>
      <w:bookmarkEnd w:id="87"/>
      <w:proofErr w:type="spellEnd"/>
    </w:p>
    <w:p w14:paraId="1500F6BE" w14:textId="3D4267C0" w:rsidR="00EE0A5A" w:rsidRPr="00EE0A5A" w:rsidRDefault="00EE0A5A" w:rsidP="00EE0A5A">
      <w:pPr>
        <w:numPr>
          <w:ilvl w:val="0"/>
          <w:numId w:val="29"/>
        </w:numPr>
        <w:rPr>
          <w:rFonts w:ascii="Arial" w:hAnsi="Arial" w:cs="Arial"/>
        </w:rPr>
      </w:pPr>
      <w:r w:rsidRPr="00EE0A5A">
        <w:rPr>
          <w:rFonts w:ascii="Arial" w:hAnsi="Arial" w:cs="Arial"/>
          <w:b/>
          <w:bCs/>
        </w:rPr>
        <w:t>Poisoned AI models</w:t>
      </w:r>
      <w:r>
        <w:rPr>
          <w:rFonts w:ascii="Arial" w:hAnsi="Arial" w:cs="Arial"/>
        </w:rPr>
        <w:t>:</w:t>
      </w:r>
      <w:r w:rsidRPr="00EE0A5A">
        <w:rPr>
          <w:rFonts w:ascii="Arial" w:hAnsi="Arial" w:cs="Arial"/>
        </w:rPr>
        <w:t xml:space="preserve"> </w:t>
      </w:r>
      <w:r w:rsidR="007E41D8" w:rsidRPr="007E41D8">
        <w:rPr>
          <w:rFonts w:ascii="Arial" w:hAnsi="Arial" w:cs="Arial"/>
        </w:rPr>
        <w:t>Attackers introduce malicious data into training pipelines to manipulate and degrade model behaviour.</w:t>
      </w:r>
    </w:p>
    <w:p w14:paraId="6106A4CC" w14:textId="0F96DEA4" w:rsidR="00EE0A5A" w:rsidRPr="00EE0A5A" w:rsidRDefault="00EE0A5A" w:rsidP="00EE0A5A">
      <w:pPr>
        <w:numPr>
          <w:ilvl w:val="0"/>
          <w:numId w:val="29"/>
        </w:numPr>
        <w:rPr>
          <w:rFonts w:ascii="Arial" w:hAnsi="Arial" w:cs="Arial"/>
        </w:rPr>
      </w:pPr>
      <w:r w:rsidRPr="00EE0A5A">
        <w:rPr>
          <w:rFonts w:ascii="Arial" w:hAnsi="Arial" w:cs="Arial"/>
          <w:b/>
          <w:bCs/>
        </w:rPr>
        <w:t>Vulnerable open</w:t>
      </w:r>
      <w:r w:rsidRPr="00EE0A5A">
        <w:rPr>
          <w:rFonts w:ascii="Arial" w:hAnsi="Arial" w:cs="Arial"/>
          <w:b/>
          <w:bCs/>
        </w:rPr>
        <w:noBreakHyphen/>
        <w:t>source dependencies</w:t>
      </w:r>
      <w:r>
        <w:rPr>
          <w:rFonts w:ascii="Arial" w:hAnsi="Arial" w:cs="Arial"/>
        </w:rPr>
        <w:t>:</w:t>
      </w:r>
      <w:r w:rsidRPr="00EE0A5A">
        <w:rPr>
          <w:rFonts w:ascii="Arial" w:hAnsi="Arial" w:cs="Arial"/>
        </w:rPr>
        <w:t xml:space="preserve"> exploitable components, such as Log4Shell</w:t>
      </w:r>
      <w:r w:rsidRPr="00EE0A5A">
        <w:rPr>
          <w:rFonts w:ascii="Arial" w:hAnsi="Arial" w:cs="Arial"/>
        </w:rPr>
        <w:noBreakHyphen/>
        <w:t>type flaws, embedded in clinical systems.</w:t>
      </w:r>
    </w:p>
    <w:p w14:paraId="56ED14C7" w14:textId="72389DA3" w:rsidR="00EE0A5A" w:rsidRPr="00EE0A5A" w:rsidRDefault="00EE0A5A" w:rsidP="00EE0A5A">
      <w:pPr>
        <w:numPr>
          <w:ilvl w:val="0"/>
          <w:numId w:val="29"/>
        </w:numPr>
        <w:rPr>
          <w:rFonts w:ascii="Arial" w:hAnsi="Arial" w:cs="Arial"/>
        </w:rPr>
      </w:pPr>
      <w:r w:rsidRPr="00EE0A5A">
        <w:rPr>
          <w:rFonts w:ascii="Arial" w:hAnsi="Arial" w:cs="Arial"/>
          <w:b/>
          <w:bCs/>
        </w:rPr>
        <w:lastRenderedPageBreak/>
        <w:t>Cloud misconfigurations</w:t>
      </w:r>
      <w:r>
        <w:rPr>
          <w:rFonts w:ascii="Arial" w:hAnsi="Arial" w:cs="Arial"/>
        </w:rPr>
        <w:t>:</w:t>
      </w:r>
      <w:r w:rsidRPr="00EE0A5A">
        <w:rPr>
          <w:rFonts w:ascii="Arial" w:hAnsi="Arial" w:cs="Arial"/>
        </w:rPr>
        <w:t xml:space="preserve"> </w:t>
      </w:r>
      <w:r w:rsidR="00AE5160" w:rsidRPr="00AE5160">
        <w:rPr>
          <w:rFonts w:ascii="Arial" w:hAnsi="Arial" w:cs="Arial"/>
        </w:rPr>
        <w:t>Exposed cloud storage (such as public S3 buckets) and overly permissive IAM roles expand the organisation’s attack surface.</w:t>
      </w:r>
    </w:p>
    <w:p w14:paraId="6042FAFF" w14:textId="071DA5DD" w:rsidR="00EE0A5A" w:rsidRPr="00EE0A5A" w:rsidRDefault="00EE0A5A" w:rsidP="00EE0A5A">
      <w:pPr>
        <w:numPr>
          <w:ilvl w:val="0"/>
          <w:numId w:val="29"/>
        </w:numPr>
        <w:rPr>
          <w:rFonts w:ascii="Arial" w:hAnsi="Arial" w:cs="Arial"/>
        </w:rPr>
      </w:pPr>
      <w:r w:rsidRPr="00EE0A5A">
        <w:rPr>
          <w:rFonts w:ascii="Arial" w:hAnsi="Arial" w:cs="Arial"/>
          <w:b/>
          <w:bCs/>
        </w:rPr>
        <w:t>Compromised third</w:t>
      </w:r>
      <w:r w:rsidRPr="00EE0A5A">
        <w:rPr>
          <w:rFonts w:ascii="Arial" w:hAnsi="Arial" w:cs="Arial"/>
          <w:b/>
          <w:bCs/>
        </w:rPr>
        <w:noBreakHyphen/>
        <w:t>party research partners</w:t>
      </w:r>
      <w:r>
        <w:rPr>
          <w:rFonts w:ascii="Arial" w:hAnsi="Arial" w:cs="Arial"/>
        </w:rPr>
        <w:t xml:space="preserve">: </w:t>
      </w:r>
      <w:r w:rsidRPr="00EE0A5A">
        <w:rPr>
          <w:rFonts w:ascii="Arial" w:hAnsi="Arial" w:cs="Arial"/>
        </w:rPr>
        <w:t>weak security controls in external collaborators introducing supply</w:t>
      </w:r>
      <w:r w:rsidRPr="00EE0A5A">
        <w:rPr>
          <w:rFonts w:ascii="Arial" w:hAnsi="Arial" w:cs="Arial"/>
        </w:rPr>
        <w:noBreakHyphen/>
        <w:t>chain risk.</w:t>
      </w:r>
    </w:p>
    <w:p w14:paraId="04A3E746" w14:textId="362FE8E0" w:rsidR="00EE0A5A" w:rsidRPr="00EE0A5A" w:rsidRDefault="00EE0A5A" w:rsidP="00EE0A5A">
      <w:pPr>
        <w:numPr>
          <w:ilvl w:val="0"/>
          <w:numId w:val="29"/>
        </w:numPr>
        <w:rPr>
          <w:rFonts w:ascii="Arial" w:hAnsi="Arial" w:cs="Arial"/>
        </w:rPr>
      </w:pPr>
      <w:r w:rsidRPr="00EE0A5A">
        <w:rPr>
          <w:rFonts w:ascii="Arial" w:hAnsi="Arial" w:cs="Arial"/>
          <w:b/>
          <w:bCs/>
        </w:rPr>
        <w:t>Insider threats</w:t>
      </w:r>
      <w:r>
        <w:rPr>
          <w:rFonts w:ascii="Arial" w:hAnsi="Arial" w:cs="Arial"/>
        </w:rPr>
        <w:t xml:space="preserve">: </w:t>
      </w:r>
      <w:r w:rsidRPr="00EE0A5A">
        <w:rPr>
          <w:rFonts w:ascii="Arial" w:hAnsi="Arial" w:cs="Arial"/>
        </w:rPr>
        <w:t>misuse of privileged access by remote developers or internal staff.</w:t>
      </w:r>
    </w:p>
    <w:p w14:paraId="31C8620A" w14:textId="0323133E" w:rsidR="002A472B" w:rsidRPr="002A472B" w:rsidRDefault="002A472B" w:rsidP="002E0997">
      <w:pPr>
        <w:rPr>
          <w:rFonts w:ascii="Arial" w:hAnsi="Arial" w:cs="Arial"/>
        </w:rPr>
      </w:pPr>
    </w:p>
    <w:p w14:paraId="1B1D3EB0" w14:textId="030E4A52" w:rsidR="00507EA5" w:rsidRPr="00507EA5" w:rsidRDefault="00507EA5" w:rsidP="00507EA5">
      <w:pPr>
        <w:pStyle w:val="Heading2"/>
        <w:rPr>
          <w:rFonts w:ascii="Arial" w:hAnsi="Arial" w:cs="Arial"/>
          <w:sz w:val="28"/>
          <w:szCs w:val="28"/>
        </w:rPr>
      </w:pPr>
      <w:bookmarkStart w:id="88" w:name="_Toc227682470"/>
      <w:r w:rsidRPr="00507EA5">
        <w:rPr>
          <w:rFonts w:ascii="Arial" w:hAnsi="Arial" w:cs="Arial"/>
          <w:sz w:val="28"/>
          <w:szCs w:val="28"/>
        </w:rPr>
        <w:t>6.2 Risk Treatment Strategy</w:t>
      </w:r>
      <w:bookmarkEnd w:id="88"/>
      <w:r w:rsidRPr="00507EA5">
        <w:rPr>
          <w:rFonts w:ascii="Arial" w:hAnsi="Arial" w:cs="Arial"/>
          <w:sz w:val="28"/>
          <w:szCs w:val="28"/>
        </w:rPr>
        <w:t xml:space="preserve"> </w:t>
      </w:r>
    </w:p>
    <w:p w14:paraId="4BFAA194" w14:textId="77777777" w:rsidR="00507EA5" w:rsidRPr="00507EA5" w:rsidRDefault="00507EA5" w:rsidP="00507EA5">
      <w:pPr>
        <w:rPr>
          <w:rFonts w:ascii="Arial" w:hAnsi="Arial" w:cs="Arial"/>
        </w:rPr>
      </w:pPr>
      <w:proofErr w:type="spellStart"/>
      <w:r w:rsidRPr="00507EA5">
        <w:rPr>
          <w:rFonts w:ascii="Arial" w:hAnsi="Arial" w:cs="Arial"/>
        </w:rPr>
        <w:t>MediTrust</w:t>
      </w:r>
      <w:proofErr w:type="spellEnd"/>
      <w:r w:rsidRPr="00507EA5">
        <w:rPr>
          <w:rFonts w:ascii="Arial" w:hAnsi="Arial" w:cs="Arial"/>
        </w:rPr>
        <w:t xml:space="preserve"> adopts a proactive risk</w:t>
      </w:r>
      <w:r w:rsidRPr="00507EA5">
        <w:rPr>
          <w:rFonts w:ascii="Arial" w:hAnsi="Arial" w:cs="Arial"/>
        </w:rPr>
        <w:noBreakHyphen/>
        <w:t>treatment approach that integrates modern security controls across the software supply chain, cloud environment, and data</w:t>
      </w:r>
      <w:r w:rsidRPr="00507EA5">
        <w:rPr>
          <w:rFonts w:ascii="Arial" w:hAnsi="Arial" w:cs="Arial"/>
        </w:rPr>
        <w:noBreakHyphen/>
        <w:t>handling processes. Key measures include:</w:t>
      </w:r>
    </w:p>
    <w:p w14:paraId="69159B15" w14:textId="77777777" w:rsidR="00507EA5" w:rsidRPr="00507EA5" w:rsidRDefault="00507EA5" w:rsidP="00507EA5">
      <w:pPr>
        <w:numPr>
          <w:ilvl w:val="0"/>
          <w:numId w:val="30"/>
        </w:numPr>
        <w:rPr>
          <w:rFonts w:ascii="Arial" w:hAnsi="Arial" w:cs="Arial"/>
        </w:rPr>
      </w:pPr>
      <w:r w:rsidRPr="00507EA5">
        <w:rPr>
          <w:rFonts w:ascii="Arial" w:hAnsi="Arial" w:cs="Arial"/>
          <w:b/>
          <w:bCs/>
        </w:rPr>
        <w:t>Mandatory Software Bills of Materials (SBOMs)</w:t>
      </w:r>
      <w:r w:rsidRPr="00507EA5">
        <w:rPr>
          <w:rFonts w:ascii="Arial" w:hAnsi="Arial" w:cs="Arial"/>
        </w:rPr>
        <w:t xml:space="preserve"> for all internally developed and third</w:t>
      </w:r>
      <w:r w:rsidRPr="00507EA5">
        <w:rPr>
          <w:rFonts w:ascii="Arial" w:hAnsi="Arial" w:cs="Arial"/>
        </w:rPr>
        <w:noBreakHyphen/>
        <w:t>party software.</w:t>
      </w:r>
    </w:p>
    <w:p w14:paraId="7CEB592E" w14:textId="77777777" w:rsidR="00507EA5" w:rsidRDefault="00507EA5" w:rsidP="00507EA5">
      <w:pPr>
        <w:numPr>
          <w:ilvl w:val="0"/>
          <w:numId w:val="30"/>
        </w:numPr>
        <w:rPr>
          <w:rFonts w:ascii="Arial" w:hAnsi="Arial" w:cs="Arial"/>
        </w:rPr>
      </w:pPr>
      <w:r w:rsidRPr="00507EA5">
        <w:rPr>
          <w:rFonts w:ascii="Arial" w:hAnsi="Arial" w:cs="Arial"/>
          <w:b/>
          <w:bCs/>
        </w:rPr>
        <w:t>Software Composition Analysis (SCA) and dependency scanning</w:t>
      </w:r>
      <w:r w:rsidRPr="00507EA5">
        <w:rPr>
          <w:rFonts w:ascii="Arial" w:hAnsi="Arial" w:cs="Arial"/>
        </w:rPr>
        <w:t xml:space="preserve"> embedded within CI/CD pipelines to detect vulnerable components early.</w:t>
      </w:r>
    </w:p>
    <w:p w14:paraId="6232F0BD" w14:textId="6644A130" w:rsidR="0018490F" w:rsidRPr="00507EA5" w:rsidRDefault="0018490F" w:rsidP="00507EA5">
      <w:pPr>
        <w:numPr>
          <w:ilvl w:val="0"/>
          <w:numId w:val="30"/>
        </w:numPr>
        <w:rPr>
          <w:rFonts w:ascii="Arial" w:hAnsi="Arial" w:cs="Arial"/>
        </w:rPr>
      </w:pPr>
      <w:r w:rsidRPr="0018490F">
        <w:rPr>
          <w:rFonts w:ascii="Arial" w:hAnsi="Arial" w:cs="Arial"/>
          <w:b/>
          <w:bCs/>
        </w:rPr>
        <w:t>Cloud Security Posture Management (CSPM)</w:t>
      </w:r>
      <w:r w:rsidRPr="0018490F">
        <w:rPr>
          <w:rFonts w:ascii="Arial" w:hAnsi="Arial" w:cs="Arial"/>
        </w:rPr>
        <w:t xml:space="preserve"> delivers continuous monitoring and automated detection of cloud configuration weaknesses.</w:t>
      </w:r>
    </w:p>
    <w:p w14:paraId="2060E789" w14:textId="77777777" w:rsidR="00507EA5" w:rsidRPr="00507EA5" w:rsidRDefault="00507EA5" w:rsidP="00507EA5">
      <w:pPr>
        <w:numPr>
          <w:ilvl w:val="0"/>
          <w:numId w:val="30"/>
        </w:numPr>
        <w:rPr>
          <w:rFonts w:ascii="Arial" w:hAnsi="Arial" w:cs="Arial"/>
        </w:rPr>
      </w:pPr>
      <w:r w:rsidRPr="00507EA5">
        <w:rPr>
          <w:rFonts w:ascii="Arial" w:hAnsi="Arial" w:cs="Arial"/>
          <w:b/>
          <w:bCs/>
        </w:rPr>
        <w:t>Zero Trust Network Access (ZTNA)</w:t>
      </w:r>
      <w:r w:rsidRPr="00507EA5">
        <w:rPr>
          <w:rFonts w:ascii="Arial" w:hAnsi="Arial" w:cs="Arial"/>
        </w:rPr>
        <w:t xml:space="preserve"> to secure all remote user connections and eliminate reliance on traditional VPNs.</w:t>
      </w:r>
    </w:p>
    <w:p w14:paraId="70530D5A" w14:textId="15911CFD" w:rsidR="004013F9" w:rsidRPr="00C15AEE" w:rsidRDefault="00507EA5" w:rsidP="002C12D9">
      <w:pPr>
        <w:numPr>
          <w:ilvl w:val="0"/>
          <w:numId w:val="30"/>
        </w:numPr>
        <w:rPr>
          <w:rFonts w:ascii="Arial" w:hAnsi="Arial" w:cs="Arial"/>
        </w:rPr>
      </w:pPr>
      <w:r w:rsidRPr="00507EA5">
        <w:rPr>
          <w:rFonts w:ascii="Arial" w:hAnsi="Arial" w:cs="Arial"/>
          <w:b/>
          <w:bCs/>
        </w:rPr>
        <w:t>Data Loss Prevention (DLP)</w:t>
      </w:r>
      <w:r w:rsidRPr="00507EA5">
        <w:rPr>
          <w:rFonts w:ascii="Arial" w:hAnsi="Arial" w:cs="Arial"/>
        </w:rPr>
        <w:t xml:space="preserve"> controls to protect sensitive clinical and research datasets from unauthorised exfiltration.</w:t>
      </w:r>
    </w:p>
    <w:p w14:paraId="15891B60" w14:textId="77777777" w:rsidR="004013F9" w:rsidRDefault="004013F9" w:rsidP="002C12D9">
      <w:pPr>
        <w:rPr>
          <w:rFonts w:ascii="Arial" w:hAnsi="Arial" w:cs="Arial"/>
        </w:rPr>
      </w:pPr>
    </w:p>
    <w:p w14:paraId="3A51DBF3" w14:textId="6836CB91" w:rsidR="00D43BEE" w:rsidRDefault="00C15AEE" w:rsidP="00D43BEE">
      <w:pPr>
        <w:rPr>
          <w:rFonts w:ascii="Arial" w:hAnsi="Arial" w:cs="Arial"/>
        </w:rPr>
      </w:pPr>
      <w:r w:rsidRPr="00C15AEE">
        <w:rPr>
          <w:rFonts w:ascii="Arial" w:hAnsi="Arial" w:cs="Arial"/>
          <w:i/>
          <w:iCs/>
        </w:rPr>
        <w:t xml:space="preserve">The programme enforces Zero Trust, meets DORA and NIS2 requirements, and protects </w:t>
      </w:r>
      <w:proofErr w:type="spellStart"/>
      <w:r w:rsidRPr="00C15AEE">
        <w:rPr>
          <w:rFonts w:ascii="Arial" w:hAnsi="Arial" w:cs="Arial"/>
          <w:i/>
          <w:iCs/>
        </w:rPr>
        <w:t>MediTrust’s</w:t>
      </w:r>
      <w:proofErr w:type="spellEnd"/>
      <w:r w:rsidRPr="00C15AEE">
        <w:rPr>
          <w:rFonts w:ascii="Arial" w:hAnsi="Arial" w:cs="Arial"/>
          <w:i/>
          <w:iCs/>
        </w:rPr>
        <w:t xml:space="preserve"> critical data and AI assets while supporting secure EU expansion</w:t>
      </w:r>
      <w:r w:rsidRPr="00C15AEE">
        <w:rPr>
          <w:rFonts w:ascii="Arial" w:hAnsi="Arial" w:cs="Arial"/>
        </w:rPr>
        <w:t>.</w:t>
      </w:r>
    </w:p>
    <w:p w14:paraId="770B29DD" w14:textId="77777777" w:rsidR="00FD0FF1" w:rsidRPr="00BE33C2" w:rsidRDefault="00FD0FF1" w:rsidP="00BE33C2">
      <w:pPr>
        <w:pStyle w:val="Heading1"/>
        <w:rPr>
          <w:rFonts w:ascii="Arial" w:hAnsi="Arial" w:cs="Arial"/>
          <w:sz w:val="32"/>
          <w:szCs w:val="32"/>
        </w:rPr>
      </w:pPr>
    </w:p>
    <w:p w14:paraId="1B3851F9" w14:textId="721D8FFB" w:rsidR="00FD0FF1" w:rsidRPr="00BE33C2" w:rsidRDefault="00BE33C2" w:rsidP="00BE33C2">
      <w:pPr>
        <w:pStyle w:val="Heading1"/>
        <w:rPr>
          <w:rFonts w:ascii="Arial" w:hAnsi="Arial" w:cs="Arial"/>
          <w:b/>
          <w:bCs/>
          <w:sz w:val="32"/>
          <w:szCs w:val="32"/>
        </w:rPr>
      </w:pPr>
      <w:bookmarkStart w:id="89" w:name="_Toc227682471"/>
      <w:r w:rsidRPr="00BE33C2">
        <w:rPr>
          <w:rFonts w:ascii="Arial" w:hAnsi="Arial" w:cs="Arial"/>
          <w:b/>
          <w:bCs/>
          <w:sz w:val="32"/>
          <w:szCs w:val="32"/>
        </w:rPr>
        <w:t>7.</w:t>
      </w:r>
      <w:r w:rsidR="00FD0FF1" w:rsidRPr="00BE33C2">
        <w:rPr>
          <w:rFonts w:ascii="Arial" w:hAnsi="Arial" w:cs="Arial"/>
          <w:b/>
          <w:bCs/>
          <w:sz w:val="32"/>
          <w:szCs w:val="32"/>
        </w:rPr>
        <w:t>Medi</w:t>
      </w:r>
      <w:r w:rsidR="00077DB2">
        <w:rPr>
          <w:rFonts w:ascii="Arial" w:hAnsi="Arial" w:cs="Arial"/>
          <w:b/>
          <w:bCs/>
          <w:sz w:val="32"/>
          <w:szCs w:val="32"/>
        </w:rPr>
        <w:t>T</w:t>
      </w:r>
      <w:r w:rsidR="00FD0FF1" w:rsidRPr="00BE33C2">
        <w:rPr>
          <w:rFonts w:ascii="Arial" w:hAnsi="Arial" w:cs="Arial"/>
          <w:b/>
          <w:bCs/>
          <w:sz w:val="32"/>
          <w:szCs w:val="32"/>
        </w:rPr>
        <w:t>rust Protection Mechanisms (Modern Zero</w:t>
      </w:r>
      <w:r w:rsidR="00FD0FF1" w:rsidRPr="00BE33C2">
        <w:rPr>
          <w:rFonts w:ascii="Arial" w:hAnsi="Arial" w:cs="Arial"/>
          <w:b/>
          <w:bCs/>
          <w:sz w:val="32"/>
          <w:szCs w:val="32"/>
        </w:rPr>
        <w:noBreakHyphen/>
        <w:t>Trust Controls)</w:t>
      </w:r>
      <w:bookmarkEnd w:id="89"/>
    </w:p>
    <w:p w14:paraId="2E0A03D3" w14:textId="5EE4BB0C" w:rsidR="00C26995" w:rsidRDefault="00643517" w:rsidP="00FD0FF1">
      <w:pPr>
        <w:rPr>
          <w:rFonts w:ascii="Arial" w:hAnsi="Arial" w:cs="Arial"/>
          <w:b/>
          <w:bCs/>
        </w:rPr>
      </w:pPr>
      <w:proofErr w:type="spellStart"/>
      <w:r w:rsidRPr="00CC37F8">
        <w:rPr>
          <w:rFonts w:ascii="Arial" w:hAnsi="Arial" w:cs="Arial"/>
        </w:rPr>
        <w:t>MediTrust</w:t>
      </w:r>
      <w:proofErr w:type="spellEnd"/>
      <w:r w:rsidRPr="00CC37F8">
        <w:rPr>
          <w:rFonts w:ascii="Arial" w:hAnsi="Arial" w:cs="Arial"/>
        </w:rPr>
        <w:t xml:space="preserve"> Protection Mechanis</w:t>
      </w:r>
      <w:r w:rsidR="00CC37F8" w:rsidRPr="00CC37F8">
        <w:rPr>
          <w:rFonts w:ascii="Arial" w:hAnsi="Arial" w:cs="Arial"/>
        </w:rPr>
        <w:t>ms must cover all below</w:t>
      </w:r>
      <w:r w:rsidR="00CC37F8">
        <w:rPr>
          <w:rFonts w:ascii="Arial" w:hAnsi="Arial" w:cs="Arial"/>
          <w:b/>
          <w:bCs/>
        </w:rPr>
        <w:t>:</w:t>
      </w:r>
    </w:p>
    <w:p w14:paraId="5AAD72A8" w14:textId="274570ED" w:rsidR="00FD0FF1" w:rsidRPr="00FD0FF1" w:rsidRDefault="00FD0FF1" w:rsidP="00FD0FF1">
      <w:pPr>
        <w:rPr>
          <w:rFonts w:ascii="Arial" w:hAnsi="Arial" w:cs="Arial"/>
        </w:rPr>
      </w:pPr>
      <w:r w:rsidRPr="00FD0FF1">
        <w:rPr>
          <w:rFonts w:ascii="Arial" w:hAnsi="Arial" w:cs="Arial"/>
          <w:b/>
          <w:bCs/>
        </w:rPr>
        <w:t>Identity &amp; Access</w:t>
      </w:r>
    </w:p>
    <w:p w14:paraId="4B146F85" w14:textId="77777777" w:rsidR="00FD0FF1" w:rsidRPr="00FD0FF1" w:rsidRDefault="00FD0FF1" w:rsidP="00FD0FF1">
      <w:pPr>
        <w:numPr>
          <w:ilvl w:val="0"/>
          <w:numId w:val="31"/>
        </w:numPr>
        <w:rPr>
          <w:rFonts w:ascii="Arial" w:hAnsi="Arial" w:cs="Arial"/>
        </w:rPr>
      </w:pPr>
      <w:r w:rsidRPr="00FD0FF1">
        <w:rPr>
          <w:rFonts w:ascii="Arial" w:hAnsi="Arial" w:cs="Arial"/>
        </w:rPr>
        <w:t>Phishing</w:t>
      </w:r>
      <w:r w:rsidRPr="00FD0FF1">
        <w:rPr>
          <w:rFonts w:ascii="Arial" w:hAnsi="Arial" w:cs="Arial"/>
        </w:rPr>
        <w:noBreakHyphen/>
        <w:t>resistant MFA (FIDO2, Passkeys)</w:t>
      </w:r>
    </w:p>
    <w:p w14:paraId="6A072F02" w14:textId="77777777" w:rsidR="00FD0FF1" w:rsidRPr="00FD0FF1" w:rsidRDefault="00FD0FF1" w:rsidP="00FD0FF1">
      <w:pPr>
        <w:numPr>
          <w:ilvl w:val="0"/>
          <w:numId w:val="31"/>
        </w:numPr>
        <w:rPr>
          <w:rFonts w:ascii="Arial" w:hAnsi="Arial" w:cs="Arial"/>
        </w:rPr>
      </w:pPr>
      <w:r w:rsidRPr="00FD0FF1">
        <w:rPr>
          <w:rFonts w:ascii="Arial" w:hAnsi="Arial" w:cs="Arial"/>
        </w:rPr>
        <w:t>Just</w:t>
      </w:r>
      <w:r w:rsidRPr="00FD0FF1">
        <w:rPr>
          <w:rFonts w:ascii="Arial" w:hAnsi="Arial" w:cs="Arial"/>
        </w:rPr>
        <w:noBreakHyphen/>
        <w:t>in</w:t>
      </w:r>
      <w:r w:rsidRPr="00FD0FF1">
        <w:rPr>
          <w:rFonts w:ascii="Arial" w:hAnsi="Arial" w:cs="Arial"/>
        </w:rPr>
        <w:noBreakHyphen/>
        <w:t>time privileged access</w:t>
      </w:r>
    </w:p>
    <w:p w14:paraId="30A35CEF" w14:textId="77777777" w:rsidR="00FD0FF1" w:rsidRPr="00FD0FF1" w:rsidRDefault="00FD0FF1" w:rsidP="00FD0FF1">
      <w:pPr>
        <w:numPr>
          <w:ilvl w:val="0"/>
          <w:numId w:val="31"/>
        </w:numPr>
        <w:rPr>
          <w:rFonts w:ascii="Arial" w:hAnsi="Arial" w:cs="Arial"/>
        </w:rPr>
      </w:pPr>
      <w:r w:rsidRPr="00FD0FF1">
        <w:rPr>
          <w:rFonts w:ascii="Arial" w:hAnsi="Arial" w:cs="Arial"/>
        </w:rPr>
        <w:t>Continuous authentication using device posture and behavioural analytics</w:t>
      </w:r>
    </w:p>
    <w:p w14:paraId="0631044F" w14:textId="77777777" w:rsidR="00FD0FF1" w:rsidRPr="00FD0FF1" w:rsidRDefault="00FD0FF1" w:rsidP="00FD0FF1">
      <w:pPr>
        <w:rPr>
          <w:rFonts w:ascii="Arial" w:hAnsi="Arial" w:cs="Arial"/>
        </w:rPr>
      </w:pPr>
      <w:r w:rsidRPr="00FD0FF1">
        <w:rPr>
          <w:rFonts w:ascii="Arial" w:hAnsi="Arial" w:cs="Arial"/>
          <w:b/>
          <w:bCs/>
        </w:rPr>
        <w:t>Endpoint &amp; Network Security</w:t>
      </w:r>
    </w:p>
    <w:p w14:paraId="217F091E" w14:textId="77777777" w:rsidR="00FD0FF1" w:rsidRPr="00FD0FF1" w:rsidRDefault="00FD0FF1" w:rsidP="00FD0FF1">
      <w:pPr>
        <w:numPr>
          <w:ilvl w:val="0"/>
          <w:numId w:val="32"/>
        </w:numPr>
        <w:rPr>
          <w:rFonts w:ascii="Arial" w:hAnsi="Arial" w:cs="Arial"/>
        </w:rPr>
      </w:pPr>
      <w:r w:rsidRPr="00FD0FF1">
        <w:rPr>
          <w:rFonts w:ascii="Arial" w:hAnsi="Arial" w:cs="Arial"/>
        </w:rPr>
        <w:t>EDR/XDR with automated response</w:t>
      </w:r>
    </w:p>
    <w:p w14:paraId="218D8324" w14:textId="77777777" w:rsidR="00FD0FF1" w:rsidRPr="00FD0FF1" w:rsidRDefault="00FD0FF1" w:rsidP="00FD0FF1">
      <w:pPr>
        <w:numPr>
          <w:ilvl w:val="0"/>
          <w:numId w:val="32"/>
        </w:numPr>
        <w:rPr>
          <w:rFonts w:ascii="Arial" w:hAnsi="Arial" w:cs="Arial"/>
        </w:rPr>
      </w:pPr>
      <w:r w:rsidRPr="00FD0FF1">
        <w:rPr>
          <w:rFonts w:ascii="Arial" w:hAnsi="Arial" w:cs="Arial"/>
        </w:rPr>
        <w:t>Micro</w:t>
      </w:r>
      <w:r w:rsidRPr="00FD0FF1">
        <w:rPr>
          <w:rFonts w:ascii="Arial" w:hAnsi="Arial" w:cs="Arial"/>
        </w:rPr>
        <w:noBreakHyphen/>
        <w:t>segmentation for cloud workloads</w:t>
      </w:r>
    </w:p>
    <w:p w14:paraId="4CECBB3E" w14:textId="77777777" w:rsidR="00FD0FF1" w:rsidRPr="00FD0FF1" w:rsidRDefault="00FD0FF1" w:rsidP="00FD0FF1">
      <w:pPr>
        <w:numPr>
          <w:ilvl w:val="0"/>
          <w:numId w:val="32"/>
        </w:numPr>
        <w:rPr>
          <w:rFonts w:ascii="Arial" w:hAnsi="Arial" w:cs="Arial"/>
        </w:rPr>
      </w:pPr>
      <w:r w:rsidRPr="00FD0FF1">
        <w:rPr>
          <w:rFonts w:ascii="Arial" w:hAnsi="Arial" w:cs="Arial"/>
        </w:rPr>
        <w:t>Zero Trust Network Access (ZTNA) replacing VPNs</w:t>
      </w:r>
    </w:p>
    <w:p w14:paraId="30D81816" w14:textId="77777777" w:rsidR="00FD0FF1" w:rsidRPr="00FD0FF1" w:rsidRDefault="00FD0FF1" w:rsidP="00FD0FF1">
      <w:pPr>
        <w:rPr>
          <w:rFonts w:ascii="Arial" w:hAnsi="Arial" w:cs="Arial"/>
        </w:rPr>
      </w:pPr>
      <w:r w:rsidRPr="00FD0FF1">
        <w:rPr>
          <w:rFonts w:ascii="Arial" w:hAnsi="Arial" w:cs="Arial"/>
          <w:b/>
          <w:bCs/>
        </w:rPr>
        <w:lastRenderedPageBreak/>
        <w:t>Cloud &amp; SaaS Security</w:t>
      </w:r>
    </w:p>
    <w:p w14:paraId="6D20C04F" w14:textId="77777777" w:rsidR="00FD0FF1" w:rsidRPr="00FD0FF1" w:rsidRDefault="00FD0FF1" w:rsidP="00FD0FF1">
      <w:pPr>
        <w:numPr>
          <w:ilvl w:val="0"/>
          <w:numId w:val="33"/>
        </w:numPr>
        <w:rPr>
          <w:rFonts w:ascii="Arial" w:hAnsi="Arial" w:cs="Arial"/>
        </w:rPr>
      </w:pPr>
      <w:r w:rsidRPr="00FD0FF1">
        <w:rPr>
          <w:rFonts w:ascii="Arial" w:hAnsi="Arial" w:cs="Arial"/>
        </w:rPr>
        <w:t>CSPM for continuous misconfiguration detection</w:t>
      </w:r>
    </w:p>
    <w:p w14:paraId="1C7E7902" w14:textId="77777777" w:rsidR="00FD0FF1" w:rsidRPr="00FD0FF1" w:rsidRDefault="00FD0FF1" w:rsidP="00FD0FF1">
      <w:pPr>
        <w:numPr>
          <w:ilvl w:val="0"/>
          <w:numId w:val="33"/>
        </w:numPr>
        <w:rPr>
          <w:rFonts w:ascii="Arial" w:hAnsi="Arial" w:cs="Arial"/>
        </w:rPr>
      </w:pPr>
      <w:r w:rsidRPr="00FD0FF1">
        <w:rPr>
          <w:rFonts w:ascii="Arial" w:hAnsi="Arial" w:cs="Arial"/>
        </w:rPr>
        <w:t>CIEM for multi</w:t>
      </w:r>
      <w:r w:rsidRPr="00FD0FF1">
        <w:rPr>
          <w:rFonts w:ascii="Arial" w:hAnsi="Arial" w:cs="Arial"/>
        </w:rPr>
        <w:noBreakHyphen/>
        <w:t>cloud identity governance</w:t>
      </w:r>
    </w:p>
    <w:p w14:paraId="3AF50131" w14:textId="77777777" w:rsidR="00FD0FF1" w:rsidRPr="00FD0FF1" w:rsidRDefault="00FD0FF1" w:rsidP="00FD0FF1">
      <w:pPr>
        <w:numPr>
          <w:ilvl w:val="0"/>
          <w:numId w:val="33"/>
        </w:numPr>
        <w:rPr>
          <w:rFonts w:ascii="Arial" w:hAnsi="Arial" w:cs="Arial"/>
        </w:rPr>
      </w:pPr>
      <w:r w:rsidRPr="00FD0FF1">
        <w:rPr>
          <w:rFonts w:ascii="Arial" w:hAnsi="Arial" w:cs="Arial"/>
        </w:rPr>
        <w:t>CASB for SaaS visibility and control</w:t>
      </w:r>
    </w:p>
    <w:p w14:paraId="643B88DE" w14:textId="77777777" w:rsidR="00FD0FF1" w:rsidRPr="00FD0FF1" w:rsidRDefault="00FD0FF1" w:rsidP="00FD0FF1">
      <w:pPr>
        <w:rPr>
          <w:rFonts w:ascii="Arial" w:hAnsi="Arial" w:cs="Arial"/>
        </w:rPr>
      </w:pPr>
      <w:r w:rsidRPr="00FD0FF1">
        <w:rPr>
          <w:rFonts w:ascii="Arial" w:hAnsi="Arial" w:cs="Arial"/>
          <w:b/>
          <w:bCs/>
        </w:rPr>
        <w:t>Monitoring &amp; Detection</w:t>
      </w:r>
    </w:p>
    <w:p w14:paraId="5AFEA535" w14:textId="77777777" w:rsidR="00FD0FF1" w:rsidRPr="00FD0FF1" w:rsidRDefault="00FD0FF1" w:rsidP="00FD0FF1">
      <w:pPr>
        <w:numPr>
          <w:ilvl w:val="0"/>
          <w:numId w:val="34"/>
        </w:numPr>
        <w:rPr>
          <w:rFonts w:ascii="Arial" w:hAnsi="Arial" w:cs="Arial"/>
        </w:rPr>
      </w:pPr>
      <w:r w:rsidRPr="00FD0FF1">
        <w:rPr>
          <w:rFonts w:ascii="Arial" w:hAnsi="Arial" w:cs="Arial"/>
        </w:rPr>
        <w:t>SIEM with healthcare</w:t>
      </w:r>
      <w:r w:rsidRPr="00FD0FF1">
        <w:rPr>
          <w:rFonts w:ascii="Arial" w:hAnsi="Arial" w:cs="Arial"/>
        </w:rPr>
        <w:noBreakHyphen/>
        <w:t>specific detection rules</w:t>
      </w:r>
    </w:p>
    <w:p w14:paraId="7614C60E" w14:textId="77777777" w:rsidR="00FD0FF1" w:rsidRPr="00FD0FF1" w:rsidRDefault="00FD0FF1" w:rsidP="00FD0FF1">
      <w:pPr>
        <w:numPr>
          <w:ilvl w:val="0"/>
          <w:numId w:val="34"/>
        </w:numPr>
        <w:rPr>
          <w:rFonts w:ascii="Arial" w:hAnsi="Arial" w:cs="Arial"/>
        </w:rPr>
      </w:pPr>
      <w:r w:rsidRPr="00FD0FF1">
        <w:rPr>
          <w:rFonts w:ascii="Arial" w:hAnsi="Arial" w:cs="Arial"/>
        </w:rPr>
        <w:t>UEBA for insider</w:t>
      </w:r>
      <w:r w:rsidRPr="00FD0FF1">
        <w:rPr>
          <w:rFonts w:ascii="Arial" w:hAnsi="Arial" w:cs="Arial"/>
        </w:rPr>
        <w:noBreakHyphen/>
        <w:t>threat detection</w:t>
      </w:r>
    </w:p>
    <w:p w14:paraId="20A4556A" w14:textId="5CFEE3B2" w:rsidR="00FD0FF1" w:rsidRDefault="00FD0FF1" w:rsidP="00D43BEE">
      <w:pPr>
        <w:numPr>
          <w:ilvl w:val="0"/>
          <w:numId w:val="34"/>
        </w:numPr>
        <w:rPr>
          <w:rFonts w:ascii="Arial" w:hAnsi="Arial" w:cs="Arial"/>
        </w:rPr>
      </w:pPr>
      <w:r w:rsidRPr="00FD0FF1">
        <w:rPr>
          <w:rFonts w:ascii="Arial" w:hAnsi="Arial" w:cs="Arial"/>
        </w:rPr>
        <w:t>ML</w:t>
      </w:r>
      <w:r w:rsidRPr="00FD0FF1">
        <w:rPr>
          <w:rFonts w:ascii="Arial" w:hAnsi="Arial" w:cs="Arial"/>
        </w:rPr>
        <w:noBreakHyphen/>
        <w:t>driven anomaly detection for IoT medical devices</w:t>
      </w:r>
    </w:p>
    <w:p w14:paraId="18845811" w14:textId="77777777" w:rsidR="00634E0C" w:rsidRPr="00294348" w:rsidRDefault="00634E0C" w:rsidP="00634E0C">
      <w:pPr>
        <w:ind w:left="360"/>
        <w:rPr>
          <w:rFonts w:ascii="Arial" w:hAnsi="Arial" w:cs="Arial"/>
        </w:rPr>
      </w:pPr>
    </w:p>
    <w:p w14:paraId="565BB0B1" w14:textId="25D1F046" w:rsidR="00C15AEE" w:rsidRPr="00634E0C" w:rsidRDefault="00294348" w:rsidP="00634E0C">
      <w:pPr>
        <w:rPr>
          <w:rFonts w:ascii="Arial" w:hAnsi="Arial" w:cs="Arial"/>
        </w:rPr>
      </w:pPr>
      <w:proofErr w:type="spellStart"/>
      <w:r w:rsidRPr="00294348">
        <w:rPr>
          <w:rFonts w:ascii="Arial" w:hAnsi="Arial" w:cs="Arial"/>
          <w:i/>
          <w:iCs/>
        </w:rPr>
        <w:t>MediTrust’s</w:t>
      </w:r>
      <w:proofErr w:type="spellEnd"/>
      <w:r w:rsidRPr="00294348">
        <w:rPr>
          <w:rFonts w:ascii="Arial" w:hAnsi="Arial" w:cs="Arial"/>
          <w:i/>
          <w:iCs/>
        </w:rPr>
        <w:t xml:space="preserve"> Zero Trust controls strengthen security across all domains, ensuring resilient and secure healthcare operations</w:t>
      </w:r>
      <w:r w:rsidRPr="00294348">
        <w:rPr>
          <w:rFonts w:ascii="Arial" w:hAnsi="Arial" w:cs="Arial"/>
        </w:rPr>
        <w:t>.</w:t>
      </w:r>
    </w:p>
    <w:p w14:paraId="7A258485" w14:textId="22BA0B99" w:rsidR="0072608C" w:rsidRPr="00042468" w:rsidRDefault="00042468" w:rsidP="00042468">
      <w:pPr>
        <w:pStyle w:val="Heading1"/>
        <w:rPr>
          <w:rFonts w:ascii="Arial" w:hAnsi="Arial" w:cs="Arial"/>
          <w:b/>
          <w:bCs/>
          <w:sz w:val="32"/>
          <w:szCs w:val="32"/>
        </w:rPr>
      </w:pPr>
      <w:bookmarkStart w:id="90" w:name="_Toc227682472"/>
      <w:r w:rsidRPr="00042468">
        <w:rPr>
          <w:rFonts w:ascii="Arial" w:hAnsi="Arial" w:cs="Arial"/>
          <w:b/>
          <w:bCs/>
          <w:sz w:val="32"/>
          <w:szCs w:val="32"/>
        </w:rPr>
        <w:t>COCLUSION</w:t>
      </w:r>
      <w:bookmarkEnd w:id="90"/>
    </w:p>
    <w:p w14:paraId="6EAD2190" w14:textId="77777777" w:rsidR="0072608C" w:rsidRDefault="0072608C" w:rsidP="002C12D9">
      <w:pPr>
        <w:rPr>
          <w:rFonts w:ascii="Arial" w:hAnsi="Arial" w:cs="Arial"/>
        </w:rPr>
      </w:pPr>
    </w:p>
    <w:p w14:paraId="41CD0838" w14:textId="0C59DE2D" w:rsidR="004013F9" w:rsidRDefault="0072608C" w:rsidP="002C12D9">
      <w:pPr>
        <w:rPr>
          <w:rFonts w:ascii="Arial" w:hAnsi="Arial" w:cs="Arial"/>
        </w:rPr>
      </w:pPr>
      <w:proofErr w:type="spellStart"/>
      <w:r w:rsidRPr="0072608C">
        <w:rPr>
          <w:rFonts w:ascii="Arial" w:hAnsi="Arial" w:cs="Arial"/>
        </w:rPr>
        <w:t>MediTrust’s</w:t>
      </w:r>
      <w:proofErr w:type="spellEnd"/>
      <w:r w:rsidRPr="0072608C">
        <w:rPr>
          <w:rFonts w:ascii="Arial" w:hAnsi="Arial" w:cs="Arial"/>
        </w:rPr>
        <w:t xml:space="preserve"> expansion into the EU requires a modern, </w:t>
      </w:r>
      <w:proofErr w:type="gramStart"/>
      <w:r w:rsidRPr="0072608C">
        <w:rPr>
          <w:rFonts w:ascii="Arial" w:hAnsi="Arial" w:cs="Arial"/>
        </w:rPr>
        <w:t>Zero</w:t>
      </w:r>
      <w:proofErr w:type="gramEnd"/>
      <w:r w:rsidRPr="0072608C">
        <w:rPr>
          <w:rFonts w:ascii="Arial" w:hAnsi="Arial" w:cs="Arial"/>
        </w:rPr>
        <w:noBreakHyphen/>
        <w:t>Trust</w:t>
      </w:r>
      <w:r w:rsidRPr="0072608C">
        <w:rPr>
          <w:rFonts w:ascii="Arial" w:hAnsi="Arial" w:cs="Arial"/>
        </w:rPr>
        <w:noBreakHyphen/>
        <w:t>aligned security programme that strengthens governance, protects sensitive clinical data, and meets the regulatory demands of GDPR, DORA, and NIS2. By establishing dedicated security roles, implementing strong policies, adopting NIST CSF 2.0 as a governance model, and deploying advanced controls such as CSPM, SIEM, EDR, and phishing</w:t>
      </w:r>
      <w:r w:rsidRPr="0072608C">
        <w:rPr>
          <w:rFonts w:ascii="Arial" w:hAnsi="Arial" w:cs="Arial"/>
        </w:rPr>
        <w:noBreakHyphen/>
        <w:t>resistant MFA, the organisation can address key risks across its AI, cloud, and supply</w:t>
      </w:r>
      <w:r w:rsidRPr="0072608C">
        <w:rPr>
          <w:rFonts w:ascii="Arial" w:hAnsi="Arial" w:cs="Arial"/>
        </w:rPr>
        <w:noBreakHyphen/>
        <w:t xml:space="preserve">chain environments. This approach enhances operational resilience, supports regulatory compliance, and enables </w:t>
      </w:r>
      <w:proofErr w:type="spellStart"/>
      <w:r w:rsidRPr="0072608C">
        <w:rPr>
          <w:rFonts w:ascii="Arial" w:hAnsi="Arial" w:cs="Arial"/>
        </w:rPr>
        <w:t>MediTrust</w:t>
      </w:r>
      <w:proofErr w:type="spellEnd"/>
      <w:r w:rsidRPr="0072608C">
        <w:rPr>
          <w:rFonts w:ascii="Arial" w:hAnsi="Arial" w:cs="Arial"/>
        </w:rPr>
        <w:t xml:space="preserve"> to scale securely and confidently within the EU healthcare market.</w:t>
      </w:r>
    </w:p>
    <w:p w14:paraId="18811AA8" w14:textId="77777777" w:rsidR="004013F9" w:rsidRDefault="004013F9" w:rsidP="002C12D9">
      <w:pPr>
        <w:rPr>
          <w:rFonts w:ascii="Arial" w:hAnsi="Arial" w:cs="Arial"/>
        </w:rPr>
      </w:pPr>
    </w:p>
    <w:p w14:paraId="641ED441" w14:textId="77777777" w:rsidR="004013F9" w:rsidRPr="00860D1E" w:rsidRDefault="004013F9" w:rsidP="002C12D9">
      <w:pPr>
        <w:rPr>
          <w:rFonts w:ascii="Arial" w:hAnsi="Arial" w:cs="Arial"/>
        </w:rPr>
      </w:pPr>
    </w:p>
    <w:p w14:paraId="3E5A02A8" w14:textId="77777777" w:rsidR="00823FA4" w:rsidRPr="00860D1E" w:rsidRDefault="00823FA4" w:rsidP="002C12D9">
      <w:pPr>
        <w:rPr>
          <w:rFonts w:ascii="Arial" w:hAnsi="Arial" w:cs="Arial"/>
        </w:rPr>
      </w:pPr>
    </w:p>
    <w:bookmarkStart w:id="91" w:name="_Toc227682473" w:displacedByCustomXml="next"/>
    <w:sdt>
      <w:sdtPr>
        <w:rPr>
          <w:rFonts w:asciiTheme="minorHAnsi" w:eastAsiaTheme="minorHAnsi" w:hAnsiTheme="minorHAnsi" w:cstheme="minorBidi"/>
          <w:color w:val="auto"/>
          <w:sz w:val="22"/>
          <w:szCs w:val="22"/>
        </w:rPr>
        <w:id w:val="-986864275"/>
        <w:docPartObj>
          <w:docPartGallery w:val="Bibliographies"/>
          <w:docPartUnique/>
        </w:docPartObj>
      </w:sdtPr>
      <w:sdtEndPr/>
      <w:sdtContent>
        <w:p w14:paraId="29CAE8AA" w14:textId="64764291" w:rsidR="00D36C4B" w:rsidRPr="00780F55" w:rsidRDefault="00D36C4B" w:rsidP="0073724E">
          <w:pPr>
            <w:pStyle w:val="Heading1"/>
            <w:jc w:val="both"/>
            <w:rPr>
              <w:rFonts w:ascii="Arial" w:hAnsi="Arial" w:cs="Arial"/>
              <w:sz w:val="32"/>
              <w:szCs w:val="32"/>
            </w:rPr>
          </w:pPr>
          <w:r w:rsidRPr="00780F55">
            <w:rPr>
              <w:rFonts w:ascii="Arial" w:hAnsi="Arial" w:cs="Arial"/>
              <w:sz w:val="32"/>
              <w:szCs w:val="32"/>
            </w:rPr>
            <w:t>References</w:t>
          </w:r>
          <w:bookmarkEnd w:id="91"/>
        </w:p>
        <w:sdt>
          <w:sdtPr>
            <w:id w:val="-573587230"/>
            <w:bibliography/>
          </w:sdtPr>
          <w:sdtEndPr/>
          <w:sdtContent>
            <w:p w14:paraId="3B5353C0" w14:textId="77777777" w:rsidR="00D3013B" w:rsidRDefault="00D36C4B" w:rsidP="0073724E">
              <w:pPr>
                <w:jc w:val="both"/>
                <w:rPr>
                  <w:noProof/>
                </w:rPr>
              </w:pPr>
              <w:r w:rsidRPr="00860D1E">
                <w:fldChar w:fldCharType="begin"/>
              </w:r>
              <w:r w:rsidRPr="00860D1E">
                <w:instrText xml:space="preserve"> BIBLIOGRAPHY </w:instrText>
              </w:r>
              <w:r w:rsidRPr="00860D1E">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D3013B" w14:paraId="7B24A6A0" w14:textId="77777777">
                <w:trPr>
                  <w:divId w:val="1555965328"/>
                  <w:tblCellSpacing w:w="15" w:type="dxa"/>
                </w:trPr>
                <w:tc>
                  <w:tcPr>
                    <w:tcW w:w="50" w:type="pct"/>
                    <w:hideMark/>
                  </w:tcPr>
                  <w:p w14:paraId="26175A69" w14:textId="4016875A" w:rsidR="00D3013B" w:rsidRDefault="00D3013B">
                    <w:pPr>
                      <w:pStyle w:val="Bibliography"/>
                      <w:rPr>
                        <w:noProof/>
                        <w:kern w:val="0"/>
                        <w:sz w:val="24"/>
                        <w:szCs w:val="24"/>
                        <w14:ligatures w14:val="none"/>
                      </w:rPr>
                    </w:pPr>
                    <w:r>
                      <w:rPr>
                        <w:noProof/>
                      </w:rPr>
                      <w:t xml:space="preserve">[1] </w:t>
                    </w:r>
                  </w:p>
                </w:tc>
                <w:tc>
                  <w:tcPr>
                    <w:tcW w:w="0" w:type="auto"/>
                    <w:hideMark/>
                  </w:tcPr>
                  <w:p w14:paraId="68F431BA" w14:textId="77777777" w:rsidR="00D3013B" w:rsidRDefault="00D3013B">
                    <w:pPr>
                      <w:pStyle w:val="Bibliography"/>
                      <w:rPr>
                        <w:noProof/>
                      </w:rPr>
                    </w:pPr>
                    <w:r>
                      <w:rPr>
                        <w:noProof/>
                      </w:rPr>
                      <w:t xml:space="preserve">S. Jangampeta and S. K. R. Khambam, “The Role of Data Security in SIEM Compliance: Meeting Regulatory Requirements and Data Protection Standards,” </w:t>
                    </w:r>
                    <w:r>
                      <w:rPr>
                        <w:i/>
                        <w:iCs/>
                        <w:noProof/>
                      </w:rPr>
                      <w:t xml:space="preserve">Turkish journal of computer and mathematics education, </w:t>
                    </w:r>
                    <w:r>
                      <w:rPr>
                        <w:noProof/>
                      </w:rPr>
                      <w:t xml:space="preserve">vol. Vol.10 , no. 1, pp. p.685-688, 2019. </w:t>
                    </w:r>
                  </w:p>
                </w:tc>
              </w:tr>
              <w:tr w:rsidR="00D3013B" w14:paraId="059F9AD8" w14:textId="77777777">
                <w:trPr>
                  <w:divId w:val="1555965328"/>
                  <w:tblCellSpacing w:w="15" w:type="dxa"/>
                </w:trPr>
                <w:tc>
                  <w:tcPr>
                    <w:tcW w:w="50" w:type="pct"/>
                    <w:hideMark/>
                  </w:tcPr>
                  <w:p w14:paraId="48194435" w14:textId="77777777" w:rsidR="00D3013B" w:rsidRDefault="00D3013B">
                    <w:pPr>
                      <w:pStyle w:val="Bibliography"/>
                      <w:rPr>
                        <w:noProof/>
                      </w:rPr>
                    </w:pPr>
                    <w:r>
                      <w:rPr>
                        <w:noProof/>
                      </w:rPr>
                      <w:t xml:space="preserve">[2] </w:t>
                    </w:r>
                  </w:p>
                </w:tc>
                <w:tc>
                  <w:tcPr>
                    <w:tcW w:w="0" w:type="auto"/>
                    <w:hideMark/>
                  </w:tcPr>
                  <w:p w14:paraId="0C5A774E" w14:textId="77777777" w:rsidR="00D3013B" w:rsidRDefault="00D3013B">
                    <w:pPr>
                      <w:pStyle w:val="Bibliography"/>
                      <w:rPr>
                        <w:noProof/>
                      </w:rPr>
                    </w:pPr>
                    <w:r>
                      <w:rPr>
                        <w:noProof/>
                      </w:rPr>
                      <w:t xml:space="preserve">A. Masood and H. Dawe, esponsible AI in the Enterprise: Practical AI risk management for explainable, auditable, and safe models with hyperscalers and Azure OpenAI, Birmingham: Packt Publishing, 2023. </w:t>
                    </w:r>
                  </w:p>
                </w:tc>
              </w:tr>
              <w:tr w:rsidR="00D3013B" w14:paraId="1D013AEB" w14:textId="77777777">
                <w:trPr>
                  <w:divId w:val="1555965328"/>
                  <w:tblCellSpacing w:w="15" w:type="dxa"/>
                </w:trPr>
                <w:tc>
                  <w:tcPr>
                    <w:tcW w:w="50" w:type="pct"/>
                    <w:hideMark/>
                  </w:tcPr>
                  <w:p w14:paraId="57040A16" w14:textId="77777777" w:rsidR="00D3013B" w:rsidRDefault="00D3013B">
                    <w:pPr>
                      <w:pStyle w:val="Bibliography"/>
                      <w:rPr>
                        <w:noProof/>
                      </w:rPr>
                    </w:pPr>
                    <w:r>
                      <w:rPr>
                        <w:noProof/>
                      </w:rPr>
                      <w:t xml:space="preserve">[3] </w:t>
                    </w:r>
                  </w:p>
                </w:tc>
                <w:tc>
                  <w:tcPr>
                    <w:tcW w:w="0" w:type="auto"/>
                    <w:hideMark/>
                  </w:tcPr>
                  <w:p w14:paraId="5103E1FB" w14:textId="77777777" w:rsidR="00D3013B" w:rsidRDefault="00D3013B">
                    <w:pPr>
                      <w:pStyle w:val="Bibliography"/>
                      <w:rPr>
                        <w:noProof/>
                      </w:rPr>
                    </w:pPr>
                    <w:r>
                      <w:rPr>
                        <w:noProof/>
                      </w:rPr>
                      <w:t xml:space="preserve">H. O. Gonçalves, J. C. Pereira, R. Amaral, D. Porto and C. Esteves, “Risk Analysis in Artificial Intelligence Systems: an Evaluation of a Hybrid FMEA-ML Approach for Failure </w:t>
                    </w:r>
                    <w:r>
                      <w:rPr>
                        <w:noProof/>
                      </w:rPr>
                      <w:lastRenderedPageBreak/>
                      <w:t xml:space="preserve">Assessment in Machine Learning Models,” </w:t>
                    </w:r>
                    <w:r>
                      <w:rPr>
                        <w:i/>
                        <w:iCs/>
                        <w:noProof/>
                      </w:rPr>
                      <w:t xml:space="preserve">GeSec : Revista de Gestão e Secretariado, </w:t>
                    </w:r>
                    <w:r>
                      <w:rPr>
                        <w:noProof/>
                      </w:rPr>
                      <w:t xml:space="preserve">vol. 16 , no. 9, p. p.e5244, 2025. </w:t>
                    </w:r>
                  </w:p>
                </w:tc>
              </w:tr>
              <w:tr w:rsidR="00D3013B" w14:paraId="3036C260" w14:textId="77777777">
                <w:trPr>
                  <w:divId w:val="1555965328"/>
                  <w:tblCellSpacing w:w="15" w:type="dxa"/>
                </w:trPr>
                <w:tc>
                  <w:tcPr>
                    <w:tcW w:w="50" w:type="pct"/>
                    <w:hideMark/>
                  </w:tcPr>
                  <w:p w14:paraId="533E0FF4" w14:textId="77777777" w:rsidR="00D3013B" w:rsidRDefault="00D3013B">
                    <w:pPr>
                      <w:pStyle w:val="Bibliography"/>
                      <w:rPr>
                        <w:noProof/>
                      </w:rPr>
                    </w:pPr>
                    <w:r>
                      <w:rPr>
                        <w:noProof/>
                      </w:rPr>
                      <w:lastRenderedPageBreak/>
                      <w:t xml:space="preserve">[4] </w:t>
                    </w:r>
                  </w:p>
                </w:tc>
                <w:tc>
                  <w:tcPr>
                    <w:tcW w:w="0" w:type="auto"/>
                    <w:hideMark/>
                  </w:tcPr>
                  <w:p w14:paraId="0EF6E187" w14:textId="77777777" w:rsidR="00D3013B" w:rsidRDefault="00D3013B">
                    <w:pPr>
                      <w:pStyle w:val="Bibliography"/>
                      <w:rPr>
                        <w:noProof/>
                      </w:rPr>
                    </w:pPr>
                    <w:r>
                      <w:rPr>
                        <w:noProof/>
                      </w:rPr>
                      <w:t xml:space="preserve">L. Mauri and E. Damiani, “Modeling Threats to AI &amp; ML Systems using STRDE,” </w:t>
                    </w:r>
                    <w:r>
                      <w:rPr>
                        <w:i/>
                        <w:iCs/>
                        <w:noProof/>
                      </w:rPr>
                      <w:t xml:space="preserve">Sensors, </w:t>
                    </w:r>
                    <w:r>
                      <w:rPr>
                        <w:noProof/>
                      </w:rPr>
                      <w:t xml:space="preserve">vol. 22, no. 17, p. 6662, 2022. </w:t>
                    </w:r>
                  </w:p>
                </w:tc>
              </w:tr>
              <w:tr w:rsidR="00D3013B" w14:paraId="05C90B0C" w14:textId="77777777">
                <w:trPr>
                  <w:divId w:val="1555965328"/>
                  <w:tblCellSpacing w:w="15" w:type="dxa"/>
                </w:trPr>
                <w:tc>
                  <w:tcPr>
                    <w:tcW w:w="50" w:type="pct"/>
                    <w:hideMark/>
                  </w:tcPr>
                  <w:p w14:paraId="3FCB978B" w14:textId="77777777" w:rsidR="00D3013B" w:rsidRDefault="00D3013B">
                    <w:pPr>
                      <w:pStyle w:val="Bibliography"/>
                      <w:rPr>
                        <w:noProof/>
                      </w:rPr>
                    </w:pPr>
                    <w:r>
                      <w:rPr>
                        <w:noProof/>
                      </w:rPr>
                      <w:t xml:space="preserve">[5] </w:t>
                    </w:r>
                  </w:p>
                </w:tc>
                <w:tc>
                  <w:tcPr>
                    <w:tcW w:w="0" w:type="auto"/>
                    <w:hideMark/>
                  </w:tcPr>
                  <w:p w14:paraId="008191F5" w14:textId="77777777" w:rsidR="00D3013B" w:rsidRDefault="00D3013B">
                    <w:pPr>
                      <w:pStyle w:val="Bibliography"/>
                      <w:rPr>
                        <w:noProof/>
                      </w:rPr>
                    </w:pPr>
                    <w:r>
                      <w:rPr>
                        <w:noProof/>
                      </w:rPr>
                      <w:t xml:space="preserve">H. O. Gonçalves, J. C. Pereira, R. Amaral, D. Porto and C. Esteves, “Risk Analysis in Artificial Intelligence Systems: an Evaluation of a Hybrid FMEA-ML Approach for Failure Assessment in Machine Learning Models,” </w:t>
                    </w:r>
                    <w:r>
                      <w:rPr>
                        <w:i/>
                        <w:iCs/>
                        <w:noProof/>
                      </w:rPr>
                      <w:t xml:space="preserve">GeSec : Revista de Gestão e Secretariado, </w:t>
                    </w:r>
                    <w:r>
                      <w:rPr>
                        <w:noProof/>
                      </w:rPr>
                      <w:t xml:space="preserve">vol. 16, no. 9, p. p.e5244, 2025. </w:t>
                    </w:r>
                  </w:p>
                </w:tc>
              </w:tr>
              <w:tr w:rsidR="00D3013B" w14:paraId="0A10D582" w14:textId="77777777">
                <w:trPr>
                  <w:divId w:val="1555965328"/>
                  <w:tblCellSpacing w:w="15" w:type="dxa"/>
                </w:trPr>
                <w:tc>
                  <w:tcPr>
                    <w:tcW w:w="50" w:type="pct"/>
                    <w:hideMark/>
                  </w:tcPr>
                  <w:p w14:paraId="0CB970D4" w14:textId="77777777" w:rsidR="00D3013B" w:rsidRDefault="00D3013B">
                    <w:pPr>
                      <w:pStyle w:val="Bibliography"/>
                      <w:rPr>
                        <w:noProof/>
                      </w:rPr>
                    </w:pPr>
                    <w:r>
                      <w:rPr>
                        <w:noProof/>
                      </w:rPr>
                      <w:t xml:space="preserve">[6] </w:t>
                    </w:r>
                  </w:p>
                </w:tc>
                <w:tc>
                  <w:tcPr>
                    <w:tcW w:w="0" w:type="auto"/>
                    <w:hideMark/>
                  </w:tcPr>
                  <w:p w14:paraId="412A2D18" w14:textId="77777777" w:rsidR="00D3013B" w:rsidRDefault="00D3013B">
                    <w:pPr>
                      <w:pStyle w:val="Bibliography"/>
                      <w:rPr>
                        <w:noProof/>
                      </w:rPr>
                    </w:pPr>
                    <w:r>
                      <w:rPr>
                        <w:noProof/>
                      </w:rPr>
                      <w:t xml:space="preserve">M. Taddeo, The Ethics of Artificial Intelligence in Defence, New York: Oxford University Press, 2024. </w:t>
                    </w:r>
                  </w:p>
                </w:tc>
              </w:tr>
              <w:tr w:rsidR="00D3013B" w14:paraId="53CA1EC8" w14:textId="77777777">
                <w:trPr>
                  <w:divId w:val="1555965328"/>
                  <w:tblCellSpacing w:w="15" w:type="dxa"/>
                </w:trPr>
                <w:tc>
                  <w:tcPr>
                    <w:tcW w:w="50" w:type="pct"/>
                    <w:hideMark/>
                  </w:tcPr>
                  <w:p w14:paraId="42DB9579" w14:textId="77777777" w:rsidR="00D3013B" w:rsidRDefault="00D3013B">
                    <w:pPr>
                      <w:pStyle w:val="Bibliography"/>
                      <w:rPr>
                        <w:noProof/>
                      </w:rPr>
                    </w:pPr>
                    <w:r>
                      <w:rPr>
                        <w:noProof/>
                      </w:rPr>
                      <w:t xml:space="preserve">[7] </w:t>
                    </w:r>
                  </w:p>
                </w:tc>
                <w:tc>
                  <w:tcPr>
                    <w:tcW w:w="0" w:type="auto"/>
                    <w:hideMark/>
                  </w:tcPr>
                  <w:p w14:paraId="7D02141A" w14:textId="77777777" w:rsidR="00D3013B" w:rsidRDefault="00D3013B">
                    <w:pPr>
                      <w:pStyle w:val="Bibliography"/>
                      <w:rPr>
                        <w:noProof/>
                      </w:rPr>
                    </w:pPr>
                    <w:r>
                      <w:rPr>
                        <w:noProof/>
                      </w:rPr>
                      <w:t xml:space="preserve">I. Atoum and S. Altahat, “Unpacking the drivers of artificial intelligence regulation: driving forces and critical controls in artificial intelligence governance,” </w:t>
                    </w:r>
                    <w:r>
                      <w:rPr>
                        <w:i/>
                        <w:iCs/>
                        <w:noProof/>
                      </w:rPr>
                      <w:t xml:space="preserve">IAES international journal of artificial intelligence, </w:t>
                    </w:r>
                    <w:r>
                      <w:rPr>
                        <w:noProof/>
                      </w:rPr>
                      <w:t xml:space="preserve">vol. 14, no. 4, p. 2655, 2025. </w:t>
                    </w:r>
                  </w:p>
                </w:tc>
              </w:tr>
              <w:tr w:rsidR="00D3013B" w14:paraId="03CF223A" w14:textId="77777777">
                <w:trPr>
                  <w:divId w:val="1555965328"/>
                  <w:tblCellSpacing w:w="15" w:type="dxa"/>
                </w:trPr>
                <w:tc>
                  <w:tcPr>
                    <w:tcW w:w="50" w:type="pct"/>
                    <w:hideMark/>
                  </w:tcPr>
                  <w:p w14:paraId="0C0BC9E2" w14:textId="77777777" w:rsidR="00D3013B" w:rsidRDefault="00D3013B">
                    <w:pPr>
                      <w:pStyle w:val="Bibliography"/>
                      <w:rPr>
                        <w:noProof/>
                      </w:rPr>
                    </w:pPr>
                    <w:r>
                      <w:rPr>
                        <w:noProof/>
                      </w:rPr>
                      <w:t xml:space="preserve">[8] </w:t>
                    </w:r>
                  </w:p>
                </w:tc>
                <w:tc>
                  <w:tcPr>
                    <w:tcW w:w="0" w:type="auto"/>
                    <w:hideMark/>
                  </w:tcPr>
                  <w:p w14:paraId="3B4C93CE" w14:textId="77777777" w:rsidR="00D3013B" w:rsidRDefault="00D3013B">
                    <w:pPr>
                      <w:pStyle w:val="Bibliography"/>
                      <w:rPr>
                        <w:noProof/>
                      </w:rPr>
                    </w:pPr>
                    <w:r>
                      <w:rPr>
                        <w:noProof/>
                      </w:rPr>
                      <w:t xml:space="preserve">V. Almeida, L. S. Mendes, D. Doneda and V. Almeida, “On the Development of AI Governance Frameworks,” </w:t>
                    </w:r>
                    <w:r>
                      <w:rPr>
                        <w:i/>
                        <w:iCs/>
                        <w:noProof/>
                      </w:rPr>
                      <w:t xml:space="preserve">IEEE; IEEE internet computing, </w:t>
                    </w:r>
                    <w:r>
                      <w:rPr>
                        <w:noProof/>
                      </w:rPr>
                      <w:t xml:space="preserve">vol. 27 , no. 1, pp. 70-74, 2023. </w:t>
                    </w:r>
                  </w:p>
                </w:tc>
              </w:tr>
              <w:tr w:rsidR="00D3013B" w14:paraId="61B1A8DF" w14:textId="77777777">
                <w:trPr>
                  <w:divId w:val="1555965328"/>
                  <w:tblCellSpacing w:w="15" w:type="dxa"/>
                </w:trPr>
                <w:tc>
                  <w:tcPr>
                    <w:tcW w:w="50" w:type="pct"/>
                    <w:hideMark/>
                  </w:tcPr>
                  <w:p w14:paraId="3C60BD1F" w14:textId="77777777" w:rsidR="00D3013B" w:rsidRDefault="00D3013B">
                    <w:pPr>
                      <w:pStyle w:val="Bibliography"/>
                      <w:rPr>
                        <w:noProof/>
                      </w:rPr>
                    </w:pPr>
                    <w:r>
                      <w:rPr>
                        <w:noProof/>
                      </w:rPr>
                      <w:t xml:space="preserve">[9] </w:t>
                    </w:r>
                  </w:p>
                </w:tc>
                <w:tc>
                  <w:tcPr>
                    <w:tcW w:w="0" w:type="auto"/>
                    <w:hideMark/>
                  </w:tcPr>
                  <w:p w14:paraId="664434FD" w14:textId="77777777" w:rsidR="00D3013B" w:rsidRDefault="00D3013B">
                    <w:pPr>
                      <w:pStyle w:val="Bibliography"/>
                      <w:rPr>
                        <w:noProof/>
                      </w:rPr>
                    </w:pPr>
                    <w:r>
                      <w:rPr>
                        <w:noProof/>
                      </w:rPr>
                      <w:t xml:space="preserve">NIST, “Artificial Intelligence Risk Management,” </w:t>
                    </w:r>
                    <w:r>
                      <w:rPr>
                        <w:i/>
                        <w:iCs/>
                        <w:noProof/>
                      </w:rPr>
                      <w:t xml:space="preserve">NIST AI 100-1, </w:t>
                    </w:r>
                    <w:r>
                      <w:rPr>
                        <w:noProof/>
                      </w:rPr>
                      <w:t xml:space="preserve">vol. 1, no. 1, pp. 21-31, 2023. </w:t>
                    </w:r>
                  </w:p>
                </w:tc>
              </w:tr>
              <w:tr w:rsidR="00D3013B" w14:paraId="7E6C3563" w14:textId="77777777">
                <w:trPr>
                  <w:divId w:val="1555965328"/>
                  <w:tblCellSpacing w:w="15" w:type="dxa"/>
                </w:trPr>
                <w:tc>
                  <w:tcPr>
                    <w:tcW w:w="50" w:type="pct"/>
                    <w:hideMark/>
                  </w:tcPr>
                  <w:p w14:paraId="77A8607B" w14:textId="77777777" w:rsidR="00D3013B" w:rsidRDefault="00D3013B">
                    <w:pPr>
                      <w:pStyle w:val="Bibliography"/>
                      <w:rPr>
                        <w:noProof/>
                      </w:rPr>
                    </w:pPr>
                    <w:r>
                      <w:rPr>
                        <w:noProof/>
                      </w:rPr>
                      <w:t xml:space="preserve">[10] </w:t>
                    </w:r>
                  </w:p>
                </w:tc>
                <w:tc>
                  <w:tcPr>
                    <w:tcW w:w="0" w:type="auto"/>
                    <w:hideMark/>
                  </w:tcPr>
                  <w:p w14:paraId="118A36FD" w14:textId="77777777" w:rsidR="00D3013B" w:rsidRDefault="00D3013B">
                    <w:pPr>
                      <w:pStyle w:val="Bibliography"/>
                      <w:rPr>
                        <w:noProof/>
                      </w:rPr>
                    </w:pPr>
                    <w:r>
                      <w:rPr>
                        <w:noProof/>
                      </w:rPr>
                      <w:t xml:space="preserve">D. Z. M. B. Amna B, “AI governance: a systematic literature,” </w:t>
                    </w:r>
                    <w:r>
                      <w:rPr>
                        <w:i/>
                        <w:iCs/>
                        <w:noProof/>
                      </w:rPr>
                      <w:t xml:space="preserve">AI &amp; Ethics, </w:t>
                    </w:r>
                    <w:r>
                      <w:rPr>
                        <w:noProof/>
                      </w:rPr>
                      <w:t xml:space="preserve">vol. 5, no. 1, p. 3265–3279, 2025. </w:t>
                    </w:r>
                  </w:p>
                </w:tc>
              </w:tr>
              <w:tr w:rsidR="00D3013B" w14:paraId="6B756C0D" w14:textId="77777777">
                <w:trPr>
                  <w:divId w:val="1555965328"/>
                  <w:tblCellSpacing w:w="15" w:type="dxa"/>
                </w:trPr>
                <w:tc>
                  <w:tcPr>
                    <w:tcW w:w="50" w:type="pct"/>
                    <w:hideMark/>
                  </w:tcPr>
                  <w:p w14:paraId="184920FC" w14:textId="77777777" w:rsidR="00D3013B" w:rsidRDefault="00D3013B">
                    <w:pPr>
                      <w:pStyle w:val="Bibliography"/>
                      <w:rPr>
                        <w:noProof/>
                      </w:rPr>
                    </w:pPr>
                    <w:r>
                      <w:rPr>
                        <w:noProof/>
                      </w:rPr>
                      <w:t xml:space="preserve">[11] </w:t>
                    </w:r>
                  </w:p>
                </w:tc>
                <w:tc>
                  <w:tcPr>
                    <w:tcW w:w="0" w:type="auto"/>
                    <w:hideMark/>
                  </w:tcPr>
                  <w:p w14:paraId="48832D80" w14:textId="77777777" w:rsidR="00D3013B" w:rsidRDefault="00D3013B">
                    <w:pPr>
                      <w:pStyle w:val="Bibliography"/>
                      <w:rPr>
                        <w:noProof/>
                      </w:rPr>
                    </w:pPr>
                    <w:r>
                      <w:rPr>
                        <w:noProof/>
                      </w:rPr>
                      <w:t xml:space="preserve">S. Sarferaz, “Applying AI Ethics to ERP Software: A Critical Case Study and Comparative Analysis of an Industry Framework,” </w:t>
                    </w:r>
                    <w:r>
                      <w:rPr>
                        <w:i/>
                        <w:iCs/>
                        <w:noProof/>
                      </w:rPr>
                      <w:t xml:space="preserve">IEEE engineering management , </w:t>
                    </w:r>
                    <w:r>
                      <w:rPr>
                        <w:noProof/>
                      </w:rPr>
                      <w:t xml:space="preserve">vol. 1, no. 1, pp. 1-19, 2026. </w:t>
                    </w:r>
                  </w:p>
                </w:tc>
              </w:tr>
              <w:tr w:rsidR="00D3013B" w14:paraId="49DCC72A" w14:textId="77777777">
                <w:trPr>
                  <w:divId w:val="1555965328"/>
                  <w:tblCellSpacing w:w="15" w:type="dxa"/>
                </w:trPr>
                <w:tc>
                  <w:tcPr>
                    <w:tcW w:w="50" w:type="pct"/>
                    <w:hideMark/>
                  </w:tcPr>
                  <w:p w14:paraId="12BF25C9" w14:textId="77777777" w:rsidR="00D3013B" w:rsidRDefault="00D3013B">
                    <w:pPr>
                      <w:pStyle w:val="Bibliography"/>
                      <w:rPr>
                        <w:noProof/>
                      </w:rPr>
                    </w:pPr>
                    <w:r>
                      <w:rPr>
                        <w:noProof/>
                      </w:rPr>
                      <w:t xml:space="preserve">[12] </w:t>
                    </w:r>
                  </w:p>
                </w:tc>
                <w:tc>
                  <w:tcPr>
                    <w:tcW w:w="0" w:type="auto"/>
                    <w:hideMark/>
                  </w:tcPr>
                  <w:p w14:paraId="4A195B9F" w14:textId="77777777" w:rsidR="00D3013B" w:rsidRDefault="00D3013B">
                    <w:pPr>
                      <w:pStyle w:val="Bibliography"/>
                      <w:rPr>
                        <w:noProof/>
                      </w:rPr>
                    </w:pPr>
                    <w:r>
                      <w:rPr>
                        <w:noProof/>
                      </w:rPr>
                      <w:t xml:space="preserve">V. Almeida, L. S. Mendes, D. Doneda and V. Almeida, “ On the Development of AI Governance Frameworks,” </w:t>
                    </w:r>
                    <w:r>
                      <w:rPr>
                        <w:i/>
                        <w:iCs/>
                        <w:noProof/>
                      </w:rPr>
                      <w:t xml:space="preserve">IEEE internet computing, </w:t>
                    </w:r>
                    <w:r>
                      <w:rPr>
                        <w:noProof/>
                      </w:rPr>
                      <w:t xml:space="preserve">vol. 27 , no. 1, pp. 70-74, 2023. </w:t>
                    </w:r>
                  </w:p>
                </w:tc>
              </w:tr>
              <w:tr w:rsidR="00D3013B" w14:paraId="36CB6733" w14:textId="77777777">
                <w:trPr>
                  <w:divId w:val="1555965328"/>
                  <w:tblCellSpacing w:w="15" w:type="dxa"/>
                </w:trPr>
                <w:tc>
                  <w:tcPr>
                    <w:tcW w:w="50" w:type="pct"/>
                    <w:hideMark/>
                  </w:tcPr>
                  <w:p w14:paraId="35D17F62" w14:textId="77777777" w:rsidR="00D3013B" w:rsidRDefault="00D3013B">
                    <w:pPr>
                      <w:pStyle w:val="Bibliography"/>
                      <w:rPr>
                        <w:noProof/>
                      </w:rPr>
                    </w:pPr>
                    <w:r>
                      <w:rPr>
                        <w:noProof/>
                      </w:rPr>
                      <w:t xml:space="preserve">[13] </w:t>
                    </w:r>
                  </w:p>
                </w:tc>
                <w:tc>
                  <w:tcPr>
                    <w:tcW w:w="0" w:type="auto"/>
                    <w:hideMark/>
                  </w:tcPr>
                  <w:p w14:paraId="4110A65F" w14:textId="77777777" w:rsidR="00D3013B" w:rsidRDefault="00D3013B">
                    <w:pPr>
                      <w:pStyle w:val="Bibliography"/>
                      <w:rPr>
                        <w:noProof/>
                      </w:rPr>
                    </w:pPr>
                    <w:r>
                      <w:rPr>
                        <w:noProof/>
                      </w:rPr>
                      <w:t xml:space="preserve">A. S. Arora, A. Arora, L. Saboia and J. R. McIntyre, “Human-Centric Versus State-Driven: A Comparative Analysis of the European Union's and China's Artificial Intelligence Governance Using Risk Management,” </w:t>
                    </w:r>
                    <w:r>
                      <w:rPr>
                        <w:i/>
                        <w:iCs/>
                        <w:noProof/>
                      </w:rPr>
                      <w:t xml:space="preserve">International journal of intelligent information technologies, </w:t>
                    </w:r>
                    <w:r>
                      <w:rPr>
                        <w:noProof/>
                      </w:rPr>
                      <w:t xml:space="preserve">vol. 21 , no. 1, pp. 1-13, 2025. </w:t>
                    </w:r>
                  </w:p>
                </w:tc>
              </w:tr>
              <w:tr w:rsidR="00D3013B" w14:paraId="3A0E6910" w14:textId="77777777">
                <w:trPr>
                  <w:divId w:val="1555965328"/>
                  <w:tblCellSpacing w:w="15" w:type="dxa"/>
                </w:trPr>
                <w:tc>
                  <w:tcPr>
                    <w:tcW w:w="50" w:type="pct"/>
                    <w:hideMark/>
                  </w:tcPr>
                  <w:p w14:paraId="3442DD74" w14:textId="77777777" w:rsidR="00D3013B" w:rsidRDefault="00D3013B">
                    <w:pPr>
                      <w:pStyle w:val="Bibliography"/>
                      <w:rPr>
                        <w:noProof/>
                      </w:rPr>
                    </w:pPr>
                    <w:r>
                      <w:rPr>
                        <w:noProof/>
                      </w:rPr>
                      <w:t xml:space="preserve">[14] </w:t>
                    </w:r>
                  </w:p>
                </w:tc>
                <w:tc>
                  <w:tcPr>
                    <w:tcW w:w="0" w:type="auto"/>
                    <w:hideMark/>
                  </w:tcPr>
                  <w:p w14:paraId="04368163" w14:textId="77777777" w:rsidR="00D3013B" w:rsidRDefault="00D3013B">
                    <w:pPr>
                      <w:pStyle w:val="Bibliography"/>
                      <w:rPr>
                        <w:noProof/>
                      </w:rPr>
                    </w:pPr>
                    <w:r>
                      <w:rPr>
                        <w:noProof/>
                      </w:rPr>
                      <w:t xml:space="preserve">S. Sarferaz, “Applying AI Ethics to ERP Software: A Critical Case Study and Comparative Analysis of an Industry Framework,” </w:t>
                    </w:r>
                    <w:r>
                      <w:rPr>
                        <w:i/>
                        <w:iCs/>
                        <w:noProof/>
                      </w:rPr>
                      <w:t xml:space="preserve">IEEE engineering management , </w:t>
                    </w:r>
                    <w:r>
                      <w:rPr>
                        <w:noProof/>
                      </w:rPr>
                      <w:t xml:space="preserve">pp. 1-19, 2026. </w:t>
                    </w:r>
                  </w:p>
                </w:tc>
              </w:tr>
              <w:tr w:rsidR="00D3013B" w14:paraId="670F7AE7" w14:textId="77777777">
                <w:trPr>
                  <w:divId w:val="1555965328"/>
                  <w:tblCellSpacing w:w="15" w:type="dxa"/>
                </w:trPr>
                <w:tc>
                  <w:tcPr>
                    <w:tcW w:w="50" w:type="pct"/>
                    <w:hideMark/>
                  </w:tcPr>
                  <w:p w14:paraId="55E16A32" w14:textId="77777777" w:rsidR="00D3013B" w:rsidRDefault="00D3013B">
                    <w:pPr>
                      <w:pStyle w:val="Bibliography"/>
                      <w:rPr>
                        <w:noProof/>
                      </w:rPr>
                    </w:pPr>
                    <w:r>
                      <w:rPr>
                        <w:noProof/>
                      </w:rPr>
                      <w:t xml:space="preserve">[15] </w:t>
                    </w:r>
                  </w:p>
                </w:tc>
                <w:tc>
                  <w:tcPr>
                    <w:tcW w:w="0" w:type="auto"/>
                    <w:hideMark/>
                  </w:tcPr>
                  <w:p w14:paraId="43B3E2C5" w14:textId="77777777" w:rsidR="00D3013B" w:rsidRDefault="00D3013B">
                    <w:pPr>
                      <w:pStyle w:val="Bibliography"/>
                      <w:rPr>
                        <w:noProof/>
                      </w:rPr>
                    </w:pPr>
                    <w:r>
                      <w:rPr>
                        <w:noProof/>
                      </w:rPr>
                      <w:t xml:space="preserve">M. A. Camilleri, “Artificial intelligence governance: Ethical considerations and implications for social responsibility,” </w:t>
                    </w:r>
                    <w:r>
                      <w:rPr>
                        <w:i/>
                        <w:iCs/>
                        <w:noProof/>
                      </w:rPr>
                      <w:t xml:space="preserve">Expert systems, </w:t>
                    </w:r>
                    <w:r>
                      <w:rPr>
                        <w:noProof/>
                      </w:rPr>
                      <w:t xml:space="preserve">vol. 41 , no. 7, 2024. </w:t>
                    </w:r>
                  </w:p>
                </w:tc>
              </w:tr>
              <w:tr w:rsidR="00D3013B" w14:paraId="23021EB0" w14:textId="77777777">
                <w:trPr>
                  <w:divId w:val="1555965328"/>
                  <w:tblCellSpacing w:w="15" w:type="dxa"/>
                </w:trPr>
                <w:tc>
                  <w:tcPr>
                    <w:tcW w:w="50" w:type="pct"/>
                    <w:hideMark/>
                  </w:tcPr>
                  <w:p w14:paraId="57EAD9DE" w14:textId="77777777" w:rsidR="00D3013B" w:rsidRDefault="00D3013B">
                    <w:pPr>
                      <w:pStyle w:val="Bibliography"/>
                      <w:rPr>
                        <w:noProof/>
                      </w:rPr>
                    </w:pPr>
                    <w:r>
                      <w:rPr>
                        <w:noProof/>
                      </w:rPr>
                      <w:t xml:space="preserve">[16] </w:t>
                    </w:r>
                  </w:p>
                </w:tc>
                <w:tc>
                  <w:tcPr>
                    <w:tcW w:w="0" w:type="auto"/>
                    <w:hideMark/>
                  </w:tcPr>
                  <w:p w14:paraId="67B4ED57" w14:textId="77777777" w:rsidR="00D3013B" w:rsidRDefault="00D3013B">
                    <w:pPr>
                      <w:pStyle w:val="Bibliography"/>
                      <w:rPr>
                        <w:noProof/>
                      </w:rPr>
                    </w:pPr>
                    <w:r>
                      <w:rPr>
                        <w:noProof/>
                      </w:rPr>
                      <w:t xml:space="preserve">C. C. 2. Grady, “Institutional Review Boards: Purpose and Challenges,” </w:t>
                    </w:r>
                    <w:r>
                      <w:rPr>
                        <w:i/>
                        <w:iCs/>
                        <w:noProof/>
                      </w:rPr>
                      <w:t xml:space="preserve">Chest, </w:t>
                    </w:r>
                    <w:r>
                      <w:rPr>
                        <w:noProof/>
                      </w:rPr>
                      <w:t xml:space="preserve">vol. 148, no. 5, pp. 1148-1155, 2015. </w:t>
                    </w:r>
                  </w:p>
                </w:tc>
              </w:tr>
              <w:tr w:rsidR="00D3013B" w14:paraId="5FA1667D" w14:textId="77777777">
                <w:trPr>
                  <w:divId w:val="1555965328"/>
                  <w:tblCellSpacing w:w="15" w:type="dxa"/>
                </w:trPr>
                <w:tc>
                  <w:tcPr>
                    <w:tcW w:w="50" w:type="pct"/>
                    <w:hideMark/>
                  </w:tcPr>
                  <w:p w14:paraId="236017FC" w14:textId="77777777" w:rsidR="00D3013B" w:rsidRDefault="00D3013B">
                    <w:pPr>
                      <w:pStyle w:val="Bibliography"/>
                      <w:rPr>
                        <w:noProof/>
                      </w:rPr>
                    </w:pPr>
                    <w:r>
                      <w:rPr>
                        <w:noProof/>
                      </w:rPr>
                      <w:t xml:space="preserve">[17] </w:t>
                    </w:r>
                  </w:p>
                </w:tc>
                <w:tc>
                  <w:tcPr>
                    <w:tcW w:w="0" w:type="auto"/>
                    <w:hideMark/>
                  </w:tcPr>
                  <w:p w14:paraId="3884F46A" w14:textId="77777777" w:rsidR="00D3013B" w:rsidRDefault="00D3013B">
                    <w:pPr>
                      <w:pStyle w:val="Bibliography"/>
                      <w:rPr>
                        <w:noProof/>
                      </w:rPr>
                    </w:pPr>
                    <w:r>
                      <w:rPr>
                        <w:noProof/>
                      </w:rPr>
                      <w:t xml:space="preserve">A. AlFattani, A. AlShahrani, N. AlBedah, A. Alkawi, A. AlMeharish, Y. Altwaijri, A. Omar, M. Z. AlKawi and A. Khogeer, “Exploring Researchers’ Perspectives on Institutional </w:t>
                    </w:r>
                    <w:r>
                      <w:rPr>
                        <w:noProof/>
                      </w:rPr>
                      <w:lastRenderedPageBreak/>
                      <w:t xml:space="preserve">Review Boards Functions in Saudi Arabia: A Survey Utilizing the IRB-RAT Tool,” </w:t>
                    </w:r>
                    <w:r>
                      <w:rPr>
                        <w:i/>
                        <w:iCs/>
                        <w:noProof/>
                      </w:rPr>
                      <w:t xml:space="preserve">BMC medical ethics, </w:t>
                    </w:r>
                    <w:r>
                      <w:rPr>
                        <w:noProof/>
                      </w:rPr>
                      <w:t xml:space="preserve">vol. 26, no. 1, pp. 26-9, Article 26, 2025. </w:t>
                    </w:r>
                  </w:p>
                </w:tc>
              </w:tr>
              <w:tr w:rsidR="00D3013B" w14:paraId="6B6655F7" w14:textId="77777777">
                <w:trPr>
                  <w:divId w:val="1555965328"/>
                  <w:tblCellSpacing w:w="15" w:type="dxa"/>
                </w:trPr>
                <w:tc>
                  <w:tcPr>
                    <w:tcW w:w="50" w:type="pct"/>
                    <w:hideMark/>
                  </w:tcPr>
                  <w:p w14:paraId="4DE5BD66" w14:textId="77777777" w:rsidR="00D3013B" w:rsidRDefault="00D3013B">
                    <w:pPr>
                      <w:pStyle w:val="Bibliography"/>
                      <w:rPr>
                        <w:noProof/>
                      </w:rPr>
                    </w:pPr>
                    <w:r>
                      <w:rPr>
                        <w:noProof/>
                      </w:rPr>
                      <w:lastRenderedPageBreak/>
                      <w:t xml:space="preserve">[18] </w:t>
                    </w:r>
                  </w:p>
                </w:tc>
                <w:tc>
                  <w:tcPr>
                    <w:tcW w:w="0" w:type="auto"/>
                    <w:hideMark/>
                  </w:tcPr>
                  <w:p w14:paraId="019FD2CB" w14:textId="77777777" w:rsidR="00D3013B" w:rsidRDefault="00D3013B">
                    <w:pPr>
                      <w:pStyle w:val="Bibliography"/>
                      <w:rPr>
                        <w:noProof/>
                      </w:rPr>
                    </w:pPr>
                    <w:r>
                      <w:rPr>
                        <w:noProof/>
                      </w:rPr>
                      <w:t xml:space="preserve">M. Zhou, Y. Chen, L. Zhou, J. Zhan and H.-Y. Chong, “Strengthening power grid projects’ governance and sustainability through lifecycle auditing,” </w:t>
                    </w:r>
                    <w:r>
                      <w:rPr>
                        <w:i/>
                        <w:iCs/>
                        <w:noProof/>
                      </w:rPr>
                      <w:t xml:space="preserve">Scientific reports, </w:t>
                    </w:r>
                    <w:r>
                      <w:rPr>
                        <w:noProof/>
                      </w:rPr>
                      <w:t xml:space="preserve">vol. 15 , no. 1, p. 36442, 2025. </w:t>
                    </w:r>
                  </w:p>
                </w:tc>
              </w:tr>
              <w:tr w:rsidR="00D3013B" w14:paraId="097DD990" w14:textId="77777777">
                <w:trPr>
                  <w:divId w:val="1555965328"/>
                  <w:tblCellSpacing w:w="15" w:type="dxa"/>
                </w:trPr>
                <w:tc>
                  <w:tcPr>
                    <w:tcW w:w="50" w:type="pct"/>
                    <w:hideMark/>
                  </w:tcPr>
                  <w:p w14:paraId="4FFCC29E" w14:textId="77777777" w:rsidR="00D3013B" w:rsidRDefault="00D3013B">
                    <w:pPr>
                      <w:pStyle w:val="Bibliography"/>
                      <w:rPr>
                        <w:noProof/>
                      </w:rPr>
                    </w:pPr>
                    <w:r>
                      <w:rPr>
                        <w:noProof/>
                      </w:rPr>
                      <w:t xml:space="preserve">[19] </w:t>
                    </w:r>
                  </w:p>
                </w:tc>
                <w:tc>
                  <w:tcPr>
                    <w:tcW w:w="0" w:type="auto"/>
                    <w:hideMark/>
                  </w:tcPr>
                  <w:p w14:paraId="2EC2FD58" w14:textId="77777777" w:rsidR="00D3013B" w:rsidRDefault="00D3013B">
                    <w:pPr>
                      <w:pStyle w:val="Bibliography"/>
                      <w:rPr>
                        <w:noProof/>
                      </w:rPr>
                    </w:pPr>
                    <w:r>
                      <w:rPr>
                        <w:noProof/>
                      </w:rPr>
                      <w:t xml:space="preserve">M. Leon, “Lifecycle‐Based Governance to Build Reliable Ethical AI Systems,” </w:t>
                    </w:r>
                    <w:r>
                      <w:rPr>
                        <w:i/>
                        <w:iCs/>
                        <w:noProof/>
                      </w:rPr>
                      <w:t xml:space="preserve">Systems research and behavioral science, </w:t>
                    </w:r>
                    <w:r>
                      <w:rPr>
                        <w:noProof/>
                      </w:rPr>
                      <w:t xml:space="preserve">vol. 1, no. 1, p. 2026, Systems research and behavioral science. </w:t>
                    </w:r>
                  </w:p>
                </w:tc>
              </w:tr>
              <w:tr w:rsidR="00D3013B" w14:paraId="687C1D4F" w14:textId="77777777">
                <w:trPr>
                  <w:divId w:val="1555965328"/>
                  <w:tblCellSpacing w:w="15" w:type="dxa"/>
                </w:trPr>
                <w:tc>
                  <w:tcPr>
                    <w:tcW w:w="50" w:type="pct"/>
                    <w:hideMark/>
                  </w:tcPr>
                  <w:p w14:paraId="3C100C74" w14:textId="77777777" w:rsidR="00D3013B" w:rsidRDefault="00D3013B">
                    <w:pPr>
                      <w:pStyle w:val="Bibliography"/>
                      <w:rPr>
                        <w:noProof/>
                      </w:rPr>
                    </w:pPr>
                    <w:r>
                      <w:rPr>
                        <w:noProof/>
                      </w:rPr>
                      <w:t xml:space="preserve">[20] </w:t>
                    </w:r>
                  </w:p>
                </w:tc>
                <w:tc>
                  <w:tcPr>
                    <w:tcW w:w="0" w:type="auto"/>
                    <w:hideMark/>
                  </w:tcPr>
                  <w:p w14:paraId="4EBA9F3F" w14:textId="77777777" w:rsidR="00D3013B" w:rsidRDefault="00D3013B">
                    <w:pPr>
                      <w:pStyle w:val="Bibliography"/>
                      <w:rPr>
                        <w:noProof/>
                      </w:rPr>
                    </w:pPr>
                    <w:r>
                      <w:rPr>
                        <w:noProof/>
                      </w:rPr>
                      <w:t xml:space="preserve">M. Agbese, H.-K. Alanen, J. Antikainen, H. Erika, H. Isomaki, M. Jantunen, K.-K. Kemell, R. Rousi, H. Vainio-Pekka and V. Vakkuri, “Governance in Ethical, Trustworthy AI Systems: Extension of the ECCOLA Method for AI Ethics Governance Using GARP,” </w:t>
                    </w:r>
                    <w:r>
                      <w:rPr>
                        <w:i/>
                        <w:iCs/>
                        <w:noProof/>
                      </w:rPr>
                      <w:t xml:space="preserve">E-informatica : software engineering journal, </w:t>
                    </w:r>
                    <w:r>
                      <w:rPr>
                        <w:noProof/>
                      </w:rPr>
                      <w:t xml:space="preserve">vol. 17 , no. 1, 2023. </w:t>
                    </w:r>
                  </w:p>
                </w:tc>
              </w:tr>
              <w:tr w:rsidR="00D3013B" w14:paraId="01A1FA7D" w14:textId="77777777">
                <w:trPr>
                  <w:divId w:val="1555965328"/>
                  <w:tblCellSpacing w:w="15" w:type="dxa"/>
                </w:trPr>
                <w:tc>
                  <w:tcPr>
                    <w:tcW w:w="50" w:type="pct"/>
                    <w:hideMark/>
                  </w:tcPr>
                  <w:p w14:paraId="7C7D4F57" w14:textId="77777777" w:rsidR="00D3013B" w:rsidRDefault="00D3013B">
                    <w:pPr>
                      <w:pStyle w:val="Bibliography"/>
                      <w:rPr>
                        <w:noProof/>
                      </w:rPr>
                    </w:pPr>
                    <w:r>
                      <w:rPr>
                        <w:noProof/>
                      </w:rPr>
                      <w:t xml:space="preserve">[21] </w:t>
                    </w:r>
                  </w:p>
                </w:tc>
                <w:tc>
                  <w:tcPr>
                    <w:tcW w:w="0" w:type="auto"/>
                    <w:hideMark/>
                  </w:tcPr>
                  <w:p w14:paraId="6E59AF2B" w14:textId="77777777" w:rsidR="00D3013B" w:rsidRDefault="00D3013B">
                    <w:pPr>
                      <w:pStyle w:val="Bibliography"/>
                      <w:rPr>
                        <w:noProof/>
                      </w:rPr>
                    </w:pPr>
                    <w:r>
                      <w:rPr>
                        <w:noProof/>
                      </w:rPr>
                      <w:t xml:space="preserve">T. Szadeczky and Z. Bederna, “Risk, regulation, and governance: evaluating artificial intelligence across diverse application scenarios,” </w:t>
                    </w:r>
                    <w:r>
                      <w:rPr>
                        <w:i/>
                        <w:iCs/>
                        <w:noProof/>
                      </w:rPr>
                      <w:t xml:space="preserve">Security journal, </w:t>
                    </w:r>
                    <w:r>
                      <w:rPr>
                        <w:noProof/>
                      </w:rPr>
                      <w:t xml:space="preserve">vol. 38 , no. 1, p. 35, 2025. </w:t>
                    </w:r>
                  </w:p>
                </w:tc>
              </w:tr>
              <w:tr w:rsidR="00D3013B" w14:paraId="77286517" w14:textId="77777777">
                <w:trPr>
                  <w:divId w:val="1555965328"/>
                  <w:tblCellSpacing w:w="15" w:type="dxa"/>
                </w:trPr>
                <w:tc>
                  <w:tcPr>
                    <w:tcW w:w="50" w:type="pct"/>
                    <w:hideMark/>
                  </w:tcPr>
                  <w:p w14:paraId="3E13363F" w14:textId="77777777" w:rsidR="00D3013B" w:rsidRDefault="00D3013B">
                    <w:pPr>
                      <w:pStyle w:val="Bibliography"/>
                      <w:rPr>
                        <w:noProof/>
                      </w:rPr>
                    </w:pPr>
                    <w:r>
                      <w:rPr>
                        <w:noProof/>
                      </w:rPr>
                      <w:t xml:space="preserve">[22] </w:t>
                    </w:r>
                  </w:p>
                </w:tc>
                <w:tc>
                  <w:tcPr>
                    <w:tcW w:w="0" w:type="auto"/>
                    <w:hideMark/>
                  </w:tcPr>
                  <w:p w14:paraId="0214E882" w14:textId="77777777" w:rsidR="00D3013B" w:rsidRDefault="00D3013B">
                    <w:pPr>
                      <w:pStyle w:val="Bibliography"/>
                      <w:rPr>
                        <w:noProof/>
                      </w:rPr>
                    </w:pPr>
                    <w:r>
                      <w:rPr>
                        <w:noProof/>
                      </w:rPr>
                      <w:t xml:space="preserve">A. Bahgat, “AI governance and data privacy in cross-border contexts: A comparative analysis of regulatory frameworks,” </w:t>
                    </w:r>
                    <w:r>
                      <w:rPr>
                        <w:i/>
                        <w:iCs/>
                        <w:noProof/>
                      </w:rPr>
                      <w:t xml:space="preserve">Journal of Data Protection &amp; Privacy, </w:t>
                    </w:r>
                    <w:r>
                      <w:rPr>
                        <w:noProof/>
                      </w:rPr>
                      <w:t xml:space="preserve">vol. 8, no. 1, pp. 8-23, 2025. </w:t>
                    </w:r>
                  </w:p>
                </w:tc>
              </w:tr>
              <w:tr w:rsidR="00D3013B" w14:paraId="097505C4" w14:textId="77777777">
                <w:trPr>
                  <w:divId w:val="1555965328"/>
                  <w:tblCellSpacing w:w="15" w:type="dxa"/>
                </w:trPr>
                <w:tc>
                  <w:tcPr>
                    <w:tcW w:w="50" w:type="pct"/>
                    <w:hideMark/>
                  </w:tcPr>
                  <w:p w14:paraId="63BB2774" w14:textId="77777777" w:rsidR="00D3013B" w:rsidRDefault="00D3013B">
                    <w:pPr>
                      <w:pStyle w:val="Bibliography"/>
                      <w:rPr>
                        <w:noProof/>
                      </w:rPr>
                    </w:pPr>
                    <w:r>
                      <w:rPr>
                        <w:noProof/>
                      </w:rPr>
                      <w:t xml:space="preserve">[23] </w:t>
                    </w:r>
                  </w:p>
                </w:tc>
                <w:tc>
                  <w:tcPr>
                    <w:tcW w:w="0" w:type="auto"/>
                    <w:hideMark/>
                  </w:tcPr>
                  <w:p w14:paraId="1DE586E7" w14:textId="77777777" w:rsidR="00D3013B" w:rsidRDefault="00D3013B">
                    <w:pPr>
                      <w:pStyle w:val="Bibliography"/>
                      <w:rPr>
                        <w:noProof/>
                      </w:rPr>
                    </w:pPr>
                    <w:r>
                      <w:rPr>
                        <w:noProof/>
                      </w:rPr>
                      <w:t xml:space="preserve">C. Gans Combe, “Beyond technical adequacy: A holistic framework for evaluating artificial intelligence systems through the scaling responsible artificial intelligence mentorship approach,” </w:t>
                    </w:r>
                    <w:r>
                      <w:rPr>
                        <w:i/>
                        <w:iCs/>
                        <w:noProof/>
                      </w:rPr>
                      <w:t xml:space="preserve">Evaluation, </w:t>
                    </w:r>
                    <w:r>
                      <w:rPr>
                        <w:noProof/>
                      </w:rPr>
                      <w:t xml:space="preserve">2025. </w:t>
                    </w:r>
                  </w:p>
                </w:tc>
              </w:tr>
              <w:tr w:rsidR="00D3013B" w14:paraId="4192C1CF" w14:textId="77777777">
                <w:trPr>
                  <w:divId w:val="1555965328"/>
                  <w:tblCellSpacing w:w="15" w:type="dxa"/>
                </w:trPr>
                <w:tc>
                  <w:tcPr>
                    <w:tcW w:w="50" w:type="pct"/>
                    <w:hideMark/>
                  </w:tcPr>
                  <w:p w14:paraId="696AEC5E" w14:textId="77777777" w:rsidR="00D3013B" w:rsidRDefault="00D3013B">
                    <w:pPr>
                      <w:pStyle w:val="Bibliography"/>
                      <w:rPr>
                        <w:noProof/>
                      </w:rPr>
                    </w:pPr>
                    <w:r>
                      <w:rPr>
                        <w:noProof/>
                      </w:rPr>
                      <w:t xml:space="preserve">[24] </w:t>
                    </w:r>
                  </w:p>
                </w:tc>
                <w:tc>
                  <w:tcPr>
                    <w:tcW w:w="0" w:type="auto"/>
                    <w:hideMark/>
                  </w:tcPr>
                  <w:p w14:paraId="45FACCE2" w14:textId="77777777" w:rsidR="00D3013B" w:rsidRDefault="00D3013B">
                    <w:pPr>
                      <w:pStyle w:val="Bibliography"/>
                      <w:rPr>
                        <w:noProof/>
                      </w:rPr>
                    </w:pPr>
                    <w:r>
                      <w:rPr>
                        <w:noProof/>
                      </w:rPr>
                      <w:t xml:space="preserve">N. K. Corrêa, J. W. Santos, C. Galvão, M. Pasetti, D. Schiavon, F. Naqvi, R. Hossain and N. D. Oliveira, “Crossing the principle–practice gap in AI ethics with ethical problem-solving,” </w:t>
                    </w:r>
                    <w:r>
                      <w:rPr>
                        <w:i/>
                        <w:iCs/>
                        <w:noProof/>
                      </w:rPr>
                      <w:t xml:space="preserve">Ai and ethics , </w:t>
                    </w:r>
                    <w:r>
                      <w:rPr>
                        <w:noProof/>
                      </w:rPr>
                      <w:t xml:space="preserve">vol. 5 , no. 2, pp. 1271-1288, 2025. </w:t>
                    </w:r>
                  </w:p>
                </w:tc>
              </w:tr>
              <w:tr w:rsidR="00D3013B" w14:paraId="311ED63D" w14:textId="77777777">
                <w:trPr>
                  <w:divId w:val="1555965328"/>
                  <w:tblCellSpacing w:w="15" w:type="dxa"/>
                </w:trPr>
                <w:tc>
                  <w:tcPr>
                    <w:tcW w:w="50" w:type="pct"/>
                    <w:hideMark/>
                  </w:tcPr>
                  <w:p w14:paraId="3621F585" w14:textId="77777777" w:rsidR="00D3013B" w:rsidRDefault="00D3013B">
                    <w:pPr>
                      <w:pStyle w:val="Bibliography"/>
                      <w:rPr>
                        <w:noProof/>
                      </w:rPr>
                    </w:pPr>
                    <w:r>
                      <w:rPr>
                        <w:noProof/>
                      </w:rPr>
                      <w:t xml:space="preserve">[25] </w:t>
                    </w:r>
                  </w:p>
                </w:tc>
                <w:tc>
                  <w:tcPr>
                    <w:tcW w:w="0" w:type="auto"/>
                    <w:hideMark/>
                  </w:tcPr>
                  <w:p w14:paraId="4FD4C88E" w14:textId="77777777" w:rsidR="00D3013B" w:rsidRDefault="00D3013B">
                    <w:pPr>
                      <w:pStyle w:val="Bibliography"/>
                      <w:rPr>
                        <w:noProof/>
                      </w:rPr>
                    </w:pPr>
                    <w:r>
                      <w:rPr>
                        <w:noProof/>
                      </w:rPr>
                      <w:t xml:space="preserve">S. Borsci, V. V. Lehtola, F. Nex, M. Y. Yang, E.-W. Augustijn, L. Bagheriye, C. Brune, O. Kounadi, J. Li, J. Moreira, J. Van Der Nagel, B. Veldkamp, D. V. Le and M. Wang, “Embedding artificial intelligence in society: looking beyond the EU AI master plan using the culture cycle,” </w:t>
                    </w:r>
                    <w:r>
                      <w:rPr>
                        <w:i/>
                        <w:iCs/>
                        <w:noProof/>
                      </w:rPr>
                      <w:t xml:space="preserve">AI &amp; society, </w:t>
                    </w:r>
                    <w:r>
                      <w:rPr>
                        <w:noProof/>
                      </w:rPr>
                      <w:t xml:space="preserve">vol. 38, no. 4, pp. 1465-1484, 2023. </w:t>
                    </w:r>
                  </w:p>
                </w:tc>
              </w:tr>
              <w:tr w:rsidR="00D3013B" w14:paraId="2DF4E567" w14:textId="77777777">
                <w:trPr>
                  <w:divId w:val="1555965328"/>
                  <w:tblCellSpacing w:w="15" w:type="dxa"/>
                </w:trPr>
                <w:tc>
                  <w:tcPr>
                    <w:tcW w:w="50" w:type="pct"/>
                    <w:hideMark/>
                  </w:tcPr>
                  <w:p w14:paraId="070DB629" w14:textId="77777777" w:rsidR="00D3013B" w:rsidRDefault="00D3013B">
                    <w:pPr>
                      <w:pStyle w:val="Bibliography"/>
                      <w:rPr>
                        <w:noProof/>
                      </w:rPr>
                    </w:pPr>
                    <w:r>
                      <w:rPr>
                        <w:noProof/>
                      </w:rPr>
                      <w:t xml:space="preserve">[26] </w:t>
                    </w:r>
                  </w:p>
                </w:tc>
                <w:tc>
                  <w:tcPr>
                    <w:tcW w:w="0" w:type="auto"/>
                    <w:hideMark/>
                  </w:tcPr>
                  <w:p w14:paraId="3411E7C3" w14:textId="77777777" w:rsidR="00D3013B" w:rsidRDefault="00D3013B">
                    <w:pPr>
                      <w:pStyle w:val="Bibliography"/>
                      <w:rPr>
                        <w:noProof/>
                      </w:rPr>
                    </w:pPr>
                    <w:r>
                      <w:rPr>
                        <w:noProof/>
                      </w:rPr>
                      <w:t>Q. P. McGrath, “An Enterprise Risk Management Framework to Design Pro-Ethical AI Solutions,” ProQuest Dissertations &amp; Theses, 2022.</w:t>
                    </w:r>
                  </w:p>
                </w:tc>
              </w:tr>
              <w:tr w:rsidR="00D3013B" w14:paraId="33FA9E4E" w14:textId="77777777">
                <w:trPr>
                  <w:divId w:val="1555965328"/>
                  <w:tblCellSpacing w:w="15" w:type="dxa"/>
                </w:trPr>
                <w:tc>
                  <w:tcPr>
                    <w:tcW w:w="50" w:type="pct"/>
                    <w:hideMark/>
                  </w:tcPr>
                  <w:p w14:paraId="271177C9" w14:textId="77777777" w:rsidR="00D3013B" w:rsidRDefault="00D3013B">
                    <w:pPr>
                      <w:pStyle w:val="Bibliography"/>
                      <w:rPr>
                        <w:noProof/>
                      </w:rPr>
                    </w:pPr>
                    <w:r>
                      <w:rPr>
                        <w:noProof/>
                      </w:rPr>
                      <w:t xml:space="preserve">[27] </w:t>
                    </w:r>
                  </w:p>
                </w:tc>
                <w:tc>
                  <w:tcPr>
                    <w:tcW w:w="0" w:type="auto"/>
                    <w:hideMark/>
                  </w:tcPr>
                  <w:p w14:paraId="642D2BEA" w14:textId="77777777" w:rsidR="00D3013B" w:rsidRDefault="00D3013B">
                    <w:pPr>
                      <w:pStyle w:val="Bibliography"/>
                      <w:rPr>
                        <w:noProof/>
                      </w:rPr>
                    </w:pPr>
                    <w:r>
                      <w:rPr>
                        <w:noProof/>
                      </w:rPr>
                      <w:t xml:space="preserve">M. M. Maas, Architectures of Global AI Governance: From Technological Change to Human Choice, Oxford: Oxford University Press, 2025. </w:t>
                    </w:r>
                  </w:p>
                </w:tc>
              </w:tr>
              <w:tr w:rsidR="00D3013B" w14:paraId="63FFFC31" w14:textId="77777777">
                <w:trPr>
                  <w:divId w:val="1555965328"/>
                  <w:tblCellSpacing w:w="15" w:type="dxa"/>
                </w:trPr>
                <w:tc>
                  <w:tcPr>
                    <w:tcW w:w="50" w:type="pct"/>
                    <w:hideMark/>
                  </w:tcPr>
                  <w:p w14:paraId="3097D833" w14:textId="77777777" w:rsidR="00D3013B" w:rsidRDefault="00D3013B">
                    <w:pPr>
                      <w:pStyle w:val="Bibliography"/>
                      <w:rPr>
                        <w:noProof/>
                      </w:rPr>
                    </w:pPr>
                    <w:r>
                      <w:rPr>
                        <w:noProof/>
                      </w:rPr>
                      <w:t xml:space="preserve">[28] </w:t>
                    </w:r>
                  </w:p>
                </w:tc>
                <w:tc>
                  <w:tcPr>
                    <w:tcW w:w="0" w:type="auto"/>
                    <w:hideMark/>
                  </w:tcPr>
                  <w:p w14:paraId="4C4DE967" w14:textId="77777777" w:rsidR="00D3013B" w:rsidRDefault="00D3013B">
                    <w:pPr>
                      <w:pStyle w:val="Bibliography"/>
                      <w:rPr>
                        <w:noProof/>
                      </w:rPr>
                    </w:pPr>
                    <w:r>
                      <w:rPr>
                        <w:noProof/>
                      </w:rPr>
                      <w:t xml:space="preserve">Y. Kim, S.-G. Sohn, K. T. Kim, H. S. Jeon, S.-M. Lee, Y. Lee and J. Kim, “Exploring Effective Zero Trust Architecture for Defense Cybersecurity: A Study,” </w:t>
                    </w:r>
                    <w:r>
                      <w:rPr>
                        <w:i/>
                        <w:iCs/>
                        <w:noProof/>
                      </w:rPr>
                      <w:t xml:space="preserve">KSII Transactions on Internet and Information Systems, </w:t>
                    </w:r>
                    <w:r>
                      <w:rPr>
                        <w:noProof/>
                      </w:rPr>
                      <w:t xml:space="preserve">vol. 18, no. 9, pp. 2665-2691, 2024. </w:t>
                    </w:r>
                  </w:p>
                </w:tc>
              </w:tr>
              <w:tr w:rsidR="00D3013B" w14:paraId="1A28B8AE" w14:textId="77777777">
                <w:trPr>
                  <w:divId w:val="1555965328"/>
                  <w:tblCellSpacing w:w="15" w:type="dxa"/>
                </w:trPr>
                <w:tc>
                  <w:tcPr>
                    <w:tcW w:w="50" w:type="pct"/>
                    <w:hideMark/>
                  </w:tcPr>
                  <w:p w14:paraId="6E7AD397" w14:textId="77777777" w:rsidR="00D3013B" w:rsidRDefault="00D3013B">
                    <w:pPr>
                      <w:pStyle w:val="Bibliography"/>
                      <w:rPr>
                        <w:noProof/>
                      </w:rPr>
                    </w:pPr>
                    <w:r>
                      <w:rPr>
                        <w:noProof/>
                      </w:rPr>
                      <w:t xml:space="preserve">[29] </w:t>
                    </w:r>
                  </w:p>
                </w:tc>
                <w:tc>
                  <w:tcPr>
                    <w:tcW w:w="0" w:type="auto"/>
                    <w:hideMark/>
                  </w:tcPr>
                  <w:p w14:paraId="7914485B" w14:textId="77777777" w:rsidR="00D3013B" w:rsidRDefault="00D3013B">
                    <w:pPr>
                      <w:pStyle w:val="Bibliography"/>
                      <w:rPr>
                        <w:noProof/>
                      </w:rPr>
                    </w:pPr>
                    <w:r>
                      <w:rPr>
                        <w:noProof/>
                      </w:rPr>
                      <w:t xml:space="preserve">K. Shirvani and M. I. Tafreshi, “Protection of Children's Personal Data under the General Data Protection Regulation (GDPR) of the European Union and its Absence in Iranian Law,” </w:t>
                    </w:r>
                    <w:r>
                      <w:rPr>
                        <w:i/>
                        <w:iCs/>
                        <w:noProof/>
                      </w:rPr>
                      <w:t xml:space="preserve">Ḥuqūq-i fanāvarīhā-yi nuvīn, </w:t>
                    </w:r>
                    <w:r>
                      <w:rPr>
                        <w:noProof/>
                      </w:rPr>
                      <w:t xml:space="preserve">vol. 6 , no. 12, p. 2025, Ḥuqūq-i fanāvarīhā-yi nuvīn, 2025-09, Vol.6 (12), p.275-292. </w:t>
                    </w:r>
                  </w:p>
                </w:tc>
              </w:tr>
              <w:tr w:rsidR="00D3013B" w14:paraId="20574384" w14:textId="77777777">
                <w:trPr>
                  <w:divId w:val="1555965328"/>
                  <w:tblCellSpacing w:w="15" w:type="dxa"/>
                </w:trPr>
                <w:tc>
                  <w:tcPr>
                    <w:tcW w:w="50" w:type="pct"/>
                    <w:hideMark/>
                  </w:tcPr>
                  <w:p w14:paraId="2741BB29" w14:textId="77777777" w:rsidR="00D3013B" w:rsidRDefault="00D3013B">
                    <w:pPr>
                      <w:pStyle w:val="Bibliography"/>
                      <w:rPr>
                        <w:noProof/>
                      </w:rPr>
                    </w:pPr>
                    <w:r>
                      <w:rPr>
                        <w:noProof/>
                      </w:rPr>
                      <w:lastRenderedPageBreak/>
                      <w:t xml:space="preserve">[30] </w:t>
                    </w:r>
                  </w:p>
                </w:tc>
                <w:tc>
                  <w:tcPr>
                    <w:tcW w:w="0" w:type="auto"/>
                    <w:hideMark/>
                  </w:tcPr>
                  <w:p w14:paraId="1FB5E678" w14:textId="77777777" w:rsidR="00D3013B" w:rsidRDefault="00D3013B">
                    <w:pPr>
                      <w:pStyle w:val="Bibliography"/>
                      <w:rPr>
                        <w:noProof/>
                      </w:rPr>
                    </w:pPr>
                    <w:r>
                      <w:rPr>
                        <w:noProof/>
                      </w:rPr>
                      <w:t xml:space="preserve">Framingham, “What the Digital Operational Resilience Act means for you,” </w:t>
                    </w:r>
                    <w:r>
                      <w:rPr>
                        <w:i/>
                        <w:iCs/>
                        <w:noProof/>
                      </w:rPr>
                      <w:t xml:space="preserve">CIO, </w:t>
                    </w:r>
                    <w:r>
                      <w:rPr>
                        <w:noProof/>
                      </w:rPr>
                      <w:t xml:space="preserve">2024. </w:t>
                    </w:r>
                  </w:p>
                </w:tc>
              </w:tr>
              <w:tr w:rsidR="00D3013B" w14:paraId="69106E63" w14:textId="77777777">
                <w:trPr>
                  <w:divId w:val="1555965328"/>
                  <w:tblCellSpacing w:w="15" w:type="dxa"/>
                </w:trPr>
                <w:tc>
                  <w:tcPr>
                    <w:tcW w:w="50" w:type="pct"/>
                    <w:hideMark/>
                  </w:tcPr>
                  <w:p w14:paraId="4EC5E217" w14:textId="77777777" w:rsidR="00D3013B" w:rsidRDefault="00D3013B">
                    <w:pPr>
                      <w:pStyle w:val="Bibliography"/>
                      <w:rPr>
                        <w:noProof/>
                      </w:rPr>
                    </w:pPr>
                    <w:r>
                      <w:rPr>
                        <w:noProof/>
                      </w:rPr>
                      <w:t xml:space="preserve">[31] </w:t>
                    </w:r>
                  </w:p>
                </w:tc>
                <w:tc>
                  <w:tcPr>
                    <w:tcW w:w="0" w:type="auto"/>
                    <w:hideMark/>
                  </w:tcPr>
                  <w:p w14:paraId="187F5C9B" w14:textId="77777777" w:rsidR="00D3013B" w:rsidRDefault="00D3013B">
                    <w:pPr>
                      <w:pStyle w:val="Bibliography"/>
                      <w:rPr>
                        <w:noProof/>
                      </w:rPr>
                    </w:pPr>
                    <w:r>
                      <w:rPr>
                        <w:noProof/>
                      </w:rPr>
                      <w:t xml:space="preserve">P. B. Strasser and S. A. Randolph, “Developing Policies and Procedures,” </w:t>
                    </w:r>
                    <w:r>
                      <w:rPr>
                        <w:i/>
                        <w:iCs/>
                        <w:noProof/>
                      </w:rPr>
                      <w:t xml:space="preserve">AAOHN journal, , </w:t>
                    </w:r>
                    <w:r>
                      <w:rPr>
                        <w:noProof/>
                      </w:rPr>
                      <w:t xml:space="preserve">vol. 54 , no. 11, pp. 501-504, 2006. </w:t>
                    </w:r>
                  </w:p>
                </w:tc>
              </w:tr>
              <w:tr w:rsidR="00D3013B" w14:paraId="21492C4A" w14:textId="77777777">
                <w:trPr>
                  <w:divId w:val="1555965328"/>
                  <w:tblCellSpacing w:w="15" w:type="dxa"/>
                </w:trPr>
                <w:tc>
                  <w:tcPr>
                    <w:tcW w:w="50" w:type="pct"/>
                    <w:hideMark/>
                  </w:tcPr>
                  <w:p w14:paraId="3667C221" w14:textId="77777777" w:rsidR="00D3013B" w:rsidRDefault="00D3013B">
                    <w:pPr>
                      <w:pStyle w:val="Bibliography"/>
                      <w:rPr>
                        <w:noProof/>
                      </w:rPr>
                    </w:pPr>
                    <w:r>
                      <w:rPr>
                        <w:noProof/>
                      </w:rPr>
                      <w:t xml:space="preserve">[32] </w:t>
                    </w:r>
                  </w:p>
                </w:tc>
                <w:tc>
                  <w:tcPr>
                    <w:tcW w:w="0" w:type="auto"/>
                    <w:hideMark/>
                  </w:tcPr>
                  <w:p w14:paraId="458F309F" w14:textId="77777777" w:rsidR="00D3013B" w:rsidRDefault="00D3013B">
                    <w:pPr>
                      <w:pStyle w:val="Bibliography"/>
                      <w:rPr>
                        <w:noProof/>
                      </w:rPr>
                    </w:pPr>
                    <w:r>
                      <w:rPr>
                        <w:noProof/>
                      </w:rPr>
                      <w:t xml:space="preserve">M. Pouyakian, A. Khatabakhsh and M. J. Jafari, “The analysis of hazard identification and risk assessment studies with the approach to assessing risk control measures since 2001 to 2017: A systemic review,” </w:t>
                    </w:r>
                    <w:r>
                      <w:rPr>
                        <w:i/>
                        <w:iCs/>
                        <w:noProof/>
                      </w:rPr>
                      <w:t xml:space="preserve">Salāmat-i kār-i Īrān, </w:t>
                    </w:r>
                    <w:r>
                      <w:rPr>
                        <w:noProof/>
                      </w:rPr>
                      <w:t xml:space="preserve">vol. 16 , no. 6, pp. 1-15, 2020. </w:t>
                    </w:r>
                  </w:p>
                </w:tc>
              </w:tr>
            </w:tbl>
            <w:p w14:paraId="0F34D546" w14:textId="77777777" w:rsidR="00D3013B" w:rsidRDefault="00D3013B">
              <w:pPr>
                <w:divId w:val="1555965328"/>
                <w:rPr>
                  <w:rFonts w:eastAsia="Times New Roman"/>
                  <w:noProof/>
                </w:rPr>
              </w:pPr>
            </w:p>
            <w:p w14:paraId="684C9035" w14:textId="1E64F510" w:rsidR="00D36C4B" w:rsidRPr="00860D1E" w:rsidRDefault="00D36C4B" w:rsidP="0073724E">
              <w:pPr>
                <w:jc w:val="both"/>
              </w:pPr>
              <w:r w:rsidRPr="00860D1E">
                <w:rPr>
                  <w:b/>
                  <w:bCs/>
                </w:rPr>
                <w:fldChar w:fldCharType="end"/>
              </w:r>
            </w:p>
          </w:sdtContent>
        </w:sdt>
      </w:sdtContent>
    </w:sdt>
    <w:p w14:paraId="70C3FCEC" w14:textId="77777777" w:rsidR="00D36C4B" w:rsidRDefault="00D36C4B" w:rsidP="00D36C4B"/>
    <w:sectPr w:rsidR="00D36C4B" w:rsidSect="0031181C">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35D9C" w14:textId="77777777" w:rsidR="00060186" w:rsidRPr="00860D1E" w:rsidRDefault="00060186" w:rsidP="008B4C29">
      <w:pPr>
        <w:spacing w:after="0" w:line="240" w:lineRule="auto"/>
      </w:pPr>
      <w:r w:rsidRPr="00860D1E">
        <w:separator/>
      </w:r>
    </w:p>
  </w:endnote>
  <w:endnote w:type="continuationSeparator" w:id="0">
    <w:p w14:paraId="40E3EED8" w14:textId="77777777" w:rsidR="00060186" w:rsidRPr="00860D1E" w:rsidRDefault="00060186" w:rsidP="008B4C29">
      <w:pPr>
        <w:spacing w:after="0" w:line="240" w:lineRule="auto"/>
      </w:pPr>
      <w:r w:rsidRPr="00860D1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967966"/>
      <w:docPartObj>
        <w:docPartGallery w:val="Page Numbers (Bottom of Page)"/>
        <w:docPartUnique/>
      </w:docPartObj>
    </w:sdtPr>
    <w:sdtEndPr/>
    <w:sdtContent>
      <w:p w14:paraId="71DE4944" w14:textId="350E41C1" w:rsidR="008B4C29" w:rsidRPr="00860D1E" w:rsidRDefault="008B4C29">
        <w:pPr>
          <w:pStyle w:val="Footer"/>
          <w:jc w:val="center"/>
        </w:pPr>
        <w:r w:rsidRPr="00860D1E">
          <w:fldChar w:fldCharType="begin"/>
        </w:r>
        <w:r w:rsidRPr="00860D1E">
          <w:instrText xml:space="preserve"> PAGE   \* MERGEFORMAT </w:instrText>
        </w:r>
        <w:r w:rsidRPr="00860D1E">
          <w:fldChar w:fldCharType="separate"/>
        </w:r>
        <w:r w:rsidRPr="00860D1E">
          <w:t>2</w:t>
        </w:r>
        <w:r w:rsidRPr="00860D1E">
          <w:fldChar w:fldCharType="end"/>
        </w:r>
      </w:p>
    </w:sdtContent>
  </w:sdt>
  <w:p w14:paraId="6FEDE295" w14:textId="77777777" w:rsidR="008B4C29" w:rsidRPr="00860D1E" w:rsidRDefault="008B4C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EBF34" w14:textId="77777777" w:rsidR="00060186" w:rsidRPr="00860D1E" w:rsidRDefault="00060186" w:rsidP="008B4C29">
      <w:pPr>
        <w:spacing w:after="0" w:line="240" w:lineRule="auto"/>
      </w:pPr>
      <w:r w:rsidRPr="00860D1E">
        <w:separator/>
      </w:r>
    </w:p>
  </w:footnote>
  <w:footnote w:type="continuationSeparator" w:id="0">
    <w:p w14:paraId="4C42BDD4" w14:textId="77777777" w:rsidR="00060186" w:rsidRPr="00860D1E" w:rsidRDefault="00060186" w:rsidP="008B4C29">
      <w:pPr>
        <w:spacing w:after="0" w:line="240" w:lineRule="auto"/>
      </w:pPr>
      <w:r w:rsidRPr="00860D1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F5345"/>
    <w:multiLevelType w:val="multilevel"/>
    <w:tmpl w:val="8CCE6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90884"/>
    <w:multiLevelType w:val="multilevel"/>
    <w:tmpl w:val="DFA085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7719B6"/>
    <w:multiLevelType w:val="multilevel"/>
    <w:tmpl w:val="15F82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BA025D"/>
    <w:multiLevelType w:val="multilevel"/>
    <w:tmpl w:val="AAA87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9B1BD1"/>
    <w:multiLevelType w:val="multilevel"/>
    <w:tmpl w:val="A34C2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A322EC"/>
    <w:multiLevelType w:val="multilevel"/>
    <w:tmpl w:val="BBDC9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78418B"/>
    <w:multiLevelType w:val="hybridMultilevel"/>
    <w:tmpl w:val="16AC2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6D0427"/>
    <w:multiLevelType w:val="multilevel"/>
    <w:tmpl w:val="0BB8F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181E06"/>
    <w:multiLevelType w:val="multilevel"/>
    <w:tmpl w:val="ED40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58605A"/>
    <w:multiLevelType w:val="hybridMultilevel"/>
    <w:tmpl w:val="38103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DB05E6"/>
    <w:multiLevelType w:val="multilevel"/>
    <w:tmpl w:val="EDDE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0E04E8"/>
    <w:multiLevelType w:val="multilevel"/>
    <w:tmpl w:val="C582A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3E71FB"/>
    <w:multiLevelType w:val="multilevel"/>
    <w:tmpl w:val="0D329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5366AD"/>
    <w:multiLevelType w:val="multilevel"/>
    <w:tmpl w:val="A60E08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A948FD"/>
    <w:multiLevelType w:val="multilevel"/>
    <w:tmpl w:val="A12EE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41757B"/>
    <w:multiLevelType w:val="multilevel"/>
    <w:tmpl w:val="A5A2D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927BCE"/>
    <w:multiLevelType w:val="multilevel"/>
    <w:tmpl w:val="D5F47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6B7826"/>
    <w:multiLevelType w:val="multilevel"/>
    <w:tmpl w:val="17683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A24C93"/>
    <w:multiLevelType w:val="multilevel"/>
    <w:tmpl w:val="DBB68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FB66FD"/>
    <w:multiLevelType w:val="multilevel"/>
    <w:tmpl w:val="8C506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CD2156"/>
    <w:multiLevelType w:val="multilevel"/>
    <w:tmpl w:val="3D94A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5B6B6E"/>
    <w:multiLevelType w:val="multilevel"/>
    <w:tmpl w:val="40A2F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FA1572"/>
    <w:multiLevelType w:val="multilevel"/>
    <w:tmpl w:val="C5B2C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0274A3"/>
    <w:multiLevelType w:val="multilevel"/>
    <w:tmpl w:val="B61CC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DA0EE9"/>
    <w:multiLevelType w:val="multilevel"/>
    <w:tmpl w:val="7D8A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7B5831"/>
    <w:multiLevelType w:val="multilevel"/>
    <w:tmpl w:val="208CF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25248F"/>
    <w:multiLevelType w:val="multilevel"/>
    <w:tmpl w:val="83C6E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756695"/>
    <w:multiLevelType w:val="multilevel"/>
    <w:tmpl w:val="730A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087188"/>
    <w:multiLevelType w:val="hybridMultilevel"/>
    <w:tmpl w:val="2BF226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81F1F19"/>
    <w:multiLevelType w:val="multilevel"/>
    <w:tmpl w:val="55C4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4C30BB"/>
    <w:multiLevelType w:val="multilevel"/>
    <w:tmpl w:val="4148E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0C5FFF"/>
    <w:multiLevelType w:val="hybridMultilevel"/>
    <w:tmpl w:val="847AC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171595"/>
    <w:multiLevelType w:val="multilevel"/>
    <w:tmpl w:val="40D48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875957"/>
    <w:multiLevelType w:val="multilevel"/>
    <w:tmpl w:val="4756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3633837">
    <w:abstractNumId w:val="28"/>
  </w:num>
  <w:num w:numId="2" w16cid:durableId="1358966921">
    <w:abstractNumId w:val="16"/>
  </w:num>
  <w:num w:numId="3" w16cid:durableId="255678677">
    <w:abstractNumId w:val="15"/>
  </w:num>
  <w:num w:numId="4" w16cid:durableId="249588787">
    <w:abstractNumId w:val="6"/>
  </w:num>
  <w:num w:numId="5" w16cid:durableId="493648428">
    <w:abstractNumId w:val="27"/>
  </w:num>
  <w:num w:numId="6" w16cid:durableId="2012028369">
    <w:abstractNumId w:val="19"/>
  </w:num>
  <w:num w:numId="7" w16cid:durableId="184247675">
    <w:abstractNumId w:val="31"/>
  </w:num>
  <w:num w:numId="8" w16cid:durableId="1614240604">
    <w:abstractNumId w:val="9"/>
  </w:num>
  <w:num w:numId="9" w16cid:durableId="992300256">
    <w:abstractNumId w:val="24"/>
  </w:num>
  <w:num w:numId="10" w16cid:durableId="545063107">
    <w:abstractNumId w:val="30"/>
  </w:num>
  <w:num w:numId="11" w16cid:durableId="1121532575">
    <w:abstractNumId w:val="29"/>
  </w:num>
  <w:num w:numId="12" w16cid:durableId="1760517961">
    <w:abstractNumId w:val="8"/>
  </w:num>
  <w:num w:numId="13" w16cid:durableId="906308118">
    <w:abstractNumId w:val="23"/>
  </w:num>
  <w:num w:numId="14" w16cid:durableId="773666849">
    <w:abstractNumId w:val="17"/>
  </w:num>
  <w:num w:numId="15" w16cid:durableId="1508592977">
    <w:abstractNumId w:val="3"/>
  </w:num>
  <w:num w:numId="16" w16cid:durableId="1417628072">
    <w:abstractNumId w:val="5"/>
  </w:num>
  <w:num w:numId="17" w16cid:durableId="1911571962">
    <w:abstractNumId w:val="32"/>
  </w:num>
  <w:num w:numId="18" w16cid:durableId="555318882">
    <w:abstractNumId w:val="11"/>
  </w:num>
  <w:num w:numId="19" w16cid:durableId="946936107">
    <w:abstractNumId w:val="10"/>
  </w:num>
  <w:num w:numId="20" w16cid:durableId="168907281">
    <w:abstractNumId w:val="12"/>
  </w:num>
  <w:num w:numId="21" w16cid:durableId="266471162">
    <w:abstractNumId w:val="4"/>
  </w:num>
  <w:num w:numId="22" w16cid:durableId="988175466">
    <w:abstractNumId w:val="26"/>
  </w:num>
  <w:num w:numId="23" w16cid:durableId="1026448343">
    <w:abstractNumId w:val="20"/>
  </w:num>
  <w:num w:numId="24" w16cid:durableId="1589270138">
    <w:abstractNumId w:val="22"/>
  </w:num>
  <w:num w:numId="25" w16cid:durableId="2131702515">
    <w:abstractNumId w:val="13"/>
  </w:num>
  <w:num w:numId="26" w16cid:durableId="1444616905">
    <w:abstractNumId w:val="7"/>
  </w:num>
  <w:num w:numId="27" w16cid:durableId="2129933162">
    <w:abstractNumId w:val="18"/>
  </w:num>
  <w:num w:numId="28" w16cid:durableId="704141794">
    <w:abstractNumId w:val="1"/>
  </w:num>
  <w:num w:numId="29" w16cid:durableId="32969573">
    <w:abstractNumId w:val="2"/>
  </w:num>
  <w:num w:numId="30" w16cid:durableId="1805730638">
    <w:abstractNumId w:val="25"/>
  </w:num>
  <w:num w:numId="31" w16cid:durableId="552892446">
    <w:abstractNumId w:val="14"/>
  </w:num>
  <w:num w:numId="32" w16cid:durableId="1660495907">
    <w:abstractNumId w:val="21"/>
  </w:num>
  <w:num w:numId="33" w16cid:durableId="816336327">
    <w:abstractNumId w:val="0"/>
  </w:num>
  <w:num w:numId="34" w16cid:durableId="134756118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C4B"/>
    <w:rsid w:val="000034D8"/>
    <w:rsid w:val="00013084"/>
    <w:rsid w:val="00015DF9"/>
    <w:rsid w:val="00016C6C"/>
    <w:rsid w:val="00020EF3"/>
    <w:rsid w:val="000230CD"/>
    <w:rsid w:val="00023BC9"/>
    <w:rsid w:val="00024946"/>
    <w:rsid w:val="00026D02"/>
    <w:rsid w:val="00034D64"/>
    <w:rsid w:val="000417C6"/>
    <w:rsid w:val="00042468"/>
    <w:rsid w:val="000454B9"/>
    <w:rsid w:val="00046A60"/>
    <w:rsid w:val="00047EF2"/>
    <w:rsid w:val="0005000C"/>
    <w:rsid w:val="000560CC"/>
    <w:rsid w:val="00056BC2"/>
    <w:rsid w:val="0005777A"/>
    <w:rsid w:val="00060186"/>
    <w:rsid w:val="000619A7"/>
    <w:rsid w:val="00072461"/>
    <w:rsid w:val="0007584B"/>
    <w:rsid w:val="00075DF4"/>
    <w:rsid w:val="00075EC0"/>
    <w:rsid w:val="00077DB2"/>
    <w:rsid w:val="00082533"/>
    <w:rsid w:val="00085E9F"/>
    <w:rsid w:val="000878C9"/>
    <w:rsid w:val="00096050"/>
    <w:rsid w:val="000A2569"/>
    <w:rsid w:val="000A44CE"/>
    <w:rsid w:val="000B7D3B"/>
    <w:rsid w:val="000C56BD"/>
    <w:rsid w:val="000E3D79"/>
    <w:rsid w:val="000E70C5"/>
    <w:rsid w:val="000F1EE4"/>
    <w:rsid w:val="000F4A5D"/>
    <w:rsid w:val="000F6F62"/>
    <w:rsid w:val="00100114"/>
    <w:rsid w:val="00103739"/>
    <w:rsid w:val="00103891"/>
    <w:rsid w:val="0010415C"/>
    <w:rsid w:val="001057F5"/>
    <w:rsid w:val="001077FE"/>
    <w:rsid w:val="00110D9C"/>
    <w:rsid w:val="00116D9D"/>
    <w:rsid w:val="00131593"/>
    <w:rsid w:val="00131EEA"/>
    <w:rsid w:val="00133F6E"/>
    <w:rsid w:val="00134666"/>
    <w:rsid w:val="00142435"/>
    <w:rsid w:val="00145B94"/>
    <w:rsid w:val="00151D1F"/>
    <w:rsid w:val="001614DA"/>
    <w:rsid w:val="001640F9"/>
    <w:rsid w:val="00164E8D"/>
    <w:rsid w:val="00165B69"/>
    <w:rsid w:val="001665A5"/>
    <w:rsid w:val="00171CFF"/>
    <w:rsid w:val="00181986"/>
    <w:rsid w:val="0018490F"/>
    <w:rsid w:val="001912AA"/>
    <w:rsid w:val="001939D8"/>
    <w:rsid w:val="00193E11"/>
    <w:rsid w:val="0019685F"/>
    <w:rsid w:val="0019717F"/>
    <w:rsid w:val="001C785A"/>
    <w:rsid w:val="001D0AAB"/>
    <w:rsid w:val="001D170D"/>
    <w:rsid w:val="001D5487"/>
    <w:rsid w:val="001E08D0"/>
    <w:rsid w:val="001E11D9"/>
    <w:rsid w:val="001E2BD4"/>
    <w:rsid w:val="001E676E"/>
    <w:rsid w:val="001E79C2"/>
    <w:rsid w:val="001E7BB8"/>
    <w:rsid w:val="002003C2"/>
    <w:rsid w:val="00206C2C"/>
    <w:rsid w:val="00207560"/>
    <w:rsid w:val="00223623"/>
    <w:rsid w:val="0022645F"/>
    <w:rsid w:val="00230E48"/>
    <w:rsid w:val="00231070"/>
    <w:rsid w:val="002330EE"/>
    <w:rsid w:val="00234965"/>
    <w:rsid w:val="00235C30"/>
    <w:rsid w:val="0024503F"/>
    <w:rsid w:val="00246B45"/>
    <w:rsid w:val="00247416"/>
    <w:rsid w:val="00263513"/>
    <w:rsid w:val="0026656B"/>
    <w:rsid w:val="002700C5"/>
    <w:rsid w:val="002718A0"/>
    <w:rsid w:val="00271C1D"/>
    <w:rsid w:val="00272225"/>
    <w:rsid w:val="002771FA"/>
    <w:rsid w:val="002835D8"/>
    <w:rsid w:val="00287F8F"/>
    <w:rsid w:val="00290525"/>
    <w:rsid w:val="00291FA6"/>
    <w:rsid w:val="00294348"/>
    <w:rsid w:val="0029615A"/>
    <w:rsid w:val="002A0562"/>
    <w:rsid w:val="002A2892"/>
    <w:rsid w:val="002A358F"/>
    <w:rsid w:val="002A472B"/>
    <w:rsid w:val="002C12D9"/>
    <w:rsid w:val="002C2DC9"/>
    <w:rsid w:val="002C3F40"/>
    <w:rsid w:val="002C76BA"/>
    <w:rsid w:val="002C7AD4"/>
    <w:rsid w:val="002D4088"/>
    <w:rsid w:val="002D452F"/>
    <w:rsid w:val="002D46EE"/>
    <w:rsid w:val="002D6091"/>
    <w:rsid w:val="002D6736"/>
    <w:rsid w:val="002E0997"/>
    <w:rsid w:val="002E5E27"/>
    <w:rsid w:val="002E64B5"/>
    <w:rsid w:val="002F116A"/>
    <w:rsid w:val="002F6AA7"/>
    <w:rsid w:val="00301941"/>
    <w:rsid w:val="0031181C"/>
    <w:rsid w:val="0031279E"/>
    <w:rsid w:val="00313278"/>
    <w:rsid w:val="00317515"/>
    <w:rsid w:val="003209A9"/>
    <w:rsid w:val="00327D2C"/>
    <w:rsid w:val="00341D4B"/>
    <w:rsid w:val="003442C2"/>
    <w:rsid w:val="0035369B"/>
    <w:rsid w:val="003539BE"/>
    <w:rsid w:val="00363B8F"/>
    <w:rsid w:val="00365FC1"/>
    <w:rsid w:val="003725F0"/>
    <w:rsid w:val="00372D8B"/>
    <w:rsid w:val="00377157"/>
    <w:rsid w:val="0037790A"/>
    <w:rsid w:val="003828F5"/>
    <w:rsid w:val="00383436"/>
    <w:rsid w:val="00383BB7"/>
    <w:rsid w:val="00397201"/>
    <w:rsid w:val="003A2A2C"/>
    <w:rsid w:val="003A6418"/>
    <w:rsid w:val="003B032C"/>
    <w:rsid w:val="003B3718"/>
    <w:rsid w:val="003B4757"/>
    <w:rsid w:val="003B5691"/>
    <w:rsid w:val="003B7153"/>
    <w:rsid w:val="003C175D"/>
    <w:rsid w:val="003C6FF7"/>
    <w:rsid w:val="003D1A88"/>
    <w:rsid w:val="003D51FD"/>
    <w:rsid w:val="003D5604"/>
    <w:rsid w:val="003D64F8"/>
    <w:rsid w:val="003D6A85"/>
    <w:rsid w:val="003F3038"/>
    <w:rsid w:val="003F339C"/>
    <w:rsid w:val="004013F9"/>
    <w:rsid w:val="00403F87"/>
    <w:rsid w:val="00411C83"/>
    <w:rsid w:val="004136BD"/>
    <w:rsid w:val="00416D5D"/>
    <w:rsid w:val="00420F2E"/>
    <w:rsid w:val="004258F5"/>
    <w:rsid w:val="00433AB1"/>
    <w:rsid w:val="00445496"/>
    <w:rsid w:val="00446FFC"/>
    <w:rsid w:val="00447F8D"/>
    <w:rsid w:val="004516F7"/>
    <w:rsid w:val="0045206A"/>
    <w:rsid w:val="004529BE"/>
    <w:rsid w:val="00455160"/>
    <w:rsid w:val="00461015"/>
    <w:rsid w:val="00466B42"/>
    <w:rsid w:val="0047308E"/>
    <w:rsid w:val="004820CC"/>
    <w:rsid w:val="0049589F"/>
    <w:rsid w:val="004A1104"/>
    <w:rsid w:val="004A2792"/>
    <w:rsid w:val="004A28D2"/>
    <w:rsid w:val="004B49C5"/>
    <w:rsid w:val="004C7088"/>
    <w:rsid w:val="004C7E31"/>
    <w:rsid w:val="004D2C50"/>
    <w:rsid w:val="004D3A79"/>
    <w:rsid w:val="004D6DB6"/>
    <w:rsid w:val="004E67B5"/>
    <w:rsid w:val="0050741C"/>
    <w:rsid w:val="00507EA5"/>
    <w:rsid w:val="0052236C"/>
    <w:rsid w:val="00527852"/>
    <w:rsid w:val="00534279"/>
    <w:rsid w:val="00537BEE"/>
    <w:rsid w:val="005410CA"/>
    <w:rsid w:val="0056197A"/>
    <w:rsid w:val="005629A3"/>
    <w:rsid w:val="00567CAD"/>
    <w:rsid w:val="005703D0"/>
    <w:rsid w:val="00574328"/>
    <w:rsid w:val="00585A14"/>
    <w:rsid w:val="0059312E"/>
    <w:rsid w:val="005940FC"/>
    <w:rsid w:val="00594F5D"/>
    <w:rsid w:val="00595048"/>
    <w:rsid w:val="005B6AD1"/>
    <w:rsid w:val="005C63F5"/>
    <w:rsid w:val="005C6514"/>
    <w:rsid w:val="005C7A2C"/>
    <w:rsid w:val="005D74DA"/>
    <w:rsid w:val="005F164B"/>
    <w:rsid w:val="005F3F84"/>
    <w:rsid w:val="00625CEB"/>
    <w:rsid w:val="006339D9"/>
    <w:rsid w:val="00634E0C"/>
    <w:rsid w:val="0064190C"/>
    <w:rsid w:val="00643159"/>
    <w:rsid w:val="0064339D"/>
    <w:rsid w:val="00643517"/>
    <w:rsid w:val="006436F8"/>
    <w:rsid w:val="006502D4"/>
    <w:rsid w:val="006507F6"/>
    <w:rsid w:val="00651F3B"/>
    <w:rsid w:val="00661072"/>
    <w:rsid w:val="006629DD"/>
    <w:rsid w:val="00663DB5"/>
    <w:rsid w:val="006813A5"/>
    <w:rsid w:val="00690FD2"/>
    <w:rsid w:val="006933D1"/>
    <w:rsid w:val="0069579D"/>
    <w:rsid w:val="006A4413"/>
    <w:rsid w:val="006B14A3"/>
    <w:rsid w:val="006B2D66"/>
    <w:rsid w:val="006C2B39"/>
    <w:rsid w:val="006D1CAD"/>
    <w:rsid w:val="006D7083"/>
    <w:rsid w:val="006E08AA"/>
    <w:rsid w:val="006E3778"/>
    <w:rsid w:val="007006C5"/>
    <w:rsid w:val="00702666"/>
    <w:rsid w:val="007042F7"/>
    <w:rsid w:val="007045DE"/>
    <w:rsid w:val="00705E9A"/>
    <w:rsid w:val="00714139"/>
    <w:rsid w:val="0071540E"/>
    <w:rsid w:val="00720496"/>
    <w:rsid w:val="00725F56"/>
    <w:rsid w:val="0072608C"/>
    <w:rsid w:val="007262C7"/>
    <w:rsid w:val="00732986"/>
    <w:rsid w:val="0073581F"/>
    <w:rsid w:val="00736795"/>
    <w:rsid w:val="0073724E"/>
    <w:rsid w:val="00746979"/>
    <w:rsid w:val="007474EF"/>
    <w:rsid w:val="00747D5E"/>
    <w:rsid w:val="007648A7"/>
    <w:rsid w:val="00774BD9"/>
    <w:rsid w:val="00780128"/>
    <w:rsid w:val="00780975"/>
    <w:rsid w:val="00780CBB"/>
    <w:rsid w:val="00780F55"/>
    <w:rsid w:val="00783985"/>
    <w:rsid w:val="007863A1"/>
    <w:rsid w:val="00791996"/>
    <w:rsid w:val="00797123"/>
    <w:rsid w:val="00797B01"/>
    <w:rsid w:val="007A158A"/>
    <w:rsid w:val="007B5674"/>
    <w:rsid w:val="007C2F6C"/>
    <w:rsid w:val="007C6372"/>
    <w:rsid w:val="007C7486"/>
    <w:rsid w:val="007D274C"/>
    <w:rsid w:val="007E1EE6"/>
    <w:rsid w:val="007E25CC"/>
    <w:rsid w:val="007E41D8"/>
    <w:rsid w:val="007F0AB4"/>
    <w:rsid w:val="007F3F66"/>
    <w:rsid w:val="007F729A"/>
    <w:rsid w:val="008138BB"/>
    <w:rsid w:val="00814BD1"/>
    <w:rsid w:val="00814FAA"/>
    <w:rsid w:val="0081769B"/>
    <w:rsid w:val="00823FA4"/>
    <w:rsid w:val="00832E65"/>
    <w:rsid w:val="00835E8B"/>
    <w:rsid w:val="008360E1"/>
    <w:rsid w:val="00840191"/>
    <w:rsid w:val="00843409"/>
    <w:rsid w:val="00844E5E"/>
    <w:rsid w:val="00846461"/>
    <w:rsid w:val="00855258"/>
    <w:rsid w:val="008579AE"/>
    <w:rsid w:val="00860D1E"/>
    <w:rsid w:val="00861513"/>
    <w:rsid w:val="0087150E"/>
    <w:rsid w:val="00871A46"/>
    <w:rsid w:val="008772F1"/>
    <w:rsid w:val="0089310B"/>
    <w:rsid w:val="008A0A12"/>
    <w:rsid w:val="008A5A4E"/>
    <w:rsid w:val="008B243D"/>
    <w:rsid w:val="008B4C29"/>
    <w:rsid w:val="008C18D3"/>
    <w:rsid w:val="008C4C98"/>
    <w:rsid w:val="008D105B"/>
    <w:rsid w:val="008E3380"/>
    <w:rsid w:val="008E5BC0"/>
    <w:rsid w:val="008F73FD"/>
    <w:rsid w:val="00902568"/>
    <w:rsid w:val="00920CDE"/>
    <w:rsid w:val="0092641F"/>
    <w:rsid w:val="009271D7"/>
    <w:rsid w:val="009271F6"/>
    <w:rsid w:val="00927EF2"/>
    <w:rsid w:val="009312D4"/>
    <w:rsid w:val="00941D1F"/>
    <w:rsid w:val="00950761"/>
    <w:rsid w:val="00957E23"/>
    <w:rsid w:val="00961CAE"/>
    <w:rsid w:val="00961D9E"/>
    <w:rsid w:val="009665EA"/>
    <w:rsid w:val="00973325"/>
    <w:rsid w:val="009743CF"/>
    <w:rsid w:val="009816E4"/>
    <w:rsid w:val="00986482"/>
    <w:rsid w:val="00994563"/>
    <w:rsid w:val="009A3F50"/>
    <w:rsid w:val="009A5C72"/>
    <w:rsid w:val="009C3A5F"/>
    <w:rsid w:val="009C51EC"/>
    <w:rsid w:val="009F5CC2"/>
    <w:rsid w:val="00A128DF"/>
    <w:rsid w:val="00A136AA"/>
    <w:rsid w:val="00A149D3"/>
    <w:rsid w:val="00A15529"/>
    <w:rsid w:val="00A167B8"/>
    <w:rsid w:val="00A1738E"/>
    <w:rsid w:val="00A24DEC"/>
    <w:rsid w:val="00A2625A"/>
    <w:rsid w:val="00A32E37"/>
    <w:rsid w:val="00A37306"/>
    <w:rsid w:val="00A41180"/>
    <w:rsid w:val="00A46BCC"/>
    <w:rsid w:val="00A5259E"/>
    <w:rsid w:val="00A5598C"/>
    <w:rsid w:val="00A66AA1"/>
    <w:rsid w:val="00A70120"/>
    <w:rsid w:val="00A715BE"/>
    <w:rsid w:val="00A71A31"/>
    <w:rsid w:val="00A85A1D"/>
    <w:rsid w:val="00A92F1B"/>
    <w:rsid w:val="00A9427B"/>
    <w:rsid w:val="00A94940"/>
    <w:rsid w:val="00A95249"/>
    <w:rsid w:val="00AA0805"/>
    <w:rsid w:val="00AA448E"/>
    <w:rsid w:val="00AA522B"/>
    <w:rsid w:val="00AA6CFB"/>
    <w:rsid w:val="00AB16A1"/>
    <w:rsid w:val="00AB4DB0"/>
    <w:rsid w:val="00AB5696"/>
    <w:rsid w:val="00AB60B1"/>
    <w:rsid w:val="00AC0973"/>
    <w:rsid w:val="00AC4EB1"/>
    <w:rsid w:val="00AC52CE"/>
    <w:rsid w:val="00AD07C2"/>
    <w:rsid w:val="00AE1631"/>
    <w:rsid w:val="00AE5160"/>
    <w:rsid w:val="00AF3A1C"/>
    <w:rsid w:val="00AF40A4"/>
    <w:rsid w:val="00B13154"/>
    <w:rsid w:val="00B136C0"/>
    <w:rsid w:val="00B15042"/>
    <w:rsid w:val="00B21EAD"/>
    <w:rsid w:val="00B23923"/>
    <w:rsid w:val="00B25E97"/>
    <w:rsid w:val="00B26F34"/>
    <w:rsid w:val="00B27737"/>
    <w:rsid w:val="00B31541"/>
    <w:rsid w:val="00B31BF8"/>
    <w:rsid w:val="00B320FC"/>
    <w:rsid w:val="00B351BA"/>
    <w:rsid w:val="00B37A2C"/>
    <w:rsid w:val="00B40BE2"/>
    <w:rsid w:val="00B437B0"/>
    <w:rsid w:val="00B46150"/>
    <w:rsid w:val="00B629BF"/>
    <w:rsid w:val="00B65175"/>
    <w:rsid w:val="00B66532"/>
    <w:rsid w:val="00B70B20"/>
    <w:rsid w:val="00B71DB4"/>
    <w:rsid w:val="00B722BF"/>
    <w:rsid w:val="00B75683"/>
    <w:rsid w:val="00B77C14"/>
    <w:rsid w:val="00B839A5"/>
    <w:rsid w:val="00B91C7E"/>
    <w:rsid w:val="00B92A07"/>
    <w:rsid w:val="00B92E8C"/>
    <w:rsid w:val="00BA1167"/>
    <w:rsid w:val="00BA13A8"/>
    <w:rsid w:val="00BA59AE"/>
    <w:rsid w:val="00BA6757"/>
    <w:rsid w:val="00BB29D7"/>
    <w:rsid w:val="00BB6E5A"/>
    <w:rsid w:val="00BC2B88"/>
    <w:rsid w:val="00BC760F"/>
    <w:rsid w:val="00BC7881"/>
    <w:rsid w:val="00BD272A"/>
    <w:rsid w:val="00BD795F"/>
    <w:rsid w:val="00BE2906"/>
    <w:rsid w:val="00BE33C2"/>
    <w:rsid w:val="00BF2D76"/>
    <w:rsid w:val="00C01798"/>
    <w:rsid w:val="00C01A13"/>
    <w:rsid w:val="00C03F77"/>
    <w:rsid w:val="00C054C4"/>
    <w:rsid w:val="00C132AB"/>
    <w:rsid w:val="00C15AEE"/>
    <w:rsid w:val="00C205F2"/>
    <w:rsid w:val="00C26995"/>
    <w:rsid w:val="00C30E53"/>
    <w:rsid w:val="00C35DDD"/>
    <w:rsid w:val="00C37B33"/>
    <w:rsid w:val="00C4719D"/>
    <w:rsid w:val="00C47571"/>
    <w:rsid w:val="00C47715"/>
    <w:rsid w:val="00C52177"/>
    <w:rsid w:val="00C5686D"/>
    <w:rsid w:val="00C66B78"/>
    <w:rsid w:val="00C810DC"/>
    <w:rsid w:val="00C842F6"/>
    <w:rsid w:val="00C90C16"/>
    <w:rsid w:val="00C91118"/>
    <w:rsid w:val="00C91CAF"/>
    <w:rsid w:val="00CA7E6E"/>
    <w:rsid w:val="00CB099F"/>
    <w:rsid w:val="00CB2804"/>
    <w:rsid w:val="00CB3DAE"/>
    <w:rsid w:val="00CB575F"/>
    <w:rsid w:val="00CC1BAA"/>
    <w:rsid w:val="00CC1F7C"/>
    <w:rsid w:val="00CC280D"/>
    <w:rsid w:val="00CC37F8"/>
    <w:rsid w:val="00CD70B3"/>
    <w:rsid w:val="00CE19E7"/>
    <w:rsid w:val="00CE21AA"/>
    <w:rsid w:val="00CE7A54"/>
    <w:rsid w:val="00CF471F"/>
    <w:rsid w:val="00CF57D2"/>
    <w:rsid w:val="00CF7F2B"/>
    <w:rsid w:val="00D01DA1"/>
    <w:rsid w:val="00D02DA2"/>
    <w:rsid w:val="00D17877"/>
    <w:rsid w:val="00D22D3F"/>
    <w:rsid w:val="00D257FD"/>
    <w:rsid w:val="00D3013B"/>
    <w:rsid w:val="00D3096E"/>
    <w:rsid w:val="00D36C4B"/>
    <w:rsid w:val="00D40896"/>
    <w:rsid w:val="00D43603"/>
    <w:rsid w:val="00D43BEE"/>
    <w:rsid w:val="00D5022A"/>
    <w:rsid w:val="00D547DC"/>
    <w:rsid w:val="00D57E74"/>
    <w:rsid w:val="00D6017F"/>
    <w:rsid w:val="00D61462"/>
    <w:rsid w:val="00D619FE"/>
    <w:rsid w:val="00D6281A"/>
    <w:rsid w:val="00D62821"/>
    <w:rsid w:val="00D6403D"/>
    <w:rsid w:val="00D74B1E"/>
    <w:rsid w:val="00D80E69"/>
    <w:rsid w:val="00D84AB9"/>
    <w:rsid w:val="00D85B04"/>
    <w:rsid w:val="00D94BC6"/>
    <w:rsid w:val="00DA31B7"/>
    <w:rsid w:val="00DB15F2"/>
    <w:rsid w:val="00DB6E92"/>
    <w:rsid w:val="00DC0713"/>
    <w:rsid w:val="00DC6AAC"/>
    <w:rsid w:val="00DC6B9A"/>
    <w:rsid w:val="00DD190B"/>
    <w:rsid w:val="00DD258F"/>
    <w:rsid w:val="00DD6EF3"/>
    <w:rsid w:val="00DE34A2"/>
    <w:rsid w:val="00DE7833"/>
    <w:rsid w:val="00DF2386"/>
    <w:rsid w:val="00DF67DA"/>
    <w:rsid w:val="00DF738B"/>
    <w:rsid w:val="00E029A0"/>
    <w:rsid w:val="00E04B45"/>
    <w:rsid w:val="00E06550"/>
    <w:rsid w:val="00E117B9"/>
    <w:rsid w:val="00E3062D"/>
    <w:rsid w:val="00E30F8F"/>
    <w:rsid w:val="00E31AED"/>
    <w:rsid w:val="00E31FB6"/>
    <w:rsid w:val="00E47161"/>
    <w:rsid w:val="00E550D9"/>
    <w:rsid w:val="00E66F2F"/>
    <w:rsid w:val="00E808C4"/>
    <w:rsid w:val="00E8286B"/>
    <w:rsid w:val="00E83BB8"/>
    <w:rsid w:val="00E857F3"/>
    <w:rsid w:val="00E90868"/>
    <w:rsid w:val="00E90935"/>
    <w:rsid w:val="00E90D7B"/>
    <w:rsid w:val="00E96E41"/>
    <w:rsid w:val="00EA37B9"/>
    <w:rsid w:val="00EB3DF3"/>
    <w:rsid w:val="00EC05D4"/>
    <w:rsid w:val="00EC6FB3"/>
    <w:rsid w:val="00EC7433"/>
    <w:rsid w:val="00ED66C7"/>
    <w:rsid w:val="00ED7E4A"/>
    <w:rsid w:val="00EE0A5A"/>
    <w:rsid w:val="00EF01B7"/>
    <w:rsid w:val="00EF52C4"/>
    <w:rsid w:val="00F10F10"/>
    <w:rsid w:val="00F175D1"/>
    <w:rsid w:val="00F26C31"/>
    <w:rsid w:val="00F274A5"/>
    <w:rsid w:val="00F37502"/>
    <w:rsid w:val="00F477BB"/>
    <w:rsid w:val="00F505D7"/>
    <w:rsid w:val="00F54CDA"/>
    <w:rsid w:val="00F61A32"/>
    <w:rsid w:val="00F65874"/>
    <w:rsid w:val="00F674AF"/>
    <w:rsid w:val="00F7016F"/>
    <w:rsid w:val="00F71A48"/>
    <w:rsid w:val="00F75587"/>
    <w:rsid w:val="00F837B9"/>
    <w:rsid w:val="00F93EE0"/>
    <w:rsid w:val="00F96B6D"/>
    <w:rsid w:val="00FA09D3"/>
    <w:rsid w:val="00FA3ADA"/>
    <w:rsid w:val="00FB7227"/>
    <w:rsid w:val="00FC1920"/>
    <w:rsid w:val="00FC5568"/>
    <w:rsid w:val="00FC79C1"/>
    <w:rsid w:val="00FD0FF1"/>
    <w:rsid w:val="00FD6470"/>
    <w:rsid w:val="00FE1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718CC"/>
  <w15:chartTrackingRefBased/>
  <w15:docId w15:val="{8F61DE7A-173F-4AE7-8EEB-60F6A4D93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6C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36C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6C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6C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6C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6C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6C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6C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6C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6C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36C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6C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6C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6C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6C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6C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6C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6C4B"/>
    <w:rPr>
      <w:rFonts w:eastAsiaTheme="majorEastAsia" w:cstheme="majorBidi"/>
      <w:color w:val="272727" w:themeColor="text1" w:themeTint="D8"/>
    </w:rPr>
  </w:style>
  <w:style w:type="paragraph" w:styleId="Title">
    <w:name w:val="Title"/>
    <w:basedOn w:val="Normal"/>
    <w:next w:val="Normal"/>
    <w:link w:val="TitleChar"/>
    <w:uiPriority w:val="10"/>
    <w:qFormat/>
    <w:rsid w:val="00D36C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6C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6C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6C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6C4B"/>
    <w:pPr>
      <w:spacing w:before="160"/>
      <w:jc w:val="center"/>
    </w:pPr>
    <w:rPr>
      <w:i/>
      <w:iCs/>
      <w:color w:val="404040" w:themeColor="text1" w:themeTint="BF"/>
    </w:rPr>
  </w:style>
  <w:style w:type="character" w:customStyle="1" w:styleId="QuoteChar">
    <w:name w:val="Quote Char"/>
    <w:basedOn w:val="DefaultParagraphFont"/>
    <w:link w:val="Quote"/>
    <w:uiPriority w:val="29"/>
    <w:rsid w:val="00D36C4B"/>
    <w:rPr>
      <w:i/>
      <w:iCs/>
      <w:color w:val="404040" w:themeColor="text1" w:themeTint="BF"/>
    </w:rPr>
  </w:style>
  <w:style w:type="paragraph" w:styleId="ListParagraph">
    <w:name w:val="List Paragraph"/>
    <w:basedOn w:val="Normal"/>
    <w:uiPriority w:val="34"/>
    <w:qFormat/>
    <w:rsid w:val="00D36C4B"/>
    <w:pPr>
      <w:ind w:left="720"/>
      <w:contextualSpacing/>
    </w:pPr>
  </w:style>
  <w:style w:type="character" w:styleId="IntenseEmphasis">
    <w:name w:val="Intense Emphasis"/>
    <w:basedOn w:val="DefaultParagraphFont"/>
    <w:uiPriority w:val="21"/>
    <w:qFormat/>
    <w:rsid w:val="00D36C4B"/>
    <w:rPr>
      <w:i/>
      <w:iCs/>
      <w:color w:val="0F4761" w:themeColor="accent1" w:themeShade="BF"/>
    </w:rPr>
  </w:style>
  <w:style w:type="paragraph" w:styleId="IntenseQuote">
    <w:name w:val="Intense Quote"/>
    <w:basedOn w:val="Normal"/>
    <w:next w:val="Normal"/>
    <w:link w:val="IntenseQuoteChar"/>
    <w:uiPriority w:val="30"/>
    <w:qFormat/>
    <w:rsid w:val="00D36C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6C4B"/>
    <w:rPr>
      <w:i/>
      <w:iCs/>
      <w:color w:val="0F4761" w:themeColor="accent1" w:themeShade="BF"/>
    </w:rPr>
  </w:style>
  <w:style w:type="character" w:styleId="IntenseReference">
    <w:name w:val="Intense Reference"/>
    <w:basedOn w:val="DefaultParagraphFont"/>
    <w:uiPriority w:val="32"/>
    <w:qFormat/>
    <w:rsid w:val="00D36C4B"/>
    <w:rPr>
      <w:b/>
      <w:bCs/>
      <w:smallCaps/>
      <w:color w:val="0F4761" w:themeColor="accent1" w:themeShade="BF"/>
      <w:spacing w:val="5"/>
    </w:rPr>
  </w:style>
  <w:style w:type="paragraph" w:styleId="Bibliography">
    <w:name w:val="Bibliography"/>
    <w:basedOn w:val="Normal"/>
    <w:next w:val="Normal"/>
    <w:uiPriority w:val="37"/>
    <w:unhideWhenUsed/>
    <w:rsid w:val="00D36C4B"/>
  </w:style>
  <w:style w:type="character" w:styleId="Strong">
    <w:name w:val="Strong"/>
    <w:basedOn w:val="DefaultParagraphFont"/>
    <w:uiPriority w:val="22"/>
    <w:qFormat/>
    <w:rsid w:val="00F505D7"/>
    <w:rPr>
      <w:b/>
      <w:bCs/>
    </w:rPr>
  </w:style>
  <w:style w:type="paragraph" w:styleId="NormalWeb">
    <w:name w:val="Normal (Web)"/>
    <w:basedOn w:val="Normal"/>
    <w:uiPriority w:val="99"/>
    <w:semiHidden/>
    <w:unhideWhenUsed/>
    <w:rsid w:val="00F71A48"/>
    <w:rPr>
      <w:rFonts w:ascii="Times New Roman" w:hAnsi="Times New Roman" w:cs="Times New Roman"/>
      <w:sz w:val="24"/>
      <w:szCs w:val="24"/>
    </w:rPr>
  </w:style>
  <w:style w:type="paragraph" w:styleId="TOCHeading">
    <w:name w:val="TOC Heading"/>
    <w:basedOn w:val="Heading1"/>
    <w:next w:val="Normal"/>
    <w:uiPriority w:val="39"/>
    <w:unhideWhenUsed/>
    <w:qFormat/>
    <w:rsid w:val="00383BB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83BB7"/>
    <w:pPr>
      <w:spacing w:after="100"/>
    </w:pPr>
  </w:style>
  <w:style w:type="paragraph" w:styleId="TOC2">
    <w:name w:val="toc 2"/>
    <w:basedOn w:val="Normal"/>
    <w:next w:val="Normal"/>
    <w:autoRedefine/>
    <w:uiPriority w:val="39"/>
    <w:unhideWhenUsed/>
    <w:rsid w:val="00383BB7"/>
    <w:pPr>
      <w:spacing w:after="100"/>
      <w:ind w:left="220"/>
    </w:pPr>
  </w:style>
  <w:style w:type="character" w:styleId="Hyperlink">
    <w:name w:val="Hyperlink"/>
    <w:basedOn w:val="DefaultParagraphFont"/>
    <w:uiPriority w:val="99"/>
    <w:unhideWhenUsed/>
    <w:rsid w:val="00383BB7"/>
    <w:rPr>
      <w:color w:val="467886" w:themeColor="hyperlink"/>
      <w:u w:val="single"/>
    </w:rPr>
  </w:style>
  <w:style w:type="paragraph" w:styleId="Header">
    <w:name w:val="header"/>
    <w:basedOn w:val="Normal"/>
    <w:link w:val="HeaderChar"/>
    <w:uiPriority w:val="99"/>
    <w:unhideWhenUsed/>
    <w:rsid w:val="008B4C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4C29"/>
  </w:style>
  <w:style w:type="paragraph" w:styleId="Footer">
    <w:name w:val="footer"/>
    <w:basedOn w:val="Normal"/>
    <w:link w:val="FooterChar"/>
    <w:uiPriority w:val="99"/>
    <w:unhideWhenUsed/>
    <w:rsid w:val="008B4C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4C29"/>
  </w:style>
  <w:style w:type="table" w:styleId="TableGrid">
    <w:name w:val="Table Grid"/>
    <w:basedOn w:val="TableNormal"/>
    <w:uiPriority w:val="39"/>
    <w:rsid w:val="00E065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94563"/>
    <w:rPr>
      <w:color w:val="605E5C"/>
      <w:shd w:val="clear" w:color="auto" w:fill="E1DFDD"/>
    </w:rPr>
  </w:style>
  <w:style w:type="paragraph" w:styleId="NoSpacing">
    <w:name w:val="No Spacing"/>
    <w:link w:val="NoSpacingChar"/>
    <w:uiPriority w:val="1"/>
    <w:qFormat/>
    <w:rsid w:val="0031181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1181C"/>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2810">
      <w:bodyDiv w:val="1"/>
      <w:marLeft w:val="0"/>
      <w:marRight w:val="0"/>
      <w:marTop w:val="0"/>
      <w:marBottom w:val="0"/>
      <w:divBdr>
        <w:top w:val="none" w:sz="0" w:space="0" w:color="auto"/>
        <w:left w:val="none" w:sz="0" w:space="0" w:color="auto"/>
        <w:bottom w:val="none" w:sz="0" w:space="0" w:color="auto"/>
        <w:right w:val="none" w:sz="0" w:space="0" w:color="auto"/>
      </w:divBdr>
    </w:div>
    <w:div w:id="7145209">
      <w:bodyDiv w:val="1"/>
      <w:marLeft w:val="0"/>
      <w:marRight w:val="0"/>
      <w:marTop w:val="0"/>
      <w:marBottom w:val="0"/>
      <w:divBdr>
        <w:top w:val="none" w:sz="0" w:space="0" w:color="auto"/>
        <w:left w:val="none" w:sz="0" w:space="0" w:color="auto"/>
        <w:bottom w:val="none" w:sz="0" w:space="0" w:color="auto"/>
        <w:right w:val="none" w:sz="0" w:space="0" w:color="auto"/>
      </w:divBdr>
    </w:div>
    <w:div w:id="19863266">
      <w:bodyDiv w:val="1"/>
      <w:marLeft w:val="0"/>
      <w:marRight w:val="0"/>
      <w:marTop w:val="0"/>
      <w:marBottom w:val="0"/>
      <w:divBdr>
        <w:top w:val="none" w:sz="0" w:space="0" w:color="auto"/>
        <w:left w:val="none" w:sz="0" w:space="0" w:color="auto"/>
        <w:bottom w:val="none" w:sz="0" w:space="0" w:color="auto"/>
        <w:right w:val="none" w:sz="0" w:space="0" w:color="auto"/>
      </w:divBdr>
    </w:div>
    <w:div w:id="20712417">
      <w:bodyDiv w:val="1"/>
      <w:marLeft w:val="0"/>
      <w:marRight w:val="0"/>
      <w:marTop w:val="0"/>
      <w:marBottom w:val="0"/>
      <w:divBdr>
        <w:top w:val="none" w:sz="0" w:space="0" w:color="auto"/>
        <w:left w:val="none" w:sz="0" w:space="0" w:color="auto"/>
        <w:bottom w:val="none" w:sz="0" w:space="0" w:color="auto"/>
        <w:right w:val="none" w:sz="0" w:space="0" w:color="auto"/>
      </w:divBdr>
    </w:div>
    <w:div w:id="21522044">
      <w:bodyDiv w:val="1"/>
      <w:marLeft w:val="0"/>
      <w:marRight w:val="0"/>
      <w:marTop w:val="0"/>
      <w:marBottom w:val="0"/>
      <w:divBdr>
        <w:top w:val="none" w:sz="0" w:space="0" w:color="auto"/>
        <w:left w:val="none" w:sz="0" w:space="0" w:color="auto"/>
        <w:bottom w:val="none" w:sz="0" w:space="0" w:color="auto"/>
        <w:right w:val="none" w:sz="0" w:space="0" w:color="auto"/>
      </w:divBdr>
    </w:div>
    <w:div w:id="33888444">
      <w:bodyDiv w:val="1"/>
      <w:marLeft w:val="0"/>
      <w:marRight w:val="0"/>
      <w:marTop w:val="0"/>
      <w:marBottom w:val="0"/>
      <w:divBdr>
        <w:top w:val="none" w:sz="0" w:space="0" w:color="auto"/>
        <w:left w:val="none" w:sz="0" w:space="0" w:color="auto"/>
        <w:bottom w:val="none" w:sz="0" w:space="0" w:color="auto"/>
        <w:right w:val="none" w:sz="0" w:space="0" w:color="auto"/>
      </w:divBdr>
    </w:div>
    <w:div w:id="34159805">
      <w:bodyDiv w:val="1"/>
      <w:marLeft w:val="0"/>
      <w:marRight w:val="0"/>
      <w:marTop w:val="0"/>
      <w:marBottom w:val="0"/>
      <w:divBdr>
        <w:top w:val="none" w:sz="0" w:space="0" w:color="auto"/>
        <w:left w:val="none" w:sz="0" w:space="0" w:color="auto"/>
        <w:bottom w:val="none" w:sz="0" w:space="0" w:color="auto"/>
        <w:right w:val="none" w:sz="0" w:space="0" w:color="auto"/>
      </w:divBdr>
    </w:div>
    <w:div w:id="34739366">
      <w:bodyDiv w:val="1"/>
      <w:marLeft w:val="0"/>
      <w:marRight w:val="0"/>
      <w:marTop w:val="0"/>
      <w:marBottom w:val="0"/>
      <w:divBdr>
        <w:top w:val="none" w:sz="0" w:space="0" w:color="auto"/>
        <w:left w:val="none" w:sz="0" w:space="0" w:color="auto"/>
        <w:bottom w:val="none" w:sz="0" w:space="0" w:color="auto"/>
        <w:right w:val="none" w:sz="0" w:space="0" w:color="auto"/>
      </w:divBdr>
    </w:div>
    <w:div w:id="35981159">
      <w:bodyDiv w:val="1"/>
      <w:marLeft w:val="0"/>
      <w:marRight w:val="0"/>
      <w:marTop w:val="0"/>
      <w:marBottom w:val="0"/>
      <w:divBdr>
        <w:top w:val="none" w:sz="0" w:space="0" w:color="auto"/>
        <w:left w:val="none" w:sz="0" w:space="0" w:color="auto"/>
        <w:bottom w:val="none" w:sz="0" w:space="0" w:color="auto"/>
        <w:right w:val="none" w:sz="0" w:space="0" w:color="auto"/>
      </w:divBdr>
    </w:div>
    <w:div w:id="41175045">
      <w:bodyDiv w:val="1"/>
      <w:marLeft w:val="0"/>
      <w:marRight w:val="0"/>
      <w:marTop w:val="0"/>
      <w:marBottom w:val="0"/>
      <w:divBdr>
        <w:top w:val="none" w:sz="0" w:space="0" w:color="auto"/>
        <w:left w:val="none" w:sz="0" w:space="0" w:color="auto"/>
        <w:bottom w:val="none" w:sz="0" w:space="0" w:color="auto"/>
        <w:right w:val="none" w:sz="0" w:space="0" w:color="auto"/>
      </w:divBdr>
    </w:div>
    <w:div w:id="42944887">
      <w:bodyDiv w:val="1"/>
      <w:marLeft w:val="0"/>
      <w:marRight w:val="0"/>
      <w:marTop w:val="0"/>
      <w:marBottom w:val="0"/>
      <w:divBdr>
        <w:top w:val="none" w:sz="0" w:space="0" w:color="auto"/>
        <w:left w:val="none" w:sz="0" w:space="0" w:color="auto"/>
        <w:bottom w:val="none" w:sz="0" w:space="0" w:color="auto"/>
        <w:right w:val="none" w:sz="0" w:space="0" w:color="auto"/>
      </w:divBdr>
    </w:div>
    <w:div w:id="44524907">
      <w:bodyDiv w:val="1"/>
      <w:marLeft w:val="0"/>
      <w:marRight w:val="0"/>
      <w:marTop w:val="0"/>
      <w:marBottom w:val="0"/>
      <w:divBdr>
        <w:top w:val="none" w:sz="0" w:space="0" w:color="auto"/>
        <w:left w:val="none" w:sz="0" w:space="0" w:color="auto"/>
        <w:bottom w:val="none" w:sz="0" w:space="0" w:color="auto"/>
        <w:right w:val="none" w:sz="0" w:space="0" w:color="auto"/>
      </w:divBdr>
    </w:div>
    <w:div w:id="50273794">
      <w:bodyDiv w:val="1"/>
      <w:marLeft w:val="0"/>
      <w:marRight w:val="0"/>
      <w:marTop w:val="0"/>
      <w:marBottom w:val="0"/>
      <w:divBdr>
        <w:top w:val="none" w:sz="0" w:space="0" w:color="auto"/>
        <w:left w:val="none" w:sz="0" w:space="0" w:color="auto"/>
        <w:bottom w:val="none" w:sz="0" w:space="0" w:color="auto"/>
        <w:right w:val="none" w:sz="0" w:space="0" w:color="auto"/>
      </w:divBdr>
    </w:div>
    <w:div w:id="51269376">
      <w:bodyDiv w:val="1"/>
      <w:marLeft w:val="0"/>
      <w:marRight w:val="0"/>
      <w:marTop w:val="0"/>
      <w:marBottom w:val="0"/>
      <w:divBdr>
        <w:top w:val="none" w:sz="0" w:space="0" w:color="auto"/>
        <w:left w:val="none" w:sz="0" w:space="0" w:color="auto"/>
        <w:bottom w:val="none" w:sz="0" w:space="0" w:color="auto"/>
        <w:right w:val="none" w:sz="0" w:space="0" w:color="auto"/>
      </w:divBdr>
    </w:div>
    <w:div w:id="55400596">
      <w:bodyDiv w:val="1"/>
      <w:marLeft w:val="0"/>
      <w:marRight w:val="0"/>
      <w:marTop w:val="0"/>
      <w:marBottom w:val="0"/>
      <w:divBdr>
        <w:top w:val="none" w:sz="0" w:space="0" w:color="auto"/>
        <w:left w:val="none" w:sz="0" w:space="0" w:color="auto"/>
        <w:bottom w:val="none" w:sz="0" w:space="0" w:color="auto"/>
        <w:right w:val="none" w:sz="0" w:space="0" w:color="auto"/>
      </w:divBdr>
    </w:div>
    <w:div w:id="60714415">
      <w:bodyDiv w:val="1"/>
      <w:marLeft w:val="0"/>
      <w:marRight w:val="0"/>
      <w:marTop w:val="0"/>
      <w:marBottom w:val="0"/>
      <w:divBdr>
        <w:top w:val="none" w:sz="0" w:space="0" w:color="auto"/>
        <w:left w:val="none" w:sz="0" w:space="0" w:color="auto"/>
        <w:bottom w:val="none" w:sz="0" w:space="0" w:color="auto"/>
        <w:right w:val="none" w:sz="0" w:space="0" w:color="auto"/>
      </w:divBdr>
    </w:div>
    <w:div w:id="61684841">
      <w:bodyDiv w:val="1"/>
      <w:marLeft w:val="0"/>
      <w:marRight w:val="0"/>
      <w:marTop w:val="0"/>
      <w:marBottom w:val="0"/>
      <w:divBdr>
        <w:top w:val="none" w:sz="0" w:space="0" w:color="auto"/>
        <w:left w:val="none" w:sz="0" w:space="0" w:color="auto"/>
        <w:bottom w:val="none" w:sz="0" w:space="0" w:color="auto"/>
        <w:right w:val="none" w:sz="0" w:space="0" w:color="auto"/>
      </w:divBdr>
    </w:div>
    <w:div w:id="64576490">
      <w:bodyDiv w:val="1"/>
      <w:marLeft w:val="0"/>
      <w:marRight w:val="0"/>
      <w:marTop w:val="0"/>
      <w:marBottom w:val="0"/>
      <w:divBdr>
        <w:top w:val="none" w:sz="0" w:space="0" w:color="auto"/>
        <w:left w:val="none" w:sz="0" w:space="0" w:color="auto"/>
        <w:bottom w:val="none" w:sz="0" w:space="0" w:color="auto"/>
        <w:right w:val="none" w:sz="0" w:space="0" w:color="auto"/>
      </w:divBdr>
    </w:div>
    <w:div w:id="65684574">
      <w:bodyDiv w:val="1"/>
      <w:marLeft w:val="0"/>
      <w:marRight w:val="0"/>
      <w:marTop w:val="0"/>
      <w:marBottom w:val="0"/>
      <w:divBdr>
        <w:top w:val="none" w:sz="0" w:space="0" w:color="auto"/>
        <w:left w:val="none" w:sz="0" w:space="0" w:color="auto"/>
        <w:bottom w:val="none" w:sz="0" w:space="0" w:color="auto"/>
        <w:right w:val="none" w:sz="0" w:space="0" w:color="auto"/>
      </w:divBdr>
    </w:div>
    <w:div w:id="82336945">
      <w:bodyDiv w:val="1"/>
      <w:marLeft w:val="0"/>
      <w:marRight w:val="0"/>
      <w:marTop w:val="0"/>
      <w:marBottom w:val="0"/>
      <w:divBdr>
        <w:top w:val="none" w:sz="0" w:space="0" w:color="auto"/>
        <w:left w:val="none" w:sz="0" w:space="0" w:color="auto"/>
        <w:bottom w:val="none" w:sz="0" w:space="0" w:color="auto"/>
        <w:right w:val="none" w:sz="0" w:space="0" w:color="auto"/>
      </w:divBdr>
    </w:div>
    <w:div w:id="84227847">
      <w:bodyDiv w:val="1"/>
      <w:marLeft w:val="0"/>
      <w:marRight w:val="0"/>
      <w:marTop w:val="0"/>
      <w:marBottom w:val="0"/>
      <w:divBdr>
        <w:top w:val="none" w:sz="0" w:space="0" w:color="auto"/>
        <w:left w:val="none" w:sz="0" w:space="0" w:color="auto"/>
        <w:bottom w:val="none" w:sz="0" w:space="0" w:color="auto"/>
        <w:right w:val="none" w:sz="0" w:space="0" w:color="auto"/>
      </w:divBdr>
    </w:div>
    <w:div w:id="90929127">
      <w:bodyDiv w:val="1"/>
      <w:marLeft w:val="0"/>
      <w:marRight w:val="0"/>
      <w:marTop w:val="0"/>
      <w:marBottom w:val="0"/>
      <w:divBdr>
        <w:top w:val="none" w:sz="0" w:space="0" w:color="auto"/>
        <w:left w:val="none" w:sz="0" w:space="0" w:color="auto"/>
        <w:bottom w:val="none" w:sz="0" w:space="0" w:color="auto"/>
        <w:right w:val="none" w:sz="0" w:space="0" w:color="auto"/>
      </w:divBdr>
    </w:div>
    <w:div w:id="94909199">
      <w:bodyDiv w:val="1"/>
      <w:marLeft w:val="0"/>
      <w:marRight w:val="0"/>
      <w:marTop w:val="0"/>
      <w:marBottom w:val="0"/>
      <w:divBdr>
        <w:top w:val="none" w:sz="0" w:space="0" w:color="auto"/>
        <w:left w:val="none" w:sz="0" w:space="0" w:color="auto"/>
        <w:bottom w:val="none" w:sz="0" w:space="0" w:color="auto"/>
        <w:right w:val="none" w:sz="0" w:space="0" w:color="auto"/>
      </w:divBdr>
    </w:div>
    <w:div w:id="111630149">
      <w:bodyDiv w:val="1"/>
      <w:marLeft w:val="0"/>
      <w:marRight w:val="0"/>
      <w:marTop w:val="0"/>
      <w:marBottom w:val="0"/>
      <w:divBdr>
        <w:top w:val="none" w:sz="0" w:space="0" w:color="auto"/>
        <w:left w:val="none" w:sz="0" w:space="0" w:color="auto"/>
        <w:bottom w:val="none" w:sz="0" w:space="0" w:color="auto"/>
        <w:right w:val="none" w:sz="0" w:space="0" w:color="auto"/>
      </w:divBdr>
    </w:div>
    <w:div w:id="122702655">
      <w:bodyDiv w:val="1"/>
      <w:marLeft w:val="0"/>
      <w:marRight w:val="0"/>
      <w:marTop w:val="0"/>
      <w:marBottom w:val="0"/>
      <w:divBdr>
        <w:top w:val="none" w:sz="0" w:space="0" w:color="auto"/>
        <w:left w:val="none" w:sz="0" w:space="0" w:color="auto"/>
        <w:bottom w:val="none" w:sz="0" w:space="0" w:color="auto"/>
        <w:right w:val="none" w:sz="0" w:space="0" w:color="auto"/>
      </w:divBdr>
    </w:div>
    <w:div w:id="129330584">
      <w:bodyDiv w:val="1"/>
      <w:marLeft w:val="0"/>
      <w:marRight w:val="0"/>
      <w:marTop w:val="0"/>
      <w:marBottom w:val="0"/>
      <w:divBdr>
        <w:top w:val="none" w:sz="0" w:space="0" w:color="auto"/>
        <w:left w:val="none" w:sz="0" w:space="0" w:color="auto"/>
        <w:bottom w:val="none" w:sz="0" w:space="0" w:color="auto"/>
        <w:right w:val="none" w:sz="0" w:space="0" w:color="auto"/>
      </w:divBdr>
    </w:div>
    <w:div w:id="142046450">
      <w:bodyDiv w:val="1"/>
      <w:marLeft w:val="0"/>
      <w:marRight w:val="0"/>
      <w:marTop w:val="0"/>
      <w:marBottom w:val="0"/>
      <w:divBdr>
        <w:top w:val="none" w:sz="0" w:space="0" w:color="auto"/>
        <w:left w:val="none" w:sz="0" w:space="0" w:color="auto"/>
        <w:bottom w:val="none" w:sz="0" w:space="0" w:color="auto"/>
        <w:right w:val="none" w:sz="0" w:space="0" w:color="auto"/>
      </w:divBdr>
    </w:div>
    <w:div w:id="144592903">
      <w:bodyDiv w:val="1"/>
      <w:marLeft w:val="0"/>
      <w:marRight w:val="0"/>
      <w:marTop w:val="0"/>
      <w:marBottom w:val="0"/>
      <w:divBdr>
        <w:top w:val="none" w:sz="0" w:space="0" w:color="auto"/>
        <w:left w:val="none" w:sz="0" w:space="0" w:color="auto"/>
        <w:bottom w:val="none" w:sz="0" w:space="0" w:color="auto"/>
        <w:right w:val="none" w:sz="0" w:space="0" w:color="auto"/>
      </w:divBdr>
    </w:div>
    <w:div w:id="144901717">
      <w:bodyDiv w:val="1"/>
      <w:marLeft w:val="0"/>
      <w:marRight w:val="0"/>
      <w:marTop w:val="0"/>
      <w:marBottom w:val="0"/>
      <w:divBdr>
        <w:top w:val="none" w:sz="0" w:space="0" w:color="auto"/>
        <w:left w:val="none" w:sz="0" w:space="0" w:color="auto"/>
        <w:bottom w:val="none" w:sz="0" w:space="0" w:color="auto"/>
        <w:right w:val="none" w:sz="0" w:space="0" w:color="auto"/>
      </w:divBdr>
    </w:div>
    <w:div w:id="148442362">
      <w:bodyDiv w:val="1"/>
      <w:marLeft w:val="0"/>
      <w:marRight w:val="0"/>
      <w:marTop w:val="0"/>
      <w:marBottom w:val="0"/>
      <w:divBdr>
        <w:top w:val="none" w:sz="0" w:space="0" w:color="auto"/>
        <w:left w:val="none" w:sz="0" w:space="0" w:color="auto"/>
        <w:bottom w:val="none" w:sz="0" w:space="0" w:color="auto"/>
        <w:right w:val="none" w:sz="0" w:space="0" w:color="auto"/>
      </w:divBdr>
    </w:div>
    <w:div w:id="149248389">
      <w:bodyDiv w:val="1"/>
      <w:marLeft w:val="0"/>
      <w:marRight w:val="0"/>
      <w:marTop w:val="0"/>
      <w:marBottom w:val="0"/>
      <w:divBdr>
        <w:top w:val="none" w:sz="0" w:space="0" w:color="auto"/>
        <w:left w:val="none" w:sz="0" w:space="0" w:color="auto"/>
        <w:bottom w:val="none" w:sz="0" w:space="0" w:color="auto"/>
        <w:right w:val="none" w:sz="0" w:space="0" w:color="auto"/>
      </w:divBdr>
    </w:div>
    <w:div w:id="159808068">
      <w:bodyDiv w:val="1"/>
      <w:marLeft w:val="0"/>
      <w:marRight w:val="0"/>
      <w:marTop w:val="0"/>
      <w:marBottom w:val="0"/>
      <w:divBdr>
        <w:top w:val="none" w:sz="0" w:space="0" w:color="auto"/>
        <w:left w:val="none" w:sz="0" w:space="0" w:color="auto"/>
        <w:bottom w:val="none" w:sz="0" w:space="0" w:color="auto"/>
        <w:right w:val="none" w:sz="0" w:space="0" w:color="auto"/>
      </w:divBdr>
    </w:div>
    <w:div w:id="166485428">
      <w:bodyDiv w:val="1"/>
      <w:marLeft w:val="0"/>
      <w:marRight w:val="0"/>
      <w:marTop w:val="0"/>
      <w:marBottom w:val="0"/>
      <w:divBdr>
        <w:top w:val="none" w:sz="0" w:space="0" w:color="auto"/>
        <w:left w:val="none" w:sz="0" w:space="0" w:color="auto"/>
        <w:bottom w:val="none" w:sz="0" w:space="0" w:color="auto"/>
        <w:right w:val="none" w:sz="0" w:space="0" w:color="auto"/>
      </w:divBdr>
    </w:div>
    <w:div w:id="168377975">
      <w:bodyDiv w:val="1"/>
      <w:marLeft w:val="0"/>
      <w:marRight w:val="0"/>
      <w:marTop w:val="0"/>
      <w:marBottom w:val="0"/>
      <w:divBdr>
        <w:top w:val="none" w:sz="0" w:space="0" w:color="auto"/>
        <w:left w:val="none" w:sz="0" w:space="0" w:color="auto"/>
        <w:bottom w:val="none" w:sz="0" w:space="0" w:color="auto"/>
        <w:right w:val="none" w:sz="0" w:space="0" w:color="auto"/>
      </w:divBdr>
    </w:div>
    <w:div w:id="169298628">
      <w:bodyDiv w:val="1"/>
      <w:marLeft w:val="0"/>
      <w:marRight w:val="0"/>
      <w:marTop w:val="0"/>
      <w:marBottom w:val="0"/>
      <w:divBdr>
        <w:top w:val="none" w:sz="0" w:space="0" w:color="auto"/>
        <w:left w:val="none" w:sz="0" w:space="0" w:color="auto"/>
        <w:bottom w:val="none" w:sz="0" w:space="0" w:color="auto"/>
        <w:right w:val="none" w:sz="0" w:space="0" w:color="auto"/>
      </w:divBdr>
    </w:div>
    <w:div w:id="182280825">
      <w:bodyDiv w:val="1"/>
      <w:marLeft w:val="0"/>
      <w:marRight w:val="0"/>
      <w:marTop w:val="0"/>
      <w:marBottom w:val="0"/>
      <w:divBdr>
        <w:top w:val="none" w:sz="0" w:space="0" w:color="auto"/>
        <w:left w:val="none" w:sz="0" w:space="0" w:color="auto"/>
        <w:bottom w:val="none" w:sz="0" w:space="0" w:color="auto"/>
        <w:right w:val="none" w:sz="0" w:space="0" w:color="auto"/>
      </w:divBdr>
    </w:div>
    <w:div w:id="191112913">
      <w:bodyDiv w:val="1"/>
      <w:marLeft w:val="0"/>
      <w:marRight w:val="0"/>
      <w:marTop w:val="0"/>
      <w:marBottom w:val="0"/>
      <w:divBdr>
        <w:top w:val="none" w:sz="0" w:space="0" w:color="auto"/>
        <w:left w:val="none" w:sz="0" w:space="0" w:color="auto"/>
        <w:bottom w:val="none" w:sz="0" w:space="0" w:color="auto"/>
        <w:right w:val="none" w:sz="0" w:space="0" w:color="auto"/>
      </w:divBdr>
    </w:div>
    <w:div w:id="191961276">
      <w:bodyDiv w:val="1"/>
      <w:marLeft w:val="0"/>
      <w:marRight w:val="0"/>
      <w:marTop w:val="0"/>
      <w:marBottom w:val="0"/>
      <w:divBdr>
        <w:top w:val="none" w:sz="0" w:space="0" w:color="auto"/>
        <w:left w:val="none" w:sz="0" w:space="0" w:color="auto"/>
        <w:bottom w:val="none" w:sz="0" w:space="0" w:color="auto"/>
        <w:right w:val="none" w:sz="0" w:space="0" w:color="auto"/>
      </w:divBdr>
    </w:div>
    <w:div w:id="196506902">
      <w:bodyDiv w:val="1"/>
      <w:marLeft w:val="0"/>
      <w:marRight w:val="0"/>
      <w:marTop w:val="0"/>
      <w:marBottom w:val="0"/>
      <w:divBdr>
        <w:top w:val="none" w:sz="0" w:space="0" w:color="auto"/>
        <w:left w:val="none" w:sz="0" w:space="0" w:color="auto"/>
        <w:bottom w:val="none" w:sz="0" w:space="0" w:color="auto"/>
        <w:right w:val="none" w:sz="0" w:space="0" w:color="auto"/>
      </w:divBdr>
    </w:div>
    <w:div w:id="197937448">
      <w:bodyDiv w:val="1"/>
      <w:marLeft w:val="0"/>
      <w:marRight w:val="0"/>
      <w:marTop w:val="0"/>
      <w:marBottom w:val="0"/>
      <w:divBdr>
        <w:top w:val="none" w:sz="0" w:space="0" w:color="auto"/>
        <w:left w:val="none" w:sz="0" w:space="0" w:color="auto"/>
        <w:bottom w:val="none" w:sz="0" w:space="0" w:color="auto"/>
        <w:right w:val="none" w:sz="0" w:space="0" w:color="auto"/>
      </w:divBdr>
    </w:div>
    <w:div w:id="198443535">
      <w:bodyDiv w:val="1"/>
      <w:marLeft w:val="0"/>
      <w:marRight w:val="0"/>
      <w:marTop w:val="0"/>
      <w:marBottom w:val="0"/>
      <w:divBdr>
        <w:top w:val="none" w:sz="0" w:space="0" w:color="auto"/>
        <w:left w:val="none" w:sz="0" w:space="0" w:color="auto"/>
        <w:bottom w:val="none" w:sz="0" w:space="0" w:color="auto"/>
        <w:right w:val="none" w:sz="0" w:space="0" w:color="auto"/>
      </w:divBdr>
    </w:div>
    <w:div w:id="203177054">
      <w:bodyDiv w:val="1"/>
      <w:marLeft w:val="0"/>
      <w:marRight w:val="0"/>
      <w:marTop w:val="0"/>
      <w:marBottom w:val="0"/>
      <w:divBdr>
        <w:top w:val="none" w:sz="0" w:space="0" w:color="auto"/>
        <w:left w:val="none" w:sz="0" w:space="0" w:color="auto"/>
        <w:bottom w:val="none" w:sz="0" w:space="0" w:color="auto"/>
        <w:right w:val="none" w:sz="0" w:space="0" w:color="auto"/>
      </w:divBdr>
    </w:div>
    <w:div w:id="206259290">
      <w:bodyDiv w:val="1"/>
      <w:marLeft w:val="0"/>
      <w:marRight w:val="0"/>
      <w:marTop w:val="0"/>
      <w:marBottom w:val="0"/>
      <w:divBdr>
        <w:top w:val="none" w:sz="0" w:space="0" w:color="auto"/>
        <w:left w:val="none" w:sz="0" w:space="0" w:color="auto"/>
        <w:bottom w:val="none" w:sz="0" w:space="0" w:color="auto"/>
        <w:right w:val="none" w:sz="0" w:space="0" w:color="auto"/>
      </w:divBdr>
    </w:div>
    <w:div w:id="207955754">
      <w:bodyDiv w:val="1"/>
      <w:marLeft w:val="0"/>
      <w:marRight w:val="0"/>
      <w:marTop w:val="0"/>
      <w:marBottom w:val="0"/>
      <w:divBdr>
        <w:top w:val="none" w:sz="0" w:space="0" w:color="auto"/>
        <w:left w:val="none" w:sz="0" w:space="0" w:color="auto"/>
        <w:bottom w:val="none" w:sz="0" w:space="0" w:color="auto"/>
        <w:right w:val="none" w:sz="0" w:space="0" w:color="auto"/>
      </w:divBdr>
    </w:div>
    <w:div w:id="211357094">
      <w:bodyDiv w:val="1"/>
      <w:marLeft w:val="0"/>
      <w:marRight w:val="0"/>
      <w:marTop w:val="0"/>
      <w:marBottom w:val="0"/>
      <w:divBdr>
        <w:top w:val="none" w:sz="0" w:space="0" w:color="auto"/>
        <w:left w:val="none" w:sz="0" w:space="0" w:color="auto"/>
        <w:bottom w:val="none" w:sz="0" w:space="0" w:color="auto"/>
        <w:right w:val="none" w:sz="0" w:space="0" w:color="auto"/>
      </w:divBdr>
    </w:div>
    <w:div w:id="214703185">
      <w:bodyDiv w:val="1"/>
      <w:marLeft w:val="0"/>
      <w:marRight w:val="0"/>
      <w:marTop w:val="0"/>
      <w:marBottom w:val="0"/>
      <w:divBdr>
        <w:top w:val="none" w:sz="0" w:space="0" w:color="auto"/>
        <w:left w:val="none" w:sz="0" w:space="0" w:color="auto"/>
        <w:bottom w:val="none" w:sz="0" w:space="0" w:color="auto"/>
        <w:right w:val="none" w:sz="0" w:space="0" w:color="auto"/>
      </w:divBdr>
    </w:div>
    <w:div w:id="215893002">
      <w:bodyDiv w:val="1"/>
      <w:marLeft w:val="0"/>
      <w:marRight w:val="0"/>
      <w:marTop w:val="0"/>
      <w:marBottom w:val="0"/>
      <w:divBdr>
        <w:top w:val="none" w:sz="0" w:space="0" w:color="auto"/>
        <w:left w:val="none" w:sz="0" w:space="0" w:color="auto"/>
        <w:bottom w:val="none" w:sz="0" w:space="0" w:color="auto"/>
        <w:right w:val="none" w:sz="0" w:space="0" w:color="auto"/>
      </w:divBdr>
    </w:div>
    <w:div w:id="219946561">
      <w:bodyDiv w:val="1"/>
      <w:marLeft w:val="0"/>
      <w:marRight w:val="0"/>
      <w:marTop w:val="0"/>
      <w:marBottom w:val="0"/>
      <w:divBdr>
        <w:top w:val="none" w:sz="0" w:space="0" w:color="auto"/>
        <w:left w:val="none" w:sz="0" w:space="0" w:color="auto"/>
        <w:bottom w:val="none" w:sz="0" w:space="0" w:color="auto"/>
        <w:right w:val="none" w:sz="0" w:space="0" w:color="auto"/>
      </w:divBdr>
    </w:div>
    <w:div w:id="221597019">
      <w:bodyDiv w:val="1"/>
      <w:marLeft w:val="0"/>
      <w:marRight w:val="0"/>
      <w:marTop w:val="0"/>
      <w:marBottom w:val="0"/>
      <w:divBdr>
        <w:top w:val="none" w:sz="0" w:space="0" w:color="auto"/>
        <w:left w:val="none" w:sz="0" w:space="0" w:color="auto"/>
        <w:bottom w:val="none" w:sz="0" w:space="0" w:color="auto"/>
        <w:right w:val="none" w:sz="0" w:space="0" w:color="auto"/>
      </w:divBdr>
    </w:div>
    <w:div w:id="223637281">
      <w:bodyDiv w:val="1"/>
      <w:marLeft w:val="0"/>
      <w:marRight w:val="0"/>
      <w:marTop w:val="0"/>
      <w:marBottom w:val="0"/>
      <w:divBdr>
        <w:top w:val="none" w:sz="0" w:space="0" w:color="auto"/>
        <w:left w:val="none" w:sz="0" w:space="0" w:color="auto"/>
        <w:bottom w:val="none" w:sz="0" w:space="0" w:color="auto"/>
        <w:right w:val="none" w:sz="0" w:space="0" w:color="auto"/>
      </w:divBdr>
    </w:div>
    <w:div w:id="224344802">
      <w:bodyDiv w:val="1"/>
      <w:marLeft w:val="0"/>
      <w:marRight w:val="0"/>
      <w:marTop w:val="0"/>
      <w:marBottom w:val="0"/>
      <w:divBdr>
        <w:top w:val="none" w:sz="0" w:space="0" w:color="auto"/>
        <w:left w:val="none" w:sz="0" w:space="0" w:color="auto"/>
        <w:bottom w:val="none" w:sz="0" w:space="0" w:color="auto"/>
        <w:right w:val="none" w:sz="0" w:space="0" w:color="auto"/>
      </w:divBdr>
    </w:div>
    <w:div w:id="241766707">
      <w:bodyDiv w:val="1"/>
      <w:marLeft w:val="0"/>
      <w:marRight w:val="0"/>
      <w:marTop w:val="0"/>
      <w:marBottom w:val="0"/>
      <w:divBdr>
        <w:top w:val="none" w:sz="0" w:space="0" w:color="auto"/>
        <w:left w:val="none" w:sz="0" w:space="0" w:color="auto"/>
        <w:bottom w:val="none" w:sz="0" w:space="0" w:color="auto"/>
        <w:right w:val="none" w:sz="0" w:space="0" w:color="auto"/>
      </w:divBdr>
    </w:div>
    <w:div w:id="252707700">
      <w:bodyDiv w:val="1"/>
      <w:marLeft w:val="0"/>
      <w:marRight w:val="0"/>
      <w:marTop w:val="0"/>
      <w:marBottom w:val="0"/>
      <w:divBdr>
        <w:top w:val="none" w:sz="0" w:space="0" w:color="auto"/>
        <w:left w:val="none" w:sz="0" w:space="0" w:color="auto"/>
        <w:bottom w:val="none" w:sz="0" w:space="0" w:color="auto"/>
        <w:right w:val="none" w:sz="0" w:space="0" w:color="auto"/>
      </w:divBdr>
    </w:div>
    <w:div w:id="260841943">
      <w:bodyDiv w:val="1"/>
      <w:marLeft w:val="0"/>
      <w:marRight w:val="0"/>
      <w:marTop w:val="0"/>
      <w:marBottom w:val="0"/>
      <w:divBdr>
        <w:top w:val="none" w:sz="0" w:space="0" w:color="auto"/>
        <w:left w:val="none" w:sz="0" w:space="0" w:color="auto"/>
        <w:bottom w:val="none" w:sz="0" w:space="0" w:color="auto"/>
        <w:right w:val="none" w:sz="0" w:space="0" w:color="auto"/>
      </w:divBdr>
    </w:div>
    <w:div w:id="263349018">
      <w:bodyDiv w:val="1"/>
      <w:marLeft w:val="0"/>
      <w:marRight w:val="0"/>
      <w:marTop w:val="0"/>
      <w:marBottom w:val="0"/>
      <w:divBdr>
        <w:top w:val="none" w:sz="0" w:space="0" w:color="auto"/>
        <w:left w:val="none" w:sz="0" w:space="0" w:color="auto"/>
        <w:bottom w:val="none" w:sz="0" w:space="0" w:color="auto"/>
        <w:right w:val="none" w:sz="0" w:space="0" w:color="auto"/>
      </w:divBdr>
    </w:div>
    <w:div w:id="264189384">
      <w:bodyDiv w:val="1"/>
      <w:marLeft w:val="0"/>
      <w:marRight w:val="0"/>
      <w:marTop w:val="0"/>
      <w:marBottom w:val="0"/>
      <w:divBdr>
        <w:top w:val="none" w:sz="0" w:space="0" w:color="auto"/>
        <w:left w:val="none" w:sz="0" w:space="0" w:color="auto"/>
        <w:bottom w:val="none" w:sz="0" w:space="0" w:color="auto"/>
        <w:right w:val="none" w:sz="0" w:space="0" w:color="auto"/>
      </w:divBdr>
    </w:div>
    <w:div w:id="264464441">
      <w:bodyDiv w:val="1"/>
      <w:marLeft w:val="0"/>
      <w:marRight w:val="0"/>
      <w:marTop w:val="0"/>
      <w:marBottom w:val="0"/>
      <w:divBdr>
        <w:top w:val="none" w:sz="0" w:space="0" w:color="auto"/>
        <w:left w:val="none" w:sz="0" w:space="0" w:color="auto"/>
        <w:bottom w:val="none" w:sz="0" w:space="0" w:color="auto"/>
        <w:right w:val="none" w:sz="0" w:space="0" w:color="auto"/>
      </w:divBdr>
    </w:div>
    <w:div w:id="275059988">
      <w:bodyDiv w:val="1"/>
      <w:marLeft w:val="0"/>
      <w:marRight w:val="0"/>
      <w:marTop w:val="0"/>
      <w:marBottom w:val="0"/>
      <w:divBdr>
        <w:top w:val="none" w:sz="0" w:space="0" w:color="auto"/>
        <w:left w:val="none" w:sz="0" w:space="0" w:color="auto"/>
        <w:bottom w:val="none" w:sz="0" w:space="0" w:color="auto"/>
        <w:right w:val="none" w:sz="0" w:space="0" w:color="auto"/>
      </w:divBdr>
    </w:div>
    <w:div w:id="279069396">
      <w:bodyDiv w:val="1"/>
      <w:marLeft w:val="0"/>
      <w:marRight w:val="0"/>
      <w:marTop w:val="0"/>
      <w:marBottom w:val="0"/>
      <w:divBdr>
        <w:top w:val="none" w:sz="0" w:space="0" w:color="auto"/>
        <w:left w:val="none" w:sz="0" w:space="0" w:color="auto"/>
        <w:bottom w:val="none" w:sz="0" w:space="0" w:color="auto"/>
        <w:right w:val="none" w:sz="0" w:space="0" w:color="auto"/>
      </w:divBdr>
    </w:div>
    <w:div w:id="285624918">
      <w:bodyDiv w:val="1"/>
      <w:marLeft w:val="0"/>
      <w:marRight w:val="0"/>
      <w:marTop w:val="0"/>
      <w:marBottom w:val="0"/>
      <w:divBdr>
        <w:top w:val="none" w:sz="0" w:space="0" w:color="auto"/>
        <w:left w:val="none" w:sz="0" w:space="0" w:color="auto"/>
        <w:bottom w:val="none" w:sz="0" w:space="0" w:color="auto"/>
        <w:right w:val="none" w:sz="0" w:space="0" w:color="auto"/>
      </w:divBdr>
    </w:div>
    <w:div w:id="287515390">
      <w:bodyDiv w:val="1"/>
      <w:marLeft w:val="0"/>
      <w:marRight w:val="0"/>
      <w:marTop w:val="0"/>
      <w:marBottom w:val="0"/>
      <w:divBdr>
        <w:top w:val="none" w:sz="0" w:space="0" w:color="auto"/>
        <w:left w:val="none" w:sz="0" w:space="0" w:color="auto"/>
        <w:bottom w:val="none" w:sz="0" w:space="0" w:color="auto"/>
        <w:right w:val="none" w:sz="0" w:space="0" w:color="auto"/>
      </w:divBdr>
    </w:div>
    <w:div w:id="294262121">
      <w:bodyDiv w:val="1"/>
      <w:marLeft w:val="0"/>
      <w:marRight w:val="0"/>
      <w:marTop w:val="0"/>
      <w:marBottom w:val="0"/>
      <w:divBdr>
        <w:top w:val="none" w:sz="0" w:space="0" w:color="auto"/>
        <w:left w:val="none" w:sz="0" w:space="0" w:color="auto"/>
        <w:bottom w:val="none" w:sz="0" w:space="0" w:color="auto"/>
        <w:right w:val="none" w:sz="0" w:space="0" w:color="auto"/>
      </w:divBdr>
    </w:div>
    <w:div w:id="298657938">
      <w:bodyDiv w:val="1"/>
      <w:marLeft w:val="0"/>
      <w:marRight w:val="0"/>
      <w:marTop w:val="0"/>
      <w:marBottom w:val="0"/>
      <w:divBdr>
        <w:top w:val="none" w:sz="0" w:space="0" w:color="auto"/>
        <w:left w:val="none" w:sz="0" w:space="0" w:color="auto"/>
        <w:bottom w:val="none" w:sz="0" w:space="0" w:color="auto"/>
        <w:right w:val="none" w:sz="0" w:space="0" w:color="auto"/>
      </w:divBdr>
    </w:div>
    <w:div w:id="302587526">
      <w:bodyDiv w:val="1"/>
      <w:marLeft w:val="0"/>
      <w:marRight w:val="0"/>
      <w:marTop w:val="0"/>
      <w:marBottom w:val="0"/>
      <w:divBdr>
        <w:top w:val="none" w:sz="0" w:space="0" w:color="auto"/>
        <w:left w:val="none" w:sz="0" w:space="0" w:color="auto"/>
        <w:bottom w:val="none" w:sz="0" w:space="0" w:color="auto"/>
        <w:right w:val="none" w:sz="0" w:space="0" w:color="auto"/>
      </w:divBdr>
    </w:div>
    <w:div w:id="305277488">
      <w:bodyDiv w:val="1"/>
      <w:marLeft w:val="0"/>
      <w:marRight w:val="0"/>
      <w:marTop w:val="0"/>
      <w:marBottom w:val="0"/>
      <w:divBdr>
        <w:top w:val="none" w:sz="0" w:space="0" w:color="auto"/>
        <w:left w:val="none" w:sz="0" w:space="0" w:color="auto"/>
        <w:bottom w:val="none" w:sz="0" w:space="0" w:color="auto"/>
        <w:right w:val="none" w:sz="0" w:space="0" w:color="auto"/>
      </w:divBdr>
    </w:div>
    <w:div w:id="312686384">
      <w:bodyDiv w:val="1"/>
      <w:marLeft w:val="0"/>
      <w:marRight w:val="0"/>
      <w:marTop w:val="0"/>
      <w:marBottom w:val="0"/>
      <w:divBdr>
        <w:top w:val="none" w:sz="0" w:space="0" w:color="auto"/>
        <w:left w:val="none" w:sz="0" w:space="0" w:color="auto"/>
        <w:bottom w:val="none" w:sz="0" w:space="0" w:color="auto"/>
        <w:right w:val="none" w:sz="0" w:space="0" w:color="auto"/>
      </w:divBdr>
    </w:div>
    <w:div w:id="327489945">
      <w:bodyDiv w:val="1"/>
      <w:marLeft w:val="0"/>
      <w:marRight w:val="0"/>
      <w:marTop w:val="0"/>
      <w:marBottom w:val="0"/>
      <w:divBdr>
        <w:top w:val="none" w:sz="0" w:space="0" w:color="auto"/>
        <w:left w:val="none" w:sz="0" w:space="0" w:color="auto"/>
        <w:bottom w:val="none" w:sz="0" w:space="0" w:color="auto"/>
        <w:right w:val="none" w:sz="0" w:space="0" w:color="auto"/>
      </w:divBdr>
    </w:div>
    <w:div w:id="330454537">
      <w:bodyDiv w:val="1"/>
      <w:marLeft w:val="0"/>
      <w:marRight w:val="0"/>
      <w:marTop w:val="0"/>
      <w:marBottom w:val="0"/>
      <w:divBdr>
        <w:top w:val="none" w:sz="0" w:space="0" w:color="auto"/>
        <w:left w:val="none" w:sz="0" w:space="0" w:color="auto"/>
        <w:bottom w:val="none" w:sz="0" w:space="0" w:color="auto"/>
        <w:right w:val="none" w:sz="0" w:space="0" w:color="auto"/>
      </w:divBdr>
    </w:div>
    <w:div w:id="332756547">
      <w:bodyDiv w:val="1"/>
      <w:marLeft w:val="0"/>
      <w:marRight w:val="0"/>
      <w:marTop w:val="0"/>
      <w:marBottom w:val="0"/>
      <w:divBdr>
        <w:top w:val="none" w:sz="0" w:space="0" w:color="auto"/>
        <w:left w:val="none" w:sz="0" w:space="0" w:color="auto"/>
        <w:bottom w:val="none" w:sz="0" w:space="0" w:color="auto"/>
        <w:right w:val="none" w:sz="0" w:space="0" w:color="auto"/>
      </w:divBdr>
    </w:div>
    <w:div w:id="358626389">
      <w:bodyDiv w:val="1"/>
      <w:marLeft w:val="0"/>
      <w:marRight w:val="0"/>
      <w:marTop w:val="0"/>
      <w:marBottom w:val="0"/>
      <w:divBdr>
        <w:top w:val="none" w:sz="0" w:space="0" w:color="auto"/>
        <w:left w:val="none" w:sz="0" w:space="0" w:color="auto"/>
        <w:bottom w:val="none" w:sz="0" w:space="0" w:color="auto"/>
        <w:right w:val="none" w:sz="0" w:space="0" w:color="auto"/>
      </w:divBdr>
    </w:div>
    <w:div w:id="361056697">
      <w:bodyDiv w:val="1"/>
      <w:marLeft w:val="0"/>
      <w:marRight w:val="0"/>
      <w:marTop w:val="0"/>
      <w:marBottom w:val="0"/>
      <w:divBdr>
        <w:top w:val="none" w:sz="0" w:space="0" w:color="auto"/>
        <w:left w:val="none" w:sz="0" w:space="0" w:color="auto"/>
        <w:bottom w:val="none" w:sz="0" w:space="0" w:color="auto"/>
        <w:right w:val="none" w:sz="0" w:space="0" w:color="auto"/>
      </w:divBdr>
    </w:div>
    <w:div w:id="371661437">
      <w:bodyDiv w:val="1"/>
      <w:marLeft w:val="0"/>
      <w:marRight w:val="0"/>
      <w:marTop w:val="0"/>
      <w:marBottom w:val="0"/>
      <w:divBdr>
        <w:top w:val="none" w:sz="0" w:space="0" w:color="auto"/>
        <w:left w:val="none" w:sz="0" w:space="0" w:color="auto"/>
        <w:bottom w:val="none" w:sz="0" w:space="0" w:color="auto"/>
        <w:right w:val="none" w:sz="0" w:space="0" w:color="auto"/>
      </w:divBdr>
    </w:div>
    <w:div w:id="372729628">
      <w:bodyDiv w:val="1"/>
      <w:marLeft w:val="0"/>
      <w:marRight w:val="0"/>
      <w:marTop w:val="0"/>
      <w:marBottom w:val="0"/>
      <w:divBdr>
        <w:top w:val="none" w:sz="0" w:space="0" w:color="auto"/>
        <w:left w:val="none" w:sz="0" w:space="0" w:color="auto"/>
        <w:bottom w:val="none" w:sz="0" w:space="0" w:color="auto"/>
        <w:right w:val="none" w:sz="0" w:space="0" w:color="auto"/>
      </w:divBdr>
    </w:div>
    <w:div w:id="375593664">
      <w:bodyDiv w:val="1"/>
      <w:marLeft w:val="0"/>
      <w:marRight w:val="0"/>
      <w:marTop w:val="0"/>
      <w:marBottom w:val="0"/>
      <w:divBdr>
        <w:top w:val="none" w:sz="0" w:space="0" w:color="auto"/>
        <w:left w:val="none" w:sz="0" w:space="0" w:color="auto"/>
        <w:bottom w:val="none" w:sz="0" w:space="0" w:color="auto"/>
        <w:right w:val="none" w:sz="0" w:space="0" w:color="auto"/>
      </w:divBdr>
    </w:div>
    <w:div w:id="376012147">
      <w:bodyDiv w:val="1"/>
      <w:marLeft w:val="0"/>
      <w:marRight w:val="0"/>
      <w:marTop w:val="0"/>
      <w:marBottom w:val="0"/>
      <w:divBdr>
        <w:top w:val="none" w:sz="0" w:space="0" w:color="auto"/>
        <w:left w:val="none" w:sz="0" w:space="0" w:color="auto"/>
        <w:bottom w:val="none" w:sz="0" w:space="0" w:color="auto"/>
        <w:right w:val="none" w:sz="0" w:space="0" w:color="auto"/>
      </w:divBdr>
    </w:div>
    <w:div w:id="384182982">
      <w:bodyDiv w:val="1"/>
      <w:marLeft w:val="0"/>
      <w:marRight w:val="0"/>
      <w:marTop w:val="0"/>
      <w:marBottom w:val="0"/>
      <w:divBdr>
        <w:top w:val="none" w:sz="0" w:space="0" w:color="auto"/>
        <w:left w:val="none" w:sz="0" w:space="0" w:color="auto"/>
        <w:bottom w:val="none" w:sz="0" w:space="0" w:color="auto"/>
        <w:right w:val="none" w:sz="0" w:space="0" w:color="auto"/>
      </w:divBdr>
    </w:div>
    <w:div w:id="386685096">
      <w:bodyDiv w:val="1"/>
      <w:marLeft w:val="0"/>
      <w:marRight w:val="0"/>
      <w:marTop w:val="0"/>
      <w:marBottom w:val="0"/>
      <w:divBdr>
        <w:top w:val="none" w:sz="0" w:space="0" w:color="auto"/>
        <w:left w:val="none" w:sz="0" w:space="0" w:color="auto"/>
        <w:bottom w:val="none" w:sz="0" w:space="0" w:color="auto"/>
        <w:right w:val="none" w:sz="0" w:space="0" w:color="auto"/>
      </w:divBdr>
    </w:div>
    <w:div w:id="386877018">
      <w:bodyDiv w:val="1"/>
      <w:marLeft w:val="0"/>
      <w:marRight w:val="0"/>
      <w:marTop w:val="0"/>
      <w:marBottom w:val="0"/>
      <w:divBdr>
        <w:top w:val="none" w:sz="0" w:space="0" w:color="auto"/>
        <w:left w:val="none" w:sz="0" w:space="0" w:color="auto"/>
        <w:bottom w:val="none" w:sz="0" w:space="0" w:color="auto"/>
        <w:right w:val="none" w:sz="0" w:space="0" w:color="auto"/>
      </w:divBdr>
    </w:div>
    <w:div w:id="401294953">
      <w:bodyDiv w:val="1"/>
      <w:marLeft w:val="0"/>
      <w:marRight w:val="0"/>
      <w:marTop w:val="0"/>
      <w:marBottom w:val="0"/>
      <w:divBdr>
        <w:top w:val="none" w:sz="0" w:space="0" w:color="auto"/>
        <w:left w:val="none" w:sz="0" w:space="0" w:color="auto"/>
        <w:bottom w:val="none" w:sz="0" w:space="0" w:color="auto"/>
        <w:right w:val="none" w:sz="0" w:space="0" w:color="auto"/>
      </w:divBdr>
    </w:div>
    <w:div w:id="402029795">
      <w:bodyDiv w:val="1"/>
      <w:marLeft w:val="0"/>
      <w:marRight w:val="0"/>
      <w:marTop w:val="0"/>
      <w:marBottom w:val="0"/>
      <w:divBdr>
        <w:top w:val="none" w:sz="0" w:space="0" w:color="auto"/>
        <w:left w:val="none" w:sz="0" w:space="0" w:color="auto"/>
        <w:bottom w:val="none" w:sz="0" w:space="0" w:color="auto"/>
        <w:right w:val="none" w:sz="0" w:space="0" w:color="auto"/>
      </w:divBdr>
    </w:div>
    <w:div w:id="408886561">
      <w:bodyDiv w:val="1"/>
      <w:marLeft w:val="0"/>
      <w:marRight w:val="0"/>
      <w:marTop w:val="0"/>
      <w:marBottom w:val="0"/>
      <w:divBdr>
        <w:top w:val="none" w:sz="0" w:space="0" w:color="auto"/>
        <w:left w:val="none" w:sz="0" w:space="0" w:color="auto"/>
        <w:bottom w:val="none" w:sz="0" w:space="0" w:color="auto"/>
        <w:right w:val="none" w:sz="0" w:space="0" w:color="auto"/>
      </w:divBdr>
    </w:div>
    <w:div w:id="418645724">
      <w:bodyDiv w:val="1"/>
      <w:marLeft w:val="0"/>
      <w:marRight w:val="0"/>
      <w:marTop w:val="0"/>
      <w:marBottom w:val="0"/>
      <w:divBdr>
        <w:top w:val="none" w:sz="0" w:space="0" w:color="auto"/>
        <w:left w:val="none" w:sz="0" w:space="0" w:color="auto"/>
        <w:bottom w:val="none" w:sz="0" w:space="0" w:color="auto"/>
        <w:right w:val="none" w:sz="0" w:space="0" w:color="auto"/>
      </w:divBdr>
    </w:div>
    <w:div w:id="421799089">
      <w:bodyDiv w:val="1"/>
      <w:marLeft w:val="0"/>
      <w:marRight w:val="0"/>
      <w:marTop w:val="0"/>
      <w:marBottom w:val="0"/>
      <w:divBdr>
        <w:top w:val="none" w:sz="0" w:space="0" w:color="auto"/>
        <w:left w:val="none" w:sz="0" w:space="0" w:color="auto"/>
        <w:bottom w:val="none" w:sz="0" w:space="0" w:color="auto"/>
        <w:right w:val="none" w:sz="0" w:space="0" w:color="auto"/>
      </w:divBdr>
    </w:div>
    <w:div w:id="430198775">
      <w:bodyDiv w:val="1"/>
      <w:marLeft w:val="0"/>
      <w:marRight w:val="0"/>
      <w:marTop w:val="0"/>
      <w:marBottom w:val="0"/>
      <w:divBdr>
        <w:top w:val="none" w:sz="0" w:space="0" w:color="auto"/>
        <w:left w:val="none" w:sz="0" w:space="0" w:color="auto"/>
        <w:bottom w:val="none" w:sz="0" w:space="0" w:color="auto"/>
        <w:right w:val="none" w:sz="0" w:space="0" w:color="auto"/>
      </w:divBdr>
    </w:div>
    <w:div w:id="432168788">
      <w:bodyDiv w:val="1"/>
      <w:marLeft w:val="0"/>
      <w:marRight w:val="0"/>
      <w:marTop w:val="0"/>
      <w:marBottom w:val="0"/>
      <w:divBdr>
        <w:top w:val="none" w:sz="0" w:space="0" w:color="auto"/>
        <w:left w:val="none" w:sz="0" w:space="0" w:color="auto"/>
        <w:bottom w:val="none" w:sz="0" w:space="0" w:color="auto"/>
        <w:right w:val="none" w:sz="0" w:space="0" w:color="auto"/>
      </w:divBdr>
    </w:div>
    <w:div w:id="437020004">
      <w:bodyDiv w:val="1"/>
      <w:marLeft w:val="0"/>
      <w:marRight w:val="0"/>
      <w:marTop w:val="0"/>
      <w:marBottom w:val="0"/>
      <w:divBdr>
        <w:top w:val="none" w:sz="0" w:space="0" w:color="auto"/>
        <w:left w:val="none" w:sz="0" w:space="0" w:color="auto"/>
        <w:bottom w:val="none" w:sz="0" w:space="0" w:color="auto"/>
        <w:right w:val="none" w:sz="0" w:space="0" w:color="auto"/>
      </w:divBdr>
    </w:div>
    <w:div w:id="455300399">
      <w:bodyDiv w:val="1"/>
      <w:marLeft w:val="0"/>
      <w:marRight w:val="0"/>
      <w:marTop w:val="0"/>
      <w:marBottom w:val="0"/>
      <w:divBdr>
        <w:top w:val="none" w:sz="0" w:space="0" w:color="auto"/>
        <w:left w:val="none" w:sz="0" w:space="0" w:color="auto"/>
        <w:bottom w:val="none" w:sz="0" w:space="0" w:color="auto"/>
        <w:right w:val="none" w:sz="0" w:space="0" w:color="auto"/>
      </w:divBdr>
    </w:div>
    <w:div w:id="469444452">
      <w:bodyDiv w:val="1"/>
      <w:marLeft w:val="0"/>
      <w:marRight w:val="0"/>
      <w:marTop w:val="0"/>
      <w:marBottom w:val="0"/>
      <w:divBdr>
        <w:top w:val="none" w:sz="0" w:space="0" w:color="auto"/>
        <w:left w:val="none" w:sz="0" w:space="0" w:color="auto"/>
        <w:bottom w:val="none" w:sz="0" w:space="0" w:color="auto"/>
        <w:right w:val="none" w:sz="0" w:space="0" w:color="auto"/>
      </w:divBdr>
    </w:div>
    <w:div w:id="472067757">
      <w:bodyDiv w:val="1"/>
      <w:marLeft w:val="0"/>
      <w:marRight w:val="0"/>
      <w:marTop w:val="0"/>
      <w:marBottom w:val="0"/>
      <w:divBdr>
        <w:top w:val="none" w:sz="0" w:space="0" w:color="auto"/>
        <w:left w:val="none" w:sz="0" w:space="0" w:color="auto"/>
        <w:bottom w:val="none" w:sz="0" w:space="0" w:color="auto"/>
        <w:right w:val="none" w:sz="0" w:space="0" w:color="auto"/>
      </w:divBdr>
    </w:div>
    <w:div w:id="481048481">
      <w:bodyDiv w:val="1"/>
      <w:marLeft w:val="0"/>
      <w:marRight w:val="0"/>
      <w:marTop w:val="0"/>
      <w:marBottom w:val="0"/>
      <w:divBdr>
        <w:top w:val="none" w:sz="0" w:space="0" w:color="auto"/>
        <w:left w:val="none" w:sz="0" w:space="0" w:color="auto"/>
        <w:bottom w:val="none" w:sz="0" w:space="0" w:color="auto"/>
        <w:right w:val="none" w:sz="0" w:space="0" w:color="auto"/>
      </w:divBdr>
    </w:div>
    <w:div w:id="491918717">
      <w:bodyDiv w:val="1"/>
      <w:marLeft w:val="0"/>
      <w:marRight w:val="0"/>
      <w:marTop w:val="0"/>
      <w:marBottom w:val="0"/>
      <w:divBdr>
        <w:top w:val="none" w:sz="0" w:space="0" w:color="auto"/>
        <w:left w:val="none" w:sz="0" w:space="0" w:color="auto"/>
        <w:bottom w:val="none" w:sz="0" w:space="0" w:color="auto"/>
        <w:right w:val="none" w:sz="0" w:space="0" w:color="auto"/>
      </w:divBdr>
    </w:div>
    <w:div w:id="506986527">
      <w:bodyDiv w:val="1"/>
      <w:marLeft w:val="0"/>
      <w:marRight w:val="0"/>
      <w:marTop w:val="0"/>
      <w:marBottom w:val="0"/>
      <w:divBdr>
        <w:top w:val="none" w:sz="0" w:space="0" w:color="auto"/>
        <w:left w:val="none" w:sz="0" w:space="0" w:color="auto"/>
        <w:bottom w:val="none" w:sz="0" w:space="0" w:color="auto"/>
        <w:right w:val="none" w:sz="0" w:space="0" w:color="auto"/>
      </w:divBdr>
    </w:div>
    <w:div w:id="509415823">
      <w:bodyDiv w:val="1"/>
      <w:marLeft w:val="0"/>
      <w:marRight w:val="0"/>
      <w:marTop w:val="0"/>
      <w:marBottom w:val="0"/>
      <w:divBdr>
        <w:top w:val="none" w:sz="0" w:space="0" w:color="auto"/>
        <w:left w:val="none" w:sz="0" w:space="0" w:color="auto"/>
        <w:bottom w:val="none" w:sz="0" w:space="0" w:color="auto"/>
        <w:right w:val="none" w:sz="0" w:space="0" w:color="auto"/>
      </w:divBdr>
    </w:div>
    <w:div w:id="509833924">
      <w:bodyDiv w:val="1"/>
      <w:marLeft w:val="0"/>
      <w:marRight w:val="0"/>
      <w:marTop w:val="0"/>
      <w:marBottom w:val="0"/>
      <w:divBdr>
        <w:top w:val="none" w:sz="0" w:space="0" w:color="auto"/>
        <w:left w:val="none" w:sz="0" w:space="0" w:color="auto"/>
        <w:bottom w:val="none" w:sz="0" w:space="0" w:color="auto"/>
        <w:right w:val="none" w:sz="0" w:space="0" w:color="auto"/>
      </w:divBdr>
    </w:div>
    <w:div w:id="521435943">
      <w:bodyDiv w:val="1"/>
      <w:marLeft w:val="0"/>
      <w:marRight w:val="0"/>
      <w:marTop w:val="0"/>
      <w:marBottom w:val="0"/>
      <w:divBdr>
        <w:top w:val="none" w:sz="0" w:space="0" w:color="auto"/>
        <w:left w:val="none" w:sz="0" w:space="0" w:color="auto"/>
        <w:bottom w:val="none" w:sz="0" w:space="0" w:color="auto"/>
        <w:right w:val="none" w:sz="0" w:space="0" w:color="auto"/>
      </w:divBdr>
    </w:div>
    <w:div w:id="523129249">
      <w:bodyDiv w:val="1"/>
      <w:marLeft w:val="0"/>
      <w:marRight w:val="0"/>
      <w:marTop w:val="0"/>
      <w:marBottom w:val="0"/>
      <w:divBdr>
        <w:top w:val="none" w:sz="0" w:space="0" w:color="auto"/>
        <w:left w:val="none" w:sz="0" w:space="0" w:color="auto"/>
        <w:bottom w:val="none" w:sz="0" w:space="0" w:color="auto"/>
        <w:right w:val="none" w:sz="0" w:space="0" w:color="auto"/>
      </w:divBdr>
    </w:div>
    <w:div w:id="536888569">
      <w:bodyDiv w:val="1"/>
      <w:marLeft w:val="0"/>
      <w:marRight w:val="0"/>
      <w:marTop w:val="0"/>
      <w:marBottom w:val="0"/>
      <w:divBdr>
        <w:top w:val="none" w:sz="0" w:space="0" w:color="auto"/>
        <w:left w:val="none" w:sz="0" w:space="0" w:color="auto"/>
        <w:bottom w:val="none" w:sz="0" w:space="0" w:color="auto"/>
        <w:right w:val="none" w:sz="0" w:space="0" w:color="auto"/>
      </w:divBdr>
    </w:div>
    <w:div w:id="540367688">
      <w:bodyDiv w:val="1"/>
      <w:marLeft w:val="0"/>
      <w:marRight w:val="0"/>
      <w:marTop w:val="0"/>
      <w:marBottom w:val="0"/>
      <w:divBdr>
        <w:top w:val="none" w:sz="0" w:space="0" w:color="auto"/>
        <w:left w:val="none" w:sz="0" w:space="0" w:color="auto"/>
        <w:bottom w:val="none" w:sz="0" w:space="0" w:color="auto"/>
        <w:right w:val="none" w:sz="0" w:space="0" w:color="auto"/>
      </w:divBdr>
    </w:div>
    <w:div w:id="542139242">
      <w:bodyDiv w:val="1"/>
      <w:marLeft w:val="0"/>
      <w:marRight w:val="0"/>
      <w:marTop w:val="0"/>
      <w:marBottom w:val="0"/>
      <w:divBdr>
        <w:top w:val="none" w:sz="0" w:space="0" w:color="auto"/>
        <w:left w:val="none" w:sz="0" w:space="0" w:color="auto"/>
        <w:bottom w:val="none" w:sz="0" w:space="0" w:color="auto"/>
        <w:right w:val="none" w:sz="0" w:space="0" w:color="auto"/>
      </w:divBdr>
    </w:div>
    <w:div w:id="542208531">
      <w:bodyDiv w:val="1"/>
      <w:marLeft w:val="0"/>
      <w:marRight w:val="0"/>
      <w:marTop w:val="0"/>
      <w:marBottom w:val="0"/>
      <w:divBdr>
        <w:top w:val="none" w:sz="0" w:space="0" w:color="auto"/>
        <w:left w:val="none" w:sz="0" w:space="0" w:color="auto"/>
        <w:bottom w:val="none" w:sz="0" w:space="0" w:color="auto"/>
        <w:right w:val="none" w:sz="0" w:space="0" w:color="auto"/>
      </w:divBdr>
    </w:div>
    <w:div w:id="555703717">
      <w:bodyDiv w:val="1"/>
      <w:marLeft w:val="0"/>
      <w:marRight w:val="0"/>
      <w:marTop w:val="0"/>
      <w:marBottom w:val="0"/>
      <w:divBdr>
        <w:top w:val="none" w:sz="0" w:space="0" w:color="auto"/>
        <w:left w:val="none" w:sz="0" w:space="0" w:color="auto"/>
        <w:bottom w:val="none" w:sz="0" w:space="0" w:color="auto"/>
        <w:right w:val="none" w:sz="0" w:space="0" w:color="auto"/>
      </w:divBdr>
    </w:div>
    <w:div w:id="558126716">
      <w:bodyDiv w:val="1"/>
      <w:marLeft w:val="0"/>
      <w:marRight w:val="0"/>
      <w:marTop w:val="0"/>
      <w:marBottom w:val="0"/>
      <w:divBdr>
        <w:top w:val="none" w:sz="0" w:space="0" w:color="auto"/>
        <w:left w:val="none" w:sz="0" w:space="0" w:color="auto"/>
        <w:bottom w:val="none" w:sz="0" w:space="0" w:color="auto"/>
        <w:right w:val="none" w:sz="0" w:space="0" w:color="auto"/>
      </w:divBdr>
    </w:div>
    <w:div w:id="558588349">
      <w:bodyDiv w:val="1"/>
      <w:marLeft w:val="0"/>
      <w:marRight w:val="0"/>
      <w:marTop w:val="0"/>
      <w:marBottom w:val="0"/>
      <w:divBdr>
        <w:top w:val="none" w:sz="0" w:space="0" w:color="auto"/>
        <w:left w:val="none" w:sz="0" w:space="0" w:color="auto"/>
        <w:bottom w:val="none" w:sz="0" w:space="0" w:color="auto"/>
        <w:right w:val="none" w:sz="0" w:space="0" w:color="auto"/>
      </w:divBdr>
    </w:div>
    <w:div w:id="561336282">
      <w:bodyDiv w:val="1"/>
      <w:marLeft w:val="0"/>
      <w:marRight w:val="0"/>
      <w:marTop w:val="0"/>
      <w:marBottom w:val="0"/>
      <w:divBdr>
        <w:top w:val="none" w:sz="0" w:space="0" w:color="auto"/>
        <w:left w:val="none" w:sz="0" w:space="0" w:color="auto"/>
        <w:bottom w:val="none" w:sz="0" w:space="0" w:color="auto"/>
        <w:right w:val="none" w:sz="0" w:space="0" w:color="auto"/>
      </w:divBdr>
    </w:div>
    <w:div w:id="566381157">
      <w:bodyDiv w:val="1"/>
      <w:marLeft w:val="0"/>
      <w:marRight w:val="0"/>
      <w:marTop w:val="0"/>
      <w:marBottom w:val="0"/>
      <w:divBdr>
        <w:top w:val="none" w:sz="0" w:space="0" w:color="auto"/>
        <w:left w:val="none" w:sz="0" w:space="0" w:color="auto"/>
        <w:bottom w:val="none" w:sz="0" w:space="0" w:color="auto"/>
        <w:right w:val="none" w:sz="0" w:space="0" w:color="auto"/>
      </w:divBdr>
    </w:div>
    <w:div w:id="567348161">
      <w:bodyDiv w:val="1"/>
      <w:marLeft w:val="0"/>
      <w:marRight w:val="0"/>
      <w:marTop w:val="0"/>
      <w:marBottom w:val="0"/>
      <w:divBdr>
        <w:top w:val="none" w:sz="0" w:space="0" w:color="auto"/>
        <w:left w:val="none" w:sz="0" w:space="0" w:color="auto"/>
        <w:bottom w:val="none" w:sz="0" w:space="0" w:color="auto"/>
        <w:right w:val="none" w:sz="0" w:space="0" w:color="auto"/>
      </w:divBdr>
    </w:div>
    <w:div w:id="568926329">
      <w:bodyDiv w:val="1"/>
      <w:marLeft w:val="0"/>
      <w:marRight w:val="0"/>
      <w:marTop w:val="0"/>
      <w:marBottom w:val="0"/>
      <w:divBdr>
        <w:top w:val="none" w:sz="0" w:space="0" w:color="auto"/>
        <w:left w:val="none" w:sz="0" w:space="0" w:color="auto"/>
        <w:bottom w:val="none" w:sz="0" w:space="0" w:color="auto"/>
        <w:right w:val="none" w:sz="0" w:space="0" w:color="auto"/>
      </w:divBdr>
    </w:div>
    <w:div w:id="581377962">
      <w:bodyDiv w:val="1"/>
      <w:marLeft w:val="0"/>
      <w:marRight w:val="0"/>
      <w:marTop w:val="0"/>
      <w:marBottom w:val="0"/>
      <w:divBdr>
        <w:top w:val="none" w:sz="0" w:space="0" w:color="auto"/>
        <w:left w:val="none" w:sz="0" w:space="0" w:color="auto"/>
        <w:bottom w:val="none" w:sz="0" w:space="0" w:color="auto"/>
        <w:right w:val="none" w:sz="0" w:space="0" w:color="auto"/>
      </w:divBdr>
    </w:div>
    <w:div w:id="586351988">
      <w:bodyDiv w:val="1"/>
      <w:marLeft w:val="0"/>
      <w:marRight w:val="0"/>
      <w:marTop w:val="0"/>
      <w:marBottom w:val="0"/>
      <w:divBdr>
        <w:top w:val="none" w:sz="0" w:space="0" w:color="auto"/>
        <w:left w:val="none" w:sz="0" w:space="0" w:color="auto"/>
        <w:bottom w:val="none" w:sz="0" w:space="0" w:color="auto"/>
        <w:right w:val="none" w:sz="0" w:space="0" w:color="auto"/>
      </w:divBdr>
    </w:div>
    <w:div w:id="600797136">
      <w:bodyDiv w:val="1"/>
      <w:marLeft w:val="0"/>
      <w:marRight w:val="0"/>
      <w:marTop w:val="0"/>
      <w:marBottom w:val="0"/>
      <w:divBdr>
        <w:top w:val="none" w:sz="0" w:space="0" w:color="auto"/>
        <w:left w:val="none" w:sz="0" w:space="0" w:color="auto"/>
        <w:bottom w:val="none" w:sz="0" w:space="0" w:color="auto"/>
        <w:right w:val="none" w:sz="0" w:space="0" w:color="auto"/>
      </w:divBdr>
    </w:div>
    <w:div w:id="601650958">
      <w:bodyDiv w:val="1"/>
      <w:marLeft w:val="0"/>
      <w:marRight w:val="0"/>
      <w:marTop w:val="0"/>
      <w:marBottom w:val="0"/>
      <w:divBdr>
        <w:top w:val="none" w:sz="0" w:space="0" w:color="auto"/>
        <w:left w:val="none" w:sz="0" w:space="0" w:color="auto"/>
        <w:bottom w:val="none" w:sz="0" w:space="0" w:color="auto"/>
        <w:right w:val="none" w:sz="0" w:space="0" w:color="auto"/>
      </w:divBdr>
    </w:div>
    <w:div w:id="609629679">
      <w:bodyDiv w:val="1"/>
      <w:marLeft w:val="0"/>
      <w:marRight w:val="0"/>
      <w:marTop w:val="0"/>
      <w:marBottom w:val="0"/>
      <w:divBdr>
        <w:top w:val="none" w:sz="0" w:space="0" w:color="auto"/>
        <w:left w:val="none" w:sz="0" w:space="0" w:color="auto"/>
        <w:bottom w:val="none" w:sz="0" w:space="0" w:color="auto"/>
        <w:right w:val="none" w:sz="0" w:space="0" w:color="auto"/>
      </w:divBdr>
    </w:div>
    <w:div w:id="626353468">
      <w:bodyDiv w:val="1"/>
      <w:marLeft w:val="0"/>
      <w:marRight w:val="0"/>
      <w:marTop w:val="0"/>
      <w:marBottom w:val="0"/>
      <w:divBdr>
        <w:top w:val="none" w:sz="0" w:space="0" w:color="auto"/>
        <w:left w:val="none" w:sz="0" w:space="0" w:color="auto"/>
        <w:bottom w:val="none" w:sz="0" w:space="0" w:color="auto"/>
        <w:right w:val="none" w:sz="0" w:space="0" w:color="auto"/>
      </w:divBdr>
    </w:div>
    <w:div w:id="640233397">
      <w:bodyDiv w:val="1"/>
      <w:marLeft w:val="0"/>
      <w:marRight w:val="0"/>
      <w:marTop w:val="0"/>
      <w:marBottom w:val="0"/>
      <w:divBdr>
        <w:top w:val="none" w:sz="0" w:space="0" w:color="auto"/>
        <w:left w:val="none" w:sz="0" w:space="0" w:color="auto"/>
        <w:bottom w:val="none" w:sz="0" w:space="0" w:color="auto"/>
        <w:right w:val="none" w:sz="0" w:space="0" w:color="auto"/>
      </w:divBdr>
    </w:div>
    <w:div w:id="640304229">
      <w:bodyDiv w:val="1"/>
      <w:marLeft w:val="0"/>
      <w:marRight w:val="0"/>
      <w:marTop w:val="0"/>
      <w:marBottom w:val="0"/>
      <w:divBdr>
        <w:top w:val="none" w:sz="0" w:space="0" w:color="auto"/>
        <w:left w:val="none" w:sz="0" w:space="0" w:color="auto"/>
        <w:bottom w:val="none" w:sz="0" w:space="0" w:color="auto"/>
        <w:right w:val="none" w:sz="0" w:space="0" w:color="auto"/>
      </w:divBdr>
    </w:div>
    <w:div w:id="641351350">
      <w:bodyDiv w:val="1"/>
      <w:marLeft w:val="0"/>
      <w:marRight w:val="0"/>
      <w:marTop w:val="0"/>
      <w:marBottom w:val="0"/>
      <w:divBdr>
        <w:top w:val="none" w:sz="0" w:space="0" w:color="auto"/>
        <w:left w:val="none" w:sz="0" w:space="0" w:color="auto"/>
        <w:bottom w:val="none" w:sz="0" w:space="0" w:color="auto"/>
        <w:right w:val="none" w:sz="0" w:space="0" w:color="auto"/>
      </w:divBdr>
    </w:div>
    <w:div w:id="645091523">
      <w:bodyDiv w:val="1"/>
      <w:marLeft w:val="0"/>
      <w:marRight w:val="0"/>
      <w:marTop w:val="0"/>
      <w:marBottom w:val="0"/>
      <w:divBdr>
        <w:top w:val="none" w:sz="0" w:space="0" w:color="auto"/>
        <w:left w:val="none" w:sz="0" w:space="0" w:color="auto"/>
        <w:bottom w:val="none" w:sz="0" w:space="0" w:color="auto"/>
        <w:right w:val="none" w:sz="0" w:space="0" w:color="auto"/>
      </w:divBdr>
    </w:div>
    <w:div w:id="647829109">
      <w:bodyDiv w:val="1"/>
      <w:marLeft w:val="0"/>
      <w:marRight w:val="0"/>
      <w:marTop w:val="0"/>
      <w:marBottom w:val="0"/>
      <w:divBdr>
        <w:top w:val="none" w:sz="0" w:space="0" w:color="auto"/>
        <w:left w:val="none" w:sz="0" w:space="0" w:color="auto"/>
        <w:bottom w:val="none" w:sz="0" w:space="0" w:color="auto"/>
        <w:right w:val="none" w:sz="0" w:space="0" w:color="auto"/>
      </w:divBdr>
    </w:div>
    <w:div w:id="658850353">
      <w:bodyDiv w:val="1"/>
      <w:marLeft w:val="0"/>
      <w:marRight w:val="0"/>
      <w:marTop w:val="0"/>
      <w:marBottom w:val="0"/>
      <w:divBdr>
        <w:top w:val="none" w:sz="0" w:space="0" w:color="auto"/>
        <w:left w:val="none" w:sz="0" w:space="0" w:color="auto"/>
        <w:bottom w:val="none" w:sz="0" w:space="0" w:color="auto"/>
        <w:right w:val="none" w:sz="0" w:space="0" w:color="auto"/>
      </w:divBdr>
    </w:div>
    <w:div w:id="659232786">
      <w:bodyDiv w:val="1"/>
      <w:marLeft w:val="0"/>
      <w:marRight w:val="0"/>
      <w:marTop w:val="0"/>
      <w:marBottom w:val="0"/>
      <w:divBdr>
        <w:top w:val="none" w:sz="0" w:space="0" w:color="auto"/>
        <w:left w:val="none" w:sz="0" w:space="0" w:color="auto"/>
        <w:bottom w:val="none" w:sz="0" w:space="0" w:color="auto"/>
        <w:right w:val="none" w:sz="0" w:space="0" w:color="auto"/>
      </w:divBdr>
    </w:div>
    <w:div w:id="666055186">
      <w:bodyDiv w:val="1"/>
      <w:marLeft w:val="0"/>
      <w:marRight w:val="0"/>
      <w:marTop w:val="0"/>
      <w:marBottom w:val="0"/>
      <w:divBdr>
        <w:top w:val="none" w:sz="0" w:space="0" w:color="auto"/>
        <w:left w:val="none" w:sz="0" w:space="0" w:color="auto"/>
        <w:bottom w:val="none" w:sz="0" w:space="0" w:color="auto"/>
        <w:right w:val="none" w:sz="0" w:space="0" w:color="auto"/>
      </w:divBdr>
    </w:div>
    <w:div w:id="672807640">
      <w:bodyDiv w:val="1"/>
      <w:marLeft w:val="0"/>
      <w:marRight w:val="0"/>
      <w:marTop w:val="0"/>
      <w:marBottom w:val="0"/>
      <w:divBdr>
        <w:top w:val="none" w:sz="0" w:space="0" w:color="auto"/>
        <w:left w:val="none" w:sz="0" w:space="0" w:color="auto"/>
        <w:bottom w:val="none" w:sz="0" w:space="0" w:color="auto"/>
        <w:right w:val="none" w:sz="0" w:space="0" w:color="auto"/>
      </w:divBdr>
    </w:div>
    <w:div w:id="673533393">
      <w:bodyDiv w:val="1"/>
      <w:marLeft w:val="0"/>
      <w:marRight w:val="0"/>
      <w:marTop w:val="0"/>
      <w:marBottom w:val="0"/>
      <w:divBdr>
        <w:top w:val="none" w:sz="0" w:space="0" w:color="auto"/>
        <w:left w:val="none" w:sz="0" w:space="0" w:color="auto"/>
        <w:bottom w:val="none" w:sz="0" w:space="0" w:color="auto"/>
        <w:right w:val="none" w:sz="0" w:space="0" w:color="auto"/>
      </w:divBdr>
    </w:div>
    <w:div w:id="673728005">
      <w:bodyDiv w:val="1"/>
      <w:marLeft w:val="0"/>
      <w:marRight w:val="0"/>
      <w:marTop w:val="0"/>
      <w:marBottom w:val="0"/>
      <w:divBdr>
        <w:top w:val="none" w:sz="0" w:space="0" w:color="auto"/>
        <w:left w:val="none" w:sz="0" w:space="0" w:color="auto"/>
        <w:bottom w:val="none" w:sz="0" w:space="0" w:color="auto"/>
        <w:right w:val="none" w:sz="0" w:space="0" w:color="auto"/>
      </w:divBdr>
    </w:div>
    <w:div w:id="674499164">
      <w:bodyDiv w:val="1"/>
      <w:marLeft w:val="0"/>
      <w:marRight w:val="0"/>
      <w:marTop w:val="0"/>
      <w:marBottom w:val="0"/>
      <w:divBdr>
        <w:top w:val="none" w:sz="0" w:space="0" w:color="auto"/>
        <w:left w:val="none" w:sz="0" w:space="0" w:color="auto"/>
        <w:bottom w:val="none" w:sz="0" w:space="0" w:color="auto"/>
        <w:right w:val="none" w:sz="0" w:space="0" w:color="auto"/>
      </w:divBdr>
    </w:div>
    <w:div w:id="680356987">
      <w:bodyDiv w:val="1"/>
      <w:marLeft w:val="0"/>
      <w:marRight w:val="0"/>
      <w:marTop w:val="0"/>
      <w:marBottom w:val="0"/>
      <w:divBdr>
        <w:top w:val="none" w:sz="0" w:space="0" w:color="auto"/>
        <w:left w:val="none" w:sz="0" w:space="0" w:color="auto"/>
        <w:bottom w:val="none" w:sz="0" w:space="0" w:color="auto"/>
        <w:right w:val="none" w:sz="0" w:space="0" w:color="auto"/>
      </w:divBdr>
    </w:div>
    <w:div w:id="686248908">
      <w:bodyDiv w:val="1"/>
      <w:marLeft w:val="0"/>
      <w:marRight w:val="0"/>
      <w:marTop w:val="0"/>
      <w:marBottom w:val="0"/>
      <w:divBdr>
        <w:top w:val="none" w:sz="0" w:space="0" w:color="auto"/>
        <w:left w:val="none" w:sz="0" w:space="0" w:color="auto"/>
        <w:bottom w:val="none" w:sz="0" w:space="0" w:color="auto"/>
        <w:right w:val="none" w:sz="0" w:space="0" w:color="auto"/>
      </w:divBdr>
    </w:div>
    <w:div w:id="687832090">
      <w:bodyDiv w:val="1"/>
      <w:marLeft w:val="0"/>
      <w:marRight w:val="0"/>
      <w:marTop w:val="0"/>
      <w:marBottom w:val="0"/>
      <w:divBdr>
        <w:top w:val="none" w:sz="0" w:space="0" w:color="auto"/>
        <w:left w:val="none" w:sz="0" w:space="0" w:color="auto"/>
        <w:bottom w:val="none" w:sz="0" w:space="0" w:color="auto"/>
        <w:right w:val="none" w:sz="0" w:space="0" w:color="auto"/>
      </w:divBdr>
    </w:div>
    <w:div w:id="689835704">
      <w:bodyDiv w:val="1"/>
      <w:marLeft w:val="0"/>
      <w:marRight w:val="0"/>
      <w:marTop w:val="0"/>
      <w:marBottom w:val="0"/>
      <w:divBdr>
        <w:top w:val="none" w:sz="0" w:space="0" w:color="auto"/>
        <w:left w:val="none" w:sz="0" w:space="0" w:color="auto"/>
        <w:bottom w:val="none" w:sz="0" w:space="0" w:color="auto"/>
        <w:right w:val="none" w:sz="0" w:space="0" w:color="auto"/>
      </w:divBdr>
    </w:div>
    <w:div w:id="691877078">
      <w:bodyDiv w:val="1"/>
      <w:marLeft w:val="0"/>
      <w:marRight w:val="0"/>
      <w:marTop w:val="0"/>
      <w:marBottom w:val="0"/>
      <w:divBdr>
        <w:top w:val="none" w:sz="0" w:space="0" w:color="auto"/>
        <w:left w:val="none" w:sz="0" w:space="0" w:color="auto"/>
        <w:bottom w:val="none" w:sz="0" w:space="0" w:color="auto"/>
        <w:right w:val="none" w:sz="0" w:space="0" w:color="auto"/>
      </w:divBdr>
    </w:div>
    <w:div w:id="692879066">
      <w:bodyDiv w:val="1"/>
      <w:marLeft w:val="0"/>
      <w:marRight w:val="0"/>
      <w:marTop w:val="0"/>
      <w:marBottom w:val="0"/>
      <w:divBdr>
        <w:top w:val="none" w:sz="0" w:space="0" w:color="auto"/>
        <w:left w:val="none" w:sz="0" w:space="0" w:color="auto"/>
        <w:bottom w:val="none" w:sz="0" w:space="0" w:color="auto"/>
        <w:right w:val="none" w:sz="0" w:space="0" w:color="auto"/>
      </w:divBdr>
    </w:div>
    <w:div w:id="693119888">
      <w:bodyDiv w:val="1"/>
      <w:marLeft w:val="0"/>
      <w:marRight w:val="0"/>
      <w:marTop w:val="0"/>
      <w:marBottom w:val="0"/>
      <w:divBdr>
        <w:top w:val="none" w:sz="0" w:space="0" w:color="auto"/>
        <w:left w:val="none" w:sz="0" w:space="0" w:color="auto"/>
        <w:bottom w:val="none" w:sz="0" w:space="0" w:color="auto"/>
        <w:right w:val="none" w:sz="0" w:space="0" w:color="auto"/>
      </w:divBdr>
    </w:div>
    <w:div w:id="702558879">
      <w:bodyDiv w:val="1"/>
      <w:marLeft w:val="0"/>
      <w:marRight w:val="0"/>
      <w:marTop w:val="0"/>
      <w:marBottom w:val="0"/>
      <w:divBdr>
        <w:top w:val="none" w:sz="0" w:space="0" w:color="auto"/>
        <w:left w:val="none" w:sz="0" w:space="0" w:color="auto"/>
        <w:bottom w:val="none" w:sz="0" w:space="0" w:color="auto"/>
        <w:right w:val="none" w:sz="0" w:space="0" w:color="auto"/>
      </w:divBdr>
    </w:div>
    <w:div w:id="705954271">
      <w:bodyDiv w:val="1"/>
      <w:marLeft w:val="0"/>
      <w:marRight w:val="0"/>
      <w:marTop w:val="0"/>
      <w:marBottom w:val="0"/>
      <w:divBdr>
        <w:top w:val="none" w:sz="0" w:space="0" w:color="auto"/>
        <w:left w:val="none" w:sz="0" w:space="0" w:color="auto"/>
        <w:bottom w:val="none" w:sz="0" w:space="0" w:color="auto"/>
        <w:right w:val="none" w:sz="0" w:space="0" w:color="auto"/>
      </w:divBdr>
    </w:div>
    <w:div w:id="708458703">
      <w:bodyDiv w:val="1"/>
      <w:marLeft w:val="0"/>
      <w:marRight w:val="0"/>
      <w:marTop w:val="0"/>
      <w:marBottom w:val="0"/>
      <w:divBdr>
        <w:top w:val="none" w:sz="0" w:space="0" w:color="auto"/>
        <w:left w:val="none" w:sz="0" w:space="0" w:color="auto"/>
        <w:bottom w:val="none" w:sz="0" w:space="0" w:color="auto"/>
        <w:right w:val="none" w:sz="0" w:space="0" w:color="auto"/>
      </w:divBdr>
    </w:div>
    <w:div w:id="711617129">
      <w:bodyDiv w:val="1"/>
      <w:marLeft w:val="0"/>
      <w:marRight w:val="0"/>
      <w:marTop w:val="0"/>
      <w:marBottom w:val="0"/>
      <w:divBdr>
        <w:top w:val="none" w:sz="0" w:space="0" w:color="auto"/>
        <w:left w:val="none" w:sz="0" w:space="0" w:color="auto"/>
        <w:bottom w:val="none" w:sz="0" w:space="0" w:color="auto"/>
        <w:right w:val="none" w:sz="0" w:space="0" w:color="auto"/>
      </w:divBdr>
    </w:div>
    <w:div w:id="713192540">
      <w:bodyDiv w:val="1"/>
      <w:marLeft w:val="0"/>
      <w:marRight w:val="0"/>
      <w:marTop w:val="0"/>
      <w:marBottom w:val="0"/>
      <w:divBdr>
        <w:top w:val="none" w:sz="0" w:space="0" w:color="auto"/>
        <w:left w:val="none" w:sz="0" w:space="0" w:color="auto"/>
        <w:bottom w:val="none" w:sz="0" w:space="0" w:color="auto"/>
        <w:right w:val="none" w:sz="0" w:space="0" w:color="auto"/>
      </w:divBdr>
    </w:div>
    <w:div w:id="714544201">
      <w:bodyDiv w:val="1"/>
      <w:marLeft w:val="0"/>
      <w:marRight w:val="0"/>
      <w:marTop w:val="0"/>
      <w:marBottom w:val="0"/>
      <w:divBdr>
        <w:top w:val="none" w:sz="0" w:space="0" w:color="auto"/>
        <w:left w:val="none" w:sz="0" w:space="0" w:color="auto"/>
        <w:bottom w:val="none" w:sz="0" w:space="0" w:color="auto"/>
        <w:right w:val="none" w:sz="0" w:space="0" w:color="auto"/>
      </w:divBdr>
    </w:div>
    <w:div w:id="719550890">
      <w:bodyDiv w:val="1"/>
      <w:marLeft w:val="0"/>
      <w:marRight w:val="0"/>
      <w:marTop w:val="0"/>
      <w:marBottom w:val="0"/>
      <w:divBdr>
        <w:top w:val="none" w:sz="0" w:space="0" w:color="auto"/>
        <w:left w:val="none" w:sz="0" w:space="0" w:color="auto"/>
        <w:bottom w:val="none" w:sz="0" w:space="0" w:color="auto"/>
        <w:right w:val="none" w:sz="0" w:space="0" w:color="auto"/>
      </w:divBdr>
    </w:div>
    <w:div w:id="722212495">
      <w:bodyDiv w:val="1"/>
      <w:marLeft w:val="0"/>
      <w:marRight w:val="0"/>
      <w:marTop w:val="0"/>
      <w:marBottom w:val="0"/>
      <w:divBdr>
        <w:top w:val="none" w:sz="0" w:space="0" w:color="auto"/>
        <w:left w:val="none" w:sz="0" w:space="0" w:color="auto"/>
        <w:bottom w:val="none" w:sz="0" w:space="0" w:color="auto"/>
        <w:right w:val="none" w:sz="0" w:space="0" w:color="auto"/>
      </w:divBdr>
    </w:div>
    <w:div w:id="723407777">
      <w:bodyDiv w:val="1"/>
      <w:marLeft w:val="0"/>
      <w:marRight w:val="0"/>
      <w:marTop w:val="0"/>
      <w:marBottom w:val="0"/>
      <w:divBdr>
        <w:top w:val="none" w:sz="0" w:space="0" w:color="auto"/>
        <w:left w:val="none" w:sz="0" w:space="0" w:color="auto"/>
        <w:bottom w:val="none" w:sz="0" w:space="0" w:color="auto"/>
        <w:right w:val="none" w:sz="0" w:space="0" w:color="auto"/>
      </w:divBdr>
    </w:div>
    <w:div w:id="724062100">
      <w:bodyDiv w:val="1"/>
      <w:marLeft w:val="0"/>
      <w:marRight w:val="0"/>
      <w:marTop w:val="0"/>
      <w:marBottom w:val="0"/>
      <w:divBdr>
        <w:top w:val="none" w:sz="0" w:space="0" w:color="auto"/>
        <w:left w:val="none" w:sz="0" w:space="0" w:color="auto"/>
        <w:bottom w:val="none" w:sz="0" w:space="0" w:color="auto"/>
        <w:right w:val="none" w:sz="0" w:space="0" w:color="auto"/>
      </w:divBdr>
    </w:div>
    <w:div w:id="728964693">
      <w:bodyDiv w:val="1"/>
      <w:marLeft w:val="0"/>
      <w:marRight w:val="0"/>
      <w:marTop w:val="0"/>
      <w:marBottom w:val="0"/>
      <w:divBdr>
        <w:top w:val="none" w:sz="0" w:space="0" w:color="auto"/>
        <w:left w:val="none" w:sz="0" w:space="0" w:color="auto"/>
        <w:bottom w:val="none" w:sz="0" w:space="0" w:color="auto"/>
        <w:right w:val="none" w:sz="0" w:space="0" w:color="auto"/>
      </w:divBdr>
    </w:div>
    <w:div w:id="729423112">
      <w:bodyDiv w:val="1"/>
      <w:marLeft w:val="0"/>
      <w:marRight w:val="0"/>
      <w:marTop w:val="0"/>
      <w:marBottom w:val="0"/>
      <w:divBdr>
        <w:top w:val="none" w:sz="0" w:space="0" w:color="auto"/>
        <w:left w:val="none" w:sz="0" w:space="0" w:color="auto"/>
        <w:bottom w:val="none" w:sz="0" w:space="0" w:color="auto"/>
        <w:right w:val="none" w:sz="0" w:space="0" w:color="auto"/>
      </w:divBdr>
    </w:div>
    <w:div w:id="732973602">
      <w:bodyDiv w:val="1"/>
      <w:marLeft w:val="0"/>
      <w:marRight w:val="0"/>
      <w:marTop w:val="0"/>
      <w:marBottom w:val="0"/>
      <w:divBdr>
        <w:top w:val="none" w:sz="0" w:space="0" w:color="auto"/>
        <w:left w:val="none" w:sz="0" w:space="0" w:color="auto"/>
        <w:bottom w:val="none" w:sz="0" w:space="0" w:color="auto"/>
        <w:right w:val="none" w:sz="0" w:space="0" w:color="auto"/>
      </w:divBdr>
    </w:div>
    <w:div w:id="741105466">
      <w:bodyDiv w:val="1"/>
      <w:marLeft w:val="0"/>
      <w:marRight w:val="0"/>
      <w:marTop w:val="0"/>
      <w:marBottom w:val="0"/>
      <w:divBdr>
        <w:top w:val="none" w:sz="0" w:space="0" w:color="auto"/>
        <w:left w:val="none" w:sz="0" w:space="0" w:color="auto"/>
        <w:bottom w:val="none" w:sz="0" w:space="0" w:color="auto"/>
        <w:right w:val="none" w:sz="0" w:space="0" w:color="auto"/>
      </w:divBdr>
    </w:div>
    <w:div w:id="744454863">
      <w:bodyDiv w:val="1"/>
      <w:marLeft w:val="0"/>
      <w:marRight w:val="0"/>
      <w:marTop w:val="0"/>
      <w:marBottom w:val="0"/>
      <w:divBdr>
        <w:top w:val="none" w:sz="0" w:space="0" w:color="auto"/>
        <w:left w:val="none" w:sz="0" w:space="0" w:color="auto"/>
        <w:bottom w:val="none" w:sz="0" w:space="0" w:color="auto"/>
        <w:right w:val="none" w:sz="0" w:space="0" w:color="auto"/>
      </w:divBdr>
    </w:div>
    <w:div w:id="746415216">
      <w:bodyDiv w:val="1"/>
      <w:marLeft w:val="0"/>
      <w:marRight w:val="0"/>
      <w:marTop w:val="0"/>
      <w:marBottom w:val="0"/>
      <w:divBdr>
        <w:top w:val="none" w:sz="0" w:space="0" w:color="auto"/>
        <w:left w:val="none" w:sz="0" w:space="0" w:color="auto"/>
        <w:bottom w:val="none" w:sz="0" w:space="0" w:color="auto"/>
        <w:right w:val="none" w:sz="0" w:space="0" w:color="auto"/>
      </w:divBdr>
    </w:div>
    <w:div w:id="751700698">
      <w:bodyDiv w:val="1"/>
      <w:marLeft w:val="0"/>
      <w:marRight w:val="0"/>
      <w:marTop w:val="0"/>
      <w:marBottom w:val="0"/>
      <w:divBdr>
        <w:top w:val="none" w:sz="0" w:space="0" w:color="auto"/>
        <w:left w:val="none" w:sz="0" w:space="0" w:color="auto"/>
        <w:bottom w:val="none" w:sz="0" w:space="0" w:color="auto"/>
        <w:right w:val="none" w:sz="0" w:space="0" w:color="auto"/>
      </w:divBdr>
    </w:div>
    <w:div w:id="753821621">
      <w:bodyDiv w:val="1"/>
      <w:marLeft w:val="0"/>
      <w:marRight w:val="0"/>
      <w:marTop w:val="0"/>
      <w:marBottom w:val="0"/>
      <w:divBdr>
        <w:top w:val="none" w:sz="0" w:space="0" w:color="auto"/>
        <w:left w:val="none" w:sz="0" w:space="0" w:color="auto"/>
        <w:bottom w:val="none" w:sz="0" w:space="0" w:color="auto"/>
        <w:right w:val="none" w:sz="0" w:space="0" w:color="auto"/>
      </w:divBdr>
    </w:div>
    <w:div w:id="754277435">
      <w:bodyDiv w:val="1"/>
      <w:marLeft w:val="0"/>
      <w:marRight w:val="0"/>
      <w:marTop w:val="0"/>
      <w:marBottom w:val="0"/>
      <w:divBdr>
        <w:top w:val="none" w:sz="0" w:space="0" w:color="auto"/>
        <w:left w:val="none" w:sz="0" w:space="0" w:color="auto"/>
        <w:bottom w:val="none" w:sz="0" w:space="0" w:color="auto"/>
        <w:right w:val="none" w:sz="0" w:space="0" w:color="auto"/>
      </w:divBdr>
    </w:div>
    <w:div w:id="756098358">
      <w:bodyDiv w:val="1"/>
      <w:marLeft w:val="0"/>
      <w:marRight w:val="0"/>
      <w:marTop w:val="0"/>
      <w:marBottom w:val="0"/>
      <w:divBdr>
        <w:top w:val="none" w:sz="0" w:space="0" w:color="auto"/>
        <w:left w:val="none" w:sz="0" w:space="0" w:color="auto"/>
        <w:bottom w:val="none" w:sz="0" w:space="0" w:color="auto"/>
        <w:right w:val="none" w:sz="0" w:space="0" w:color="auto"/>
      </w:divBdr>
    </w:div>
    <w:div w:id="759372143">
      <w:bodyDiv w:val="1"/>
      <w:marLeft w:val="0"/>
      <w:marRight w:val="0"/>
      <w:marTop w:val="0"/>
      <w:marBottom w:val="0"/>
      <w:divBdr>
        <w:top w:val="none" w:sz="0" w:space="0" w:color="auto"/>
        <w:left w:val="none" w:sz="0" w:space="0" w:color="auto"/>
        <w:bottom w:val="none" w:sz="0" w:space="0" w:color="auto"/>
        <w:right w:val="none" w:sz="0" w:space="0" w:color="auto"/>
      </w:divBdr>
    </w:div>
    <w:div w:id="772553904">
      <w:bodyDiv w:val="1"/>
      <w:marLeft w:val="0"/>
      <w:marRight w:val="0"/>
      <w:marTop w:val="0"/>
      <w:marBottom w:val="0"/>
      <w:divBdr>
        <w:top w:val="none" w:sz="0" w:space="0" w:color="auto"/>
        <w:left w:val="none" w:sz="0" w:space="0" w:color="auto"/>
        <w:bottom w:val="none" w:sz="0" w:space="0" w:color="auto"/>
        <w:right w:val="none" w:sz="0" w:space="0" w:color="auto"/>
      </w:divBdr>
    </w:div>
    <w:div w:id="779297735">
      <w:bodyDiv w:val="1"/>
      <w:marLeft w:val="0"/>
      <w:marRight w:val="0"/>
      <w:marTop w:val="0"/>
      <w:marBottom w:val="0"/>
      <w:divBdr>
        <w:top w:val="none" w:sz="0" w:space="0" w:color="auto"/>
        <w:left w:val="none" w:sz="0" w:space="0" w:color="auto"/>
        <w:bottom w:val="none" w:sz="0" w:space="0" w:color="auto"/>
        <w:right w:val="none" w:sz="0" w:space="0" w:color="auto"/>
      </w:divBdr>
    </w:div>
    <w:div w:id="781339496">
      <w:bodyDiv w:val="1"/>
      <w:marLeft w:val="0"/>
      <w:marRight w:val="0"/>
      <w:marTop w:val="0"/>
      <w:marBottom w:val="0"/>
      <w:divBdr>
        <w:top w:val="none" w:sz="0" w:space="0" w:color="auto"/>
        <w:left w:val="none" w:sz="0" w:space="0" w:color="auto"/>
        <w:bottom w:val="none" w:sz="0" w:space="0" w:color="auto"/>
        <w:right w:val="none" w:sz="0" w:space="0" w:color="auto"/>
      </w:divBdr>
    </w:div>
    <w:div w:id="783578818">
      <w:bodyDiv w:val="1"/>
      <w:marLeft w:val="0"/>
      <w:marRight w:val="0"/>
      <w:marTop w:val="0"/>
      <w:marBottom w:val="0"/>
      <w:divBdr>
        <w:top w:val="none" w:sz="0" w:space="0" w:color="auto"/>
        <w:left w:val="none" w:sz="0" w:space="0" w:color="auto"/>
        <w:bottom w:val="none" w:sz="0" w:space="0" w:color="auto"/>
        <w:right w:val="none" w:sz="0" w:space="0" w:color="auto"/>
      </w:divBdr>
    </w:div>
    <w:div w:id="783619104">
      <w:bodyDiv w:val="1"/>
      <w:marLeft w:val="0"/>
      <w:marRight w:val="0"/>
      <w:marTop w:val="0"/>
      <w:marBottom w:val="0"/>
      <w:divBdr>
        <w:top w:val="none" w:sz="0" w:space="0" w:color="auto"/>
        <w:left w:val="none" w:sz="0" w:space="0" w:color="auto"/>
        <w:bottom w:val="none" w:sz="0" w:space="0" w:color="auto"/>
        <w:right w:val="none" w:sz="0" w:space="0" w:color="auto"/>
      </w:divBdr>
    </w:div>
    <w:div w:id="793451019">
      <w:bodyDiv w:val="1"/>
      <w:marLeft w:val="0"/>
      <w:marRight w:val="0"/>
      <w:marTop w:val="0"/>
      <w:marBottom w:val="0"/>
      <w:divBdr>
        <w:top w:val="none" w:sz="0" w:space="0" w:color="auto"/>
        <w:left w:val="none" w:sz="0" w:space="0" w:color="auto"/>
        <w:bottom w:val="none" w:sz="0" w:space="0" w:color="auto"/>
        <w:right w:val="none" w:sz="0" w:space="0" w:color="auto"/>
      </w:divBdr>
    </w:div>
    <w:div w:id="802426646">
      <w:bodyDiv w:val="1"/>
      <w:marLeft w:val="0"/>
      <w:marRight w:val="0"/>
      <w:marTop w:val="0"/>
      <w:marBottom w:val="0"/>
      <w:divBdr>
        <w:top w:val="none" w:sz="0" w:space="0" w:color="auto"/>
        <w:left w:val="none" w:sz="0" w:space="0" w:color="auto"/>
        <w:bottom w:val="none" w:sz="0" w:space="0" w:color="auto"/>
        <w:right w:val="none" w:sz="0" w:space="0" w:color="auto"/>
      </w:divBdr>
    </w:div>
    <w:div w:id="806899220">
      <w:bodyDiv w:val="1"/>
      <w:marLeft w:val="0"/>
      <w:marRight w:val="0"/>
      <w:marTop w:val="0"/>
      <w:marBottom w:val="0"/>
      <w:divBdr>
        <w:top w:val="none" w:sz="0" w:space="0" w:color="auto"/>
        <w:left w:val="none" w:sz="0" w:space="0" w:color="auto"/>
        <w:bottom w:val="none" w:sz="0" w:space="0" w:color="auto"/>
        <w:right w:val="none" w:sz="0" w:space="0" w:color="auto"/>
      </w:divBdr>
    </w:div>
    <w:div w:id="810362739">
      <w:bodyDiv w:val="1"/>
      <w:marLeft w:val="0"/>
      <w:marRight w:val="0"/>
      <w:marTop w:val="0"/>
      <w:marBottom w:val="0"/>
      <w:divBdr>
        <w:top w:val="none" w:sz="0" w:space="0" w:color="auto"/>
        <w:left w:val="none" w:sz="0" w:space="0" w:color="auto"/>
        <w:bottom w:val="none" w:sz="0" w:space="0" w:color="auto"/>
        <w:right w:val="none" w:sz="0" w:space="0" w:color="auto"/>
      </w:divBdr>
    </w:div>
    <w:div w:id="813908691">
      <w:bodyDiv w:val="1"/>
      <w:marLeft w:val="0"/>
      <w:marRight w:val="0"/>
      <w:marTop w:val="0"/>
      <w:marBottom w:val="0"/>
      <w:divBdr>
        <w:top w:val="none" w:sz="0" w:space="0" w:color="auto"/>
        <w:left w:val="none" w:sz="0" w:space="0" w:color="auto"/>
        <w:bottom w:val="none" w:sz="0" w:space="0" w:color="auto"/>
        <w:right w:val="none" w:sz="0" w:space="0" w:color="auto"/>
      </w:divBdr>
    </w:div>
    <w:div w:id="814878652">
      <w:bodyDiv w:val="1"/>
      <w:marLeft w:val="0"/>
      <w:marRight w:val="0"/>
      <w:marTop w:val="0"/>
      <w:marBottom w:val="0"/>
      <w:divBdr>
        <w:top w:val="none" w:sz="0" w:space="0" w:color="auto"/>
        <w:left w:val="none" w:sz="0" w:space="0" w:color="auto"/>
        <w:bottom w:val="none" w:sz="0" w:space="0" w:color="auto"/>
        <w:right w:val="none" w:sz="0" w:space="0" w:color="auto"/>
      </w:divBdr>
    </w:div>
    <w:div w:id="822427979">
      <w:bodyDiv w:val="1"/>
      <w:marLeft w:val="0"/>
      <w:marRight w:val="0"/>
      <w:marTop w:val="0"/>
      <w:marBottom w:val="0"/>
      <w:divBdr>
        <w:top w:val="none" w:sz="0" w:space="0" w:color="auto"/>
        <w:left w:val="none" w:sz="0" w:space="0" w:color="auto"/>
        <w:bottom w:val="none" w:sz="0" w:space="0" w:color="auto"/>
        <w:right w:val="none" w:sz="0" w:space="0" w:color="auto"/>
      </w:divBdr>
    </w:div>
    <w:div w:id="825361676">
      <w:bodyDiv w:val="1"/>
      <w:marLeft w:val="0"/>
      <w:marRight w:val="0"/>
      <w:marTop w:val="0"/>
      <w:marBottom w:val="0"/>
      <w:divBdr>
        <w:top w:val="none" w:sz="0" w:space="0" w:color="auto"/>
        <w:left w:val="none" w:sz="0" w:space="0" w:color="auto"/>
        <w:bottom w:val="none" w:sz="0" w:space="0" w:color="auto"/>
        <w:right w:val="none" w:sz="0" w:space="0" w:color="auto"/>
      </w:divBdr>
    </w:div>
    <w:div w:id="835346029">
      <w:bodyDiv w:val="1"/>
      <w:marLeft w:val="0"/>
      <w:marRight w:val="0"/>
      <w:marTop w:val="0"/>
      <w:marBottom w:val="0"/>
      <w:divBdr>
        <w:top w:val="none" w:sz="0" w:space="0" w:color="auto"/>
        <w:left w:val="none" w:sz="0" w:space="0" w:color="auto"/>
        <w:bottom w:val="none" w:sz="0" w:space="0" w:color="auto"/>
        <w:right w:val="none" w:sz="0" w:space="0" w:color="auto"/>
      </w:divBdr>
    </w:div>
    <w:div w:id="852232467">
      <w:bodyDiv w:val="1"/>
      <w:marLeft w:val="0"/>
      <w:marRight w:val="0"/>
      <w:marTop w:val="0"/>
      <w:marBottom w:val="0"/>
      <w:divBdr>
        <w:top w:val="none" w:sz="0" w:space="0" w:color="auto"/>
        <w:left w:val="none" w:sz="0" w:space="0" w:color="auto"/>
        <w:bottom w:val="none" w:sz="0" w:space="0" w:color="auto"/>
        <w:right w:val="none" w:sz="0" w:space="0" w:color="auto"/>
      </w:divBdr>
    </w:div>
    <w:div w:id="853542044">
      <w:bodyDiv w:val="1"/>
      <w:marLeft w:val="0"/>
      <w:marRight w:val="0"/>
      <w:marTop w:val="0"/>
      <w:marBottom w:val="0"/>
      <w:divBdr>
        <w:top w:val="none" w:sz="0" w:space="0" w:color="auto"/>
        <w:left w:val="none" w:sz="0" w:space="0" w:color="auto"/>
        <w:bottom w:val="none" w:sz="0" w:space="0" w:color="auto"/>
        <w:right w:val="none" w:sz="0" w:space="0" w:color="auto"/>
      </w:divBdr>
    </w:div>
    <w:div w:id="854071743">
      <w:bodyDiv w:val="1"/>
      <w:marLeft w:val="0"/>
      <w:marRight w:val="0"/>
      <w:marTop w:val="0"/>
      <w:marBottom w:val="0"/>
      <w:divBdr>
        <w:top w:val="none" w:sz="0" w:space="0" w:color="auto"/>
        <w:left w:val="none" w:sz="0" w:space="0" w:color="auto"/>
        <w:bottom w:val="none" w:sz="0" w:space="0" w:color="auto"/>
        <w:right w:val="none" w:sz="0" w:space="0" w:color="auto"/>
      </w:divBdr>
    </w:div>
    <w:div w:id="858815269">
      <w:bodyDiv w:val="1"/>
      <w:marLeft w:val="0"/>
      <w:marRight w:val="0"/>
      <w:marTop w:val="0"/>
      <w:marBottom w:val="0"/>
      <w:divBdr>
        <w:top w:val="none" w:sz="0" w:space="0" w:color="auto"/>
        <w:left w:val="none" w:sz="0" w:space="0" w:color="auto"/>
        <w:bottom w:val="none" w:sz="0" w:space="0" w:color="auto"/>
        <w:right w:val="none" w:sz="0" w:space="0" w:color="auto"/>
      </w:divBdr>
    </w:div>
    <w:div w:id="863323058">
      <w:bodyDiv w:val="1"/>
      <w:marLeft w:val="0"/>
      <w:marRight w:val="0"/>
      <w:marTop w:val="0"/>
      <w:marBottom w:val="0"/>
      <w:divBdr>
        <w:top w:val="none" w:sz="0" w:space="0" w:color="auto"/>
        <w:left w:val="none" w:sz="0" w:space="0" w:color="auto"/>
        <w:bottom w:val="none" w:sz="0" w:space="0" w:color="auto"/>
        <w:right w:val="none" w:sz="0" w:space="0" w:color="auto"/>
      </w:divBdr>
    </w:div>
    <w:div w:id="866795294">
      <w:bodyDiv w:val="1"/>
      <w:marLeft w:val="0"/>
      <w:marRight w:val="0"/>
      <w:marTop w:val="0"/>
      <w:marBottom w:val="0"/>
      <w:divBdr>
        <w:top w:val="none" w:sz="0" w:space="0" w:color="auto"/>
        <w:left w:val="none" w:sz="0" w:space="0" w:color="auto"/>
        <w:bottom w:val="none" w:sz="0" w:space="0" w:color="auto"/>
        <w:right w:val="none" w:sz="0" w:space="0" w:color="auto"/>
      </w:divBdr>
    </w:div>
    <w:div w:id="869075386">
      <w:bodyDiv w:val="1"/>
      <w:marLeft w:val="0"/>
      <w:marRight w:val="0"/>
      <w:marTop w:val="0"/>
      <w:marBottom w:val="0"/>
      <w:divBdr>
        <w:top w:val="none" w:sz="0" w:space="0" w:color="auto"/>
        <w:left w:val="none" w:sz="0" w:space="0" w:color="auto"/>
        <w:bottom w:val="none" w:sz="0" w:space="0" w:color="auto"/>
        <w:right w:val="none" w:sz="0" w:space="0" w:color="auto"/>
      </w:divBdr>
    </w:div>
    <w:div w:id="875387169">
      <w:bodyDiv w:val="1"/>
      <w:marLeft w:val="0"/>
      <w:marRight w:val="0"/>
      <w:marTop w:val="0"/>
      <w:marBottom w:val="0"/>
      <w:divBdr>
        <w:top w:val="none" w:sz="0" w:space="0" w:color="auto"/>
        <w:left w:val="none" w:sz="0" w:space="0" w:color="auto"/>
        <w:bottom w:val="none" w:sz="0" w:space="0" w:color="auto"/>
        <w:right w:val="none" w:sz="0" w:space="0" w:color="auto"/>
      </w:divBdr>
    </w:div>
    <w:div w:id="882519930">
      <w:bodyDiv w:val="1"/>
      <w:marLeft w:val="0"/>
      <w:marRight w:val="0"/>
      <w:marTop w:val="0"/>
      <w:marBottom w:val="0"/>
      <w:divBdr>
        <w:top w:val="none" w:sz="0" w:space="0" w:color="auto"/>
        <w:left w:val="none" w:sz="0" w:space="0" w:color="auto"/>
        <w:bottom w:val="none" w:sz="0" w:space="0" w:color="auto"/>
        <w:right w:val="none" w:sz="0" w:space="0" w:color="auto"/>
      </w:divBdr>
    </w:div>
    <w:div w:id="888296491">
      <w:bodyDiv w:val="1"/>
      <w:marLeft w:val="0"/>
      <w:marRight w:val="0"/>
      <w:marTop w:val="0"/>
      <w:marBottom w:val="0"/>
      <w:divBdr>
        <w:top w:val="none" w:sz="0" w:space="0" w:color="auto"/>
        <w:left w:val="none" w:sz="0" w:space="0" w:color="auto"/>
        <w:bottom w:val="none" w:sz="0" w:space="0" w:color="auto"/>
        <w:right w:val="none" w:sz="0" w:space="0" w:color="auto"/>
      </w:divBdr>
    </w:div>
    <w:div w:id="890965351">
      <w:bodyDiv w:val="1"/>
      <w:marLeft w:val="0"/>
      <w:marRight w:val="0"/>
      <w:marTop w:val="0"/>
      <w:marBottom w:val="0"/>
      <w:divBdr>
        <w:top w:val="none" w:sz="0" w:space="0" w:color="auto"/>
        <w:left w:val="none" w:sz="0" w:space="0" w:color="auto"/>
        <w:bottom w:val="none" w:sz="0" w:space="0" w:color="auto"/>
        <w:right w:val="none" w:sz="0" w:space="0" w:color="auto"/>
      </w:divBdr>
    </w:div>
    <w:div w:id="893926510">
      <w:bodyDiv w:val="1"/>
      <w:marLeft w:val="0"/>
      <w:marRight w:val="0"/>
      <w:marTop w:val="0"/>
      <w:marBottom w:val="0"/>
      <w:divBdr>
        <w:top w:val="none" w:sz="0" w:space="0" w:color="auto"/>
        <w:left w:val="none" w:sz="0" w:space="0" w:color="auto"/>
        <w:bottom w:val="none" w:sz="0" w:space="0" w:color="auto"/>
        <w:right w:val="none" w:sz="0" w:space="0" w:color="auto"/>
      </w:divBdr>
    </w:div>
    <w:div w:id="900482810">
      <w:bodyDiv w:val="1"/>
      <w:marLeft w:val="0"/>
      <w:marRight w:val="0"/>
      <w:marTop w:val="0"/>
      <w:marBottom w:val="0"/>
      <w:divBdr>
        <w:top w:val="none" w:sz="0" w:space="0" w:color="auto"/>
        <w:left w:val="none" w:sz="0" w:space="0" w:color="auto"/>
        <w:bottom w:val="none" w:sz="0" w:space="0" w:color="auto"/>
        <w:right w:val="none" w:sz="0" w:space="0" w:color="auto"/>
      </w:divBdr>
    </w:div>
    <w:div w:id="905532950">
      <w:bodyDiv w:val="1"/>
      <w:marLeft w:val="0"/>
      <w:marRight w:val="0"/>
      <w:marTop w:val="0"/>
      <w:marBottom w:val="0"/>
      <w:divBdr>
        <w:top w:val="none" w:sz="0" w:space="0" w:color="auto"/>
        <w:left w:val="none" w:sz="0" w:space="0" w:color="auto"/>
        <w:bottom w:val="none" w:sz="0" w:space="0" w:color="auto"/>
        <w:right w:val="none" w:sz="0" w:space="0" w:color="auto"/>
      </w:divBdr>
    </w:div>
    <w:div w:id="913663916">
      <w:bodyDiv w:val="1"/>
      <w:marLeft w:val="0"/>
      <w:marRight w:val="0"/>
      <w:marTop w:val="0"/>
      <w:marBottom w:val="0"/>
      <w:divBdr>
        <w:top w:val="none" w:sz="0" w:space="0" w:color="auto"/>
        <w:left w:val="none" w:sz="0" w:space="0" w:color="auto"/>
        <w:bottom w:val="none" w:sz="0" w:space="0" w:color="auto"/>
        <w:right w:val="none" w:sz="0" w:space="0" w:color="auto"/>
      </w:divBdr>
    </w:div>
    <w:div w:id="918750438">
      <w:bodyDiv w:val="1"/>
      <w:marLeft w:val="0"/>
      <w:marRight w:val="0"/>
      <w:marTop w:val="0"/>
      <w:marBottom w:val="0"/>
      <w:divBdr>
        <w:top w:val="none" w:sz="0" w:space="0" w:color="auto"/>
        <w:left w:val="none" w:sz="0" w:space="0" w:color="auto"/>
        <w:bottom w:val="none" w:sz="0" w:space="0" w:color="auto"/>
        <w:right w:val="none" w:sz="0" w:space="0" w:color="auto"/>
      </w:divBdr>
    </w:div>
    <w:div w:id="919288057">
      <w:bodyDiv w:val="1"/>
      <w:marLeft w:val="0"/>
      <w:marRight w:val="0"/>
      <w:marTop w:val="0"/>
      <w:marBottom w:val="0"/>
      <w:divBdr>
        <w:top w:val="none" w:sz="0" w:space="0" w:color="auto"/>
        <w:left w:val="none" w:sz="0" w:space="0" w:color="auto"/>
        <w:bottom w:val="none" w:sz="0" w:space="0" w:color="auto"/>
        <w:right w:val="none" w:sz="0" w:space="0" w:color="auto"/>
      </w:divBdr>
    </w:div>
    <w:div w:id="926813933">
      <w:bodyDiv w:val="1"/>
      <w:marLeft w:val="0"/>
      <w:marRight w:val="0"/>
      <w:marTop w:val="0"/>
      <w:marBottom w:val="0"/>
      <w:divBdr>
        <w:top w:val="none" w:sz="0" w:space="0" w:color="auto"/>
        <w:left w:val="none" w:sz="0" w:space="0" w:color="auto"/>
        <w:bottom w:val="none" w:sz="0" w:space="0" w:color="auto"/>
        <w:right w:val="none" w:sz="0" w:space="0" w:color="auto"/>
      </w:divBdr>
    </w:div>
    <w:div w:id="929435958">
      <w:bodyDiv w:val="1"/>
      <w:marLeft w:val="0"/>
      <w:marRight w:val="0"/>
      <w:marTop w:val="0"/>
      <w:marBottom w:val="0"/>
      <w:divBdr>
        <w:top w:val="none" w:sz="0" w:space="0" w:color="auto"/>
        <w:left w:val="none" w:sz="0" w:space="0" w:color="auto"/>
        <w:bottom w:val="none" w:sz="0" w:space="0" w:color="auto"/>
        <w:right w:val="none" w:sz="0" w:space="0" w:color="auto"/>
      </w:divBdr>
    </w:div>
    <w:div w:id="932126783">
      <w:bodyDiv w:val="1"/>
      <w:marLeft w:val="0"/>
      <w:marRight w:val="0"/>
      <w:marTop w:val="0"/>
      <w:marBottom w:val="0"/>
      <w:divBdr>
        <w:top w:val="none" w:sz="0" w:space="0" w:color="auto"/>
        <w:left w:val="none" w:sz="0" w:space="0" w:color="auto"/>
        <w:bottom w:val="none" w:sz="0" w:space="0" w:color="auto"/>
        <w:right w:val="none" w:sz="0" w:space="0" w:color="auto"/>
      </w:divBdr>
    </w:div>
    <w:div w:id="936866777">
      <w:bodyDiv w:val="1"/>
      <w:marLeft w:val="0"/>
      <w:marRight w:val="0"/>
      <w:marTop w:val="0"/>
      <w:marBottom w:val="0"/>
      <w:divBdr>
        <w:top w:val="none" w:sz="0" w:space="0" w:color="auto"/>
        <w:left w:val="none" w:sz="0" w:space="0" w:color="auto"/>
        <w:bottom w:val="none" w:sz="0" w:space="0" w:color="auto"/>
        <w:right w:val="none" w:sz="0" w:space="0" w:color="auto"/>
      </w:divBdr>
    </w:div>
    <w:div w:id="937328182">
      <w:bodyDiv w:val="1"/>
      <w:marLeft w:val="0"/>
      <w:marRight w:val="0"/>
      <w:marTop w:val="0"/>
      <w:marBottom w:val="0"/>
      <w:divBdr>
        <w:top w:val="none" w:sz="0" w:space="0" w:color="auto"/>
        <w:left w:val="none" w:sz="0" w:space="0" w:color="auto"/>
        <w:bottom w:val="none" w:sz="0" w:space="0" w:color="auto"/>
        <w:right w:val="none" w:sz="0" w:space="0" w:color="auto"/>
      </w:divBdr>
    </w:div>
    <w:div w:id="949433962">
      <w:bodyDiv w:val="1"/>
      <w:marLeft w:val="0"/>
      <w:marRight w:val="0"/>
      <w:marTop w:val="0"/>
      <w:marBottom w:val="0"/>
      <w:divBdr>
        <w:top w:val="none" w:sz="0" w:space="0" w:color="auto"/>
        <w:left w:val="none" w:sz="0" w:space="0" w:color="auto"/>
        <w:bottom w:val="none" w:sz="0" w:space="0" w:color="auto"/>
        <w:right w:val="none" w:sz="0" w:space="0" w:color="auto"/>
      </w:divBdr>
    </w:div>
    <w:div w:id="955793293">
      <w:bodyDiv w:val="1"/>
      <w:marLeft w:val="0"/>
      <w:marRight w:val="0"/>
      <w:marTop w:val="0"/>
      <w:marBottom w:val="0"/>
      <w:divBdr>
        <w:top w:val="none" w:sz="0" w:space="0" w:color="auto"/>
        <w:left w:val="none" w:sz="0" w:space="0" w:color="auto"/>
        <w:bottom w:val="none" w:sz="0" w:space="0" w:color="auto"/>
        <w:right w:val="none" w:sz="0" w:space="0" w:color="auto"/>
      </w:divBdr>
    </w:div>
    <w:div w:id="965282782">
      <w:bodyDiv w:val="1"/>
      <w:marLeft w:val="0"/>
      <w:marRight w:val="0"/>
      <w:marTop w:val="0"/>
      <w:marBottom w:val="0"/>
      <w:divBdr>
        <w:top w:val="none" w:sz="0" w:space="0" w:color="auto"/>
        <w:left w:val="none" w:sz="0" w:space="0" w:color="auto"/>
        <w:bottom w:val="none" w:sz="0" w:space="0" w:color="auto"/>
        <w:right w:val="none" w:sz="0" w:space="0" w:color="auto"/>
      </w:divBdr>
    </w:div>
    <w:div w:id="982731307">
      <w:bodyDiv w:val="1"/>
      <w:marLeft w:val="0"/>
      <w:marRight w:val="0"/>
      <w:marTop w:val="0"/>
      <w:marBottom w:val="0"/>
      <w:divBdr>
        <w:top w:val="none" w:sz="0" w:space="0" w:color="auto"/>
        <w:left w:val="none" w:sz="0" w:space="0" w:color="auto"/>
        <w:bottom w:val="none" w:sz="0" w:space="0" w:color="auto"/>
        <w:right w:val="none" w:sz="0" w:space="0" w:color="auto"/>
      </w:divBdr>
    </w:div>
    <w:div w:id="1003123252">
      <w:bodyDiv w:val="1"/>
      <w:marLeft w:val="0"/>
      <w:marRight w:val="0"/>
      <w:marTop w:val="0"/>
      <w:marBottom w:val="0"/>
      <w:divBdr>
        <w:top w:val="none" w:sz="0" w:space="0" w:color="auto"/>
        <w:left w:val="none" w:sz="0" w:space="0" w:color="auto"/>
        <w:bottom w:val="none" w:sz="0" w:space="0" w:color="auto"/>
        <w:right w:val="none" w:sz="0" w:space="0" w:color="auto"/>
      </w:divBdr>
    </w:div>
    <w:div w:id="1006249489">
      <w:bodyDiv w:val="1"/>
      <w:marLeft w:val="0"/>
      <w:marRight w:val="0"/>
      <w:marTop w:val="0"/>
      <w:marBottom w:val="0"/>
      <w:divBdr>
        <w:top w:val="none" w:sz="0" w:space="0" w:color="auto"/>
        <w:left w:val="none" w:sz="0" w:space="0" w:color="auto"/>
        <w:bottom w:val="none" w:sz="0" w:space="0" w:color="auto"/>
        <w:right w:val="none" w:sz="0" w:space="0" w:color="auto"/>
      </w:divBdr>
    </w:div>
    <w:div w:id="1009217141">
      <w:bodyDiv w:val="1"/>
      <w:marLeft w:val="0"/>
      <w:marRight w:val="0"/>
      <w:marTop w:val="0"/>
      <w:marBottom w:val="0"/>
      <w:divBdr>
        <w:top w:val="none" w:sz="0" w:space="0" w:color="auto"/>
        <w:left w:val="none" w:sz="0" w:space="0" w:color="auto"/>
        <w:bottom w:val="none" w:sz="0" w:space="0" w:color="auto"/>
        <w:right w:val="none" w:sz="0" w:space="0" w:color="auto"/>
      </w:divBdr>
    </w:div>
    <w:div w:id="1029723993">
      <w:bodyDiv w:val="1"/>
      <w:marLeft w:val="0"/>
      <w:marRight w:val="0"/>
      <w:marTop w:val="0"/>
      <w:marBottom w:val="0"/>
      <w:divBdr>
        <w:top w:val="none" w:sz="0" w:space="0" w:color="auto"/>
        <w:left w:val="none" w:sz="0" w:space="0" w:color="auto"/>
        <w:bottom w:val="none" w:sz="0" w:space="0" w:color="auto"/>
        <w:right w:val="none" w:sz="0" w:space="0" w:color="auto"/>
      </w:divBdr>
    </w:div>
    <w:div w:id="1037193364">
      <w:bodyDiv w:val="1"/>
      <w:marLeft w:val="0"/>
      <w:marRight w:val="0"/>
      <w:marTop w:val="0"/>
      <w:marBottom w:val="0"/>
      <w:divBdr>
        <w:top w:val="none" w:sz="0" w:space="0" w:color="auto"/>
        <w:left w:val="none" w:sz="0" w:space="0" w:color="auto"/>
        <w:bottom w:val="none" w:sz="0" w:space="0" w:color="auto"/>
        <w:right w:val="none" w:sz="0" w:space="0" w:color="auto"/>
      </w:divBdr>
    </w:div>
    <w:div w:id="1041705835">
      <w:bodyDiv w:val="1"/>
      <w:marLeft w:val="0"/>
      <w:marRight w:val="0"/>
      <w:marTop w:val="0"/>
      <w:marBottom w:val="0"/>
      <w:divBdr>
        <w:top w:val="none" w:sz="0" w:space="0" w:color="auto"/>
        <w:left w:val="none" w:sz="0" w:space="0" w:color="auto"/>
        <w:bottom w:val="none" w:sz="0" w:space="0" w:color="auto"/>
        <w:right w:val="none" w:sz="0" w:space="0" w:color="auto"/>
      </w:divBdr>
    </w:div>
    <w:div w:id="1043291766">
      <w:bodyDiv w:val="1"/>
      <w:marLeft w:val="0"/>
      <w:marRight w:val="0"/>
      <w:marTop w:val="0"/>
      <w:marBottom w:val="0"/>
      <w:divBdr>
        <w:top w:val="none" w:sz="0" w:space="0" w:color="auto"/>
        <w:left w:val="none" w:sz="0" w:space="0" w:color="auto"/>
        <w:bottom w:val="none" w:sz="0" w:space="0" w:color="auto"/>
        <w:right w:val="none" w:sz="0" w:space="0" w:color="auto"/>
      </w:divBdr>
    </w:div>
    <w:div w:id="1062557393">
      <w:bodyDiv w:val="1"/>
      <w:marLeft w:val="0"/>
      <w:marRight w:val="0"/>
      <w:marTop w:val="0"/>
      <w:marBottom w:val="0"/>
      <w:divBdr>
        <w:top w:val="none" w:sz="0" w:space="0" w:color="auto"/>
        <w:left w:val="none" w:sz="0" w:space="0" w:color="auto"/>
        <w:bottom w:val="none" w:sz="0" w:space="0" w:color="auto"/>
        <w:right w:val="none" w:sz="0" w:space="0" w:color="auto"/>
      </w:divBdr>
    </w:div>
    <w:div w:id="1066030722">
      <w:bodyDiv w:val="1"/>
      <w:marLeft w:val="0"/>
      <w:marRight w:val="0"/>
      <w:marTop w:val="0"/>
      <w:marBottom w:val="0"/>
      <w:divBdr>
        <w:top w:val="none" w:sz="0" w:space="0" w:color="auto"/>
        <w:left w:val="none" w:sz="0" w:space="0" w:color="auto"/>
        <w:bottom w:val="none" w:sz="0" w:space="0" w:color="auto"/>
        <w:right w:val="none" w:sz="0" w:space="0" w:color="auto"/>
      </w:divBdr>
    </w:div>
    <w:div w:id="1070155745">
      <w:bodyDiv w:val="1"/>
      <w:marLeft w:val="0"/>
      <w:marRight w:val="0"/>
      <w:marTop w:val="0"/>
      <w:marBottom w:val="0"/>
      <w:divBdr>
        <w:top w:val="none" w:sz="0" w:space="0" w:color="auto"/>
        <w:left w:val="none" w:sz="0" w:space="0" w:color="auto"/>
        <w:bottom w:val="none" w:sz="0" w:space="0" w:color="auto"/>
        <w:right w:val="none" w:sz="0" w:space="0" w:color="auto"/>
      </w:divBdr>
    </w:div>
    <w:div w:id="1071998060">
      <w:bodyDiv w:val="1"/>
      <w:marLeft w:val="0"/>
      <w:marRight w:val="0"/>
      <w:marTop w:val="0"/>
      <w:marBottom w:val="0"/>
      <w:divBdr>
        <w:top w:val="none" w:sz="0" w:space="0" w:color="auto"/>
        <w:left w:val="none" w:sz="0" w:space="0" w:color="auto"/>
        <w:bottom w:val="none" w:sz="0" w:space="0" w:color="auto"/>
        <w:right w:val="none" w:sz="0" w:space="0" w:color="auto"/>
      </w:divBdr>
    </w:div>
    <w:div w:id="1078215717">
      <w:bodyDiv w:val="1"/>
      <w:marLeft w:val="0"/>
      <w:marRight w:val="0"/>
      <w:marTop w:val="0"/>
      <w:marBottom w:val="0"/>
      <w:divBdr>
        <w:top w:val="none" w:sz="0" w:space="0" w:color="auto"/>
        <w:left w:val="none" w:sz="0" w:space="0" w:color="auto"/>
        <w:bottom w:val="none" w:sz="0" w:space="0" w:color="auto"/>
        <w:right w:val="none" w:sz="0" w:space="0" w:color="auto"/>
      </w:divBdr>
    </w:div>
    <w:div w:id="1085228586">
      <w:bodyDiv w:val="1"/>
      <w:marLeft w:val="0"/>
      <w:marRight w:val="0"/>
      <w:marTop w:val="0"/>
      <w:marBottom w:val="0"/>
      <w:divBdr>
        <w:top w:val="none" w:sz="0" w:space="0" w:color="auto"/>
        <w:left w:val="none" w:sz="0" w:space="0" w:color="auto"/>
        <w:bottom w:val="none" w:sz="0" w:space="0" w:color="auto"/>
        <w:right w:val="none" w:sz="0" w:space="0" w:color="auto"/>
      </w:divBdr>
    </w:div>
    <w:div w:id="1089742141">
      <w:bodyDiv w:val="1"/>
      <w:marLeft w:val="0"/>
      <w:marRight w:val="0"/>
      <w:marTop w:val="0"/>
      <w:marBottom w:val="0"/>
      <w:divBdr>
        <w:top w:val="none" w:sz="0" w:space="0" w:color="auto"/>
        <w:left w:val="none" w:sz="0" w:space="0" w:color="auto"/>
        <w:bottom w:val="none" w:sz="0" w:space="0" w:color="auto"/>
        <w:right w:val="none" w:sz="0" w:space="0" w:color="auto"/>
      </w:divBdr>
    </w:div>
    <w:div w:id="1095977639">
      <w:bodyDiv w:val="1"/>
      <w:marLeft w:val="0"/>
      <w:marRight w:val="0"/>
      <w:marTop w:val="0"/>
      <w:marBottom w:val="0"/>
      <w:divBdr>
        <w:top w:val="none" w:sz="0" w:space="0" w:color="auto"/>
        <w:left w:val="none" w:sz="0" w:space="0" w:color="auto"/>
        <w:bottom w:val="none" w:sz="0" w:space="0" w:color="auto"/>
        <w:right w:val="none" w:sz="0" w:space="0" w:color="auto"/>
      </w:divBdr>
    </w:div>
    <w:div w:id="1100180912">
      <w:bodyDiv w:val="1"/>
      <w:marLeft w:val="0"/>
      <w:marRight w:val="0"/>
      <w:marTop w:val="0"/>
      <w:marBottom w:val="0"/>
      <w:divBdr>
        <w:top w:val="none" w:sz="0" w:space="0" w:color="auto"/>
        <w:left w:val="none" w:sz="0" w:space="0" w:color="auto"/>
        <w:bottom w:val="none" w:sz="0" w:space="0" w:color="auto"/>
        <w:right w:val="none" w:sz="0" w:space="0" w:color="auto"/>
      </w:divBdr>
    </w:div>
    <w:div w:id="1100565715">
      <w:bodyDiv w:val="1"/>
      <w:marLeft w:val="0"/>
      <w:marRight w:val="0"/>
      <w:marTop w:val="0"/>
      <w:marBottom w:val="0"/>
      <w:divBdr>
        <w:top w:val="none" w:sz="0" w:space="0" w:color="auto"/>
        <w:left w:val="none" w:sz="0" w:space="0" w:color="auto"/>
        <w:bottom w:val="none" w:sz="0" w:space="0" w:color="auto"/>
        <w:right w:val="none" w:sz="0" w:space="0" w:color="auto"/>
      </w:divBdr>
    </w:div>
    <w:div w:id="1106652573">
      <w:bodyDiv w:val="1"/>
      <w:marLeft w:val="0"/>
      <w:marRight w:val="0"/>
      <w:marTop w:val="0"/>
      <w:marBottom w:val="0"/>
      <w:divBdr>
        <w:top w:val="none" w:sz="0" w:space="0" w:color="auto"/>
        <w:left w:val="none" w:sz="0" w:space="0" w:color="auto"/>
        <w:bottom w:val="none" w:sz="0" w:space="0" w:color="auto"/>
        <w:right w:val="none" w:sz="0" w:space="0" w:color="auto"/>
      </w:divBdr>
    </w:div>
    <w:div w:id="1119227040">
      <w:bodyDiv w:val="1"/>
      <w:marLeft w:val="0"/>
      <w:marRight w:val="0"/>
      <w:marTop w:val="0"/>
      <w:marBottom w:val="0"/>
      <w:divBdr>
        <w:top w:val="none" w:sz="0" w:space="0" w:color="auto"/>
        <w:left w:val="none" w:sz="0" w:space="0" w:color="auto"/>
        <w:bottom w:val="none" w:sz="0" w:space="0" w:color="auto"/>
        <w:right w:val="none" w:sz="0" w:space="0" w:color="auto"/>
      </w:divBdr>
    </w:div>
    <w:div w:id="1125585018">
      <w:bodyDiv w:val="1"/>
      <w:marLeft w:val="0"/>
      <w:marRight w:val="0"/>
      <w:marTop w:val="0"/>
      <w:marBottom w:val="0"/>
      <w:divBdr>
        <w:top w:val="none" w:sz="0" w:space="0" w:color="auto"/>
        <w:left w:val="none" w:sz="0" w:space="0" w:color="auto"/>
        <w:bottom w:val="none" w:sz="0" w:space="0" w:color="auto"/>
        <w:right w:val="none" w:sz="0" w:space="0" w:color="auto"/>
      </w:divBdr>
    </w:div>
    <w:div w:id="1125926964">
      <w:bodyDiv w:val="1"/>
      <w:marLeft w:val="0"/>
      <w:marRight w:val="0"/>
      <w:marTop w:val="0"/>
      <w:marBottom w:val="0"/>
      <w:divBdr>
        <w:top w:val="none" w:sz="0" w:space="0" w:color="auto"/>
        <w:left w:val="none" w:sz="0" w:space="0" w:color="auto"/>
        <w:bottom w:val="none" w:sz="0" w:space="0" w:color="auto"/>
        <w:right w:val="none" w:sz="0" w:space="0" w:color="auto"/>
      </w:divBdr>
    </w:div>
    <w:div w:id="1129468220">
      <w:bodyDiv w:val="1"/>
      <w:marLeft w:val="0"/>
      <w:marRight w:val="0"/>
      <w:marTop w:val="0"/>
      <w:marBottom w:val="0"/>
      <w:divBdr>
        <w:top w:val="none" w:sz="0" w:space="0" w:color="auto"/>
        <w:left w:val="none" w:sz="0" w:space="0" w:color="auto"/>
        <w:bottom w:val="none" w:sz="0" w:space="0" w:color="auto"/>
        <w:right w:val="none" w:sz="0" w:space="0" w:color="auto"/>
      </w:divBdr>
    </w:div>
    <w:div w:id="1131165252">
      <w:bodyDiv w:val="1"/>
      <w:marLeft w:val="0"/>
      <w:marRight w:val="0"/>
      <w:marTop w:val="0"/>
      <w:marBottom w:val="0"/>
      <w:divBdr>
        <w:top w:val="none" w:sz="0" w:space="0" w:color="auto"/>
        <w:left w:val="none" w:sz="0" w:space="0" w:color="auto"/>
        <w:bottom w:val="none" w:sz="0" w:space="0" w:color="auto"/>
        <w:right w:val="none" w:sz="0" w:space="0" w:color="auto"/>
      </w:divBdr>
    </w:div>
    <w:div w:id="1139423376">
      <w:bodyDiv w:val="1"/>
      <w:marLeft w:val="0"/>
      <w:marRight w:val="0"/>
      <w:marTop w:val="0"/>
      <w:marBottom w:val="0"/>
      <w:divBdr>
        <w:top w:val="none" w:sz="0" w:space="0" w:color="auto"/>
        <w:left w:val="none" w:sz="0" w:space="0" w:color="auto"/>
        <w:bottom w:val="none" w:sz="0" w:space="0" w:color="auto"/>
        <w:right w:val="none" w:sz="0" w:space="0" w:color="auto"/>
      </w:divBdr>
    </w:div>
    <w:div w:id="1140536646">
      <w:bodyDiv w:val="1"/>
      <w:marLeft w:val="0"/>
      <w:marRight w:val="0"/>
      <w:marTop w:val="0"/>
      <w:marBottom w:val="0"/>
      <w:divBdr>
        <w:top w:val="none" w:sz="0" w:space="0" w:color="auto"/>
        <w:left w:val="none" w:sz="0" w:space="0" w:color="auto"/>
        <w:bottom w:val="none" w:sz="0" w:space="0" w:color="auto"/>
        <w:right w:val="none" w:sz="0" w:space="0" w:color="auto"/>
      </w:divBdr>
    </w:div>
    <w:div w:id="1149974690">
      <w:bodyDiv w:val="1"/>
      <w:marLeft w:val="0"/>
      <w:marRight w:val="0"/>
      <w:marTop w:val="0"/>
      <w:marBottom w:val="0"/>
      <w:divBdr>
        <w:top w:val="none" w:sz="0" w:space="0" w:color="auto"/>
        <w:left w:val="none" w:sz="0" w:space="0" w:color="auto"/>
        <w:bottom w:val="none" w:sz="0" w:space="0" w:color="auto"/>
        <w:right w:val="none" w:sz="0" w:space="0" w:color="auto"/>
      </w:divBdr>
    </w:div>
    <w:div w:id="1162431053">
      <w:bodyDiv w:val="1"/>
      <w:marLeft w:val="0"/>
      <w:marRight w:val="0"/>
      <w:marTop w:val="0"/>
      <w:marBottom w:val="0"/>
      <w:divBdr>
        <w:top w:val="none" w:sz="0" w:space="0" w:color="auto"/>
        <w:left w:val="none" w:sz="0" w:space="0" w:color="auto"/>
        <w:bottom w:val="none" w:sz="0" w:space="0" w:color="auto"/>
        <w:right w:val="none" w:sz="0" w:space="0" w:color="auto"/>
      </w:divBdr>
    </w:div>
    <w:div w:id="1163886555">
      <w:bodyDiv w:val="1"/>
      <w:marLeft w:val="0"/>
      <w:marRight w:val="0"/>
      <w:marTop w:val="0"/>
      <w:marBottom w:val="0"/>
      <w:divBdr>
        <w:top w:val="none" w:sz="0" w:space="0" w:color="auto"/>
        <w:left w:val="none" w:sz="0" w:space="0" w:color="auto"/>
        <w:bottom w:val="none" w:sz="0" w:space="0" w:color="auto"/>
        <w:right w:val="none" w:sz="0" w:space="0" w:color="auto"/>
      </w:divBdr>
    </w:div>
    <w:div w:id="1168718052">
      <w:bodyDiv w:val="1"/>
      <w:marLeft w:val="0"/>
      <w:marRight w:val="0"/>
      <w:marTop w:val="0"/>
      <w:marBottom w:val="0"/>
      <w:divBdr>
        <w:top w:val="none" w:sz="0" w:space="0" w:color="auto"/>
        <w:left w:val="none" w:sz="0" w:space="0" w:color="auto"/>
        <w:bottom w:val="none" w:sz="0" w:space="0" w:color="auto"/>
        <w:right w:val="none" w:sz="0" w:space="0" w:color="auto"/>
      </w:divBdr>
    </w:div>
    <w:div w:id="1169441647">
      <w:bodyDiv w:val="1"/>
      <w:marLeft w:val="0"/>
      <w:marRight w:val="0"/>
      <w:marTop w:val="0"/>
      <w:marBottom w:val="0"/>
      <w:divBdr>
        <w:top w:val="none" w:sz="0" w:space="0" w:color="auto"/>
        <w:left w:val="none" w:sz="0" w:space="0" w:color="auto"/>
        <w:bottom w:val="none" w:sz="0" w:space="0" w:color="auto"/>
        <w:right w:val="none" w:sz="0" w:space="0" w:color="auto"/>
      </w:divBdr>
    </w:div>
    <w:div w:id="1172835427">
      <w:bodyDiv w:val="1"/>
      <w:marLeft w:val="0"/>
      <w:marRight w:val="0"/>
      <w:marTop w:val="0"/>
      <w:marBottom w:val="0"/>
      <w:divBdr>
        <w:top w:val="none" w:sz="0" w:space="0" w:color="auto"/>
        <w:left w:val="none" w:sz="0" w:space="0" w:color="auto"/>
        <w:bottom w:val="none" w:sz="0" w:space="0" w:color="auto"/>
        <w:right w:val="none" w:sz="0" w:space="0" w:color="auto"/>
      </w:divBdr>
    </w:div>
    <w:div w:id="1175265338">
      <w:bodyDiv w:val="1"/>
      <w:marLeft w:val="0"/>
      <w:marRight w:val="0"/>
      <w:marTop w:val="0"/>
      <w:marBottom w:val="0"/>
      <w:divBdr>
        <w:top w:val="none" w:sz="0" w:space="0" w:color="auto"/>
        <w:left w:val="none" w:sz="0" w:space="0" w:color="auto"/>
        <w:bottom w:val="none" w:sz="0" w:space="0" w:color="auto"/>
        <w:right w:val="none" w:sz="0" w:space="0" w:color="auto"/>
      </w:divBdr>
    </w:div>
    <w:div w:id="1179661069">
      <w:bodyDiv w:val="1"/>
      <w:marLeft w:val="0"/>
      <w:marRight w:val="0"/>
      <w:marTop w:val="0"/>
      <w:marBottom w:val="0"/>
      <w:divBdr>
        <w:top w:val="none" w:sz="0" w:space="0" w:color="auto"/>
        <w:left w:val="none" w:sz="0" w:space="0" w:color="auto"/>
        <w:bottom w:val="none" w:sz="0" w:space="0" w:color="auto"/>
        <w:right w:val="none" w:sz="0" w:space="0" w:color="auto"/>
      </w:divBdr>
    </w:div>
    <w:div w:id="1181286547">
      <w:bodyDiv w:val="1"/>
      <w:marLeft w:val="0"/>
      <w:marRight w:val="0"/>
      <w:marTop w:val="0"/>
      <w:marBottom w:val="0"/>
      <w:divBdr>
        <w:top w:val="none" w:sz="0" w:space="0" w:color="auto"/>
        <w:left w:val="none" w:sz="0" w:space="0" w:color="auto"/>
        <w:bottom w:val="none" w:sz="0" w:space="0" w:color="auto"/>
        <w:right w:val="none" w:sz="0" w:space="0" w:color="auto"/>
      </w:divBdr>
    </w:div>
    <w:div w:id="1184131590">
      <w:bodyDiv w:val="1"/>
      <w:marLeft w:val="0"/>
      <w:marRight w:val="0"/>
      <w:marTop w:val="0"/>
      <w:marBottom w:val="0"/>
      <w:divBdr>
        <w:top w:val="none" w:sz="0" w:space="0" w:color="auto"/>
        <w:left w:val="none" w:sz="0" w:space="0" w:color="auto"/>
        <w:bottom w:val="none" w:sz="0" w:space="0" w:color="auto"/>
        <w:right w:val="none" w:sz="0" w:space="0" w:color="auto"/>
      </w:divBdr>
    </w:div>
    <w:div w:id="1185630230">
      <w:bodyDiv w:val="1"/>
      <w:marLeft w:val="0"/>
      <w:marRight w:val="0"/>
      <w:marTop w:val="0"/>
      <w:marBottom w:val="0"/>
      <w:divBdr>
        <w:top w:val="none" w:sz="0" w:space="0" w:color="auto"/>
        <w:left w:val="none" w:sz="0" w:space="0" w:color="auto"/>
        <w:bottom w:val="none" w:sz="0" w:space="0" w:color="auto"/>
        <w:right w:val="none" w:sz="0" w:space="0" w:color="auto"/>
      </w:divBdr>
    </w:div>
    <w:div w:id="1190291343">
      <w:bodyDiv w:val="1"/>
      <w:marLeft w:val="0"/>
      <w:marRight w:val="0"/>
      <w:marTop w:val="0"/>
      <w:marBottom w:val="0"/>
      <w:divBdr>
        <w:top w:val="none" w:sz="0" w:space="0" w:color="auto"/>
        <w:left w:val="none" w:sz="0" w:space="0" w:color="auto"/>
        <w:bottom w:val="none" w:sz="0" w:space="0" w:color="auto"/>
        <w:right w:val="none" w:sz="0" w:space="0" w:color="auto"/>
      </w:divBdr>
    </w:div>
    <w:div w:id="1197230681">
      <w:bodyDiv w:val="1"/>
      <w:marLeft w:val="0"/>
      <w:marRight w:val="0"/>
      <w:marTop w:val="0"/>
      <w:marBottom w:val="0"/>
      <w:divBdr>
        <w:top w:val="none" w:sz="0" w:space="0" w:color="auto"/>
        <w:left w:val="none" w:sz="0" w:space="0" w:color="auto"/>
        <w:bottom w:val="none" w:sz="0" w:space="0" w:color="auto"/>
        <w:right w:val="none" w:sz="0" w:space="0" w:color="auto"/>
      </w:divBdr>
    </w:div>
    <w:div w:id="1199666719">
      <w:bodyDiv w:val="1"/>
      <w:marLeft w:val="0"/>
      <w:marRight w:val="0"/>
      <w:marTop w:val="0"/>
      <w:marBottom w:val="0"/>
      <w:divBdr>
        <w:top w:val="none" w:sz="0" w:space="0" w:color="auto"/>
        <w:left w:val="none" w:sz="0" w:space="0" w:color="auto"/>
        <w:bottom w:val="none" w:sz="0" w:space="0" w:color="auto"/>
        <w:right w:val="none" w:sz="0" w:space="0" w:color="auto"/>
      </w:divBdr>
    </w:div>
    <w:div w:id="1201669429">
      <w:bodyDiv w:val="1"/>
      <w:marLeft w:val="0"/>
      <w:marRight w:val="0"/>
      <w:marTop w:val="0"/>
      <w:marBottom w:val="0"/>
      <w:divBdr>
        <w:top w:val="none" w:sz="0" w:space="0" w:color="auto"/>
        <w:left w:val="none" w:sz="0" w:space="0" w:color="auto"/>
        <w:bottom w:val="none" w:sz="0" w:space="0" w:color="auto"/>
        <w:right w:val="none" w:sz="0" w:space="0" w:color="auto"/>
      </w:divBdr>
    </w:div>
    <w:div w:id="1204635403">
      <w:bodyDiv w:val="1"/>
      <w:marLeft w:val="0"/>
      <w:marRight w:val="0"/>
      <w:marTop w:val="0"/>
      <w:marBottom w:val="0"/>
      <w:divBdr>
        <w:top w:val="none" w:sz="0" w:space="0" w:color="auto"/>
        <w:left w:val="none" w:sz="0" w:space="0" w:color="auto"/>
        <w:bottom w:val="none" w:sz="0" w:space="0" w:color="auto"/>
        <w:right w:val="none" w:sz="0" w:space="0" w:color="auto"/>
      </w:divBdr>
    </w:div>
    <w:div w:id="1212350798">
      <w:bodyDiv w:val="1"/>
      <w:marLeft w:val="0"/>
      <w:marRight w:val="0"/>
      <w:marTop w:val="0"/>
      <w:marBottom w:val="0"/>
      <w:divBdr>
        <w:top w:val="none" w:sz="0" w:space="0" w:color="auto"/>
        <w:left w:val="none" w:sz="0" w:space="0" w:color="auto"/>
        <w:bottom w:val="none" w:sz="0" w:space="0" w:color="auto"/>
        <w:right w:val="none" w:sz="0" w:space="0" w:color="auto"/>
      </w:divBdr>
    </w:div>
    <w:div w:id="1214585920">
      <w:bodyDiv w:val="1"/>
      <w:marLeft w:val="0"/>
      <w:marRight w:val="0"/>
      <w:marTop w:val="0"/>
      <w:marBottom w:val="0"/>
      <w:divBdr>
        <w:top w:val="none" w:sz="0" w:space="0" w:color="auto"/>
        <w:left w:val="none" w:sz="0" w:space="0" w:color="auto"/>
        <w:bottom w:val="none" w:sz="0" w:space="0" w:color="auto"/>
        <w:right w:val="none" w:sz="0" w:space="0" w:color="auto"/>
      </w:divBdr>
    </w:div>
    <w:div w:id="1221018202">
      <w:bodyDiv w:val="1"/>
      <w:marLeft w:val="0"/>
      <w:marRight w:val="0"/>
      <w:marTop w:val="0"/>
      <w:marBottom w:val="0"/>
      <w:divBdr>
        <w:top w:val="none" w:sz="0" w:space="0" w:color="auto"/>
        <w:left w:val="none" w:sz="0" w:space="0" w:color="auto"/>
        <w:bottom w:val="none" w:sz="0" w:space="0" w:color="auto"/>
        <w:right w:val="none" w:sz="0" w:space="0" w:color="auto"/>
      </w:divBdr>
    </w:div>
    <w:div w:id="1231303652">
      <w:bodyDiv w:val="1"/>
      <w:marLeft w:val="0"/>
      <w:marRight w:val="0"/>
      <w:marTop w:val="0"/>
      <w:marBottom w:val="0"/>
      <w:divBdr>
        <w:top w:val="none" w:sz="0" w:space="0" w:color="auto"/>
        <w:left w:val="none" w:sz="0" w:space="0" w:color="auto"/>
        <w:bottom w:val="none" w:sz="0" w:space="0" w:color="auto"/>
        <w:right w:val="none" w:sz="0" w:space="0" w:color="auto"/>
      </w:divBdr>
    </w:div>
    <w:div w:id="1232034421">
      <w:bodyDiv w:val="1"/>
      <w:marLeft w:val="0"/>
      <w:marRight w:val="0"/>
      <w:marTop w:val="0"/>
      <w:marBottom w:val="0"/>
      <w:divBdr>
        <w:top w:val="none" w:sz="0" w:space="0" w:color="auto"/>
        <w:left w:val="none" w:sz="0" w:space="0" w:color="auto"/>
        <w:bottom w:val="none" w:sz="0" w:space="0" w:color="auto"/>
        <w:right w:val="none" w:sz="0" w:space="0" w:color="auto"/>
      </w:divBdr>
    </w:div>
    <w:div w:id="1234730468">
      <w:bodyDiv w:val="1"/>
      <w:marLeft w:val="0"/>
      <w:marRight w:val="0"/>
      <w:marTop w:val="0"/>
      <w:marBottom w:val="0"/>
      <w:divBdr>
        <w:top w:val="none" w:sz="0" w:space="0" w:color="auto"/>
        <w:left w:val="none" w:sz="0" w:space="0" w:color="auto"/>
        <w:bottom w:val="none" w:sz="0" w:space="0" w:color="auto"/>
        <w:right w:val="none" w:sz="0" w:space="0" w:color="auto"/>
      </w:divBdr>
    </w:div>
    <w:div w:id="1237856418">
      <w:bodyDiv w:val="1"/>
      <w:marLeft w:val="0"/>
      <w:marRight w:val="0"/>
      <w:marTop w:val="0"/>
      <w:marBottom w:val="0"/>
      <w:divBdr>
        <w:top w:val="none" w:sz="0" w:space="0" w:color="auto"/>
        <w:left w:val="none" w:sz="0" w:space="0" w:color="auto"/>
        <w:bottom w:val="none" w:sz="0" w:space="0" w:color="auto"/>
        <w:right w:val="none" w:sz="0" w:space="0" w:color="auto"/>
      </w:divBdr>
    </w:div>
    <w:div w:id="1250505160">
      <w:bodyDiv w:val="1"/>
      <w:marLeft w:val="0"/>
      <w:marRight w:val="0"/>
      <w:marTop w:val="0"/>
      <w:marBottom w:val="0"/>
      <w:divBdr>
        <w:top w:val="none" w:sz="0" w:space="0" w:color="auto"/>
        <w:left w:val="none" w:sz="0" w:space="0" w:color="auto"/>
        <w:bottom w:val="none" w:sz="0" w:space="0" w:color="auto"/>
        <w:right w:val="none" w:sz="0" w:space="0" w:color="auto"/>
      </w:divBdr>
    </w:div>
    <w:div w:id="1260062724">
      <w:bodyDiv w:val="1"/>
      <w:marLeft w:val="0"/>
      <w:marRight w:val="0"/>
      <w:marTop w:val="0"/>
      <w:marBottom w:val="0"/>
      <w:divBdr>
        <w:top w:val="none" w:sz="0" w:space="0" w:color="auto"/>
        <w:left w:val="none" w:sz="0" w:space="0" w:color="auto"/>
        <w:bottom w:val="none" w:sz="0" w:space="0" w:color="auto"/>
        <w:right w:val="none" w:sz="0" w:space="0" w:color="auto"/>
      </w:divBdr>
    </w:div>
    <w:div w:id="1263104082">
      <w:bodyDiv w:val="1"/>
      <w:marLeft w:val="0"/>
      <w:marRight w:val="0"/>
      <w:marTop w:val="0"/>
      <w:marBottom w:val="0"/>
      <w:divBdr>
        <w:top w:val="none" w:sz="0" w:space="0" w:color="auto"/>
        <w:left w:val="none" w:sz="0" w:space="0" w:color="auto"/>
        <w:bottom w:val="none" w:sz="0" w:space="0" w:color="auto"/>
        <w:right w:val="none" w:sz="0" w:space="0" w:color="auto"/>
      </w:divBdr>
    </w:div>
    <w:div w:id="1264069972">
      <w:bodyDiv w:val="1"/>
      <w:marLeft w:val="0"/>
      <w:marRight w:val="0"/>
      <w:marTop w:val="0"/>
      <w:marBottom w:val="0"/>
      <w:divBdr>
        <w:top w:val="none" w:sz="0" w:space="0" w:color="auto"/>
        <w:left w:val="none" w:sz="0" w:space="0" w:color="auto"/>
        <w:bottom w:val="none" w:sz="0" w:space="0" w:color="auto"/>
        <w:right w:val="none" w:sz="0" w:space="0" w:color="auto"/>
      </w:divBdr>
    </w:div>
    <w:div w:id="1267271119">
      <w:bodyDiv w:val="1"/>
      <w:marLeft w:val="0"/>
      <w:marRight w:val="0"/>
      <w:marTop w:val="0"/>
      <w:marBottom w:val="0"/>
      <w:divBdr>
        <w:top w:val="none" w:sz="0" w:space="0" w:color="auto"/>
        <w:left w:val="none" w:sz="0" w:space="0" w:color="auto"/>
        <w:bottom w:val="none" w:sz="0" w:space="0" w:color="auto"/>
        <w:right w:val="none" w:sz="0" w:space="0" w:color="auto"/>
      </w:divBdr>
    </w:div>
    <w:div w:id="1268271620">
      <w:bodyDiv w:val="1"/>
      <w:marLeft w:val="0"/>
      <w:marRight w:val="0"/>
      <w:marTop w:val="0"/>
      <w:marBottom w:val="0"/>
      <w:divBdr>
        <w:top w:val="none" w:sz="0" w:space="0" w:color="auto"/>
        <w:left w:val="none" w:sz="0" w:space="0" w:color="auto"/>
        <w:bottom w:val="none" w:sz="0" w:space="0" w:color="auto"/>
        <w:right w:val="none" w:sz="0" w:space="0" w:color="auto"/>
      </w:divBdr>
    </w:div>
    <w:div w:id="1270552942">
      <w:bodyDiv w:val="1"/>
      <w:marLeft w:val="0"/>
      <w:marRight w:val="0"/>
      <w:marTop w:val="0"/>
      <w:marBottom w:val="0"/>
      <w:divBdr>
        <w:top w:val="none" w:sz="0" w:space="0" w:color="auto"/>
        <w:left w:val="none" w:sz="0" w:space="0" w:color="auto"/>
        <w:bottom w:val="none" w:sz="0" w:space="0" w:color="auto"/>
        <w:right w:val="none" w:sz="0" w:space="0" w:color="auto"/>
      </w:divBdr>
    </w:div>
    <w:div w:id="1277643229">
      <w:bodyDiv w:val="1"/>
      <w:marLeft w:val="0"/>
      <w:marRight w:val="0"/>
      <w:marTop w:val="0"/>
      <w:marBottom w:val="0"/>
      <w:divBdr>
        <w:top w:val="none" w:sz="0" w:space="0" w:color="auto"/>
        <w:left w:val="none" w:sz="0" w:space="0" w:color="auto"/>
        <w:bottom w:val="none" w:sz="0" w:space="0" w:color="auto"/>
        <w:right w:val="none" w:sz="0" w:space="0" w:color="auto"/>
      </w:divBdr>
    </w:div>
    <w:div w:id="1282763232">
      <w:bodyDiv w:val="1"/>
      <w:marLeft w:val="0"/>
      <w:marRight w:val="0"/>
      <w:marTop w:val="0"/>
      <w:marBottom w:val="0"/>
      <w:divBdr>
        <w:top w:val="none" w:sz="0" w:space="0" w:color="auto"/>
        <w:left w:val="none" w:sz="0" w:space="0" w:color="auto"/>
        <w:bottom w:val="none" w:sz="0" w:space="0" w:color="auto"/>
        <w:right w:val="none" w:sz="0" w:space="0" w:color="auto"/>
      </w:divBdr>
    </w:div>
    <w:div w:id="1285044785">
      <w:bodyDiv w:val="1"/>
      <w:marLeft w:val="0"/>
      <w:marRight w:val="0"/>
      <w:marTop w:val="0"/>
      <w:marBottom w:val="0"/>
      <w:divBdr>
        <w:top w:val="none" w:sz="0" w:space="0" w:color="auto"/>
        <w:left w:val="none" w:sz="0" w:space="0" w:color="auto"/>
        <w:bottom w:val="none" w:sz="0" w:space="0" w:color="auto"/>
        <w:right w:val="none" w:sz="0" w:space="0" w:color="auto"/>
      </w:divBdr>
    </w:div>
    <w:div w:id="1290739711">
      <w:bodyDiv w:val="1"/>
      <w:marLeft w:val="0"/>
      <w:marRight w:val="0"/>
      <w:marTop w:val="0"/>
      <w:marBottom w:val="0"/>
      <w:divBdr>
        <w:top w:val="none" w:sz="0" w:space="0" w:color="auto"/>
        <w:left w:val="none" w:sz="0" w:space="0" w:color="auto"/>
        <w:bottom w:val="none" w:sz="0" w:space="0" w:color="auto"/>
        <w:right w:val="none" w:sz="0" w:space="0" w:color="auto"/>
      </w:divBdr>
    </w:div>
    <w:div w:id="1291276922">
      <w:bodyDiv w:val="1"/>
      <w:marLeft w:val="0"/>
      <w:marRight w:val="0"/>
      <w:marTop w:val="0"/>
      <w:marBottom w:val="0"/>
      <w:divBdr>
        <w:top w:val="none" w:sz="0" w:space="0" w:color="auto"/>
        <w:left w:val="none" w:sz="0" w:space="0" w:color="auto"/>
        <w:bottom w:val="none" w:sz="0" w:space="0" w:color="auto"/>
        <w:right w:val="none" w:sz="0" w:space="0" w:color="auto"/>
      </w:divBdr>
    </w:div>
    <w:div w:id="1299069518">
      <w:bodyDiv w:val="1"/>
      <w:marLeft w:val="0"/>
      <w:marRight w:val="0"/>
      <w:marTop w:val="0"/>
      <w:marBottom w:val="0"/>
      <w:divBdr>
        <w:top w:val="none" w:sz="0" w:space="0" w:color="auto"/>
        <w:left w:val="none" w:sz="0" w:space="0" w:color="auto"/>
        <w:bottom w:val="none" w:sz="0" w:space="0" w:color="auto"/>
        <w:right w:val="none" w:sz="0" w:space="0" w:color="auto"/>
      </w:divBdr>
    </w:div>
    <w:div w:id="1299536319">
      <w:bodyDiv w:val="1"/>
      <w:marLeft w:val="0"/>
      <w:marRight w:val="0"/>
      <w:marTop w:val="0"/>
      <w:marBottom w:val="0"/>
      <w:divBdr>
        <w:top w:val="none" w:sz="0" w:space="0" w:color="auto"/>
        <w:left w:val="none" w:sz="0" w:space="0" w:color="auto"/>
        <w:bottom w:val="none" w:sz="0" w:space="0" w:color="auto"/>
        <w:right w:val="none" w:sz="0" w:space="0" w:color="auto"/>
      </w:divBdr>
    </w:div>
    <w:div w:id="1302924791">
      <w:bodyDiv w:val="1"/>
      <w:marLeft w:val="0"/>
      <w:marRight w:val="0"/>
      <w:marTop w:val="0"/>
      <w:marBottom w:val="0"/>
      <w:divBdr>
        <w:top w:val="none" w:sz="0" w:space="0" w:color="auto"/>
        <w:left w:val="none" w:sz="0" w:space="0" w:color="auto"/>
        <w:bottom w:val="none" w:sz="0" w:space="0" w:color="auto"/>
        <w:right w:val="none" w:sz="0" w:space="0" w:color="auto"/>
      </w:divBdr>
    </w:div>
    <w:div w:id="1308245051">
      <w:bodyDiv w:val="1"/>
      <w:marLeft w:val="0"/>
      <w:marRight w:val="0"/>
      <w:marTop w:val="0"/>
      <w:marBottom w:val="0"/>
      <w:divBdr>
        <w:top w:val="none" w:sz="0" w:space="0" w:color="auto"/>
        <w:left w:val="none" w:sz="0" w:space="0" w:color="auto"/>
        <w:bottom w:val="none" w:sz="0" w:space="0" w:color="auto"/>
        <w:right w:val="none" w:sz="0" w:space="0" w:color="auto"/>
      </w:divBdr>
    </w:div>
    <w:div w:id="1312978623">
      <w:bodyDiv w:val="1"/>
      <w:marLeft w:val="0"/>
      <w:marRight w:val="0"/>
      <w:marTop w:val="0"/>
      <w:marBottom w:val="0"/>
      <w:divBdr>
        <w:top w:val="none" w:sz="0" w:space="0" w:color="auto"/>
        <w:left w:val="none" w:sz="0" w:space="0" w:color="auto"/>
        <w:bottom w:val="none" w:sz="0" w:space="0" w:color="auto"/>
        <w:right w:val="none" w:sz="0" w:space="0" w:color="auto"/>
      </w:divBdr>
    </w:div>
    <w:div w:id="1315374097">
      <w:bodyDiv w:val="1"/>
      <w:marLeft w:val="0"/>
      <w:marRight w:val="0"/>
      <w:marTop w:val="0"/>
      <w:marBottom w:val="0"/>
      <w:divBdr>
        <w:top w:val="none" w:sz="0" w:space="0" w:color="auto"/>
        <w:left w:val="none" w:sz="0" w:space="0" w:color="auto"/>
        <w:bottom w:val="none" w:sz="0" w:space="0" w:color="auto"/>
        <w:right w:val="none" w:sz="0" w:space="0" w:color="auto"/>
      </w:divBdr>
    </w:div>
    <w:div w:id="1318655230">
      <w:bodyDiv w:val="1"/>
      <w:marLeft w:val="0"/>
      <w:marRight w:val="0"/>
      <w:marTop w:val="0"/>
      <w:marBottom w:val="0"/>
      <w:divBdr>
        <w:top w:val="none" w:sz="0" w:space="0" w:color="auto"/>
        <w:left w:val="none" w:sz="0" w:space="0" w:color="auto"/>
        <w:bottom w:val="none" w:sz="0" w:space="0" w:color="auto"/>
        <w:right w:val="none" w:sz="0" w:space="0" w:color="auto"/>
      </w:divBdr>
    </w:div>
    <w:div w:id="1322929884">
      <w:bodyDiv w:val="1"/>
      <w:marLeft w:val="0"/>
      <w:marRight w:val="0"/>
      <w:marTop w:val="0"/>
      <w:marBottom w:val="0"/>
      <w:divBdr>
        <w:top w:val="none" w:sz="0" w:space="0" w:color="auto"/>
        <w:left w:val="none" w:sz="0" w:space="0" w:color="auto"/>
        <w:bottom w:val="none" w:sz="0" w:space="0" w:color="auto"/>
        <w:right w:val="none" w:sz="0" w:space="0" w:color="auto"/>
      </w:divBdr>
    </w:div>
    <w:div w:id="1326472170">
      <w:bodyDiv w:val="1"/>
      <w:marLeft w:val="0"/>
      <w:marRight w:val="0"/>
      <w:marTop w:val="0"/>
      <w:marBottom w:val="0"/>
      <w:divBdr>
        <w:top w:val="none" w:sz="0" w:space="0" w:color="auto"/>
        <w:left w:val="none" w:sz="0" w:space="0" w:color="auto"/>
        <w:bottom w:val="none" w:sz="0" w:space="0" w:color="auto"/>
        <w:right w:val="none" w:sz="0" w:space="0" w:color="auto"/>
      </w:divBdr>
    </w:div>
    <w:div w:id="1327587478">
      <w:bodyDiv w:val="1"/>
      <w:marLeft w:val="0"/>
      <w:marRight w:val="0"/>
      <w:marTop w:val="0"/>
      <w:marBottom w:val="0"/>
      <w:divBdr>
        <w:top w:val="none" w:sz="0" w:space="0" w:color="auto"/>
        <w:left w:val="none" w:sz="0" w:space="0" w:color="auto"/>
        <w:bottom w:val="none" w:sz="0" w:space="0" w:color="auto"/>
        <w:right w:val="none" w:sz="0" w:space="0" w:color="auto"/>
      </w:divBdr>
    </w:div>
    <w:div w:id="1334839436">
      <w:bodyDiv w:val="1"/>
      <w:marLeft w:val="0"/>
      <w:marRight w:val="0"/>
      <w:marTop w:val="0"/>
      <w:marBottom w:val="0"/>
      <w:divBdr>
        <w:top w:val="none" w:sz="0" w:space="0" w:color="auto"/>
        <w:left w:val="none" w:sz="0" w:space="0" w:color="auto"/>
        <w:bottom w:val="none" w:sz="0" w:space="0" w:color="auto"/>
        <w:right w:val="none" w:sz="0" w:space="0" w:color="auto"/>
      </w:divBdr>
    </w:div>
    <w:div w:id="1365717866">
      <w:bodyDiv w:val="1"/>
      <w:marLeft w:val="0"/>
      <w:marRight w:val="0"/>
      <w:marTop w:val="0"/>
      <w:marBottom w:val="0"/>
      <w:divBdr>
        <w:top w:val="none" w:sz="0" w:space="0" w:color="auto"/>
        <w:left w:val="none" w:sz="0" w:space="0" w:color="auto"/>
        <w:bottom w:val="none" w:sz="0" w:space="0" w:color="auto"/>
        <w:right w:val="none" w:sz="0" w:space="0" w:color="auto"/>
      </w:divBdr>
    </w:div>
    <w:div w:id="1368530084">
      <w:bodyDiv w:val="1"/>
      <w:marLeft w:val="0"/>
      <w:marRight w:val="0"/>
      <w:marTop w:val="0"/>
      <w:marBottom w:val="0"/>
      <w:divBdr>
        <w:top w:val="none" w:sz="0" w:space="0" w:color="auto"/>
        <w:left w:val="none" w:sz="0" w:space="0" w:color="auto"/>
        <w:bottom w:val="none" w:sz="0" w:space="0" w:color="auto"/>
        <w:right w:val="none" w:sz="0" w:space="0" w:color="auto"/>
      </w:divBdr>
    </w:div>
    <w:div w:id="1368871300">
      <w:bodyDiv w:val="1"/>
      <w:marLeft w:val="0"/>
      <w:marRight w:val="0"/>
      <w:marTop w:val="0"/>
      <w:marBottom w:val="0"/>
      <w:divBdr>
        <w:top w:val="none" w:sz="0" w:space="0" w:color="auto"/>
        <w:left w:val="none" w:sz="0" w:space="0" w:color="auto"/>
        <w:bottom w:val="none" w:sz="0" w:space="0" w:color="auto"/>
        <w:right w:val="none" w:sz="0" w:space="0" w:color="auto"/>
      </w:divBdr>
    </w:div>
    <w:div w:id="1369253822">
      <w:bodyDiv w:val="1"/>
      <w:marLeft w:val="0"/>
      <w:marRight w:val="0"/>
      <w:marTop w:val="0"/>
      <w:marBottom w:val="0"/>
      <w:divBdr>
        <w:top w:val="none" w:sz="0" w:space="0" w:color="auto"/>
        <w:left w:val="none" w:sz="0" w:space="0" w:color="auto"/>
        <w:bottom w:val="none" w:sz="0" w:space="0" w:color="auto"/>
        <w:right w:val="none" w:sz="0" w:space="0" w:color="auto"/>
      </w:divBdr>
    </w:div>
    <w:div w:id="1369917198">
      <w:bodyDiv w:val="1"/>
      <w:marLeft w:val="0"/>
      <w:marRight w:val="0"/>
      <w:marTop w:val="0"/>
      <w:marBottom w:val="0"/>
      <w:divBdr>
        <w:top w:val="none" w:sz="0" w:space="0" w:color="auto"/>
        <w:left w:val="none" w:sz="0" w:space="0" w:color="auto"/>
        <w:bottom w:val="none" w:sz="0" w:space="0" w:color="auto"/>
        <w:right w:val="none" w:sz="0" w:space="0" w:color="auto"/>
      </w:divBdr>
    </w:div>
    <w:div w:id="1372725906">
      <w:bodyDiv w:val="1"/>
      <w:marLeft w:val="0"/>
      <w:marRight w:val="0"/>
      <w:marTop w:val="0"/>
      <w:marBottom w:val="0"/>
      <w:divBdr>
        <w:top w:val="none" w:sz="0" w:space="0" w:color="auto"/>
        <w:left w:val="none" w:sz="0" w:space="0" w:color="auto"/>
        <w:bottom w:val="none" w:sz="0" w:space="0" w:color="auto"/>
        <w:right w:val="none" w:sz="0" w:space="0" w:color="auto"/>
      </w:divBdr>
    </w:div>
    <w:div w:id="1377852559">
      <w:bodyDiv w:val="1"/>
      <w:marLeft w:val="0"/>
      <w:marRight w:val="0"/>
      <w:marTop w:val="0"/>
      <w:marBottom w:val="0"/>
      <w:divBdr>
        <w:top w:val="none" w:sz="0" w:space="0" w:color="auto"/>
        <w:left w:val="none" w:sz="0" w:space="0" w:color="auto"/>
        <w:bottom w:val="none" w:sz="0" w:space="0" w:color="auto"/>
        <w:right w:val="none" w:sz="0" w:space="0" w:color="auto"/>
      </w:divBdr>
    </w:div>
    <w:div w:id="1379427992">
      <w:bodyDiv w:val="1"/>
      <w:marLeft w:val="0"/>
      <w:marRight w:val="0"/>
      <w:marTop w:val="0"/>
      <w:marBottom w:val="0"/>
      <w:divBdr>
        <w:top w:val="none" w:sz="0" w:space="0" w:color="auto"/>
        <w:left w:val="none" w:sz="0" w:space="0" w:color="auto"/>
        <w:bottom w:val="none" w:sz="0" w:space="0" w:color="auto"/>
        <w:right w:val="none" w:sz="0" w:space="0" w:color="auto"/>
      </w:divBdr>
    </w:div>
    <w:div w:id="1389183502">
      <w:bodyDiv w:val="1"/>
      <w:marLeft w:val="0"/>
      <w:marRight w:val="0"/>
      <w:marTop w:val="0"/>
      <w:marBottom w:val="0"/>
      <w:divBdr>
        <w:top w:val="none" w:sz="0" w:space="0" w:color="auto"/>
        <w:left w:val="none" w:sz="0" w:space="0" w:color="auto"/>
        <w:bottom w:val="none" w:sz="0" w:space="0" w:color="auto"/>
        <w:right w:val="none" w:sz="0" w:space="0" w:color="auto"/>
      </w:divBdr>
    </w:div>
    <w:div w:id="1395468311">
      <w:bodyDiv w:val="1"/>
      <w:marLeft w:val="0"/>
      <w:marRight w:val="0"/>
      <w:marTop w:val="0"/>
      <w:marBottom w:val="0"/>
      <w:divBdr>
        <w:top w:val="none" w:sz="0" w:space="0" w:color="auto"/>
        <w:left w:val="none" w:sz="0" w:space="0" w:color="auto"/>
        <w:bottom w:val="none" w:sz="0" w:space="0" w:color="auto"/>
        <w:right w:val="none" w:sz="0" w:space="0" w:color="auto"/>
      </w:divBdr>
    </w:div>
    <w:div w:id="1406296348">
      <w:bodyDiv w:val="1"/>
      <w:marLeft w:val="0"/>
      <w:marRight w:val="0"/>
      <w:marTop w:val="0"/>
      <w:marBottom w:val="0"/>
      <w:divBdr>
        <w:top w:val="none" w:sz="0" w:space="0" w:color="auto"/>
        <w:left w:val="none" w:sz="0" w:space="0" w:color="auto"/>
        <w:bottom w:val="none" w:sz="0" w:space="0" w:color="auto"/>
        <w:right w:val="none" w:sz="0" w:space="0" w:color="auto"/>
      </w:divBdr>
    </w:div>
    <w:div w:id="1412267986">
      <w:bodyDiv w:val="1"/>
      <w:marLeft w:val="0"/>
      <w:marRight w:val="0"/>
      <w:marTop w:val="0"/>
      <w:marBottom w:val="0"/>
      <w:divBdr>
        <w:top w:val="none" w:sz="0" w:space="0" w:color="auto"/>
        <w:left w:val="none" w:sz="0" w:space="0" w:color="auto"/>
        <w:bottom w:val="none" w:sz="0" w:space="0" w:color="auto"/>
        <w:right w:val="none" w:sz="0" w:space="0" w:color="auto"/>
      </w:divBdr>
    </w:div>
    <w:div w:id="1412464415">
      <w:bodyDiv w:val="1"/>
      <w:marLeft w:val="0"/>
      <w:marRight w:val="0"/>
      <w:marTop w:val="0"/>
      <w:marBottom w:val="0"/>
      <w:divBdr>
        <w:top w:val="none" w:sz="0" w:space="0" w:color="auto"/>
        <w:left w:val="none" w:sz="0" w:space="0" w:color="auto"/>
        <w:bottom w:val="none" w:sz="0" w:space="0" w:color="auto"/>
        <w:right w:val="none" w:sz="0" w:space="0" w:color="auto"/>
      </w:divBdr>
    </w:div>
    <w:div w:id="1412895690">
      <w:bodyDiv w:val="1"/>
      <w:marLeft w:val="0"/>
      <w:marRight w:val="0"/>
      <w:marTop w:val="0"/>
      <w:marBottom w:val="0"/>
      <w:divBdr>
        <w:top w:val="none" w:sz="0" w:space="0" w:color="auto"/>
        <w:left w:val="none" w:sz="0" w:space="0" w:color="auto"/>
        <w:bottom w:val="none" w:sz="0" w:space="0" w:color="auto"/>
        <w:right w:val="none" w:sz="0" w:space="0" w:color="auto"/>
      </w:divBdr>
    </w:div>
    <w:div w:id="1416245013">
      <w:bodyDiv w:val="1"/>
      <w:marLeft w:val="0"/>
      <w:marRight w:val="0"/>
      <w:marTop w:val="0"/>
      <w:marBottom w:val="0"/>
      <w:divBdr>
        <w:top w:val="none" w:sz="0" w:space="0" w:color="auto"/>
        <w:left w:val="none" w:sz="0" w:space="0" w:color="auto"/>
        <w:bottom w:val="none" w:sz="0" w:space="0" w:color="auto"/>
        <w:right w:val="none" w:sz="0" w:space="0" w:color="auto"/>
      </w:divBdr>
    </w:div>
    <w:div w:id="1416588928">
      <w:bodyDiv w:val="1"/>
      <w:marLeft w:val="0"/>
      <w:marRight w:val="0"/>
      <w:marTop w:val="0"/>
      <w:marBottom w:val="0"/>
      <w:divBdr>
        <w:top w:val="none" w:sz="0" w:space="0" w:color="auto"/>
        <w:left w:val="none" w:sz="0" w:space="0" w:color="auto"/>
        <w:bottom w:val="none" w:sz="0" w:space="0" w:color="auto"/>
        <w:right w:val="none" w:sz="0" w:space="0" w:color="auto"/>
      </w:divBdr>
    </w:div>
    <w:div w:id="1428572089">
      <w:bodyDiv w:val="1"/>
      <w:marLeft w:val="0"/>
      <w:marRight w:val="0"/>
      <w:marTop w:val="0"/>
      <w:marBottom w:val="0"/>
      <w:divBdr>
        <w:top w:val="none" w:sz="0" w:space="0" w:color="auto"/>
        <w:left w:val="none" w:sz="0" w:space="0" w:color="auto"/>
        <w:bottom w:val="none" w:sz="0" w:space="0" w:color="auto"/>
        <w:right w:val="none" w:sz="0" w:space="0" w:color="auto"/>
      </w:divBdr>
    </w:div>
    <w:div w:id="1429152902">
      <w:bodyDiv w:val="1"/>
      <w:marLeft w:val="0"/>
      <w:marRight w:val="0"/>
      <w:marTop w:val="0"/>
      <w:marBottom w:val="0"/>
      <w:divBdr>
        <w:top w:val="none" w:sz="0" w:space="0" w:color="auto"/>
        <w:left w:val="none" w:sz="0" w:space="0" w:color="auto"/>
        <w:bottom w:val="none" w:sz="0" w:space="0" w:color="auto"/>
        <w:right w:val="none" w:sz="0" w:space="0" w:color="auto"/>
      </w:divBdr>
    </w:div>
    <w:div w:id="1434861749">
      <w:bodyDiv w:val="1"/>
      <w:marLeft w:val="0"/>
      <w:marRight w:val="0"/>
      <w:marTop w:val="0"/>
      <w:marBottom w:val="0"/>
      <w:divBdr>
        <w:top w:val="none" w:sz="0" w:space="0" w:color="auto"/>
        <w:left w:val="none" w:sz="0" w:space="0" w:color="auto"/>
        <w:bottom w:val="none" w:sz="0" w:space="0" w:color="auto"/>
        <w:right w:val="none" w:sz="0" w:space="0" w:color="auto"/>
      </w:divBdr>
    </w:div>
    <w:div w:id="1435176408">
      <w:bodyDiv w:val="1"/>
      <w:marLeft w:val="0"/>
      <w:marRight w:val="0"/>
      <w:marTop w:val="0"/>
      <w:marBottom w:val="0"/>
      <w:divBdr>
        <w:top w:val="none" w:sz="0" w:space="0" w:color="auto"/>
        <w:left w:val="none" w:sz="0" w:space="0" w:color="auto"/>
        <w:bottom w:val="none" w:sz="0" w:space="0" w:color="auto"/>
        <w:right w:val="none" w:sz="0" w:space="0" w:color="auto"/>
      </w:divBdr>
    </w:div>
    <w:div w:id="1443958750">
      <w:bodyDiv w:val="1"/>
      <w:marLeft w:val="0"/>
      <w:marRight w:val="0"/>
      <w:marTop w:val="0"/>
      <w:marBottom w:val="0"/>
      <w:divBdr>
        <w:top w:val="none" w:sz="0" w:space="0" w:color="auto"/>
        <w:left w:val="none" w:sz="0" w:space="0" w:color="auto"/>
        <w:bottom w:val="none" w:sz="0" w:space="0" w:color="auto"/>
        <w:right w:val="none" w:sz="0" w:space="0" w:color="auto"/>
      </w:divBdr>
    </w:div>
    <w:div w:id="1450587571">
      <w:bodyDiv w:val="1"/>
      <w:marLeft w:val="0"/>
      <w:marRight w:val="0"/>
      <w:marTop w:val="0"/>
      <w:marBottom w:val="0"/>
      <w:divBdr>
        <w:top w:val="none" w:sz="0" w:space="0" w:color="auto"/>
        <w:left w:val="none" w:sz="0" w:space="0" w:color="auto"/>
        <w:bottom w:val="none" w:sz="0" w:space="0" w:color="auto"/>
        <w:right w:val="none" w:sz="0" w:space="0" w:color="auto"/>
      </w:divBdr>
    </w:div>
    <w:div w:id="1452435895">
      <w:bodyDiv w:val="1"/>
      <w:marLeft w:val="0"/>
      <w:marRight w:val="0"/>
      <w:marTop w:val="0"/>
      <w:marBottom w:val="0"/>
      <w:divBdr>
        <w:top w:val="none" w:sz="0" w:space="0" w:color="auto"/>
        <w:left w:val="none" w:sz="0" w:space="0" w:color="auto"/>
        <w:bottom w:val="none" w:sz="0" w:space="0" w:color="auto"/>
        <w:right w:val="none" w:sz="0" w:space="0" w:color="auto"/>
      </w:divBdr>
    </w:div>
    <w:div w:id="1452749149">
      <w:bodyDiv w:val="1"/>
      <w:marLeft w:val="0"/>
      <w:marRight w:val="0"/>
      <w:marTop w:val="0"/>
      <w:marBottom w:val="0"/>
      <w:divBdr>
        <w:top w:val="none" w:sz="0" w:space="0" w:color="auto"/>
        <w:left w:val="none" w:sz="0" w:space="0" w:color="auto"/>
        <w:bottom w:val="none" w:sz="0" w:space="0" w:color="auto"/>
        <w:right w:val="none" w:sz="0" w:space="0" w:color="auto"/>
      </w:divBdr>
    </w:div>
    <w:div w:id="1452941040">
      <w:bodyDiv w:val="1"/>
      <w:marLeft w:val="0"/>
      <w:marRight w:val="0"/>
      <w:marTop w:val="0"/>
      <w:marBottom w:val="0"/>
      <w:divBdr>
        <w:top w:val="none" w:sz="0" w:space="0" w:color="auto"/>
        <w:left w:val="none" w:sz="0" w:space="0" w:color="auto"/>
        <w:bottom w:val="none" w:sz="0" w:space="0" w:color="auto"/>
        <w:right w:val="none" w:sz="0" w:space="0" w:color="auto"/>
      </w:divBdr>
    </w:div>
    <w:div w:id="1460034723">
      <w:bodyDiv w:val="1"/>
      <w:marLeft w:val="0"/>
      <w:marRight w:val="0"/>
      <w:marTop w:val="0"/>
      <w:marBottom w:val="0"/>
      <w:divBdr>
        <w:top w:val="none" w:sz="0" w:space="0" w:color="auto"/>
        <w:left w:val="none" w:sz="0" w:space="0" w:color="auto"/>
        <w:bottom w:val="none" w:sz="0" w:space="0" w:color="auto"/>
        <w:right w:val="none" w:sz="0" w:space="0" w:color="auto"/>
      </w:divBdr>
    </w:div>
    <w:div w:id="1474372288">
      <w:bodyDiv w:val="1"/>
      <w:marLeft w:val="0"/>
      <w:marRight w:val="0"/>
      <w:marTop w:val="0"/>
      <w:marBottom w:val="0"/>
      <w:divBdr>
        <w:top w:val="none" w:sz="0" w:space="0" w:color="auto"/>
        <w:left w:val="none" w:sz="0" w:space="0" w:color="auto"/>
        <w:bottom w:val="none" w:sz="0" w:space="0" w:color="auto"/>
        <w:right w:val="none" w:sz="0" w:space="0" w:color="auto"/>
      </w:divBdr>
    </w:div>
    <w:div w:id="1487626942">
      <w:bodyDiv w:val="1"/>
      <w:marLeft w:val="0"/>
      <w:marRight w:val="0"/>
      <w:marTop w:val="0"/>
      <w:marBottom w:val="0"/>
      <w:divBdr>
        <w:top w:val="none" w:sz="0" w:space="0" w:color="auto"/>
        <w:left w:val="none" w:sz="0" w:space="0" w:color="auto"/>
        <w:bottom w:val="none" w:sz="0" w:space="0" w:color="auto"/>
        <w:right w:val="none" w:sz="0" w:space="0" w:color="auto"/>
      </w:divBdr>
    </w:div>
    <w:div w:id="1502501304">
      <w:bodyDiv w:val="1"/>
      <w:marLeft w:val="0"/>
      <w:marRight w:val="0"/>
      <w:marTop w:val="0"/>
      <w:marBottom w:val="0"/>
      <w:divBdr>
        <w:top w:val="none" w:sz="0" w:space="0" w:color="auto"/>
        <w:left w:val="none" w:sz="0" w:space="0" w:color="auto"/>
        <w:bottom w:val="none" w:sz="0" w:space="0" w:color="auto"/>
        <w:right w:val="none" w:sz="0" w:space="0" w:color="auto"/>
      </w:divBdr>
    </w:div>
    <w:div w:id="1503088578">
      <w:bodyDiv w:val="1"/>
      <w:marLeft w:val="0"/>
      <w:marRight w:val="0"/>
      <w:marTop w:val="0"/>
      <w:marBottom w:val="0"/>
      <w:divBdr>
        <w:top w:val="none" w:sz="0" w:space="0" w:color="auto"/>
        <w:left w:val="none" w:sz="0" w:space="0" w:color="auto"/>
        <w:bottom w:val="none" w:sz="0" w:space="0" w:color="auto"/>
        <w:right w:val="none" w:sz="0" w:space="0" w:color="auto"/>
      </w:divBdr>
    </w:div>
    <w:div w:id="1503425245">
      <w:bodyDiv w:val="1"/>
      <w:marLeft w:val="0"/>
      <w:marRight w:val="0"/>
      <w:marTop w:val="0"/>
      <w:marBottom w:val="0"/>
      <w:divBdr>
        <w:top w:val="none" w:sz="0" w:space="0" w:color="auto"/>
        <w:left w:val="none" w:sz="0" w:space="0" w:color="auto"/>
        <w:bottom w:val="none" w:sz="0" w:space="0" w:color="auto"/>
        <w:right w:val="none" w:sz="0" w:space="0" w:color="auto"/>
      </w:divBdr>
    </w:div>
    <w:div w:id="1510485616">
      <w:bodyDiv w:val="1"/>
      <w:marLeft w:val="0"/>
      <w:marRight w:val="0"/>
      <w:marTop w:val="0"/>
      <w:marBottom w:val="0"/>
      <w:divBdr>
        <w:top w:val="none" w:sz="0" w:space="0" w:color="auto"/>
        <w:left w:val="none" w:sz="0" w:space="0" w:color="auto"/>
        <w:bottom w:val="none" w:sz="0" w:space="0" w:color="auto"/>
        <w:right w:val="none" w:sz="0" w:space="0" w:color="auto"/>
      </w:divBdr>
    </w:div>
    <w:div w:id="1522433126">
      <w:bodyDiv w:val="1"/>
      <w:marLeft w:val="0"/>
      <w:marRight w:val="0"/>
      <w:marTop w:val="0"/>
      <w:marBottom w:val="0"/>
      <w:divBdr>
        <w:top w:val="none" w:sz="0" w:space="0" w:color="auto"/>
        <w:left w:val="none" w:sz="0" w:space="0" w:color="auto"/>
        <w:bottom w:val="none" w:sz="0" w:space="0" w:color="auto"/>
        <w:right w:val="none" w:sz="0" w:space="0" w:color="auto"/>
      </w:divBdr>
    </w:div>
    <w:div w:id="1530684841">
      <w:bodyDiv w:val="1"/>
      <w:marLeft w:val="0"/>
      <w:marRight w:val="0"/>
      <w:marTop w:val="0"/>
      <w:marBottom w:val="0"/>
      <w:divBdr>
        <w:top w:val="none" w:sz="0" w:space="0" w:color="auto"/>
        <w:left w:val="none" w:sz="0" w:space="0" w:color="auto"/>
        <w:bottom w:val="none" w:sz="0" w:space="0" w:color="auto"/>
        <w:right w:val="none" w:sz="0" w:space="0" w:color="auto"/>
      </w:divBdr>
    </w:div>
    <w:div w:id="1534808343">
      <w:bodyDiv w:val="1"/>
      <w:marLeft w:val="0"/>
      <w:marRight w:val="0"/>
      <w:marTop w:val="0"/>
      <w:marBottom w:val="0"/>
      <w:divBdr>
        <w:top w:val="none" w:sz="0" w:space="0" w:color="auto"/>
        <w:left w:val="none" w:sz="0" w:space="0" w:color="auto"/>
        <w:bottom w:val="none" w:sz="0" w:space="0" w:color="auto"/>
        <w:right w:val="none" w:sz="0" w:space="0" w:color="auto"/>
      </w:divBdr>
    </w:div>
    <w:div w:id="1536773326">
      <w:bodyDiv w:val="1"/>
      <w:marLeft w:val="0"/>
      <w:marRight w:val="0"/>
      <w:marTop w:val="0"/>
      <w:marBottom w:val="0"/>
      <w:divBdr>
        <w:top w:val="none" w:sz="0" w:space="0" w:color="auto"/>
        <w:left w:val="none" w:sz="0" w:space="0" w:color="auto"/>
        <w:bottom w:val="none" w:sz="0" w:space="0" w:color="auto"/>
        <w:right w:val="none" w:sz="0" w:space="0" w:color="auto"/>
      </w:divBdr>
    </w:div>
    <w:div w:id="1543981413">
      <w:bodyDiv w:val="1"/>
      <w:marLeft w:val="0"/>
      <w:marRight w:val="0"/>
      <w:marTop w:val="0"/>
      <w:marBottom w:val="0"/>
      <w:divBdr>
        <w:top w:val="none" w:sz="0" w:space="0" w:color="auto"/>
        <w:left w:val="none" w:sz="0" w:space="0" w:color="auto"/>
        <w:bottom w:val="none" w:sz="0" w:space="0" w:color="auto"/>
        <w:right w:val="none" w:sz="0" w:space="0" w:color="auto"/>
      </w:divBdr>
    </w:div>
    <w:div w:id="1546941171">
      <w:bodyDiv w:val="1"/>
      <w:marLeft w:val="0"/>
      <w:marRight w:val="0"/>
      <w:marTop w:val="0"/>
      <w:marBottom w:val="0"/>
      <w:divBdr>
        <w:top w:val="none" w:sz="0" w:space="0" w:color="auto"/>
        <w:left w:val="none" w:sz="0" w:space="0" w:color="auto"/>
        <w:bottom w:val="none" w:sz="0" w:space="0" w:color="auto"/>
        <w:right w:val="none" w:sz="0" w:space="0" w:color="auto"/>
      </w:divBdr>
    </w:div>
    <w:div w:id="1548642498">
      <w:bodyDiv w:val="1"/>
      <w:marLeft w:val="0"/>
      <w:marRight w:val="0"/>
      <w:marTop w:val="0"/>
      <w:marBottom w:val="0"/>
      <w:divBdr>
        <w:top w:val="none" w:sz="0" w:space="0" w:color="auto"/>
        <w:left w:val="none" w:sz="0" w:space="0" w:color="auto"/>
        <w:bottom w:val="none" w:sz="0" w:space="0" w:color="auto"/>
        <w:right w:val="none" w:sz="0" w:space="0" w:color="auto"/>
      </w:divBdr>
    </w:div>
    <w:div w:id="1552382746">
      <w:bodyDiv w:val="1"/>
      <w:marLeft w:val="0"/>
      <w:marRight w:val="0"/>
      <w:marTop w:val="0"/>
      <w:marBottom w:val="0"/>
      <w:divBdr>
        <w:top w:val="none" w:sz="0" w:space="0" w:color="auto"/>
        <w:left w:val="none" w:sz="0" w:space="0" w:color="auto"/>
        <w:bottom w:val="none" w:sz="0" w:space="0" w:color="auto"/>
        <w:right w:val="none" w:sz="0" w:space="0" w:color="auto"/>
      </w:divBdr>
    </w:div>
    <w:div w:id="1555965328">
      <w:bodyDiv w:val="1"/>
      <w:marLeft w:val="0"/>
      <w:marRight w:val="0"/>
      <w:marTop w:val="0"/>
      <w:marBottom w:val="0"/>
      <w:divBdr>
        <w:top w:val="none" w:sz="0" w:space="0" w:color="auto"/>
        <w:left w:val="none" w:sz="0" w:space="0" w:color="auto"/>
        <w:bottom w:val="none" w:sz="0" w:space="0" w:color="auto"/>
        <w:right w:val="none" w:sz="0" w:space="0" w:color="auto"/>
      </w:divBdr>
    </w:div>
    <w:div w:id="1558937384">
      <w:bodyDiv w:val="1"/>
      <w:marLeft w:val="0"/>
      <w:marRight w:val="0"/>
      <w:marTop w:val="0"/>
      <w:marBottom w:val="0"/>
      <w:divBdr>
        <w:top w:val="none" w:sz="0" w:space="0" w:color="auto"/>
        <w:left w:val="none" w:sz="0" w:space="0" w:color="auto"/>
        <w:bottom w:val="none" w:sz="0" w:space="0" w:color="auto"/>
        <w:right w:val="none" w:sz="0" w:space="0" w:color="auto"/>
      </w:divBdr>
    </w:div>
    <w:div w:id="1559053145">
      <w:bodyDiv w:val="1"/>
      <w:marLeft w:val="0"/>
      <w:marRight w:val="0"/>
      <w:marTop w:val="0"/>
      <w:marBottom w:val="0"/>
      <w:divBdr>
        <w:top w:val="none" w:sz="0" w:space="0" w:color="auto"/>
        <w:left w:val="none" w:sz="0" w:space="0" w:color="auto"/>
        <w:bottom w:val="none" w:sz="0" w:space="0" w:color="auto"/>
        <w:right w:val="none" w:sz="0" w:space="0" w:color="auto"/>
      </w:divBdr>
    </w:div>
    <w:div w:id="1559703712">
      <w:bodyDiv w:val="1"/>
      <w:marLeft w:val="0"/>
      <w:marRight w:val="0"/>
      <w:marTop w:val="0"/>
      <w:marBottom w:val="0"/>
      <w:divBdr>
        <w:top w:val="none" w:sz="0" w:space="0" w:color="auto"/>
        <w:left w:val="none" w:sz="0" w:space="0" w:color="auto"/>
        <w:bottom w:val="none" w:sz="0" w:space="0" w:color="auto"/>
        <w:right w:val="none" w:sz="0" w:space="0" w:color="auto"/>
      </w:divBdr>
    </w:div>
    <w:div w:id="1562208237">
      <w:bodyDiv w:val="1"/>
      <w:marLeft w:val="0"/>
      <w:marRight w:val="0"/>
      <w:marTop w:val="0"/>
      <w:marBottom w:val="0"/>
      <w:divBdr>
        <w:top w:val="none" w:sz="0" w:space="0" w:color="auto"/>
        <w:left w:val="none" w:sz="0" w:space="0" w:color="auto"/>
        <w:bottom w:val="none" w:sz="0" w:space="0" w:color="auto"/>
        <w:right w:val="none" w:sz="0" w:space="0" w:color="auto"/>
      </w:divBdr>
    </w:div>
    <w:div w:id="1569076456">
      <w:bodyDiv w:val="1"/>
      <w:marLeft w:val="0"/>
      <w:marRight w:val="0"/>
      <w:marTop w:val="0"/>
      <w:marBottom w:val="0"/>
      <w:divBdr>
        <w:top w:val="none" w:sz="0" w:space="0" w:color="auto"/>
        <w:left w:val="none" w:sz="0" w:space="0" w:color="auto"/>
        <w:bottom w:val="none" w:sz="0" w:space="0" w:color="auto"/>
        <w:right w:val="none" w:sz="0" w:space="0" w:color="auto"/>
      </w:divBdr>
    </w:div>
    <w:div w:id="1572736951">
      <w:bodyDiv w:val="1"/>
      <w:marLeft w:val="0"/>
      <w:marRight w:val="0"/>
      <w:marTop w:val="0"/>
      <w:marBottom w:val="0"/>
      <w:divBdr>
        <w:top w:val="none" w:sz="0" w:space="0" w:color="auto"/>
        <w:left w:val="none" w:sz="0" w:space="0" w:color="auto"/>
        <w:bottom w:val="none" w:sz="0" w:space="0" w:color="auto"/>
        <w:right w:val="none" w:sz="0" w:space="0" w:color="auto"/>
      </w:divBdr>
    </w:div>
    <w:div w:id="1579486729">
      <w:bodyDiv w:val="1"/>
      <w:marLeft w:val="0"/>
      <w:marRight w:val="0"/>
      <w:marTop w:val="0"/>
      <w:marBottom w:val="0"/>
      <w:divBdr>
        <w:top w:val="none" w:sz="0" w:space="0" w:color="auto"/>
        <w:left w:val="none" w:sz="0" w:space="0" w:color="auto"/>
        <w:bottom w:val="none" w:sz="0" w:space="0" w:color="auto"/>
        <w:right w:val="none" w:sz="0" w:space="0" w:color="auto"/>
      </w:divBdr>
    </w:div>
    <w:div w:id="1580796940">
      <w:bodyDiv w:val="1"/>
      <w:marLeft w:val="0"/>
      <w:marRight w:val="0"/>
      <w:marTop w:val="0"/>
      <w:marBottom w:val="0"/>
      <w:divBdr>
        <w:top w:val="none" w:sz="0" w:space="0" w:color="auto"/>
        <w:left w:val="none" w:sz="0" w:space="0" w:color="auto"/>
        <w:bottom w:val="none" w:sz="0" w:space="0" w:color="auto"/>
        <w:right w:val="none" w:sz="0" w:space="0" w:color="auto"/>
      </w:divBdr>
    </w:div>
    <w:div w:id="1586957032">
      <w:bodyDiv w:val="1"/>
      <w:marLeft w:val="0"/>
      <w:marRight w:val="0"/>
      <w:marTop w:val="0"/>
      <w:marBottom w:val="0"/>
      <w:divBdr>
        <w:top w:val="none" w:sz="0" w:space="0" w:color="auto"/>
        <w:left w:val="none" w:sz="0" w:space="0" w:color="auto"/>
        <w:bottom w:val="none" w:sz="0" w:space="0" w:color="auto"/>
        <w:right w:val="none" w:sz="0" w:space="0" w:color="auto"/>
      </w:divBdr>
    </w:div>
    <w:div w:id="1592854204">
      <w:bodyDiv w:val="1"/>
      <w:marLeft w:val="0"/>
      <w:marRight w:val="0"/>
      <w:marTop w:val="0"/>
      <w:marBottom w:val="0"/>
      <w:divBdr>
        <w:top w:val="none" w:sz="0" w:space="0" w:color="auto"/>
        <w:left w:val="none" w:sz="0" w:space="0" w:color="auto"/>
        <w:bottom w:val="none" w:sz="0" w:space="0" w:color="auto"/>
        <w:right w:val="none" w:sz="0" w:space="0" w:color="auto"/>
      </w:divBdr>
    </w:div>
    <w:div w:id="1593010259">
      <w:bodyDiv w:val="1"/>
      <w:marLeft w:val="0"/>
      <w:marRight w:val="0"/>
      <w:marTop w:val="0"/>
      <w:marBottom w:val="0"/>
      <w:divBdr>
        <w:top w:val="none" w:sz="0" w:space="0" w:color="auto"/>
        <w:left w:val="none" w:sz="0" w:space="0" w:color="auto"/>
        <w:bottom w:val="none" w:sz="0" w:space="0" w:color="auto"/>
        <w:right w:val="none" w:sz="0" w:space="0" w:color="auto"/>
      </w:divBdr>
    </w:div>
    <w:div w:id="1597791298">
      <w:bodyDiv w:val="1"/>
      <w:marLeft w:val="0"/>
      <w:marRight w:val="0"/>
      <w:marTop w:val="0"/>
      <w:marBottom w:val="0"/>
      <w:divBdr>
        <w:top w:val="none" w:sz="0" w:space="0" w:color="auto"/>
        <w:left w:val="none" w:sz="0" w:space="0" w:color="auto"/>
        <w:bottom w:val="none" w:sz="0" w:space="0" w:color="auto"/>
        <w:right w:val="none" w:sz="0" w:space="0" w:color="auto"/>
      </w:divBdr>
    </w:div>
    <w:div w:id="1598753541">
      <w:bodyDiv w:val="1"/>
      <w:marLeft w:val="0"/>
      <w:marRight w:val="0"/>
      <w:marTop w:val="0"/>
      <w:marBottom w:val="0"/>
      <w:divBdr>
        <w:top w:val="none" w:sz="0" w:space="0" w:color="auto"/>
        <w:left w:val="none" w:sz="0" w:space="0" w:color="auto"/>
        <w:bottom w:val="none" w:sz="0" w:space="0" w:color="auto"/>
        <w:right w:val="none" w:sz="0" w:space="0" w:color="auto"/>
      </w:divBdr>
    </w:div>
    <w:div w:id="1601832608">
      <w:bodyDiv w:val="1"/>
      <w:marLeft w:val="0"/>
      <w:marRight w:val="0"/>
      <w:marTop w:val="0"/>
      <w:marBottom w:val="0"/>
      <w:divBdr>
        <w:top w:val="none" w:sz="0" w:space="0" w:color="auto"/>
        <w:left w:val="none" w:sz="0" w:space="0" w:color="auto"/>
        <w:bottom w:val="none" w:sz="0" w:space="0" w:color="auto"/>
        <w:right w:val="none" w:sz="0" w:space="0" w:color="auto"/>
      </w:divBdr>
    </w:div>
    <w:div w:id="1603611953">
      <w:bodyDiv w:val="1"/>
      <w:marLeft w:val="0"/>
      <w:marRight w:val="0"/>
      <w:marTop w:val="0"/>
      <w:marBottom w:val="0"/>
      <w:divBdr>
        <w:top w:val="none" w:sz="0" w:space="0" w:color="auto"/>
        <w:left w:val="none" w:sz="0" w:space="0" w:color="auto"/>
        <w:bottom w:val="none" w:sz="0" w:space="0" w:color="auto"/>
        <w:right w:val="none" w:sz="0" w:space="0" w:color="auto"/>
      </w:divBdr>
    </w:div>
    <w:div w:id="1605334856">
      <w:bodyDiv w:val="1"/>
      <w:marLeft w:val="0"/>
      <w:marRight w:val="0"/>
      <w:marTop w:val="0"/>
      <w:marBottom w:val="0"/>
      <w:divBdr>
        <w:top w:val="none" w:sz="0" w:space="0" w:color="auto"/>
        <w:left w:val="none" w:sz="0" w:space="0" w:color="auto"/>
        <w:bottom w:val="none" w:sz="0" w:space="0" w:color="auto"/>
        <w:right w:val="none" w:sz="0" w:space="0" w:color="auto"/>
      </w:divBdr>
    </w:div>
    <w:div w:id="1617298649">
      <w:bodyDiv w:val="1"/>
      <w:marLeft w:val="0"/>
      <w:marRight w:val="0"/>
      <w:marTop w:val="0"/>
      <w:marBottom w:val="0"/>
      <w:divBdr>
        <w:top w:val="none" w:sz="0" w:space="0" w:color="auto"/>
        <w:left w:val="none" w:sz="0" w:space="0" w:color="auto"/>
        <w:bottom w:val="none" w:sz="0" w:space="0" w:color="auto"/>
        <w:right w:val="none" w:sz="0" w:space="0" w:color="auto"/>
      </w:divBdr>
    </w:div>
    <w:div w:id="1618021833">
      <w:bodyDiv w:val="1"/>
      <w:marLeft w:val="0"/>
      <w:marRight w:val="0"/>
      <w:marTop w:val="0"/>
      <w:marBottom w:val="0"/>
      <w:divBdr>
        <w:top w:val="none" w:sz="0" w:space="0" w:color="auto"/>
        <w:left w:val="none" w:sz="0" w:space="0" w:color="auto"/>
        <w:bottom w:val="none" w:sz="0" w:space="0" w:color="auto"/>
        <w:right w:val="none" w:sz="0" w:space="0" w:color="auto"/>
      </w:divBdr>
    </w:div>
    <w:div w:id="1620409021">
      <w:bodyDiv w:val="1"/>
      <w:marLeft w:val="0"/>
      <w:marRight w:val="0"/>
      <w:marTop w:val="0"/>
      <w:marBottom w:val="0"/>
      <w:divBdr>
        <w:top w:val="none" w:sz="0" w:space="0" w:color="auto"/>
        <w:left w:val="none" w:sz="0" w:space="0" w:color="auto"/>
        <w:bottom w:val="none" w:sz="0" w:space="0" w:color="auto"/>
        <w:right w:val="none" w:sz="0" w:space="0" w:color="auto"/>
      </w:divBdr>
    </w:div>
    <w:div w:id="1624732739">
      <w:bodyDiv w:val="1"/>
      <w:marLeft w:val="0"/>
      <w:marRight w:val="0"/>
      <w:marTop w:val="0"/>
      <w:marBottom w:val="0"/>
      <w:divBdr>
        <w:top w:val="none" w:sz="0" w:space="0" w:color="auto"/>
        <w:left w:val="none" w:sz="0" w:space="0" w:color="auto"/>
        <w:bottom w:val="none" w:sz="0" w:space="0" w:color="auto"/>
        <w:right w:val="none" w:sz="0" w:space="0" w:color="auto"/>
      </w:divBdr>
    </w:div>
    <w:div w:id="1640525624">
      <w:bodyDiv w:val="1"/>
      <w:marLeft w:val="0"/>
      <w:marRight w:val="0"/>
      <w:marTop w:val="0"/>
      <w:marBottom w:val="0"/>
      <w:divBdr>
        <w:top w:val="none" w:sz="0" w:space="0" w:color="auto"/>
        <w:left w:val="none" w:sz="0" w:space="0" w:color="auto"/>
        <w:bottom w:val="none" w:sz="0" w:space="0" w:color="auto"/>
        <w:right w:val="none" w:sz="0" w:space="0" w:color="auto"/>
      </w:divBdr>
    </w:div>
    <w:div w:id="1643343688">
      <w:bodyDiv w:val="1"/>
      <w:marLeft w:val="0"/>
      <w:marRight w:val="0"/>
      <w:marTop w:val="0"/>
      <w:marBottom w:val="0"/>
      <w:divBdr>
        <w:top w:val="none" w:sz="0" w:space="0" w:color="auto"/>
        <w:left w:val="none" w:sz="0" w:space="0" w:color="auto"/>
        <w:bottom w:val="none" w:sz="0" w:space="0" w:color="auto"/>
        <w:right w:val="none" w:sz="0" w:space="0" w:color="auto"/>
      </w:divBdr>
    </w:div>
    <w:div w:id="1643925462">
      <w:bodyDiv w:val="1"/>
      <w:marLeft w:val="0"/>
      <w:marRight w:val="0"/>
      <w:marTop w:val="0"/>
      <w:marBottom w:val="0"/>
      <w:divBdr>
        <w:top w:val="none" w:sz="0" w:space="0" w:color="auto"/>
        <w:left w:val="none" w:sz="0" w:space="0" w:color="auto"/>
        <w:bottom w:val="none" w:sz="0" w:space="0" w:color="auto"/>
        <w:right w:val="none" w:sz="0" w:space="0" w:color="auto"/>
      </w:divBdr>
    </w:div>
    <w:div w:id="1645740364">
      <w:bodyDiv w:val="1"/>
      <w:marLeft w:val="0"/>
      <w:marRight w:val="0"/>
      <w:marTop w:val="0"/>
      <w:marBottom w:val="0"/>
      <w:divBdr>
        <w:top w:val="none" w:sz="0" w:space="0" w:color="auto"/>
        <w:left w:val="none" w:sz="0" w:space="0" w:color="auto"/>
        <w:bottom w:val="none" w:sz="0" w:space="0" w:color="auto"/>
        <w:right w:val="none" w:sz="0" w:space="0" w:color="auto"/>
      </w:divBdr>
    </w:div>
    <w:div w:id="1652714507">
      <w:bodyDiv w:val="1"/>
      <w:marLeft w:val="0"/>
      <w:marRight w:val="0"/>
      <w:marTop w:val="0"/>
      <w:marBottom w:val="0"/>
      <w:divBdr>
        <w:top w:val="none" w:sz="0" w:space="0" w:color="auto"/>
        <w:left w:val="none" w:sz="0" w:space="0" w:color="auto"/>
        <w:bottom w:val="none" w:sz="0" w:space="0" w:color="auto"/>
        <w:right w:val="none" w:sz="0" w:space="0" w:color="auto"/>
      </w:divBdr>
    </w:div>
    <w:div w:id="1658802480">
      <w:bodyDiv w:val="1"/>
      <w:marLeft w:val="0"/>
      <w:marRight w:val="0"/>
      <w:marTop w:val="0"/>
      <w:marBottom w:val="0"/>
      <w:divBdr>
        <w:top w:val="none" w:sz="0" w:space="0" w:color="auto"/>
        <w:left w:val="none" w:sz="0" w:space="0" w:color="auto"/>
        <w:bottom w:val="none" w:sz="0" w:space="0" w:color="auto"/>
        <w:right w:val="none" w:sz="0" w:space="0" w:color="auto"/>
      </w:divBdr>
    </w:div>
    <w:div w:id="1661613986">
      <w:bodyDiv w:val="1"/>
      <w:marLeft w:val="0"/>
      <w:marRight w:val="0"/>
      <w:marTop w:val="0"/>
      <w:marBottom w:val="0"/>
      <w:divBdr>
        <w:top w:val="none" w:sz="0" w:space="0" w:color="auto"/>
        <w:left w:val="none" w:sz="0" w:space="0" w:color="auto"/>
        <w:bottom w:val="none" w:sz="0" w:space="0" w:color="auto"/>
        <w:right w:val="none" w:sz="0" w:space="0" w:color="auto"/>
      </w:divBdr>
    </w:div>
    <w:div w:id="1664970269">
      <w:bodyDiv w:val="1"/>
      <w:marLeft w:val="0"/>
      <w:marRight w:val="0"/>
      <w:marTop w:val="0"/>
      <w:marBottom w:val="0"/>
      <w:divBdr>
        <w:top w:val="none" w:sz="0" w:space="0" w:color="auto"/>
        <w:left w:val="none" w:sz="0" w:space="0" w:color="auto"/>
        <w:bottom w:val="none" w:sz="0" w:space="0" w:color="auto"/>
        <w:right w:val="none" w:sz="0" w:space="0" w:color="auto"/>
      </w:divBdr>
    </w:div>
    <w:div w:id="1665157807">
      <w:bodyDiv w:val="1"/>
      <w:marLeft w:val="0"/>
      <w:marRight w:val="0"/>
      <w:marTop w:val="0"/>
      <w:marBottom w:val="0"/>
      <w:divBdr>
        <w:top w:val="none" w:sz="0" w:space="0" w:color="auto"/>
        <w:left w:val="none" w:sz="0" w:space="0" w:color="auto"/>
        <w:bottom w:val="none" w:sz="0" w:space="0" w:color="auto"/>
        <w:right w:val="none" w:sz="0" w:space="0" w:color="auto"/>
      </w:divBdr>
    </w:div>
    <w:div w:id="1672443799">
      <w:bodyDiv w:val="1"/>
      <w:marLeft w:val="0"/>
      <w:marRight w:val="0"/>
      <w:marTop w:val="0"/>
      <w:marBottom w:val="0"/>
      <w:divBdr>
        <w:top w:val="none" w:sz="0" w:space="0" w:color="auto"/>
        <w:left w:val="none" w:sz="0" w:space="0" w:color="auto"/>
        <w:bottom w:val="none" w:sz="0" w:space="0" w:color="auto"/>
        <w:right w:val="none" w:sz="0" w:space="0" w:color="auto"/>
      </w:divBdr>
    </w:div>
    <w:div w:id="1682468258">
      <w:bodyDiv w:val="1"/>
      <w:marLeft w:val="0"/>
      <w:marRight w:val="0"/>
      <w:marTop w:val="0"/>
      <w:marBottom w:val="0"/>
      <w:divBdr>
        <w:top w:val="none" w:sz="0" w:space="0" w:color="auto"/>
        <w:left w:val="none" w:sz="0" w:space="0" w:color="auto"/>
        <w:bottom w:val="none" w:sz="0" w:space="0" w:color="auto"/>
        <w:right w:val="none" w:sz="0" w:space="0" w:color="auto"/>
      </w:divBdr>
    </w:div>
    <w:div w:id="1704937707">
      <w:bodyDiv w:val="1"/>
      <w:marLeft w:val="0"/>
      <w:marRight w:val="0"/>
      <w:marTop w:val="0"/>
      <w:marBottom w:val="0"/>
      <w:divBdr>
        <w:top w:val="none" w:sz="0" w:space="0" w:color="auto"/>
        <w:left w:val="none" w:sz="0" w:space="0" w:color="auto"/>
        <w:bottom w:val="none" w:sz="0" w:space="0" w:color="auto"/>
        <w:right w:val="none" w:sz="0" w:space="0" w:color="auto"/>
      </w:divBdr>
    </w:div>
    <w:div w:id="1705521855">
      <w:bodyDiv w:val="1"/>
      <w:marLeft w:val="0"/>
      <w:marRight w:val="0"/>
      <w:marTop w:val="0"/>
      <w:marBottom w:val="0"/>
      <w:divBdr>
        <w:top w:val="none" w:sz="0" w:space="0" w:color="auto"/>
        <w:left w:val="none" w:sz="0" w:space="0" w:color="auto"/>
        <w:bottom w:val="none" w:sz="0" w:space="0" w:color="auto"/>
        <w:right w:val="none" w:sz="0" w:space="0" w:color="auto"/>
      </w:divBdr>
    </w:div>
    <w:div w:id="1718777543">
      <w:bodyDiv w:val="1"/>
      <w:marLeft w:val="0"/>
      <w:marRight w:val="0"/>
      <w:marTop w:val="0"/>
      <w:marBottom w:val="0"/>
      <w:divBdr>
        <w:top w:val="none" w:sz="0" w:space="0" w:color="auto"/>
        <w:left w:val="none" w:sz="0" w:space="0" w:color="auto"/>
        <w:bottom w:val="none" w:sz="0" w:space="0" w:color="auto"/>
        <w:right w:val="none" w:sz="0" w:space="0" w:color="auto"/>
      </w:divBdr>
    </w:div>
    <w:div w:id="1721245866">
      <w:bodyDiv w:val="1"/>
      <w:marLeft w:val="0"/>
      <w:marRight w:val="0"/>
      <w:marTop w:val="0"/>
      <w:marBottom w:val="0"/>
      <w:divBdr>
        <w:top w:val="none" w:sz="0" w:space="0" w:color="auto"/>
        <w:left w:val="none" w:sz="0" w:space="0" w:color="auto"/>
        <w:bottom w:val="none" w:sz="0" w:space="0" w:color="auto"/>
        <w:right w:val="none" w:sz="0" w:space="0" w:color="auto"/>
      </w:divBdr>
    </w:div>
    <w:div w:id="1722170949">
      <w:bodyDiv w:val="1"/>
      <w:marLeft w:val="0"/>
      <w:marRight w:val="0"/>
      <w:marTop w:val="0"/>
      <w:marBottom w:val="0"/>
      <w:divBdr>
        <w:top w:val="none" w:sz="0" w:space="0" w:color="auto"/>
        <w:left w:val="none" w:sz="0" w:space="0" w:color="auto"/>
        <w:bottom w:val="none" w:sz="0" w:space="0" w:color="auto"/>
        <w:right w:val="none" w:sz="0" w:space="0" w:color="auto"/>
      </w:divBdr>
    </w:div>
    <w:div w:id="1724063490">
      <w:bodyDiv w:val="1"/>
      <w:marLeft w:val="0"/>
      <w:marRight w:val="0"/>
      <w:marTop w:val="0"/>
      <w:marBottom w:val="0"/>
      <w:divBdr>
        <w:top w:val="none" w:sz="0" w:space="0" w:color="auto"/>
        <w:left w:val="none" w:sz="0" w:space="0" w:color="auto"/>
        <w:bottom w:val="none" w:sz="0" w:space="0" w:color="auto"/>
        <w:right w:val="none" w:sz="0" w:space="0" w:color="auto"/>
      </w:divBdr>
    </w:div>
    <w:div w:id="1728410669">
      <w:bodyDiv w:val="1"/>
      <w:marLeft w:val="0"/>
      <w:marRight w:val="0"/>
      <w:marTop w:val="0"/>
      <w:marBottom w:val="0"/>
      <w:divBdr>
        <w:top w:val="none" w:sz="0" w:space="0" w:color="auto"/>
        <w:left w:val="none" w:sz="0" w:space="0" w:color="auto"/>
        <w:bottom w:val="none" w:sz="0" w:space="0" w:color="auto"/>
        <w:right w:val="none" w:sz="0" w:space="0" w:color="auto"/>
      </w:divBdr>
    </w:div>
    <w:div w:id="1741631653">
      <w:bodyDiv w:val="1"/>
      <w:marLeft w:val="0"/>
      <w:marRight w:val="0"/>
      <w:marTop w:val="0"/>
      <w:marBottom w:val="0"/>
      <w:divBdr>
        <w:top w:val="none" w:sz="0" w:space="0" w:color="auto"/>
        <w:left w:val="none" w:sz="0" w:space="0" w:color="auto"/>
        <w:bottom w:val="none" w:sz="0" w:space="0" w:color="auto"/>
        <w:right w:val="none" w:sz="0" w:space="0" w:color="auto"/>
      </w:divBdr>
    </w:div>
    <w:div w:id="1746338344">
      <w:bodyDiv w:val="1"/>
      <w:marLeft w:val="0"/>
      <w:marRight w:val="0"/>
      <w:marTop w:val="0"/>
      <w:marBottom w:val="0"/>
      <w:divBdr>
        <w:top w:val="none" w:sz="0" w:space="0" w:color="auto"/>
        <w:left w:val="none" w:sz="0" w:space="0" w:color="auto"/>
        <w:bottom w:val="none" w:sz="0" w:space="0" w:color="auto"/>
        <w:right w:val="none" w:sz="0" w:space="0" w:color="auto"/>
      </w:divBdr>
    </w:div>
    <w:div w:id="1748116026">
      <w:bodyDiv w:val="1"/>
      <w:marLeft w:val="0"/>
      <w:marRight w:val="0"/>
      <w:marTop w:val="0"/>
      <w:marBottom w:val="0"/>
      <w:divBdr>
        <w:top w:val="none" w:sz="0" w:space="0" w:color="auto"/>
        <w:left w:val="none" w:sz="0" w:space="0" w:color="auto"/>
        <w:bottom w:val="none" w:sz="0" w:space="0" w:color="auto"/>
        <w:right w:val="none" w:sz="0" w:space="0" w:color="auto"/>
      </w:divBdr>
    </w:div>
    <w:div w:id="1751124604">
      <w:bodyDiv w:val="1"/>
      <w:marLeft w:val="0"/>
      <w:marRight w:val="0"/>
      <w:marTop w:val="0"/>
      <w:marBottom w:val="0"/>
      <w:divBdr>
        <w:top w:val="none" w:sz="0" w:space="0" w:color="auto"/>
        <w:left w:val="none" w:sz="0" w:space="0" w:color="auto"/>
        <w:bottom w:val="none" w:sz="0" w:space="0" w:color="auto"/>
        <w:right w:val="none" w:sz="0" w:space="0" w:color="auto"/>
      </w:divBdr>
    </w:div>
    <w:div w:id="1761291474">
      <w:bodyDiv w:val="1"/>
      <w:marLeft w:val="0"/>
      <w:marRight w:val="0"/>
      <w:marTop w:val="0"/>
      <w:marBottom w:val="0"/>
      <w:divBdr>
        <w:top w:val="none" w:sz="0" w:space="0" w:color="auto"/>
        <w:left w:val="none" w:sz="0" w:space="0" w:color="auto"/>
        <w:bottom w:val="none" w:sz="0" w:space="0" w:color="auto"/>
        <w:right w:val="none" w:sz="0" w:space="0" w:color="auto"/>
      </w:divBdr>
    </w:div>
    <w:div w:id="1771388598">
      <w:bodyDiv w:val="1"/>
      <w:marLeft w:val="0"/>
      <w:marRight w:val="0"/>
      <w:marTop w:val="0"/>
      <w:marBottom w:val="0"/>
      <w:divBdr>
        <w:top w:val="none" w:sz="0" w:space="0" w:color="auto"/>
        <w:left w:val="none" w:sz="0" w:space="0" w:color="auto"/>
        <w:bottom w:val="none" w:sz="0" w:space="0" w:color="auto"/>
        <w:right w:val="none" w:sz="0" w:space="0" w:color="auto"/>
      </w:divBdr>
    </w:div>
    <w:div w:id="1787232303">
      <w:bodyDiv w:val="1"/>
      <w:marLeft w:val="0"/>
      <w:marRight w:val="0"/>
      <w:marTop w:val="0"/>
      <w:marBottom w:val="0"/>
      <w:divBdr>
        <w:top w:val="none" w:sz="0" w:space="0" w:color="auto"/>
        <w:left w:val="none" w:sz="0" w:space="0" w:color="auto"/>
        <w:bottom w:val="none" w:sz="0" w:space="0" w:color="auto"/>
        <w:right w:val="none" w:sz="0" w:space="0" w:color="auto"/>
      </w:divBdr>
    </w:div>
    <w:div w:id="1790930534">
      <w:bodyDiv w:val="1"/>
      <w:marLeft w:val="0"/>
      <w:marRight w:val="0"/>
      <w:marTop w:val="0"/>
      <w:marBottom w:val="0"/>
      <w:divBdr>
        <w:top w:val="none" w:sz="0" w:space="0" w:color="auto"/>
        <w:left w:val="none" w:sz="0" w:space="0" w:color="auto"/>
        <w:bottom w:val="none" w:sz="0" w:space="0" w:color="auto"/>
        <w:right w:val="none" w:sz="0" w:space="0" w:color="auto"/>
      </w:divBdr>
    </w:div>
    <w:div w:id="1791975794">
      <w:bodyDiv w:val="1"/>
      <w:marLeft w:val="0"/>
      <w:marRight w:val="0"/>
      <w:marTop w:val="0"/>
      <w:marBottom w:val="0"/>
      <w:divBdr>
        <w:top w:val="none" w:sz="0" w:space="0" w:color="auto"/>
        <w:left w:val="none" w:sz="0" w:space="0" w:color="auto"/>
        <w:bottom w:val="none" w:sz="0" w:space="0" w:color="auto"/>
        <w:right w:val="none" w:sz="0" w:space="0" w:color="auto"/>
      </w:divBdr>
    </w:div>
    <w:div w:id="1805386957">
      <w:bodyDiv w:val="1"/>
      <w:marLeft w:val="0"/>
      <w:marRight w:val="0"/>
      <w:marTop w:val="0"/>
      <w:marBottom w:val="0"/>
      <w:divBdr>
        <w:top w:val="none" w:sz="0" w:space="0" w:color="auto"/>
        <w:left w:val="none" w:sz="0" w:space="0" w:color="auto"/>
        <w:bottom w:val="none" w:sz="0" w:space="0" w:color="auto"/>
        <w:right w:val="none" w:sz="0" w:space="0" w:color="auto"/>
      </w:divBdr>
    </w:div>
    <w:div w:id="1807965338">
      <w:bodyDiv w:val="1"/>
      <w:marLeft w:val="0"/>
      <w:marRight w:val="0"/>
      <w:marTop w:val="0"/>
      <w:marBottom w:val="0"/>
      <w:divBdr>
        <w:top w:val="none" w:sz="0" w:space="0" w:color="auto"/>
        <w:left w:val="none" w:sz="0" w:space="0" w:color="auto"/>
        <w:bottom w:val="none" w:sz="0" w:space="0" w:color="auto"/>
        <w:right w:val="none" w:sz="0" w:space="0" w:color="auto"/>
      </w:divBdr>
    </w:div>
    <w:div w:id="1813402427">
      <w:bodyDiv w:val="1"/>
      <w:marLeft w:val="0"/>
      <w:marRight w:val="0"/>
      <w:marTop w:val="0"/>
      <w:marBottom w:val="0"/>
      <w:divBdr>
        <w:top w:val="none" w:sz="0" w:space="0" w:color="auto"/>
        <w:left w:val="none" w:sz="0" w:space="0" w:color="auto"/>
        <w:bottom w:val="none" w:sz="0" w:space="0" w:color="auto"/>
        <w:right w:val="none" w:sz="0" w:space="0" w:color="auto"/>
      </w:divBdr>
    </w:div>
    <w:div w:id="1826700040">
      <w:bodyDiv w:val="1"/>
      <w:marLeft w:val="0"/>
      <w:marRight w:val="0"/>
      <w:marTop w:val="0"/>
      <w:marBottom w:val="0"/>
      <w:divBdr>
        <w:top w:val="none" w:sz="0" w:space="0" w:color="auto"/>
        <w:left w:val="none" w:sz="0" w:space="0" w:color="auto"/>
        <w:bottom w:val="none" w:sz="0" w:space="0" w:color="auto"/>
        <w:right w:val="none" w:sz="0" w:space="0" w:color="auto"/>
      </w:divBdr>
    </w:div>
    <w:div w:id="1834107574">
      <w:bodyDiv w:val="1"/>
      <w:marLeft w:val="0"/>
      <w:marRight w:val="0"/>
      <w:marTop w:val="0"/>
      <w:marBottom w:val="0"/>
      <w:divBdr>
        <w:top w:val="none" w:sz="0" w:space="0" w:color="auto"/>
        <w:left w:val="none" w:sz="0" w:space="0" w:color="auto"/>
        <w:bottom w:val="none" w:sz="0" w:space="0" w:color="auto"/>
        <w:right w:val="none" w:sz="0" w:space="0" w:color="auto"/>
      </w:divBdr>
    </w:div>
    <w:div w:id="1840846830">
      <w:bodyDiv w:val="1"/>
      <w:marLeft w:val="0"/>
      <w:marRight w:val="0"/>
      <w:marTop w:val="0"/>
      <w:marBottom w:val="0"/>
      <w:divBdr>
        <w:top w:val="none" w:sz="0" w:space="0" w:color="auto"/>
        <w:left w:val="none" w:sz="0" w:space="0" w:color="auto"/>
        <w:bottom w:val="none" w:sz="0" w:space="0" w:color="auto"/>
        <w:right w:val="none" w:sz="0" w:space="0" w:color="auto"/>
      </w:divBdr>
    </w:div>
    <w:div w:id="1854299581">
      <w:bodyDiv w:val="1"/>
      <w:marLeft w:val="0"/>
      <w:marRight w:val="0"/>
      <w:marTop w:val="0"/>
      <w:marBottom w:val="0"/>
      <w:divBdr>
        <w:top w:val="none" w:sz="0" w:space="0" w:color="auto"/>
        <w:left w:val="none" w:sz="0" w:space="0" w:color="auto"/>
        <w:bottom w:val="none" w:sz="0" w:space="0" w:color="auto"/>
        <w:right w:val="none" w:sz="0" w:space="0" w:color="auto"/>
      </w:divBdr>
    </w:div>
    <w:div w:id="1856847588">
      <w:bodyDiv w:val="1"/>
      <w:marLeft w:val="0"/>
      <w:marRight w:val="0"/>
      <w:marTop w:val="0"/>
      <w:marBottom w:val="0"/>
      <w:divBdr>
        <w:top w:val="none" w:sz="0" w:space="0" w:color="auto"/>
        <w:left w:val="none" w:sz="0" w:space="0" w:color="auto"/>
        <w:bottom w:val="none" w:sz="0" w:space="0" w:color="auto"/>
        <w:right w:val="none" w:sz="0" w:space="0" w:color="auto"/>
      </w:divBdr>
    </w:div>
    <w:div w:id="1865092943">
      <w:bodyDiv w:val="1"/>
      <w:marLeft w:val="0"/>
      <w:marRight w:val="0"/>
      <w:marTop w:val="0"/>
      <w:marBottom w:val="0"/>
      <w:divBdr>
        <w:top w:val="none" w:sz="0" w:space="0" w:color="auto"/>
        <w:left w:val="none" w:sz="0" w:space="0" w:color="auto"/>
        <w:bottom w:val="none" w:sz="0" w:space="0" w:color="auto"/>
        <w:right w:val="none" w:sz="0" w:space="0" w:color="auto"/>
      </w:divBdr>
    </w:div>
    <w:div w:id="1865359928">
      <w:bodyDiv w:val="1"/>
      <w:marLeft w:val="0"/>
      <w:marRight w:val="0"/>
      <w:marTop w:val="0"/>
      <w:marBottom w:val="0"/>
      <w:divBdr>
        <w:top w:val="none" w:sz="0" w:space="0" w:color="auto"/>
        <w:left w:val="none" w:sz="0" w:space="0" w:color="auto"/>
        <w:bottom w:val="none" w:sz="0" w:space="0" w:color="auto"/>
        <w:right w:val="none" w:sz="0" w:space="0" w:color="auto"/>
      </w:divBdr>
    </w:div>
    <w:div w:id="1873421038">
      <w:bodyDiv w:val="1"/>
      <w:marLeft w:val="0"/>
      <w:marRight w:val="0"/>
      <w:marTop w:val="0"/>
      <w:marBottom w:val="0"/>
      <w:divBdr>
        <w:top w:val="none" w:sz="0" w:space="0" w:color="auto"/>
        <w:left w:val="none" w:sz="0" w:space="0" w:color="auto"/>
        <w:bottom w:val="none" w:sz="0" w:space="0" w:color="auto"/>
        <w:right w:val="none" w:sz="0" w:space="0" w:color="auto"/>
      </w:divBdr>
    </w:div>
    <w:div w:id="1875851368">
      <w:bodyDiv w:val="1"/>
      <w:marLeft w:val="0"/>
      <w:marRight w:val="0"/>
      <w:marTop w:val="0"/>
      <w:marBottom w:val="0"/>
      <w:divBdr>
        <w:top w:val="none" w:sz="0" w:space="0" w:color="auto"/>
        <w:left w:val="none" w:sz="0" w:space="0" w:color="auto"/>
        <w:bottom w:val="none" w:sz="0" w:space="0" w:color="auto"/>
        <w:right w:val="none" w:sz="0" w:space="0" w:color="auto"/>
      </w:divBdr>
    </w:div>
    <w:div w:id="1885284750">
      <w:bodyDiv w:val="1"/>
      <w:marLeft w:val="0"/>
      <w:marRight w:val="0"/>
      <w:marTop w:val="0"/>
      <w:marBottom w:val="0"/>
      <w:divBdr>
        <w:top w:val="none" w:sz="0" w:space="0" w:color="auto"/>
        <w:left w:val="none" w:sz="0" w:space="0" w:color="auto"/>
        <w:bottom w:val="none" w:sz="0" w:space="0" w:color="auto"/>
        <w:right w:val="none" w:sz="0" w:space="0" w:color="auto"/>
      </w:divBdr>
    </w:div>
    <w:div w:id="1894002702">
      <w:bodyDiv w:val="1"/>
      <w:marLeft w:val="0"/>
      <w:marRight w:val="0"/>
      <w:marTop w:val="0"/>
      <w:marBottom w:val="0"/>
      <w:divBdr>
        <w:top w:val="none" w:sz="0" w:space="0" w:color="auto"/>
        <w:left w:val="none" w:sz="0" w:space="0" w:color="auto"/>
        <w:bottom w:val="none" w:sz="0" w:space="0" w:color="auto"/>
        <w:right w:val="none" w:sz="0" w:space="0" w:color="auto"/>
      </w:divBdr>
    </w:div>
    <w:div w:id="1894078713">
      <w:bodyDiv w:val="1"/>
      <w:marLeft w:val="0"/>
      <w:marRight w:val="0"/>
      <w:marTop w:val="0"/>
      <w:marBottom w:val="0"/>
      <w:divBdr>
        <w:top w:val="none" w:sz="0" w:space="0" w:color="auto"/>
        <w:left w:val="none" w:sz="0" w:space="0" w:color="auto"/>
        <w:bottom w:val="none" w:sz="0" w:space="0" w:color="auto"/>
        <w:right w:val="none" w:sz="0" w:space="0" w:color="auto"/>
      </w:divBdr>
    </w:div>
    <w:div w:id="1895047247">
      <w:bodyDiv w:val="1"/>
      <w:marLeft w:val="0"/>
      <w:marRight w:val="0"/>
      <w:marTop w:val="0"/>
      <w:marBottom w:val="0"/>
      <w:divBdr>
        <w:top w:val="none" w:sz="0" w:space="0" w:color="auto"/>
        <w:left w:val="none" w:sz="0" w:space="0" w:color="auto"/>
        <w:bottom w:val="none" w:sz="0" w:space="0" w:color="auto"/>
        <w:right w:val="none" w:sz="0" w:space="0" w:color="auto"/>
      </w:divBdr>
    </w:div>
    <w:div w:id="1904170934">
      <w:bodyDiv w:val="1"/>
      <w:marLeft w:val="0"/>
      <w:marRight w:val="0"/>
      <w:marTop w:val="0"/>
      <w:marBottom w:val="0"/>
      <w:divBdr>
        <w:top w:val="none" w:sz="0" w:space="0" w:color="auto"/>
        <w:left w:val="none" w:sz="0" w:space="0" w:color="auto"/>
        <w:bottom w:val="none" w:sz="0" w:space="0" w:color="auto"/>
        <w:right w:val="none" w:sz="0" w:space="0" w:color="auto"/>
      </w:divBdr>
    </w:div>
    <w:div w:id="1908804493">
      <w:bodyDiv w:val="1"/>
      <w:marLeft w:val="0"/>
      <w:marRight w:val="0"/>
      <w:marTop w:val="0"/>
      <w:marBottom w:val="0"/>
      <w:divBdr>
        <w:top w:val="none" w:sz="0" w:space="0" w:color="auto"/>
        <w:left w:val="none" w:sz="0" w:space="0" w:color="auto"/>
        <w:bottom w:val="none" w:sz="0" w:space="0" w:color="auto"/>
        <w:right w:val="none" w:sz="0" w:space="0" w:color="auto"/>
      </w:divBdr>
    </w:div>
    <w:div w:id="1913808215">
      <w:bodyDiv w:val="1"/>
      <w:marLeft w:val="0"/>
      <w:marRight w:val="0"/>
      <w:marTop w:val="0"/>
      <w:marBottom w:val="0"/>
      <w:divBdr>
        <w:top w:val="none" w:sz="0" w:space="0" w:color="auto"/>
        <w:left w:val="none" w:sz="0" w:space="0" w:color="auto"/>
        <w:bottom w:val="none" w:sz="0" w:space="0" w:color="auto"/>
        <w:right w:val="none" w:sz="0" w:space="0" w:color="auto"/>
      </w:divBdr>
    </w:div>
    <w:div w:id="1915775375">
      <w:bodyDiv w:val="1"/>
      <w:marLeft w:val="0"/>
      <w:marRight w:val="0"/>
      <w:marTop w:val="0"/>
      <w:marBottom w:val="0"/>
      <w:divBdr>
        <w:top w:val="none" w:sz="0" w:space="0" w:color="auto"/>
        <w:left w:val="none" w:sz="0" w:space="0" w:color="auto"/>
        <w:bottom w:val="none" w:sz="0" w:space="0" w:color="auto"/>
        <w:right w:val="none" w:sz="0" w:space="0" w:color="auto"/>
      </w:divBdr>
    </w:div>
    <w:div w:id="1917278411">
      <w:bodyDiv w:val="1"/>
      <w:marLeft w:val="0"/>
      <w:marRight w:val="0"/>
      <w:marTop w:val="0"/>
      <w:marBottom w:val="0"/>
      <w:divBdr>
        <w:top w:val="none" w:sz="0" w:space="0" w:color="auto"/>
        <w:left w:val="none" w:sz="0" w:space="0" w:color="auto"/>
        <w:bottom w:val="none" w:sz="0" w:space="0" w:color="auto"/>
        <w:right w:val="none" w:sz="0" w:space="0" w:color="auto"/>
      </w:divBdr>
    </w:div>
    <w:div w:id="1936785744">
      <w:bodyDiv w:val="1"/>
      <w:marLeft w:val="0"/>
      <w:marRight w:val="0"/>
      <w:marTop w:val="0"/>
      <w:marBottom w:val="0"/>
      <w:divBdr>
        <w:top w:val="none" w:sz="0" w:space="0" w:color="auto"/>
        <w:left w:val="none" w:sz="0" w:space="0" w:color="auto"/>
        <w:bottom w:val="none" w:sz="0" w:space="0" w:color="auto"/>
        <w:right w:val="none" w:sz="0" w:space="0" w:color="auto"/>
      </w:divBdr>
    </w:div>
    <w:div w:id="1936860873">
      <w:bodyDiv w:val="1"/>
      <w:marLeft w:val="0"/>
      <w:marRight w:val="0"/>
      <w:marTop w:val="0"/>
      <w:marBottom w:val="0"/>
      <w:divBdr>
        <w:top w:val="none" w:sz="0" w:space="0" w:color="auto"/>
        <w:left w:val="none" w:sz="0" w:space="0" w:color="auto"/>
        <w:bottom w:val="none" w:sz="0" w:space="0" w:color="auto"/>
        <w:right w:val="none" w:sz="0" w:space="0" w:color="auto"/>
      </w:divBdr>
    </w:div>
    <w:div w:id="1938513855">
      <w:bodyDiv w:val="1"/>
      <w:marLeft w:val="0"/>
      <w:marRight w:val="0"/>
      <w:marTop w:val="0"/>
      <w:marBottom w:val="0"/>
      <w:divBdr>
        <w:top w:val="none" w:sz="0" w:space="0" w:color="auto"/>
        <w:left w:val="none" w:sz="0" w:space="0" w:color="auto"/>
        <w:bottom w:val="none" w:sz="0" w:space="0" w:color="auto"/>
        <w:right w:val="none" w:sz="0" w:space="0" w:color="auto"/>
      </w:divBdr>
    </w:div>
    <w:div w:id="1946963290">
      <w:bodyDiv w:val="1"/>
      <w:marLeft w:val="0"/>
      <w:marRight w:val="0"/>
      <w:marTop w:val="0"/>
      <w:marBottom w:val="0"/>
      <w:divBdr>
        <w:top w:val="none" w:sz="0" w:space="0" w:color="auto"/>
        <w:left w:val="none" w:sz="0" w:space="0" w:color="auto"/>
        <w:bottom w:val="none" w:sz="0" w:space="0" w:color="auto"/>
        <w:right w:val="none" w:sz="0" w:space="0" w:color="auto"/>
      </w:divBdr>
    </w:div>
    <w:div w:id="1948275570">
      <w:bodyDiv w:val="1"/>
      <w:marLeft w:val="0"/>
      <w:marRight w:val="0"/>
      <w:marTop w:val="0"/>
      <w:marBottom w:val="0"/>
      <w:divBdr>
        <w:top w:val="none" w:sz="0" w:space="0" w:color="auto"/>
        <w:left w:val="none" w:sz="0" w:space="0" w:color="auto"/>
        <w:bottom w:val="none" w:sz="0" w:space="0" w:color="auto"/>
        <w:right w:val="none" w:sz="0" w:space="0" w:color="auto"/>
      </w:divBdr>
    </w:div>
    <w:div w:id="1954555619">
      <w:bodyDiv w:val="1"/>
      <w:marLeft w:val="0"/>
      <w:marRight w:val="0"/>
      <w:marTop w:val="0"/>
      <w:marBottom w:val="0"/>
      <w:divBdr>
        <w:top w:val="none" w:sz="0" w:space="0" w:color="auto"/>
        <w:left w:val="none" w:sz="0" w:space="0" w:color="auto"/>
        <w:bottom w:val="none" w:sz="0" w:space="0" w:color="auto"/>
        <w:right w:val="none" w:sz="0" w:space="0" w:color="auto"/>
      </w:divBdr>
    </w:div>
    <w:div w:id="1957910784">
      <w:bodyDiv w:val="1"/>
      <w:marLeft w:val="0"/>
      <w:marRight w:val="0"/>
      <w:marTop w:val="0"/>
      <w:marBottom w:val="0"/>
      <w:divBdr>
        <w:top w:val="none" w:sz="0" w:space="0" w:color="auto"/>
        <w:left w:val="none" w:sz="0" w:space="0" w:color="auto"/>
        <w:bottom w:val="none" w:sz="0" w:space="0" w:color="auto"/>
        <w:right w:val="none" w:sz="0" w:space="0" w:color="auto"/>
      </w:divBdr>
    </w:div>
    <w:div w:id="1959531848">
      <w:bodyDiv w:val="1"/>
      <w:marLeft w:val="0"/>
      <w:marRight w:val="0"/>
      <w:marTop w:val="0"/>
      <w:marBottom w:val="0"/>
      <w:divBdr>
        <w:top w:val="none" w:sz="0" w:space="0" w:color="auto"/>
        <w:left w:val="none" w:sz="0" w:space="0" w:color="auto"/>
        <w:bottom w:val="none" w:sz="0" w:space="0" w:color="auto"/>
        <w:right w:val="none" w:sz="0" w:space="0" w:color="auto"/>
      </w:divBdr>
    </w:div>
    <w:div w:id="1962607816">
      <w:bodyDiv w:val="1"/>
      <w:marLeft w:val="0"/>
      <w:marRight w:val="0"/>
      <w:marTop w:val="0"/>
      <w:marBottom w:val="0"/>
      <w:divBdr>
        <w:top w:val="none" w:sz="0" w:space="0" w:color="auto"/>
        <w:left w:val="none" w:sz="0" w:space="0" w:color="auto"/>
        <w:bottom w:val="none" w:sz="0" w:space="0" w:color="auto"/>
        <w:right w:val="none" w:sz="0" w:space="0" w:color="auto"/>
      </w:divBdr>
    </w:div>
    <w:div w:id="1970160645">
      <w:bodyDiv w:val="1"/>
      <w:marLeft w:val="0"/>
      <w:marRight w:val="0"/>
      <w:marTop w:val="0"/>
      <w:marBottom w:val="0"/>
      <w:divBdr>
        <w:top w:val="none" w:sz="0" w:space="0" w:color="auto"/>
        <w:left w:val="none" w:sz="0" w:space="0" w:color="auto"/>
        <w:bottom w:val="none" w:sz="0" w:space="0" w:color="auto"/>
        <w:right w:val="none" w:sz="0" w:space="0" w:color="auto"/>
      </w:divBdr>
    </w:div>
    <w:div w:id="1971130044">
      <w:bodyDiv w:val="1"/>
      <w:marLeft w:val="0"/>
      <w:marRight w:val="0"/>
      <w:marTop w:val="0"/>
      <w:marBottom w:val="0"/>
      <w:divBdr>
        <w:top w:val="none" w:sz="0" w:space="0" w:color="auto"/>
        <w:left w:val="none" w:sz="0" w:space="0" w:color="auto"/>
        <w:bottom w:val="none" w:sz="0" w:space="0" w:color="auto"/>
        <w:right w:val="none" w:sz="0" w:space="0" w:color="auto"/>
      </w:divBdr>
    </w:div>
    <w:div w:id="1982222711">
      <w:bodyDiv w:val="1"/>
      <w:marLeft w:val="0"/>
      <w:marRight w:val="0"/>
      <w:marTop w:val="0"/>
      <w:marBottom w:val="0"/>
      <w:divBdr>
        <w:top w:val="none" w:sz="0" w:space="0" w:color="auto"/>
        <w:left w:val="none" w:sz="0" w:space="0" w:color="auto"/>
        <w:bottom w:val="none" w:sz="0" w:space="0" w:color="auto"/>
        <w:right w:val="none" w:sz="0" w:space="0" w:color="auto"/>
      </w:divBdr>
    </w:div>
    <w:div w:id="1983654206">
      <w:bodyDiv w:val="1"/>
      <w:marLeft w:val="0"/>
      <w:marRight w:val="0"/>
      <w:marTop w:val="0"/>
      <w:marBottom w:val="0"/>
      <w:divBdr>
        <w:top w:val="none" w:sz="0" w:space="0" w:color="auto"/>
        <w:left w:val="none" w:sz="0" w:space="0" w:color="auto"/>
        <w:bottom w:val="none" w:sz="0" w:space="0" w:color="auto"/>
        <w:right w:val="none" w:sz="0" w:space="0" w:color="auto"/>
      </w:divBdr>
    </w:div>
    <w:div w:id="1984506124">
      <w:bodyDiv w:val="1"/>
      <w:marLeft w:val="0"/>
      <w:marRight w:val="0"/>
      <w:marTop w:val="0"/>
      <w:marBottom w:val="0"/>
      <w:divBdr>
        <w:top w:val="none" w:sz="0" w:space="0" w:color="auto"/>
        <w:left w:val="none" w:sz="0" w:space="0" w:color="auto"/>
        <w:bottom w:val="none" w:sz="0" w:space="0" w:color="auto"/>
        <w:right w:val="none" w:sz="0" w:space="0" w:color="auto"/>
      </w:divBdr>
    </w:div>
    <w:div w:id="1984963650">
      <w:bodyDiv w:val="1"/>
      <w:marLeft w:val="0"/>
      <w:marRight w:val="0"/>
      <w:marTop w:val="0"/>
      <w:marBottom w:val="0"/>
      <w:divBdr>
        <w:top w:val="none" w:sz="0" w:space="0" w:color="auto"/>
        <w:left w:val="none" w:sz="0" w:space="0" w:color="auto"/>
        <w:bottom w:val="none" w:sz="0" w:space="0" w:color="auto"/>
        <w:right w:val="none" w:sz="0" w:space="0" w:color="auto"/>
      </w:divBdr>
    </w:div>
    <w:div w:id="1988633203">
      <w:bodyDiv w:val="1"/>
      <w:marLeft w:val="0"/>
      <w:marRight w:val="0"/>
      <w:marTop w:val="0"/>
      <w:marBottom w:val="0"/>
      <w:divBdr>
        <w:top w:val="none" w:sz="0" w:space="0" w:color="auto"/>
        <w:left w:val="none" w:sz="0" w:space="0" w:color="auto"/>
        <w:bottom w:val="none" w:sz="0" w:space="0" w:color="auto"/>
        <w:right w:val="none" w:sz="0" w:space="0" w:color="auto"/>
      </w:divBdr>
    </w:div>
    <w:div w:id="1997024527">
      <w:bodyDiv w:val="1"/>
      <w:marLeft w:val="0"/>
      <w:marRight w:val="0"/>
      <w:marTop w:val="0"/>
      <w:marBottom w:val="0"/>
      <w:divBdr>
        <w:top w:val="none" w:sz="0" w:space="0" w:color="auto"/>
        <w:left w:val="none" w:sz="0" w:space="0" w:color="auto"/>
        <w:bottom w:val="none" w:sz="0" w:space="0" w:color="auto"/>
        <w:right w:val="none" w:sz="0" w:space="0" w:color="auto"/>
      </w:divBdr>
    </w:div>
    <w:div w:id="1998148060">
      <w:bodyDiv w:val="1"/>
      <w:marLeft w:val="0"/>
      <w:marRight w:val="0"/>
      <w:marTop w:val="0"/>
      <w:marBottom w:val="0"/>
      <w:divBdr>
        <w:top w:val="none" w:sz="0" w:space="0" w:color="auto"/>
        <w:left w:val="none" w:sz="0" w:space="0" w:color="auto"/>
        <w:bottom w:val="none" w:sz="0" w:space="0" w:color="auto"/>
        <w:right w:val="none" w:sz="0" w:space="0" w:color="auto"/>
      </w:divBdr>
    </w:div>
    <w:div w:id="2002729756">
      <w:bodyDiv w:val="1"/>
      <w:marLeft w:val="0"/>
      <w:marRight w:val="0"/>
      <w:marTop w:val="0"/>
      <w:marBottom w:val="0"/>
      <w:divBdr>
        <w:top w:val="none" w:sz="0" w:space="0" w:color="auto"/>
        <w:left w:val="none" w:sz="0" w:space="0" w:color="auto"/>
        <w:bottom w:val="none" w:sz="0" w:space="0" w:color="auto"/>
        <w:right w:val="none" w:sz="0" w:space="0" w:color="auto"/>
      </w:divBdr>
    </w:div>
    <w:div w:id="2003315509">
      <w:bodyDiv w:val="1"/>
      <w:marLeft w:val="0"/>
      <w:marRight w:val="0"/>
      <w:marTop w:val="0"/>
      <w:marBottom w:val="0"/>
      <w:divBdr>
        <w:top w:val="none" w:sz="0" w:space="0" w:color="auto"/>
        <w:left w:val="none" w:sz="0" w:space="0" w:color="auto"/>
        <w:bottom w:val="none" w:sz="0" w:space="0" w:color="auto"/>
        <w:right w:val="none" w:sz="0" w:space="0" w:color="auto"/>
      </w:divBdr>
    </w:div>
    <w:div w:id="2015455381">
      <w:bodyDiv w:val="1"/>
      <w:marLeft w:val="0"/>
      <w:marRight w:val="0"/>
      <w:marTop w:val="0"/>
      <w:marBottom w:val="0"/>
      <w:divBdr>
        <w:top w:val="none" w:sz="0" w:space="0" w:color="auto"/>
        <w:left w:val="none" w:sz="0" w:space="0" w:color="auto"/>
        <w:bottom w:val="none" w:sz="0" w:space="0" w:color="auto"/>
        <w:right w:val="none" w:sz="0" w:space="0" w:color="auto"/>
      </w:divBdr>
    </w:div>
    <w:div w:id="2023428529">
      <w:bodyDiv w:val="1"/>
      <w:marLeft w:val="0"/>
      <w:marRight w:val="0"/>
      <w:marTop w:val="0"/>
      <w:marBottom w:val="0"/>
      <w:divBdr>
        <w:top w:val="none" w:sz="0" w:space="0" w:color="auto"/>
        <w:left w:val="none" w:sz="0" w:space="0" w:color="auto"/>
        <w:bottom w:val="none" w:sz="0" w:space="0" w:color="auto"/>
        <w:right w:val="none" w:sz="0" w:space="0" w:color="auto"/>
      </w:divBdr>
    </w:div>
    <w:div w:id="2025400802">
      <w:bodyDiv w:val="1"/>
      <w:marLeft w:val="0"/>
      <w:marRight w:val="0"/>
      <w:marTop w:val="0"/>
      <w:marBottom w:val="0"/>
      <w:divBdr>
        <w:top w:val="none" w:sz="0" w:space="0" w:color="auto"/>
        <w:left w:val="none" w:sz="0" w:space="0" w:color="auto"/>
        <w:bottom w:val="none" w:sz="0" w:space="0" w:color="auto"/>
        <w:right w:val="none" w:sz="0" w:space="0" w:color="auto"/>
      </w:divBdr>
    </w:div>
    <w:div w:id="2026327669">
      <w:bodyDiv w:val="1"/>
      <w:marLeft w:val="0"/>
      <w:marRight w:val="0"/>
      <w:marTop w:val="0"/>
      <w:marBottom w:val="0"/>
      <w:divBdr>
        <w:top w:val="none" w:sz="0" w:space="0" w:color="auto"/>
        <w:left w:val="none" w:sz="0" w:space="0" w:color="auto"/>
        <w:bottom w:val="none" w:sz="0" w:space="0" w:color="auto"/>
        <w:right w:val="none" w:sz="0" w:space="0" w:color="auto"/>
      </w:divBdr>
    </w:div>
    <w:div w:id="2027636958">
      <w:bodyDiv w:val="1"/>
      <w:marLeft w:val="0"/>
      <w:marRight w:val="0"/>
      <w:marTop w:val="0"/>
      <w:marBottom w:val="0"/>
      <w:divBdr>
        <w:top w:val="none" w:sz="0" w:space="0" w:color="auto"/>
        <w:left w:val="none" w:sz="0" w:space="0" w:color="auto"/>
        <w:bottom w:val="none" w:sz="0" w:space="0" w:color="auto"/>
        <w:right w:val="none" w:sz="0" w:space="0" w:color="auto"/>
      </w:divBdr>
    </w:div>
    <w:div w:id="2033989451">
      <w:bodyDiv w:val="1"/>
      <w:marLeft w:val="0"/>
      <w:marRight w:val="0"/>
      <w:marTop w:val="0"/>
      <w:marBottom w:val="0"/>
      <w:divBdr>
        <w:top w:val="none" w:sz="0" w:space="0" w:color="auto"/>
        <w:left w:val="none" w:sz="0" w:space="0" w:color="auto"/>
        <w:bottom w:val="none" w:sz="0" w:space="0" w:color="auto"/>
        <w:right w:val="none" w:sz="0" w:space="0" w:color="auto"/>
      </w:divBdr>
    </w:div>
    <w:div w:id="2035381708">
      <w:bodyDiv w:val="1"/>
      <w:marLeft w:val="0"/>
      <w:marRight w:val="0"/>
      <w:marTop w:val="0"/>
      <w:marBottom w:val="0"/>
      <w:divBdr>
        <w:top w:val="none" w:sz="0" w:space="0" w:color="auto"/>
        <w:left w:val="none" w:sz="0" w:space="0" w:color="auto"/>
        <w:bottom w:val="none" w:sz="0" w:space="0" w:color="auto"/>
        <w:right w:val="none" w:sz="0" w:space="0" w:color="auto"/>
      </w:divBdr>
    </w:div>
    <w:div w:id="2043968228">
      <w:bodyDiv w:val="1"/>
      <w:marLeft w:val="0"/>
      <w:marRight w:val="0"/>
      <w:marTop w:val="0"/>
      <w:marBottom w:val="0"/>
      <w:divBdr>
        <w:top w:val="none" w:sz="0" w:space="0" w:color="auto"/>
        <w:left w:val="none" w:sz="0" w:space="0" w:color="auto"/>
        <w:bottom w:val="none" w:sz="0" w:space="0" w:color="auto"/>
        <w:right w:val="none" w:sz="0" w:space="0" w:color="auto"/>
      </w:divBdr>
    </w:div>
    <w:div w:id="2053116674">
      <w:bodyDiv w:val="1"/>
      <w:marLeft w:val="0"/>
      <w:marRight w:val="0"/>
      <w:marTop w:val="0"/>
      <w:marBottom w:val="0"/>
      <w:divBdr>
        <w:top w:val="none" w:sz="0" w:space="0" w:color="auto"/>
        <w:left w:val="none" w:sz="0" w:space="0" w:color="auto"/>
        <w:bottom w:val="none" w:sz="0" w:space="0" w:color="auto"/>
        <w:right w:val="none" w:sz="0" w:space="0" w:color="auto"/>
      </w:divBdr>
    </w:div>
    <w:div w:id="2061205181">
      <w:bodyDiv w:val="1"/>
      <w:marLeft w:val="0"/>
      <w:marRight w:val="0"/>
      <w:marTop w:val="0"/>
      <w:marBottom w:val="0"/>
      <w:divBdr>
        <w:top w:val="none" w:sz="0" w:space="0" w:color="auto"/>
        <w:left w:val="none" w:sz="0" w:space="0" w:color="auto"/>
        <w:bottom w:val="none" w:sz="0" w:space="0" w:color="auto"/>
        <w:right w:val="none" w:sz="0" w:space="0" w:color="auto"/>
      </w:divBdr>
    </w:div>
    <w:div w:id="2065832936">
      <w:bodyDiv w:val="1"/>
      <w:marLeft w:val="0"/>
      <w:marRight w:val="0"/>
      <w:marTop w:val="0"/>
      <w:marBottom w:val="0"/>
      <w:divBdr>
        <w:top w:val="none" w:sz="0" w:space="0" w:color="auto"/>
        <w:left w:val="none" w:sz="0" w:space="0" w:color="auto"/>
        <w:bottom w:val="none" w:sz="0" w:space="0" w:color="auto"/>
        <w:right w:val="none" w:sz="0" w:space="0" w:color="auto"/>
      </w:divBdr>
    </w:div>
    <w:div w:id="2067100059">
      <w:bodyDiv w:val="1"/>
      <w:marLeft w:val="0"/>
      <w:marRight w:val="0"/>
      <w:marTop w:val="0"/>
      <w:marBottom w:val="0"/>
      <w:divBdr>
        <w:top w:val="none" w:sz="0" w:space="0" w:color="auto"/>
        <w:left w:val="none" w:sz="0" w:space="0" w:color="auto"/>
        <w:bottom w:val="none" w:sz="0" w:space="0" w:color="auto"/>
        <w:right w:val="none" w:sz="0" w:space="0" w:color="auto"/>
      </w:divBdr>
    </w:div>
    <w:div w:id="2068532275">
      <w:bodyDiv w:val="1"/>
      <w:marLeft w:val="0"/>
      <w:marRight w:val="0"/>
      <w:marTop w:val="0"/>
      <w:marBottom w:val="0"/>
      <w:divBdr>
        <w:top w:val="none" w:sz="0" w:space="0" w:color="auto"/>
        <w:left w:val="none" w:sz="0" w:space="0" w:color="auto"/>
        <w:bottom w:val="none" w:sz="0" w:space="0" w:color="auto"/>
        <w:right w:val="none" w:sz="0" w:space="0" w:color="auto"/>
      </w:divBdr>
    </w:div>
    <w:div w:id="2070153786">
      <w:bodyDiv w:val="1"/>
      <w:marLeft w:val="0"/>
      <w:marRight w:val="0"/>
      <w:marTop w:val="0"/>
      <w:marBottom w:val="0"/>
      <w:divBdr>
        <w:top w:val="none" w:sz="0" w:space="0" w:color="auto"/>
        <w:left w:val="none" w:sz="0" w:space="0" w:color="auto"/>
        <w:bottom w:val="none" w:sz="0" w:space="0" w:color="auto"/>
        <w:right w:val="none" w:sz="0" w:space="0" w:color="auto"/>
      </w:divBdr>
    </w:div>
    <w:div w:id="2074544088">
      <w:bodyDiv w:val="1"/>
      <w:marLeft w:val="0"/>
      <w:marRight w:val="0"/>
      <w:marTop w:val="0"/>
      <w:marBottom w:val="0"/>
      <w:divBdr>
        <w:top w:val="none" w:sz="0" w:space="0" w:color="auto"/>
        <w:left w:val="none" w:sz="0" w:space="0" w:color="auto"/>
        <w:bottom w:val="none" w:sz="0" w:space="0" w:color="auto"/>
        <w:right w:val="none" w:sz="0" w:space="0" w:color="auto"/>
      </w:divBdr>
    </w:div>
    <w:div w:id="2078235830">
      <w:bodyDiv w:val="1"/>
      <w:marLeft w:val="0"/>
      <w:marRight w:val="0"/>
      <w:marTop w:val="0"/>
      <w:marBottom w:val="0"/>
      <w:divBdr>
        <w:top w:val="none" w:sz="0" w:space="0" w:color="auto"/>
        <w:left w:val="none" w:sz="0" w:space="0" w:color="auto"/>
        <w:bottom w:val="none" w:sz="0" w:space="0" w:color="auto"/>
        <w:right w:val="none" w:sz="0" w:space="0" w:color="auto"/>
      </w:divBdr>
    </w:div>
    <w:div w:id="2080859472">
      <w:bodyDiv w:val="1"/>
      <w:marLeft w:val="0"/>
      <w:marRight w:val="0"/>
      <w:marTop w:val="0"/>
      <w:marBottom w:val="0"/>
      <w:divBdr>
        <w:top w:val="none" w:sz="0" w:space="0" w:color="auto"/>
        <w:left w:val="none" w:sz="0" w:space="0" w:color="auto"/>
        <w:bottom w:val="none" w:sz="0" w:space="0" w:color="auto"/>
        <w:right w:val="none" w:sz="0" w:space="0" w:color="auto"/>
      </w:divBdr>
    </w:div>
    <w:div w:id="2082554369">
      <w:bodyDiv w:val="1"/>
      <w:marLeft w:val="0"/>
      <w:marRight w:val="0"/>
      <w:marTop w:val="0"/>
      <w:marBottom w:val="0"/>
      <w:divBdr>
        <w:top w:val="none" w:sz="0" w:space="0" w:color="auto"/>
        <w:left w:val="none" w:sz="0" w:space="0" w:color="auto"/>
        <w:bottom w:val="none" w:sz="0" w:space="0" w:color="auto"/>
        <w:right w:val="none" w:sz="0" w:space="0" w:color="auto"/>
      </w:divBdr>
    </w:div>
    <w:div w:id="2085763644">
      <w:bodyDiv w:val="1"/>
      <w:marLeft w:val="0"/>
      <w:marRight w:val="0"/>
      <w:marTop w:val="0"/>
      <w:marBottom w:val="0"/>
      <w:divBdr>
        <w:top w:val="none" w:sz="0" w:space="0" w:color="auto"/>
        <w:left w:val="none" w:sz="0" w:space="0" w:color="auto"/>
        <w:bottom w:val="none" w:sz="0" w:space="0" w:color="auto"/>
        <w:right w:val="none" w:sz="0" w:space="0" w:color="auto"/>
      </w:divBdr>
    </w:div>
    <w:div w:id="2096783360">
      <w:bodyDiv w:val="1"/>
      <w:marLeft w:val="0"/>
      <w:marRight w:val="0"/>
      <w:marTop w:val="0"/>
      <w:marBottom w:val="0"/>
      <w:divBdr>
        <w:top w:val="none" w:sz="0" w:space="0" w:color="auto"/>
        <w:left w:val="none" w:sz="0" w:space="0" w:color="auto"/>
        <w:bottom w:val="none" w:sz="0" w:space="0" w:color="auto"/>
        <w:right w:val="none" w:sz="0" w:space="0" w:color="auto"/>
      </w:divBdr>
    </w:div>
    <w:div w:id="2102725032">
      <w:bodyDiv w:val="1"/>
      <w:marLeft w:val="0"/>
      <w:marRight w:val="0"/>
      <w:marTop w:val="0"/>
      <w:marBottom w:val="0"/>
      <w:divBdr>
        <w:top w:val="none" w:sz="0" w:space="0" w:color="auto"/>
        <w:left w:val="none" w:sz="0" w:space="0" w:color="auto"/>
        <w:bottom w:val="none" w:sz="0" w:space="0" w:color="auto"/>
        <w:right w:val="none" w:sz="0" w:space="0" w:color="auto"/>
      </w:divBdr>
    </w:div>
    <w:div w:id="2105492172">
      <w:bodyDiv w:val="1"/>
      <w:marLeft w:val="0"/>
      <w:marRight w:val="0"/>
      <w:marTop w:val="0"/>
      <w:marBottom w:val="0"/>
      <w:divBdr>
        <w:top w:val="none" w:sz="0" w:space="0" w:color="auto"/>
        <w:left w:val="none" w:sz="0" w:space="0" w:color="auto"/>
        <w:bottom w:val="none" w:sz="0" w:space="0" w:color="auto"/>
        <w:right w:val="none" w:sz="0" w:space="0" w:color="auto"/>
      </w:divBdr>
    </w:div>
    <w:div w:id="2129544841">
      <w:bodyDiv w:val="1"/>
      <w:marLeft w:val="0"/>
      <w:marRight w:val="0"/>
      <w:marTop w:val="0"/>
      <w:marBottom w:val="0"/>
      <w:divBdr>
        <w:top w:val="none" w:sz="0" w:space="0" w:color="auto"/>
        <w:left w:val="none" w:sz="0" w:space="0" w:color="auto"/>
        <w:bottom w:val="none" w:sz="0" w:space="0" w:color="auto"/>
        <w:right w:val="none" w:sz="0" w:space="0" w:color="auto"/>
      </w:divBdr>
    </w:div>
    <w:div w:id="2130051705">
      <w:bodyDiv w:val="1"/>
      <w:marLeft w:val="0"/>
      <w:marRight w:val="0"/>
      <w:marTop w:val="0"/>
      <w:marBottom w:val="0"/>
      <w:divBdr>
        <w:top w:val="none" w:sz="0" w:space="0" w:color="auto"/>
        <w:left w:val="none" w:sz="0" w:space="0" w:color="auto"/>
        <w:bottom w:val="none" w:sz="0" w:space="0" w:color="auto"/>
        <w:right w:val="none" w:sz="0" w:space="0" w:color="auto"/>
      </w:divBdr>
    </w:div>
    <w:div w:id="2145003731">
      <w:bodyDiv w:val="1"/>
      <w:marLeft w:val="0"/>
      <w:marRight w:val="0"/>
      <w:marTop w:val="0"/>
      <w:marBottom w:val="0"/>
      <w:divBdr>
        <w:top w:val="none" w:sz="0" w:space="0" w:color="auto"/>
        <w:left w:val="none" w:sz="0" w:space="0" w:color="auto"/>
        <w:bottom w:val="none" w:sz="0" w:space="0" w:color="auto"/>
        <w:right w:val="none" w:sz="0" w:space="0" w:color="auto"/>
      </w:divBdr>
    </w:div>
    <w:div w:id="2146314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src.nist.gov/News/2024/the-nist-csf-20-is-her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3A6898BF8F0457DB8611C16D76ABAF0"/>
        <w:category>
          <w:name w:val="General"/>
          <w:gallery w:val="placeholder"/>
        </w:category>
        <w:types>
          <w:type w:val="bbPlcHdr"/>
        </w:types>
        <w:behaviors>
          <w:behavior w:val="content"/>
        </w:behaviors>
        <w:guid w:val="{E76C3236-4950-4891-B568-2E2BD44EAEF2}"/>
      </w:docPartPr>
      <w:docPartBody>
        <w:p w:rsidR="0030556A" w:rsidRDefault="006C3E31" w:rsidP="006C3E31">
          <w:pPr>
            <w:pStyle w:val="D3A6898BF8F0457DB8611C16D76ABAF0"/>
          </w:pPr>
          <w:r>
            <w:rPr>
              <w:rFonts w:asciiTheme="majorHAnsi" w:eastAsiaTheme="majorEastAsia" w:hAnsiTheme="majorHAnsi" w:cstheme="majorBidi"/>
              <w:caps/>
              <w:color w:val="156082" w:themeColor="accent1"/>
              <w:sz w:val="80"/>
              <w:szCs w:val="80"/>
            </w:rPr>
            <w:t>[Document title]</w:t>
          </w:r>
        </w:p>
      </w:docPartBody>
    </w:docPart>
    <w:docPart>
      <w:docPartPr>
        <w:name w:val="DFF78EE81E78426DB63FFFEA343CF10A"/>
        <w:category>
          <w:name w:val="General"/>
          <w:gallery w:val="placeholder"/>
        </w:category>
        <w:types>
          <w:type w:val="bbPlcHdr"/>
        </w:types>
        <w:behaviors>
          <w:behavior w:val="content"/>
        </w:behaviors>
        <w:guid w:val="{EAA85C72-89F9-4DD8-B5D3-6D79D49F06D6}"/>
      </w:docPartPr>
      <w:docPartBody>
        <w:p w:rsidR="0030556A" w:rsidRDefault="006C3E31" w:rsidP="006C3E31">
          <w:pPr>
            <w:pStyle w:val="DFF78EE81E78426DB63FFFEA343CF10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E31"/>
    <w:rsid w:val="00024946"/>
    <w:rsid w:val="0030556A"/>
    <w:rsid w:val="006C3E31"/>
    <w:rsid w:val="008360E1"/>
    <w:rsid w:val="008A28FD"/>
    <w:rsid w:val="009A5C72"/>
    <w:rsid w:val="00D80516"/>
    <w:rsid w:val="00E16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3A6898BF8F0457DB8611C16D76ABAF0">
    <w:name w:val="D3A6898BF8F0457DB8611C16D76ABAF0"/>
    <w:rsid w:val="006C3E31"/>
  </w:style>
  <w:style w:type="paragraph" w:customStyle="1" w:styleId="DFF78EE81E78426DB63FFFEA343CF10A">
    <w:name w:val="DFF78EE81E78426DB63FFFEA343CF10A"/>
    <w:rsid w:val="006C3E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Jan19</b:Tag>
    <b:SourceType>JournalArticle</b:SourceType>
    <b:Guid>{DC0E0B06-D2D8-4D8A-9754-7D37FD99DB71}</b:Guid>
    <b:Title>The Role of Data Security in SIEM Compliance: Meeting Regulatory Requirements and Data Protection Standards</b:Title>
    <b:Year>2019</b:Year>
    <b:Author>
      <b:Author>
        <b:NameList>
          <b:Person>
            <b:Last>Jangampeta</b:Last>
            <b:First>ShivaDutt</b:First>
          </b:Person>
          <b:Person>
            <b:Last>Khambam</b:Last>
            <b:First>Sai</b:First>
            <b:Middle>Krishna Reddy</b:Middle>
          </b:Person>
        </b:NameList>
      </b:Author>
    </b:Author>
    <b:JournalName>Turkish journal of computer and mathematics education</b:JournalName>
    <b:Pages> p.685-688</b:Pages>
    <b:Volume>Vol.10 </b:Volume>
    <b:Issue>1</b:Issue>
    <b:RefOrder>1</b:RefOrder>
  </b:Source>
  <b:Source>
    <b:Tag>Mas231</b:Tag>
    <b:SourceType>Book</b:SourceType>
    <b:Guid>{4BA78E1A-0C6C-40FB-BDF9-F863BFAB4030}</b:Guid>
    <b:Title>esponsible AI in the Enterprise: Practical AI risk management for explainable, auditable, and safe models with hyperscalers and Azure OpenAI</b:Title>
    <b:Year>2023</b:Year>
    <b:Author>
      <b:Author>
        <b:NameList>
          <b:Person>
            <b:Last>Masood</b:Last>
            <b:First>Adnan</b:First>
          </b:Person>
          <b:Person>
            <b:Last>Dawe</b:Last>
            <b:First>Heather</b:First>
          </b:Person>
        </b:NameList>
      </b:Author>
    </b:Author>
    <b:City>Birmingham</b:City>
    <b:Publisher>Packt Publishing</b:Publisher>
    <b:RefOrder>2</b:RefOrder>
  </b:Source>
  <b:Source>
    <b:Tag>Gon25</b:Tag>
    <b:SourceType>JournalArticle</b:SourceType>
    <b:Guid>{E321DC60-96E4-45FA-845B-2145DC64DA96}</b:Guid>
    <b:Title>Risk Analysis in Artificial Intelligence Systems: an Evaluation of a Hybrid FMEA-ML Approach for Failure Assessment in Machine Learning Models</b:Title>
    <b:Year>2025</b:Year>
    <b:Author>
      <b:Author>
        <b:NameList>
          <b:Person>
            <b:Last>Gonçalves</b:Last>
            <b:First>Heitor</b:First>
            <b:Middle>Oliveira</b:Middle>
          </b:Person>
          <b:Person>
            <b:Last>Pereira</b:Last>
            <b:First>José</b:First>
            <b:Middle>Cristiano</b:Middle>
          </b:Person>
          <b:Person>
            <b:Last>Amaral</b:Last>
            <b:First>Renato</b:First>
          </b:Person>
          <b:Person>
            <b:Last>Porto</b:Last>
            <b:First>Darlan</b:First>
          </b:Person>
          <b:Person>
            <b:Last>Esteves</b:Last>
            <b:First>Cleber</b:First>
          </b:Person>
        </b:NameList>
      </b:Author>
    </b:Author>
    <b:JournalName>GeSec : Revista de Gestão e Secretariado</b:JournalName>
    <b:Pages> p.e5244</b:Pages>
    <b:Volume>16 </b:Volume>
    <b:Issue>9</b:Issue>
    <b:RefOrder>3</b:RefOrder>
  </b:Source>
  <b:Source>
    <b:Tag>Gon251</b:Tag>
    <b:SourceType>JournalArticle</b:SourceType>
    <b:Guid>{4AB720AB-8115-445B-8A23-87C8C6764D74}</b:Guid>
    <b:Author>
      <b:Author>
        <b:NameList>
          <b:Person>
            <b:Last>Gonçalves</b:Last>
            <b:First>Heitor</b:First>
            <b:Middle>Oliveira</b:Middle>
          </b:Person>
          <b:Person>
            <b:Last>Pereira</b:Last>
            <b:First>José</b:First>
            <b:Middle>Cristiano</b:Middle>
          </b:Person>
          <b:Person>
            <b:Last>Amaral</b:Last>
            <b:First>Renato</b:First>
          </b:Person>
          <b:Person>
            <b:Last>Porto</b:Last>
            <b:First>Darlan</b:First>
          </b:Person>
          <b:Person>
            <b:Last>Esteves</b:Last>
            <b:First>Cleber</b:First>
          </b:Person>
        </b:NameList>
      </b:Author>
    </b:Author>
    <b:Title>Risk Analysis in Artificial Intelligence Systems: an Evaluation of a Hybrid FMEA-ML Approach for Failure Assessment in Machine Learning Models</b:Title>
    <b:JournalName>GeSec : Revista de Gestão e Secretariado</b:JournalName>
    <b:Year>2025</b:Year>
    <b:Pages>p.e5244</b:Pages>
    <b:Volume>16</b:Volume>
    <b:Issue>9</b:Issue>
    <b:RefOrder>5</b:RefOrder>
  </b:Source>
  <b:Source>
    <b:Tag>Tad24</b:Tag>
    <b:SourceType>Book</b:SourceType>
    <b:Guid>{E920895E-BD76-4F47-9CF3-C941B42B26D5}</b:Guid>
    <b:Title>The Ethics of Artificial Intelligence in Defence</b:Title>
    <b:Year>2024</b:Year>
    <b:Author>
      <b:Author>
        <b:NameList>
          <b:Person>
            <b:Last>Taddeo</b:Last>
            <b:First>Mariarosaria</b:First>
          </b:Person>
        </b:NameList>
      </b:Author>
    </b:Author>
    <b:City> New York</b:City>
    <b:Publisher> Oxford University Press</b:Publisher>
    <b:RefOrder>6</b:RefOrder>
  </b:Source>
  <b:Source>
    <b:Tag>Mau221</b:Tag>
    <b:SourceType>JournalArticle</b:SourceType>
    <b:Guid>{818AD0BC-B2BD-4260-82F4-B6D00CFB4FE3}</b:Guid>
    <b:Author>
      <b:Author>
        <b:NameList>
          <b:Person>
            <b:Last>Mauri</b:Last>
            <b:First>Lara</b:First>
          </b:Person>
          <b:Person>
            <b:Last>Damiani</b:Last>
            <b:First>Ernesto</b:First>
          </b:Person>
        </b:NameList>
      </b:Author>
    </b:Author>
    <b:Title>Modeling Threats to AI &amp; ML Systems using STRDE</b:Title>
    <b:Year>2022</b:Year>
    <b:City>Basel, Switzerland</b:City>
    <b:JournalName>Sensors</b:JournalName>
    <b:Pages>6662</b:Pages>
    <b:Volume>22</b:Volume>
    <b:Issue>17</b:Issue>
    <b:RefOrder>4</b:RefOrder>
  </b:Source>
  <b:Source>
    <b:Tag>Ato25</b:Tag>
    <b:SourceType>JournalArticle</b:SourceType>
    <b:Guid>{FB8EB313-4FE6-44DA-B80D-A3919EFD3AD6}</b:Guid>
    <b:Author>
      <b:Author>
        <b:NameList>
          <b:Person>
            <b:Last>Atoum</b:Last>
            <b:First>Ibrahim</b:First>
          </b:Person>
          <b:Person>
            <b:Last>Altahat</b:Last>
            <b:First>Salahiddin</b:First>
          </b:Person>
        </b:NameList>
      </b:Author>
    </b:Author>
    <b:Title>Unpacking the drivers of artificial intelligence regulation: driving forces and critical controls in artificial intelligence governance</b:Title>
    <b:JournalName>IAES international journal of artificial intelligence</b:JournalName>
    <b:Year>2025</b:Year>
    <b:Pages>2655</b:Pages>
    <b:Volume>14</b:Volume>
    <b:Issue>4</b:Issue>
    <b:RefOrder>7</b:RefOrder>
  </b:Source>
  <b:Source>
    <b:Tag>Alm23</b:Tag>
    <b:SourceType>JournalArticle</b:SourceType>
    <b:Guid>{4D256F48-945B-4D36-A460-FEC8BB71AF19}</b:Guid>
    <b:Author>
      <b:Author>
        <b:NameList>
          <b:Person>
            <b:Last>Almeida</b:Last>
            <b:First>Virgilio</b:First>
          </b:Person>
          <b:Person>
            <b:Last>Mendes</b:Last>
            <b:First>Laura</b:First>
            <b:Middle>Schertel</b:Middle>
          </b:Person>
          <b:Person>
            <b:Last>Doneda</b:Last>
            <b:First>Danilo</b:First>
          </b:Person>
          <b:Person>
            <b:Last>Almeida</b:Last>
            <b:First>Virgilio</b:First>
          </b:Person>
        </b:NameList>
      </b:Author>
    </b:Author>
    <b:Title>On the Development of AI Governance Frameworks</b:Title>
    <b:JournalName>IEEE; IEEE internet computing</b:JournalName>
    <b:Year>2023</b:Year>
    <b:Pages>70-74</b:Pages>
    <b:Volume>27 </b:Volume>
    <b:Issue>1</b:Issue>
    <b:RefOrder>8</b:RefOrder>
  </b:Source>
  <b:Source>
    <b:Tag>Amn25</b:Tag>
    <b:SourceType>JournalArticle</b:SourceType>
    <b:Guid>{F940E52A-671A-426F-B46E-3D6A10AC3173}</b:Guid>
    <b:Author>
      <b:Author>
        <b:NameList>
          <b:Person>
            <b:Last>Amna B</b:Last>
            <b:First>Didar</b:First>
            <b:Middle>Z, Muneera B</b:Middle>
          </b:Person>
        </b:NameList>
      </b:Author>
    </b:Author>
    <b:Title>AI governance: a systematic literature</b:Title>
    <b:JournalName>AI &amp; Ethics</b:JournalName>
    <b:Year>2025</b:Year>
    <b:Pages>3265–3279</b:Pages>
    <b:Volume>5</b:Volume>
    <b:Issue>1</b:Issue>
    <b:RefOrder>10</b:RefOrder>
  </b:Source>
  <b:Source>
    <b:Tag>NIS23</b:Tag>
    <b:SourceType>JournalArticle</b:SourceType>
    <b:Guid>{31928E20-6C58-451F-8C48-10F5E31D0EA5}</b:Guid>
    <b:Title>Artificial Intelligence Risk Management</b:Title>
    <b:JournalName>NIST AI 100-1</b:JournalName>
    <b:Year>2023</b:Year>
    <b:Pages>21-31</b:Pages>
    <b:Volume>1</b:Volume>
    <b:Issue>1</b:Issue>
    <b:Author>
      <b:Author>
        <b:NameList>
          <b:Person>
            <b:Last>NIST</b:Last>
          </b:Person>
        </b:NameList>
      </b:Author>
    </b:Author>
    <b:RefOrder>9</b:RefOrder>
  </b:Source>
  <b:Source>
    <b:Tag>Sar26</b:Tag>
    <b:SourceType>JournalArticle</b:SourceType>
    <b:Guid>{97B8051D-83C0-4BCB-904A-72AD523A86DB}</b:Guid>
    <b:Author>
      <b:Author>
        <b:NameList>
          <b:Person>
            <b:Last>Sarferaz</b:Last>
            <b:First>Siar</b:First>
          </b:Person>
        </b:NameList>
      </b:Author>
    </b:Author>
    <b:Title>Applying AI Ethics to ERP Software: A Critical Case Study and Comparative Analysis of an Industry Framework</b:Title>
    <b:JournalName>IEEE engineering management </b:JournalName>
    <b:Year>2026</b:Year>
    <b:Pages>1-19</b:Pages>
    <b:Volume>1</b:Volume>
    <b:Issue>1</b:Issue>
    <b:RefOrder>11</b:RefOrder>
  </b:Source>
  <b:Source>
    <b:Tag>Alm231</b:Tag>
    <b:SourceType>JournalArticle</b:SourceType>
    <b:Guid>{2DC77EAE-6685-4F6D-A644-61B43FE7ADA6}</b:Guid>
    <b:Author>
      <b:Author>
        <b:NameList>
          <b:Person>
            <b:Last>Almeida</b:Last>
            <b:First>Virgilio</b:First>
          </b:Person>
          <b:Person>
            <b:Last>Mendes</b:Last>
            <b:First>Laura</b:First>
            <b:Middle>Schertel</b:Middle>
          </b:Person>
          <b:Person>
            <b:Last>Doneda</b:Last>
            <b:First>Danilo</b:First>
          </b:Person>
          <b:Person>
            <b:Last>Almeida</b:Last>
            <b:First>Virgilio</b:First>
          </b:Person>
        </b:NameList>
      </b:Author>
    </b:Author>
    <b:Title> On the Development of AI Governance Frameworks</b:Title>
    <b:JournalName>IEEE internet computing</b:JournalName>
    <b:Year>2023</b:Year>
    <b:Pages>70-74</b:Pages>
    <b:Volume>27 </b:Volume>
    <b:Issue>1</b:Issue>
    <b:RefOrder>12</b:RefOrder>
  </b:Source>
  <b:Source>
    <b:Tag>Aro25</b:Tag>
    <b:SourceType>JournalArticle</b:SourceType>
    <b:Guid>{524C1CB0-CE9F-44D1-B41B-AB0AECBF00F4}</b:Guid>
    <b:Author>
      <b:Author>
        <b:NameList>
          <b:Person>
            <b:Last>Arora</b:Last>
            <b:First>Anshu</b:First>
            <b:Middle>Saxena</b:Middle>
          </b:Person>
          <b:Person>
            <b:Last>Arora</b:Last>
            <b:First>Amit</b:First>
          </b:Person>
          <b:Person>
            <b:Last>Saboia</b:Last>
            <b:First>Luisa</b:First>
          </b:Person>
          <b:Person>
            <b:Last>McIntyre</b:Last>
            <b:First>John</b:First>
            <b:Middle>R</b:Middle>
          </b:Person>
        </b:NameList>
      </b:Author>
    </b:Author>
    <b:Title>Human-Centric Versus State-Driven: A Comparative Analysis of the European Union's and China's Artificial Intelligence Governance Using Risk Management</b:Title>
    <b:JournalName>International journal of intelligent information technologies</b:JournalName>
    <b:Year>2025</b:Year>
    <b:Pages>1-13</b:Pages>
    <b:Volume>21 </b:Volume>
    <b:Issue>1</b:Issue>
    <b:RefOrder>13</b:RefOrder>
  </b:Source>
  <b:Source>
    <b:Tag>Sar261</b:Tag>
    <b:SourceType>JournalArticle</b:SourceType>
    <b:Guid>{D942A096-D83D-4BEC-9A16-02B41A40F395}</b:Guid>
    <b:Author>
      <b:Author>
        <b:NameList>
          <b:Person>
            <b:Last>Sarferaz</b:Last>
            <b:First>Siar</b:First>
          </b:Person>
        </b:NameList>
      </b:Author>
    </b:Author>
    <b:Title>Applying AI Ethics to ERP Software: A Critical Case Study and Comparative Analysis of an Industry Framework</b:Title>
    <b:JournalName>IEEE engineering management </b:JournalName>
    <b:Year>2026</b:Year>
    <b:Pages>1-19</b:Pages>
    <b:RefOrder>14</b:RefOrder>
  </b:Source>
  <b:Source>
    <b:Tag>Cam24</b:Tag>
    <b:SourceType>JournalArticle</b:SourceType>
    <b:Guid>{FFA23250-6DC5-4B22-9B17-AF0683E716BE}</b:Guid>
    <b:Author>
      <b:Author>
        <b:NameList>
          <b:Person>
            <b:Last>Camilleri</b:Last>
            <b:First>Mark</b:First>
            <b:Middle>Anthony</b:Middle>
          </b:Person>
        </b:NameList>
      </b:Author>
    </b:Author>
    <b:Title>Artificial intelligence governance: Ethical considerations and implications for social responsibility</b:Title>
    <b:JournalName>Expert systems</b:JournalName>
    <b:Year>2024</b:Year>
    <b:Volume>41 </b:Volume>
    <b:Issue>7</b:Issue>
    <b:RefOrder>15</b:RefOrder>
  </b:Source>
  <b:Source>
    <b:Tag>Gra15</b:Tag>
    <b:SourceType>JournalArticle</b:SourceType>
    <b:Guid>{72C548D7-8C5E-4529-866D-21552C525807}</b:Guid>
    <b:Author>
      <b:Author>
        <b:NameList>
          <b:Person>
            <b:Last>Grady</b:Last>
            <b:First>Christine.</b:First>
            <b:Middle>Chest. 2015</b:Middle>
          </b:Person>
        </b:NameList>
      </b:Author>
    </b:Author>
    <b:Title>Institutional Review Boards: Purpose and Challenges</b:Title>
    <b:JournalName>Chest</b:JournalName>
    <b:Year>2015</b:Year>
    <b:Pages>1148-1155</b:Pages>
    <b:Volume>148</b:Volume>
    <b:Issue>5</b:Issue>
    <b:RefOrder>16</b:RefOrder>
  </b:Source>
  <b:Source>
    <b:Tag>AlF25</b:Tag>
    <b:SourceType>JournalArticle</b:SourceType>
    <b:Guid>{B771C283-73F8-436C-9FD0-825AE2DDE7FC}</b:Guid>
    <b:Author>
      <b:Author>
        <b:NameList>
          <b:Person>
            <b:Last>AlFattani</b:Last>
            <b:First>Areej</b:First>
          </b:Person>
          <b:Person>
            <b:Last>AlShahrani</b:Last>
            <b:First>Asma</b:First>
          </b:Person>
          <b:Person>
            <b:Last>AlBedah</b:Last>
            <b:First>Norah</b:First>
          </b:Person>
          <b:Person>
            <b:Last>Alkawi</b:Last>
            <b:First>Ammar</b:First>
          </b:Person>
          <b:Person>
            <b:Last>AlMeharish</b:Last>
            <b:First>Amani</b:First>
          </b:Person>
          <b:Person>
            <b:Last>Altwaijri</b:Last>
            <b:First>Yasmin</b:First>
          </b:Person>
          <b:Person>
            <b:Last>Omar</b:Last>
            <b:First>Abeer</b:First>
          </b:Person>
          <b:Person>
            <b:Last>AlKawi</b:Last>
            <b:First>M.</b:First>
            <b:Middle>Zuheir</b:Middle>
          </b:Person>
          <b:Person>
            <b:Last>Khogeer</b:Last>
            <b:First>Asim</b:First>
          </b:Person>
        </b:NameList>
      </b:Author>
    </b:Author>
    <b:Title>Exploring Researchers’ Perspectives on Institutional Review Boards Functions in Saudi Arabia: A Survey Utilizing the IRB-RAT Tool</b:Title>
    <b:JournalName>BMC medical ethics</b:JournalName>
    <b:Year>2025</b:Year>
    <b:Pages>26-9, Article 26</b:Pages>
    <b:Volume>26</b:Volume>
    <b:Issue>1</b:Issue>
    <b:RefOrder>17</b:RefOrder>
  </b:Source>
  <b:Source>
    <b:Tag>Zho25</b:Tag>
    <b:SourceType>JournalArticle</b:SourceType>
    <b:Guid>{86F06C74-3392-4E71-96D4-DE13D5198163}</b:Guid>
    <b:Author>
      <b:Author>
        <b:NameList>
          <b:Person>
            <b:Last>Zhou</b:Last>
            <b:First>Mo</b:First>
          </b:Person>
          <b:Person>
            <b:Last>Chen</b:Last>
            <b:First>Yinhao</b:First>
          </b:Person>
          <b:Person>
            <b:Last>Zhou</b:Last>
            <b:First>Liuzhao</b:First>
          </b:Person>
          <b:Person>
            <b:Last>Zhan</b:Last>
            <b:First>Jizhou</b:First>
          </b:Person>
          <b:Person>
            <b:Last>Chong</b:Last>
            <b:First>Heap-Yih</b:First>
          </b:Person>
        </b:NameList>
      </b:Author>
    </b:Author>
    <b:Title>Strengthening power grid projects’ governance and sustainability through lifecycle auditing</b:Title>
    <b:JournalName>Scientific reports</b:JournalName>
    <b:Year> 2025</b:Year>
    <b:Pages>36442</b:Pages>
    <b:Volume>15 </b:Volume>
    <b:Issue>1</b:Issue>
    <b:RefOrder>18</b:RefOrder>
  </b:Source>
  <b:Source>
    <b:Tag>Leoce</b:Tag>
    <b:SourceType>JournalArticle</b:SourceType>
    <b:Guid>{4E481FDD-A430-48F8-AECE-5EAAE12B98EE}</b:Guid>
    <b:Author>
      <b:Author>
        <b:NameList>
          <b:Person>
            <b:Last>Leon</b:Last>
            <b:First>Maikel</b:First>
          </b:Person>
        </b:NameList>
      </b:Author>
    </b:Author>
    <b:Title>Lifecycle‐Based Governance to Build Reliable Ethical AI Systems</b:Title>
    <b:JournalName>Systems research and behavioral science</b:JournalName>
    <b:Year>Systems research and behavioral science</b:Year>
    <b:Pages>2026</b:Pages>
    <b:Volume>1</b:Volume>
    <b:Issue>1</b:Issue>
    <b:RefOrder>19</b:RefOrder>
  </b:Source>
  <b:Source>
    <b:Tag>Mam23</b:Tag>
    <b:SourceType>JournalArticle</b:SourceType>
    <b:Guid>{D2C11A9C-FEC4-48C8-9864-010D25D21237}</b:Guid>
    <b:Author>
      <b:Author>
        <b:NameList>
          <b:Person>
            <b:Last>Agbese</b:Last>
            <b:First>Mamia</b:First>
          </b:Person>
          <b:Person>
            <b:Last>Alanen</b:Last>
            <b:First>Hanna-Kaisa</b:First>
          </b:Person>
          <b:Person>
            <b:Last>Antikainen</b:Last>
            <b:First>Jani</b:First>
          </b:Person>
          <b:Person>
            <b:Last>Erika</b:Last>
            <b:First>Halme</b:First>
          </b:Person>
          <b:Person>
            <b:Last>Isomaki</b:Last>
            <b:First>Hannakaisa</b:First>
          </b:Person>
          <b:Person>
            <b:Last>Jantunen</b:Last>
            <b:First>Marianna</b:First>
          </b:Person>
          <b:Person>
            <b:Last>Kemell</b:Last>
            <b:First>Kai-Kristian</b:First>
          </b:Person>
          <b:Person>
            <b:Last>Rousi</b:Last>
            <b:First>Rebekah</b:First>
          </b:Person>
          <b:Person>
            <b:Last>Vainio-Pekka</b:Last>
            <b:First>Heidi</b:First>
          </b:Person>
          <b:Person>
            <b:Last>Vakkuri</b:Last>
            <b:First>Ville</b:First>
          </b:Person>
        </b:NameList>
      </b:Author>
    </b:Author>
    <b:Title>Governance in Ethical, Trustworthy AI Systems: Extension of the ECCOLA Method for AI Ethics Governance Using GARP</b:Title>
    <b:JournalName>E-informatica : software engineering journal</b:JournalName>
    <b:Year>2023</b:Year>
    <b:Volume>17 </b:Volume>
    <b:Issue>1</b:Issue>
    <b:RefOrder>20</b:RefOrder>
  </b:Source>
  <b:Source>
    <b:Tag>Sza25</b:Tag>
    <b:SourceType>JournalArticle</b:SourceType>
    <b:Guid>{5A7341C3-96D6-4758-A7E5-90294B290A0B}</b:Guid>
    <b:Author>
      <b:Author>
        <b:NameList>
          <b:Person>
            <b:Last>Szadeczky</b:Last>
            <b:First>Tamas</b:First>
          </b:Person>
          <b:Person>
            <b:Last>Bederna</b:Last>
            <b:First>Zsolt</b:First>
          </b:Person>
        </b:NameList>
      </b:Author>
    </b:Author>
    <b:Title>Risk, regulation, and governance: evaluating artificial intelligence across diverse application scenarios</b:Title>
    <b:JournalName>Security journal</b:JournalName>
    <b:Year>2025</b:Year>
    <b:Pages>35</b:Pages>
    <b:Volume>38 </b:Volume>
    <b:Issue>1</b:Issue>
    <b:RefOrder>21</b:RefOrder>
  </b:Source>
  <b:Source>
    <b:Tag>Bah25</b:Tag>
    <b:SourceType>JournalArticle</b:SourceType>
    <b:Guid>{282BBB2D-E868-4BE4-B059-ABADE6080D44}</b:Guid>
    <b:Author>
      <b:Author>
        <b:NameList>
          <b:Person>
            <b:Last>Bahgat</b:Last>
            <b:First>Ahmed</b:First>
          </b:Person>
        </b:NameList>
      </b:Author>
    </b:Author>
    <b:Title>AI governance and data privacy in cross-border contexts: A comparative analysis of regulatory frameworks</b:Title>
    <b:JournalName>Journal of Data Protection &amp; Privacy</b:JournalName>
    <b:Year>2025</b:Year>
    <b:Pages>8-23</b:Pages>
    <b:Volume>8</b:Volume>
    <b:Issue>1</b:Issue>
    <b:RefOrder>22</b:RefOrder>
  </b:Source>
  <b:Source>
    <b:Tag>Gan25</b:Tag>
    <b:SourceType>JournalArticle</b:SourceType>
    <b:Guid>{2A5E2A63-5FB9-44B7-8D67-13037308023F}</b:Guid>
    <b:Author>
      <b:Author>
        <b:NameList>
          <b:Person>
            <b:Last>Gans Combe</b:Last>
            <b:First>Caroline</b:First>
          </b:Person>
        </b:NameList>
      </b:Author>
    </b:Author>
    <b:Title>Beyond technical adequacy: A holistic framework for evaluating artificial intelligence systems through the scaling responsible artificial intelligence mentorship approach</b:Title>
    <b:JournalName>Evaluation</b:JournalName>
    <b:Year>2025</b:Year>
    <b:RefOrder>23</b:RefOrder>
  </b:Source>
  <b:Source>
    <b:Tag>Cor25</b:Tag>
    <b:SourceType>JournalArticle</b:SourceType>
    <b:Guid>{C2294366-4577-4126-936A-A062F5CB68E6}</b:Guid>
    <b:Author>
      <b:Author>
        <b:NameList>
          <b:Person>
            <b:Last>Corrêa</b:Last>
            <b:First>Nicholas</b:First>
            <b:Middle>Kluge</b:Middle>
          </b:Person>
          <b:Person>
            <b:Last>Santos</b:Last>
            <b:First>James</b:First>
            <b:Middle>William</b:Middle>
          </b:Person>
          <b:Person>
            <b:Last>Galvão</b:Last>
            <b:First>Camila</b:First>
          </b:Person>
          <b:Person>
            <b:Last>Pasetti</b:Last>
            <b:First>Marcelo</b:First>
          </b:Person>
          <b:Person>
            <b:Last>Schiavon</b:Last>
            <b:First>Dieine</b:First>
          </b:Person>
          <b:Person>
            <b:Last>Naqvi</b:Last>
            <b:First>Faizah</b:First>
          </b:Person>
          <b:Person>
            <b:Last>Hossain</b:Last>
            <b:First>Robayet</b:First>
          </b:Person>
          <b:Person>
            <b:Last>Oliveira</b:Last>
            <b:First>Nythamar</b:First>
            <b:Middle>De</b:Middle>
          </b:Person>
        </b:NameList>
      </b:Author>
    </b:Author>
    <b:Title>Crossing the principle–practice gap in AI ethics with ethical problem-solving</b:Title>
    <b:JournalName>Ai and ethics </b:JournalName>
    <b:Year>2025</b:Year>
    <b:Pages>1271-1288</b:Pages>
    <b:Volume>5 </b:Volume>
    <b:Issue>2</b:Issue>
    <b:RefOrder>24</b:RefOrder>
  </b:Source>
  <b:Source>
    <b:Tag>Bor23</b:Tag>
    <b:SourceType>JournalArticle</b:SourceType>
    <b:Guid>{8F1069CD-4A4B-42E6-B30F-BA78EE5723AA}</b:Guid>
    <b:Author>
      <b:Author>
        <b:NameList>
          <b:Person>
            <b:Last>Borsci</b:Last>
            <b:First>Simone</b:First>
          </b:Person>
          <b:Person>
            <b:Last>Lehtola</b:Last>
            <b:First>Ville</b:First>
            <b:Middle>V.</b:Middle>
          </b:Person>
          <b:Person>
            <b:Last>Nex</b:Last>
            <b:First>Francesco</b:First>
          </b:Person>
          <b:Person>
            <b:Last>Yang</b:Last>
            <b:First>Michael</b:First>
            <b:Middle>Ying</b:Middle>
          </b:Person>
          <b:Person>
            <b:Last>Augustijn</b:Last>
            <b:First>Ellen-Wien</b:First>
          </b:Person>
          <b:Person>
            <b:Last>Bagheriye</b:Last>
            <b:First>Leila</b:First>
          </b:Person>
          <b:Person>
            <b:Last>Brune</b:Last>
            <b:First>Christoph</b:First>
          </b:Person>
          <b:Person>
            <b:Last>Kounadi</b:Last>
            <b:First>Ourania</b:First>
          </b:Person>
          <b:Person>
            <b:Last>Li</b:Last>
            <b:First>Jamy</b:First>
          </b:Person>
          <b:Person>
            <b:Last>Moreira</b:Last>
            <b:First>Joao</b:First>
          </b:Person>
          <b:Person>
            <b:Last>Van Der Nagel</b:Last>
            <b:First>Joanne</b:First>
          </b:Person>
          <b:Person>
            <b:Last>Veldkamp</b:Last>
            <b:First>Bernard</b:First>
          </b:Person>
          <b:Person>
            <b:Last>Le</b:Last>
            <b:First>Duc</b:First>
            <b:Middle>V.</b:Middle>
          </b:Person>
          <b:Person>
            <b:Last>Wang</b:Last>
            <b:First>Mingshu</b:First>
          </b:Person>
        </b:NameList>
      </b:Author>
    </b:Author>
    <b:Title>Embedding artificial intelligence in society: looking beyond the EU AI master plan using the culture cycle</b:Title>
    <b:JournalName>AI &amp; society</b:JournalName>
    <b:Year>2023</b:Year>
    <b:Pages>1465-1484</b:Pages>
    <b:Volume>38</b:Volume>
    <b:Issue>4</b:Issue>
    <b:RefOrder>25</b:RefOrder>
  </b:Source>
  <b:Source>
    <b:Tag>McG22</b:Tag>
    <b:SourceType>Report</b:SourceType>
    <b:Guid>{81B4C2E6-635A-4604-B18A-F926F1DDC4DA}</b:Guid>
    <b:Title>An Enterprise Risk Management Framework to Design Pro-Ethical AI Solutions</b:Title>
    <b:Year>2022</b:Year>
    <b:Author>
      <b:Author>
        <b:NameList>
          <b:Person>
            <b:Last>McGrath</b:Last>
            <b:First>Quintin</b:First>
            <b:Middle>P</b:Middle>
          </b:Person>
        </b:NameList>
      </b:Author>
    </b:Author>
    <b:Publisher>ProQuest Dissertations &amp; Theses</b:Publisher>
    <b:RefOrder>26</b:RefOrder>
  </b:Source>
  <b:Source>
    <b:Tag>Maa25</b:Tag>
    <b:SourceType>Book</b:SourceType>
    <b:Guid>{FACC8465-F266-4E56-AA6B-DD4F3F10B709}</b:Guid>
    <b:Title>Architectures of Global AI Governance: From Technological Change to Human Choice</b:Title>
    <b:Year>2025</b:Year>
    <b:Publisher>Oxford University Press</b:Publisher>
    <b:City>Oxford</b:City>
    <b:Author>
      <b:Author>
        <b:NameList>
          <b:Person>
            <b:Last>Maas</b:Last>
            <b:First>Matthijs</b:First>
            <b:Middle>M.</b:Middle>
          </b:Person>
        </b:NameList>
      </b:Author>
    </b:Author>
    <b:RefOrder>27</b:RefOrder>
  </b:Source>
  <b:Source>
    <b:Tag>Kim24</b:Tag>
    <b:SourceType>JournalArticle</b:SourceType>
    <b:Guid>{3DF97FE7-4FB8-4798-A553-73E76F574957}</b:Guid>
    <b:Title>Exploring Effective Zero Trust Architecture for Defense Cybersecurity: A Study</b:Title>
    <b:Year>2024</b:Year>
    <b:Author>
      <b:Author>
        <b:NameList>
          <b:Person>
            <b:Last>Kim</b:Last>
            <b:First>Youngho</b:First>
          </b:Person>
          <b:Person>
            <b:Last>Sohn</b:Last>
            <b:First>Seon-Gyoung</b:First>
          </b:Person>
          <b:Person>
            <b:Last>Kim</b:Last>
            <b:First>Kyeong</b:First>
            <b:Middle>Tae</b:Middle>
          </b:Person>
          <b:Person>
            <b:Last>Jeon</b:Last>
            <b:First>Hae</b:First>
            <b:Middle>Sook</b:Middle>
          </b:Person>
          <b:Person>
            <b:Last>Lee</b:Last>
            <b:First>Sang-Min</b:First>
          </b:Person>
          <b:Person>
            <b:Last>Lee</b:Last>
            <b:First>Yunkyung</b:First>
          </b:Person>
          <b:Person>
            <b:Last>Kim</b:Last>
            <b:First>Jeongnyeo</b:First>
          </b:Person>
        </b:NameList>
      </b:Author>
    </b:Author>
    <b:JournalName>KSII Transactions on Internet and Information Systems</b:JournalName>
    <b:Pages>2665-2691</b:Pages>
    <b:Volume>18</b:Volume>
    <b:Issue>9</b:Issue>
    <b:RefOrder>28</b:RefOrder>
  </b:Source>
  <b:Source>
    <b:Tag>Kha92</b:Tag>
    <b:SourceType>JournalArticle</b:SourceType>
    <b:Guid>{56B750BB-CC92-4F23-A503-543352E5BC0D}</b:Guid>
    <b:Author>
      <b:Author>
        <b:NameList>
          <b:Person>
            <b:Last>Shirvani</b:Last>
            <b:First>Khadijeh</b:First>
          </b:Person>
          <b:Person>
            <b:Last>Tafreshi</b:Last>
            <b:First>Mohammad</b:First>
            <b:Middle>Isaei</b:Middle>
          </b:Person>
        </b:NameList>
      </b:Author>
    </b:Author>
    <b:Title>Protection of Children's Personal Data under the General Data Protection Regulation (GDPR) of the European Union and its Absence in Iranian Law</b:Title>
    <b:JournalName>Ḥuqūq-i fanāvarīhā-yi nuvīn</b:JournalName>
    <b:Year>Ḥuqūq-i fanāvarīhā-yi nuvīn, 2025-09, Vol.6 (12), p.275-292</b:Year>
    <b:Pages>2025</b:Pages>
    <b:Volume>6 </b:Volume>
    <b:Issue>12</b:Issue>
    <b:RefOrder>29</b:RefOrder>
  </b:Source>
  <b:Source>
    <b:Tag>Fra24</b:Tag>
    <b:SourceType>JournalArticle</b:SourceType>
    <b:Guid>{31D822E4-6BC9-4DE7-AAD3-E234E065E783}</b:Guid>
    <b:Author>
      <b:Author>
        <b:NameList>
          <b:Person>
            <b:Last>Framingham</b:Last>
          </b:Person>
        </b:NameList>
      </b:Author>
    </b:Author>
    <b:Title>What the Digital Operational Resilience Act means for you</b:Title>
    <b:JournalName>CIO</b:JournalName>
    <b:Year>2024</b:Year>
    <b:RefOrder>30</b:RefOrder>
  </b:Source>
  <b:Source>
    <b:Tag>Str06</b:Tag>
    <b:SourceType>JournalArticle</b:SourceType>
    <b:Guid>{31B5028F-504D-47E3-BF1A-B72E4733DA84}</b:Guid>
    <b:Author>
      <b:Author>
        <b:NameList>
          <b:Person>
            <b:Last>Strasser</b:Last>
            <b:First>Patricia</b:First>
            <b:Middle>B.</b:Middle>
          </b:Person>
          <b:Person>
            <b:Last>Randolph</b:Last>
            <b:First>Susan</b:First>
            <b:Middle>A.</b:Middle>
          </b:Person>
        </b:NameList>
      </b:Author>
    </b:Author>
    <b:Title>Developing Policies and Procedures</b:Title>
    <b:JournalName>AAOHN journal, </b:JournalName>
    <b:Year>2006</b:Year>
    <b:Pages>501-504</b:Pages>
    <b:Volume>54 </b:Volume>
    <b:Issue>11</b:Issue>
    <b:RefOrder>31</b:RefOrder>
  </b:Source>
  <b:Source>
    <b:Tag>Mos20</b:Tag>
    <b:SourceType>JournalArticle</b:SourceType>
    <b:Guid>{005EA538-15DA-4F24-9168-B15999434109}</b:Guid>
    <b:Author>
      <b:Author>
        <b:NameList>
          <b:Person>
            <b:Last>Pouyakian</b:Last>
            <b:First>Mostafa</b:First>
          </b:Person>
          <b:Person>
            <b:Last>Khatabakhsh</b:Last>
            <b:First>Ashkan</b:First>
          </b:Person>
          <b:Person>
            <b:Last>Jafari</b:Last>
            <b:First>Mohammad</b:First>
            <b:Middle>Javad</b:Middle>
          </b:Person>
        </b:NameList>
      </b:Author>
    </b:Author>
    <b:Title>The analysis of hazard identification and risk assessment studies with the approach to assessing risk control measures since 2001 to 2017: A systemic review</b:Title>
    <b:JournalName>Salāmat-i kār-i Īrān</b:JournalName>
    <b:Year>2020</b:Year>
    <b:Pages>1-15</b:Pages>
    <b:Volume>16 </b:Volume>
    <b:Issue>6</b:Issue>
    <b:RefOrder>35</b:RefOrder>
  </b:Source>
  <b:Source>
    <b:Tag>Gho25</b:Tag>
    <b:SourceType>JournalArticle</b:SourceType>
    <b:Guid>{C42FA4FD-3CDD-4913-9ED2-21F8316D13D1}</b:Guid>
    <b:Author>
      <b:Author>
        <b:NameList>
          <b:Person>
            <b:Last>Ghosh</b:Last>
            <b:First>Arjun</b:First>
          </b:Person>
          <b:Person>
            <b:Last>Saini</b:Last>
            <b:First>Ankit</b:First>
          </b:Person>
          <b:Person>
            <b:Last>Barad</b:Last>
            <b:First>Himanshu</b:First>
          </b:Person>
        </b:NameList>
      </b:Author>
    </b:Author>
    <b:Title>Artificial intelligence in governance: recent trends, risks, challenges, innovative frameworks and future directions</b:Title>
    <b:JournalName>AI &amp; society</b:JournalName>
    <b:Year>2025</b:Year>
    <b:Pages>5685-5707</b:Pages>
    <b:Volume>40</b:Volume>
    <b:Issue>7</b:Issue>
    <b:RefOrder>32</b:RefOrder>
  </b:Source>
  <b:Source>
    <b:Tag>Aou20</b:Tag>
    <b:SourceType>ConferenceProceedings</b:SourceType>
    <b:Guid>{3B2CAC45-1B33-4AB1-9CDF-3DA8E114D89E}</b:Guid>
    <b:Title>Policy-driven middleware for multi-tenant saas services configuration</b:Title>
    <b:Year>2020</b:Year>
    <b:Author>
      <b:Author>
        <b:NameList>
          <b:Person>
            <b:Last>Aouzal</b:Last>
            <b:First>Khadija</b:First>
          </b:Person>
          <b:Person>
            <b:Last>Hafiddi</b:Last>
            <b:First>Hatim</b:First>
          </b:Person>
          <b:Person>
            <b:Last>Dahchour</b:Last>
            <b:First>Mohamed</b:First>
          </b:Person>
        </b:NameList>
      </b:Author>
    </b:Author>
    <b:ConferenceName>Proceedings of the 24th ACM Conference on Systems and Software Product Line: </b:ConferenceName>
    <b:City>New York</b:City>
    <b:RefOrder>33</b:RefOrder>
  </b:Source>
  <b:Source>
    <b:Tag>Ahm23</b:Tag>
    <b:SourceType>JournalArticle</b:SourceType>
    <b:Guid>{0B761A7A-F69C-44CF-AABE-6859E0D5E0CE}</b:Guid>
    <b:Title>Enhancing BYOD mobile device security in a hybrid environment</b:Title>
    <b:Year>2023</b:Year>
    <b:Author>
      <b:Author>
        <b:NameList>
          <b:Person>
            <b:Last>Ahmadov</b:Last>
            <b:First>Samur</b:First>
          </b:Person>
        </b:NameList>
      </b:Author>
    </b:Author>
    <b:JournalName>Sustainable Engineering and Innovation</b:JournalName>
    <b:Pages>247-260</b:Pages>
    <b:Volume>5</b:Volume>
    <b:Issue>2</b:Issue>
    <b:RefOrder>34</b:RefOrder>
  </b:Source>
</b:Sources>
</file>

<file path=customXml/itemProps1.xml><?xml version="1.0" encoding="utf-8"?>
<ds:datastoreItem xmlns:ds="http://schemas.openxmlformats.org/officeDocument/2006/customXml" ds:itemID="{454125EB-A5F4-498E-B7D3-19B959AA5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941</TotalTime>
  <Pages>20</Pages>
  <Words>6485</Words>
  <Characters>36965</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SECURITE &amp; COMPLIANCE</dc:title>
  <dc:subject>Computing Portfolio</dc:subject>
  <dc:creator>beda Ndepo</dc:creator>
  <cp:keywords/>
  <dc:description/>
  <cp:lastModifiedBy>beda Ndepo</cp:lastModifiedBy>
  <cp:revision>535</cp:revision>
  <dcterms:created xsi:type="dcterms:W3CDTF">2026-03-25T22:22:00Z</dcterms:created>
  <dcterms:modified xsi:type="dcterms:W3CDTF">2026-04-21T16:48:00Z</dcterms:modified>
</cp:coreProperties>
</file>