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7F985" w14:textId="77777777" w:rsidR="00662363" w:rsidRDefault="00662363">
      <w:pPr>
        <w:rPr>
          <w:rFonts w:ascii="Calibri" w:eastAsia="Calibri" w:hAnsi="Calibri" w:cs="Calibri"/>
          <w:b/>
          <w:color w:val="000000"/>
        </w:rPr>
      </w:pPr>
    </w:p>
    <w:p w14:paraId="3E3C35D0" w14:textId="77777777" w:rsidR="00662363" w:rsidRDefault="00662363">
      <w:pPr>
        <w:rPr>
          <w:rFonts w:ascii="Calibri" w:eastAsia="Calibri" w:hAnsi="Calibri" w:cs="Calibri"/>
          <w:b/>
          <w:color w:val="000000"/>
        </w:rPr>
      </w:pPr>
    </w:p>
    <w:p w14:paraId="26E945E1" w14:textId="77777777" w:rsidR="00662363" w:rsidRDefault="00662363">
      <w:pPr>
        <w:rPr>
          <w:rFonts w:ascii="Calibri" w:eastAsia="Calibri" w:hAnsi="Calibri" w:cs="Calibri"/>
          <w:b/>
          <w:color w:val="000000"/>
        </w:rPr>
      </w:pPr>
    </w:p>
    <w:p w14:paraId="5E2A8FFE" w14:textId="77777777" w:rsidR="00662363" w:rsidRDefault="00662363">
      <w:pPr>
        <w:jc w:val="center"/>
        <w:rPr>
          <w:rFonts w:ascii="Calibri" w:eastAsia="Calibri" w:hAnsi="Calibri" w:cs="Calibri"/>
          <w:b/>
          <w:color w:val="000000"/>
        </w:rPr>
      </w:pPr>
    </w:p>
    <w:p w14:paraId="21E2F983" w14:textId="77777777" w:rsidR="00662363" w:rsidRDefault="00662363">
      <w:pPr>
        <w:jc w:val="center"/>
        <w:rPr>
          <w:rFonts w:ascii="Calibri" w:eastAsia="Calibri" w:hAnsi="Calibri" w:cs="Calibri"/>
          <w:b/>
          <w:color w:val="000000"/>
        </w:rPr>
      </w:pPr>
    </w:p>
    <w:p w14:paraId="1B8AE232" w14:textId="77777777" w:rsidR="00662363" w:rsidRDefault="00662363">
      <w:pPr>
        <w:jc w:val="center"/>
        <w:rPr>
          <w:rFonts w:ascii="Calibri" w:eastAsia="Calibri" w:hAnsi="Calibri" w:cs="Calibri"/>
          <w:b/>
          <w:color w:val="000000"/>
        </w:rPr>
      </w:pPr>
    </w:p>
    <w:p w14:paraId="3A145635" w14:textId="77777777" w:rsidR="00662363" w:rsidRPr="00D15D33" w:rsidRDefault="00662363">
      <w:pPr>
        <w:jc w:val="center"/>
        <w:rPr>
          <w:rFonts w:ascii="Calibri" w:eastAsia="Calibri" w:hAnsi="Calibri" w:cs="Calibri"/>
          <w:b/>
          <w:color w:val="000000"/>
          <w:sz w:val="28"/>
          <w:szCs w:val="28"/>
        </w:rPr>
      </w:pPr>
    </w:p>
    <w:p w14:paraId="393BF204" w14:textId="77777777" w:rsidR="00662363" w:rsidRPr="00D15D33" w:rsidRDefault="00000000">
      <w:pPr>
        <w:jc w:val="center"/>
        <w:rPr>
          <w:rFonts w:ascii="Calibri" w:eastAsia="Calibri" w:hAnsi="Calibri" w:cs="Calibri"/>
          <w:b/>
          <w:color w:val="000000"/>
          <w:sz w:val="28"/>
          <w:szCs w:val="28"/>
        </w:rPr>
      </w:pPr>
      <w:r w:rsidRPr="00D15D33">
        <w:rPr>
          <w:rFonts w:ascii="Calibri" w:eastAsia="Calibri" w:hAnsi="Calibri" w:cs="Calibri"/>
          <w:b/>
          <w:color w:val="000000"/>
          <w:sz w:val="28"/>
          <w:szCs w:val="28"/>
        </w:rPr>
        <w:t>BMIH5004: Management and Organisational Behaviour</w:t>
      </w:r>
    </w:p>
    <w:p w14:paraId="4BC05739" w14:textId="77777777" w:rsidR="00662363" w:rsidRPr="00D15D33" w:rsidRDefault="00000000">
      <w:pPr>
        <w:jc w:val="center"/>
        <w:rPr>
          <w:rFonts w:ascii="Calibri" w:eastAsia="Calibri" w:hAnsi="Calibri" w:cs="Calibri"/>
          <w:b/>
          <w:color w:val="000000"/>
          <w:sz w:val="28"/>
          <w:szCs w:val="28"/>
        </w:rPr>
      </w:pPr>
      <w:r w:rsidRPr="00D15D33">
        <w:rPr>
          <w:rFonts w:ascii="Calibri" w:eastAsia="Calibri" w:hAnsi="Calibri" w:cs="Calibri"/>
          <w:b/>
          <w:color w:val="000000"/>
          <w:sz w:val="28"/>
          <w:szCs w:val="28"/>
        </w:rPr>
        <w:t>Written Report</w:t>
      </w:r>
    </w:p>
    <w:p w14:paraId="2CDF0265" w14:textId="67B9A370" w:rsidR="00662363" w:rsidRPr="00D15D33" w:rsidRDefault="00000000">
      <w:pPr>
        <w:jc w:val="center"/>
        <w:rPr>
          <w:rFonts w:ascii="Calibri" w:eastAsia="Calibri" w:hAnsi="Calibri" w:cs="Calibri"/>
          <w:b/>
          <w:color w:val="000000"/>
          <w:sz w:val="28"/>
          <w:szCs w:val="28"/>
        </w:rPr>
      </w:pPr>
      <w:r w:rsidRPr="00D15D33">
        <w:rPr>
          <w:rFonts w:ascii="Calibri" w:eastAsia="Calibri" w:hAnsi="Calibri" w:cs="Calibri"/>
          <w:b/>
          <w:color w:val="000000"/>
          <w:sz w:val="28"/>
          <w:szCs w:val="28"/>
        </w:rPr>
        <w:t>Title: Critical Evaluation of Hilton Hotels &amp; Resorts, at both corporate and individual level</w:t>
      </w:r>
      <w:r w:rsidR="00D15D33">
        <w:rPr>
          <w:rFonts w:ascii="Calibri" w:eastAsia="Calibri" w:hAnsi="Calibri" w:cs="Calibri"/>
          <w:b/>
          <w:color w:val="000000"/>
          <w:sz w:val="28"/>
          <w:szCs w:val="28"/>
        </w:rPr>
        <w:t>.</w:t>
      </w:r>
    </w:p>
    <w:p w14:paraId="026BAA9F" w14:textId="352F4871" w:rsidR="00662363" w:rsidRPr="00D15D33" w:rsidRDefault="00000000">
      <w:pPr>
        <w:jc w:val="center"/>
        <w:rPr>
          <w:rFonts w:ascii="Calibri" w:eastAsia="Calibri" w:hAnsi="Calibri" w:cs="Calibri"/>
          <w:b/>
          <w:color w:val="000000"/>
          <w:sz w:val="28"/>
          <w:szCs w:val="28"/>
        </w:rPr>
      </w:pPr>
      <w:r w:rsidRPr="00D15D33">
        <w:rPr>
          <w:rFonts w:ascii="Calibri" w:eastAsia="Calibri" w:hAnsi="Calibri" w:cs="Calibri"/>
          <w:b/>
          <w:color w:val="000000"/>
          <w:sz w:val="28"/>
          <w:szCs w:val="28"/>
        </w:rPr>
        <w:t>Student Id:</w:t>
      </w:r>
      <w:r w:rsidR="00D15D33" w:rsidRPr="00D15D33">
        <w:rPr>
          <w:rFonts w:ascii="Calibri" w:eastAsia="Calibri" w:hAnsi="Calibri" w:cs="Calibri"/>
          <w:b/>
          <w:color w:val="000000"/>
          <w:sz w:val="28"/>
          <w:szCs w:val="28"/>
        </w:rPr>
        <w:t>2232322</w:t>
      </w:r>
    </w:p>
    <w:p w14:paraId="777D45A3" w14:textId="220F3764" w:rsidR="00662363" w:rsidRPr="00D15D33" w:rsidRDefault="00000000">
      <w:pPr>
        <w:jc w:val="center"/>
        <w:rPr>
          <w:rFonts w:ascii="Calibri" w:eastAsia="Calibri" w:hAnsi="Calibri" w:cs="Calibri"/>
          <w:b/>
          <w:color w:val="000000"/>
          <w:sz w:val="28"/>
          <w:szCs w:val="28"/>
        </w:rPr>
      </w:pPr>
      <w:r w:rsidRPr="00D15D33">
        <w:rPr>
          <w:rFonts w:ascii="Calibri" w:eastAsia="Calibri" w:hAnsi="Calibri" w:cs="Calibri"/>
          <w:b/>
          <w:color w:val="000000"/>
          <w:sz w:val="28"/>
          <w:szCs w:val="28"/>
        </w:rPr>
        <w:t>Student Name: Catalina</w:t>
      </w:r>
      <w:r w:rsidR="00D15D33" w:rsidRPr="00D15D33">
        <w:rPr>
          <w:rFonts w:ascii="Calibri" w:eastAsia="Calibri" w:hAnsi="Calibri" w:cs="Calibri"/>
          <w:b/>
          <w:color w:val="000000"/>
          <w:sz w:val="28"/>
          <w:szCs w:val="28"/>
        </w:rPr>
        <w:t xml:space="preserve"> Ianos</w:t>
      </w:r>
    </w:p>
    <w:p w14:paraId="45C0B026" w14:textId="77777777" w:rsidR="00D15D33" w:rsidRDefault="00D15D33">
      <w:pPr>
        <w:jc w:val="center"/>
        <w:rPr>
          <w:sz w:val="28"/>
          <w:szCs w:val="28"/>
        </w:rPr>
      </w:pPr>
    </w:p>
    <w:p w14:paraId="076DBE3D" w14:textId="77777777" w:rsidR="00D15D33" w:rsidRDefault="00D15D33">
      <w:pPr>
        <w:jc w:val="center"/>
        <w:rPr>
          <w:sz w:val="28"/>
          <w:szCs w:val="28"/>
        </w:rPr>
      </w:pPr>
    </w:p>
    <w:p w14:paraId="3EDC4761" w14:textId="77777777" w:rsidR="00D15D33" w:rsidRDefault="00D15D33">
      <w:pPr>
        <w:jc w:val="center"/>
        <w:rPr>
          <w:sz w:val="28"/>
          <w:szCs w:val="28"/>
        </w:rPr>
      </w:pPr>
    </w:p>
    <w:p w14:paraId="780B12D5" w14:textId="77777777" w:rsidR="00D15D33" w:rsidRDefault="00D15D33">
      <w:pPr>
        <w:jc w:val="center"/>
        <w:rPr>
          <w:sz w:val="28"/>
          <w:szCs w:val="28"/>
        </w:rPr>
      </w:pPr>
    </w:p>
    <w:p w14:paraId="7F93EF68" w14:textId="77777777" w:rsidR="00D15D33" w:rsidRDefault="00D15D33">
      <w:pPr>
        <w:jc w:val="center"/>
        <w:rPr>
          <w:sz w:val="28"/>
          <w:szCs w:val="28"/>
        </w:rPr>
      </w:pPr>
    </w:p>
    <w:p w14:paraId="67CAAC04" w14:textId="77777777" w:rsidR="00D15D33" w:rsidRDefault="00D15D33">
      <w:pPr>
        <w:jc w:val="center"/>
        <w:rPr>
          <w:sz w:val="28"/>
          <w:szCs w:val="28"/>
        </w:rPr>
      </w:pPr>
    </w:p>
    <w:p w14:paraId="6531D37D" w14:textId="77777777" w:rsidR="00D15D33" w:rsidRDefault="00D15D33">
      <w:pPr>
        <w:jc w:val="center"/>
        <w:rPr>
          <w:sz w:val="28"/>
          <w:szCs w:val="28"/>
        </w:rPr>
      </w:pPr>
    </w:p>
    <w:p w14:paraId="5202F8DB" w14:textId="77777777" w:rsidR="00D15D33" w:rsidRDefault="00D15D33">
      <w:pPr>
        <w:jc w:val="center"/>
        <w:rPr>
          <w:sz w:val="28"/>
          <w:szCs w:val="28"/>
        </w:rPr>
      </w:pPr>
    </w:p>
    <w:p w14:paraId="636764D9" w14:textId="77777777" w:rsidR="00D15D33" w:rsidRDefault="00D15D33">
      <w:pPr>
        <w:jc w:val="center"/>
        <w:rPr>
          <w:sz w:val="28"/>
          <w:szCs w:val="28"/>
        </w:rPr>
      </w:pPr>
    </w:p>
    <w:p w14:paraId="37B072F4" w14:textId="77777777" w:rsidR="00D15D33" w:rsidRDefault="00D15D33">
      <w:pPr>
        <w:jc w:val="center"/>
        <w:rPr>
          <w:sz w:val="28"/>
          <w:szCs w:val="28"/>
        </w:rPr>
      </w:pPr>
    </w:p>
    <w:p w14:paraId="5C3D72F8" w14:textId="77777777" w:rsidR="00D15D33" w:rsidRDefault="00D15D33">
      <w:pPr>
        <w:jc w:val="center"/>
        <w:rPr>
          <w:sz w:val="28"/>
          <w:szCs w:val="28"/>
        </w:rPr>
      </w:pPr>
    </w:p>
    <w:p w14:paraId="40F11317" w14:textId="77777777" w:rsidR="00D15D33" w:rsidRDefault="00D15D33">
      <w:pPr>
        <w:jc w:val="center"/>
        <w:rPr>
          <w:sz w:val="28"/>
          <w:szCs w:val="28"/>
        </w:rPr>
      </w:pPr>
    </w:p>
    <w:p w14:paraId="009F7674" w14:textId="77777777" w:rsidR="00D15D33" w:rsidRDefault="00D15D33">
      <w:pPr>
        <w:jc w:val="center"/>
        <w:rPr>
          <w:sz w:val="28"/>
          <w:szCs w:val="28"/>
        </w:rPr>
      </w:pPr>
    </w:p>
    <w:p w14:paraId="2B991C0F" w14:textId="77777777" w:rsidR="00D15D33" w:rsidRDefault="00D15D33">
      <w:pPr>
        <w:jc w:val="center"/>
        <w:rPr>
          <w:sz w:val="28"/>
          <w:szCs w:val="28"/>
        </w:rPr>
      </w:pPr>
    </w:p>
    <w:p w14:paraId="34D532D6" w14:textId="77777777" w:rsidR="00D15D33" w:rsidRDefault="00D15D33">
      <w:pPr>
        <w:jc w:val="center"/>
        <w:rPr>
          <w:sz w:val="28"/>
          <w:szCs w:val="28"/>
        </w:rPr>
      </w:pPr>
    </w:p>
    <w:p w14:paraId="720C1D5F" w14:textId="77777777" w:rsidR="00D15D33" w:rsidRPr="00D15D33" w:rsidRDefault="00D15D33" w:rsidP="00D15D33">
      <w:pPr>
        <w:rPr>
          <w:rFonts w:ascii="Calibri" w:eastAsia="Aptos" w:hAnsi="Calibri" w:cs="Calibri"/>
          <w:color w:val="000000"/>
          <w:lang w:eastAsia="zh-CN" w:bidi="ar"/>
        </w:rPr>
      </w:pPr>
      <w:r w:rsidRPr="00D15D33">
        <w:rPr>
          <w:rFonts w:ascii="Calibri" w:eastAsia="Aptos" w:hAnsi="Calibri" w:cs="Calibri"/>
          <w:color w:val="000000"/>
          <w:lang w:eastAsia="zh-CN" w:bidi="ar"/>
        </w:rPr>
        <w:lastRenderedPageBreak/>
        <w:t>Declaration</w:t>
      </w:r>
    </w:p>
    <w:p w14:paraId="55CFB95A" w14:textId="77777777" w:rsidR="00D15D33" w:rsidRPr="00D15D33" w:rsidRDefault="00D15D33" w:rsidP="00D15D33">
      <w:pPr>
        <w:rPr>
          <w:rFonts w:ascii="Calibri" w:eastAsia="Aptos" w:hAnsi="Calibri" w:cs="Calibri"/>
          <w:color w:val="000000"/>
          <w:lang w:eastAsia="zh-CN" w:bidi="ar"/>
        </w:rPr>
      </w:pPr>
    </w:p>
    <w:p w14:paraId="1D0684A5" w14:textId="77777777" w:rsidR="00D15D33" w:rsidRPr="00D15D33" w:rsidRDefault="00D15D33" w:rsidP="00D15D33">
      <w:pPr>
        <w:rPr>
          <w:rFonts w:ascii="Calibri" w:hAnsi="Calibri" w:cs="Calibri"/>
        </w:rPr>
      </w:pPr>
      <w:r w:rsidRPr="00D15D33">
        <w:rPr>
          <w:rFonts w:ascii="Calibri" w:eastAsia="Aptos" w:hAnsi="Calibri" w:cs="Calibri"/>
          <w:color w:val="000000"/>
          <w:lang w:eastAsia="zh-CN" w:bidi="ar"/>
        </w:rPr>
        <w:t xml:space="preserve">I confirm that I have not used any AI tools in the research and creation of this </w:t>
      </w:r>
    </w:p>
    <w:p w14:paraId="1E1B6457" w14:textId="77777777" w:rsidR="00D15D33" w:rsidRPr="00D15D33" w:rsidRDefault="00D15D33" w:rsidP="00D15D33">
      <w:pPr>
        <w:rPr>
          <w:rFonts w:ascii="Calibri" w:hAnsi="Calibri" w:cs="Calibri"/>
        </w:rPr>
      </w:pPr>
      <w:r w:rsidRPr="00D15D33">
        <w:rPr>
          <w:rFonts w:ascii="Calibri" w:eastAsia="Aptos" w:hAnsi="Calibri" w:cs="Calibri"/>
          <w:color w:val="000000"/>
          <w:lang w:eastAsia="zh-CN" w:bidi="ar"/>
        </w:rPr>
        <w:t xml:space="preserve">assignment. I confirm that I have not presented any AI generated materials as my own </w:t>
      </w:r>
    </w:p>
    <w:p w14:paraId="1BE53280" w14:textId="77777777" w:rsidR="00D15D33" w:rsidRPr="00D15D33" w:rsidRDefault="00D15D33" w:rsidP="00D15D33">
      <w:pPr>
        <w:rPr>
          <w:rFonts w:ascii="Calibri" w:hAnsi="Calibri" w:cs="Calibri"/>
        </w:rPr>
      </w:pPr>
      <w:r w:rsidRPr="00D15D33">
        <w:rPr>
          <w:rFonts w:ascii="Calibri" w:eastAsia="Aptos" w:hAnsi="Calibri" w:cs="Calibri"/>
          <w:color w:val="000000"/>
          <w:lang w:eastAsia="zh-CN" w:bidi="ar"/>
        </w:rPr>
        <w:t xml:space="preserve">work. I confirm I have copies of my drafts, notes, and other resources I used, which I </w:t>
      </w:r>
    </w:p>
    <w:p w14:paraId="42CF2A9F" w14:textId="77777777" w:rsidR="00D15D33" w:rsidRPr="00D15D33" w:rsidRDefault="00D15D33" w:rsidP="00D15D33">
      <w:pPr>
        <w:rPr>
          <w:rFonts w:ascii="Calibri" w:eastAsia="Aptos" w:hAnsi="Calibri" w:cs="Calibri"/>
          <w:color w:val="000000"/>
          <w:lang w:eastAsia="zh-CN" w:bidi="ar"/>
        </w:rPr>
      </w:pPr>
      <w:r w:rsidRPr="00D15D33">
        <w:rPr>
          <w:rFonts w:ascii="Calibri" w:eastAsia="Aptos" w:hAnsi="Calibri" w:cs="Calibri"/>
          <w:color w:val="000000"/>
          <w:lang w:eastAsia="zh-CN" w:bidi="ar"/>
        </w:rPr>
        <w:t>may be asked to provide in evidence.</w:t>
      </w:r>
    </w:p>
    <w:p w14:paraId="20A2F29A" w14:textId="77777777" w:rsidR="00D15D33" w:rsidRPr="00D15D33" w:rsidRDefault="00D15D33" w:rsidP="00D15D33">
      <w:pPr>
        <w:rPr>
          <w:rFonts w:ascii="Calibri" w:eastAsia="Aptos" w:hAnsi="Calibri" w:cs="Calibri"/>
          <w:color w:val="000000"/>
          <w:lang w:eastAsia="zh-CN" w:bidi="ar"/>
        </w:rPr>
      </w:pPr>
      <w:r w:rsidRPr="00D15D33">
        <w:rPr>
          <w:rFonts w:ascii="Calibri" w:eastAsia="Aptos" w:hAnsi="Calibri" w:cs="Calibri"/>
          <w:color w:val="000000"/>
          <w:lang w:eastAsia="zh-CN" w:bidi="ar"/>
        </w:rPr>
        <w:t xml:space="preserve"> </w:t>
      </w:r>
    </w:p>
    <w:p w14:paraId="2641B372" w14:textId="77777777" w:rsidR="00D15D33" w:rsidRPr="00D15D33" w:rsidRDefault="00D15D33" w:rsidP="00D15D33">
      <w:pPr>
        <w:rPr>
          <w:rFonts w:ascii="Calibri" w:eastAsia="Aptos" w:hAnsi="Calibri" w:cs="Calibri"/>
          <w:color w:val="000000"/>
          <w:lang w:eastAsia="zh-CN" w:bidi="ar"/>
        </w:rPr>
      </w:pPr>
    </w:p>
    <w:p w14:paraId="418DEA6A" w14:textId="77777777" w:rsidR="00D15D33" w:rsidRPr="00D15D33" w:rsidRDefault="00D15D33" w:rsidP="00D15D33">
      <w:pPr>
        <w:rPr>
          <w:rFonts w:ascii="Calibri" w:eastAsia="Aptos" w:hAnsi="Calibri" w:cs="Calibri"/>
          <w:color w:val="000000"/>
          <w:lang w:eastAsia="zh-CN" w:bidi="ar"/>
        </w:rPr>
      </w:pPr>
      <w:proofErr w:type="gramStart"/>
      <w:r w:rsidRPr="00D15D33">
        <w:rPr>
          <w:rFonts w:ascii="Calibri" w:eastAsia="Aptos" w:hAnsi="Calibri" w:cs="Calibri"/>
          <w:color w:val="000000"/>
          <w:lang w:eastAsia="zh-CN" w:bidi="ar"/>
        </w:rPr>
        <w:t>Name :</w:t>
      </w:r>
      <w:proofErr w:type="gramEnd"/>
      <w:r w:rsidRPr="00D15D33">
        <w:rPr>
          <w:rFonts w:ascii="Calibri" w:eastAsia="Aptos" w:hAnsi="Calibri" w:cs="Calibri"/>
          <w:color w:val="000000"/>
          <w:lang w:eastAsia="zh-CN" w:bidi="ar"/>
        </w:rPr>
        <w:t xml:space="preserve"> Catalina Ianos</w:t>
      </w:r>
    </w:p>
    <w:p w14:paraId="7C66C1B7" w14:textId="77777777" w:rsidR="00D15D33" w:rsidRPr="00D15D33" w:rsidRDefault="00D15D33" w:rsidP="00D15D33">
      <w:pPr>
        <w:rPr>
          <w:rFonts w:ascii="Calibri" w:eastAsia="Aptos" w:hAnsi="Calibri" w:cs="Calibri"/>
          <w:color w:val="000000"/>
          <w:lang w:eastAsia="zh-CN" w:bidi="ar"/>
        </w:rPr>
      </w:pPr>
    </w:p>
    <w:p w14:paraId="0D228830" w14:textId="49FCD84E" w:rsidR="00D15D33" w:rsidRPr="00D15D33" w:rsidRDefault="00D15D33" w:rsidP="00D15D33">
      <w:pPr>
        <w:rPr>
          <w:rFonts w:ascii="Calibri" w:eastAsia="Aptos" w:hAnsi="Calibri" w:cs="Calibri"/>
          <w:color w:val="000000"/>
          <w:lang w:eastAsia="zh-CN" w:bidi="ar"/>
        </w:rPr>
      </w:pPr>
      <w:r w:rsidRPr="00D15D33">
        <w:rPr>
          <w:rFonts w:ascii="Calibri" w:eastAsia="Aptos" w:hAnsi="Calibri" w:cs="Calibri"/>
          <w:color w:val="000000"/>
          <w:lang w:eastAsia="zh-CN" w:bidi="ar"/>
        </w:rPr>
        <w:t>Date 03/0</w:t>
      </w:r>
      <w:r w:rsidRPr="00D15D33">
        <w:rPr>
          <w:rFonts w:ascii="Calibri" w:eastAsia="Aptos" w:hAnsi="Calibri" w:cs="Calibri"/>
          <w:color w:val="000000"/>
          <w:lang w:eastAsia="zh-CN" w:bidi="ar"/>
        </w:rPr>
        <w:t>3</w:t>
      </w:r>
      <w:r w:rsidRPr="00D15D33">
        <w:rPr>
          <w:rFonts w:ascii="Calibri" w:eastAsia="Aptos" w:hAnsi="Calibri" w:cs="Calibri"/>
          <w:color w:val="000000"/>
          <w:lang w:eastAsia="zh-CN" w:bidi="ar"/>
        </w:rPr>
        <w:t>/2025</w:t>
      </w:r>
    </w:p>
    <w:p w14:paraId="1BE5810B" w14:textId="4895C5E1" w:rsidR="00662363" w:rsidRPr="00D15D33" w:rsidRDefault="00000000">
      <w:pPr>
        <w:jc w:val="center"/>
        <w:rPr>
          <w:rFonts w:ascii="Calibri" w:eastAsia="Calibri" w:hAnsi="Calibri" w:cs="Calibri"/>
          <w:b/>
          <w:color w:val="000000"/>
          <w:sz w:val="28"/>
          <w:szCs w:val="28"/>
        </w:rPr>
      </w:pPr>
      <w:r w:rsidRPr="00D15D33">
        <w:rPr>
          <w:sz w:val="28"/>
          <w:szCs w:val="28"/>
        </w:rPr>
        <w:br w:type="page"/>
      </w:r>
    </w:p>
    <w:p w14:paraId="4E945318" w14:textId="77777777" w:rsidR="00662363" w:rsidRDefault="00000000">
      <w:pPr>
        <w:jc w:val="center"/>
        <w:rPr>
          <w:rFonts w:ascii="Calibri" w:eastAsia="Calibri" w:hAnsi="Calibri" w:cs="Calibri"/>
          <w:b/>
          <w:color w:val="000000"/>
        </w:rPr>
      </w:pPr>
      <w:r>
        <w:rPr>
          <w:rFonts w:ascii="Calibri" w:eastAsia="Calibri" w:hAnsi="Calibri" w:cs="Calibri"/>
          <w:b/>
          <w:color w:val="000000"/>
        </w:rPr>
        <w:lastRenderedPageBreak/>
        <w:t>Executive Summary</w:t>
      </w:r>
    </w:p>
    <w:p w14:paraId="2B44A03A" w14:textId="77777777" w:rsidR="00662363" w:rsidRDefault="00000000">
      <w:pPr>
        <w:rPr>
          <w:rFonts w:ascii="Calibri" w:eastAsia="Calibri" w:hAnsi="Calibri" w:cs="Calibri"/>
          <w:color w:val="000000"/>
        </w:rPr>
      </w:pPr>
      <w:r>
        <w:rPr>
          <w:rFonts w:ascii="Calibri" w:eastAsia="Calibri" w:hAnsi="Calibri" w:cs="Calibri"/>
          <w:color w:val="000000"/>
        </w:rPr>
        <w:t xml:space="preserve">In this highly competitive and fast-changing business environment, managing business performance by integrating strategic decisions has become crucial. Thus, the present report has shed light on exploring the case of Hilton Hotel &amp; Resort to identify its strategic approach at both corporate and individual levels. The report has explored corporate culture, organisational structure, and strategic goals considered by the selected organisation followed by its impact on business performance. Apart from this, this report has also demonstrated the recent change initiatives implemented by the brand followed by the way they manage them to accomplish long-term objectives critically by aligning with theoretical concepts. Other than this, by comparing Hilton's improvement areas with those of its existing market competitors, recommendations have been made that Hilton could consider </w:t>
      </w:r>
      <w:proofErr w:type="gramStart"/>
      <w:r>
        <w:rPr>
          <w:rFonts w:ascii="Calibri" w:eastAsia="Calibri" w:hAnsi="Calibri" w:cs="Calibri"/>
          <w:color w:val="000000"/>
        </w:rPr>
        <w:t>to hold</w:t>
      </w:r>
      <w:proofErr w:type="gramEnd"/>
      <w:r>
        <w:rPr>
          <w:rFonts w:ascii="Calibri" w:eastAsia="Calibri" w:hAnsi="Calibri" w:cs="Calibri"/>
          <w:color w:val="000000"/>
        </w:rPr>
        <w:t xml:space="preserve"> a strong position across the hotel and hospitality industry. </w:t>
      </w:r>
    </w:p>
    <w:p w14:paraId="02C3A91D" w14:textId="77777777" w:rsidR="00662363" w:rsidRDefault="00000000">
      <w:pPr>
        <w:rPr>
          <w:rFonts w:ascii="Calibri" w:eastAsia="Calibri" w:hAnsi="Calibri" w:cs="Calibri"/>
          <w:color w:val="000000"/>
        </w:rPr>
      </w:pPr>
      <w:r>
        <w:br w:type="page"/>
      </w:r>
    </w:p>
    <w:p w14:paraId="273B816C" w14:textId="77777777" w:rsidR="00662363" w:rsidRDefault="00000000">
      <w:pPr>
        <w:keepNext/>
        <w:keepLines/>
        <w:spacing w:before="240" w:line="259" w:lineRule="auto"/>
        <w:jc w:val="center"/>
        <w:rPr>
          <w:rFonts w:ascii="Calibri" w:eastAsia="Calibri" w:hAnsi="Calibri" w:cs="Calibri"/>
          <w:b/>
          <w:color w:val="000000"/>
        </w:rPr>
      </w:pPr>
      <w:r>
        <w:rPr>
          <w:rFonts w:ascii="Calibri" w:eastAsia="Calibri" w:hAnsi="Calibri" w:cs="Calibri"/>
          <w:b/>
          <w:color w:val="000000"/>
        </w:rPr>
        <w:lastRenderedPageBreak/>
        <w:t>Table of Contents</w:t>
      </w:r>
    </w:p>
    <w:sdt>
      <w:sdtPr>
        <w:id w:val="-591478276"/>
        <w:docPartObj>
          <w:docPartGallery w:val="Table of Contents"/>
          <w:docPartUnique/>
        </w:docPartObj>
      </w:sdtPr>
      <w:sdtEndPr>
        <w:rPr>
          <w:rFonts w:asciiTheme="majorHAnsi" w:hAnsiTheme="majorHAnsi" w:cstheme="majorHAnsi"/>
        </w:rPr>
      </w:sdtEndPr>
      <w:sdtContent>
        <w:p w14:paraId="30E0D571" w14:textId="77777777" w:rsidR="00662363" w:rsidRDefault="00000000">
          <w:pPr>
            <w:pStyle w:val="TOC1"/>
            <w:tabs>
              <w:tab w:val="right" w:leader="dot" w:pos="9019"/>
            </w:tabs>
            <w:rPr>
              <w:rFonts w:asciiTheme="majorHAnsi" w:eastAsiaTheme="minorEastAsia" w:hAnsiTheme="majorHAnsi" w:cstheme="majorHAnsi"/>
              <w:kern w:val="2"/>
              <w14:ligatures w14:val="standardContextual"/>
            </w:rPr>
          </w:pPr>
          <w:r>
            <w:rPr>
              <w:rFonts w:asciiTheme="majorHAnsi" w:hAnsiTheme="majorHAnsi" w:cstheme="majorHAnsi"/>
            </w:rPr>
            <w:fldChar w:fldCharType="begin"/>
          </w:r>
          <w:r>
            <w:rPr>
              <w:rFonts w:asciiTheme="majorHAnsi" w:hAnsiTheme="majorHAnsi" w:cstheme="majorHAnsi"/>
            </w:rPr>
            <w:instrText xml:space="preserve"> TOC \h \u \z \t "Heading 1,1,Heading 2,2,Heading 3,3,"</w:instrText>
          </w:r>
          <w:r>
            <w:rPr>
              <w:rFonts w:asciiTheme="majorHAnsi" w:hAnsiTheme="majorHAnsi" w:cstheme="majorHAnsi"/>
            </w:rPr>
            <w:fldChar w:fldCharType="separate"/>
          </w:r>
          <w:hyperlink w:anchor="_Toc190857969" w:history="1">
            <w:r>
              <w:rPr>
                <w:rStyle w:val="Hyperlink"/>
                <w:rFonts w:asciiTheme="majorHAnsi" w:hAnsiTheme="majorHAnsi" w:cstheme="majorHAnsi"/>
              </w:rPr>
              <w:t>1.0 Introduction</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_Toc190857969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3</w:t>
            </w:r>
            <w:r>
              <w:rPr>
                <w:rFonts w:asciiTheme="majorHAnsi" w:hAnsiTheme="majorHAnsi" w:cstheme="majorHAnsi"/>
              </w:rPr>
              <w:fldChar w:fldCharType="end"/>
            </w:r>
          </w:hyperlink>
        </w:p>
        <w:p w14:paraId="3C692C4A" w14:textId="77777777" w:rsidR="00662363" w:rsidRDefault="00000000">
          <w:pPr>
            <w:pStyle w:val="TOC1"/>
            <w:tabs>
              <w:tab w:val="right" w:leader="dot" w:pos="9019"/>
            </w:tabs>
            <w:rPr>
              <w:rFonts w:asciiTheme="majorHAnsi" w:eastAsiaTheme="minorEastAsia" w:hAnsiTheme="majorHAnsi" w:cstheme="majorHAnsi"/>
              <w:kern w:val="2"/>
              <w14:ligatures w14:val="standardContextual"/>
            </w:rPr>
          </w:pPr>
          <w:hyperlink w:anchor="_Toc190857970" w:history="1">
            <w:r>
              <w:rPr>
                <w:rStyle w:val="Hyperlink"/>
                <w:rFonts w:asciiTheme="majorHAnsi" w:hAnsiTheme="majorHAnsi" w:cstheme="majorHAnsi"/>
              </w:rPr>
              <w:t>2.0 Organisation Structure, Culture, and Goals</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_Toc190857970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3</w:t>
            </w:r>
            <w:r>
              <w:rPr>
                <w:rFonts w:asciiTheme="majorHAnsi" w:hAnsiTheme="majorHAnsi" w:cstheme="majorHAnsi"/>
              </w:rPr>
              <w:fldChar w:fldCharType="end"/>
            </w:r>
          </w:hyperlink>
        </w:p>
        <w:p w14:paraId="29D4DD5D" w14:textId="77777777" w:rsidR="00662363" w:rsidRDefault="00000000">
          <w:pPr>
            <w:pStyle w:val="TOC2"/>
            <w:tabs>
              <w:tab w:val="right" w:leader="dot" w:pos="9019"/>
            </w:tabs>
            <w:rPr>
              <w:rFonts w:asciiTheme="majorHAnsi" w:eastAsiaTheme="minorEastAsia" w:hAnsiTheme="majorHAnsi" w:cstheme="majorHAnsi"/>
              <w:kern w:val="2"/>
              <w14:ligatures w14:val="standardContextual"/>
            </w:rPr>
          </w:pPr>
          <w:hyperlink w:anchor="_Toc190857971" w:history="1">
            <w:r>
              <w:rPr>
                <w:rStyle w:val="Hyperlink"/>
                <w:rFonts w:asciiTheme="majorHAnsi" w:hAnsiTheme="majorHAnsi" w:cstheme="majorHAnsi"/>
              </w:rPr>
              <w:t>2.1 Organisation’s structure</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_Toc190857971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3</w:t>
            </w:r>
            <w:r>
              <w:rPr>
                <w:rFonts w:asciiTheme="majorHAnsi" w:hAnsiTheme="majorHAnsi" w:cstheme="majorHAnsi"/>
              </w:rPr>
              <w:fldChar w:fldCharType="end"/>
            </w:r>
          </w:hyperlink>
        </w:p>
        <w:p w14:paraId="663D0163" w14:textId="77777777" w:rsidR="00662363" w:rsidRDefault="00000000">
          <w:pPr>
            <w:pStyle w:val="TOC2"/>
            <w:tabs>
              <w:tab w:val="right" w:leader="dot" w:pos="9019"/>
            </w:tabs>
            <w:rPr>
              <w:rFonts w:asciiTheme="majorHAnsi" w:eastAsiaTheme="minorEastAsia" w:hAnsiTheme="majorHAnsi" w:cstheme="majorHAnsi"/>
              <w:kern w:val="2"/>
              <w14:ligatures w14:val="standardContextual"/>
            </w:rPr>
          </w:pPr>
          <w:hyperlink w:anchor="_Toc190857972" w:history="1">
            <w:r>
              <w:rPr>
                <w:rStyle w:val="Hyperlink"/>
                <w:rFonts w:asciiTheme="majorHAnsi" w:hAnsiTheme="majorHAnsi" w:cstheme="majorHAnsi"/>
              </w:rPr>
              <w:t>2.2 Corporate culture and its influence</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_Toc190857972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4</w:t>
            </w:r>
            <w:r>
              <w:rPr>
                <w:rFonts w:asciiTheme="majorHAnsi" w:hAnsiTheme="majorHAnsi" w:cstheme="majorHAnsi"/>
              </w:rPr>
              <w:fldChar w:fldCharType="end"/>
            </w:r>
          </w:hyperlink>
        </w:p>
        <w:p w14:paraId="4D6B338B" w14:textId="77777777" w:rsidR="00662363" w:rsidRDefault="00000000">
          <w:pPr>
            <w:pStyle w:val="TOC2"/>
            <w:tabs>
              <w:tab w:val="right" w:leader="dot" w:pos="9019"/>
            </w:tabs>
            <w:rPr>
              <w:rFonts w:asciiTheme="majorHAnsi" w:eastAsiaTheme="minorEastAsia" w:hAnsiTheme="majorHAnsi" w:cstheme="majorHAnsi"/>
              <w:kern w:val="2"/>
              <w14:ligatures w14:val="standardContextual"/>
            </w:rPr>
          </w:pPr>
          <w:hyperlink w:anchor="_Toc190857973" w:history="1">
            <w:r>
              <w:rPr>
                <w:rStyle w:val="Hyperlink"/>
                <w:rFonts w:asciiTheme="majorHAnsi" w:hAnsiTheme="majorHAnsi" w:cstheme="majorHAnsi"/>
              </w:rPr>
              <w:t>2.3 Organisational goals both at the corporate and individual level</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_Toc190857973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5</w:t>
            </w:r>
            <w:r>
              <w:rPr>
                <w:rFonts w:asciiTheme="majorHAnsi" w:hAnsiTheme="majorHAnsi" w:cstheme="majorHAnsi"/>
              </w:rPr>
              <w:fldChar w:fldCharType="end"/>
            </w:r>
          </w:hyperlink>
        </w:p>
        <w:p w14:paraId="24A529A6" w14:textId="77777777" w:rsidR="00662363" w:rsidRDefault="00000000">
          <w:pPr>
            <w:pStyle w:val="TOC1"/>
            <w:tabs>
              <w:tab w:val="right" w:leader="dot" w:pos="9019"/>
            </w:tabs>
            <w:rPr>
              <w:rFonts w:asciiTheme="majorHAnsi" w:eastAsiaTheme="minorEastAsia" w:hAnsiTheme="majorHAnsi" w:cstheme="majorHAnsi"/>
              <w:kern w:val="2"/>
              <w14:ligatures w14:val="standardContextual"/>
            </w:rPr>
          </w:pPr>
          <w:hyperlink w:anchor="_Toc190857974" w:history="1">
            <w:r>
              <w:rPr>
                <w:rStyle w:val="Hyperlink"/>
                <w:rFonts w:asciiTheme="majorHAnsi" w:hAnsiTheme="majorHAnsi" w:cstheme="majorHAnsi"/>
              </w:rPr>
              <w:t>3.0 Recent Change Initiatives</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_Toc190857974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6</w:t>
            </w:r>
            <w:r>
              <w:rPr>
                <w:rFonts w:asciiTheme="majorHAnsi" w:hAnsiTheme="majorHAnsi" w:cstheme="majorHAnsi"/>
              </w:rPr>
              <w:fldChar w:fldCharType="end"/>
            </w:r>
          </w:hyperlink>
        </w:p>
        <w:p w14:paraId="6F3B8A16" w14:textId="77777777" w:rsidR="00662363" w:rsidRDefault="00000000">
          <w:pPr>
            <w:pStyle w:val="TOC2"/>
            <w:tabs>
              <w:tab w:val="right" w:leader="dot" w:pos="9019"/>
            </w:tabs>
            <w:rPr>
              <w:rFonts w:asciiTheme="majorHAnsi" w:eastAsiaTheme="minorEastAsia" w:hAnsiTheme="majorHAnsi" w:cstheme="majorHAnsi"/>
              <w:kern w:val="2"/>
              <w14:ligatures w14:val="standardContextual"/>
            </w:rPr>
          </w:pPr>
          <w:hyperlink w:anchor="_Toc190857975" w:history="1">
            <w:r>
              <w:rPr>
                <w:rStyle w:val="Hyperlink"/>
                <w:rFonts w:asciiTheme="majorHAnsi" w:hAnsiTheme="majorHAnsi" w:cstheme="majorHAnsi"/>
              </w:rPr>
              <w:t>3.1 Identification of recent change initiatives</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_Toc190857975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6</w:t>
            </w:r>
            <w:r>
              <w:rPr>
                <w:rFonts w:asciiTheme="majorHAnsi" w:hAnsiTheme="majorHAnsi" w:cstheme="majorHAnsi"/>
              </w:rPr>
              <w:fldChar w:fldCharType="end"/>
            </w:r>
          </w:hyperlink>
        </w:p>
        <w:p w14:paraId="5A2D6474" w14:textId="77777777" w:rsidR="00662363" w:rsidRDefault="00000000">
          <w:pPr>
            <w:pStyle w:val="TOC2"/>
            <w:tabs>
              <w:tab w:val="right" w:leader="dot" w:pos="9019"/>
            </w:tabs>
            <w:rPr>
              <w:rFonts w:asciiTheme="majorHAnsi" w:eastAsiaTheme="minorEastAsia" w:hAnsiTheme="majorHAnsi" w:cstheme="majorHAnsi"/>
              <w:kern w:val="2"/>
              <w14:ligatures w14:val="standardContextual"/>
            </w:rPr>
          </w:pPr>
          <w:hyperlink w:anchor="_Toc190857976" w:history="1">
            <w:r>
              <w:rPr>
                <w:rStyle w:val="Hyperlink"/>
                <w:rFonts w:asciiTheme="majorHAnsi" w:hAnsiTheme="majorHAnsi" w:cstheme="majorHAnsi"/>
              </w:rPr>
              <w:t>3.2 Impact</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_Toc190857976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6</w:t>
            </w:r>
            <w:r>
              <w:rPr>
                <w:rFonts w:asciiTheme="majorHAnsi" w:hAnsiTheme="majorHAnsi" w:cstheme="majorHAnsi"/>
              </w:rPr>
              <w:fldChar w:fldCharType="end"/>
            </w:r>
          </w:hyperlink>
        </w:p>
        <w:p w14:paraId="1A7396BA" w14:textId="77777777" w:rsidR="00662363" w:rsidRDefault="00000000">
          <w:pPr>
            <w:pStyle w:val="TOC2"/>
            <w:tabs>
              <w:tab w:val="right" w:leader="dot" w:pos="9019"/>
            </w:tabs>
            <w:rPr>
              <w:rFonts w:asciiTheme="majorHAnsi" w:eastAsiaTheme="minorEastAsia" w:hAnsiTheme="majorHAnsi" w:cstheme="majorHAnsi"/>
              <w:kern w:val="2"/>
              <w14:ligatures w14:val="standardContextual"/>
            </w:rPr>
          </w:pPr>
          <w:hyperlink w:anchor="_Toc190857977" w:history="1">
            <w:r>
              <w:rPr>
                <w:rStyle w:val="Hyperlink"/>
                <w:rFonts w:asciiTheme="majorHAnsi" w:hAnsiTheme="majorHAnsi" w:cstheme="majorHAnsi"/>
              </w:rPr>
              <w:t>3.3 Management of those changes</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_Toc190857977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7</w:t>
            </w:r>
            <w:r>
              <w:rPr>
                <w:rFonts w:asciiTheme="majorHAnsi" w:hAnsiTheme="majorHAnsi" w:cstheme="majorHAnsi"/>
              </w:rPr>
              <w:fldChar w:fldCharType="end"/>
            </w:r>
          </w:hyperlink>
        </w:p>
        <w:p w14:paraId="5F6A1637" w14:textId="77777777" w:rsidR="00662363" w:rsidRDefault="00000000">
          <w:pPr>
            <w:pStyle w:val="TOC1"/>
            <w:tabs>
              <w:tab w:val="right" w:leader="dot" w:pos="9019"/>
            </w:tabs>
            <w:rPr>
              <w:rFonts w:asciiTheme="majorHAnsi" w:eastAsiaTheme="minorEastAsia" w:hAnsiTheme="majorHAnsi" w:cstheme="majorHAnsi"/>
              <w:kern w:val="2"/>
              <w14:ligatures w14:val="standardContextual"/>
            </w:rPr>
          </w:pPr>
          <w:hyperlink w:anchor="_Toc190857978" w:history="1">
            <w:r>
              <w:rPr>
                <w:rStyle w:val="Hyperlink"/>
                <w:rFonts w:asciiTheme="majorHAnsi" w:hAnsiTheme="majorHAnsi" w:cstheme="majorHAnsi"/>
              </w:rPr>
              <w:t>4.0 Strategic direction</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_Toc190857978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8</w:t>
            </w:r>
            <w:r>
              <w:rPr>
                <w:rFonts w:asciiTheme="majorHAnsi" w:hAnsiTheme="majorHAnsi" w:cstheme="majorHAnsi"/>
              </w:rPr>
              <w:fldChar w:fldCharType="end"/>
            </w:r>
          </w:hyperlink>
        </w:p>
        <w:p w14:paraId="03E3221D" w14:textId="77777777" w:rsidR="00662363" w:rsidRDefault="00000000">
          <w:pPr>
            <w:pStyle w:val="TOC2"/>
            <w:tabs>
              <w:tab w:val="right" w:leader="dot" w:pos="9019"/>
            </w:tabs>
            <w:rPr>
              <w:rFonts w:asciiTheme="majorHAnsi" w:eastAsiaTheme="minorEastAsia" w:hAnsiTheme="majorHAnsi" w:cstheme="majorHAnsi"/>
              <w:kern w:val="2"/>
              <w14:ligatures w14:val="standardContextual"/>
            </w:rPr>
          </w:pPr>
          <w:hyperlink w:anchor="_Toc190857979" w:history="1">
            <w:r>
              <w:rPr>
                <w:rStyle w:val="Hyperlink"/>
                <w:rFonts w:asciiTheme="majorHAnsi" w:hAnsiTheme="majorHAnsi" w:cstheme="majorHAnsi"/>
              </w:rPr>
              <w:t>4.1 Strategic direction of Hilton Hotels &amp; Resorts</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_Toc190857979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8</w:t>
            </w:r>
            <w:r>
              <w:rPr>
                <w:rFonts w:asciiTheme="majorHAnsi" w:hAnsiTheme="majorHAnsi" w:cstheme="majorHAnsi"/>
              </w:rPr>
              <w:fldChar w:fldCharType="end"/>
            </w:r>
          </w:hyperlink>
        </w:p>
        <w:p w14:paraId="3BA055C1" w14:textId="77777777" w:rsidR="00662363" w:rsidRDefault="00000000">
          <w:pPr>
            <w:pStyle w:val="TOC2"/>
            <w:tabs>
              <w:tab w:val="right" w:leader="dot" w:pos="9019"/>
            </w:tabs>
            <w:rPr>
              <w:rFonts w:asciiTheme="majorHAnsi" w:eastAsiaTheme="minorEastAsia" w:hAnsiTheme="majorHAnsi" w:cstheme="majorHAnsi"/>
              <w:kern w:val="2"/>
              <w14:ligatures w14:val="standardContextual"/>
            </w:rPr>
          </w:pPr>
          <w:hyperlink w:anchor="_Toc190857980" w:history="1">
            <w:r>
              <w:rPr>
                <w:rStyle w:val="Hyperlink"/>
                <w:rFonts w:asciiTheme="majorHAnsi" w:hAnsiTheme="majorHAnsi" w:cstheme="majorHAnsi"/>
              </w:rPr>
              <w:t>4.2 Implemented strategies for the accomplishment of long-term objectives</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_Toc190857980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9</w:t>
            </w:r>
            <w:r>
              <w:rPr>
                <w:rFonts w:asciiTheme="majorHAnsi" w:hAnsiTheme="majorHAnsi" w:cstheme="majorHAnsi"/>
              </w:rPr>
              <w:fldChar w:fldCharType="end"/>
            </w:r>
          </w:hyperlink>
        </w:p>
        <w:p w14:paraId="11068ED4" w14:textId="77777777" w:rsidR="00662363" w:rsidRDefault="00000000">
          <w:pPr>
            <w:pStyle w:val="TOC1"/>
            <w:tabs>
              <w:tab w:val="right" w:leader="dot" w:pos="9019"/>
            </w:tabs>
            <w:rPr>
              <w:rFonts w:asciiTheme="majorHAnsi" w:eastAsiaTheme="minorEastAsia" w:hAnsiTheme="majorHAnsi" w:cstheme="majorHAnsi"/>
              <w:kern w:val="2"/>
              <w14:ligatures w14:val="standardContextual"/>
            </w:rPr>
          </w:pPr>
          <w:hyperlink w:anchor="_Toc190857981" w:history="1">
            <w:r>
              <w:rPr>
                <w:rStyle w:val="Hyperlink"/>
                <w:rFonts w:asciiTheme="majorHAnsi" w:hAnsiTheme="majorHAnsi" w:cstheme="majorHAnsi"/>
              </w:rPr>
              <w:t>5.0 Conclusion</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_Toc190857981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10</w:t>
            </w:r>
            <w:r>
              <w:rPr>
                <w:rFonts w:asciiTheme="majorHAnsi" w:hAnsiTheme="majorHAnsi" w:cstheme="majorHAnsi"/>
              </w:rPr>
              <w:fldChar w:fldCharType="end"/>
            </w:r>
          </w:hyperlink>
        </w:p>
        <w:p w14:paraId="43A219F5" w14:textId="77777777" w:rsidR="00662363" w:rsidRDefault="00000000">
          <w:pPr>
            <w:pStyle w:val="TOC1"/>
            <w:tabs>
              <w:tab w:val="right" w:leader="dot" w:pos="9019"/>
            </w:tabs>
            <w:rPr>
              <w:rFonts w:asciiTheme="majorHAnsi" w:eastAsiaTheme="minorEastAsia" w:hAnsiTheme="majorHAnsi" w:cstheme="majorHAnsi"/>
              <w:kern w:val="2"/>
              <w14:ligatures w14:val="standardContextual"/>
            </w:rPr>
          </w:pPr>
          <w:hyperlink w:anchor="_Toc190857982" w:history="1">
            <w:r>
              <w:rPr>
                <w:rStyle w:val="Hyperlink"/>
                <w:rFonts w:asciiTheme="majorHAnsi" w:hAnsiTheme="majorHAnsi" w:cstheme="majorHAnsi"/>
              </w:rPr>
              <w:t>6.0 Recommendations</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_Toc190857982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10</w:t>
            </w:r>
            <w:r>
              <w:rPr>
                <w:rFonts w:asciiTheme="majorHAnsi" w:hAnsiTheme="majorHAnsi" w:cstheme="majorHAnsi"/>
              </w:rPr>
              <w:fldChar w:fldCharType="end"/>
            </w:r>
          </w:hyperlink>
        </w:p>
        <w:p w14:paraId="3CCA95A9" w14:textId="77777777" w:rsidR="00662363" w:rsidRDefault="00000000">
          <w:pPr>
            <w:pStyle w:val="TOC1"/>
            <w:tabs>
              <w:tab w:val="right" w:leader="dot" w:pos="9019"/>
            </w:tabs>
            <w:rPr>
              <w:rFonts w:asciiTheme="majorHAnsi" w:eastAsiaTheme="minorEastAsia" w:hAnsiTheme="majorHAnsi" w:cstheme="majorHAnsi"/>
              <w:kern w:val="2"/>
              <w14:ligatures w14:val="standardContextual"/>
            </w:rPr>
          </w:pPr>
          <w:hyperlink w:anchor="_Toc190857983" w:history="1">
            <w:r>
              <w:rPr>
                <w:rStyle w:val="Hyperlink"/>
                <w:rFonts w:asciiTheme="majorHAnsi" w:hAnsiTheme="majorHAnsi" w:cstheme="majorHAnsi"/>
              </w:rPr>
              <w:t>7.0 Reference list</w:t>
            </w:r>
            <w:r>
              <w:rPr>
                <w:rFonts w:asciiTheme="majorHAnsi" w:hAnsiTheme="majorHAnsi" w:cstheme="majorHAnsi"/>
              </w:rPr>
              <w:tab/>
            </w:r>
            <w:r>
              <w:rPr>
                <w:rFonts w:asciiTheme="majorHAnsi" w:hAnsiTheme="majorHAnsi" w:cstheme="majorHAnsi"/>
              </w:rPr>
              <w:fldChar w:fldCharType="begin"/>
            </w:r>
            <w:r>
              <w:rPr>
                <w:rFonts w:asciiTheme="majorHAnsi" w:hAnsiTheme="majorHAnsi" w:cstheme="majorHAnsi"/>
              </w:rPr>
              <w:instrText xml:space="preserve"> PAGEREF _Toc190857983 \h </w:instrText>
            </w:r>
            <w:r>
              <w:rPr>
                <w:rFonts w:asciiTheme="majorHAnsi" w:hAnsiTheme="majorHAnsi" w:cstheme="majorHAnsi"/>
              </w:rPr>
            </w:r>
            <w:r>
              <w:rPr>
                <w:rFonts w:asciiTheme="majorHAnsi" w:hAnsiTheme="majorHAnsi" w:cstheme="majorHAnsi"/>
              </w:rPr>
              <w:fldChar w:fldCharType="separate"/>
            </w:r>
            <w:r>
              <w:rPr>
                <w:rFonts w:asciiTheme="majorHAnsi" w:hAnsiTheme="majorHAnsi" w:cstheme="majorHAnsi"/>
              </w:rPr>
              <w:t>12</w:t>
            </w:r>
            <w:r>
              <w:rPr>
                <w:rFonts w:asciiTheme="majorHAnsi" w:hAnsiTheme="majorHAnsi" w:cstheme="majorHAnsi"/>
              </w:rPr>
              <w:fldChar w:fldCharType="end"/>
            </w:r>
          </w:hyperlink>
        </w:p>
        <w:p w14:paraId="42DC3D13" w14:textId="77777777" w:rsidR="00662363" w:rsidRDefault="00000000">
          <w:pPr>
            <w:rPr>
              <w:rFonts w:asciiTheme="majorHAnsi" w:eastAsia="Calibri" w:hAnsiTheme="majorHAnsi" w:cstheme="majorHAnsi"/>
              <w:color w:val="000000"/>
            </w:rPr>
          </w:pPr>
          <w:r>
            <w:rPr>
              <w:rFonts w:asciiTheme="majorHAnsi" w:hAnsiTheme="majorHAnsi" w:cstheme="majorHAnsi"/>
            </w:rPr>
            <w:fldChar w:fldCharType="end"/>
          </w:r>
        </w:p>
      </w:sdtContent>
    </w:sdt>
    <w:p w14:paraId="161FE316" w14:textId="77777777" w:rsidR="00662363" w:rsidRDefault="00000000">
      <w:pPr>
        <w:rPr>
          <w:rFonts w:ascii="Calibri" w:eastAsia="Calibri" w:hAnsi="Calibri" w:cs="Calibri"/>
          <w:color w:val="000000"/>
        </w:rPr>
      </w:pPr>
      <w:r>
        <w:br w:type="page"/>
      </w:r>
    </w:p>
    <w:p w14:paraId="60578D05" w14:textId="77777777" w:rsidR="00662363" w:rsidRDefault="00000000">
      <w:pPr>
        <w:pStyle w:val="Heading1"/>
        <w:rPr>
          <w:rFonts w:ascii="Calibri" w:eastAsia="Calibri" w:hAnsi="Calibri" w:cs="Calibri"/>
          <w:color w:val="000000"/>
        </w:rPr>
      </w:pPr>
      <w:bookmarkStart w:id="0" w:name="_Toc190857969"/>
      <w:r>
        <w:lastRenderedPageBreak/>
        <w:t xml:space="preserve">1.0 </w:t>
      </w:r>
      <w:r>
        <w:rPr>
          <w:color w:val="000000"/>
        </w:rPr>
        <w:t>Introduction</w:t>
      </w:r>
      <w:bookmarkEnd w:id="0"/>
    </w:p>
    <w:p w14:paraId="19C9E457" w14:textId="77777777" w:rsidR="00662363" w:rsidRDefault="00000000">
      <w:pPr>
        <w:rPr>
          <w:rFonts w:ascii="Calibri" w:eastAsia="Calibri" w:hAnsi="Calibri" w:cs="Calibri"/>
          <w:color w:val="000000" w:themeColor="text1"/>
        </w:rPr>
      </w:pPr>
      <w:r>
        <w:rPr>
          <w:rFonts w:ascii="Calibri" w:eastAsia="Calibri" w:hAnsi="Calibri" w:cs="Calibri"/>
          <w:color w:val="000000"/>
        </w:rPr>
        <w:t xml:space="preserve">Hilton Hotels &amp; Resorts, one of the leading global hospitality companies, holds a strong market share through continuous business innovation by establishing a positive and welcoming environment for its employees. Reflecting on Figure 1, operating across 140 countries, and territories, the brand ranked 2 for its workplace culture (Hilton, </w:t>
      </w:r>
      <w:proofErr w:type="spellStart"/>
      <w:r>
        <w:rPr>
          <w:rFonts w:ascii="Calibri" w:eastAsia="Calibri" w:hAnsi="Calibri" w:cs="Calibri"/>
          <w:color w:val="000000"/>
        </w:rPr>
        <w:t>n.d.a</w:t>
      </w:r>
      <w:proofErr w:type="spellEnd"/>
      <w:r>
        <w:rPr>
          <w:rFonts w:ascii="Calibri" w:eastAsia="Calibri" w:hAnsi="Calibri" w:cs="Calibri"/>
          <w:color w:val="000000"/>
        </w:rPr>
        <w:t xml:space="preserve">). Likewise, in 2024, the brand started to construct around 88,500 rooms without any partnership, or acquisition, aiming to accomplish </w:t>
      </w:r>
      <w:proofErr w:type="gramStart"/>
      <w:r>
        <w:rPr>
          <w:rFonts w:ascii="Calibri" w:eastAsia="Calibri" w:hAnsi="Calibri" w:cs="Calibri"/>
          <w:color w:val="000000"/>
        </w:rPr>
        <w:t>6% to 7% unit</w:t>
      </w:r>
      <w:proofErr w:type="gramEnd"/>
      <w:r>
        <w:rPr>
          <w:rFonts w:ascii="Calibri" w:eastAsia="Calibri" w:hAnsi="Calibri" w:cs="Calibri"/>
          <w:color w:val="000000"/>
        </w:rPr>
        <w:t xml:space="preserve"> growth within 2025 (Hilton, 2025). Strategic organisational behaviour and management approach can be considered as one of the significant factors that brings continuous momentum for Hilton's growth, and stability within the global market. </w:t>
      </w:r>
      <w:r>
        <w:rPr>
          <w:rFonts w:ascii="Calibri" w:eastAsia="Calibri" w:hAnsi="Calibri" w:cs="Calibri"/>
          <w:color w:val="000000" w:themeColor="text1"/>
        </w:rPr>
        <w:t xml:space="preserve">Thus, the report aims to delve into exploring the organisational structure, goals, and culture of the brand Hilton. Also, the report will cover areas demonstrating change initiatives, and strategies integrated by the brand to accomplish its long-term objectives. </w:t>
      </w:r>
    </w:p>
    <w:p w14:paraId="7149AA2E" w14:textId="77777777" w:rsidR="00662363" w:rsidRDefault="00000000">
      <w:pPr>
        <w:pStyle w:val="Heading1"/>
        <w:rPr>
          <w:color w:val="000000" w:themeColor="text1"/>
        </w:rPr>
      </w:pPr>
      <w:bookmarkStart w:id="1" w:name="_Toc190857970"/>
      <w:r>
        <w:rPr>
          <w:color w:val="000000" w:themeColor="text1"/>
        </w:rPr>
        <w:t>2.0 Organisation Structure, Culture, and Goals</w:t>
      </w:r>
      <w:bookmarkEnd w:id="1"/>
    </w:p>
    <w:p w14:paraId="321298FA" w14:textId="77777777" w:rsidR="00662363" w:rsidRDefault="00000000">
      <w:pPr>
        <w:pStyle w:val="Heading2"/>
        <w:rPr>
          <w:color w:val="000000" w:themeColor="text1"/>
        </w:rPr>
      </w:pPr>
      <w:bookmarkStart w:id="2" w:name="_Toc190857971"/>
      <w:r>
        <w:rPr>
          <w:color w:val="000000" w:themeColor="text1"/>
        </w:rPr>
        <w:t>2.1 Organisation’s structure</w:t>
      </w:r>
      <w:bookmarkEnd w:id="2"/>
    </w:p>
    <w:p w14:paraId="0E8388D0"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Strong and strategic organisational structure is identified to be crucial for companies that provide a clear framework for resource allocation, and decision-making, enabling companies to operate more efficiently to accomplish their goals. Viewpoint of Mullins and Dosser (2013) revealed that organisations need to be structured so that they support </w:t>
      </w:r>
      <w:proofErr w:type="gramStart"/>
      <w:r>
        <w:rPr>
          <w:rFonts w:ascii="Calibri" w:eastAsia="Calibri" w:hAnsi="Calibri" w:cs="Calibri"/>
          <w:color w:val="000000" w:themeColor="text1"/>
        </w:rPr>
        <w:t>workers, and</w:t>
      </w:r>
      <w:proofErr w:type="gramEnd"/>
      <w:r>
        <w:rPr>
          <w:rFonts w:ascii="Calibri" w:eastAsia="Calibri" w:hAnsi="Calibri" w:cs="Calibri"/>
          <w:color w:val="000000" w:themeColor="text1"/>
        </w:rPr>
        <w:t xml:space="preserve"> offer resources that are required for their front-line workers to cater customer demands accurately. Likewise, Albert (2024) has portrayed different types of organisational structures including </w:t>
      </w:r>
      <w:r>
        <w:rPr>
          <w:rFonts w:ascii="Calibri" w:eastAsia="Calibri" w:hAnsi="Calibri" w:cs="Calibri"/>
          <w:i/>
          <w:color w:val="000000" w:themeColor="text1"/>
        </w:rPr>
        <w:t>divisional, matrix, functional</w:t>
      </w:r>
      <w:r>
        <w:rPr>
          <w:rFonts w:ascii="Calibri" w:eastAsia="Calibri" w:hAnsi="Calibri" w:cs="Calibri"/>
          <w:color w:val="000000" w:themeColor="text1"/>
        </w:rPr>
        <w:t xml:space="preserve">, and others that influence organisations to streamline their operations concerning market dynamics. Aligning these two authors' perspectives with the case of Hilton, it is identified that the brand integrates </w:t>
      </w:r>
      <w:r>
        <w:rPr>
          <w:rFonts w:ascii="Calibri" w:eastAsia="Calibri" w:hAnsi="Calibri" w:cs="Calibri"/>
          <w:b/>
          <w:i/>
          <w:color w:val="000000" w:themeColor="text1"/>
        </w:rPr>
        <w:t>a divisional organisational structure</w:t>
      </w:r>
      <w:r>
        <w:rPr>
          <w:rFonts w:ascii="Calibri" w:eastAsia="Calibri" w:hAnsi="Calibri" w:cs="Calibri"/>
          <w:color w:val="000000" w:themeColor="text1"/>
        </w:rPr>
        <w:t xml:space="preserve">. The reason behind this statement is that for example, at Hilton, the C-suit of the brand manages geographic and functional divisions of the brand including </w:t>
      </w:r>
      <w:r>
        <w:rPr>
          <w:rFonts w:ascii="Calibri" w:eastAsia="Calibri" w:hAnsi="Calibri" w:cs="Calibri"/>
          <w:i/>
          <w:color w:val="000000" w:themeColor="text1"/>
        </w:rPr>
        <w:t>regions, properties, and brands</w:t>
      </w:r>
      <w:r>
        <w:rPr>
          <w:rFonts w:ascii="Calibri" w:eastAsia="Calibri" w:hAnsi="Calibri" w:cs="Calibri"/>
          <w:color w:val="000000" w:themeColor="text1"/>
        </w:rPr>
        <w:t xml:space="preserve"> (Hilton, </w:t>
      </w:r>
      <w:proofErr w:type="spellStart"/>
      <w:r>
        <w:rPr>
          <w:rFonts w:ascii="Calibri" w:eastAsia="Calibri" w:hAnsi="Calibri" w:cs="Calibri"/>
          <w:color w:val="000000" w:themeColor="text1"/>
        </w:rPr>
        <w:t>n.d.b</w:t>
      </w:r>
      <w:proofErr w:type="spellEnd"/>
      <w:r>
        <w:rPr>
          <w:rFonts w:ascii="Calibri" w:eastAsia="Calibri" w:hAnsi="Calibri" w:cs="Calibri"/>
          <w:color w:val="000000" w:themeColor="text1"/>
        </w:rPr>
        <w:t>)</w:t>
      </w:r>
      <w:r>
        <w:rPr>
          <w:rFonts w:ascii="Calibri" w:eastAsia="Calibri" w:hAnsi="Calibri" w:cs="Calibri"/>
          <w:i/>
          <w:color w:val="000000" w:themeColor="text1"/>
        </w:rPr>
        <w:t xml:space="preserve">. </w:t>
      </w:r>
      <w:r>
        <w:rPr>
          <w:rFonts w:ascii="Calibri" w:eastAsia="Calibri" w:hAnsi="Calibri" w:cs="Calibri"/>
          <w:color w:val="000000" w:themeColor="text1"/>
        </w:rPr>
        <w:t xml:space="preserve">Following this organisational structure, Hilton acquired its ability to respond and adapt to different market demands while improving its accountability across </w:t>
      </w:r>
      <w:r>
        <w:rPr>
          <w:rFonts w:ascii="Calibri" w:eastAsia="Calibri" w:hAnsi="Calibri" w:cs="Calibri"/>
          <w:color w:val="000000" w:themeColor="text1"/>
        </w:rPr>
        <w:lastRenderedPageBreak/>
        <w:t xml:space="preserve">different divisions. As the divisional structure allows a decentralised decision-making process, it supports Hilton to respond to the changing consumer demand and continues its market growth. </w:t>
      </w:r>
    </w:p>
    <w:p w14:paraId="67244CCE" w14:textId="77777777" w:rsidR="00662363" w:rsidRDefault="00000000">
      <w:pPr>
        <w:pStyle w:val="Heading2"/>
        <w:rPr>
          <w:color w:val="000000" w:themeColor="text1"/>
        </w:rPr>
      </w:pPr>
      <w:bookmarkStart w:id="3" w:name="_Toc190857972"/>
      <w:r>
        <w:rPr>
          <w:color w:val="000000" w:themeColor="text1"/>
        </w:rPr>
        <w:t>2.2 Corporate culture and its influence</w:t>
      </w:r>
      <w:bookmarkEnd w:id="3"/>
    </w:p>
    <w:p w14:paraId="76A37258" w14:textId="77777777" w:rsidR="00662363" w:rsidRDefault="00000000">
      <w:pPr>
        <w:jc w:val="center"/>
        <w:rPr>
          <w:rFonts w:ascii="Calibri" w:eastAsia="Calibri" w:hAnsi="Calibri" w:cs="Calibri"/>
          <w:color w:val="000000" w:themeColor="text1"/>
        </w:rPr>
      </w:pPr>
      <w:r>
        <w:rPr>
          <w:rFonts w:ascii="Calibri" w:eastAsia="Calibri" w:hAnsi="Calibri" w:cs="Calibri"/>
          <w:noProof/>
          <w:color w:val="000000" w:themeColor="text1"/>
        </w:rPr>
        <w:drawing>
          <wp:inline distT="114300" distB="114300" distL="114300" distR="114300" wp14:anchorId="2AA20496" wp14:editId="2496A81D">
            <wp:extent cx="4408170" cy="2569845"/>
            <wp:effectExtent l="0" t="0" r="0" b="0"/>
            <wp:docPr id="101231417" name="image3.png"/>
            <wp:cNvGraphicFramePr/>
            <a:graphic xmlns:a="http://schemas.openxmlformats.org/drawingml/2006/main">
              <a:graphicData uri="http://schemas.openxmlformats.org/drawingml/2006/picture">
                <pic:pic xmlns:pic="http://schemas.openxmlformats.org/drawingml/2006/picture">
                  <pic:nvPicPr>
                    <pic:cNvPr id="101231417" name="image3.png"/>
                    <pic:cNvPicPr preferRelativeResize="0"/>
                  </pic:nvPicPr>
                  <pic:blipFill>
                    <a:blip r:embed="rId7"/>
                    <a:srcRect/>
                    <a:stretch>
                      <a:fillRect/>
                    </a:stretch>
                  </pic:blipFill>
                  <pic:spPr>
                    <a:xfrm>
                      <a:off x="0" y="0"/>
                      <a:ext cx="4408574" cy="2570448"/>
                    </a:xfrm>
                    <a:prstGeom prst="rect">
                      <a:avLst/>
                    </a:prstGeom>
                  </pic:spPr>
                </pic:pic>
              </a:graphicData>
            </a:graphic>
          </wp:inline>
        </w:drawing>
      </w:r>
    </w:p>
    <w:p w14:paraId="77668F4E" w14:textId="77777777" w:rsidR="00662363" w:rsidRDefault="00000000">
      <w:pPr>
        <w:jc w:val="center"/>
        <w:rPr>
          <w:rFonts w:ascii="Calibri" w:eastAsia="Calibri" w:hAnsi="Calibri" w:cs="Calibri"/>
          <w:b/>
          <w:color w:val="000000" w:themeColor="text1"/>
        </w:rPr>
      </w:pPr>
      <w:r>
        <w:rPr>
          <w:rFonts w:ascii="Calibri" w:eastAsia="Calibri" w:hAnsi="Calibri" w:cs="Calibri"/>
          <w:b/>
          <w:color w:val="000000" w:themeColor="text1"/>
        </w:rPr>
        <w:t>Figure 1: Corporate culture of Hilton Hotel &amp; Resort</w:t>
      </w:r>
    </w:p>
    <w:p w14:paraId="34948E8F" w14:textId="77777777" w:rsidR="00662363" w:rsidRDefault="00000000">
      <w:pPr>
        <w:jc w:val="center"/>
        <w:rPr>
          <w:rFonts w:ascii="Calibri" w:eastAsia="Calibri" w:hAnsi="Calibri" w:cs="Calibri"/>
          <w:color w:val="000000" w:themeColor="text1"/>
        </w:rPr>
      </w:pPr>
      <w:r>
        <w:rPr>
          <w:rFonts w:ascii="Calibri" w:eastAsia="Calibri" w:hAnsi="Calibri" w:cs="Calibri"/>
          <w:color w:val="000000" w:themeColor="text1"/>
        </w:rPr>
        <w:t>(Source: Influenced by: Schiff, and Cawley, 2023)</w:t>
      </w:r>
    </w:p>
    <w:p w14:paraId="422DDB17"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In this highly competitive and fast-changing business environment, a strong and positive corporate culture is pivotal in defining organisational values, influencing employee performance, and transforming brand identity. Perspective of Buchanan, and Huczynski (2007) depicted that organisational culture directly influences OB, sharing employee attitude, norms, identity, and values that influence organisational performance. Reflecting on this argument, the corporate culture of Hilton Hotel &amp; Resort is inclined towards four core pillars </w:t>
      </w:r>
      <w:r>
        <w:rPr>
          <w:rFonts w:ascii="Calibri" w:eastAsia="Calibri" w:hAnsi="Calibri" w:cs="Calibri"/>
          <w:i/>
          <w:color w:val="000000" w:themeColor="text1"/>
        </w:rPr>
        <w:t>Inclusion, Wellness, Growth, and Purpose</w:t>
      </w:r>
      <w:r>
        <w:rPr>
          <w:rFonts w:ascii="Calibri" w:eastAsia="Calibri" w:hAnsi="Calibri" w:cs="Calibri"/>
          <w:color w:val="000000" w:themeColor="text1"/>
        </w:rPr>
        <w:t xml:space="preserve"> (Schiff and Cawley, 2023). The company is found to offer a diverse professional, lifestyle, and wellness program that supports employees throughout their employment journey, forming workplace unity with a positive work culture. This corporate culture supports the brand to become a leader within the hospitality industry by retaining highly skilled talent and increasing brand productivity, and customer satisfaction level. </w:t>
      </w:r>
    </w:p>
    <w:p w14:paraId="743AE4B5" w14:textId="77777777" w:rsidR="00662363" w:rsidRDefault="00000000">
      <w:pPr>
        <w:pStyle w:val="Heading2"/>
        <w:rPr>
          <w:color w:val="000000" w:themeColor="text1"/>
        </w:rPr>
      </w:pPr>
      <w:bookmarkStart w:id="4" w:name="_Toc190857973"/>
      <w:r>
        <w:rPr>
          <w:color w:val="000000" w:themeColor="text1"/>
        </w:rPr>
        <w:lastRenderedPageBreak/>
        <w:t>2.3 Organisational goals both at the corporate and individual level</w:t>
      </w:r>
      <w:bookmarkEnd w:id="4"/>
    </w:p>
    <w:p w14:paraId="1264EE6A" w14:textId="77777777" w:rsidR="00662363" w:rsidRDefault="00000000">
      <w:pPr>
        <w:jc w:val="center"/>
        <w:rPr>
          <w:rFonts w:ascii="Calibri" w:eastAsia="Calibri" w:hAnsi="Calibri" w:cs="Calibri"/>
          <w:color w:val="000000" w:themeColor="text1"/>
        </w:rPr>
      </w:pPr>
      <w:r>
        <w:rPr>
          <w:rFonts w:ascii="Calibri" w:eastAsia="Calibri" w:hAnsi="Calibri" w:cs="Calibri"/>
          <w:noProof/>
          <w:color w:val="000000" w:themeColor="text1"/>
        </w:rPr>
        <w:drawing>
          <wp:inline distT="114300" distB="114300" distL="114300" distR="114300" wp14:anchorId="42BC2E29" wp14:editId="4843BBA0">
            <wp:extent cx="3602355" cy="3566160"/>
            <wp:effectExtent l="0" t="0" r="0" b="0"/>
            <wp:docPr id="101231416" name="image5.png"/>
            <wp:cNvGraphicFramePr/>
            <a:graphic xmlns:a="http://schemas.openxmlformats.org/drawingml/2006/main">
              <a:graphicData uri="http://schemas.openxmlformats.org/drawingml/2006/picture">
                <pic:pic xmlns:pic="http://schemas.openxmlformats.org/drawingml/2006/picture">
                  <pic:nvPicPr>
                    <pic:cNvPr id="101231416" name="image5.png"/>
                    <pic:cNvPicPr preferRelativeResize="0"/>
                  </pic:nvPicPr>
                  <pic:blipFill>
                    <a:blip r:embed="rId8"/>
                    <a:srcRect/>
                    <a:stretch>
                      <a:fillRect/>
                    </a:stretch>
                  </pic:blipFill>
                  <pic:spPr>
                    <a:xfrm>
                      <a:off x="0" y="0"/>
                      <a:ext cx="3602534" cy="3566629"/>
                    </a:xfrm>
                    <a:prstGeom prst="rect">
                      <a:avLst/>
                    </a:prstGeom>
                  </pic:spPr>
                </pic:pic>
              </a:graphicData>
            </a:graphic>
          </wp:inline>
        </w:drawing>
      </w:r>
    </w:p>
    <w:p w14:paraId="451B1952" w14:textId="77777777" w:rsidR="00662363" w:rsidRDefault="00000000">
      <w:pPr>
        <w:jc w:val="center"/>
        <w:rPr>
          <w:rFonts w:ascii="Calibri" w:eastAsia="Calibri" w:hAnsi="Calibri" w:cs="Calibri"/>
          <w:b/>
          <w:color w:val="000000" w:themeColor="text1"/>
        </w:rPr>
      </w:pPr>
      <w:r>
        <w:rPr>
          <w:rFonts w:ascii="Calibri" w:eastAsia="Calibri" w:hAnsi="Calibri" w:cs="Calibri"/>
          <w:b/>
          <w:color w:val="000000" w:themeColor="text1"/>
        </w:rPr>
        <w:t>Figure 2: Travel with Purpose 2030 goals</w:t>
      </w:r>
    </w:p>
    <w:p w14:paraId="3BA73D33" w14:textId="77777777" w:rsidR="00662363" w:rsidRDefault="00000000">
      <w:pPr>
        <w:jc w:val="center"/>
        <w:rPr>
          <w:rFonts w:ascii="Calibri" w:eastAsia="Calibri" w:hAnsi="Calibri" w:cs="Calibri"/>
          <w:color w:val="000000" w:themeColor="text1"/>
        </w:rPr>
      </w:pPr>
      <w:r>
        <w:rPr>
          <w:rFonts w:ascii="Calibri" w:eastAsia="Calibri" w:hAnsi="Calibri" w:cs="Calibri"/>
          <w:color w:val="000000" w:themeColor="text1"/>
        </w:rPr>
        <w:t xml:space="preserve">(Source: Hilton, </w:t>
      </w:r>
      <w:proofErr w:type="spellStart"/>
      <w:r>
        <w:rPr>
          <w:rFonts w:ascii="Calibri" w:eastAsia="Calibri" w:hAnsi="Calibri" w:cs="Calibri"/>
          <w:color w:val="000000" w:themeColor="text1"/>
        </w:rPr>
        <w:t>n.d.h</w:t>
      </w:r>
      <w:proofErr w:type="spellEnd"/>
      <w:r>
        <w:rPr>
          <w:rFonts w:ascii="Calibri" w:eastAsia="Calibri" w:hAnsi="Calibri" w:cs="Calibri"/>
          <w:color w:val="000000" w:themeColor="text1"/>
        </w:rPr>
        <w:t>)</w:t>
      </w:r>
    </w:p>
    <w:p w14:paraId="19E3A246" w14:textId="77777777" w:rsidR="00662363" w:rsidRDefault="00000000">
      <w:pPr>
        <w:rPr>
          <w:rFonts w:ascii="Calibri" w:eastAsia="Calibri" w:hAnsi="Calibri" w:cs="Calibri"/>
          <w:color w:val="000000" w:themeColor="text1"/>
        </w:rPr>
      </w:pPr>
      <w:r>
        <w:rPr>
          <w:rFonts w:ascii="Calibri" w:eastAsia="Calibri" w:hAnsi="Calibri" w:cs="Calibri"/>
          <w:b/>
          <w:i/>
          <w:color w:val="000000" w:themeColor="text1"/>
        </w:rPr>
        <w:t xml:space="preserve">Sustainability </w:t>
      </w:r>
      <w:r>
        <w:rPr>
          <w:rFonts w:ascii="Calibri" w:eastAsia="Calibri" w:hAnsi="Calibri" w:cs="Calibri"/>
          <w:color w:val="000000" w:themeColor="text1"/>
        </w:rPr>
        <w:t xml:space="preserve">is identified as one of the primary corporate goals of Hilton. The company is aiming to reduce environmental impact by redefining sustainable travel with the help of its </w:t>
      </w:r>
      <w:r>
        <w:rPr>
          <w:rFonts w:ascii="Calibri" w:eastAsia="Calibri" w:hAnsi="Calibri" w:cs="Calibri"/>
          <w:b/>
          <w:i/>
          <w:color w:val="000000" w:themeColor="text1"/>
        </w:rPr>
        <w:t>Travel with Purpose 2030 Goals</w:t>
      </w:r>
      <w:r>
        <w:rPr>
          <w:rFonts w:ascii="Calibri" w:eastAsia="Calibri" w:hAnsi="Calibri" w:cs="Calibri"/>
          <w:color w:val="000000" w:themeColor="text1"/>
        </w:rPr>
        <w:t xml:space="preserve"> (Hilton, </w:t>
      </w:r>
      <w:proofErr w:type="spellStart"/>
      <w:r>
        <w:rPr>
          <w:rFonts w:ascii="Calibri" w:eastAsia="Calibri" w:hAnsi="Calibri" w:cs="Calibri"/>
          <w:color w:val="000000" w:themeColor="text1"/>
        </w:rPr>
        <w:t>n.d.c</w:t>
      </w:r>
      <w:proofErr w:type="spellEnd"/>
      <w:r>
        <w:rPr>
          <w:rFonts w:ascii="Calibri" w:eastAsia="Calibri" w:hAnsi="Calibri" w:cs="Calibri"/>
          <w:color w:val="000000" w:themeColor="text1"/>
        </w:rPr>
        <w:t xml:space="preserve">). Likewise, perceiving the changing needs of the target audience, customer experience enhancement is identified to be another corporate goal for the brand for which they personalised convenient services. </w:t>
      </w:r>
    </w:p>
    <w:p w14:paraId="4CD51B9D" w14:textId="77777777" w:rsidR="00662363" w:rsidRDefault="00000000">
      <w:pPr>
        <w:jc w:val="center"/>
        <w:rPr>
          <w:rFonts w:ascii="Calibri" w:eastAsia="Calibri" w:hAnsi="Calibri" w:cs="Calibri"/>
          <w:color w:val="000000" w:themeColor="text1"/>
        </w:rPr>
      </w:pPr>
      <w:r>
        <w:rPr>
          <w:rFonts w:ascii="Calibri" w:eastAsia="Calibri" w:hAnsi="Calibri" w:cs="Calibri"/>
          <w:noProof/>
          <w:color w:val="000000" w:themeColor="text1"/>
        </w:rPr>
        <w:drawing>
          <wp:inline distT="114300" distB="114300" distL="114300" distR="114300" wp14:anchorId="6981D612" wp14:editId="34FE4E6D">
            <wp:extent cx="5730875" cy="1143000"/>
            <wp:effectExtent l="0" t="0" r="0" b="0"/>
            <wp:docPr id="101231419" name="image4.png"/>
            <wp:cNvGraphicFramePr/>
            <a:graphic xmlns:a="http://schemas.openxmlformats.org/drawingml/2006/main">
              <a:graphicData uri="http://schemas.openxmlformats.org/drawingml/2006/picture">
                <pic:pic xmlns:pic="http://schemas.openxmlformats.org/drawingml/2006/picture">
                  <pic:nvPicPr>
                    <pic:cNvPr id="101231419" name="image4.png"/>
                    <pic:cNvPicPr preferRelativeResize="0"/>
                  </pic:nvPicPr>
                  <pic:blipFill>
                    <a:blip r:embed="rId9"/>
                    <a:srcRect/>
                    <a:stretch>
                      <a:fillRect/>
                    </a:stretch>
                  </pic:blipFill>
                  <pic:spPr>
                    <a:xfrm>
                      <a:off x="0" y="0"/>
                      <a:ext cx="5731200" cy="1143000"/>
                    </a:xfrm>
                    <a:prstGeom prst="rect">
                      <a:avLst/>
                    </a:prstGeom>
                  </pic:spPr>
                </pic:pic>
              </a:graphicData>
            </a:graphic>
          </wp:inline>
        </w:drawing>
      </w:r>
    </w:p>
    <w:p w14:paraId="26913B1E" w14:textId="77777777" w:rsidR="00662363" w:rsidRDefault="00000000">
      <w:pPr>
        <w:jc w:val="center"/>
        <w:rPr>
          <w:rFonts w:ascii="Calibri" w:eastAsia="Calibri" w:hAnsi="Calibri" w:cs="Calibri"/>
          <w:b/>
          <w:color w:val="000000" w:themeColor="text1"/>
        </w:rPr>
      </w:pPr>
      <w:r>
        <w:rPr>
          <w:rFonts w:ascii="Calibri" w:eastAsia="Calibri" w:hAnsi="Calibri" w:cs="Calibri"/>
          <w:b/>
          <w:color w:val="000000" w:themeColor="text1"/>
        </w:rPr>
        <w:t>Figure 3: Customer services offered by Hilton</w:t>
      </w:r>
    </w:p>
    <w:p w14:paraId="2C95A2A6" w14:textId="77777777" w:rsidR="00662363" w:rsidRDefault="00000000">
      <w:pPr>
        <w:jc w:val="center"/>
        <w:rPr>
          <w:rFonts w:ascii="Calibri" w:eastAsia="Calibri" w:hAnsi="Calibri" w:cs="Calibri"/>
          <w:color w:val="000000" w:themeColor="text1"/>
        </w:rPr>
      </w:pPr>
      <w:r>
        <w:rPr>
          <w:rFonts w:ascii="Calibri" w:eastAsia="Calibri" w:hAnsi="Calibri" w:cs="Calibri"/>
          <w:color w:val="000000" w:themeColor="text1"/>
        </w:rPr>
        <w:t xml:space="preserve">(Source: Hilton, </w:t>
      </w:r>
      <w:proofErr w:type="spellStart"/>
      <w:r>
        <w:rPr>
          <w:rFonts w:ascii="Calibri" w:eastAsia="Calibri" w:hAnsi="Calibri" w:cs="Calibri"/>
          <w:color w:val="000000" w:themeColor="text1"/>
        </w:rPr>
        <w:t>n.d.d</w:t>
      </w:r>
      <w:proofErr w:type="spellEnd"/>
      <w:r>
        <w:rPr>
          <w:rFonts w:ascii="Calibri" w:eastAsia="Calibri" w:hAnsi="Calibri" w:cs="Calibri"/>
          <w:color w:val="000000" w:themeColor="text1"/>
        </w:rPr>
        <w:t>)</w:t>
      </w:r>
    </w:p>
    <w:p w14:paraId="038D8F5A"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Figure 4 reflects the range of customer-centric services including </w:t>
      </w:r>
      <w:r>
        <w:rPr>
          <w:rFonts w:ascii="Calibri" w:eastAsia="Calibri" w:hAnsi="Calibri" w:cs="Calibri"/>
          <w:i/>
          <w:color w:val="000000" w:themeColor="text1"/>
        </w:rPr>
        <w:t>airport shuttles, electric vehicle charging, digital key</w:t>
      </w:r>
      <w:r>
        <w:rPr>
          <w:rFonts w:ascii="Calibri" w:eastAsia="Calibri" w:hAnsi="Calibri" w:cs="Calibri"/>
          <w:color w:val="000000" w:themeColor="text1"/>
        </w:rPr>
        <w:t xml:space="preserve">s, and others offered by the brand. This supports to drive customer satisfaction levels by improving overall brand loyalty (Hilton, </w:t>
      </w:r>
      <w:proofErr w:type="spellStart"/>
      <w:r>
        <w:rPr>
          <w:rFonts w:ascii="Calibri" w:eastAsia="Calibri" w:hAnsi="Calibri" w:cs="Calibri"/>
          <w:color w:val="000000" w:themeColor="text1"/>
        </w:rPr>
        <w:t>n.d.d</w:t>
      </w:r>
      <w:proofErr w:type="spellEnd"/>
      <w:r>
        <w:rPr>
          <w:rFonts w:ascii="Calibri" w:eastAsia="Calibri" w:hAnsi="Calibri" w:cs="Calibri"/>
          <w:color w:val="000000" w:themeColor="text1"/>
        </w:rPr>
        <w:t xml:space="preserve">). On the other </w:t>
      </w:r>
      <w:r>
        <w:rPr>
          <w:rFonts w:ascii="Calibri" w:eastAsia="Calibri" w:hAnsi="Calibri" w:cs="Calibri"/>
          <w:color w:val="000000" w:themeColor="text1"/>
        </w:rPr>
        <w:lastRenderedPageBreak/>
        <w:t xml:space="preserve">hand, </w:t>
      </w:r>
      <w:r>
        <w:rPr>
          <w:rFonts w:ascii="Calibri" w:eastAsia="Calibri" w:hAnsi="Calibri" w:cs="Calibri"/>
          <w:i/>
          <w:color w:val="000000" w:themeColor="text1"/>
        </w:rPr>
        <w:t>personal development, teamwork, inclusivity, and sustainability contribution</w:t>
      </w:r>
      <w:r>
        <w:rPr>
          <w:rFonts w:ascii="Calibri" w:eastAsia="Calibri" w:hAnsi="Calibri" w:cs="Calibri"/>
          <w:color w:val="000000" w:themeColor="text1"/>
        </w:rPr>
        <w:t xml:space="preserve"> are identified to be organisational goals for Hilton at the individual level (Hilton, </w:t>
      </w:r>
      <w:proofErr w:type="spellStart"/>
      <w:r>
        <w:rPr>
          <w:rFonts w:ascii="Calibri" w:eastAsia="Calibri" w:hAnsi="Calibri" w:cs="Calibri"/>
          <w:color w:val="000000" w:themeColor="text1"/>
        </w:rPr>
        <w:t>n.d.d</w:t>
      </w:r>
      <w:proofErr w:type="spellEnd"/>
      <w:r>
        <w:rPr>
          <w:rFonts w:ascii="Calibri" w:eastAsia="Calibri" w:hAnsi="Calibri" w:cs="Calibri"/>
          <w:color w:val="000000" w:themeColor="text1"/>
        </w:rPr>
        <w:t xml:space="preserve">). By offering continuous professional development programs, the brand promotes team collaboration, while empowering employees to participate actively in sustainability initiatives. </w:t>
      </w:r>
    </w:p>
    <w:p w14:paraId="68C12963" w14:textId="77777777" w:rsidR="00662363" w:rsidRDefault="00000000">
      <w:pPr>
        <w:pStyle w:val="Heading1"/>
        <w:rPr>
          <w:color w:val="000000" w:themeColor="text1"/>
        </w:rPr>
      </w:pPr>
      <w:bookmarkStart w:id="5" w:name="_Toc190857974"/>
      <w:r>
        <w:rPr>
          <w:color w:val="000000" w:themeColor="text1"/>
        </w:rPr>
        <w:t>3.0 Recent Change Initiatives</w:t>
      </w:r>
      <w:bookmarkEnd w:id="5"/>
    </w:p>
    <w:p w14:paraId="555DB5EC" w14:textId="77777777" w:rsidR="00662363" w:rsidRDefault="00000000">
      <w:pPr>
        <w:pStyle w:val="Heading2"/>
        <w:rPr>
          <w:color w:val="000000" w:themeColor="text1"/>
        </w:rPr>
      </w:pPr>
      <w:bookmarkStart w:id="6" w:name="_Toc190857975"/>
      <w:r>
        <w:rPr>
          <w:color w:val="000000" w:themeColor="text1"/>
        </w:rPr>
        <w:t>3.1 Identification of recent change initiatives</w:t>
      </w:r>
      <w:bookmarkEnd w:id="6"/>
    </w:p>
    <w:p w14:paraId="0718FB59"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Change is identified to be essential for business organisations specifically operating in the hospitality industry to maintain their business survivability with long-term growth. Reflecting on the concept of </w:t>
      </w:r>
      <w:r>
        <w:rPr>
          <w:rFonts w:ascii="Calibri" w:eastAsia="Calibri" w:hAnsi="Calibri" w:cs="Calibri"/>
          <w:b/>
          <w:i/>
          <w:color w:val="000000" w:themeColor="text1"/>
        </w:rPr>
        <w:t xml:space="preserve">McKinsey 7s Model </w:t>
      </w:r>
      <w:r>
        <w:rPr>
          <w:rFonts w:ascii="Calibri" w:eastAsia="Calibri" w:hAnsi="Calibri" w:cs="Calibri"/>
          <w:color w:val="000000" w:themeColor="text1"/>
        </w:rPr>
        <w:t xml:space="preserve">Odeh, (2021) mentioned that change initiatives through significant and strategic approaches are crucial for improving performance management, and growth. McKinsey 7s Model offers a holistic approach, and interconnectedness between organisational, group, and individual levels. Aligning this concept with the case of Hilton, it is identified that the brand has taken numerous change initiatives to improve its brand reputation and consistent growth. For example, reducing wait times by improving guest services, Hilton has implemented a </w:t>
      </w:r>
      <w:r>
        <w:rPr>
          <w:rFonts w:ascii="Calibri" w:eastAsia="Calibri" w:hAnsi="Calibri" w:cs="Calibri"/>
          <w:b/>
          <w:i/>
          <w:color w:val="000000" w:themeColor="text1"/>
        </w:rPr>
        <w:t>cloud-based hotel Property Engagement Platform (PEP)</w:t>
      </w:r>
      <w:r>
        <w:rPr>
          <w:rFonts w:ascii="Calibri" w:eastAsia="Calibri" w:hAnsi="Calibri" w:cs="Calibri"/>
          <w:color w:val="000000" w:themeColor="text1"/>
        </w:rPr>
        <w:t xml:space="preserve">, while taking proactive initiatives towards sustainable travel (Hotel Technology News, 2023). This reflects strategic leadership style for example </w:t>
      </w:r>
      <w:r>
        <w:rPr>
          <w:rFonts w:ascii="Calibri" w:eastAsia="Calibri" w:hAnsi="Calibri" w:cs="Calibri"/>
          <w:b/>
          <w:bCs/>
          <w:i/>
          <w:iCs/>
          <w:color w:val="000000" w:themeColor="text1"/>
        </w:rPr>
        <w:t>transformational leadership style</w:t>
      </w:r>
      <w:r>
        <w:rPr>
          <w:rFonts w:ascii="Calibri" w:eastAsia="Calibri" w:hAnsi="Calibri" w:cs="Calibri"/>
          <w:color w:val="000000" w:themeColor="text1"/>
        </w:rPr>
        <w:t xml:space="preserve"> followed by the organisation that supports the company to respond spontaneously with the changing business environment by maintaining positive workplace culture. Also, the brand introduces different initiatives in integration of technologies including </w:t>
      </w:r>
      <w:r>
        <w:rPr>
          <w:rFonts w:ascii="Calibri" w:eastAsia="Calibri" w:hAnsi="Calibri" w:cs="Calibri"/>
          <w:i/>
          <w:color w:val="000000" w:themeColor="text1"/>
        </w:rPr>
        <w:t>Digital Key, Hilton Honors app, Confirmed Connecting Rooms</w:t>
      </w:r>
      <w:r>
        <w:rPr>
          <w:rFonts w:ascii="Calibri" w:eastAsia="Calibri" w:hAnsi="Calibri" w:cs="Calibri"/>
          <w:color w:val="000000" w:themeColor="text1"/>
        </w:rPr>
        <w:t xml:space="preserve">, and others to improve guest experiences (Hilton, </w:t>
      </w:r>
      <w:proofErr w:type="spellStart"/>
      <w:r>
        <w:rPr>
          <w:rFonts w:ascii="Calibri" w:eastAsia="Calibri" w:hAnsi="Calibri" w:cs="Calibri"/>
          <w:color w:val="000000" w:themeColor="text1"/>
        </w:rPr>
        <w:t>n.d.d</w:t>
      </w:r>
      <w:proofErr w:type="spellEnd"/>
      <w:r>
        <w:rPr>
          <w:rFonts w:ascii="Calibri" w:eastAsia="Calibri" w:hAnsi="Calibri" w:cs="Calibri"/>
          <w:color w:val="000000" w:themeColor="text1"/>
        </w:rPr>
        <w:t xml:space="preserve">). With the help of an inclusive, and positive workplace culture the company has successfully integrated change initiatives. </w:t>
      </w:r>
    </w:p>
    <w:p w14:paraId="646F4C4A" w14:textId="77777777" w:rsidR="00662363" w:rsidRDefault="00000000">
      <w:pPr>
        <w:pStyle w:val="Heading2"/>
        <w:rPr>
          <w:color w:val="000000" w:themeColor="text1"/>
        </w:rPr>
      </w:pPr>
      <w:bookmarkStart w:id="7" w:name="_Toc190857976"/>
      <w:r>
        <w:rPr>
          <w:color w:val="000000" w:themeColor="text1"/>
        </w:rPr>
        <w:t>3.2 Impact</w:t>
      </w:r>
      <w:bookmarkEnd w:id="7"/>
    </w:p>
    <w:p w14:paraId="1CCE8D40"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Significant impact of the underlined change initiatives has been observed for Hilton in terms of brand recognition, long-term growth, customer satisfaction, and competitiveness. For example, with the help of digital innovation, Hilton enhances customer experiences by transforming guest arrivals with the integration of Digital Keys, and Mobile Check-ins (Hilton, </w:t>
      </w:r>
      <w:proofErr w:type="spellStart"/>
      <w:r>
        <w:rPr>
          <w:rFonts w:ascii="Calibri" w:eastAsia="Calibri" w:hAnsi="Calibri" w:cs="Calibri"/>
          <w:color w:val="000000" w:themeColor="text1"/>
        </w:rPr>
        <w:lastRenderedPageBreak/>
        <w:t>n.d</w:t>
      </w:r>
      <w:proofErr w:type="spellEnd"/>
      <w:r>
        <w:rPr>
          <w:rFonts w:ascii="Calibri" w:eastAsia="Calibri" w:hAnsi="Calibri" w:cs="Calibri"/>
          <w:color w:val="000000" w:themeColor="text1"/>
        </w:rPr>
        <w:t>). Apart from this, integration of in-room technology with personalised service through Artificial intelligence (AI) the brand is constantly improving customer service. Aligning the concept of McKinsey 7s Model at organisational level, it can be stated that change initiatives through digital innovation following transformational leadership style positively impact business opportunities while strengthening brand reputations and continuous growth across the globe.</w:t>
      </w:r>
    </w:p>
    <w:p w14:paraId="3B0D85F9" w14:textId="77777777" w:rsidR="00662363" w:rsidRDefault="00000000">
      <w:pPr>
        <w:pStyle w:val="Heading2"/>
        <w:rPr>
          <w:color w:val="000000" w:themeColor="text1"/>
        </w:rPr>
      </w:pPr>
      <w:bookmarkStart w:id="8" w:name="_Toc190857977"/>
      <w:r>
        <w:rPr>
          <w:color w:val="000000" w:themeColor="text1"/>
        </w:rPr>
        <w:t>3.3 Management of those changes</w:t>
      </w:r>
      <w:bookmarkEnd w:id="8"/>
    </w:p>
    <w:p w14:paraId="10D9845E"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Employees are identified to be key assets for any business entity, and their proactive commitments bring advantages in driving change management processes successfully. Management of underlined change management initiatives by Hilton can be demonstrated by aligning with the concept of </w:t>
      </w:r>
      <w:r>
        <w:rPr>
          <w:rFonts w:ascii="Calibri" w:eastAsia="Calibri" w:hAnsi="Calibri" w:cs="Calibri"/>
          <w:b/>
          <w:i/>
          <w:color w:val="000000" w:themeColor="text1"/>
        </w:rPr>
        <w:t>Herzberg's two-factor theory</w:t>
      </w:r>
      <w:r>
        <w:rPr>
          <w:rFonts w:ascii="Calibri" w:eastAsia="Calibri" w:hAnsi="Calibri" w:cs="Calibri"/>
          <w:b/>
          <w:color w:val="000000" w:themeColor="text1"/>
        </w:rPr>
        <w:t xml:space="preserve"> </w:t>
      </w:r>
      <w:r>
        <w:rPr>
          <w:rFonts w:ascii="Calibri" w:eastAsia="Calibri" w:hAnsi="Calibri" w:cs="Calibri"/>
          <w:color w:val="000000" w:themeColor="text1"/>
        </w:rPr>
        <w:t>as asserted by Buchanan and Huczynski (2007). For example, in terms of Hygiene Factors, Hilton has established a positive workplace culture through flexible working arrangements with wellness programs. Likewise, in terms of motivator factors, the brand offers career development opportunities to its employees followed by work recognition (</w:t>
      </w:r>
      <w:proofErr w:type="spellStart"/>
      <w:r>
        <w:rPr>
          <w:rFonts w:ascii="Calibri" w:eastAsia="Calibri" w:hAnsi="Calibri" w:cs="Calibri"/>
          <w:color w:val="000000" w:themeColor="text1"/>
        </w:rPr>
        <w:t>Hitlon</w:t>
      </w:r>
      <w:proofErr w:type="spellEnd"/>
      <w:r>
        <w:rPr>
          <w:rFonts w:ascii="Calibri" w:eastAsia="Calibri" w:hAnsi="Calibri" w:cs="Calibri"/>
          <w:color w:val="000000" w:themeColor="text1"/>
        </w:rPr>
        <w:t xml:space="preserve">, </w:t>
      </w:r>
      <w:proofErr w:type="spellStart"/>
      <w:r>
        <w:rPr>
          <w:rFonts w:ascii="Calibri" w:eastAsia="Calibri" w:hAnsi="Calibri" w:cs="Calibri"/>
          <w:color w:val="000000" w:themeColor="text1"/>
        </w:rPr>
        <w:t>n.d.e</w:t>
      </w:r>
      <w:proofErr w:type="spellEnd"/>
      <w:r>
        <w:rPr>
          <w:rFonts w:ascii="Calibri" w:eastAsia="Calibri" w:hAnsi="Calibri" w:cs="Calibri"/>
          <w:color w:val="000000" w:themeColor="text1"/>
        </w:rPr>
        <w:t xml:space="preserve">). This portrays the transformational leadership style followed by the brand, creating a motivated workforce whose proactive commitments help Hilton to manage each of their proposed and already integrated change initiatives successfully. Following </w:t>
      </w:r>
      <w:r>
        <w:rPr>
          <w:rFonts w:ascii="Calibri" w:eastAsia="Calibri" w:hAnsi="Calibri" w:cs="Calibri"/>
          <w:b/>
          <w:bCs/>
          <w:i/>
          <w:iCs/>
          <w:color w:val="000000" w:themeColor="text1"/>
        </w:rPr>
        <w:t>transformational leadership style</w:t>
      </w:r>
      <w:r>
        <w:rPr>
          <w:rFonts w:ascii="Calibri" w:eastAsia="Calibri" w:hAnsi="Calibri" w:cs="Calibri"/>
          <w:color w:val="000000" w:themeColor="text1"/>
        </w:rPr>
        <w:t xml:space="preserve">, Hilton constantly focuses on building a positive work environment while improving employee morale, and job satisfaction that positively influences managing change, and acquiring new business opportunities successfully. Despite being a customer-centric brand, Hilton's commitment towards employee performance, and skill development reflects their ability to accomplish business values by fostering a positive workplace culture. </w:t>
      </w:r>
    </w:p>
    <w:p w14:paraId="03B7B4A3" w14:textId="77777777" w:rsidR="00662363" w:rsidRDefault="00000000">
      <w:pPr>
        <w:pStyle w:val="Heading1"/>
        <w:rPr>
          <w:color w:val="000000" w:themeColor="text1"/>
        </w:rPr>
      </w:pPr>
      <w:bookmarkStart w:id="9" w:name="_Toc190857978"/>
      <w:r>
        <w:rPr>
          <w:color w:val="000000" w:themeColor="text1"/>
        </w:rPr>
        <w:lastRenderedPageBreak/>
        <w:t>4.0 Strategic direction</w:t>
      </w:r>
      <w:bookmarkEnd w:id="9"/>
    </w:p>
    <w:p w14:paraId="39998451" w14:textId="77777777" w:rsidR="00662363" w:rsidRDefault="00000000">
      <w:pPr>
        <w:pStyle w:val="Heading2"/>
        <w:rPr>
          <w:color w:val="000000" w:themeColor="text1"/>
        </w:rPr>
      </w:pPr>
      <w:bookmarkStart w:id="10" w:name="_Toc190857979"/>
      <w:r>
        <w:rPr>
          <w:color w:val="000000" w:themeColor="text1"/>
        </w:rPr>
        <w:t>4.1 Strategic direction of Hilton Hotels &amp; Resorts</w:t>
      </w:r>
      <w:bookmarkEnd w:id="10"/>
    </w:p>
    <w:p w14:paraId="5175EC9E" w14:textId="77777777" w:rsidR="00662363" w:rsidRDefault="00000000">
      <w:pPr>
        <w:jc w:val="center"/>
        <w:rPr>
          <w:rFonts w:ascii="Calibri" w:eastAsia="Calibri" w:hAnsi="Calibri" w:cs="Calibri"/>
          <w:color w:val="000000" w:themeColor="text1"/>
        </w:rPr>
      </w:pPr>
      <w:r>
        <w:rPr>
          <w:rFonts w:ascii="Calibri" w:eastAsia="Calibri" w:hAnsi="Calibri" w:cs="Calibri"/>
          <w:noProof/>
          <w:color w:val="000000" w:themeColor="text1"/>
        </w:rPr>
        <w:drawing>
          <wp:inline distT="114300" distB="114300" distL="114300" distR="114300" wp14:anchorId="1B1375EE" wp14:editId="549FE621">
            <wp:extent cx="5730875" cy="3136900"/>
            <wp:effectExtent l="0" t="0" r="0" b="0"/>
            <wp:docPr id="101231418" name="image6.png"/>
            <wp:cNvGraphicFramePr/>
            <a:graphic xmlns:a="http://schemas.openxmlformats.org/drawingml/2006/main">
              <a:graphicData uri="http://schemas.openxmlformats.org/drawingml/2006/picture">
                <pic:pic xmlns:pic="http://schemas.openxmlformats.org/drawingml/2006/picture">
                  <pic:nvPicPr>
                    <pic:cNvPr id="101231418" name="image6.png"/>
                    <pic:cNvPicPr preferRelativeResize="0"/>
                  </pic:nvPicPr>
                  <pic:blipFill>
                    <a:blip r:embed="rId10"/>
                    <a:srcRect/>
                    <a:stretch>
                      <a:fillRect/>
                    </a:stretch>
                  </pic:blipFill>
                  <pic:spPr>
                    <a:xfrm>
                      <a:off x="0" y="0"/>
                      <a:ext cx="5731200" cy="3136900"/>
                    </a:xfrm>
                    <a:prstGeom prst="rect">
                      <a:avLst/>
                    </a:prstGeom>
                  </pic:spPr>
                </pic:pic>
              </a:graphicData>
            </a:graphic>
          </wp:inline>
        </w:drawing>
      </w:r>
    </w:p>
    <w:p w14:paraId="34035765" w14:textId="77777777" w:rsidR="00662363" w:rsidRDefault="00000000">
      <w:pPr>
        <w:jc w:val="center"/>
        <w:rPr>
          <w:rFonts w:ascii="Calibri" w:eastAsia="Calibri" w:hAnsi="Calibri" w:cs="Calibri"/>
          <w:b/>
          <w:color w:val="000000" w:themeColor="text1"/>
        </w:rPr>
      </w:pPr>
      <w:r>
        <w:rPr>
          <w:rFonts w:ascii="Calibri" w:eastAsia="Calibri" w:hAnsi="Calibri" w:cs="Calibri"/>
          <w:b/>
          <w:color w:val="000000" w:themeColor="text1"/>
        </w:rPr>
        <w:t>Figure 4: Strategic direction of Hilton</w:t>
      </w:r>
    </w:p>
    <w:p w14:paraId="7F3C8A0A" w14:textId="77777777" w:rsidR="00662363" w:rsidRDefault="00000000">
      <w:pPr>
        <w:jc w:val="center"/>
        <w:rPr>
          <w:rFonts w:ascii="Calibri" w:eastAsia="Calibri" w:hAnsi="Calibri" w:cs="Calibri"/>
          <w:color w:val="000000" w:themeColor="text1"/>
        </w:rPr>
      </w:pPr>
      <w:r>
        <w:rPr>
          <w:rFonts w:ascii="Calibri" w:eastAsia="Calibri" w:hAnsi="Calibri" w:cs="Calibri"/>
          <w:color w:val="000000" w:themeColor="text1"/>
        </w:rPr>
        <w:t xml:space="preserve">(Source: Hilton, </w:t>
      </w:r>
      <w:proofErr w:type="spellStart"/>
      <w:r>
        <w:rPr>
          <w:rFonts w:ascii="Calibri" w:eastAsia="Calibri" w:hAnsi="Calibri" w:cs="Calibri"/>
          <w:color w:val="000000" w:themeColor="text1"/>
        </w:rPr>
        <w:t>n.d.h</w:t>
      </w:r>
      <w:proofErr w:type="spellEnd"/>
      <w:r>
        <w:rPr>
          <w:rFonts w:ascii="Calibri" w:eastAsia="Calibri" w:hAnsi="Calibri" w:cs="Calibri"/>
          <w:color w:val="000000" w:themeColor="text1"/>
        </w:rPr>
        <w:t>)</w:t>
      </w:r>
    </w:p>
    <w:p w14:paraId="5088A55B"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Strategic direction has a significant role for any business entity as it offers a shared vision, ensuring positive contribution of individuals in the accomplishment of organisational objectives. </w:t>
      </w:r>
      <w:proofErr w:type="spellStart"/>
      <w:r>
        <w:rPr>
          <w:rFonts w:ascii="Calibri" w:eastAsia="Calibri" w:hAnsi="Calibri" w:cs="Calibri"/>
          <w:color w:val="000000" w:themeColor="text1"/>
        </w:rPr>
        <w:t>Tipurić</w:t>
      </w:r>
      <w:proofErr w:type="spellEnd"/>
      <w:r>
        <w:rPr>
          <w:rFonts w:ascii="Calibri" w:eastAsia="Calibri" w:hAnsi="Calibri" w:cs="Calibri"/>
          <w:color w:val="000000" w:themeColor="text1"/>
        </w:rPr>
        <w:t xml:space="preserve"> (2022) asserted that strategic direction is required to be differentiated planning as it is primarily focused on organisational actions that directly include organisational mission and vision. In the context of Hilton Hotel &amp; Resort, the strategic direction of the brand is primarily inclined towards </w:t>
      </w:r>
      <w:r>
        <w:rPr>
          <w:rFonts w:ascii="Calibri" w:eastAsia="Calibri" w:hAnsi="Calibri" w:cs="Calibri"/>
          <w:b/>
          <w:i/>
          <w:color w:val="000000" w:themeColor="text1"/>
        </w:rPr>
        <w:t xml:space="preserve">global expansion </w:t>
      </w:r>
      <w:r>
        <w:rPr>
          <w:rFonts w:ascii="Calibri" w:eastAsia="Calibri" w:hAnsi="Calibri" w:cs="Calibri"/>
          <w:color w:val="000000" w:themeColor="text1"/>
        </w:rPr>
        <w:t xml:space="preserve">by creating a diverse brand portfolio. It is identified that presently the company has taken a strategic approach to drive responsible travel under its </w:t>
      </w:r>
      <w:r>
        <w:rPr>
          <w:rFonts w:ascii="Calibri" w:eastAsia="Calibri" w:hAnsi="Calibri" w:cs="Calibri"/>
          <w:b/>
          <w:i/>
          <w:color w:val="000000" w:themeColor="text1"/>
        </w:rPr>
        <w:t xml:space="preserve">Travel </w:t>
      </w:r>
      <w:proofErr w:type="gramStart"/>
      <w:r>
        <w:rPr>
          <w:rFonts w:ascii="Calibri" w:eastAsia="Calibri" w:hAnsi="Calibri" w:cs="Calibri"/>
          <w:b/>
          <w:i/>
          <w:color w:val="000000" w:themeColor="text1"/>
        </w:rPr>
        <w:t>With</w:t>
      </w:r>
      <w:proofErr w:type="gramEnd"/>
      <w:r>
        <w:rPr>
          <w:rFonts w:ascii="Calibri" w:eastAsia="Calibri" w:hAnsi="Calibri" w:cs="Calibri"/>
          <w:b/>
          <w:i/>
          <w:color w:val="000000" w:themeColor="text1"/>
        </w:rPr>
        <w:t xml:space="preserve"> Purpose</w:t>
      </w:r>
      <w:r>
        <w:rPr>
          <w:rFonts w:ascii="Calibri" w:eastAsia="Calibri" w:hAnsi="Calibri" w:cs="Calibri"/>
          <w:color w:val="000000" w:themeColor="text1"/>
        </w:rPr>
        <w:t xml:space="preserve"> initiatives. </w:t>
      </w:r>
      <w:proofErr w:type="gramStart"/>
      <w:r>
        <w:rPr>
          <w:rFonts w:ascii="Calibri" w:eastAsia="Calibri" w:hAnsi="Calibri" w:cs="Calibri"/>
          <w:color w:val="000000" w:themeColor="text1"/>
        </w:rPr>
        <w:t>In order to</w:t>
      </w:r>
      <w:proofErr w:type="gramEnd"/>
      <w:r>
        <w:rPr>
          <w:rFonts w:ascii="Calibri" w:eastAsia="Calibri" w:hAnsi="Calibri" w:cs="Calibri"/>
          <w:color w:val="000000" w:themeColor="text1"/>
        </w:rPr>
        <w:t xml:space="preserve"> accomplish its sustainability goals for fostering its global presence, the brand has proactively invested in </w:t>
      </w:r>
      <w:r>
        <w:rPr>
          <w:rFonts w:ascii="Calibri" w:eastAsia="Calibri" w:hAnsi="Calibri" w:cs="Calibri"/>
          <w:b/>
          <w:i/>
          <w:color w:val="000000" w:themeColor="text1"/>
        </w:rPr>
        <w:t>Fifth Wall’s climate technology</w:t>
      </w:r>
      <w:r>
        <w:rPr>
          <w:rFonts w:ascii="Calibri" w:eastAsia="Calibri" w:hAnsi="Calibri" w:cs="Calibri"/>
          <w:color w:val="000000" w:themeColor="text1"/>
        </w:rPr>
        <w:t xml:space="preserve">, aiming to decarbonise the real estate sectors across the globe (Hilton, </w:t>
      </w:r>
      <w:proofErr w:type="spellStart"/>
      <w:r>
        <w:rPr>
          <w:rFonts w:ascii="Calibri" w:eastAsia="Calibri" w:hAnsi="Calibri" w:cs="Calibri"/>
          <w:color w:val="000000" w:themeColor="text1"/>
        </w:rPr>
        <w:t>n.d.f</w:t>
      </w:r>
      <w:proofErr w:type="spellEnd"/>
      <w:r>
        <w:rPr>
          <w:rFonts w:ascii="Calibri" w:eastAsia="Calibri" w:hAnsi="Calibri" w:cs="Calibri"/>
          <w:color w:val="000000" w:themeColor="text1"/>
        </w:rPr>
        <w:t xml:space="preserve">). </w:t>
      </w:r>
      <w:proofErr w:type="spellStart"/>
      <w:r>
        <w:rPr>
          <w:rFonts w:ascii="Calibri" w:eastAsia="Calibri" w:hAnsi="Calibri" w:cs="Calibri"/>
          <w:color w:val="000000" w:themeColor="text1"/>
        </w:rPr>
        <w:t>AlKahtani</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et al.</w:t>
      </w:r>
      <w:r>
        <w:rPr>
          <w:rFonts w:ascii="Calibri" w:eastAsia="Calibri" w:hAnsi="Calibri" w:cs="Calibri"/>
          <w:color w:val="000000" w:themeColor="text1"/>
        </w:rPr>
        <w:t xml:space="preserve"> (2021) mentioned employees empowered as a strategic business direction to bring job satisfaction and contribute positively to organisational productivity, and employee morale. Hilton, in this context, is found to be committed to fostering inclusivity, while creating people-centred workplace culture (Hilton, </w:t>
      </w:r>
      <w:proofErr w:type="spellStart"/>
      <w:r>
        <w:rPr>
          <w:rFonts w:ascii="Calibri" w:eastAsia="Calibri" w:hAnsi="Calibri" w:cs="Calibri"/>
          <w:color w:val="000000" w:themeColor="text1"/>
        </w:rPr>
        <w:t>n.d.g</w:t>
      </w:r>
      <w:proofErr w:type="spellEnd"/>
      <w:r>
        <w:rPr>
          <w:rFonts w:ascii="Calibri" w:eastAsia="Calibri" w:hAnsi="Calibri" w:cs="Calibri"/>
          <w:color w:val="000000" w:themeColor="text1"/>
        </w:rPr>
        <w:t xml:space="preserve">). This </w:t>
      </w:r>
      <w:r>
        <w:rPr>
          <w:rFonts w:ascii="Calibri" w:eastAsia="Calibri" w:hAnsi="Calibri" w:cs="Calibri"/>
          <w:color w:val="000000" w:themeColor="text1"/>
        </w:rPr>
        <w:lastRenderedPageBreak/>
        <w:t xml:space="preserve">strategic direction of the brand for employee management portrayed a positive implication in the accomplishment of long-term objectives while maintaining business stability within the market. </w:t>
      </w:r>
    </w:p>
    <w:p w14:paraId="253C7A7D" w14:textId="77777777" w:rsidR="00662363" w:rsidRDefault="00000000">
      <w:pPr>
        <w:pStyle w:val="Heading2"/>
        <w:rPr>
          <w:color w:val="000000" w:themeColor="text1"/>
        </w:rPr>
      </w:pPr>
      <w:bookmarkStart w:id="11" w:name="_Toc190857980"/>
      <w:r>
        <w:rPr>
          <w:color w:val="000000" w:themeColor="text1"/>
        </w:rPr>
        <w:t>4.2 Implemented strategies for the accomplishment of long-term objectives</w:t>
      </w:r>
      <w:bookmarkEnd w:id="11"/>
    </w:p>
    <w:p w14:paraId="1C33CC81" w14:textId="77777777" w:rsidR="00662363" w:rsidRDefault="00000000">
      <w:pPr>
        <w:jc w:val="center"/>
        <w:rPr>
          <w:rFonts w:ascii="Calibri" w:eastAsia="Calibri" w:hAnsi="Calibri" w:cs="Calibri"/>
          <w:color w:val="000000" w:themeColor="text1"/>
        </w:rPr>
      </w:pPr>
      <w:r>
        <w:rPr>
          <w:rFonts w:ascii="Calibri" w:eastAsia="Calibri" w:hAnsi="Calibri" w:cs="Calibri"/>
          <w:noProof/>
          <w:color w:val="000000" w:themeColor="text1"/>
        </w:rPr>
        <w:drawing>
          <wp:inline distT="114300" distB="114300" distL="114300" distR="114300" wp14:anchorId="154C6272" wp14:editId="2E697CD1">
            <wp:extent cx="5476875" cy="2590800"/>
            <wp:effectExtent l="0" t="0" r="0" b="0"/>
            <wp:docPr id="101231414" name="image2.png"/>
            <wp:cNvGraphicFramePr/>
            <a:graphic xmlns:a="http://schemas.openxmlformats.org/drawingml/2006/main">
              <a:graphicData uri="http://schemas.openxmlformats.org/drawingml/2006/picture">
                <pic:pic xmlns:pic="http://schemas.openxmlformats.org/drawingml/2006/picture">
                  <pic:nvPicPr>
                    <pic:cNvPr id="101231414" name="image2.png"/>
                    <pic:cNvPicPr preferRelativeResize="0"/>
                  </pic:nvPicPr>
                  <pic:blipFill>
                    <a:blip r:embed="rId11"/>
                    <a:srcRect/>
                    <a:stretch>
                      <a:fillRect/>
                    </a:stretch>
                  </pic:blipFill>
                  <pic:spPr>
                    <a:xfrm>
                      <a:off x="0" y="0"/>
                      <a:ext cx="5476875" cy="2590800"/>
                    </a:xfrm>
                    <a:prstGeom prst="rect">
                      <a:avLst/>
                    </a:prstGeom>
                  </pic:spPr>
                </pic:pic>
              </a:graphicData>
            </a:graphic>
          </wp:inline>
        </w:drawing>
      </w:r>
    </w:p>
    <w:p w14:paraId="0A392218" w14:textId="77777777" w:rsidR="00662363" w:rsidRDefault="00000000">
      <w:pPr>
        <w:jc w:val="center"/>
        <w:rPr>
          <w:rFonts w:ascii="Calibri" w:eastAsia="Calibri" w:hAnsi="Calibri" w:cs="Calibri"/>
          <w:b/>
          <w:color w:val="000000" w:themeColor="text1"/>
        </w:rPr>
      </w:pPr>
      <w:r>
        <w:rPr>
          <w:rFonts w:ascii="Calibri" w:eastAsia="Calibri" w:hAnsi="Calibri" w:cs="Calibri"/>
          <w:b/>
          <w:color w:val="000000" w:themeColor="text1"/>
        </w:rPr>
        <w:t>Figure 5: Maslow's hierarchy of need theory</w:t>
      </w:r>
    </w:p>
    <w:p w14:paraId="4CDDB328" w14:textId="77777777" w:rsidR="00662363" w:rsidRDefault="00000000">
      <w:pPr>
        <w:jc w:val="center"/>
        <w:rPr>
          <w:rFonts w:ascii="Calibri" w:eastAsia="Calibri" w:hAnsi="Calibri" w:cs="Calibri"/>
          <w:color w:val="000000" w:themeColor="text1"/>
        </w:rPr>
      </w:pPr>
      <w:r>
        <w:rPr>
          <w:rFonts w:ascii="Calibri" w:eastAsia="Calibri" w:hAnsi="Calibri" w:cs="Calibri"/>
          <w:color w:val="000000" w:themeColor="text1"/>
        </w:rPr>
        <w:t xml:space="preserve">(Source: </w:t>
      </w:r>
      <w:proofErr w:type="spellStart"/>
      <w:r>
        <w:rPr>
          <w:rFonts w:ascii="Calibri" w:eastAsia="Calibri" w:hAnsi="Calibri" w:cs="Calibri"/>
          <w:color w:val="000000" w:themeColor="text1"/>
        </w:rPr>
        <w:t>Durmuş</w:t>
      </w:r>
      <w:proofErr w:type="spellEnd"/>
      <w:r>
        <w:rPr>
          <w:rFonts w:ascii="Calibri" w:eastAsia="Calibri" w:hAnsi="Calibri" w:cs="Calibri"/>
          <w:color w:val="000000" w:themeColor="text1"/>
        </w:rPr>
        <w:t>, 2024)</w:t>
      </w:r>
    </w:p>
    <w:p w14:paraId="702EE776"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With the help of a transformative approach, Hilton is identified to accomplish their long-term business objectives effectively. Reflecting on the viewpoint of </w:t>
      </w:r>
      <w:proofErr w:type="spellStart"/>
      <w:r>
        <w:rPr>
          <w:rFonts w:ascii="Calibri" w:eastAsia="Calibri" w:hAnsi="Calibri" w:cs="Calibri"/>
          <w:color w:val="000000" w:themeColor="text1"/>
        </w:rPr>
        <w:t>Durmuş</w:t>
      </w:r>
      <w:proofErr w:type="spellEnd"/>
      <w:r>
        <w:rPr>
          <w:rFonts w:ascii="Calibri" w:eastAsia="Calibri" w:hAnsi="Calibri" w:cs="Calibri"/>
          <w:color w:val="000000" w:themeColor="text1"/>
        </w:rPr>
        <w:t xml:space="preserve"> (2024) it is identified that </w:t>
      </w:r>
      <w:r>
        <w:rPr>
          <w:rFonts w:ascii="Calibri" w:eastAsia="Calibri" w:hAnsi="Calibri" w:cs="Calibri"/>
          <w:b/>
          <w:bCs/>
          <w:i/>
          <w:iCs/>
          <w:color w:val="000000" w:themeColor="text1"/>
        </w:rPr>
        <w:t>Maslow's hierarchy need theory</w:t>
      </w:r>
      <w:r>
        <w:rPr>
          <w:rFonts w:ascii="Calibri" w:eastAsia="Calibri" w:hAnsi="Calibri" w:cs="Calibri"/>
          <w:color w:val="000000" w:themeColor="text1"/>
        </w:rPr>
        <w:t xml:space="preserve"> can be considered for the implementation of strategic business decisions for addressing different levels of needs for employees, as well as customers. Reflecting on the case of Hilton, it is identified that considering the psychological and social needs of the target customers, Hilton has implemented digital innovation, investing in modern technologies to improve services and customer satisfaction levels. This approach supports the brand to strengthen its brand popularity, which will further influence the accomplishment of future long-term objectives as well. Similarly, considering the safety, self-actualisation, and esteem needs of employees, the company offers employee empowerment programs, and skill development training that foster a positive workplace culture, establishing a strong, and highly committed workforce. </w:t>
      </w:r>
    </w:p>
    <w:p w14:paraId="52728337" w14:textId="77777777" w:rsidR="00662363" w:rsidRDefault="00662363">
      <w:pPr>
        <w:rPr>
          <w:rFonts w:ascii="Calibri" w:eastAsia="Calibri" w:hAnsi="Calibri" w:cs="Calibri"/>
          <w:color w:val="000000" w:themeColor="text1"/>
        </w:rPr>
      </w:pPr>
    </w:p>
    <w:p w14:paraId="0E20BDCF" w14:textId="77777777" w:rsidR="00662363" w:rsidRDefault="00000000">
      <w:pPr>
        <w:pStyle w:val="Heading1"/>
        <w:rPr>
          <w:color w:val="000000" w:themeColor="text1"/>
        </w:rPr>
      </w:pPr>
      <w:bookmarkStart w:id="12" w:name="_Toc190857981"/>
      <w:r>
        <w:rPr>
          <w:color w:val="000000" w:themeColor="text1"/>
        </w:rPr>
        <w:lastRenderedPageBreak/>
        <w:t>5.0 Conclusion</w:t>
      </w:r>
      <w:bookmarkEnd w:id="12"/>
    </w:p>
    <w:p w14:paraId="191E6619"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From the overall discussion, it is identified that organisational behaviour and culture play a significant role for any business entity in terms of driving their business consistency, and growth. Reflecting on the case of Hilton Hotel &amp; Resorts, it is identified that the company has created a positive work culture with strong brand reputation by catering for the needs and demands of the target audience. On the other hand, it is identified that by offering a significant amount of employee benefits for their skills development poses a strong brand image within the global market, while improving long-term employee commitments. It has been identified that management and organisational behaviour is identified to be crucial for business entities as they offer significant insight into employee behaviour, motivations, and interaction, enabling managers to create a positive workplace environment. However, there are some important areas or opportunities that Hilton can consider for improving their stability within the hotel and hospitality industry in the future that will be underlined in the next section. </w:t>
      </w:r>
    </w:p>
    <w:p w14:paraId="3E3F93E4" w14:textId="77777777" w:rsidR="00662363" w:rsidRDefault="00000000">
      <w:pPr>
        <w:pStyle w:val="Heading1"/>
        <w:rPr>
          <w:color w:val="000000" w:themeColor="text1"/>
        </w:rPr>
      </w:pPr>
      <w:bookmarkStart w:id="13" w:name="_Toc190857982"/>
      <w:r>
        <w:rPr>
          <w:color w:val="000000" w:themeColor="text1"/>
        </w:rPr>
        <w:t>6.0 Recommendations</w:t>
      </w:r>
      <w:bookmarkEnd w:id="13"/>
    </w:p>
    <w:p w14:paraId="28195E42" w14:textId="77777777" w:rsidR="00662363" w:rsidRDefault="00000000">
      <w:pPr>
        <w:rPr>
          <w:rFonts w:ascii="Calibri" w:eastAsia="Calibri" w:hAnsi="Calibri" w:cs="Calibri"/>
          <w:color w:val="000000" w:themeColor="text1"/>
        </w:rPr>
      </w:pPr>
      <w:r>
        <w:rPr>
          <w:rFonts w:ascii="Calibri" w:eastAsia="Calibri" w:hAnsi="Calibri" w:cs="Calibri"/>
          <w:color w:val="000000" w:themeColor="text1"/>
        </w:rPr>
        <w:t xml:space="preserve">Based on the evidence asserted above, Hilton is identified to have some improvement areas in terms of </w:t>
      </w:r>
      <w:r>
        <w:rPr>
          <w:rFonts w:ascii="Calibri" w:eastAsia="Calibri" w:hAnsi="Calibri" w:cs="Calibri"/>
          <w:i/>
          <w:color w:val="000000" w:themeColor="text1"/>
        </w:rPr>
        <w:t>usage of data analytics, and integration of flexible booking and cancellation policies</w:t>
      </w:r>
      <w:r>
        <w:rPr>
          <w:rFonts w:ascii="Calibri" w:eastAsia="Calibri" w:hAnsi="Calibri" w:cs="Calibri"/>
          <w:color w:val="000000" w:themeColor="text1"/>
        </w:rPr>
        <w:t xml:space="preserve"> like the existing market competitors Accor and Marriott International. For example, the "Marriott Bonvoy" program is identified by considering data analytics to understand the customer preferences based on which they tailored customer experiences through rewards (Marriott, </w:t>
      </w:r>
      <w:proofErr w:type="spellStart"/>
      <w:r>
        <w:rPr>
          <w:rFonts w:ascii="Calibri" w:eastAsia="Calibri" w:hAnsi="Calibri" w:cs="Calibri"/>
          <w:color w:val="000000" w:themeColor="text1"/>
        </w:rPr>
        <w:t>n.d</w:t>
      </w:r>
      <w:proofErr w:type="spellEnd"/>
      <w:r>
        <w:rPr>
          <w:rFonts w:ascii="Calibri" w:eastAsia="Calibri" w:hAnsi="Calibri" w:cs="Calibri"/>
          <w:color w:val="000000" w:themeColor="text1"/>
        </w:rPr>
        <w:t xml:space="preserve">). Likewise, flexible booking and cancellation facilities offered by Accor support the brand in offering more personalised services even during uncertain business situations like the pandemic (Accor, </w:t>
      </w:r>
      <w:proofErr w:type="spellStart"/>
      <w:r>
        <w:rPr>
          <w:rFonts w:ascii="Calibri" w:eastAsia="Calibri" w:hAnsi="Calibri" w:cs="Calibri"/>
          <w:color w:val="000000" w:themeColor="text1"/>
        </w:rPr>
        <w:t>n.d</w:t>
      </w:r>
      <w:proofErr w:type="spellEnd"/>
      <w:r>
        <w:rPr>
          <w:rFonts w:ascii="Calibri" w:eastAsia="Calibri" w:hAnsi="Calibri" w:cs="Calibri"/>
          <w:color w:val="000000" w:themeColor="text1"/>
        </w:rPr>
        <w:t xml:space="preserve">). Thus, comparing these two best practices by the competitors of Hilton, the following recommendations table portrays the way Hilton could improve its position further referring to factors like </w:t>
      </w:r>
      <w:r>
        <w:rPr>
          <w:rFonts w:ascii="Calibri" w:eastAsia="Calibri" w:hAnsi="Calibri" w:cs="Calibri"/>
          <w:i/>
          <w:color w:val="000000" w:themeColor="text1"/>
        </w:rPr>
        <w:t>who, when, where, why and how and best practices examples</w:t>
      </w:r>
      <w:r>
        <w:rPr>
          <w:rFonts w:ascii="Calibri" w:eastAsia="Calibri" w:hAnsi="Calibri" w:cs="Calibri"/>
          <w:color w:val="000000" w:themeColor="text1"/>
        </w:rPr>
        <w:t>.</w:t>
      </w:r>
    </w:p>
    <w:tbl>
      <w:tblPr>
        <w:tblStyle w:val="Style23"/>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289"/>
        <w:gridCol w:w="1290"/>
        <w:gridCol w:w="1290"/>
        <w:gridCol w:w="1290"/>
        <w:gridCol w:w="1290"/>
        <w:gridCol w:w="1290"/>
        <w:gridCol w:w="1290"/>
      </w:tblGrid>
      <w:tr w:rsidR="00662363" w14:paraId="4AC8FB1E" w14:textId="77777777">
        <w:trPr>
          <w:jc w:val="center"/>
        </w:trPr>
        <w:tc>
          <w:tcPr>
            <w:tcW w:w="1289" w:type="dxa"/>
            <w:shd w:val="clear" w:color="auto" w:fill="auto"/>
            <w:tcMar>
              <w:top w:w="100" w:type="dxa"/>
              <w:left w:w="100" w:type="dxa"/>
              <w:bottom w:w="100" w:type="dxa"/>
              <w:right w:w="100" w:type="dxa"/>
            </w:tcMar>
          </w:tcPr>
          <w:p w14:paraId="7041C7F1" w14:textId="77777777" w:rsidR="00662363" w:rsidRDefault="00000000">
            <w:pPr>
              <w:widowControl w:val="0"/>
              <w:jc w:val="center"/>
              <w:rPr>
                <w:rFonts w:ascii="Calibri" w:eastAsia="Calibri" w:hAnsi="Calibri" w:cs="Calibri"/>
                <w:b/>
                <w:color w:val="000000" w:themeColor="text1"/>
              </w:rPr>
            </w:pPr>
            <w:r>
              <w:rPr>
                <w:rFonts w:ascii="Calibri" w:eastAsia="Calibri" w:hAnsi="Calibri" w:cs="Calibri"/>
                <w:b/>
                <w:color w:val="000000" w:themeColor="text1"/>
              </w:rPr>
              <w:t>Recommendations</w:t>
            </w:r>
          </w:p>
        </w:tc>
        <w:tc>
          <w:tcPr>
            <w:tcW w:w="1290" w:type="dxa"/>
            <w:shd w:val="clear" w:color="auto" w:fill="auto"/>
            <w:tcMar>
              <w:top w:w="100" w:type="dxa"/>
              <w:left w:w="100" w:type="dxa"/>
              <w:bottom w:w="100" w:type="dxa"/>
              <w:right w:w="100" w:type="dxa"/>
            </w:tcMar>
          </w:tcPr>
          <w:p w14:paraId="26A04AB5" w14:textId="77777777" w:rsidR="00662363" w:rsidRDefault="00000000">
            <w:pPr>
              <w:widowControl w:val="0"/>
              <w:jc w:val="center"/>
              <w:rPr>
                <w:rFonts w:ascii="Calibri" w:eastAsia="Calibri" w:hAnsi="Calibri" w:cs="Calibri"/>
                <w:b/>
                <w:color w:val="000000" w:themeColor="text1"/>
              </w:rPr>
            </w:pPr>
            <w:r>
              <w:rPr>
                <w:rFonts w:ascii="Calibri" w:eastAsia="Calibri" w:hAnsi="Calibri" w:cs="Calibri"/>
                <w:b/>
                <w:color w:val="000000" w:themeColor="text1"/>
              </w:rPr>
              <w:t>Who</w:t>
            </w:r>
          </w:p>
        </w:tc>
        <w:tc>
          <w:tcPr>
            <w:tcW w:w="1290" w:type="dxa"/>
            <w:shd w:val="clear" w:color="auto" w:fill="auto"/>
            <w:tcMar>
              <w:top w:w="100" w:type="dxa"/>
              <w:left w:w="100" w:type="dxa"/>
              <w:bottom w:w="100" w:type="dxa"/>
              <w:right w:w="100" w:type="dxa"/>
            </w:tcMar>
          </w:tcPr>
          <w:p w14:paraId="6E5ED9CB" w14:textId="77777777" w:rsidR="00662363" w:rsidRDefault="00000000">
            <w:pPr>
              <w:widowControl w:val="0"/>
              <w:jc w:val="center"/>
              <w:rPr>
                <w:rFonts w:ascii="Calibri" w:eastAsia="Calibri" w:hAnsi="Calibri" w:cs="Calibri"/>
                <w:b/>
                <w:color w:val="000000" w:themeColor="text1"/>
              </w:rPr>
            </w:pPr>
            <w:r>
              <w:rPr>
                <w:rFonts w:ascii="Calibri" w:eastAsia="Calibri" w:hAnsi="Calibri" w:cs="Calibri"/>
                <w:b/>
                <w:color w:val="000000" w:themeColor="text1"/>
              </w:rPr>
              <w:t>When</w:t>
            </w:r>
          </w:p>
        </w:tc>
        <w:tc>
          <w:tcPr>
            <w:tcW w:w="1290" w:type="dxa"/>
            <w:shd w:val="clear" w:color="auto" w:fill="auto"/>
            <w:tcMar>
              <w:top w:w="100" w:type="dxa"/>
              <w:left w:w="100" w:type="dxa"/>
              <w:bottom w:w="100" w:type="dxa"/>
              <w:right w:w="100" w:type="dxa"/>
            </w:tcMar>
          </w:tcPr>
          <w:p w14:paraId="47D62AFF" w14:textId="77777777" w:rsidR="00662363" w:rsidRDefault="00000000">
            <w:pPr>
              <w:widowControl w:val="0"/>
              <w:jc w:val="center"/>
              <w:rPr>
                <w:rFonts w:ascii="Calibri" w:eastAsia="Calibri" w:hAnsi="Calibri" w:cs="Calibri"/>
                <w:b/>
                <w:color w:val="000000" w:themeColor="text1"/>
              </w:rPr>
            </w:pPr>
            <w:r>
              <w:rPr>
                <w:rFonts w:ascii="Calibri" w:eastAsia="Calibri" w:hAnsi="Calibri" w:cs="Calibri"/>
                <w:b/>
                <w:color w:val="000000" w:themeColor="text1"/>
              </w:rPr>
              <w:t>Where</w:t>
            </w:r>
          </w:p>
        </w:tc>
        <w:tc>
          <w:tcPr>
            <w:tcW w:w="1290" w:type="dxa"/>
            <w:shd w:val="clear" w:color="auto" w:fill="auto"/>
            <w:tcMar>
              <w:top w:w="100" w:type="dxa"/>
              <w:left w:w="100" w:type="dxa"/>
              <w:bottom w:w="100" w:type="dxa"/>
              <w:right w:w="100" w:type="dxa"/>
            </w:tcMar>
          </w:tcPr>
          <w:p w14:paraId="7E3C41FD" w14:textId="77777777" w:rsidR="00662363" w:rsidRDefault="00000000">
            <w:pPr>
              <w:widowControl w:val="0"/>
              <w:jc w:val="center"/>
              <w:rPr>
                <w:rFonts w:ascii="Calibri" w:eastAsia="Calibri" w:hAnsi="Calibri" w:cs="Calibri"/>
                <w:b/>
                <w:color w:val="000000" w:themeColor="text1"/>
              </w:rPr>
            </w:pPr>
            <w:r>
              <w:rPr>
                <w:rFonts w:ascii="Calibri" w:eastAsia="Calibri" w:hAnsi="Calibri" w:cs="Calibri"/>
                <w:b/>
                <w:color w:val="000000" w:themeColor="text1"/>
              </w:rPr>
              <w:t>Why</w:t>
            </w:r>
          </w:p>
        </w:tc>
        <w:tc>
          <w:tcPr>
            <w:tcW w:w="1290" w:type="dxa"/>
            <w:shd w:val="clear" w:color="auto" w:fill="auto"/>
            <w:tcMar>
              <w:top w:w="100" w:type="dxa"/>
              <w:left w:w="100" w:type="dxa"/>
              <w:bottom w:w="100" w:type="dxa"/>
              <w:right w:w="100" w:type="dxa"/>
            </w:tcMar>
          </w:tcPr>
          <w:p w14:paraId="68BC8071" w14:textId="77777777" w:rsidR="00662363" w:rsidRDefault="00000000">
            <w:pPr>
              <w:widowControl w:val="0"/>
              <w:jc w:val="center"/>
              <w:rPr>
                <w:rFonts w:ascii="Calibri" w:eastAsia="Calibri" w:hAnsi="Calibri" w:cs="Calibri"/>
                <w:b/>
                <w:color w:val="000000" w:themeColor="text1"/>
              </w:rPr>
            </w:pPr>
            <w:r>
              <w:rPr>
                <w:rFonts w:ascii="Calibri" w:eastAsia="Calibri" w:hAnsi="Calibri" w:cs="Calibri"/>
                <w:b/>
                <w:color w:val="000000" w:themeColor="text1"/>
              </w:rPr>
              <w:t>How</w:t>
            </w:r>
          </w:p>
        </w:tc>
        <w:tc>
          <w:tcPr>
            <w:tcW w:w="1290" w:type="dxa"/>
            <w:shd w:val="clear" w:color="auto" w:fill="auto"/>
            <w:tcMar>
              <w:top w:w="100" w:type="dxa"/>
              <w:left w:w="100" w:type="dxa"/>
              <w:bottom w:w="100" w:type="dxa"/>
              <w:right w:w="100" w:type="dxa"/>
            </w:tcMar>
          </w:tcPr>
          <w:p w14:paraId="229860DE" w14:textId="77777777" w:rsidR="00662363" w:rsidRDefault="00000000">
            <w:pPr>
              <w:widowControl w:val="0"/>
              <w:jc w:val="center"/>
              <w:rPr>
                <w:rFonts w:ascii="Calibri" w:eastAsia="Calibri" w:hAnsi="Calibri" w:cs="Calibri"/>
                <w:b/>
                <w:color w:val="000000" w:themeColor="text1"/>
              </w:rPr>
            </w:pPr>
            <w:r>
              <w:rPr>
                <w:rFonts w:ascii="Calibri" w:eastAsia="Calibri" w:hAnsi="Calibri" w:cs="Calibri"/>
                <w:b/>
                <w:color w:val="000000" w:themeColor="text1"/>
              </w:rPr>
              <w:t xml:space="preserve">Best practice </w:t>
            </w:r>
            <w:r>
              <w:rPr>
                <w:rFonts w:ascii="Calibri" w:eastAsia="Calibri" w:hAnsi="Calibri" w:cs="Calibri"/>
                <w:b/>
                <w:color w:val="000000" w:themeColor="text1"/>
              </w:rPr>
              <w:lastRenderedPageBreak/>
              <w:t>examples</w:t>
            </w:r>
          </w:p>
        </w:tc>
      </w:tr>
      <w:tr w:rsidR="00662363" w14:paraId="614CE435" w14:textId="77777777">
        <w:trPr>
          <w:jc w:val="center"/>
        </w:trPr>
        <w:tc>
          <w:tcPr>
            <w:tcW w:w="1289" w:type="dxa"/>
            <w:shd w:val="clear" w:color="auto" w:fill="auto"/>
            <w:tcMar>
              <w:top w:w="100" w:type="dxa"/>
              <w:left w:w="100" w:type="dxa"/>
              <w:bottom w:w="100" w:type="dxa"/>
              <w:right w:w="100" w:type="dxa"/>
            </w:tcMar>
          </w:tcPr>
          <w:p w14:paraId="1B5678E7" w14:textId="77777777" w:rsidR="00662363" w:rsidRDefault="00000000">
            <w:pPr>
              <w:widowControl w:val="0"/>
              <w:rPr>
                <w:rFonts w:ascii="Calibri" w:eastAsia="Calibri" w:hAnsi="Calibri" w:cs="Calibri"/>
                <w:color w:val="000000" w:themeColor="text1"/>
              </w:rPr>
            </w:pPr>
            <w:r>
              <w:rPr>
                <w:rFonts w:ascii="Calibri" w:eastAsia="Calibri" w:hAnsi="Calibri" w:cs="Calibri"/>
                <w:b/>
                <w:i/>
                <w:color w:val="000000" w:themeColor="text1"/>
              </w:rPr>
              <w:lastRenderedPageBreak/>
              <w:t>Improving personalization through the integration of data analytics</w:t>
            </w:r>
            <w:r>
              <w:rPr>
                <w:rFonts w:ascii="Calibri" w:eastAsia="Calibri" w:hAnsi="Calibri" w:cs="Calibri"/>
                <w:color w:val="000000" w:themeColor="text1"/>
              </w:rPr>
              <w:t xml:space="preserve"> </w:t>
            </w:r>
          </w:p>
        </w:tc>
        <w:tc>
          <w:tcPr>
            <w:tcW w:w="1290" w:type="dxa"/>
            <w:shd w:val="clear" w:color="auto" w:fill="auto"/>
            <w:tcMar>
              <w:top w:w="100" w:type="dxa"/>
              <w:left w:w="100" w:type="dxa"/>
              <w:bottom w:w="100" w:type="dxa"/>
              <w:right w:w="100" w:type="dxa"/>
            </w:tcMar>
          </w:tcPr>
          <w:p w14:paraId="5F6908F0"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Digital transformation team, information technology department, operational team</w:t>
            </w:r>
          </w:p>
        </w:tc>
        <w:tc>
          <w:tcPr>
            <w:tcW w:w="1290" w:type="dxa"/>
            <w:shd w:val="clear" w:color="auto" w:fill="auto"/>
            <w:tcMar>
              <w:top w:w="100" w:type="dxa"/>
              <w:left w:w="100" w:type="dxa"/>
              <w:bottom w:w="100" w:type="dxa"/>
              <w:right w:w="100" w:type="dxa"/>
            </w:tcMar>
          </w:tcPr>
          <w:p w14:paraId="5B88C2EA"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Within the next 12 to 16 months</w:t>
            </w:r>
          </w:p>
        </w:tc>
        <w:tc>
          <w:tcPr>
            <w:tcW w:w="1290" w:type="dxa"/>
            <w:shd w:val="clear" w:color="auto" w:fill="auto"/>
            <w:tcMar>
              <w:top w:w="100" w:type="dxa"/>
              <w:left w:w="100" w:type="dxa"/>
              <w:bottom w:w="100" w:type="dxa"/>
              <w:right w:w="100" w:type="dxa"/>
            </w:tcMar>
          </w:tcPr>
          <w:p w14:paraId="28AA8225"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Across the global portfolio, prioritising flagship hotels</w:t>
            </w:r>
          </w:p>
        </w:tc>
        <w:tc>
          <w:tcPr>
            <w:tcW w:w="1290" w:type="dxa"/>
            <w:shd w:val="clear" w:color="auto" w:fill="auto"/>
            <w:tcMar>
              <w:top w:w="100" w:type="dxa"/>
              <w:left w:w="100" w:type="dxa"/>
              <w:bottom w:w="100" w:type="dxa"/>
              <w:right w:w="100" w:type="dxa"/>
            </w:tcMar>
          </w:tcPr>
          <w:p w14:paraId="304F97F0"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 xml:space="preserve">Growing demand for personalisation </w:t>
            </w:r>
            <w:proofErr w:type="gramStart"/>
            <w:r>
              <w:rPr>
                <w:rFonts w:ascii="Calibri" w:eastAsia="Calibri" w:hAnsi="Calibri" w:cs="Calibri"/>
                <w:color w:val="000000" w:themeColor="text1"/>
              </w:rPr>
              <w:t>in the area of</w:t>
            </w:r>
            <w:proofErr w:type="gramEnd"/>
            <w:r>
              <w:rPr>
                <w:rFonts w:ascii="Calibri" w:eastAsia="Calibri" w:hAnsi="Calibri" w:cs="Calibri"/>
                <w:color w:val="000000" w:themeColor="text1"/>
              </w:rPr>
              <w:t xml:space="preserve"> room preferences</w:t>
            </w:r>
          </w:p>
        </w:tc>
        <w:tc>
          <w:tcPr>
            <w:tcW w:w="1290" w:type="dxa"/>
            <w:shd w:val="clear" w:color="auto" w:fill="auto"/>
            <w:tcMar>
              <w:top w:w="100" w:type="dxa"/>
              <w:left w:w="100" w:type="dxa"/>
              <w:bottom w:w="100" w:type="dxa"/>
              <w:right w:w="100" w:type="dxa"/>
            </w:tcMar>
          </w:tcPr>
          <w:p w14:paraId="7884AB80"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 xml:space="preserve">Integration of AI-driven tools by customising room experiences </w:t>
            </w:r>
          </w:p>
        </w:tc>
        <w:tc>
          <w:tcPr>
            <w:tcW w:w="1290" w:type="dxa"/>
            <w:shd w:val="clear" w:color="auto" w:fill="auto"/>
            <w:tcMar>
              <w:top w:w="100" w:type="dxa"/>
              <w:left w:w="100" w:type="dxa"/>
              <w:bottom w:w="100" w:type="dxa"/>
              <w:right w:w="100" w:type="dxa"/>
            </w:tcMar>
          </w:tcPr>
          <w:p w14:paraId="14B43B20"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Marriott Bonvoy program</w:t>
            </w:r>
          </w:p>
        </w:tc>
      </w:tr>
      <w:tr w:rsidR="00662363" w14:paraId="6575F576" w14:textId="77777777">
        <w:trPr>
          <w:jc w:val="center"/>
        </w:trPr>
        <w:tc>
          <w:tcPr>
            <w:tcW w:w="1289" w:type="dxa"/>
            <w:shd w:val="clear" w:color="auto" w:fill="auto"/>
            <w:tcMar>
              <w:top w:w="100" w:type="dxa"/>
              <w:left w:w="100" w:type="dxa"/>
              <w:bottom w:w="100" w:type="dxa"/>
              <w:right w:w="100" w:type="dxa"/>
            </w:tcMar>
          </w:tcPr>
          <w:p w14:paraId="5DDBBE30" w14:textId="77777777" w:rsidR="00662363" w:rsidRDefault="00000000">
            <w:pPr>
              <w:widowControl w:val="0"/>
              <w:rPr>
                <w:rFonts w:ascii="Calibri" w:eastAsia="Calibri" w:hAnsi="Calibri" w:cs="Calibri"/>
                <w:b/>
                <w:i/>
                <w:color w:val="000000" w:themeColor="text1"/>
              </w:rPr>
            </w:pPr>
            <w:r>
              <w:rPr>
                <w:rFonts w:ascii="Calibri" w:eastAsia="Calibri" w:hAnsi="Calibri" w:cs="Calibri"/>
                <w:b/>
                <w:i/>
                <w:color w:val="000000" w:themeColor="text1"/>
              </w:rPr>
              <w:t>Adaptation of flexible booking and cancellation approach</w:t>
            </w:r>
          </w:p>
        </w:tc>
        <w:tc>
          <w:tcPr>
            <w:tcW w:w="1290" w:type="dxa"/>
            <w:shd w:val="clear" w:color="auto" w:fill="auto"/>
            <w:tcMar>
              <w:top w:w="100" w:type="dxa"/>
              <w:left w:w="100" w:type="dxa"/>
              <w:bottom w:w="100" w:type="dxa"/>
              <w:right w:w="100" w:type="dxa"/>
            </w:tcMar>
          </w:tcPr>
          <w:p w14:paraId="521C17B8"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Marketing team, and relationship management team</w:t>
            </w:r>
          </w:p>
        </w:tc>
        <w:tc>
          <w:tcPr>
            <w:tcW w:w="1290" w:type="dxa"/>
            <w:shd w:val="clear" w:color="auto" w:fill="auto"/>
            <w:tcMar>
              <w:top w:w="100" w:type="dxa"/>
              <w:left w:w="100" w:type="dxa"/>
              <w:bottom w:w="100" w:type="dxa"/>
              <w:right w:w="100" w:type="dxa"/>
            </w:tcMar>
          </w:tcPr>
          <w:p w14:paraId="1AC6D758"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Within next 3-4 months</w:t>
            </w:r>
          </w:p>
        </w:tc>
        <w:tc>
          <w:tcPr>
            <w:tcW w:w="1290" w:type="dxa"/>
            <w:shd w:val="clear" w:color="auto" w:fill="auto"/>
            <w:tcMar>
              <w:top w:w="100" w:type="dxa"/>
              <w:left w:w="100" w:type="dxa"/>
              <w:bottom w:w="100" w:type="dxa"/>
              <w:right w:w="100" w:type="dxa"/>
            </w:tcMar>
          </w:tcPr>
          <w:p w14:paraId="59401B37"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During peak travel season all the Hilton brands</w:t>
            </w:r>
          </w:p>
        </w:tc>
        <w:tc>
          <w:tcPr>
            <w:tcW w:w="1290" w:type="dxa"/>
            <w:shd w:val="clear" w:color="auto" w:fill="auto"/>
            <w:tcMar>
              <w:top w:w="100" w:type="dxa"/>
              <w:left w:w="100" w:type="dxa"/>
              <w:bottom w:w="100" w:type="dxa"/>
              <w:right w:w="100" w:type="dxa"/>
            </w:tcMar>
          </w:tcPr>
          <w:p w14:paraId="0B60FB6E"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Growing preferences of travel to have flexibility in the booking and cancellation process, specifically because of COVID-19 pandemic</w:t>
            </w:r>
          </w:p>
        </w:tc>
        <w:tc>
          <w:tcPr>
            <w:tcW w:w="1290" w:type="dxa"/>
            <w:shd w:val="clear" w:color="auto" w:fill="auto"/>
            <w:tcMar>
              <w:top w:w="100" w:type="dxa"/>
              <w:left w:w="100" w:type="dxa"/>
              <w:bottom w:w="100" w:type="dxa"/>
              <w:right w:w="100" w:type="dxa"/>
            </w:tcMar>
          </w:tcPr>
          <w:p w14:paraId="229A5466"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Offering refundable rates with free cancellation within the specific time frame</w:t>
            </w:r>
          </w:p>
        </w:tc>
        <w:tc>
          <w:tcPr>
            <w:tcW w:w="1290" w:type="dxa"/>
            <w:shd w:val="clear" w:color="auto" w:fill="auto"/>
            <w:tcMar>
              <w:top w:w="100" w:type="dxa"/>
              <w:left w:w="100" w:type="dxa"/>
              <w:bottom w:w="100" w:type="dxa"/>
              <w:right w:w="100" w:type="dxa"/>
            </w:tcMar>
          </w:tcPr>
          <w:p w14:paraId="15A491B1" w14:textId="77777777" w:rsidR="00662363" w:rsidRDefault="00000000">
            <w:pPr>
              <w:widowControl w:val="0"/>
              <w:rPr>
                <w:rFonts w:ascii="Calibri" w:eastAsia="Calibri" w:hAnsi="Calibri" w:cs="Calibri"/>
                <w:color w:val="000000" w:themeColor="text1"/>
              </w:rPr>
            </w:pPr>
            <w:r>
              <w:rPr>
                <w:rFonts w:ascii="Calibri" w:eastAsia="Calibri" w:hAnsi="Calibri" w:cs="Calibri"/>
                <w:color w:val="000000" w:themeColor="text1"/>
              </w:rPr>
              <w:t>Accor’s’ flexible booking approach</w:t>
            </w:r>
          </w:p>
        </w:tc>
      </w:tr>
    </w:tbl>
    <w:p w14:paraId="7956989D" w14:textId="77777777" w:rsidR="00662363" w:rsidRDefault="00000000">
      <w:pPr>
        <w:jc w:val="center"/>
        <w:rPr>
          <w:rFonts w:ascii="Calibri" w:eastAsia="Calibri" w:hAnsi="Calibri" w:cs="Calibri"/>
          <w:b/>
          <w:color w:val="000000" w:themeColor="text1"/>
        </w:rPr>
      </w:pPr>
      <w:r>
        <w:rPr>
          <w:rFonts w:ascii="Calibri" w:eastAsia="Calibri" w:hAnsi="Calibri" w:cs="Calibri"/>
          <w:b/>
          <w:color w:val="000000" w:themeColor="text1"/>
        </w:rPr>
        <w:t>Table 1: Recommendations for Hilton Hotel and Resort</w:t>
      </w:r>
    </w:p>
    <w:p w14:paraId="0A29BCB2" w14:textId="77777777" w:rsidR="00662363" w:rsidRDefault="00000000">
      <w:pPr>
        <w:pStyle w:val="Heading1"/>
        <w:rPr>
          <w:color w:val="000000" w:themeColor="text1"/>
        </w:rPr>
      </w:pPr>
      <w:bookmarkStart w:id="14" w:name="_heading=h.35nkun2" w:colFirst="0" w:colLast="0"/>
      <w:bookmarkEnd w:id="14"/>
      <w:r>
        <w:rPr>
          <w:color w:val="000000" w:themeColor="text1"/>
        </w:rPr>
        <w:br w:type="page"/>
      </w:r>
    </w:p>
    <w:p w14:paraId="7E389D4D" w14:textId="77777777" w:rsidR="00662363" w:rsidRDefault="00000000">
      <w:pPr>
        <w:pStyle w:val="Heading1"/>
        <w:rPr>
          <w:color w:val="000000" w:themeColor="text1"/>
        </w:rPr>
      </w:pPr>
      <w:bookmarkStart w:id="15" w:name="_Toc190857983"/>
      <w:r>
        <w:rPr>
          <w:color w:val="000000" w:themeColor="text1"/>
        </w:rPr>
        <w:lastRenderedPageBreak/>
        <w:t>7.0 Reference list</w:t>
      </w:r>
      <w:bookmarkEnd w:id="15"/>
    </w:p>
    <w:p w14:paraId="5CF78C5B"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Accor (</w:t>
      </w:r>
      <w:proofErr w:type="spellStart"/>
      <w:r>
        <w:rPr>
          <w:rFonts w:ascii="Calibri" w:eastAsia="Calibri" w:hAnsi="Calibri" w:cs="Calibri"/>
          <w:color w:val="000000" w:themeColor="text1"/>
        </w:rPr>
        <w:t>n.d</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Flexible Rate: travel with complete flexibility in Europe and North Africa.</w:t>
      </w:r>
      <w:r>
        <w:rPr>
          <w:rFonts w:ascii="Calibri" w:eastAsia="Calibri" w:hAnsi="Calibri" w:cs="Calibri"/>
          <w:color w:val="000000" w:themeColor="text1"/>
        </w:rPr>
        <w:t xml:space="preserve"> Available at: https://all.accor.com/a/en/offers/ena/flexible-rate.html (Accessed: 15 February 2023).</w:t>
      </w:r>
    </w:p>
    <w:p w14:paraId="1FD062CA"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 xml:space="preserve">Albert, D. (2024) ‘What do you mean by organizational structure? Acknowledging and harmonizing differences and commonalities in three prominent perspectives,’ </w:t>
      </w:r>
      <w:r>
        <w:rPr>
          <w:rFonts w:ascii="Calibri" w:eastAsia="Calibri" w:hAnsi="Calibri" w:cs="Calibri"/>
          <w:i/>
          <w:color w:val="000000" w:themeColor="text1"/>
        </w:rPr>
        <w:t>Journal of Organization Design</w:t>
      </w:r>
      <w:r>
        <w:rPr>
          <w:rFonts w:ascii="Calibri" w:eastAsia="Calibri" w:hAnsi="Calibri" w:cs="Calibri"/>
          <w:color w:val="000000" w:themeColor="text1"/>
        </w:rPr>
        <w:t>, 13(1), pp. 1-11.</w:t>
      </w:r>
    </w:p>
    <w:p w14:paraId="186AB029" w14:textId="77777777" w:rsidR="00662363" w:rsidRDefault="00000000">
      <w:pPr>
        <w:spacing w:before="100" w:beforeAutospacing="1" w:after="100" w:afterAutospacing="1"/>
        <w:rPr>
          <w:rFonts w:ascii="Calibri" w:eastAsia="Calibri" w:hAnsi="Calibri" w:cs="Calibri"/>
          <w:color w:val="000000" w:themeColor="text1"/>
        </w:rPr>
      </w:pPr>
      <w:proofErr w:type="spellStart"/>
      <w:r>
        <w:rPr>
          <w:rFonts w:ascii="Calibri" w:eastAsia="Calibri" w:hAnsi="Calibri" w:cs="Calibri"/>
          <w:color w:val="000000" w:themeColor="text1"/>
        </w:rPr>
        <w:t>AlKahtani</w:t>
      </w:r>
      <w:proofErr w:type="spellEnd"/>
      <w:r>
        <w:rPr>
          <w:rFonts w:ascii="Calibri" w:eastAsia="Calibri" w:hAnsi="Calibri" w:cs="Calibri"/>
          <w:color w:val="000000" w:themeColor="text1"/>
        </w:rPr>
        <w:t xml:space="preserve">, N., Iqbal, S., Sohail, M., </w:t>
      </w:r>
      <w:proofErr w:type="spellStart"/>
      <w:r>
        <w:rPr>
          <w:rFonts w:ascii="Calibri" w:eastAsia="Calibri" w:hAnsi="Calibri" w:cs="Calibri"/>
          <w:color w:val="000000" w:themeColor="text1"/>
        </w:rPr>
        <w:t>Sheraz</w:t>
      </w:r>
      <w:proofErr w:type="spellEnd"/>
      <w:r>
        <w:rPr>
          <w:rFonts w:ascii="Calibri" w:eastAsia="Calibri" w:hAnsi="Calibri" w:cs="Calibri"/>
          <w:color w:val="000000" w:themeColor="text1"/>
        </w:rPr>
        <w:t xml:space="preserve">, F., Jahan, S., Anwar, B. and Haider, S. (2021) ‘Impact of employee empowerment on organizational commitment through job satisfaction in </w:t>
      </w:r>
      <w:proofErr w:type="gramStart"/>
      <w:r>
        <w:rPr>
          <w:rFonts w:ascii="Calibri" w:eastAsia="Calibri" w:hAnsi="Calibri" w:cs="Calibri"/>
          <w:color w:val="000000" w:themeColor="text1"/>
        </w:rPr>
        <w:t>four and five stars</w:t>
      </w:r>
      <w:proofErr w:type="gramEnd"/>
      <w:r>
        <w:rPr>
          <w:rFonts w:ascii="Calibri" w:eastAsia="Calibri" w:hAnsi="Calibri" w:cs="Calibri"/>
          <w:color w:val="000000" w:themeColor="text1"/>
        </w:rPr>
        <w:t xml:space="preserve"> hotel industry’, </w:t>
      </w:r>
      <w:r>
        <w:rPr>
          <w:rFonts w:ascii="Calibri" w:eastAsia="Calibri" w:hAnsi="Calibri" w:cs="Calibri"/>
          <w:i/>
          <w:color w:val="000000" w:themeColor="text1"/>
        </w:rPr>
        <w:t>Management Science Letters</w:t>
      </w:r>
      <w:r>
        <w:rPr>
          <w:rFonts w:ascii="Calibri" w:eastAsia="Calibri" w:hAnsi="Calibri" w:cs="Calibri"/>
          <w:color w:val="000000" w:themeColor="text1"/>
        </w:rPr>
        <w:t>, 11(3), pp. 813-822.</w:t>
      </w:r>
    </w:p>
    <w:p w14:paraId="4FF4C107"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 xml:space="preserve">Buchanan, D. and Huczynski, A. (2007) </w:t>
      </w:r>
      <w:r>
        <w:rPr>
          <w:rFonts w:ascii="Calibri" w:eastAsia="Calibri" w:hAnsi="Calibri" w:cs="Calibri"/>
          <w:i/>
          <w:color w:val="000000" w:themeColor="text1"/>
        </w:rPr>
        <w:t>Organisational Behaviour: An Introductory Text (6th edition)</w:t>
      </w:r>
      <w:r>
        <w:rPr>
          <w:rFonts w:ascii="Calibri" w:eastAsia="Calibri" w:hAnsi="Calibri" w:cs="Calibri"/>
          <w:color w:val="000000" w:themeColor="text1"/>
        </w:rPr>
        <w:t>. Harlow: Prentice Hall.</w:t>
      </w:r>
    </w:p>
    <w:p w14:paraId="7B9E02DB" w14:textId="77777777" w:rsidR="00662363" w:rsidRDefault="00000000">
      <w:pPr>
        <w:spacing w:before="100" w:beforeAutospacing="1" w:after="100" w:afterAutospacing="1"/>
        <w:rPr>
          <w:rFonts w:ascii="Calibri" w:eastAsia="Calibri" w:hAnsi="Calibri" w:cs="Calibri"/>
          <w:color w:val="000000" w:themeColor="text1"/>
        </w:rPr>
      </w:pPr>
      <w:proofErr w:type="spellStart"/>
      <w:r>
        <w:rPr>
          <w:rFonts w:ascii="Calibri" w:eastAsia="Calibri" w:hAnsi="Calibri" w:cs="Calibri"/>
          <w:color w:val="000000" w:themeColor="text1"/>
        </w:rPr>
        <w:t>Durmuş</w:t>
      </w:r>
      <w:proofErr w:type="spellEnd"/>
      <w:r>
        <w:rPr>
          <w:rFonts w:ascii="Calibri" w:eastAsia="Calibri" w:hAnsi="Calibri" w:cs="Calibri"/>
          <w:color w:val="000000" w:themeColor="text1"/>
        </w:rPr>
        <w:t xml:space="preserve">, İ. (2024) ‘Organizational Overview of Maslow and Management Research’, </w:t>
      </w:r>
      <w:r>
        <w:rPr>
          <w:rFonts w:ascii="Calibri" w:eastAsia="Calibri" w:hAnsi="Calibri" w:cs="Calibri"/>
          <w:i/>
          <w:color w:val="000000" w:themeColor="text1"/>
        </w:rPr>
        <w:t xml:space="preserve">Turkish Psychological </w:t>
      </w:r>
      <w:proofErr w:type="spellStart"/>
      <w:r>
        <w:rPr>
          <w:rFonts w:ascii="Calibri" w:eastAsia="Calibri" w:hAnsi="Calibri" w:cs="Calibri"/>
          <w:i/>
          <w:color w:val="000000" w:themeColor="text1"/>
        </w:rPr>
        <w:t>Counseling</w:t>
      </w:r>
      <w:proofErr w:type="spellEnd"/>
      <w:r>
        <w:rPr>
          <w:rFonts w:ascii="Calibri" w:eastAsia="Calibri" w:hAnsi="Calibri" w:cs="Calibri"/>
          <w:i/>
          <w:color w:val="000000" w:themeColor="text1"/>
        </w:rPr>
        <w:t xml:space="preserve"> and Guidance Journal</w:t>
      </w:r>
      <w:r>
        <w:rPr>
          <w:rFonts w:ascii="Calibri" w:eastAsia="Calibri" w:hAnsi="Calibri" w:cs="Calibri"/>
          <w:color w:val="000000" w:themeColor="text1"/>
        </w:rPr>
        <w:t>, 14(72), pp. 137-152.</w:t>
      </w:r>
    </w:p>
    <w:p w14:paraId="77E0792D"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 xml:space="preserve">Hilton (2025) </w:t>
      </w:r>
      <w:r>
        <w:rPr>
          <w:rFonts w:ascii="Calibri" w:eastAsia="Calibri" w:hAnsi="Calibri" w:cs="Calibri"/>
          <w:i/>
          <w:color w:val="000000" w:themeColor="text1"/>
        </w:rPr>
        <w:t>Hilton Closes Out 2024 with Record Levels of Growth, Opening More Rooms than Any Year in its History</w:t>
      </w:r>
      <w:r>
        <w:rPr>
          <w:rFonts w:ascii="Calibri" w:eastAsia="Calibri" w:hAnsi="Calibri" w:cs="Calibri"/>
          <w:color w:val="000000" w:themeColor="text1"/>
        </w:rPr>
        <w:t>. Available at: https://stories.hilton.com/releases/hilton-closes-out-2024-with-record-levels-of-growth-opening-more-rooms-than-any-year-in-its-history (Accessed: 15 February 2023).</w:t>
      </w:r>
    </w:p>
    <w:p w14:paraId="7995A9A8"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Hilton (</w:t>
      </w:r>
      <w:proofErr w:type="spellStart"/>
      <w:r>
        <w:rPr>
          <w:rFonts w:ascii="Calibri" w:eastAsia="Calibri" w:hAnsi="Calibri" w:cs="Calibri"/>
          <w:color w:val="000000" w:themeColor="text1"/>
        </w:rPr>
        <w:t>n.d.a</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Welcome to Hilton</w:t>
      </w:r>
      <w:r>
        <w:rPr>
          <w:rFonts w:ascii="Calibri" w:eastAsia="Calibri" w:hAnsi="Calibri" w:cs="Calibri"/>
          <w:color w:val="000000" w:themeColor="text1"/>
        </w:rPr>
        <w:t>. Available at: https://www.hilton.com/en/corporate/ (Accessed: 12 January 2023).</w:t>
      </w:r>
    </w:p>
    <w:p w14:paraId="7D9A8B09"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Hilton (</w:t>
      </w:r>
      <w:proofErr w:type="spellStart"/>
      <w:r>
        <w:rPr>
          <w:rFonts w:ascii="Calibri" w:eastAsia="Calibri" w:hAnsi="Calibri" w:cs="Calibri"/>
          <w:color w:val="000000" w:themeColor="text1"/>
        </w:rPr>
        <w:t>n.d.b</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Company Management</w:t>
      </w:r>
      <w:r>
        <w:rPr>
          <w:rFonts w:ascii="Calibri" w:eastAsia="Calibri" w:hAnsi="Calibri" w:cs="Calibri"/>
          <w:color w:val="000000" w:themeColor="text1"/>
        </w:rPr>
        <w:t>. Available at: https://ir.hilton.com/corporate-governance/management (Accessed: 15 February 2023).</w:t>
      </w:r>
    </w:p>
    <w:p w14:paraId="2CD4E5F6"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Hilton (</w:t>
      </w:r>
      <w:proofErr w:type="spellStart"/>
      <w:r>
        <w:rPr>
          <w:rFonts w:ascii="Calibri" w:eastAsia="Calibri" w:hAnsi="Calibri" w:cs="Calibri"/>
          <w:color w:val="000000" w:themeColor="text1"/>
        </w:rPr>
        <w:t>n.d.c</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2030 Goal Tracking</w:t>
      </w:r>
      <w:r>
        <w:rPr>
          <w:rFonts w:ascii="Calibri" w:eastAsia="Calibri" w:hAnsi="Calibri" w:cs="Calibri"/>
          <w:color w:val="000000" w:themeColor="text1"/>
        </w:rPr>
        <w:t>. Available at: https://esg.hilton.com/our-progress/ (Accessed: 15 February 2023).</w:t>
      </w:r>
    </w:p>
    <w:p w14:paraId="7E86D46C"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lastRenderedPageBreak/>
        <w:t>Hilton (</w:t>
      </w:r>
      <w:proofErr w:type="spellStart"/>
      <w:r>
        <w:rPr>
          <w:rFonts w:ascii="Calibri" w:eastAsia="Calibri" w:hAnsi="Calibri" w:cs="Calibri"/>
          <w:color w:val="000000" w:themeColor="text1"/>
        </w:rPr>
        <w:t>n.d.d</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Travelers Will Value Connectivity and Personalisation</w:t>
      </w:r>
      <w:r>
        <w:rPr>
          <w:rFonts w:ascii="Calibri" w:eastAsia="Calibri" w:hAnsi="Calibri" w:cs="Calibri"/>
          <w:color w:val="000000" w:themeColor="text1"/>
        </w:rPr>
        <w:t>. Available at: https://stories.hilton.com/2024trends-connectivity-personalization (Accessed: 15 February 2023).</w:t>
      </w:r>
    </w:p>
    <w:p w14:paraId="15902D12"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Hilton (</w:t>
      </w:r>
      <w:proofErr w:type="spellStart"/>
      <w:r>
        <w:rPr>
          <w:rFonts w:ascii="Calibri" w:eastAsia="Calibri" w:hAnsi="Calibri" w:cs="Calibri"/>
          <w:color w:val="000000" w:themeColor="text1"/>
        </w:rPr>
        <w:t>n.d.e</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 xml:space="preserve">Innovative Programs </w:t>
      </w:r>
      <w:proofErr w:type="gramStart"/>
      <w:r>
        <w:rPr>
          <w:rFonts w:ascii="Calibri" w:eastAsia="Calibri" w:hAnsi="Calibri" w:cs="Calibri"/>
          <w:i/>
          <w:color w:val="000000" w:themeColor="text1"/>
        </w:rPr>
        <w:t>And</w:t>
      </w:r>
      <w:proofErr w:type="gramEnd"/>
      <w:r>
        <w:rPr>
          <w:rFonts w:ascii="Calibri" w:eastAsia="Calibri" w:hAnsi="Calibri" w:cs="Calibri"/>
          <w:i/>
          <w:color w:val="000000" w:themeColor="text1"/>
        </w:rPr>
        <w:t xml:space="preserve"> Perks From ​A Global Leader.</w:t>
      </w:r>
      <w:r>
        <w:rPr>
          <w:rFonts w:ascii="Calibri" w:eastAsia="Calibri" w:hAnsi="Calibri" w:cs="Calibri"/>
          <w:color w:val="000000" w:themeColor="text1"/>
        </w:rPr>
        <w:t xml:space="preserve"> Available at: https://jobs.hilton.com/us/en/benefits (Accessed: 15 February 2023).</w:t>
      </w:r>
    </w:p>
    <w:p w14:paraId="571DCC80"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Hilton (</w:t>
      </w:r>
      <w:proofErr w:type="spellStart"/>
      <w:r>
        <w:rPr>
          <w:rFonts w:ascii="Calibri" w:eastAsia="Calibri" w:hAnsi="Calibri" w:cs="Calibri"/>
          <w:color w:val="000000" w:themeColor="text1"/>
        </w:rPr>
        <w:t>n.d.f</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 xml:space="preserve">Hilton Advances Travel </w:t>
      </w:r>
      <w:proofErr w:type="gramStart"/>
      <w:r>
        <w:rPr>
          <w:rFonts w:ascii="Calibri" w:eastAsia="Calibri" w:hAnsi="Calibri" w:cs="Calibri"/>
          <w:i/>
          <w:color w:val="000000" w:themeColor="text1"/>
        </w:rPr>
        <w:t>With</w:t>
      </w:r>
      <w:proofErr w:type="gramEnd"/>
      <w:r>
        <w:rPr>
          <w:rFonts w:ascii="Calibri" w:eastAsia="Calibri" w:hAnsi="Calibri" w:cs="Calibri"/>
          <w:i/>
          <w:color w:val="000000" w:themeColor="text1"/>
        </w:rPr>
        <w:t xml:space="preserve"> Purpose Strategy Across Asia Pacific</w:t>
      </w:r>
      <w:r>
        <w:rPr>
          <w:rFonts w:ascii="Calibri" w:eastAsia="Calibri" w:hAnsi="Calibri" w:cs="Calibri"/>
          <w:color w:val="000000" w:themeColor="text1"/>
        </w:rPr>
        <w:t xml:space="preserve">. Available at: </w:t>
      </w:r>
      <w:proofErr w:type="gramStart"/>
      <w:r>
        <w:rPr>
          <w:rFonts w:ascii="Calibri" w:eastAsia="Calibri" w:hAnsi="Calibri" w:cs="Calibri"/>
          <w:color w:val="000000" w:themeColor="text1"/>
        </w:rPr>
        <w:t>https://stories.hilton.com/apac/travel-with-purpose/hilton-advances-travel-with-purpose-strategy-across-asia-pacific  (</w:t>
      </w:r>
      <w:proofErr w:type="gramEnd"/>
      <w:r>
        <w:rPr>
          <w:rFonts w:ascii="Calibri" w:eastAsia="Calibri" w:hAnsi="Calibri" w:cs="Calibri"/>
          <w:color w:val="000000" w:themeColor="text1"/>
        </w:rPr>
        <w:t>Accessed: 15 February 2023).</w:t>
      </w:r>
    </w:p>
    <w:p w14:paraId="2D3B36D9"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Hilton (</w:t>
      </w:r>
      <w:proofErr w:type="spellStart"/>
      <w:r>
        <w:rPr>
          <w:rFonts w:ascii="Calibri" w:eastAsia="Calibri" w:hAnsi="Calibri" w:cs="Calibri"/>
          <w:color w:val="000000" w:themeColor="text1"/>
        </w:rPr>
        <w:t>n.d.g</w:t>
      </w:r>
      <w:proofErr w:type="spellEnd"/>
      <w:proofErr w:type="gramStart"/>
      <w:r>
        <w:rPr>
          <w:rFonts w:ascii="Calibri" w:eastAsia="Calibri" w:hAnsi="Calibri" w:cs="Calibri"/>
          <w:color w:val="000000" w:themeColor="text1"/>
        </w:rPr>
        <w:t xml:space="preserve">) </w:t>
      </w:r>
      <w:r>
        <w:rPr>
          <w:rFonts w:ascii="Calibri" w:eastAsia="Calibri" w:hAnsi="Calibri" w:cs="Calibri"/>
          <w:i/>
          <w:color w:val="000000" w:themeColor="text1"/>
        </w:rPr>
        <w:t xml:space="preserve"> Fostering</w:t>
      </w:r>
      <w:proofErr w:type="gramEnd"/>
      <w:r>
        <w:rPr>
          <w:rFonts w:ascii="Calibri" w:eastAsia="Calibri" w:hAnsi="Calibri" w:cs="Calibri"/>
          <w:i/>
          <w:color w:val="000000" w:themeColor="text1"/>
        </w:rPr>
        <w:t xml:space="preserve"> A Culture Of Inclusion</w:t>
      </w:r>
      <w:r>
        <w:rPr>
          <w:rFonts w:ascii="Calibri" w:eastAsia="Calibri" w:hAnsi="Calibri" w:cs="Calibri"/>
          <w:color w:val="000000" w:themeColor="text1"/>
        </w:rPr>
        <w:t>. Available at: https://jobs.hilton.com/us/en/inclusion-culture (Accessed: 15 February 2023).</w:t>
      </w:r>
    </w:p>
    <w:p w14:paraId="53B3EF55"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Hilton (</w:t>
      </w:r>
      <w:proofErr w:type="spellStart"/>
      <w:r>
        <w:rPr>
          <w:rFonts w:ascii="Calibri" w:eastAsia="Calibri" w:hAnsi="Calibri" w:cs="Calibri"/>
          <w:color w:val="000000" w:themeColor="text1"/>
        </w:rPr>
        <w:t>n.d.h</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Our Approach</w:t>
      </w:r>
      <w:r>
        <w:rPr>
          <w:rFonts w:ascii="Calibri" w:eastAsia="Calibri" w:hAnsi="Calibri" w:cs="Calibri"/>
          <w:color w:val="000000" w:themeColor="text1"/>
        </w:rPr>
        <w:t>. Available at: https://esg.hilton.com/our-approach/ (Accessed: 15 February 2023).</w:t>
      </w:r>
    </w:p>
    <w:p w14:paraId="38F17B2D"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 xml:space="preserve">Hotel Technology News (2023) </w:t>
      </w:r>
      <w:r>
        <w:rPr>
          <w:rFonts w:ascii="Calibri" w:eastAsia="Calibri" w:hAnsi="Calibri" w:cs="Calibri"/>
          <w:i/>
          <w:color w:val="000000" w:themeColor="text1"/>
        </w:rPr>
        <w:t>Hilton Seeks to Enhance Guest Services and Reduce Wait Times with Latest Technology Implementation</w:t>
      </w:r>
      <w:r>
        <w:rPr>
          <w:rFonts w:ascii="Calibri" w:eastAsia="Calibri" w:hAnsi="Calibri" w:cs="Calibri"/>
          <w:color w:val="000000" w:themeColor="text1"/>
        </w:rPr>
        <w:t>. Available at: https://hoteltechnologynews.com/2023/04/hilton-seeks-to-enhance-guest-services-and-reduce-wait-times-with-latest-technology-implementation/ (Accessed: 15 February 2023).</w:t>
      </w:r>
    </w:p>
    <w:p w14:paraId="230F4B62"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 xml:space="preserve"> Marriott (</w:t>
      </w:r>
      <w:proofErr w:type="spellStart"/>
      <w:r>
        <w:rPr>
          <w:rFonts w:ascii="Calibri" w:eastAsia="Calibri" w:hAnsi="Calibri" w:cs="Calibri"/>
          <w:color w:val="000000" w:themeColor="text1"/>
        </w:rPr>
        <w:t>n.d</w:t>
      </w:r>
      <w:proofErr w:type="spellEnd"/>
      <w:r>
        <w:rPr>
          <w:rFonts w:ascii="Calibri" w:eastAsia="Calibri" w:hAnsi="Calibri" w:cs="Calibri"/>
          <w:color w:val="000000" w:themeColor="text1"/>
        </w:rPr>
        <w:t xml:space="preserve">) </w:t>
      </w:r>
      <w:r>
        <w:rPr>
          <w:rFonts w:ascii="Calibri" w:eastAsia="Calibri" w:hAnsi="Calibri" w:cs="Calibri"/>
          <w:i/>
          <w:color w:val="000000" w:themeColor="text1"/>
        </w:rPr>
        <w:t xml:space="preserve">Earn Toward Free Nights + </w:t>
      </w:r>
      <w:proofErr w:type="gramStart"/>
      <w:r>
        <w:rPr>
          <w:rFonts w:ascii="Calibri" w:eastAsia="Calibri" w:hAnsi="Calibri" w:cs="Calibri"/>
          <w:i/>
          <w:color w:val="000000" w:themeColor="text1"/>
        </w:rPr>
        <w:t>More Faster</w:t>
      </w:r>
      <w:proofErr w:type="gramEnd"/>
      <w:r>
        <w:rPr>
          <w:rFonts w:ascii="Calibri" w:eastAsia="Calibri" w:hAnsi="Calibri" w:cs="Calibri"/>
          <w:color w:val="000000" w:themeColor="text1"/>
        </w:rPr>
        <w:t>. Available at: https://www.marriott.com/loyalty.mi (Accessed: 15 February 2023).</w:t>
      </w:r>
    </w:p>
    <w:p w14:paraId="1CCBC6DF"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 xml:space="preserve">Mullins, L. and Dosser, P. (2013) </w:t>
      </w:r>
      <w:r>
        <w:rPr>
          <w:rFonts w:ascii="Calibri" w:eastAsia="Calibri" w:hAnsi="Calibri" w:cs="Calibri"/>
          <w:i/>
          <w:color w:val="000000" w:themeColor="text1"/>
        </w:rPr>
        <w:t>Hospitality Management and Organisational Behaviour (5th Ed)</w:t>
      </w:r>
      <w:r>
        <w:rPr>
          <w:rFonts w:ascii="Calibri" w:eastAsia="Calibri" w:hAnsi="Calibri" w:cs="Calibri"/>
          <w:color w:val="000000" w:themeColor="text1"/>
        </w:rPr>
        <w:t>. Harlow: Pearson.</w:t>
      </w:r>
    </w:p>
    <w:p w14:paraId="50990B70" w14:textId="77777777" w:rsidR="00662363" w:rsidRDefault="00000000">
      <w:pPr>
        <w:spacing w:before="100" w:beforeAutospacing="1" w:after="100" w:afterAutospacing="1"/>
        <w:rPr>
          <w:rFonts w:ascii="Calibri" w:eastAsia="Calibri" w:hAnsi="Calibri" w:cs="Calibri"/>
          <w:color w:val="000000" w:themeColor="text1"/>
        </w:rPr>
      </w:pPr>
      <w:r>
        <w:rPr>
          <w:rFonts w:ascii="Calibri" w:eastAsia="Calibri" w:hAnsi="Calibri" w:cs="Calibri"/>
          <w:color w:val="000000" w:themeColor="text1"/>
        </w:rPr>
        <w:t xml:space="preserve">Odeh, G. (2021) ‘Implementing </w:t>
      </w:r>
      <w:proofErr w:type="spellStart"/>
      <w:r>
        <w:rPr>
          <w:rFonts w:ascii="Calibri" w:eastAsia="Calibri" w:hAnsi="Calibri" w:cs="Calibri"/>
          <w:color w:val="000000" w:themeColor="text1"/>
        </w:rPr>
        <w:t>Mckinsey</w:t>
      </w:r>
      <w:proofErr w:type="spellEnd"/>
      <w:r>
        <w:rPr>
          <w:rFonts w:ascii="Calibri" w:eastAsia="Calibri" w:hAnsi="Calibri" w:cs="Calibri"/>
          <w:color w:val="000000" w:themeColor="text1"/>
        </w:rPr>
        <w:t xml:space="preserve"> 7S model of organizational diagnosis and planned change, best Western Italy case analysis’, </w:t>
      </w:r>
      <w:r>
        <w:rPr>
          <w:rFonts w:ascii="Calibri" w:eastAsia="Calibri" w:hAnsi="Calibri" w:cs="Calibri"/>
          <w:i/>
          <w:color w:val="000000" w:themeColor="text1"/>
        </w:rPr>
        <w:t>Journal of International Business and Management</w:t>
      </w:r>
      <w:r>
        <w:rPr>
          <w:rFonts w:ascii="Calibri" w:eastAsia="Calibri" w:hAnsi="Calibri" w:cs="Calibri"/>
          <w:color w:val="000000" w:themeColor="text1"/>
        </w:rPr>
        <w:t>, 11(4), pp. 01-08.</w:t>
      </w:r>
    </w:p>
    <w:p w14:paraId="1A58AAE5" w14:textId="77777777" w:rsidR="00662363" w:rsidRDefault="00000000">
      <w:pPr>
        <w:spacing w:before="100" w:beforeAutospacing="1" w:after="100" w:afterAutospacing="1"/>
        <w:rPr>
          <w:rFonts w:ascii="Calibri" w:eastAsia="Calibri" w:hAnsi="Calibri" w:cs="Calibri"/>
          <w:color w:val="000000"/>
        </w:rPr>
      </w:pPr>
      <w:r>
        <w:rPr>
          <w:rFonts w:ascii="Calibri" w:eastAsia="Calibri" w:hAnsi="Calibri" w:cs="Calibri"/>
          <w:color w:val="000000" w:themeColor="text1"/>
        </w:rPr>
        <w:t xml:space="preserve">Schiff, S. and Cawley, C. (2023) </w:t>
      </w:r>
      <w:r>
        <w:rPr>
          <w:rFonts w:ascii="Calibri" w:eastAsia="Calibri" w:hAnsi="Calibri" w:cs="Calibri"/>
          <w:i/>
          <w:color w:val="000000" w:themeColor="text1"/>
        </w:rPr>
        <w:t>How Hilton Upholds Its Legacy Through Employee-Centric Practices</w:t>
      </w:r>
      <w:r>
        <w:rPr>
          <w:rFonts w:ascii="Calibri" w:eastAsia="Calibri" w:hAnsi="Calibri" w:cs="Calibri"/>
          <w:color w:val="000000" w:themeColor="text1"/>
        </w:rPr>
        <w:t>. Available at: https://www.uschamberfoundation.org/corporate-social-</w:t>
      </w:r>
      <w:r>
        <w:rPr>
          <w:rFonts w:ascii="Calibri" w:eastAsia="Calibri" w:hAnsi="Calibri" w:cs="Calibri"/>
          <w:color w:val="000000"/>
        </w:rPr>
        <w:lastRenderedPageBreak/>
        <w:t>responsibility/how-hilton-upholds-its-legacy-through-employee-centric-practices (Accessed: 15 February 2023).</w:t>
      </w:r>
    </w:p>
    <w:p w14:paraId="56A0D98C" w14:textId="77777777" w:rsidR="00662363" w:rsidRDefault="00000000">
      <w:pPr>
        <w:spacing w:before="100" w:beforeAutospacing="1" w:after="100" w:afterAutospacing="1"/>
        <w:rPr>
          <w:rFonts w:ascii="Calibri" w:eastAsia="Calibri" w:hAnsi="Calibri" w:cs="Calibri"/>
          <w:color w:val="000000"/>
        </w:rPr>
      </w:pPr>
      <w:proofErr w:type="spellStart"/>
      <w:r>
        <w:rPr>
          <w:rFonts w:ascii="Calibri" w:eastAsia="Calibri" w:hAnsi="Calibri" w:cs="Calibri"/>
          <w:color w:val="000000"/>
        </w:rPr>
        <w:t>Tipurić</w:t>
      </w:r>
      <w:proofErr w:type="spellEnd"/>
      <w:r>
        <w:rPr>
          <w:rFonts w:ascii="Calibri" w:eastAsia="Calibri" w:hAnsi="Calibri" w:cs="Calibri"/>
          <w:color w:val="000000"/>
        </w:rPr>
        <w:t xml:space="preserve">, D. (2022) ‘Strategic Direction’, In </w:t>
      </w:r>
      <w:proofErr w:type="gramStart"/>
      <w:r>
        <w:rPr>
          <w:rFonts w:ascii="Calibri" w:eastAsia="Calibri" w:hAnsi="Calibri" w:cs="Calibri"/>
          <w:i/>
          <w:color w:val="000000"/>
        </w:rPr>
        <w:t>The</w:t>
      </w:r>
      <w:proofErr w:type="gramEnd"/>
      <w:r>
        <w:rPr>
          <w:rFonts w:ascii="Calibri" w:eastAsia="Calibri" w:hAnsi="Calibri" w:cs="Calibri"/>
          <w:i/>
          <w:color w:val="000000"/>
        </w:rPr>
        <w:t xml:space="preserve"> Enactment of Strategic Leadership: A Critical Perspective</w:t>
      </w:r>
      <w:r>
        <w:rPr>
          <w:rFonts w:ascii="Calibri" w:eastAsia="Calibri" w:hAnsi="Calibri" w:cs="Calibri"/>
          <w:color w:val="000000"/>
        </w:rPr>
        <w:t xml:space="preserve"> (pp. 121-145). Cham: Springer International Publishing.</w:t>
      </w:r>
    </w:p>
    <w:p w14:paraId="73C6BF33" w14:textId="77777777" w:rsidR="00662363" w:rsidRDefault="00662363">
      <w:pPr>
        <w:rPr>
          <w:rFonts w:ascii="Calibri" w:eastAsia="Calibri" w:hAnsi="Calibri" w:cs="Calibri"/>
          <w:b/>
          <w:color w:val="000000"/>
        </w:rPr>
      </w:pPr>
    </w:p>
    <w:sectPr w:rsidR="00662363">
      <w:headerReference w:type="default" r:id="rId12"/>
      <w:footerReference w:type="default" r:id="rId13"/>
      <w:headerReference w:type="first" r:id="rId14"/>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BF36E" w14:textId="77777777" w:rsidR="00290B77" w:rsidRDefault="00290B77">
      <w:pPr>
        <w:spacing w:line="240" w:lineRule="auto"/>
      </w:pPr>
      <w:r>
        <w:separator/>
      </w:r>
    </w:p>
  </w:endnote>
  <w:endnote w:type="continuationSeparator" w:id="0">
    <w:p w14:paraId="3C9F330B" w14:textId="77777777" w:rsidR="00290B77" w:rsidRDefault="00290B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70859" w14:textId="77777777" w:rsidR="00662363" w:rsidRDefault="00000000">
    <w:pPr>
      <w:jc w:val="right"/>
      <w:rPr>
        <w:sz w:val="22"/>
        <w:szCs w:val="22"/>
      </w:rPr>
    </w:pPr>
    <w:r>
      <w:rPr>
        <w:sz w:val="22"/>
        <w:szCs w:val="22"/>
      </w:rPr>
      <w:fldChar w:fldCharType="begin"/>
    </w:r>
    <w:r>
      <w:rPr>
        <w:sz w:val="22"/>
        <w:szCs w:val="22"/>
      </w:rPr>
      <w:instrText>PAGE</w:instrText>
    </w:r>
    <w:r>
      <w:rPr>
        <w:sz w:val="22"/>
        <w:szCs w:val="22"/>
      </w:rPr>
      <w:fldChar w:fldCharType="separate"/>
    </w:r>
    <w:r>
      <w:rPr>
        <w:sz w:val="22"/>
        <w:szCs w:val="22"/>
      </w:rPr>
      <w:t>1</w:t>
    </w:r>
    <w:r>
      <w:rPr>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08D70" w14:textId="77777777" w:rsidR="00290B77" w:rsidRDefault="00290B77">
      <w:r>
        <w:separator/>
      </w:r>
    </w:p>
  </w:footnote>
  <w:footnote w:type="continuationSeparator" w:id="0">
    <w:p w14:paraId="0AE24ACB" w14:textId="77777777" w:rsidR="00290B77" w:rsidRDefault="00290B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1927B" w14:textId="77777777" w:rsidR="00662363" w:rsidRDefault="00000000">
    <w:pPr>
      <w:jc w:val="right"/>
    </w:pPr>
    <w:r>
      <w:rPr>
        <w:noProof/>
      </w:rPr>
      <w:drawing>
        <wp:inline distT="114300" distB="114300" distL="114300" distR="114300" wp14:anchorId="6C01F473" wp14:editId="220BD0B2">
          <wp:extent cx="1087755" cy="561975"/>
          <wp:effectExtent l="0" t="0" r="0" b="0"/>
          <wp:docPr id="101231413" name="image1.png"/>
          <wp:cNvGraphicFramePr/>
          <a:graphic xmlns:a="http://schemas.openxmlformats.org/drawingml/2006/main">
            <a:graphicData uri="http://schemas.openxmlformats.org/drawingml/2006/picture">
              <pic:pic xmlns:pic="http://schemas.openxmlformats.org/drawingml/2006/picture">
                <pic:nvPicPr>
                  <pic:cNvPr id="101231413" name="image1.png"/>
                  <pic:cNvPicPr preferRelativeResize="0"/>
                </pic:nvPicPr>
                <pic:blipFill>
                  <a:blip r:embed="rId1"/>
                  <a:srcRect/>
                  <a:stretch>
                    <a:fillRect/>
                  </a:stretch>
                </pic:blipFill>
                <pic:spPr>
                  <a:xfrm>
                    <a:off x="0" y="0"/>
                    <a:ext cx="1087763" cy="561975"/>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56E06B" w14:textId="77777777" w:rsidR="00662363" w:rsidRDefault="00000000">
    <w:pPr>
      <w:tabs>
        <w:tab w:val="center" w:pos="4680"/>
        <w:tab w:val="right" w:pos="9360"/>
      </w:tabs>
      <w:spacing w:line="240" w:lineRule="auto"/>
      <w:jc w:val="right"/>
      <w:rPr>
        <w:color w:val="000000"/>
      </w:rPr>
    </w:pPr>
    <w:r>
      <w:rPr>
        <w:noProof/>
        <w:color w:val="000000"/>
      </w:rPr>
      <w:drawing>
        <wp:inline distT="114300" distB="114300" distL="114300" distR="114300" wp14:anchorId="3A520C50" wp14:editId="78AF361F">
          <wp:extent cx="1344930" cy="772795"/>
          <wp:effectExtent l="0" t="0" r="0" b="0"/>
          <wp:docPr id="101231415" name="image1.png"/>
          <wp:cNvGraphicFramePr/>
          <a:graphic xmlns:a="http://schemas.openxmlformats.org/drawingml/2006/main">
            <a:graphicData uri="http://schemas.openxmlformats.org/drawingml/2006/picture">
              <pic:pic xmlns:pic="http://schemas.openxmlformats.org/drawingml/2006/picture">
                <pic:nvPicPr>
                  <pic:cNvPr id="101231415" name="image1.png"/>
                  <pic:cNvPicPr preferRelativeResize="0"/>
                </pic:nvPicPr>
                <pic:blipFill>
                  <a:blip r:embed="rId1"/>
                  <a:srcRect/>
                  <a:stretch>
                    <a:fillRect/>
                  </a:stretch>
                </pic:blipFill>
                <pic:spPr>
                  <a:xfrm>
                    <a:off x="0" y="0"/>
                    <a:ext cx="1345052" cy="773243"/>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61D"/>
    <w:rsid w:val="00015220"/>
    <w:rsid w:val="00031682"/>
    <w:rsid w:val="000727A9"/>
    <w:rsid w:val="00095CC7"/>
    <w:rsid w:val="00105F22"/>
    <w:rsid w:val="00133499"/>
    <w:rsid w:val="00186F0D"/>
    <w:rsid w:val="001D5DDC"/>
    <w:rsid w:val="002046A9"/>
    <w:rsid w:val="002151BD"/>
    <w:rsid w:val="00290B77"/>
    <w:rsid w:val="00297DF3"/>
    <w:rsid w:val="00343347"/>
    <w:rsid w:val="003553F3"/>
    <w:rsid w:val="00363CFA"/>
    <w:rsid w:val="0039121A"/>
    <w:rsid w:val="00492ADE"/>
    <w:rsid w:val="004A19D1"/>
    <w:rsid w:val="004A7CDE"/>
    <w:rsid w:val="00517813"/>
    <w:rsid w:val="00581E56"/>
    <w:rsid w:val="005A0427"/>
    <w:rsid w:val="005A3157"/>
    <w:rsid w:val="005E3A24"/>
    <w:rsid w:val="005F7F47"/>
    <w:rsid w:val="0062525A"/>
    <w:rsid w:val="00662363"/>
    <w:rsid w:val="006937F7"/>
    <w:rsid w:val="00746D1F"/>
    <w:rsid w:val="007D2CBF"/>
    <w:rsid w:val="007E0F6A"/>
    <w:rsid w:val="008928B5"/>
    <w:rsid w:val="008E7F2F"/>
    <w:rsid w:val="009320D4"/>
    <w:rsid w:val="00934D4A"/>
    <w:rsid w:val="0095720E"/>
    <w:rsid w:val="009A2786"/>
    <w:rsid w:val="009A6797"/>
    <w:rsid w:val="00A343CB"/>
    <w:rsid w:val="00AD146F"/>
    <w:rsid w:val="00B04F7F"/>
    <w:rsid w:val="00B37708"/>
    <w:rsid w:val="00B40B6F"/>
    <w:rsid w:val="00B6252C"/>
    <w:rsid w:val="00B87267"/>
    <w:rsid w:val="00B919F8"/>
    <w:rsid w:val="00B95810"/>
    <w:rsid w:val="00BB7CA4"/>
    <w:rsid w:val="00C10D2E"/>
    <w:rsid w:val="00C47F61"/>
    <w:rsid w:val="00C61475"/>
    <w:rsid w:val="00C6346E"/>
    <w:rsid w:val="00C80F22"/>
    <w:rsid w:val="00CD26BC"/>
    <w:rsid w:val="00CE2759"/>
    <w:rsid w:val="00CF70BA"/>
    <w:rsid w:val="00D06D4D"/>
    <w:rsid w:val="00D15D33"/>
    <w:rsid w:val="00D26250"/>
    <w:rsid w:val="00D33D5B"/>
    <w:rsid w:val="00D367D6"/>
    <w:rsid w:val="00D60311"/>
    <w:rsid w:val="00D615E5"/>
    <w:rsid w:val="00D833CC"/>
    <w:rsid w:val="00DA561D"/>
    <w:rsid w:val="00DB434B"/>
    <w:rsid w:val="00DD2DFD"/>
    <w:rsid w:val="00E02A8B"/>
    <w:rsid w:val="00E35DEE"/>
    <w:rsid w:val="00E73C98"/>
    <w:rsid w:val="00EC37DB"/>
    <w:rsid w:val="00ED670A"/>
    <w:rsid w:val="00F229C9"/>
    <w:rsid w:val="00F40EA0"/>
    <w:rsid w:val="00FB4657"/>
    <w:rsid w:val="00FC1742"/>
    <w:rsid w:val="39E113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324D89E"/>
  <w15:docId w15:val="{DB931A94-5BF1-FA4B-AD17-26E7632E9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rPr>
  </w:style>
  <w:style w:type="paragraph" w:styleId="Heading1">
    <w:name w:val="heading 1"/>
    <w:basedOn w:val="Normal"/>
    <w:next w:val="Normal"/>
    <w:uiPriority w:val="9"/>
    <w:qFormat/>
    <w:pPr>
      <w:keepNext/>
      <w:keepLines/>
      <w:spacing w:before="100" w:beforeAutospacing="1" w:after="100" w:afterAutospacing="1"/>
      <w:outlineLvl w:val="0"/>
    </w:pPr>
    <w:rPr>
      <w:rFonts w:asciiTheme="majorHAnsi" w:hAnsiTheme="majorHAnsi" w:cstheme="majorHAnsi"/>
      <w:b/>
    </w:rPr>
  </w:style>
  <w:style w:type="paragraph" w:styleId="Heading2">
    <w:name w:val="heading 2"/>
    <w:basedOn w:val="Normal"/>
    <w:next w:val="Normal"/>
    <w:uiPriority w:val="9"/>
    <w:unhideWhenUsed/>
    <w:qFormat/>
    <w:pPr>
      <w:keepNext/>
      <w:keepLines/>
      <w:spacing w:before="100" w:beforeAutospacing="1" w:after="100" w:afterAutospacing="1"/>
      <w:outlineLvl w:val="1"/>
    </w:pPr>
    <w:rPr>
      <w:rFonts w:asciiTheme="majorHAnsi" w:hAnsiTheme="majorHAnsi" w:cstheme="majorHAnsi"/>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table" w:customStyle="1" w:styleId="TableNormal1">
    <w:name w:val="Table Normal1"/>
    <w:tblPr>
      <w:tblCellMar>
        <w:top w:w="0" w:type="dxa"/>
        <w:left w:w="0" w:type="dxa"/>
        <w:bottom w:w="0" w:type="dxa"/>
        <w:right w:w="0" w:type="dxa"/>
      </w:tblCellMar>
    </w:tblPr>
  </w:style>
  <w:style w:type="table" w:customStyle="1" w:styleId="Table1">
    <w:name w:val="Table1"/>
    <w:basedOn w:val="TableNormal1"/>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spacing w:before="240" w:beforeAutospacing="0" w:after="0" w:afterAutospacing="0" w:line="259" w:lineRule="auto"/>
      <w:jc w:val="left"/>
      <w:outlineLvl w:val="9"/>
    </w:pPr>
    <w:rPr>
      <w:rFonts w:eastAsiaTheme="majorEastAsia" w:cstheme="majorBidi"/>
      <w:b w:val="0"/>
      <w:color w:val="365F91" w:themeColor="accent1" w:themeShade="BF"/>
      <w:sz w:val="32"/>
      <w:szCs w:val="32"/>
      <w:lang w:val="en-US"/>
    </w:rPr>
  </w:style>
  <w:style w:type="paragraph" w:styleId="ListParagraph">
    <w:name w:val="List Paragraph"/>
    <w:basedOn w:val="Normal"/>
    <w:uiPriority w:val="34"/>
    <w:qFormat/>
    <w:pPr>
      <w:ind w:left="720"/>
      <w:contextualSpacing/>
    </w:pPr>
  </w:style>
  <w:style w:type="paragraph" w:customStyle="1" w:styleId="Revision1">
    <w:name w:val="Revision1"/>
    <w:hidden/>
    <w:uiPriority w:val="99"/>
    <w:semiHidden/>
    <w:rPr>
      <w:sz w:val="24"/>
      <w:szCs w:val="24"/>
      <w:lang w:val="zh-CN"/>
    </w:rPr>
  </w:style>
  <w:style w:type="table" w:customStyle="1" w:styleId="Style23">
    <w:name w:val="_Style 23"/>
    <w:basedOn w:val="TableNormal"/>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EcSW+UCBrML1ixVjz6kWP+ZWvQ==">CgMxLjAyCGguZ2pkZ3hzMgloLjMwajB6bGwyCWguMWZvYjl0ZTIJaC4zem55c2g3MgloLjJldDkycDAyCGgudHlqY3d0MgloLjNkeTZ2a20yCWguMXQzaDVzZjIJaC40ZDM0b2c4MgloLjJzOGV5bzEyCWguMTdkcDh2dTIJaC4zcmRjcmpuMgloLjI2aW4xcmcyCGgubG54Yno5MgloLjM1bmt1bjIyCWguMWtzdjR1djgAciExb0ZEMGV6OVM3cHNheGhOUmZ1alZGMlRGRVk0aUpsbH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16</Pages>
  <Words>3187</Words>
  <Characters>18169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Cosmin Husaru</dc:creator>
  <cp:lastModifiedBy>Catalina Ianos (2232322)</cp:lastModifiedBy>
  <cp:revision>75</cp:revision>
  <dcterms:created xsi:type="dcterms:W3CDTF">2025-02-19T06:14:00Z</dcterms:created>
  <dcterms:modified xsi:type="dcterms:W3CDTF">2025-03-06T19:40:00Z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2057-12.2.0.20323</vt:lpwstr>
  </property>
  <property fmtid="{D5CDD505-2E9C-101B-9397-08002B2CF9AE}" pid="3" name="ICV">
    <vt:lpwstr>41395D39AF16472A946B1F4A380CD783_12</vt:lpwstr>
  </property>
</Properties>
</file>