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1F214" w14:textId="7C91696C" w:rsidR="00E07813" w:rsidRDefault="00841560" w:rsidP="00E07813">
      <w:pPr>
        <w:tabs>
          <w:tab w:val="left" w:pos="6540"/>
        </w:tabs>
        <w:rPr>
          <w:rFonts w:cs="Arial"/>
          <w:b/>
          <w:bCs/>
          <w:sz w:val="40"/>
          <w:szCs w:val="40"/>
        </w:rPr>
      </w:pPr>
      <w:r>
        <w:rPr>
          <w:noProof/>
        </w:rPr>
        <w:drawing>
          <wp:anchor distT="0" distB="0" distL="114300" distR="114300" simplePos="0" relativeHeight="251658240" behindDoc="0" locked="0" layoutInCell="1" allowOverlap="1" wp14:anchorId="71865B54" wp14:editId="4A6A9289">
            <wp:simplePos x="0" y="0"/>
            <wp:positionH relativeFrom="margin">
              <wp:posOffset>0</wp:posOffset>
            </wp:positionH>
            <wp:positionV relativeFrom="paragraph">
              <wp:posOffset>436245</wp:posOffset>
            </wp:positionV>
            <wp:extent cx="2600325" cy="914400"/>
            <wp:effectExtent l="0" t="0" r="9525" b="0"/>
            <wp:wrapSquare wrapText="bothSides"/>
            <wp:docPr id="265721254" name="Picture 1" descr="Discover University of Wales Trinity Saint David">
              <a:extLst xmlns:a="http://schemas.openxmlformats.org/drawingml/2006/main">
                <a:ext uri="{FF2B5EF4-FFF2-40B4-BE49-F238E27FC236}">
                  <a16:creationId xmlns:a16="http://schemas.microsoft.com/office/drawing/2014/main" id="{2F11C749-489E-4D17-92B5-1D1F1991C6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pic:spPr>
                </pic:pic>
              </a:graphicData>
            </a:graphic>
            <wp14:sizeRelH relativeFrom="margin">
              <wp14:pctWidth>0</wp14:pctWidth>
            </wp14:sizeRelH>
            <wp14:sizeRelV relativeFrom="margin">
              <wp14:pctHeight>0</wp14:pctHeight>
            </wp14:sizeRelV>
          </wp:anchor>
        </w:drawing>
      </w:r>
    </w:p>
    <w:p w14:paraId="3796A2F3" w14:textId="77777777" w:rsidR="00E07813" w:rsidRDefault="00E07813" w:rsidP="00E07813">
      <w:pPr>
        <w:tabs>
          <w:tab w:val="left" w:pos="6540"/>
        </w:tabs>
        <w:rPr>
          <w:rFonts w:cs="Arial"/>
          <w:b/>
          <w:bCs/>
          <w:sz w:val="40"/>
          <w:szCs w:val="40"/>
        </w:rPr>
      </w:pPr>
    </w:p>
    <w:p w14:paraId="040B20CA" w14:textId="77777777" w:rsidR="00E07813" w:rsidRDefault="00E07813" w:rsidP="00E07813">
      <w:pPr>
        <w:tabs>
          <w:tab w:val="left" w:pos="6540"/>
        </w:tabs>
        <w:rPr>
          <w:rFonts w:cs="Arial"/>
          <w:b/>
          <w:bCs/>
          <w:sz w:val="40"/>
          <w:szCs w:val="40"/>
        </w:rPr>
      </w:pPr>
    </w:p>
    <w:p w14:paraId="20B0822B" w14:textId="77777777" w:rsidR="00E07813" w:rsidRDefault="00E07813" w:rsidP="00E07813">
      <w:pPr>
        <w:tabs>
          <w:tab w:val="left" w:pos="6540"/>
        </w:tabs>
        <w:rPr>
          <w:rFonts w:cs="Arial"/>
          <w:b/>
          <w:bCs/>
          <w:sz w:val="40"/>
          <w:szCs w:val="40"/>
        </w:rPr>
      </w:pPr>
    </w:p>
    <w:p w14:paraId="28B13DF5" w14:textId="77777777" w:rsidR="00841560" w:rsidRDefault="00841560" w:rsidP="00E07813">
      <w:pPr>
        <w:tabs>
          <w:tab w:val="left" w:pos="6540"/>
        </w:tabs>
        <w:rPr>
          <w:rFonts w:cs="Arial"/>
          <w:b/>
          <w:bCs/>
          <w:sz w:val="40"/>
          <w:szCs w:val="40"/>
        </w:rPr>
      </w:pPr>
    </w:p>
    <w:p w14:paraId="24A428F7" w14:textId="77777777" w:rsidR="00841560" w:rsidRDefault="00841560" w:rsidP="00E07813">
      <w:pPr>
        <w:tabs>
          <w:tab w:val="left" w:pos="6540"/>
        </w:tabs>
        <w:rPr>
          <w:rFonts w:cs="Arial"/>
          <w:b/>
          <w:bCs/>
          <w:sz w:val="40"/>
          <w:szCs w:val="40"/>
        </w:rPr>
      </w:pPr>
    </w:p>
    <w:p w14:paraId="3000D4A7" w14:textId="77777777" w:rsidR="00841560" w:rsidRDefault="00841560" w:rsidP="00E07813">
      <w:pPr>
        <w:tabs>
          <w:tab w:val="left" w:pos="6540"/>
        </w:tabs>
        <w:rPr>
          <w:rFonts w:cs="Arial"/>
          <w:b/>
          <w:bCs/>
          <w:sz w:val="40"/>
          <w:szCs w:val="40"/>
        </w:rPr>
      </w:pPr>
    </w:p>
    <w:p w14:paraId="10A63CE4" w14:textId="77777777" w:rsidR="00841560" w:rsidRDefault="00841560" w:rsidP="00E07813">
      <w:pPr>
        <w:tabs>
          <w:tab w:val="left" w:pos="6540"/>
        </w:tabs>
        <w:rPr>
          <w:rFonts w:cs="Arial"/>
          <w:b/>
          <w:bCs/>
          <w:sz w:val="40"/>
          <w:szCs w:val="40"/>
        </w:rPr>
      </w:pPr>
    </w:p>
    <w:p w14:paraId="7AF33986" w14:textId="39F5AB11" w:rsidR="00E07813" w:rsidRDefault="00E07813" w:rsidP="00E07813">
      <w:pPr>
        <w:tabs>
          <w:tab w:val="left" w:pos="6540"/>
        </w:tabs>
        <w:rPr>
          <w:rFonts w:cs="Arial"/>
          <w:sz w:val="40"/>
          <w:szCs w:val="40"/>
        </w:rPr>
      </w:pPr>
      <w:r w:rsidRPr="00D21F12">
        <w:rPr>
          <w:rFonts w:cs="Arial"/>
          <w:b/>
          <w:bCs/>
          <w:sz w:val="40"/>
          <w:szCs w:val="40"/>
        </w:rPr>
        <w:t>Student ID</w:t>
      </w:r>
      <w:r w:rsidRPr="00D21F12">
        <w:rPr>
          <w:rFonts w:cs="Arial"/>
          <w:sz w:val="40"/>
          <w:szCs w:val="40"/>
        </w:rPr>
        <w:t xml:space="preserve">: 2231782 </w:t>
      </w:r>
    </w:p>
    <w:p w14:paraId="5FF2BF18" w14:textId="5B42B381" w:rsidR="00E07813" w:rsidRPr="00DD569A" w:rsidRDefault="00E07813" w:rsidP="00841560">
      <w:pPr>
        <w:pStyle w:val="Title"/>
      </w:pPr>
      <w:r>
        <w:rPr>
          <w:bCs/>
        </w:rPr>
        <w:t xml:space="preserve">Student Name: </w:t>
      </w:r>
      <w:r>
        <w:t xml:space="preserve">Paula </w:t>
      </w:r>
      <w:r w:rsidRPr="00841560">
        <w:t>Andrea</w:t>
      </w:r>
      <w:r>
        <w:t xml:space="preserve"> Latorre</w:t>
      </w:r>
    </w:p>
    <w:p w14:paraId="7E99DE65" w14:textId="679DAF2D" w:rsidR="00E07813" w:rsidRPr="00841560" w:rsidRDefault="00E07813" w:rsidP="00E07813">
      <w:pPr>
        <w:tabs>
          <w:tab w:val="left" w:pos="6540"/>
        </w:tabs>
        <w:rPr>
          <w:rFonts w:cs="Arial"/>
          <w:sz w:val="40"/>
          <w:szCs w:val="40"/>
        </w:rPr>
      </w:pPr>
      <w:r w:rsidRPr="00841560">
        <w:rPr>
          <w:rFonts w:cs="Arial"/>
          <w:b/>
          <w:bCs/>
          <w:sz w:val="40"/>
          <w:szCs w:val="40"/>
        </w:rPr>
        <w:t>Module Name:</w:t>
      </w:r>
      <w:r w:rsidRPr="00841560">
        <w:rPr>
          <w:rFonts w:cs="Arial"/>
          <w:sz w:val="40"/>
          <w:szCs w:val="40"/>
        </w:rPr>
        <w:t xml:space="preserve">  </w:t>
      </w:r>
      <w:r w:rsidR="00841560" w:rsidRPr="00841560">
        <w:rPr>
          <w:rFonts w:cs="Arial"/>
          <w:sz w:val="40"/>
          <w:szCs w:val="40"/>
        </w:rPr>
        <w:t>Quality Assurance a</w:t>
      </w:r>
      <w:r w:rsidR="00841560">
        <w:rPr>
          <w:rFonts w:cs="Arial"/>
          <w:sz w:val="40"/>
          <w:szCs w:val="40"/>
        </w:rPr>
        <w:t>nd Service Improvements</w:t>
      </w:r>
    </w:p>
    <w:p w14:paraId="6FF5D15C" w14:textId="04ACF86E" w:rsidR="00E07813" w:rsidRPr="001B72F4" w:rsidRDefault="00E07813" w:rsidP="00E07813">
      <w:pPr>
        <w:tabs>
          <w:tab w:val="left" w:pos="6540"/>
        </w:tabs>
        <w:rPr>
          <w:rFonts w:cs="Arial"/>
          <w:sz w:val="40"/>
          <w:szCs w:val="40"/>
        </w:rPr>
      </w:pPr>
      <w:r w:rsidRPr="001B72F4">
        <w:rPr>
          <w:rFonts w:cs="Arial"/>
          <w:b/>
          <w:bCs/>
          <w:sz w:val="40"/>
          <w:szCs w:val="40"/>
        </w:rPr>
        <w:t>Module Code:</w:t>
      </w:r>
      <w:r w:rsidRPr="001B72F4">
        <w:rPr>
          <w:rFonts w:cs="Arial"/>
          <w:sz w:val="40"/>
          <w:szCs w:val="40"/>
        </w:rPr>
        <w:t xml:space="preserve"> LCHS700</w:t>
      </w:r>
      <w:r w:rsidR="00841560" w:rsidRPr="001B72F4">
        <w:rPr>
          <w:rFonts w:cs="Arial"/>
          <w:sz w:val="40"/>
          <w:szCs w:val="40"/>
        </w:rPr>
        <w:t>6</w:t>
      </w:r>
    </w:p>
    <w:p w14:paraId="446D9C40" w14:textId="10179E9A" w:rsidR="00E07813" w:rsidRPr="001B72F4" w:rsidRDefault="00E07813" w:rsidP="00E07813">
      <w:pPr>
        <w:tabs>
          <w:tab w:val="left" w:pos="6540"/>
        </w:tabs>
        <w:rPr>
          <w:rFonts w:cs="Arial"/>
          <w:sz w:val="40"/>
          <w:szCs w:val="40"/>
        </w:rPr>
      </w:pPr>
      <w:r w:rsidRPr="001B72F4">
        <w:rPr>
          <w:rFonts w:cs="Arial"/>
          <w:b/>
          <w:bCs/>
          <w:sz w:val="40"/>
          <w:szCs w:val="40"/>
        </w:rPr>
        <w:t xml:space="preserve">Lecturer’s Name: </w:t>
      </w:r>
      <w:r w:rsidR="00841560" w:rsidRPr="001B72F4">
        <w:rPr>
          <w:rFonts w:cs="Arial"/>
          <w:sz w:val="40"/>
          <w:szCs w:val="40"/>
        </w:rPr>
        <w:t>Christopher Mafuva</w:t>
      </w:r>
    </w:p>
    <w:p w14:paraId="74DDA33F" w14:textId="77777777" w:rsidR="00DA22F5" w:rsidRPr="001B72F4" w:rsidRDefault="00DA22F5"/>
    <w:p w14:paraId="34ABC998" w14:textId="77777777" w:rsidR="00841560" w:rsidRPr="001B72F4" w:rsidRDefault="00841560"/>
    <w:p w14:paraId="666E7C25" w14:textId="77777777" w:rsidR="00841560" w:rsidRPr="001B72F4" w:rsidRDefault="00841560"/>
    <w:p w14:paraId="3109668F" w14:textId="77777777" w:rsidR="00841560" w:rsidRPr="001B72F4" w:rsidRDefault="00841560"/>
    <w:p w14:paraId="1517B7BE" w14:textId="77777777" w:rsidR="00841560" w:rsidRPr="001B72F4" w:rsidRDefault="00841560"/>
    <w:p w14:paraId="3219F6DE" w14:textId="77777777" w:rsidR="00841560" w:rsidRPr="001B72F4" w:rsidRDefault="00841560"/>
    <w:p w14:paraId="5F09B0EF" w14:textId="77777777" w:rsidR="00841560" w:rsidRPr="001B72F4" w:rsidRDefault="00841560"/>
    <w:p w14:paraId="4BE00ED1" w14:textId="77777777" w:rsidR="00841560" w:rsidRPr="001B72F4" w:rsidRDefault="00841560"/>
    <w:p w14:paraId="76FB77D4" w14:textId="77777777" w:rsidR="00841560" w:rsidRPr="001B72F4" w:rsidRDefault="00841560"/>
    <w:p w14:paraId="7C6364C2" w14:textId="77777777" w:rsidR="00841560" w:rsidRPr="001B72F4" w:rsidRDefault="00841560"/>
    <w:p w14:paraId="5DAE61C1" w14:textId="77777777" w:rsidR="00841560" w:rsidRPr="001B72F4" w:rsidRDefault="00841560"/>
    <w:sdt>
      <w:sdtPr>
        <w:rPr>
          <w:rFonts w:ascii="Arial" w:eastAsiaTheme="minorHAnsi" w:hAnsi="Arial" w:cs="Times New Roman"/>
          <w:color w:val="auto"/>
          <w:kern w:val="2"/>
          <w:sz w:val="22"/>
          <w:szCs w:val="22"/>
          <w:lang w:eastAsia="en-US"/>
          <w14:ligatures w14:val="standardContextual"/>
        </w:rPr>
        <w:id w:val="-305623337"/>
        <w:docPartObj>
          <w:docPartGallery w:val="Table of Contents"/>
          <w:docPartUnique/>
        </w:docPartObj>
      </w:sdtPr>
      <w:sdtEndPr>
        <w:rPr>
          <w:b/>
          <w:bCs/>
        </w:rPr>
      </w:sdtEndPr>
      <w:sdtContent>
        <w:p w14:paraId="58F92DCB" w14:textId="337DA9B9" w:rsidR="00A0503A" w:rsidRDefault="00A0503A">
          <w:pPr>
            <w:pStyle w:val="TOCHeading"/>
          </w:pPr>
          <w:r>
            <w:t>Table of Contents</w:t>
          </w:r>
        </w:p>
        <w:p w14:paraId="43395970" w14:textId="5C7CB0E7" w:rsidR="00A0503A" w:rsidRDefault="00A0503A">
          <w:pPr>
            <w:pStyle w:val="TOC1"/>
            <w:tabs>
              <w:tab w:val="left" w:pos="440"/>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37034338" w:history="1">
            <w:r w:rsidRPr="00281A09">
              <w:rPr>
                <w:rStyle w:val="Hyperlink"/>
                <w:noProof/>
              </w:rPr>
              <w:t>1.</w:t>
            </w:r>
            <w:r>
              <w:rPr>
                <w:rFonts w:asciiTheme="minorHAnsi" w:eastAsiaTheme="minorEastAsia" w:hAnsiTheme="minorHAnsi" w:cstheme="minorBidi"/>
                <w:noProof/>
                <w:sz w:val="24"/>
                <w:szCs w:val="24"/>
                <w:lang w:eastAsia="en-GB"/>
              </w:rPr>
              <w:tab/>
            </w:r>
            <w:r w:rsidRPr="00281A09">
              <w:rPr>
                <w:rStyle w:val="Hyperlink"/>
                <w:noProof/>
              </w:rPr>
              <w:t>Introduction</w:t>
            </w:r>
            <w:r>
              <w:rPr>
                <w:noProof/>
                <w:webHidden/>
              </w:rPr>
              <w:tab/>
            </w:r>
            <w:r>
              <w:rPr>
                <w:noProof/>
                <w:webHidden/>
              </w:rPr>
              <w:fldChar w:fldCharType="begin"/>
            </w:r>
            <w:r>
              <w:rPr>
                <w:noProof/>
                <w:webHidden/>
              </w:rPr>
              <w:instrText xml:space="preserve"> PAGEREF _Toc237034338 \h </w:instrText>
            </w:r>
            <w:r>
              <w:rPr>
                <w:noProof/>
                <w:webHidden/>
              </w:rPr>
            </w:r>
            <w:r>
              <w:rPr>
                <w:noProof/>
                <w:webHidden/>
              </w:rPr>
              <w:fldChar w:fldCharType="separate"/>
            </w:r>
            <w:r>
              <w:rPr>
                <w:noProof/>
                <w:webHidden/>
              </w:rPr>
              <w:t>3</w:t>
            </w:r>
            <w:r>
              <w:rPr>
                <w:noProof/>
                <w:webHidden/>
              </w:rPr>
              <w:fldChar w:fldCharType="end"/>
            </w:r>
          </w:hyperlink>
        </w:p>
        <w:p w14:paraId="0A28F236" w14:textId="06B9A32E" w:rsidR="00A0503A" w:rsidRDefault="00A0503A">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37034339" w:history="1">
            <w:r w:rsidRPr="00281A09">
              <w:rPr>
                <w:rStyle w:val="Hyperlink"/>
                <w:noProof/>
              </w:rPr>
              <w:t>2.</w:t>
            </w:r>
            <w:r>
              <w:rPr>
                <w:rFonts w:asciiTheme="minorHAnsi" w:eastAsiaTheme="minorEastAsia" w:hAnsiTheme="minorHAnsi" w:cstheme="minorBidi"/>
                <w:noProof/>
                <w:sz w:val="24"/>
                <w:szCs w:val="24"/>
                <w:lang w:eastAsia="en-GB"/>
              </w:rPr>
              <w:tab/>
            </w:r>
            <w:r w:rsidRPr="00281A09">
              <w:rPr>
                <w:rStyle w:val="Hyperlink"/>
                <w:noProof/>
              </w:rPr>
              <w:t>Main Body</w:t>
            </w:r>
            <w:r>
              <w:rPr>
                <w:noProof/>
                <w:webHidden/>
              </w:rPr>
              <w:tab/>
            </w:r>
            <w:r>
              <w:rPr>
                <w:noProof/>
                <w:webHidden/>
              </w:rPr>
              <w:fldChar w:fldCharType="begin"/>
            </w:r>
            <w:r>
              <w:rPr>
                <w:noProof/>
                <w:webHidden/>
              </w:rPr>
              <w:instrText xml:space="preserve"> PAGEREF _Toc237034339 \h </w:instrText>
            </w:r>
            <w:r>
              <w:rPr>
                <w:noProof/>
                <w:webHidden/>
              </w:rPr>
            </w:r>
            <w:r>
              <w:rPr>
                <w:noProof/>
                <w:webHidden/>
              </w:rPr>
              <w:fldChar w:fldCharType="separate"/>
            </w:r>
            <w:r>
              <w:rPr>
                <w:noProof/>
                <w:webHidden/>
              </w:rPr>
              <w:t>4</w:t>
            </w:r>
            <w:r>
              <w:rPr>
                <w:noProof/>
                <w:webHidden/>
              </w:rPr>
              <w:fldChar w:fldCharType="end"/>
            </w:r>
          </w:hyperlink>
        </w:p>
        <w:p w14:paraId="5FE0B0E5" w14:textId="4E865754" w:rsidR="00A0503A" w:rsidRDefault="00A0503A">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37034340" w:history="1">
            <w:r w:rsidRPr="00281A09">
              <w:rPr>
                <w:rStyle w:val="Hyperlink"/>
                <w:noProof/>
              </w:rPr>
              <w:t>2.1</w:t>
            </w:r>
            <w:r>
              <w:rPr>
                <w:rFonts w:asciiTheme="minorHAnsi" w:eastAsiaTheme="minorEastAsia" w:hAnsiTheme="minorHAnsi" w:cstheme="minorBidi"/>
                <w:noProof/>
                <w:sz w:val="24"/>
                <w:szCs w:val="24"/>
                <w:lang w:eastAsia="en-GB"/>
              </w:rPr>
              <w:tab/>
            </w:r>
            <w:r w:rsidRPr="00281A09">
              <w:rPr>
                <w:rStyle w:val="Hyperlink"/>
                <w:noProof/>
              </w:rPr>
              <w:t>Root Cause Analysis: Fishbone Diagram and the Five Whys</w:t>
            </w:r>
            <w:r>
              <w:rPr>
                <w:noProof/>
                <w:webHidden/>
              </w:rPr>
              <w:tab/>
            </w:r>
            <w:r>
              <w:rPr>
                <w:noProof/>
                <w:webHidden/>
              </w:rPr>
              <w:fldChar w:fldCharType="begin"/>
            </w:r>
            <w:r>
              <w:rPr>
                <w:noProof/>
                <w:webHidden/>
              </w:rPr>
              <w:instrText xml:space="preserve"> PAGEREF _Toc237034340 \h </w:instrText>
            </w:r>
            <w:r>
              <w:rPr>
                <w:noProof/>
                <w:webHidden/>
              </w:rPr>
            </w:r>
            <w:r>
              <w:rPr>
                <w:noProof/>
                <w:webHidden/>
              </w:rPr>
              <w:fldChar w:fldCharType="separate"/>
            </w:r>
            <w:r>
              <w:rPr>
                <w:noProof/>
                <w:webHidden/>
              </w:rPr>
              <w:t>4</w:t>
            </w:r>
            <w:r>
              <w:rPr>
                <w:noProof/>
                <w:webHidden/>
              </w:rPr>
              <w:fldChar w:fldCharType="end"/>
            </w:r>
          </w:hyperlink>
        </w:p>
        <w:p w14:paraId="49EF32A2" w14:textId="7B1A57CB" w:rsidR="00A0503A" w:rsidRDefault="00A0503A">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37034341" w:history="1">
            <w:r w:rsidRPr="00281A09">
              <w:rPr>
                <w:rStyle w:val="Hyperlink"/>
                <w:noProof/>
              </w:rPr>
              <w:t>2.2</w:t>
            </w:r>
            <w:r>
              <w:rPr>
                <w:rFonts w:asciiTheme="minorHAnsi" w:eastAsiaTheme="minorEastAsia" w:hAnsiTheme="minorHAnsi" w:cstheme="minorBidi"/>
                <w:noProof/>
                <w:sz w:val="24"/>
                <w:szCs w:val="24"/>
                <w:lang w:eastAsia="en-GB"/>
              </w:rPr>
              <w:tab/>
            </w:r>
            <w:r w:rsidRPr="00281A09">
              <w:rPr>
                <w:rStyle w:val="Hyperlink"/>
                <w:noProof/>
              </w:rPr>
              <w:t>Application of the Donabedian Model</w:t>
            </w:r>
            <w:r>
              <w:rPr>
                <w:noProof/>
                <w:webHidden/>
              </w:rPr>
              <w:tab/>
            </w:r>
            <w:r>
              <w:rPr>
                <w:noProof/>
                <w:webHidden/>
              </w:rPr>
              <w:fldChar w:fldCharType="begin"/>
            </w:r>
            <w:r>
              <w:rPr>
                <w:noProof/>
                <w:webHidden/>
              </w:rPr>
              <w:instrText xml:space="preserve"> PAGEREF _Toc237034341 \h </w:instrText>
            </w:r>
            <w:r>
              <w:rPr>
                <w:noProof/>
                <w:webHidden/>
              </w:rPr>
            </w:r>
            <w:r>
              <w:rPr>
                <w:noProof/>
                <w:webHidden/>
              </w:rPr>
              <w:fldChar w:fldCharType="separate"/>
            </w:r>
            <w:r>
              <w:rPr>
                <w:noProof/>
                <w:webHidden/>
              </w:rPr>
              <w:t>5</w:t>
            </w:r>
            <w:r>
              <w:rPr>
                <w:noProof/>
                <w:webHidden/>
              </w:rPr>
              <w:fldChar w:fldCharType="end"/>
            </w:r>
          </w:hyperlink>
        </w:p>
        <w:p w14:paraId="78764AD6" w14:textId="6D86383F" w:rsidR="00A0503A" w:rsidRDefault="00A0503A">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37034342" w:history="1">
            <w:r w:rsidRPr="00281A09">
              <w:rPr>
                <w:rStyle w:val="Hyperlink"/>
                <w:noProof/>
              </w:rPr>
              <w:t>2.3</w:t>
            </w:r>
            <w:r>
              <w:rPr>
                <w:rFonts w:asciiTheme="minorHAnsi" w:eastAsiaTheme="minorEastAsia" w:hAnsiTheme="minorHAnsi" w:cstheme="minorBidi"/>
                <w:noProof/>
                <w:sz w:val="24"/>
                <w:szCs w:val="24"/>
                <w:lang w:eastAsia="en-GB"/>
              </w:rPr>
              <w:tab/>
            </w:r>
            <w:r w:rsidRPr="00281A09">
              <w:rPr>
                <w:rStyle w:val="Hyperlink"/>
                <w:noProof/>
              </w:rPr>
              <w:t>Strategic Analysis Using SWOT</w:t>
            </w:r>
            <w:r>
              <w:rPr>
                <w:noProof/>
                <w:webHidden/>
              </w:rPr>
              <w:tab/>
            </w:r>
            <w:r>
              <w:rPr>
                <w:noProof/>
                <w:webHidden/>
              </w:rPr>
              <w:fldChar w:fldCharType="begin"/>
            </w:r>
            <w:r>
              <w:rPr>
                <w:noProof/>
                <w:webHidden/>
              </w:rPr>
              <w:instrText xml:space="preserve"> PAGEREF _Toc237034342 \h </w:instrText>
            </w:r>
            <w:r>
              <w:rPr>
                <w:noProof/>
                <w:webHidden/>
              </w:rPr>
            </w:r>
            <w:r>
              <w:rPr>
                <w:noProof/>
                <w:webHidden/>
              </w:rPr>
              <w:fldChar w:fldCharType="separate"/>
            </w:r>
            <w:r>
              <w:rPr>
                <w:noProof/>
                <w:webHidden/>
              </w:rPr>
              <w:t>6</w:t>
            </w:r>
            <w:r>
              <w:rPr>
                <w:noProof/>
                <w:webHidden/>
              </w:rPr>
              <w:fldChar w:fldCharType="end"/>
            </w:r>
          </w:hyperlink>
        </w:p>
        <w:p w14:paraId="6D21F9B6" w14:textId="24A329EF" w:rsidR="00A0503A" w:rsidRDefault="00A0503A">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37034343" w:history="1">
            <w:r w:rsidRPr="00281A09">
              <w:rPr>
                <w:rStyle w:val="Hyperlink"/>
                <w:noProof/>
              </w:rPr>
              <w:t>2.4</w:t>
            </w:r>
            <w:r>
              <w:rPr>
                <w:rFonts w:asciiTheme="minorHAnsi" w:eastAsiaTheme="minorEastAsia" w:hAnsiTheme="minorHAnsi" w:cstheme="minorBidi"/>
                <w:noProof/>
                <w:sz w:val="24"/>
                <w:szCs w:val="24"/>
                <w:lang w:eastAsia="en-GB"/>
              </w:rPr>
              <w:tab/>
            </w:r>
            <w:r w:rsidRPr="00281A09">
              <w:rPr>
                <w:rStyle w:val="Hyperlink"/>
                <w:noProof/>
              </w:rPr>
              <w:t>Critical Discussion of Quality Management Frameworks</w:t>
            </w:r>
            <w:r>
              <w:rPr>
                <w:noProof/>
                <w:webHidden/>
              </w:rPr>
              <w:tab/>
            </w:r>
            <w:r>
              <w:rPr>
                <w:noProof/>
                <w:webHidden/>
              </w:rPr>
              <w:fldChar w:fldCharType="begin"/>
            </w:r>
            <w:r>
              <w:rPr>
                <w:noProof/>
                <w:webHidden/>
              </w:rPr>
              <w:instrText xml:space="preserve"> PAGEREF _Toc237034343 \h </w:instrText>
            </w:r>
            <w:r>
              <w:rPr>
                <w:noProof/>
                <w:webHidden/>
              </w:rPr>
            </w:r>
            <w:r>
              <w:rPr>
                <w:noProof/>
                <w:webHidden/>
              </w:rPr>
              <w:fldChar w:fldCharType="separate"/>
            </w:r>
            <w:r>
              <w:rPr>
                <w:noProof/>
                <w:webHidden/>
              </w:rPr>
              <w:t>7</w:t>
            </w:r>
            <w:r>
              <w:rPr>
                <w:noProof/>
                <w:webHidden/>
              </w:rPr>
              <w:fldChar w:fldCharType="end"/>
            </w:r>
          </w:hyperlink>
        </w:p>
        <w:p w14:paraId="4B75B2A1" w14:textId="03F1EFA2" w:rsidR="00A0503A" w:rsidRDefault="00A0503A">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37034344" w:history="1">
            <w:r w:rsidRPr="00281A09">
              <w:rPr>
                <w:rStyle w:val="Hyperlink"/>
                <w:noProof/>
              </w:rPr>
              <w:t>3.</w:t>
            </w:r>
            <w:r>
              <w:rPr>
                <w:rFonts w:asciiTheme="minorHAnsi" w:eastAsiaTheme="minorEastAsia" w:hAnsiTheme="minorHAnsi" w:cstheme="minorBidi"/>
                <w:noProof/>
                <w:sz w:val="24"/>
                <w:szCs w:val="24"/>
                <w:lang w:eastAsia="en-GB"/>
              </w:rPr>
              <w:tab/>
            </w:r>
            <w:r w:rsidRPr="00281A09">
              <w:rPr>
                <w:rStyle w:val="Hyperlink"/>
                <w:noProof/>
              </w:rPr>
              <w:t>Recommendations</w:t>
            </w:r>
            <w:r>
              <w:rPr>
                <w:noProof/>
                <w:webHidden/>
              </w:rPr>
              <w:tab/>
            </w:r>
            <w:r>
              <w:rPr>
                <w:noProof/>
                <w:webHidden/>
              </w:rPr>
              <w:fldChar w:fldCharType="begin"/>
            </w:r>
            <w:r>
              <w:rPr>
                <w:noProof/>
                <w:webHidden/>
              </w:rPr>
              <w:instrText xml:space="preserve"> PAGEREF _Toc237034344 \h </w:instrText>
            </w:r>
            <w:r>
              <w:rPr>
                <w:noProof/>
                <w:webHidden/>
              </w:rPr>
            </w:r>
            <w:r>
              <w:rPr>
                <w:noProof/>
                <w:webHidden/>
              </w:rPr>
              <w:fldChar w:fldCharType="separate"/>
            </w:r>
            <w:r>
              <w:rPr>
                <w:noProof/>
                <w:webHidden/>
              </w:rPr>
              <w:t>9</w:t>
            </w:r>
            <w:r>
              <w:rPr>
                <w:noProof/>
                <w:webHidden/>
              </w:rPr>
              <w:fldChar w:fldCharType="end"/>
            </w:r>
          </w:hyperlink>
        </w:p>
        <w:p w14:paraId="7D529989" w14:textId="7DA12EF3"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45" w:history="1">
            <w:r w:rsidRPr="00281A09">
              <w:rPr>
                <w:rStyle w:val="Hyperlink"/>
                <w:noProof/>
              </w:rPr>
              <w:t>Enhancement of leadership and clinical governance.</w:t>
            </w:r>
            <w:r>
              <w:rPr>
                <w:noProof/>
                <w:webHidden/>
              </w:rPr>
              <w:tab/>
            </w:r>
            <w:r>
              <w:rPr>
                <w:noProof/>
                <w:webHidden/>
              </w:rPr>
              <w:fldChar w:fldCharType="begin"/>
            </w:r>
            <w:r>
              <w:rPr>
                <w:noProof/>
                <w:webHidden/>
              </w:rPr>
              <w:instrText xml:space="preserve"> PAGEREF _Toc237034345 \h </w:instrText>
            </w:r>
            <w:r>
              <w:rPr>
                <w:noProof/>
                <w:webHidden/>
              </w:rPr>
            </w:r>
            <w:r>
              <w:rPr>
                <w:noProof/>
                <w:webHidden/>
              </w:rPr>
              <w:fldChar w:fldCharType="separate"/>
            </w:r>
            <w:r>
              <w:rPr>
                <w:noProof/>
                <w:webHidden/>
              </w:rPr>
              <w:t>9</w:t>
            </w:r>
            <w:r>
              <w:rPr>
                <w:noProof/>
                <w:webHidden/>
              </w:rPr>
              <w:fldChar w:fldCharType="end"/>
            </w:r>
          </w:hyperlink>
        </w:p>
        <w:p w14:paraId="64D90ECF" w14:textId="456BEAC7"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46" w:history="1">
            <w:r w:rsidRPr="00281A09">
              <w:rPr>
                <w:rStyle w:val="Hyperlink"/>
                <w:noProof/>
              </w:rPr>
              <w:t>Improving the reporting of incidents and communication.</w:t>
            </w:r>
            <w:r>
              <w:rPr>
                <w:noProof/>
                <w:webHidden/>
              </w:rPr>
              <w:tab/>
            </w:r>
            <w:r>
              <w:rPr>
                <w:noProof/>
                <w:webHidden/>
              </w:rPr>
              <w:fldChar w:fldCharType="begin"/>
            </w:r>
            <w:r>
              <w:rPr>
                <w:noProof/>
                <w:webHidden/>
              </w:rPr>
              <w:instrText xml:space="preserve"> PAGEREF _Toc237034346 \h </w:instrText>
            </w:r>
            <w:r>
              <w:rPr>
                <w:noProof/>
                <w:webHidden/>
              </w:rPr>
            </w:r>
            <w:r>
              <w:rPr>
                <w:noProof/>
                <w:webHidden/>
              </w:rPr>
              <w:fldChar w:fldCharType="separate"/>
            </w:r>
            <w:r>
              <w:rPr>
                <w:noProof/>
                <w:webHidden/>
              </w:rPr>
              <w:t>9</w:t>
            </w:r>
            <w:r>
              <w:rPr>
                <w:noProof/>
                <w:webHidden/>
              </w:rPr>
              <w:fldChar w:fldCharType="end"/>
            </w:r>
          </w:hyperlink>
        </w:p>
        <w:p w14:paraId="761A06B8" w14:textId="113B4FAD"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47" w:history="1">
            <w:r w:rsidRPr="00281A09">
              <w:rPr>
                <w:rStyle w:val="Hyperlink"/>
                <w:noProof/>
              </w:rPr>
              <w:t>Facilitating a positive patient safety culture.</w:t>
            </w:r>
            <w:r>
              <w:rPr>
                <w:noProof/>
                <w:webHidden/>
              </w:rPr>
              <w:tab/>
            </w:r>
            <w:r>
              <w:rPr>
                <w:noProof/>
                <w:webHidden/>
              </w:rPr>
              <w:fldChar w:fldCharType="begin"/>
            </w:r>
            <w:r>
              <w:rPr>
                <w:noProof/>
                <w:webHidden/>
              </w:rPr>
              <w:instrText xml:space="preserve"> PAGEREF _Toc237034347 \h </w:instrText>
            </w:r>
            <w:r>
              <w:rPr>
                <w:noProof/>
                <w:webHidden/>
              </w:rPr>
            </w:r>
            <w:r>
              <w:rPr>
                <w:noProof/>
                <w:webHidden/>
              </w:rPr>
              <w:fldChar w:fldCharType="separate"/>
            </w:r>
            <w:r>
              <w:rPr>
                <w:noProof/>
                <w:webHidden/>
              </w:rPr>
              <w:t>10</w:t>
            </w:r>
            <w:r>
              <w:rPr>
                <w:noProof/>
                <w:webHidden/>
              </w:rPr>
              <w:fldChar w:fldCharType="end"/>
            </w:r>
          </w:hyperlink>
        </w:p>
        <w:p w14:paraId="5F80B3C8" w14:textId="75B149BA"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48" w:history="1">
            <w:r w:rsidRPr="00281A09">
              <w:rPr>
                <w:rStyle w:val="Hyperlink"/>
                <w:noProof/>
              </w:rPr>
              <w:t>Implementation using the PDSA Cycle</w:t>
            </w:r>
            <w:r>
              <w:rPr>
                <w:noProof/>
                <w:webHidden/>
              </w:rPr>
              <w:tab/>
            </w:r>
            <w:r>
              <w:rPr>
                <w:noProof/>
                <w:webHidden/>
              </w:rPr>
              <w:fldChar w:fldCharType="begin"/>
            </w:r>
            <w:r>
              <w:rPr>
                <w:noProof/>
                <w:webHidden/>
              </w:rPr>
              <w:instrText xml:space="preserve"> PAGEREF _Toc237034348 \h </w:instrText>
            </w:r>
            <w:r>
              <w:rPr>
                <w:noProof/>
                <w:webHidden/>
              </w:rPr>
            </w:r>
            <w:r>
              <w:rPr>
                <w:noProof/>
                <w:webHidden/>
              </w:rPr>
              <w:fldChar w:fldCharType="separate"/>
            </w:r>
            <w:r>
              <w:rPr>
                <w:noProof/>
                <w:webHidden/>
              </w:rPr>
              <w:t>10</w:t>
            </w:r>
            <w:r>
              <w:rPr>
                <w:noProof/>
                <w:webHidden/>
              </w:rPr>
              <w:fldChar w:fldCharType="end"/>
            </w:r>
          </w:hyperlink>
        </w:p>
        <w:p w14:paraId="677DF212" w14:textId="4AB682F4"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49" w:history="1">
            <w:r w:rsidRPr="00281A09">
              <w:rPr>
                <w:rStyle w:val="Hyperlink"/>
                <w:noProof/>
              </w:rPr>
              <w:t>Applying Lean principles</w:t>
            </w:r>
            <w:r>
              <w:rPr>
                <w:noProof/>
                <w:webHidden/>
              </w:rPr>
              <w:tab/>
            </w:r>
            <w:r>
              <w:rPr>
                <w:noProof/>
                <w:webHidden/>
              </w:rPr>
              <w:fldChar w:fldCharType="begin"/>
            </w:r>
            <w:r>
              <w:rPr>
                <w:noProof/>
                <w:webHidden/>
              </w:rPr>
              <w:instrText xml:space="preserve"> PAGEREF _Toc237034349 \h </w:instrText>
            </w:r>
            <w:r>
              <w:rPr>
                <w:noProof/>
                <w:webHidden/>
              </w:rPr>
            </w:r>
            <w:r>
              <w:rPr>
                <w:noProof/>
                <w:webHidden/>
              </w:rPr>
              <w:fldChar w:fldCharType="separate"/>
            </w:r>
            <w:r>
              <w:rPr>
                <w:noProof/>
                <w:webHidden/>
              </w:rPr>
              <w:t>11</w:t>
            </w:r>
            <w:r>
              <w:rPr>
                <w:noProof/>
                <w:webHidden/>
              </w:rPr>
              <w:fldChar w:fldCharType="end"/>
            </w:r>
          </w:hyperlink>
        </w:p>
        <w:p w14:paraId="65BC8463" w14:textId="35010C48" w:rsidR="00A0503A" w:rsidRDefault="00A0503A">
          <w:pPr>
            <w:pStyle w:val="TOC3"/>
            <w:tabs>
              <w:tab w:val="right" w:leader="dot" w:pos="9016"/>
            </w:tabs>
            <w:rPr>
              <w:rFonts w:asciiTheme="minorHAnsi" w:eastAsiaTheme="minorEastAsia" w:hAnsiTheme="minorHAnsi" w:cstheme="minorBidi"/>
              <w:noProof/>
              <w:sz w:val="24"/>
              <w:szCs w:val="24"/>
              <w:lang w:eastAsia="en-GB"/>
            </w:rPr>
          </w:pPr>
          <w:hyperlink w:anchor="_Toc237034350" w:history="1">
            <w:r w:rsidRPr="00281A09">
              <w:rPr>
                <w:rStyle w:val="Hyperlink"/>
                <w:noProof/>
              </w:rPr>
              <w:t>Monitoring and evaluation</w:t>
            </w:r>
            <w:r>
              <w:rPr>
                <w:noProof/>
                <w:webHidden/>
              </w:rPr>
              <w:tab/>
            </w:r>
            <w:r>
              <w:rPr>
                <w:noProof/>
                <w:webHidden/>
              </w:rPr>
              <w:fldChar w:fldCharType="begin"/>
            </w:r>
            <w:r>
              <w:rPr>
                <w:noProof/>
                <w:webHidden/>
              </w:rPr>
              <w:instrText xml:space="preserve"> PAGEREF _Toc237034350 \h </w:instrText>
            </w:r>
            <w:r>
              <w:rPr>
                <w:noProof/>
                <w:webHidden/>
              </w:rPr>
            </w:r>
            <w:r>
              <w:rPr>
                <w:noProof/>
                <w:webHidden/>
              </w:rPr>
              <w:fldChar w:fldCharType="separate"/>
            </w:r>
            <w:r>
              <w:rPr>
                <w:noProof/>
                <w:webHidden/>
              </w:rPr>
              <w:t>11</w:t>
            </w:r>
            <w:r>
              <w:rPr>
                <w:noProof/>
                <w:webHidden/>
              </w:rPr>
              <w:fldChar w:fldCharType="end"/>
            </w:r>
          </w:hyperlink>
        </w:p>
        <w:p w14:paraId="0C2FC0BB" w14:textId="4BDD947E" w:rsidR="00A0503A" w:rsidRDefault="00A0503A">
          <w:pPr>
            <w:pStyle w:val="TOC1"/>
            <w:tabs>
              <w:tab w:val="right" w:leader="dot" w:pos="9016"/>
            </w:tabs>
            <w:rPr>
              <w:rFonts w:asciiTheme="minorHAnsi" w:eastAsiaTheme="minorEastAsia" w:hAnsiTheme="minorHAnsi" w:cstheme="minorBidi"/>
              <w:noProof/>
              <w:sz w:val="24"/>
              <w:szCs w:val="24"/>
              <w:lang w:eastAsia="en-GB"/>
            </w:rPr>
          </w:pPr>
          <w:hyperlink w:anchor="_Toc237034351" w:history="1">
            <w:r w:rsidRPr="00281A09">
              <w:rPr>
                <w:rStyle w:val="Hyperlink"/>
                <w:noProof/>
              </w:rPr>
              <w:t>Conclusion</w:t>
            </w:r>
            <w:r>
              <w:rPr>
                <w:noProof/>
                <w:webHidden/>
              </w:rPr>
              <w:tab/>
            </w:r>
            <w:r>
              <w:rPr>
                <w:noProof/>
                <w:webHidden/>
              </w:rPr>
              <w:fldChar w:fldCharType="begin"/>
            </w:r>
            <w:r>
              <w:rPr>
                <w:noProof/>
                <w:webHidden/>
              </w:rPr>
              <w:instrText xml:space="preserve"> PAGEREF _Toc237034351 \h </w:instrText>
            </w:r>
            <w:r>
              <w:rPr>
                <w:noProof/>
                <w:webHidden/>
              </w:rPr>
            </w:r>
            <w:r>
              <w:rPr>
                <w:noProof/>
                <w:webHidden/>
              </w:rPr>
              <w:fldChar w:fldCharType="separate"/>
            </w:r>
            <w:r>
              <w:rPr>
                <w:noProof/>
                <w:webHidden/>
              </w:rPr>
              <w:t>12</w:t>
            </w:r>
            <w:r>
              <w:rPr>
                <w:noProof/>
                <w:webHidden/>
              </w:rPr>
              <w:fldChar w:fldCharType="end"/>
            </w:r>
          </w:hyperlink>
        </w:p>
        <w:p w14:paraId="1F017597" w14:textId="3C74352F" w:rsidR="00A0503A" w:rsidRDefault="00A0503A">
          <w:pPr>
            <w:pStyle w:val="TOC1"/>
            <w:tabs>
              <w:tab w:val="right" w:leader="dot" w:pos="9016"/>
            </w:tabs>
            <w:rPr>
              <w:rFonts w:asciiTheme="minorHAnsi" w:eastAsiaTheme="minorEastAsia" w:hAnsiTheme="minorHAnsi" w:cstheme="minorBidi"/>
              <w:noProof/>
              <w:sz w:val="24"/>
              <w:szCs w:val="24"/>
              <w:lang w:eastAsia="en-GB"/>
            </w:rPr>
          </w:pPr>
          <w:hyperlink w:anchor="_Toc237034352" w:history="1">
            <w:r w:rsidRPr="00281A09">
              <w:rPr>
                <w:rStyle w:val="Hyperlink"/>
                <w:noProof/>
              </w:rPr>
              <w:t>References</w:t>
            </w:r>
            <w:r>
              <w:rPr>
                <w:noProof/>
                <w:webHidden/>
              </w:rPr>
              <w:tab/>
            </w:r>
            <w:r>
              <w:rPr>
                <w:noProof/>
                <w:webHidden/>
              </w:rPr>
              <w:fldChar w:fldCharType="begin"/>
            </w:r>
            <w:r>
              <w:rPr>
                <w:noProof/>
                <w:webHidden/>
              </w:rPr>
              <w:instrText xml:space="preserve"> PAGEREF _Toc237034352 \h </w:instrText>
            </w:r>
            <w:r>
              <w:rPr>
                <w:noProof/>
                <w:webHidden/>
              </w:rPr>
            </w:r>
            <w:r>
              <w:rPr>
                <w:noProof/>
                <w:webHidden/>
              </w:rPr>
              <w:fldChar w:fldCharType="separate"/>
            </w:r>
            <w:r>
              <w:rPr>
                <w:noProof/>
                <w:webHidden/>
              </w:rPr>
              <w:t>13</w:t>
            </w:r>
            <w:r>
              <w:rPr>
                <w:noProof/>
                <w:webHidden/>
              </w:rPr>
              <w:fldChar w:fldCharType="end"/>
            </w:r>
          </w:hyperlink>
        </w:p>
        <w:p w14:paraId="6A5EB343" w14:textId="51292BAF" w:rsidR="00A0503A" w:rsidRDefault="00A0503A">
          <w:r>
            <w:rPr>
              <w:b/>
              <w:bCs/>
            </w:rPr>
            <w:fldChar w:fldCharType="end"/>
          </w:r>
        </w:p>
      </w:sdtContent>
    </w:sdt>
    <w:p w14:paraId="1E4FBDDA" w14:textId="5B6F0567" w:rsidR="00841560" w:rsidRPr="001B72F4" w:rsidRDefault="00841560"/>
    <w:p w14:paraId="0BD73C71" w14:textId="77777777" w:rsidR="00841560" w:rsidRPr="001B72F4" w:rsidRDefault="00841560"/>
    <w:p w14:paraId="50581871" w14:textId="77777777" w:rsidR="00841560" w:rsidRPr="001B72F4" w:rsidRDefault="00841560"/>
    <w:p w14:paraId="67C73A2C" w14:textId="77777777" w:rsidR="00841560" w:rsidRPr="001B72F4" w:rsidRDefault="00841560"/>
    <w:p w14:paraId="2B9183B4" w14:textId="77777777" w:rsidR="00841560" w:rsidRPr="001B72F4" w:rsidRDefault="00841560"/>
    <w:p w14:paraId="41B96C66" w14:textId="77777777" w:rsidR="00841560" w:rsidRPr="001B72F4" w:rsidRDefault="00841560"/>
    <w:p w14:paraId="352144BA" w14:textId="77777777" w:rsidR="00841560" w:rsidRPr="001B72F4" w:rsidRDefault="00841560"/>
    <w:p w14:paraId="041B1011" w14:textId="77777777" w:rsidR="00841560" w:rsidRPr="001B72F4" w:rsidRDefault="00841560"/>
    <w:p w14:paraId="5789664C" w14:textId="77777777" w:rsidR="00841560" w:rsidRPr="001B72F4" w:rsidRDefault="00841560"/>
    <w:p w14:paraId="500139C5" w14:textId="77777777" w:rsidR="00841560" w:rsidRPr="001B72F4" w:rsidRDefault="00841560"/>
    <w:p w14:paraId="189C5F9C" w14:textId="77777777" w:rsidR="00841560" w:rsidRDefault="00841560"/>
    <w:p w14:paraId="7644D4AC" w14:textId="77777777" w:rsidR="00A0503A" w:rsidRDefault="00A0503A"/>
    <w:p w14:paraId="0F94B1B1" w14:textId="77777777" w:rsidR="00A0503A" w:rsidRDefault="00A0503A"/>
    <w:p w14:paraId="5CD36BE3" w14:textId="77777777" w:rsidR="00A0503A" w:rsidRDefault="00A0503A"/>
    <w:p w14:paraId="7EF58577" w14:textId="411488B0" w:rsidR="00841560" w:rsidRPr="000300E4" w:rsidRDefault="00841560" w:rsidP="00A0503A">
      <w:pPr>
        <w:pStyle w:val="Title"/>
      </w:pPr>
      <w:r w:rsidRPr="000300E4">
        <w:lastRenderedPageBreak/>
        <w:t>A Service Improvement Report: Analysing quality Management Failures in the lucy Letby case at Countess of Chester Hospital</w:t>
      </w:r>
    </w:p>
    <w:p w14:paraId="3592EFF8" w14:textId="77777777" w:rsidR="00841560" w:rsidRDefault="00841560" w:rsidP="00841560"/>
    <w:p w14:paraId="413D276C" w14:textId="77777777" w:rsidR="00841560" w:rsidRDefault="00841560" w:rsidP="00841560"/>
    <w:p w14:paraId="3D9AD93C" w14:textId="77777777" w:rsidR="00841560" w:rsidRDefault="00841560" w:rsidP="00841560"/>
    <w:p w14:paraId="494BC96D" w14:textId="31DB7F45" w:rsidR="00841560" w:rsidRDefault="000300E4" w:rsidP="000300E4">
      <w:pPr>
        <w:pStyle w:val="Heading1"/>
        <w:numPr>
          <w:ilvl w:val="0"/>
          <w:numId w:val="2"/>
        </w:numPr>
      </w:pPr>
      <w:r>
        <w:t xml:space="preserve"> </w:t>
      </w:r>
      <w:bookmarkStart w:id="0" w:name="_Toc237034338"/>
      <w:r>
        <w:t>I</w:t>
      </w:r>
      <w:r w:rsidR="00226568">
        <w:t>ntroduction</w:t>
      </w:r>
      <w:bookmarkEnd w:id="0"/>
    </w:p>
    <w:p w14:paraId="206A0B1E" w14:textId="77777777" w:rsidR="001B72F4" w:rsidRDefault="001B72F4" w:rsidP="001B72F4">
      <w:r>
        <w:t>Patient safety is one of the key areas of healthcare quality and forms the cornerstone of safe, effective,  person-centred healthcare. High quality care is not solely dependent on the skill of individual healthcare professionals but also relies on the effectiveness of organisational systems, leadership and clinical governance.  Failures of systems can be disastrous,  especially for the most vulnerable patient groups. Clinical governance is the mechanism through which healthcare organisations are held to account for continually improving services and ensuring the delivery of high-quality care (Scally and Donaldson, 1998).  An effective governance framework comprises engaged and inclusive leadership,  regular incident reporting, organisational learning and an environment where staff are encouraged and supported to share concern without fear of recrimination (NHS England, 2022).</w:t>
      </w:r>
    </w:p>
    <w:p w14:paraId="1F393BA4" w14:textId="77777777" w:rsidR="001B72F4" w:rsidRDefault="001B72F4" w:rsidP="001B72F4"/>
    <w:p w14:paraId="71B1CFD4" w14:textId="77777777" w:rsidR="001B72F4" w:rsidRDefault="001B72F4" w:rsidP="001B72F4">
      <w:r>
        <w:t xml:space="preserve">The case of Lucy Letby at the Countess of Chester Hospital represents one of the greatest patient safety failures within the history of the NHS. Within the Countess of Chester hospital maternity ward between June 2015 and June 2016, a pattern of unexplained infant deaths and unexplained collapses had taken place. The censure of Lucy Letby for the killing of 7 babies and the attempted murder of several others showed that there was a degree of individual criminality involved; however,  the investigation revealed that other factors also played a part on top of individual biological failure and criminality which accumulated to create the tragic and significant failures of quality and patient safety.  Referring to evidence heard within the Thirlwall Inquiry, the report showed how ‘repeated concerns by senior clinicians were not acted upon in a timely fashion’ and how ‘failures in leadership, incident </w:t>
      </w:r>
      <w:r>
        <w:lastRenderedPageBreak/>
        <w:t>reporting, communication and organisational culture ‘menaced’ repeated opportunities for intervention’ (Thirlwall Inquiry, 2024).</w:t>
      </w:r>
    </w:p>
    <w:p w14:paraId="4D7EDC45" w14:textId="77777777" w:rsidR="001B72F4" w:rsidRDefault="001B72F4" w:rsidP="001B72F4"/>
    <w:p w14:paraId="16D51E68" w14:textId="77777777" w:rsidR="001B72F4" w:rsidRDefault="001B72F4" w:rsidP="001B72F4">
      <w:r>
        <w:t>The case has raised a lot of debate about the organisational accountability of the healthcare system.  According to research, catastrophic events in patient safety usually are not the outcome of one single mistake but the combination of many organisational failures over time (Reason, 2000). Healthcare organisations should be able to implement a system which recognizes the hazards in the early stages of the process,  enable the communication among members of different disciplines and ensure that the concerns are investigated and addressed in a timely fashion. National patient safety strategies are focused more and more on promoting the learning from the incidents rather than blaming the individuals as the solution depends on robust organisational systems (NHS England, 2022).</w:t>
      </w:r>
    </w:p>
    <w:p w14:paraId="08FC3F5F" w14:textId="77777777" w:rsidR="001B72F4" w:rsidRDefault="001B72F4" w:rsidP="001B72F4"/>
    <w:p w14:paraId="7D0FFB2F" w14:textId="5017CCD8" w:rsidR="00061A8E" w:rsidRDefault="001B72F4" w:rsidP="001B72F4">
      <w:r>
        <w:t>This report looks at the quality management failures in the Lucy Letby case, by identifying the use of quality improvement tools and techniques. Root cause analysis will be performed to look at factors through the Fish bone Diagram, the Five Whys and the Donabedian Model that contributed to the failures. SWOT analysis will then look at the organisational context, leaving room for improvement to take place.  Evidence based recommendations will be made through the use of the Plan-Do-Study-Act (PDSA) improvement cycle to look at how healthcare organisations can improve their governance procedures, prevent the occurrence of future similar incidents and ultimately improve patient safety.  It is hoped to show the importance of harnessing leadership qualities, organisational learning and applied,  continuous quality improvement theories,  in the delivery of safe,  quality healthcare services.</w:t>
      </w:r>
    </w:p>
    <w:p w14:paraId="2E2D75B8" w14:textId="3B997E00" w:rsidR="007264B1" w:rsidRDefault="00DD11B7" w:rsidP="0024616C">
      <w:pPr>
        <w:pStyle w:val="Heading1"/>
        <w:numPr>
          <w:ilvl w:val="0"/>
          <w:numId w:val="2"/>
        </w:numPr>
      </w:pPr>
      <w:bookmarkStart w:id="1" w:name="_Toc237034339"/>
      <w:r w:rsidRPr="00DD11B7">
        <w:t>Main Body</w:t>
      </w:r>
      <w:bookmarkEnd w:id="1"/>
    </w:p>
    <w:p w14:paraId="576D0B22" w14:textId="4F548D06" w:rsidR="0071731D" w:rsidRDefault="0024616C" w:rsidP="0024616C">
      <w:pPr>
        <w:pStyle w:val="Heading2"/>
        <w:numPr>
          <w:ilvl w:val="1"/>
          <w:numId w:val="2"/>
        </w:numPr>
      </w:pPr>
      <w:bookmarkStart w:id="2" w:name="_Toc237034340"/>
      <w:r w:rsidRPr="0024616C">
        <w:t>Root Cause Analysis: Fishbone Diagram and the Five Whys</w:t>
      </w:r>
      <w:bookmarkEnd w:id="2"/>
    </w:p>
    <w:p w14:paraId="62CB486C" w14:textId="24D1D136" w:rsidR="00673F6A" w:rsidRPr="00673F6A" w:rsidRDefault="00673F6A" w:rsidP="00673F6A">
      <w:r w:rsidRPr="00673F6A">
        <w:t xml:space="preserve">Determining the reasons for patient safety incidents is how to understand and make quality improvement.  Healthcare organisations are required to go beyond the immediate causes of failure to the organizational and systemic influences that lead </w:t>
      </w:r>
      <w:r w:rsidR="0096345D" w:rsidRPr="00673F6A">
        <w:t>to and</w:t>
      </w:r>
      <w:r w:rsidRPr="00673F6A">
        <w:t xml:space="preserve"> allow failure to happen.  Fishbone Diagram and 5 why-like questions are two of quality improvement tools used to identify the proximate and ultimate causes of failures (Ishikawa, 1985; Ohno, 1988).</w:t>
      </w:r>
    </w:p>
    <w:p w14:paraId="2BA650EB" w14:textId="77777777" w:rsidR="00673F6A" w:rsidRPr="00673F6A" w:rsidRDefault="00673F6A" w:rsidP="00673F6A"/>
    <w:p w14:paraId="267B209D" w14:textId="77777777" w:rsidR="00673F6A" w:rsidRPr="00673F6A" w:rsidRDefault="00673F6A" w:rsidP="00673F6A">
      <w:r w:rsidRPr="00673F6A">
        <w:t xml:space="preserve">The Fishbone Diagram categorizes causes of problems into categories including people,  environment,  processes and policies. In the case of Lucy Letby,  a number of organisational </w:t>
      </w:r>
      <w:r w:rsidRPr="00673F6A">
        <w:lastRenderedPageBreak/>
        <w:t>failures were apparent, many at the ‘people’ level,  where the response to the issue was excessive. Examples of this include how senior consultants repeatedly raised concern after detecting an unusual pattern of death among babies,  however their concerns were seemingly dismissed (Thirlwall Inquiry, 2024). This would appear to be evidence of poor communication between intermediate and senior management.</w:t>
      </w:r>
    </w:p>
    <w:p w14:paraId="5C9EE752" w14:textId="77777777" w:rsidR="00673F6A" w:rsidRPr="00673F6A" w:rsidRDefault="00673F6A" w:rsidP="00673F6A"/>
    <w:p w14:paraId="571D2F25" w14:textId="0E7F15C6" w:rsidR="00673F6A" w:rsidRPr="00673F6A" w:rsidRDefault="00673F6A" w:rsidP="00673F6A">
      <w:r w:rsidRPr="00673F6A">
        <w:t xml:space="preserve">The process category found there was poor incident reporting and investigations.  Although a number of incidents occurred which were not foreseen, their root cause was not identified promptly or reviewed externally and corrective action taken delayed. Clinical governance involves effective incident reporting which allows organizations to monitor incidents in order to learn from </w:t>
      </w:r>
      <w:r w:rsidR="0096345D" w:rsidRPr="00673F6A">
        <w:t>them and</w:t>
      </w:r>
      <w:r w:rsidRPr="00673F6A">
        <w:t xml:space="preserve"> improve safety.</w:t>
      </w:r>
    </w:p>
    <w:p w14:paraId="15A69009" w14:textId="77777777" w:rsidR="00673F6A" w:rsidRPr="00673F6A" w:rsidRDefault="00673F6A" w:rsidP="00673F6A"/>
    <w:p w14:paraId="31F06AD5" w14:textId="77777777" w:rsidR="00673F6A" w:rsidRPr="00673F6A" w:rsidRDefault="00673F6A" w:rsidP="00673F6A">
      <w:r w:rsidRPr="00673F6A">
        <w:t>Poor management was also a factor in quality concern.  Key personal in the organisation seem not to have taken action at the appropriate times and the problem had lingered far too long untreated. For instance, the senior managers and the trust management team did not address the issue of preventing Letby from practice.</w:t>
      </w:r>
    </w:p>
    <w:p w14:paraId="6F3F44BE" w14:textId="77777777" w:rsidR="00673F6A" w:rsidRPr="00673F6A" w:rsidRDefault="00673F6A" w:rsidP="00673F6A"/>
    <w:p w14:paraId="693D2548" w14:textId="77777777" w:rsidR="00673F6A" w:rsidRPr="00673F6A" w:rsidRDefault="00673F6A" w:rsidP="00673F6A">
      <w:r w:rsidRPr="00673F6A">
        <w:t>The Five Whys tool reinforces this problem solving approach because it forces organisations to investigate the causes of the problem.  When using the Five Whys it became clear that the deaths were due to a lack of escalation of issues, but this was due a failure in escalation by senior staff and the wider culture of the organisation.</w:t>
      </w:r>
    </w:p>
    <w:p w14:paraId="69CC2986" w14:textId="77777777" w:rsidR="00673F6A" w:rsidRPr="00673F6A" w:rsidRDefault="00673F6A" w:rsidP="00673F6A"/>
    <w:p w14:paraId="65A9EFC3" w14:textId="5861E8DF" w:rsidR="0029233C" w:rsidRDefault="00673F6A" w:rsidP="00673F6A">
      <w:r w:rsidRPr="00673F6A">
        <w:t>Together both the causal and failed systems frameworks illustrate how events leading up to this case can be viewed as a failure of several organisations, supporting Reason‘s (2000) systems approach to patient safety,  where he implies most safety incidences are caused by a series of numerous fundamental weaknesses in organisations. Therefore what is needed is not organisational growth,  but strengthening of systems in communication, leadership and clinical governance.</w:t>
      </w:r>
    </w:p>
    <w:p w14:paraId="26D8EE56" w14:textId="2F808178" w:rsidR="0029233C" w:rsidRDefault="00ED26E6" w:rsidP="00ED26E6">
      <w:pPr>
        <w:pStyle w:val="Heading2"/>
        <w:numPr>
          <w:ilvl w:val="1"/>
          <w:numId w:val="2"/>
        </w:numPr>
      </w:pPr>
      <w:bookmarkStart w:id="3" w:name="_Toc237034341"/>
      <w:r w:rsidRPr="00ED26E6">
        <w:t>Application of the Donabedian Model</w:t>
      </w:r>
      <w:bookmarkEnd w:id="3"/>
    </w:p>
    <w:p w14:paraId="05E1A95F" w14:textId="77777777" w:rsidR="000825FF" w:rsidRPr="000825FF" w:rsidRDefault="000825FF" w:rsidP="000825FF">
      <w:r w:rsidRPr="000825FF">
        <w:t>The Donabedian Model (Donabedian, 1988) is a well-known model used to evaluate healthcare quality by three factors: structure, process and outcomes. By providing structure factors, this model allows to demonstrate how the organisational systems interact with patient‘s safety and therefore healthcare quality.</w:t>
      </w:r>
    </w:p>
    <w:p w14:paraId="3D2B5477" w14:textId="77777777" w:rsidR="000825FF" w:rsidRPr="000825FF" w:rsidRDefault="000825FF" w:rsidP="000825FF"/>
    <w:p w14:paraId="4254207D" w14:textId="77777777" w:rsidR="000825FF" w:rsidRPr="000825FF" w:rsidRDefault="000825FF" w:rsidP="000825FF">
      <w:r w:rsidRPr="000825FF">
        <w:lastRenderedPageBreak/>
        <w:t>Structure, including the organisational context for the provision of care, staffing, leadership, governance and resources. In the Lucy Letby case,  the weaknesses of structure resulted in weak leadership team,  which cause a flimsier system of decision and governance arrangement, even though the consultant pointed out many times, the organisation were failed to respond in timely manner, representing the flaws in hospital management system. (Thirlwall Inquiry, 2024).</w:t>
      </w:r>
    </w:p>
    <w:p w14:paraId="306F2B49" w14:textId="77777777" w:rsidR="000825FF" w:rsidRPr="000825FF" w:rsidRDefault="000825FF" w:rsidP="000825FF"/>
    <w:p w14:paraId="33DC5B20" w14:textId="77777777" w:rsidR="000825FF" w:rsidRPr="000825FF" w:rsidRDefault="000825FF" w:rsidP="000825FF">
      <w:r w:rsidRPr="000825FF">
        <w:t xml:space="preserve">Process relates to how care is delivered. Effective communication, incident reporting and clinical decision making are intrinsic in the safe delivery of care.  Consultant and higher management communication was poor, and a prompt investigation could have been undertaken.  As stated by NHS England (2022), incidents involving patient safety should be promptly investigated. </w:t>
      </w:r>
    </w:p>
    <w:p w14:paraId="27A098AB" w14:textId="77777777" w:rsidR="000825FF" w:rsidRPr="000825FF" w:rsidRDefault="000825FF" w:rsidP="000825FF"/>
    <w:p w14:paraId="570D9AE2" w14:textId="348B4417" w:rsidR="000825FF" w:rsidRPr="000825FF" w:rsidRDefault="000825FF" w:rsidP="000825FF">
      <w:r w:rsidRPr="000825FF">
        <w:t xml:space="preserve">Outcomes measure health care impact on culture and performance of patients and </w:t>
      </w:r>
      <w:r w:rsidR="00AF7E21" w:rsidRPr="000825FF">
        <w:t>organisations</w:t>
      </w:r>
      <w:r w:rsidRPr="000825FF">
        <w:t xml:space="preserve">. Outcomes from Scilly were awful. For example loss of the baby, emotional trauma, effect on the public and families, </w:t>
      </w:r>
      <w:r w:rsidR="00AF7E21" w:rsidRPr="000825FF">
        <w:t>reputation</w:t>
      </w:r>
      <w:r w:rsidRPr="000825FF">
        <w:t xml:space="preserve"> loss.</w:t>
      </w:r>
      <w:r w:rsidR="00265BBF">
        <w:t xml:space="preserve"> </w:t>
      </w:r>
      <w:r w:rsidRPr="000825FF">
        <w:t>Trust- criminal investigation and public investigation.</w:t>
      </w:r>
    </w:p>
    <w:p w14:paraId="3FFBA3DF" w14:textId="77777777" w:rsidR="000825FF" w:rsidRPr="000825FF" w:rsidRDefault="000825FF" w:rsidP="000825FF"/>
    <w:p w14:paraId="33CA7EB3" w14:textId="5BFDC99F" w:rsidR="000825FF" w:rsidRPr="000825FF" w:rsidRDefault="000825FF" w:rsidP="000825FF">
      <w:r w:rsidRPr="000825FF">
        <w:t xml:space="preserve">The Donabedian Model provides a straightforward concept of healthcare quality and directs attention to particular quality </w:t>
      </w:r>
      <w:r w:rsidR="00AF7E21" w:rsidRPr="000825FF">
        <w:t>issues but</w:t>
      </w:r>
      <w:r w:rsidRPr="000825FF">
        <w:t xml:space="preserve"> is limited in that it fails to take into account the relevance of staff behaviour and organisational culture to patient safety. Several other tools for quality improvement should be used with the model to address organisational matters.</w:t>
      </w:r>
    </w:p>
    <w:p w14:paraId="7A6B66F3" w14:textId="77777777" w:rsidR="000825FF" w:rsidRPr="000825FF" w:rsidRDefault="000825FF" w:rsidP="000825FF"/>
    <w:p w14:paraId="4DC8E7A7" w14:textId="055974E3" w:rsidR="000825FF" w:rsidRPr="000825FF" w:rsidRDefault="000825FF" w:rsidP="000825FF">
      <w:r w:rsidRPr="000825FF">
        <w:t>Overall, the model may make apparent that patient safety can be achieved only if patient safety is safe by concluding that clinical process is implemented well and is performed by a proper organisational structure.</w:t>
      </w:r>
    </w:p>
    <w:p w14:paraId="14DAF353" w14:textId="10ED944E" w:rsidR="008E291C" w:rsidRDefault="008E291C" w:rsidP="008E291C">
      <w:pPr>
        <w:pStyle w:val="Heading2"/>
        <w:numPr>
          <w:ilvl w:val="1"/>
          <w:numId w:val="2"/>
        </w:numPr>
      </w:pPr>
      <w:bookmarkStart w:id="4" w:name="_Toc237034342"/>
      <w:r w:rsidRPr="008E291C">
        <w:t>Strategic Analysis Using SWOT</w:t>
      </w:r>
      <w:bookmarkEnd w:id="4"/>
    </w:p>
    <w:p w14:paraId="75378E74" w14:textId="3E235034" w:rsidR="001F3CBA" w:rsidRPr="001F3CBA" w:rsidRDefault="001F3CBA" w:rsidP="001F3CBA">
      <w:r w:rsidRPr="001F3CBA">
        <w:t xml:space="preserve">A SWOT analysis is a strategic tool used for the identification of an </w:t>
      </w:r>
      <w:r w:rsidR="00C762D2" w:rsidRPr="001F3CBA">
        <w:t>organisation’s</w:t>
      </w:r>
      <w:r w:rsidRPr="001F3CBA">
        <w:t xml:space="preserve"> strengths, weaknesses, opportunities and threats (Gurel and Tat, 2017).  This approach can be used to assess the internal and external forces affecting service development.</w:t>
      </w:r>
    </w:p>
    <w:p w14:paraId="6F60FC3D" w14:textId="77777777" w:rsidR="001F3CBA" w:rsidRPr="001F3CBA" w:rsidRDefault="001F3CBA" w:rsidP="001F3CBA"/>
    <w:p w14:paraId="76B992FD" w14:textId="77777777" w:rsidR="001F3CBA" w:rsidRPr="001F3CBA" w:rsidRDefault="001F3CBA" w:rsidP="001F3CBA">
      <w:r w:rsidRPr="001F3CBA">
        <w:t xml:space="preserve"> A strength in the Lucy Letby case was the professionalism of senior consultants who recognised unusual clinical patterns and persistent concerns. The NHS also had policies on patient safety in place to support safe practice.</w:t>
      </w:r>
    </w:p>
    <w:p w14:paraId="4848E43A" w14:textId="77777777" w:rsidR="001F3CBA" w:rsidRPr="001F3CBA" w:rsidRDefault="001F3CBA" w:rsidP="001F3CBA"/>
    <w:p w14:paraId="2F6869B3" w14:textId="0BE47177" w:rsidR="001F3CBA" w:rsidRPr="001F3CBA" w:rsidRDefault="001F3CBA" w:rsidP="001F3CBA">
      <w:r w:rsidRPr="001F3CBA">
        <w:lastRenderedPageBreak/>
        <w:t xml:space="preserve"> Nonetheless these strengths had their major weaknesses which resulted in them being ineffective.  </w:t>
      </w:r>
      <w:r w:rsidR="00C762D2" w:rsidRPr="001F3CBA">
        <w:t>Weaknesses</w:t>
      </w:r>
      <w:r w:rsidRPr="001F3CBA">
        <w:t xml:space="preserve"> within the hospital‘s leadership, communication system and decision making and incident reporting delayed concerns from being recognised and rectified (Thirlwall Inquiry, 2024). These organisational weaknesses hindered the hospital‘s ability to protect patients.</w:t>
      </w:r>
    </w:p>
    <w:p w14:paraId="53ABCFB1" w14:textId="77777777" w:rsidR="001F3CBA" w:rsidRPr="001F3CBA" w:rsidRDefault="001F3CBA" w:rsidP="001F3CBA"/>
    <w:p w14:paraId="014BA713" w14:textId="77777777" w:rsidR="001F3CBA" w:rsidRPr="001F3CBA" w:rsidRDefault="001F3CBA" w:rsidP="001F3CBA">
      <w:r w:rsidRPr="001F3CBA">
        <w:t xml:space="preserve">The case provided opportunity for improvement. NHS organisations can enhance their whistleblowing pathways,  refine leadership training and adopt the PSIRF to focus learning from incidents, instead of blame (NHS England, 2022). </w:t>
      </w:r>
    </w:p>
    <w:p w14:paraId="4E553B59" w14:textId="77777777" w:rsidR="001F3CBA" w:rsidRPr="001F3CBA" w:rsidRDefault="001F3CBA" w:rsidP="001F3CBA"/>
    <w:p w14:paraId="36D2AF0F" w14:textId="77777777" w:rsidR="001F3CBA" w:rsidRPr="001F3CBA" w:rsidRDefault="001F3CBA" w:rsidP="001F3CBA">
      <w:r w:rsidRPr="001F3CBA">
        <w:t>There are also many other looming threats such as personnel shortages,  new demand for care,  and financial stress affecting NHS organisations (The King‘s Fund, 2024).  Such challenges may also have a negative effect on the ability of the organizations to carry out successful quality improvement strategies.</w:t>
      </w:r>
    </w:p>
    <w:p w14:paraId="4B929CB4" w14:textId="77777777" w:rsidR="001F3CBA" w:rsidRPr="001F3CBA" w:rsidRDefault="001F3CBA" w:rsidP="001F3CBA"/>
    <w:p w14:paraId="79A0AEB6" w14:textId="52927F74" w:rsidR="007012FB" w:rsidRDefault="001F3CBA" w:rsidP="001F3CBA">
      <w:r w:rsidRPr="001F3CBA">
        <w:t xml:space="preserve"> In general, SWOT analysis reveals that better performance will be achieved with positive actions aimed at overcoming organizational weaknesses. It is necessary to capitalize on opportunities for better governance, communication and patient safety.</w:t>
      </w:r>
    </w:p>
    <w:p w14:paraId="4B0DC8DB" w14:textId="77777777" w:rsidR="00C762D2" w:rsidRDefault="00C762D2" w:rsidP="001F3CBA"/>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1D1D1" w:themeFill="background2" w:themeFillShade="E6"/>
        <w:tblCellMar>
          <w:top w:w="15" w:type="dxa"/>
          <w:left w:w="15" w:type="dxa"/>
          <w:bottom w:w="15" w:type="dxa"/>
          <w:right w:w="15" w:type="dxa"/>
        </w:tblCellMar>
        <w:tblLook w:val="04A0" w:firstRow="1" w:lastRow="0" w:firstColumn="1" w:lastColumn="0" w:noHBand="0" w:noVBand="1"/>
      </w:tblPr>
      <w:tblGrid>
        <w:gridCol w:w="4732"/>
        <w:gridCol w:w="4284"/>
      </w:tblGrid>
      <w:tr w:rsidR="00EC69F3" w:rsidRPr="00EC69F3" w14:paraId="00D75B6D" w14:textId="77777777" w:rsidTr="004E5734">
        <w:trPr>
          <w:tblHeader/>
          <w:tblCellSpacing w:w="15" w:type="dxa"/>
        </w:trPr>
        <w:tc>
          <w:tcPr>
            <w:tcW w:w="0" w:type="auto"/>
            <w:shd w:val="clear" w:color="auto" w:fill="D1D1D1" w:themeFill="background2" w:themeFillShade="E6"/>
            <w:vAlign w:val="center"/>
            <w:hideMark/>
          </w:tcPr>
          <w:p w14:paraId="0DE69C8B" w14:textId="77777777" w:rsidR="00EC69F3" w:rsidRPr="00EC69F3" w:rsidRDefault="00EC69F3" w:rsidP="00EC69F3">
            <w:pPr>
              <w:rPr>
                <w:b/>
                <w:bCs/>
              </w:rPr>
            </w:pPr>
            <w:r w:rsidRPr="00EC69F3">
              <w:rPr>
                <w:b/>
                <w:bCs/>
              </w:rPr>
              <w:t>Strengths</w:t>
            </w:r>
          </w:p>
        </w:tc>
        <w:tc>
          <w:tcPr>
            <w:tcW w:w="0" w:type="auto"/>
            <w:shd w:val="clear" w:color="auto" w:fill="D1D1D1" w:themeFill="background2" w:themeFillShade="E6"/>
            <w:vAlign w:val="center"/>
            <w:hideMark/>
          </w:tcPr>
          <w:p w14:paraId="63103BEA" w14:textId="77777777" w:rsidR="00EC69F3" w:rsidRPr="00EC69F3" w:rsidRDefault="00EC69F3" w:rsidP="00EC69F3">
            <w:pPr>
              <w:rPr>
                <w:b/>
                <w:bCs/>
              </w:rPr>
            </w:pPr>
            <w:r w:rsidRPr="00EC69F3">
              <w:rPr>
                <w:b/>
                <w:bCs/>
              </w:rPr>
              <w:t>Weaknesses</w:t>
            </w:r>
          </w:p>
        </w:tc>
      </w:tr>
      <w:tr w:rsidR="00EC69F3" w:rsidRPr="00EC69F3" w14:paraId="17B12490" w14:textId="77777777" w:rsidTr="004E5734">
        <w:trPr>
          <w:tblCellSpacing w:w="15" w:type="dxa"/>
        </w:trPr>
        <w:tc>
          <w:tcPr>
            <w:tcW w:w="0" w:type="auto"/>
            <w:shd w:val="clear" w:color="auto" w:fill="D1D1D1" w:themeFill="background2" w:themeFillShade="E6"/>
            <w:vAlign w:val="center"/>
            <w:hideMark/>
          </w:tcPr>
          <w:p w14:paraId="60DB08C9" w14:textId="77777777" w:rsidR="00EC69F3" w:rsidRPr="00EC69F3" w:rsidRDefault="00EC69F3" w:rsidP="00EC69F3">
            <w:r w:rsidRPr="00EC69F3">
              <w:t>Experienced neonatal consultants identified unusual patterns.</w:t>
            </w:r>
          </w:p>
        </w:tc>
        <w:tc>
          <w:tcPr>
            <w:tcW w:w="0" w:type="auto"/>
            <w:shd w:val="clear" w:color="auto" w:fill="D1D1D1" w:themeFill="background2" w:themeFillShade="E6"/>
            <w:vAlign w:val="center"/>
            <w:hideMark/>
          </w:tcPr>
          <w:p w14:paraId="4DECFCF5" w14:textId="77777777" w:rsidR="00EC69F3" w:rsidRPr="00EC69F3" w:rsidRDefault="00EC69F3" w:rsidP="00EC69F3">
            <w:r w:rsidRPr="00EC69F3">
              <w:t>Weak leadership and delayed decision-making.</w:t>
            </w:r>
          </w:p>
        </w:tc>
      </w:tr>
      <w:tr w:rsidR="00EC69F3" w:rsidRPr="00EC69F3" w14:paraId="64E7D0B4" w14:textId="77777777" w:rsidTr="004E5734">
        <w:trPr>
          <w:tblCellSpacing w:w="15" w:type="dxa"/>
        </w:trPr>
        <w:tc>
          <w:tcPr>
            <w:tcW w:w="0" w:type="auto"/>
            <w:shd w:val="clear" w:color="auto" w:fill="D1D1D1" w:themeFill="background2" w:themeFillShade="E6"/>
            <w:vAlign w:val="center"/>
            <w:hideMark/>
          </w:tcPr>
          <w:p w14:paraId="01D46ED3" w14:textId="77777777" w:rsidR="00EC69F3" w:rsidRPr="00EC69F3" w:rsidRDefault="00EC69F3" w:rsidP="00EC69F3">
            <w:r w:rsidRPr="00EC69F3">
              <w:t>National NHS patient safety policies.</w:t>
            </w:r>
          </w:p>
        </w:tc>
        <w:tc>
          <w:tcPr>
            <w:tcW w:w="0" w:type="auto"/>
            <w:shd w:val="clear" w:color="auto" w:fill="D1D1D1" w:themeFill="background2" w:themeFillShade="E6"/>
            <w:vAlign w:val="center"/>
            <w:hideMark/>
          </w:tcPr>
          <w:p w14:paraId="4DAC4535" w14:textId="77777777" w:rsidR="00EC69F3" w:rsidRPr="00EC69F3" w:rsidRDefault="00EC69F3" w:rsidP="00EC69F3">
            <w:r w:rsidRPr="00EC69F3">
              <w:t>Poor communication between clinicians and managers.</w:t>
            </w:r>
          </w:p>
        </w:tc>
      </w:tr>
      <w:tr w:rsidR="00EC69F3" w:rsidRPr="00EC69F3" w14:paraId="4390A5AF" w14:textId="77777777" w:rsidTr="004E5734">
        <w:trPr>
          <w:tblCellSpacing w:w="15" w:type="dxa"/>
        </w:trPr>
        <w:tc>
          <w:tcPr>
            <w:tcW w:w="0" w:type="auto"/>
            <w:shd w:val="clear" w:color="auto" w:fill="D1D1D1" w:themeFill="background2" w:themeFillShade="E6"/>
            <w:vAlign w:val="center"/>
            <w:hideMark/>
          </w:tcPr>
          <w:p w14:paraId="2C3E810D" w14:textId="77777777" w:rsidR="00EC69F3" w:rsidRPr="00EC69F3" w:rsidRDefault="00EC69F3" w:rsidP="00EC69F3">
            <w:r w:rsidRPr="00EC69F3">
              <w:t>Skilled multidisciplinary clinical team.</w:t>
            </w:r>
          </w:p>
        </w:tc>
        <w:tc>
          <w:tcPr>
            <w:tcW w:w="0" w:type="auto"/>
            <w:shd w:val="clear" w:color="auto" w:fill="D1D1D1" w:themeFill="background2" w:themeFillShade="E6"/>
            <w:vAlign w:val="center"/>
            <w:hideMark/>
          </w:tcPr>
          <w:p w14:paraId="74E9ACA1" w14:textId="77777777" w:rsidR="00EC69F3" w:rsidRPr="00EC69F3" w:rsidRDefault="00EC69F3" w:rsidP="00EC69F3">
            <w:r w:rsidRPr="00EC69F3">
              <w:t>Weak incident reporting and escalation systems.</w:t>
            </w:r>
          </w:p>
        </w:tc>
      </w:tr>
      <w:tr w:rsidR="00EC69F3" w:rsidRPr="00EC69F3" w14:paraId="0E599548" w14:textId="77777777" w:rsidTr="004E5734">
        <w:trPr>
          <w:tblCellSpacing w:w="15" w:type="dxa"/>
        </w:trPr>
        <w:tc>
          <w:tcPr>
            <w:tcW w:w="0" w:type="auto"/>
            <w:shd w:val="clear" w:color="auto" w:fill="D1D1D1" w:themeFill="background2" w:themeFillShade="E6"/>
            <w:vAlign w:val="center"/>
            <w:hideMark/>
          </w:tcPr>
          <w:p w14:paraId="1F30F488" w14:textId="77777777" w:rsidR="00EC69F3" w:rsidRPr="00EC69F3" w:rsidRDefault="00EC69F3" w:rsidP="00EC69F3">
            <w:r w:rsidRPr="00EC69F3">
              <w:t>Professional commitment to patient safety.</w:t>
            </w:r>
          </w:p>
        </w:tc>
        <w:tc>
          <w:tcPr>
            <w:tcW w:w="0" w:type="auto"/>
            <w:shd w:val="clear" w:color="auto" w:fill="D1D1D1" w:themeFill="background2" w:themeFillShade="E6"/>
            <w:vAlign w:val="center"/>
            <w:hideMark/>
          </w:tcPr>
          <w:p w14:paraId="3421C399" w14:textId="77777777" w:rsidR="00EC69F3" w:rsidRPr="00EC69F3" w:rsidRDefault="00EC69F3" w:rsidP="00EC69F3">
            <w:r w:rsidRPr="00EC69F3">
              <w:t>Organisational culture discouraged timely action.</w:t>
            </w:r>
          </w:p>
        </w:tc>
      </w:tr>
    </w:tbl>
    <w:p w14:paraId="2BD2F753" w14:textId="77777777" w:rsidR="00EC69F3" w:rsidRDefault="00EC69F3" w:rsidP="008E291C"/>
    <w:p w14:paraId="7565630F" w14:textId="77777777" w:rsidR="007012FB" w:rsidRDefault="007012FB" w:rsidP="008E291C"/>
    <w:p w14:paraId="14F54ADA" w14:textId="1E03D3FB" w:rsidR="007012FB" w:rsidRDefault="007024E9" w:rsidP="007024E9">
      <w:pPr>
        <w:pStyle w:val="Heading2"/>
        <w:numPr>
          <w:ilvl w:val="1"/>
          <w:numId w:val="2"/>
        </w:numPr>
      </w:pPr>
      <w:bookmarkStart w:id="5" w:name="_Toc237034343"/>
      <w:r w:rsidRPr="007024E9">
        <w:t>Critical Discussion of Quality Management Frameworks</w:t>
      </w:r>
      <w:bookmarkEnd w:id="5"/>
    </w:p>
    <w:p w14:paraId="7B5C7EAA" w14:textId="77777777" w:rsidR="003818D6" w:rsidRDefault="003818D6" w:rsidP="003818D6">
      <w:r>
        <w:t xml:space="preserve">The case of Lucy Letby highlights how failures on patient safety are not one single cause,  but they accumulate due to a number of organizational, managerial and human factors. For this reason,  it is advantageous to use different quality management tools as they give </w:t>
      </w:r>
      <w:r>
        <w:lastRenderedPageBreak/>
        <w:t>different perspectives and focus on different aspects. The Fishbone Diagram, the Five Whys analysis, the Donabedian Model and SWOT analysis are tools that help the healthcare provider go from causes to effects to identify long term service improvements.</w:t>
      </w:r>
    </w:p>
    <w:p w14:paraId="26742F1A" w14:textId="77777777" w:rsidR="003818D6" w:rsidRDefault="003818D6" w:rsidP="003818D6"/>
    <w:p w14:paraId="523FCF49" w14:textId="77777777" w:rsidR="003818D6" w:rsidRDefault="003818D6" w:rsidP="003818D6">
      <w:r>
        <w:t xml:space="preserve"> I found the Fishbone Diagram useful as it to show a wide variety of reasons that lead to this quality failure, and that it was the participation of many other factors such as communication, leadership, organisational culture and staffing and governance issues that lead to this quality failure. This links to the systems approach to patient safety which argues that errors result from the interaction of numerous system failures that progressively build over time,  rather than the fault of one individual (Reason, 2000).  One limitation is that the diagram represents findings,  however it does not illustrate how these varied factors inter-relate and which should be prioritised to focus re-design efforts (Ishikawa, 1985).</w:t>
      </w:r>
    </w:p>
    <w:p w14:paraId="7500115D" w14:textId="77777777" w:rsidR="003818D6" w:rsidRDefault="003818D6" w:rsidP="003818D6"/>
    <w:p w14:paraId="1EA70191" w14:textId="77777777" w:rsidR="003818D6" w:rsidRDefault="003818D6" w:rsidP="003818D6">
      <w:r>
        <w:t>The Five Whys proved useful in complementing the Fishbone Diagram,  by investigating the failure causes further. It uncovered failures in governance, leadership and organisational learning.  Yet, the investigator’s knowledge and judgement influence the results of the Five Whys, which can therefore diverge significantly between teams, as different conclusions can be reached (Ohno, 1988).  It works best when used with other quality methods.</w:t>
      </w:r>
    </w:p>
    <w:p w14:paraId="07F3D6FE" w14:textId="77777777" w:rsidR="003818D6" w:rsidRDefault="003818D6" w:rsidP="003818D6"/>
    <w:p w14:paraId="308B9468" w14:textId="77777777" w:rsidR="003818D6" w:rsidRDefault="003818D6" w:rsidP="003818D6">
      <w:r>
        <w:t>The Donabedian Model was designed to offer a more holistic evaluation of quality by examining the structure, process and outcomes to quality in healthcare (Donabedian,1988).  This introduced another dimension to previous quality assessments by illustrating how organisational deficiencies,  organizational leadership and governance,  influence the delivery of clinical care and the subsequent patient results.  The strength of this was its structural approach to the association with patient safety,  however many believe that health care providers are intricate and that the safety of the patient is subject to numerous factors which did not fit into the 3 elements within its Organisational structure (</w:t>
      </w:r>
      <w:proofErr w:type="spellStart"/>
      <w:r>
        <w:t>Ayanian</w:t>
      </w:r>
      <w:proofErr w:type="spellEnd"/>
      <w:r>
        <w:t xml:space="preserve"> and Markel, 2016).</w:t>
      </w:r>
    </w:p>
    <w:p w14:paraId="75C93437" w14:textId="77777777" w:rsidR="003818D6" w:rsidRDefault="003818D6" w:rsidP="003818D6"/>
    <w:p w14:paraId="42E52B66" w14:textId="77777777" w:rsidR="003818D6" w:rsidRDefault="003818D6" w:rsidP="003818D6">
      <w:r>
        <w:t>The SWOT added a new element of strategic thinking to the analysis, investigating the internal and external forces likely to enhance or curtail organisational change.  Unlike the models which were primarily focused on analysing failure,  this encouraged reflection on future opportunities e.g.  Strengthening the whistleblowing culture,  re-educating clinical leaders through training and actual use of the Patient Safety Incident Response Framework (PSIRF).  It also identified external threats e.g.  Workforce trends,  increasing demand for NHS services,  potentially derailing collective efforts to deliver quality improvement actions plans (The Kings Fund, 2024).  It does not specify how the change should be achieved.</w:t>
      </w:r>
    </w:p>
    <w:p w14:paraId="6CBEC6FD" w14:textId="77777777" w:rsidR="003818D6" w:rsidRDefault="003818D6" w:rsidP="003818D6"/>
    <w:p w14:paraId="5F6AC491" w14:textId="620DA7AE" w:rsidR="007024E9" w:rsidRDefault="003818D6" w:rsidP="003818D6">
      <w:r>
        <w:t xml:space="preserve">In conclusion, it appears that no single framework </w:t>
      </w:r>
      <w:r w:rsidR="001E1107">
        <w:t>provides</w:t>
      </w:r>
      <w:r>
        <w:t xml:space="preserve"> a comprehensive explanation of the Care of Lucy Letby.  They each have particular strengths and address different angles of quality in healthcare. The Fishbone Diagram and Five Whys enable root cause analysis of failures, the Donabedian model explains how organisation affect the delivery of patient care and the SWOT framework supports future planning. Using all five frameworks collaboratively provides a more complete analysis with the potential for more valid recommendations.</w:t>
      </w:r>
    </w:p>
    <w:p w14:paraId="69422A73" w14:textId="77777777" w:rsidR="00431304" w:rsidRDefault="00431304" w:rsidP="003818D6"/>
    <w:p w14:paraId="01D7A2BF" w14:textId="152FF407" w:rsidR="00C471FE" w:rsidRDefault="00802FDF" w:rsidP="00802FDF">
      <w:pPr>
        <w:pStyle w:val="Heading1"/>
        <w:numPr>
          <w:ilvl w:val="0"/>
          <w:numId w:val="2"/>
        </w:numPr>
      </w:pPr>
      <w:r>
        <w:t xml:space="preserve"> </w:t>
      </w:r>
      <w:bookmarkStart w:id="6" w:name="_Toc237034344"/>
      <w:r>
        <w:t>Re</w:t>
      </w:r>
      <w:r w:rsidR="00DD661C">
        <w:t>co</w:t>
      </w:r>
      <w:r w:rsidR="00226568">
        <w:t>mmendations</w:t>
      </w:r>
      <w:bookmarkEnd w:id="6"/>
    </w:p>
    <w:p w14:paraId="2C37F43F" w14:textId="4898479E" w:rsidR="002A6EDA" w:rsidRDefault="002A6EDA" w:rsidP="002A6EDA">
      <w:r>
        <w:t>The case of Lucy Letby reflects that the major failure of leadership, communication, incident reporting and clinical governance contributed to the patient safety failure. Healthcare organisation should apply evidence based recommendations to implement changes for learning, governance improvement and developing a culture of openness. The summary recommendations are based on root cause analysis and good practice learning.</w:t>
      </w:r>
    </w:p>
    <w:p w14:paraId="41A3B301" w14:textId="2C14F55D" w:rsidR="002A6EDA" w:rsidRDefault="002A6EDA" w:rsidP="00E17AF8">
      <w:pPr>
        <w:pStyle w:val="Heading3"/>
      </w:pPr>
      <w:r>
        <w:t xml:space="preserve"> </w:t>
      </w:r>
      <w:bookmarkStart w:id="7" w:name="_Toc237034345"/>
      <w:r>
        <w:t>Enhancement of leadership and clinical governance.</w:t>
      </w:r>
      <w:bookmarkEnd w:id="7"/>
      <w:r>
        <w:t xml:space="preserve"> </w:t>
      </w:r>
    </w:p>
    <w:p w14:paraId="4017063B" w14:textId="77777777" w:rsidR="002A6EDA" w:rsidRDefault="002A6EDA" w:rsidP="002A6EDA">
      <w:r>
        <w:t>The first recommendation is to strengthen clinical leadership and governance.  Hospital management should be more responsive to and open with issues about patient safety reported by front line staff and explore circumstances surround unexpected deaths or recurrent clinical incidents appropriately and promptly. A robust governance structure should be in place to clarify the roles, responsibilities and escalation pathways for complex death reviews or recurring clinical issues.  Education for leadership should focus on transparency and improvement in patient safety and risk management.  It was found that effective leadership could embed patient safety within the culture of the organisation and maximise organisational performance (West et al., 2015).</w:t>
      </w:r>
    </w:p>
    <w:p w14:paraId="4E56C93E" w14:textId="77777777" w:rsidR="002A6EDA" w:rsidRDefault="002A6EDA" w:rsidP="002A6EDA"/>
    <w:p w14:paraId="7273381F" w14:textId="77777777" w:rsidR="002A6EDA" w:rsidRDefault="002A6EDA" w:rsidP="004E3EC1">
      <w:pPr>
        <w:pStyle w:val="Heading3"/>
      </w:pPr>
      <w:bookmarkStart w:id="8" w:name="_Toc237034346"/>
      <w:r>
        <w:t>Improving the reporting of incidents and communication.</w:t>
      </w:r>
      <w:bookmarkEnd w:id="8"/>
      <w:r>
        <w:t xml:space="preserve"> </w:t>
      </w:r>
    </w:p>
    <w:p w14:paraId="415C2C6E" w14:textId="77777777" w:rsidR="002A6EDA" w:rsidRDefault="002A6EDA" w:rsidP="002A6EDA">
      <w:r>
        <w:t xml:space="preserve">The second strategy to enhance care quality is improved incident reporting and multidisciplinary communication.  The reporting of concerns should be encouraged by promoting the culture of a ‘just culture’ among doctors, nurses and managers. This cultural approach welcomes reporting and identifies risks which are best addressed as a team learning opportunity rather than assigning a culture of blame on the individual (NHS England, 2022).  Routine multidisciplinary clinical safety meetings involving nurses,  physicians and managers should focus on investigating any irregular clinical occurrences </w:t>
      </w:r>
      <w:r>
        <w:lastRenderedPageBreak/>
        <w:t>and attempting to facilitate early recognition of potential hazardous situations.  Standardized tools of communication in healthcare such as SBAR strongly support effective and complete transmission of information and allow identifier of hazards caused by inadequate communication. (Institute for Healthcare Improvement, 2023)</w:t>
      </w:r>
    </w:p>
    <w:p w14:paraId="08214A3C" w14:textId="77777777" w:rsidR="002A6EDA" w:rsidRDefault="002A6EDA" w:rsidP="004E3EC1">
      <w:pPr>
        <w:pStyle w:val="Heading3"/>
      </w:pPr>
    </w:p>
    <w:p w14:paraId="588D58DF" w14:textId="70D23472" w:rsidR="002A6EDA" w:rsidRDefault="002A6EDA" w:rsidP="004E3EC1">
      <w:pPr>
        <w:pStyle w:val="Heading3"/>
      </w:pPr>
      <w:bookmarkStart w:id="9" w:name="_Toc237034347"/>
      <w:r>
        <w:t>Facilitating a positive patient safety culture.</w:t>
      </w:r>
      <w:bookmarkEnd w:id="9"/>
      <w:r>
        <w:t xml:space="preserve"> </w:t>
      </w:r>
    </w:p>
    <w:p w14:paraId="10D81429" w14:textId="41975820" w:rsidR="00226568" w:rsidRDefault="002A6EDA" w:rsidP="002A6EDA">
      <w:r>
        <w:t>A positive organisational culture is essential to prevent failures of the future. Healthcare organisations should continually reiterate the ability to trust whistleblowing channels and make sure staff are well aware of how to use them safely. Guardians should be accessible to all staff,  and ensure the issues raised are addressed.  Regular patient safety training on topics such as safeguarding and human factors should be continued to promote accountability and teamwork (NHS England, 2022).</w:t>
      </w:r>
    </w:p>
    <w:p w14:paraId="14D86F36" w14:textId="77777777" w:rsidR="006C5EF1" w:rsidRDefault="006C5EF1" w:rsidP="002A6EDA"/>
    <w:p w14:paraId="377DE38B" w14:textId="77777777" w:rsidR="006C5EF1" w:rsidRDefault="006C5EF1" w:rsidP="006C5EF1">
      <w:pPr>
        <w:pStyle w:val="Heading3"/>
      </w:pPr>
      <w:bookmarkStart w:id="10" w:name="_Toc237034348"/>
      <w:r>
        <w:t>Implementation using the PDSA Cycle</w:t>
      </w:r>
      <w:bookmarkEnd w:id="10"/>
    </w:p>
    <w:p w14:paraId="738F1AC4" w14:textId="77777777" w:rsidR="006C5EF1" w:rsidRDefault="006C5EF1" w:rsidP="006C5EF1">
      <w:r>
        <w:t>The PDSA cycle provides an achievable method of trial and adoption of these proposals as it promotes continuous teaching and learning (Langley et al.,2009).</w:t>
      </w:r>
    </w:p>
    <w:p w14:paraId="0C2B08E4" w14:textId="77777777" w:rsidR="006C5EF1" w:rsidRPr="00F47599" w:rsidRDefault="006C5EF1" w:rsidP="006C5EF1">
      <w:pPr>
        <w:pStyle w:val="Heading4"/>
        <w:rPr>
          <w:rStyle w:val="Strong"/>
          <w:b/>
          <w:bCs w:val="0"/>
          <w:i/>
          <w:iCs w:val="0"/>
          <w:color w:val="000000" w:themeColor="text1"/>
        </w:rPr>
      </w:pPr>
      <w:r w:rsidRPr="00F47599">
        <w:rPr>
          <w:rStyle w:val="Strong"/>
          <w:b/>
          <w:bCs w:val="0"/>
          <w:i/>
          <w:iCs w:val="0"/>
          <w:color w:val="000000" w:themeColor="text1"/>
        </w:rPr>
        <w:t>Plan</w:t>
      </w:r>
    </w:p>
    <w:p w14:paraId="6A00D98F" w14:textId="42ACBC96" w:rsidR="006C5EF1" w:rsidRDefault="006C5EF1" w:rsidP="006C5EF1">
      <w:r>
        <w:t xml:space="preserve">A first stage would be to develop an and implement a new patient safety escalation route, in the event of an unexplained neonatal death or unexpected deterioration of the clinical condition. A multidisciplinary team should develop the new pathway,  for example senior nurses, consultants, clinical governance managers and experts in </w:t>
      </w:r>
      <w:r w:rsidR="00534D09">
        <w:t>patient</w:t>
      </w:r>
      <w:r>
        <w:t xml:space="preserve"> safety.</w:t>
      </w:r>
    </w:p>
    <w:p w14:paraId="51BA2404" w14:textId="77777777" w:rsidR="006C5EF1" w:rsidRPr="00F47599" w:rsidRDefault="006C5EF1" w:rsidP="006C5EF1">
      <w:pPr>
        <w:pStyle w:val="Heading4"/>
        <w:rPr>
          <w:rStyle w:val="Strong"/>
          <w:b/>
          <w:bCs w:val="0"/>
          <w:i/>
          <w:iCs w:val="0"/>
          <w:color w:val="000000" w:themeColor="text1"/>
        </w:rPr>
      </w:pPr>
      <w:r w:rsidRPr="00F47599">
        <w:rPr>
          <w:rStyle w:val="Strong"/>
          <w:b/>
          <w:bCs w:val="0"/>
          <w:i/>
          <w:iCs w:val="0"/>
          <w:color w:val="000000" w:themeColor="text1"/>
        </w:rPr>
        <w:t>Do</w:t>
      </w:r>
    </w:p>
    <w:p w14:paraId="6D048F3B" w14:textId="77777777" w:rsidR="006C5EF1" w:rsidRDefault="006C5EF1" w:rsidP="006C5EF1">
      <w:r>
        <w:t>Initial implementation of the new escalation pathway should take place within one clinical area over a period of three months.  Staff within this pilot group should be trained in incident reporting, SBAR and whistleblowing, and leadership courses should be conducted in order to improve decision-making and establish a patient-focused safety culture.</w:t>
      </w:r>
    </w:p>
    <w:p w14:paraId="5761FE2B" w14:textId="77777777" w:rsidR="006C5EF1" w:rsidRPr="00F47599" w:rsidRDefault="006C5EF1" w:rsidP="006C5EF1">
      <w:pPr>
        <w:rPr>
          <w:rStyle w:val="Strong"/>
          <w:b/>
          <w:bCs w:val="0"/>
        </w:rPr>
      </w:pPr>
      <w:r w:rsidRPr="00F47599">
        <w:rPr>
          <w:rStyle w:val="Strong"/>
          <w:b/>
          <w:bCs w:val="0"/>
        </w:rPr>
        <w:t>Study</w:t>
      </w:r>
    </w:p>
    <w:p w14:paraId="44A9C675" w14:textId="6F40853F" w:rsidR="00C1571A" w:rsidRDefault="006C5EF1" w:rsidP="006C5EF1">
      <w:r>
        <w:t>The organisation should evaluate the success of the pilot program using agreed quality indicators. These may include, for example: incident reporting numbers,  investigation times for serious incidents, staff confidence in raising issues and adherence to governance procedures. Staff feedback and patient safety data should be reviewed regularly.</w:t>
      </w:r>
    </w:p>
    <w:p w14:paraId="2961CB84" w14:textId="77777777" w:rsidR="0055303C" w:rsidRDefault="0055303C" w:rsidP="006C5EF1">
      <w:pPr>
        <w:rPr>
          <w:rStyle w:val="Strong"/>
          <w:b/>
          <w:bCs w:val="0"/>
        </w:rPr>
      </w:pPr>
    </w:p>
    <w:p w14:paraId="6FD5E87B" w14:textId="77777777" w:rsidR="0055303C" w:rsidRDefault="0055303C" w:rsidP="006C5EF1">
      <w:pPr>
        <w:rPr>
          <w:rStyle w:val="Strong"/>
          <w:b/>
          <w:bCs w:val="0"/>
        </w:rPr>
      </w:pPr>
    </w:p>
    <w:p w14:paraId="1839FD86" w14:textId="27C947D8" w:rsidR="006C5EF1" w:rsidRPr="00F47599" w:rsidRDefault="006C5EF1" w:rsidP="006C5EF1">
      <w:pPr>
        <w:rPr>
          <w:rStyle w:val="Strong"/>
          <w:b/>
          <w:bCs w:val="0"/>
        </w:rPr>
      </w:pPr>
      <w:r w:rsidRPr="00F47599">
        <w:rPr>
          <w:rStyle w:val="Strong"/>
          <w:b/>
          <w:bCs w:val="0"/>
        </w:rPr>
        <w:lastRenderedPageBreak/>
        <w:t>Act</w:t>
      </w:r>
    </w:p>
    <w:p w14:paraId="04B8A152" w14:textId="03BFBEF2" w:rsidR="006C5EF1" w:rsidRDefault="006C5EF1" w:rsidP="006C5EF1">
      <w:r>
        <w:t>If successful, the pilot can be implemented in the entire organisation. Policies amended, staff retrained and daily audits done during clinical governance meetings. Lessons learnt can then be disseminated to other NHS organisations ensuring the same high standards of patient safety nationwide.</w:t>
      </w:r>
    </w:p>
    <w:p w14:paraId="012E4DA6" w14:textId="77777777" w:rsidR="00A24EF7" w:rsidRDefault="00A24EF7" w:rsidP="006C5EF1"/>
    <w:p w14:paraId="6BBAB7EB" w14:textId="77777777" w:rsidR="00275E53" w:rsidRDefault="00275E53" w:rsidP="00A24EF7">
      <w:pPr>
        <w:pStyle w:val="Heading3"/>
      </w:pPr>
      <w:bookmarkStart w:id="11" w:name="_Toc237034349"/>
      <w:r>
        <w:t>Applying Lean principles</w:t>
      </w:r>
      <w:bookmarkEnd w:id="11"/>
    </w:p>
    <w:p w14:paraId="752EB066" w14:textId="77777777" w:rsidR="00275E53" w:rsidRDefault="00275E53" w:rsidP="00275E53">
      <w:r>
        <w:t>Although the PDSA cycle on its own can result in systems improving,  incorporating lean thinking techniques can help sustain that improvement far in the long run. Womack and Jones outlined that Lean methodology works by removing or reducing non value adding activities and minimising delays and time wasting activities.  Applying this concept to Lucy Letby would involve removing delays to communicate concerns and begin investigations,  and reduce duplication,  through the use of standardized procedures. Improved communication between staff and teams could facilitate incident reporting and investigation and resolve patient safety issues more efficiently.  In practice organizations can set out tests of change and adapt the process.</w:t>
      </w:r>
    </w:p>
    <w:p w14:paraId="1B3226FA" w14:textId="77777777" w:rsidR="00275E53" w:rsidRDefault="00275E53" w:rsidP="00275E53"/>
    <w:p w14:paraId="6E0E0A47" w14:textId="77777777" w:rsidR="00275E53" w:rsidRDefault="00275E53" w:rsidP="00A24EF7">
      <w:pPr>
        <w:pStyle w:val="Heading3"/>
      </w:pPr>
      <w:bookmarkStart w:id="12" w:name="_Toc237034350"/>
      <w:r>
        <w:t>Monitoring and evaluation</w:t>
      </w:r>
      <w:bookmarkEnd w:id="12"/>
    </w:p>
    <w:p w14:paraId="2BAD2E3F" w14:textId="77777777" w:rsidR="00275E53" w:rsidRDefault="00275E53" w:rsidP="00275E53">
      <w:r>
        <w:t>Sustaining change requires ongoing monitoring. Hospitals could set some performance measures for monitoring the improvement such as Number of incident rate reports increased number and turnaround time for investigations staff surveys reports and staff training and compliance with safety policies.  Continuous monitoring and clinical audit and governance reviews ensure that the change initiatives are sustained over time and safety remains an integral feature in the delivery of care.</w:t>
      </w:r>
    </w:p>
    <w:p w14:paraId="2DD3E275" w14:textId="77777777" w:rsidR="00275E53" w:rsidRDefault="00275E53" w:rsidP="00275E53"/>
    <w:p w14:paraId="79028DC1" w14:textId="663AFFCC" w:rsidR="0055303C" w:rsidRDefault="00275E53" w:rsidP="0055303C">
      <w:r>
        <w:t xml:space="preserve"> As a whole, these suggestions seem to strengthen and improve leadership,  communication and learning, while supporting a safe patient safety culture; with training and the implementation of the PDSA cycle and Lean tools,  healthcare groups can use these improvements to prevent future incidents of patient safety.</w:t>
      </w:r>
    </w:p>
    <w:p w14:paraId="01541C19" w14:textId="77777777" w:rsidR="0055303C" w:rsidRDefault="0055303C" w:rsidP="0055303C"/>
    <w:p w14:paraId="67C95C1C" w14:textId="77777777" w:rsidR="0055303C" w:rsidRDefault="0055303C" w:rsidP="0055303C"/>
    <w:p w14:paraId="4B02A5F8" w14:textId="0EE4C266" w:rsidR="00FC64E4" w:rsidRDefault="009F70B8" w:rsidP="009F70B8">
      <w:pPr>
        <w:pStyle w:val="Heading1"/>
      </w:pPr>
      <w:bookmarkStart w:id="13" w:name="_Toc237034351"/>
      <w:r>
        <w:lastRenderedPageBreak/>
        <w:t>Conclusion</w:t>
      </w:r>
      <w:bookmarkEnd w:id="13"/>
    </w:p>
    <w:p w14:paraId="40912C9A" w14:textId="77777777" w:rsidR="009F70B8" w:rsidRDefault="009F70B8" w:rsidP="009F70B8">
      <w:r>
        <w:t>This report has employed the Lucy Letby case at the Countess of Chester Hospital (references 1 – 7) to qualitatively assess the quality management failures that have been identified. The report has highlighted that the tragedy was not entirely criminal. Instead, central leaders’ incompetencies,  interpersonal communication failures and lax clinical governance and patient safety systems, added to the lack of investigation to workers’ concerns; and subsequently,  there were missed opportunities to protect patient safety.</w:t>
      </w:r>
    </w:p>
    <w:p w14:paraId="1C68F061" w14:textId="77777777" w:rsidR="009F70B8" w:rsidRDefault="009F70B8" w:rsidP="009F70B8"/>
    <w:p w14:paraId="00DA8A51" w14:textId="5274AC8B" w:rsidR="009F70B8" w:rsidRDefault="009F70B8" w:rsidP="009F70B8">
      <w:r>
        <w:t xml:space="preserve"> Applying the Fishbone Diagram and the Five Whys also demonstrated the complicated of this case knowledge of the causal factors, it had no one root cause.  Applying Donabedian Model further critically demonstrated organizational structures and clinical processes that contributed towards the patient weak clinical outcome. Furthermore,  using SWOT analysis, the case was critically </w:t>
      </w:r>
      <w:r w:rsidR="00126CAF">
        <w:t>analysis</w:t>
      </w:r>
      <w:r>
        <w:t xml:space="preserve"> in term of weakness and Threats, the opportunities for further strengthening governance,  clinical leadership and safety culture of the case were identified.</w:t>
      </w:r>
    </w:p>
    <w:p w14:paraId="5AF8E711" w14:textId="77777777" w:rsidR="009F70B8" w:rsidRDefault="009F70B8" w:rsidP="009F70B8"/>
    <w:p w14:paraId="19C56660" w14:textId="77777777" w:rsidR="009F70B8" w:rsidRDefault="009F70B8" w:rsidP="009F70B8">
      <w:r>
        <w:t>Based on evidence from her analysis, the report recommended several quality improvement interventions which were evidence based including: improved clinical leadership,  guidance on incident reporting,  openness and transparency, whistleblowing and learning organizations.  Recognising the Plan Do Study Act cycle as most appropriate quality improvement intervention was an important step as it provided a simple framework to implement and assess service change. Lean principles were recommended to address delay and communication issues.</w:t>
      </w:r>
    </w:p>
    <w:p w14:paraId="44F51EBB" w14:textId="77777777" w:rsidR="009F70B8" w:rsidRDefault="009F70B8" w:rsidP="009F70B8"/>
    <w:p w14:paraId="3DDA7A2D" w14:textId="0AA8CC12" w:rsidR="009F70B8" w:rsidRDefault="009F70B8" w:rsidP="009F70B8">
      <w:r>
        <w:t xml:space="preserve"> The Lucy Letby case shows that safeguarding the safety of patients is more than just having capable staff.  Good safe quality care depends on leadership, clinical governance, incident investigation and an organisational culture where staff can speak up and raise concerns.  Healthcare organisations can improve their patient safety systems,  promote organisational learning and prevent future incidents happening by adopting the recommendations in this report.  Ongoing quality improvement should be a priority.</w:t>
      </w:r>
    </w:p>
    <w:p w14:paraId="359B6231" w14:textId="77777777" w:rsidR="00134704" w:rsidRDefault="00134704" w:rsidP="009F70B8"/>
    <w:p w14:paraId="5E06D9A5" w14:textId="77777777" w:rsidR="00134704" w:rsidRDefault="00134704" w:rsidP="009F70B8"/>
    <w:p w14:paraId="5541066E" w14:textId="77777777" w:rsidR="00134704" w:rsidRDefault="00134704" w:rsidP="009F70B8"/>
    <w:p w14:paraId="3B885A29" w14:textId="77777777" w:rsidR="00134704" w:rsidRDefault="00134704" w:rsidP="009F70B8"/>
    <w:p w14:paraId="5257E18D" w14:textId="77777777" w:rsidR="00134704" w:rsidRDefault="00134704" w:rsidP="009F70B8"/>
    <w:p w14:paraId="3A3FBACB" w14:textId="1DC55A77" w:rsidR="00134704" w:rsidRDefault="00134704" w:rsidP="00134704">
      <w:pPr>
        <w:pStyle w:val="Heading1"/>
      </w:pPr>
      <w:bookmarkStart w:id="14" w:name="_Toc237034352"/>
      <w:r>
        <w:lastRenderedPageBreak/>
        <w:t>References</w:t>
      </w:r>
      <w:bookmarkEnd w:id="14"/>
    </w:p>
    <w:p w14:paraId="4FEE0643" w14:textId="77777777" w:rsidR="001847CB" w:rsidRPr="001847CB" w:rsidRDefault="001847CB" w:rsidP="001847CB">
      <w:proofErr w:type="spellStart"/>
      <w:r w:rsidRPr="001847CB">
        <w:t>Ayanian</w:t>
      </w:r>
      <w:proofErr w:type="spellEnd"/>
      <w:r w:rsidRPr="001847CB">
        <w:t xml:space="preserve">, J.Z. and Markel, H. (2016) ‘Donabedian’s lasting framework for health care quality’, </w:t>
      </w:r>
      <w:r w:rsidRPr="001847CB">
        <w:rPr>
          <w:i/>
          <w:iCs/>
        </w:rPr>
        <w:t>New England Journal of Medicine</w:t>
      </w:r>
      <w:r w:rsidRPr="001847CB">
        <w:t>, 375(3), pp. 205–207.</w:t>
      </w:r>
    </w:p>
    <w:p w14:paraId="79732090" w14:textId="77777777" w:rsidR="001847CB" w:rsidRPr="001847CB" w:rsidRDefault="001847CB" w:rsidP="001847CB">
      <w:r w:rsidRPr="001847CB">
        <w:t xml:space="preserve">Braithwaite, J., Wears, R.L. and Hollnagel, E. (2015) </w:t>
      </w:r>
      <w:r w:rsidRPr="001847CB">
        <w:rPr>
          <w:i/>
          <w:iCs/>
        </w:rPr>
        <w:t>Resilient Health Care</w:t>
      </w:r>
      <w:r w:rsidRPr="001847CB">
        <w:t>. Farnham: Ashgate.</w:t>
      </w:r>
    </w:p>
    <w:p w14:paraId="50B5278D" w14:textId="77777777" w:rsidR="001847CB" w:rsidRPr="001847CB" w:rsidRDefault="001847CB" w:rsidP="001847CB">
      <w:r w:rsidRPr="001847CB">
        <w:t xml:space="preserve">Care Quality Commission (2022) </w:t>
      </w:r>
      <w:r w:rsidRPr="001847CB">
        <w:rPr>
          <w:i/>
          <w:iCs/>
        </w:rPr>
        <w:t xml:space="preserve">Freedom to Speak Up: GP </w:t>
      </w:r>
      <w:proofErr w:type="spellStart"/>
      <w:r w:rsidRPr="001847CB">
        <w:rPr>
          <w:i/>
          <w:iCs/>
        </w:rPr>
        <w:t>Mythbuster</w:t>
      </w:r>
      <w:proofErr w:type="spellEnd"/>
      <w:r w:rsidRPr="001847CB">
        <w:rPr>
          <w:i/>
          <w:iCs/>
        </w:rPr>
        <w:t xml:space="preserve"> 87</w:t>
      </w:r>
      <w:r w:rsidRPr="001847CB">
        <w:t xml:space="preserve">. Available at: </w:t>
      </w:r>
      <w:hyperlink r:id="rId10" w:tgtFrame="_new" w:history="1">
        <w:r w:rsidRPr="001847CB">
          <w:rPr>
            <w:rStyle w:val="Hyperlink"/>
          </w:rPr>
          <w:t>https://www.cqc.org.uk/guidance-providers/gps/gp-mythbusters/gp-mythbuster-87-freedom-to-speak-up</w:t>
        </w:r>
      </w:hyperlink>
      <w:r w:rsidRPr="001847CB">
        <w:t xml:space="preserve"> (Accessed: </w:t>
      </w:r>
      <w:r w:rsidRPr="001847CB">
        <w:rPr>
          <w:b/>
          <w:bCs/>
        </w:rPr>
        <w:t>15 July 2026</w:t>
      </w:r>
      <w:r w:rsidRPr="001847CB">
        <w:t>).</w:t>
      </w:r>
    </w:p>
    <w:p w14:paraId="50BB3426" w14:textId="77777777" w:rsidR="001847CB" w:rsidRPr="001847CB" w:rsidRDefault="001847CB" w:rsidP="001847CB">
      <w:r w:rsidRPr="001847CB">
        <w:t xml:space="preserve">Department of Health (2009) </w:t>
      </w:r>
      <w:r w:rsidRPr="001847CB">
        <w:rPr>
          <w:i/>
          <w:iCs/>
        </w:rPr>
        <w:t>Clinical Governance Guidance</w:t>
      </w:r>
      <w:r w:rsidRPr="001847CB">
        <w:t>. London: Department of Health.</w:t>
      </w:r>
    </w:p>
    <w:p w14:paraId="38CC6D2C" w14:textId="77777777" w:rsidR="001847CB" w:rsidRPr="001847CB" w:rsidRDefault="001847CB" w:rsidP="001847CB">
      <w:r w:rsidRPr="001847CB">
        <w:t xml:space="preserve">Donabedian, A. (1988) ‘The quality of care: How can it be assessed?’, </w:t>
      </w:r>
      <w:r w:rsidRPr="001847CB">
        <w:rPr>
          <w:i/>
          <w:iCs/>
        </w:rPr>
        <w:t>Journal of the American Medical Association</w:t>
      </w:r>
      <w:r w:rsidRPr="001847CB">
        <w:t>, 260(12), pp. 1743–1748.</w:t>
      </w:r>
    </w:p>
    <w:p w14:paraId="158502E2" w14:textId="77777777" w:rsidR="001847CB" w:rsidRPr="001847CB" w:rsidRDefault="001847CB" w:rsidP="001847CB">
      <w:r w:rsidRPr="001847CB">
        <w:t xml:space="preserve">General Medical Council (2024) </w:t>
      </w:r>
      <w:r w:rsidRPr="001847CB">
        <w:rPr>
          <w:i/>
          <w:iCs/>
        </w:rPr>
        <w:t>Good Medical Practice</w:t>
      </w:r>
      <w:r w:rsidRPr="001847CB">
        <w:t xml:space="preserve">. Available at: https://www.gmc-uk.org/ethical-guidance/good-medical-practice (Accessed: </w:t>
      </w:r>
      <w:r w:rsidRPr="001847CB">
        <w:rPr>
          <w:b/>
          <w:bCs/>
        </w:rPr>
        <w:t>28 June 2026</w:t>
      </w:r>
      <w:r w:rsidRPr="001847CB">
        <w:t>).</w:t>
      </w:r>
    </w:p>
    <w:p w14:paraId="2ACC6009" w14:textId="77777777" w:rsidR="001847CB" w:rsidRPr="001847CB" w:rsidRDefault="001847CB" w:rsidP="001847CB">
      <w:r w:rsidRPr="001847CB">
        <w:t xml:space="preserve">General Medical Council (2012) </w:t>
      </w:r>
      <w:r w:rsidRPr="001847CB">
        <w:rPr>
          <w:i/>
          <w:iCs/>
        </w:rPr>
        <w:t>Raising and Acting on Concerns About Patient Safety</w:t>
      </w:r>
      <w:r w:rsidRPr="001847CB">
        <w:t xml:space="preserve">. Available at: https://www.gmc-uk.org/ethical-guidance/ethical-guidance-for-doctors/raising-and-acting-on-concerns-about-patient-safety (Accessed: </w:t>
      </w:r>
      <w:r w:rsidRPr="001847CB">
        <w:rPr>
          <w:b/>
          <w:bCs/>
        </w:rPr>
        <w:t>18 June 2026</w:t>
      </w:r>
      <w:r w:rsidRPr="001847CB">
        <w:t>).</w:t>
      </w:r>
    </w:p>
    <w:p w14:paraId="7D8CFB21" w14:textId="77777777" w:rsidR="001847CB" w:rsidRPr="001847CB" w:rsidRDefault="001847CB" w:rsidP="001847CB">
      <w:r w:rsidRPr="001847CB">
        <w:t xml:space="preserve">Gürel, E. and Tat, M. (2017) ‘SWOT analysis: A theoretical review’, </w:t>
      </w:r>
      <w:r w:rsidRPr="001847CB">
        <w:rPr>
          <w:i/>
          <w:iCs/>
        </w:rPr>
        <w:t>The Journal of International Social Research</w:t>
      </w:r>
      <w:r w:rsidRPr="001847CB">
        <w:t>, 10(51), pp. 994–1006.</w:t>
      </w:r>
    </w:p>
    <w:p w14:paraId="248B143B" w14:textId="77777777" w:rsidR="001847CB" w:rsidRPr="001847CB" w:rsidRDefault="001847CB" w:rsidP="001847CB">
      <w:r w:rsidRPr="001847CB">
        <w:t xml:space="preserve">Institute for Healthcare Improvement (2023) </w:t>
      </w:r>
      <w:r w:rsidRPr="001847CB">
        <w:rPr>
          <w:i/>
          <w:iCs/>
        </w:rPr>
        <w:t>SBAR Tool: Situation, Background, Assessment, Recommendation</w:t>
      </w:r>
      <w:r w:rsidRPr="001847CB">
        <w:t xml:space="preserve">. Available at: </w:t>
      </w:r>
      <w:hyperlink r:id="rId11" w:tgtFrame="_new" w:history="1">
        <w:r w:rsidRPr="001847CB">
          <w:rPr>
            <w:rStyle w:val="Hyperlink"/>
          </w:rPr>
          <w:t>https://www.ihi.org</w:t>
        </w:r>
      </w:hyperlink>
      <w:r w:rsidRPr="001847CB">
        <w:t xml:space="preserve"> (Accessed: </w:t>
      </w:r>
      <w:r w:rsidRPr="001847CB">
        <w:rPr>
          <w:b/>
          <w:bCs/>
        </w:rPr>
        <w:t>20 June 2026</w:t>
      </w:r>
      <w:r w:rsidRPr="001847CB">
        <w:t>).</w:t>
      </w:r>
    </w:p>
    <w:p w14:paraId="0693DD00" w14:textId="77777777" w:rsidR="001847CB" w:rsidRPr="001847CB" w:rsidRDefault="001847CB" w:rsidP="001847CB">
      <w:r w:rsidRPr="001847CB">
        <w:t xml:space="preserve">Institute for Healthcare Improvement (2023) </w:t>
      </w:r>
      <w:r w:rsidRPr="001847CB">
        <w:rPr>
          <w:i/>
          <w:iCs/>
        </w:rPr>
        <w:t>Science of Improvement: Testing Changes</w:t>
      </w:r>
      <w:r w:rsidRPr="001847CB">
        <w:t xml:space="preserve">. Available at: </w:t>
      </w:r>
      <w:hyperlink r:id="rId12" w:tgtFrame="_new" w:history="1">
        <w:r w:rsidRPr="001847CB">
          <w:rPr>
            <w:rStyle w:val="Hyperlink"/>
          </w:rPr>
          <w:t>https://www.ihi.org</w:t>
        </w:r>
      </w:hyperlink>
      <w:r w:rsidRPr="001847CB">
        <w:t xml:space="preserve"> (Accessed: </w:t>
      </w:r>
      <w:r w:rsidRPr="001847CB">
        <w:rPr>
          <w:b/>
          <w:bCs/>
        </w:rPr>
        <w:t>24 June 2026</w:t>
      </w:r>
      <w:r w:rsidRPr="001847CB">
        <w:t>).</w:t>
      </w:r>
    </w:p>
    <w:p w14:paraId="7191FA00" w14:textId="77777777" w:rsidR="001847CB" w:rsidRPr="001847CB" w:rsidRDefault="001847CB" w:rsidP="001847CB">
      <w:r w:rsidRPr="001847CB">
        <w:t xml:space="preserve">Ishikawa, K. (1985) </w:t>
      </w:r>
      <w:r w:rsidRPr="001847CB">
        <w:rPr>
          <w:i/>
          <w:iCs/>
        </w:rPr>
        <w:t>What is Total Quality Control? The Japanese Way</w:t>
      </w:r>
      <w:r w:rsidRPr="001847CB">
        <w:t>. Englewood Cliffs, NJ: Prentice Hall.</w:t>
      </w:r>
    </w:p>
    <w:p w14:paraId="0830CA43" w14:textId="77777777" w:rsidR="001847CB" w:rsidRPr="001847CB" w:rsidRDefault="001847CB" w:rsidP="001847CB">
      <w:r w:rsidRPr="001847CB">
        <w:t xml:space="preserve">Langley, G.J., Moen, R., Nolan, K.M., Nolan, T.W., Norman, C.L. and Provost, L.P. (2009) </w:t>
      </w:r>
      <w:r w:rsidRPr="001847CB">
        <w:rPr>
          <w:i/>
          <w:iCs/>
        </w:rPr>
        <w:t>The Improvement Guide: A Practical Approach to Enhancing Organisational Performance</w:t>
      </w:r>
      <w:r w:rsidRPr="001847CB">
        <w:t xml:space="preserve">. 2nd </w:t>
      </w:r>
      <w:proofErr w:type="spellStart"/>
      <w:r w:rsidRPr="001847CB">
        <w:t>edn</w:t>
      </w:r>
      <w:proofErr w:type="spellEnd"/>
      <w:r w:rsidRPr="001847CB">
        <w:t>. San Francisco: Jossey-Bass.</w:t>
      </w:r>
    </w:p>
    <w:p w14:paraId="52CC3458" w14:textId="77777777" w:rsidR="001847CB" w:rsidRPr="001847CB" w:rsidRDefault="001847CB" w:rsidP="001847CB">
      <w:r w:rsidRPr="001847CB">
        <w:t xml:space="preserve">National Quality Board (2022) </w:t>
      </w:r>
      <w:r w:rsidRPr="001847CB">
        <w:rPr>
          <w:i/>
          <w:iCs/>
        </w:rPr>
        <w:t>National Guidance on Learning from Patient Safety Events</w:t>
      </w:r>
      <w:r w:rsidRPr="001847CB">
        <w:t xml:space="preserve">. Available at: </w:t>
      </w:r>
      <w:hyperlink r:id="rId13" w:tgtFrame="_new" w:history="1">
        <w:r w:rsidRPr="001847CB">
          <w:rPr>
            <w:rStyle w:val="Hyperlink"/>
          </w:rPr>
          <w:t>https://www.england.nhs.uk</w:t>
        </w:r>
      </w:hyperlink>
      <w:r w:rsidRPr="001847CB">
        <w:t xml:space="preserve"> (Accessed: </w:t>
      </w:r>
      <w:r w:rsidRPr="001847CB">
        <w:rPr>
          <w:b/>
          <w:bCs/>
        </w:rPr>
        <w:t>21 June 2026</w:t>
      </w:r>
      <w:r w:rsidRPr="001847CB">
        <w:t>).</w:t>
      </w:r>
    </w:p>
    <w:p w14:paraId="7F010329" w14:textId="77777777" w:rsidR="001847CB" w:rsidRPr="001847CB" w:rsidRDefault="001847CB" w:rsidP="001847CB">
      <w:r w:rsidRPr="001847CB">
        <w:t xml:space="preserve">NHS England (2022) </w:t>
      </w:r>
      <w:r w:rsidRPr="001847CB">
        <w:rPr>
          <w:i/>
          <w:iCs/>
        </w:rPr>
        <w:t>Freedom to Speak Up</w:t>
      </w:r>
      <w:r w:rsidRPr="001847CB">
        <w:t xml:space="preserve">. Available at: </w:t>
      </w:r>
      <w:hyperlink r:id="rId14" w:tgtFrame="_new" w:history="1">
        <w:r w:rsidRPr="001847CB">
          <w:rPr>
            <w:rStyle w:val="Hyperlink"/>
          </w:rPr>
          <w:t>https://www.england.nhs.uk/ourwork/freedom-to-speak-up/</w:t>
        </w:r>
      </w:hyperlink>
      <w:r w:rsidRPr="001847CB">
        <w:t xml:space="preserve"> (Accessed: </w:t>
      </w:r>
      <w:r w:rsidRPr="001847CB">
        <w:rPr>
          <w:b/>
          <w:bCs/>
        </w:rPr>
        <w:t>20 June 2026</w:t>
      </w:r>
      <w:r w:rsidRPr="001847CB">
        <w:t>).</w:t>
      </w:r>
    </w:p>
    <w:p w14:paraId="64E32B03" w14:textId="77777777" w:rsidR="001847CB" w:rsidRPr="001847CB" w:rsidRDefault="001847CB" w:rsidP="001847CB">
      <w:r w:rsidRPr="001847CB">
        <w:t xml:space="preserve">NHS England (2022) </w:t>
      </w:r>
      <w:r w:rsidRPr="001847CB">
        <w:rPr>
          <w:i/>
          <w:iCs/>
        </w:rPr>
        <w:t>Patient Safety Incident Response Framework (PSIRF)</w:t>
      </w:r>
      <w:r w:rsidRPr="001847CB">
        <w:t xml:space="preserve">. Available at: https://www.england.nhs.uk/patient-safety/patient-safety-incident-response-framework/ (Accessed: </w:t>
      </w:r>
      <w:r w:rsidRPr="001847CB">
        <w:rPr>
          <w:b/>
          <w:bCs/>
        </w:rPr>
        <w:t>30 June 2026</w:t>
      </w:r>
      <w:r w:rsidRPr="001847CB">
        <w:t>).</w:t>
      </w:r>
    </w:p>
    <w:p w14:paraId="79F5FA50" w14:textId="77777777" w:rsidR="001847CB" w:rsidRPr="001847CB" w:rsidRDefault="001847CB" w:rsidP="001847CB">
      <w:r w:rsidRPr="001847CB">
        <w:lastRenderedPageBreak/>
        <w:t xml:space="preserve">NHS England (2023) </w:t>
      </w:r>
      <w:r w:rsidRPr="001847CB">
        <w:rPr>
          <w:i/>
          <w:iCs/>
        </w:rPr>
        <w:t>NHS Patient Safety Strategy</w:t>
      </w:r>
      <w:r w:rsidRPr="001847CB">
        <w:t xml:space="preserve">. Available at: </w:t>
      </w:r>
      <w:hyperlink r:id="rId15" w:tgtFrame="_new" w:history="1">
        <w:r w:rsidRPr="001847CB">
          <w:rPr>
            <w:rStyle w:val="Hyperlink"/>
          </w:rPr>
          <w:t>https://www.england.nhs.uk/patient-safety/</w:t>
        </w:r>
      </w:hyperlink>
      <w:r w:rsidRPr="001847CB">
        <w:t xml:space="preserve"> (Accessed: </w:t>
      </w:r>
      <w:r w:rsidRPr="001847CB">
        <w:rPr>
          <w:b/>
          <w:bCs/>
        </w:rPr>
        <w:t>17 June 2026</w:t>
      </w:r>
      <w:r w:rsidRPr="001847CB">
        <w:t>).</w:t>
      </w:r>
    </w:p>
    <w:p w14:paraId="6C90C24D" w14:textId="77777777" w:rsidR="001847CB" w:rsidRPr="001847CB" w:rsidRDefault="001847CB" w:rsidP="001847CB">
      <w:r w:rsidRPr="001847CB">
        <w:t xml:space="preserve">Nuffield Trust (2025) </w:t>
      </w:r>
      <w:r w:rsidRPr="001847CB">
        <w:rPr>
          <w:i/>
          <w:iCs/>
        </w:rPr>
        <w:t>Report for the Thirlwall Inquiry</w:t>
      </w:r>
      <w:r w:rsidRPr="001847CB">
        <w:t xml:space="preserve">. Available at: </w:t>
      </w:r>
      <w:hyperlink r:id="rId16" w:tgtFrame="_new" w:history="1">
        <w:r w:rsidRPr="001847CB">
          <w:rPr>
            <w:rStyle w:val="Hyperlink"/>
          </w:rPr>
          <w:t>https://www.nuffieldtrust.org.uk</w:t>
        </w:r>
      </w:hyperlink>
      <w:r w:rsidRPr="001847CB">
        <w:t xml:space="preserve"> (Accessed: </w:t>
      </w:r>
      <w:r w:rsidRPr="001847CB">
        <w:rPr>
          <w:b/>
          <w:bCs/>
        </w:rPr>
        <w:t>12 July 2026</w:t>
      </w:r>
      <w:r w:rsidRPr="001847CB">
        <w:t>).</w:t>
      </w:r>
    </w:p>
    <w:p w14:paraId="087AEBE7" w14:textId="77777777" w:rsidR="001847CB" w:rsidRPr="001847CB" w:rsidRDefault="001847CB" w:rsidP="001847CB">
      <w:r w:rsidRPr="001847CB">
        <w:t xml:space="preserve">Ohno, T. (1988) </w:t>
      </w:r>
      <w:r w:rsidRPr="001847CB">
        <w:rPr>
          <w:i/>
          <w:iCs/>
        </w:rPr>
        <w:t>Toyota Production System: Beyond Large-Scale Production</w:t>
      </w:r>
      <w:r w:rsidRPr="001847CB">
        <w:t>. Portland: Productivity Press.</w:t>
      </w:r>
    </w:p>
    <w:p w14:paraId="6EB8ADFE" w14:textId="77777777" w:rsidR="001847CB" w:rsidRPr="001847CB" w:rsidRDefault="001847CB" w:rsidP="001847CB">
      <w:r w:rsidRPr="001847CB">
        <w:t xml:space="preserve">Reason, J. (2000) ‘Human error: Models and management’, </w:t>
      </w:r>
      <w:r w:rsidRPr="001847CB">
        <w:rPr>
          <w:i/>
          <w:iCs/>
        </w:rPr>
        <w:t>British Medical Journal</w:t>
      </w:r>
      <w:r w:rsidRPr="001847CB">
        <w:t>, 320(7237), pp. 768–770.</w:t>
      </w:r>
    </w:p>
    <w:p w14:paraId="3DF7E881" w14:textId="77777777" w:rsidR="001847CB" w:rsidRPr="001847CB" w:rsidRDefault="001847CB" w:rsidP="001847CB">
      <w:r w:rsidRPr="001847CB">
        <w:t xml:space="preserve">Scally, G. and Donaldson, L.J. (1998) ‘Clinical governance and the drive for quality improvement in the NHS’, </w:t>
      </w:r>
      <w:r w:rsidRPr="001847CB">
        <w:rPr>
          <w:i/>
          <w:iCs/>
        </w:rPr>
        <w:t>British Medical Journal</w:t>
      </w:r>
      <w:r w:rsidRPr="001847CB">
        <w:t>, 317(7150), pp. 61–65.</w:t>
      </w:r>
    </w:p>
    <w:p w14:paraId="6A9F60D2" w14:textId="6BCE24E2" w:rsidR="001847CB" w:rsidRPr="001847CB" w:rsidRDefault="001847CB" w:rsidP="001847CB">
      <w:r w:rsidRPr="001847CB">
        <w:t xml:space="preserve">Schein, E.H. (2017) </w:t>
      </w:r>
      <w:r w:rsidRPr="001847CB">
        <w:rPr>
          <w:i/>
          <w:iCs/>
        </w:rPr>
        <w:t>Organizational Culture and Leadership</w:t>
      </w:r>
      <w:r w:rsidRPr="001847CB">
        <w:t xml:space="preserve">. 5th </w:t>
      </w:r>
      <w:r w:rsidR="00365CE6" w:rsidRPr="001847CB">
        <w:t>end</w:t>
      </w:r>
      <w:r w:rsidRPr="001847CB">
        <w:t>. Hoboken: Wiley.</w:t>
      </w:r>
    </w:p>
    <w:p w14:paraId="7F524ED2" w14:textId="77777777" w:rsidR="001847CB" w:rsidRPr="001847CB" w:rsidRDefault="001847CB" w:rsidP="001847CB">
      <w:r w:rsidRPr="001847CB">
        <w:t xml:space="preserve">The Guardian (2024) ‘A superbug, doctor shortages and a neonatal unit out of its depth: Failures at Lucy Letby hospital revealed’. Available at: </w:t>
      </w:r>
      <w:hyperlink r:id="rId17" w:tgtFrame="_new" w:history="1">
        <w:r w:rsidRPr="001847CB">
          <w:rPr>
            <w:rStyle w:val="Hyperlink"/>
          </w:rPr>
          <w:t>https://www.theguardian.com/uk-news/article/2024/sep/08/a-superbug-doctor-shortages-and-a-neonatal-unit-out-of-its-depth-failures-at-lucy-letby-hospital-revealed</w:t>
        </w:r>
      </w:hyperlink>
      <w:r w:rsidRPr="001847CB">
        <w:t xml:space="preserve"> (Accessed: </w:t>
      </w:r>
      <w:r w:rsidRPr="001847CB">
        <w:rPr>
          <w:b/>
          <w:bCs/>
        </w:rPr>
        <w:t>15 June 2026</w:t>
      </w:r>
      <w:r w:rsidRPr="001847CB">
        <w:t>).</w:t>
      </w:r>
    </w:p>
    <w:p w14:paraId="13A6DC22" w14:textId="77777777" w:rsidR="001847CB" w:rsidRPr="001847CB" w:rsidRDefault="001847CB" w:rsidP="001847CB">
      <w:r w:rsidRPr="001847CB">
        <w:t xml:space="preserve">The King's Fund (2024) </w:t>
      </w:r>
      <w:r w:rsidRPr="001847CB">
        <w:rPr>
          <w:i/>
          <w:iCs/>
        </w:rPr>
        <w:t>The NHS Workforce in Numbers</w:t>
      </w:r>
      <w:r w:rsidRPr="001847CB">
        <w:t xml:space="preserve">. Available at: </w:t>
      </w:r>
      <w:hyperlink r:id="rId18" w:tgtFrame="_new" w:history="1">
        <w:r w:rsidRPr="001847CB">
          <w:rPr>
            <w:rStyle w:val="Hyperlink"/>
          </w:rPr>
          <w:t>https://www.kingsfund.org.uk</w:t>
        </w:r>
      </w:hyperlink>
      <w:r w:rsidRPr="001847CB">
        <w:t xml:space="preserve"> (Accessed: </w:t>
      </w:r>
      <w:r w:rsidRPr="001847CB">
        <w:rPr>
          <w:b/>
          <w:bCs/>
        </w:rPr>
        <w:t>22 June 2026</w:t>
      </w:r>
      <w:r w:rsidRPr="001847CB">
        <w:t>).</w:t>
      </w:r>
    </w:p>
    <w:p w14:paraId="0357B1FD" w14:textId="77777777" w:rsidR="001847CB" w:rsidRPr="001847CB" w:rsidRDefault="001847CB" w:rsidP="001847CB">
      <w:r w:rsidRPr="001847CB">
        <w:t xml:space="preserve">The King's Fund (2023) </w:t>
      </w:r>
      <w:r w:rsidRPr="001847CB">
        <w:rPr>
          <w:i/>
          <w:iCs/>
        </w:rPr>
        <w:t>Leadership and Culture in the NHS</w:t>
      </w:r>
      <w:r w:rsidRPr="001847CB">
        <w:t xml:space="preserve">. Available at: </w:t>
      </w:r>
      <w:hyperlink r:id="rId19" w:tgtFrame="_new" w:history="1">
        <w:r w:rsidRPr="001847CB">
          <w:rPr>
            <w:rStyle w:val="Hyperlink"/>
          </w:rPr>
          <w:t>https://www.kingsfund.org.uk</w:t>
        </w:r>
      </w:hyperlink>
      <w:r w:rsidRPr="001847CB">
        <w:t xml:space="preserve"> (Accessed: </w:t>
      </w:r>
      <w:r w:rsidRPr="001847CB">
        <w:rPr>
          <w:b/>
          <w:bCs/>
        </w:rPr>
        <w:t>25 June 2026</w:t>
      </w:r>
      <w:r w:rsidRPr="001847CB">
        <w:t>).</w:t>
      </w:r>
    </w:p>
    <w:p w14:paraId="5653DBC6" w14:textId="77777777" w:rsidR="001847CB" w:rsidRPr="001847CB" w:rsidRDefault="001847CB" w:rsidP="001847CB">
      <w:r w:rsidRPr="001847CB">
        <w:t xml:space="preserve">The King's Fund (2022) </w:t>
      </w:r>
      <w:r w:rsidRPr="001847CB">
        <w:rPr>
          <w:i/>
          <w:iCs/>
        </w:rPr>
        <w:t>Clinical Governance Explained</w:t>
      </w:r>
      <w:r w:rsidRPr="001847CB">
        <w:t xml:space="preserve">. Available at: </w:t>
      </w:r>
      <w:hyperlink r:id="rId20" w:tgtFrame="_new" w:history="1">
        <w:r w:rsidRPr="001847CB">
          <w:rPr>
            <w:rStyle w:val="Hyperlink"/>
          </w:rPr>
          <w:t>https://www.kingsfund.org.uk</w:t>
        </w:r>
      </w:hyperlink>
      <w:r w:rsidRPr="001847CB">
        <w:t xml:space="preserve"> (Accessed: </w:t>
      </w:r>
      <w:r w:rsidRPr="001847CB">
        <w:rPr>
          <w:b/>
          <w:bCs/>
        </w:rPr>
        <w:t>19 June 2026</w:t>
      </w:r>
      <w:r w:rsidRPr="001847CB">
        <w:t>).</w:t>
      </w:r>
    </w:p>
    <w:p w14:paraId="6A2322DA" w14:textId="77777777" w:rsidR="001847CB" w:rsidRPr="001847CB" w:rsidRDefault="001847CB" w:rsidP="001847CB">
      <w:r w:rsidRPr="001847CB">
        <w:t xml:space="preserve">The Thirlwall Inquiry (2024) </w:t>
      </w:r>
      <w:r w:rsidRPr="001847CB">
        <w:rPr>
          <w:i/>
          <w:iCs/>
        </w:rPr>
        <w:t>Terms of Reference</w:t>
      </w:r>
      <w:r w:rsidRPr="001847CB">
        <w:t xml:space="preserve">. Available at: </w:t>
      </w:r>
      <w:hyperlink r:id="rId21" w:tgtFrame="_new" w:history="1">
        <w:r w:rsidRPr="001847CB">
          <w:rPr>
            <w:rStyle w:val="Hyperlink"/>
          </w:rPr>
          <w:t>https://www.gov.uk/government/publications/thirlwall-inquiry-terms-of-reference</w:t>
        </w:r>
      </w:hyperlink>
      <w:r w:rsidRPr="001847CB">
        <w:t xml:space="preserve"> (Accessed: </w:t>
      </w:r>
      <w:r w:rsidRPr="001847CB">
        <w:rPr>
          <w:b/>
          <w:bCs/>
        </w:rPr>
        <w:t>10 July 2026</w:t>
      </w:r>
      <w:r w:rsidRPr="001847CB">
        <w:t>).</w:t>
      </w:r>
    </w:p>
    <w:p w14:paraId="60FD02EC" w14:textId="12F12158" w:rsidR="001847CB" w:rsidRPr="001847CB" w:rsidRDefault="001847CB" w:rsidP="001847CB">
      <w:r w:rsidRPr="001847CB">
        <w:t xml:space="preserve">Vincent, C. (2010) </w:t>
      </w:r>
      <w:r w:rsidRPr="001847CB">
        <w:rPr>
          <w:i/>
          <w:iCs/>
        </w:rPr>
        <w:t>Patient Safety</w:t>
      </w:r>
      <w:r w:rsidRPr="001847CB">
        <w:t xml:space="preserve">. 2nd </w:t>
      </w:r>
      <w:r w:rsidR="00365CE6" w:rsidRPr="001847CB">
        <w:t>end</w:t>
      </w:r>
      <w:r w:rsidRPr="001847CB">
        <w:t>. Chichester: Wiley-Blackwell.</w:t>
      </w:r>
    </w:p>
    <w:p w14:paraId="65660FFE" w14:textId="77777777" w:rsidR="001847CB" w:rsidRPr="001847CB" w:rsidRDefault="001847CB" w:rsidP="001847CB">
      <w:r w:rsidRPr="001847CB">
        <w:t xml:space="preserve">West, M., Armit, K., Loewenthal, L., Eckert, R., West, T. and Lee, A. (2015) </w:t>
      </w:r>
      <w:r w:rsidRPr="001847CB">
        <w:rPr>
          <w:i/>
          <w:iCs/>
        </w:rPr>
        <w:t>Leadership and Leadership Development in Health Care</w:t>
      </w:r>
      <w:r w:rsidRPr="001847CB">
        <w:t>. London: The King's Fund.</w:t>
      </w:r>
    </w:p>
    <w:p w14:paraId="17807192" w14:textId="4D85B6FE" w:rsidR="001847CB" w:rsidRPr="001847CB" w:rsidRDefault="001847CB" w:rsidP="001847CB">
      <w:r w:rsidRPr="001847CB">
        <w:t xml:space="preserve">Womack, J.P. and Jones, D.T. (2003) </w:t>
      </w:r>
      <w:r w:rsidRPr="001847CB">
        <w:rPr>
          <w:i/>
          <w:iCs/>
        </w:rPr>
        <w:t>Lean Thinking</w:t>
      </w:r>
      <w:r w:rsidRPr="001847CB">
        <w:t xml:space="preserve">. Revised </w:t>
      </w:r>
      <w:r w:rsidR="00365CE6" w:rsidRPr="001847CB">
        <w:t>end</w:t>
      </w:r>
      <w:r w:rsidRPr="001847CB">
        <w:t>. London: Simon &amp; Schuster.</w:t>
      </w:r>
    </w:p>
    <w:p w14:paraId="3591AFE7" w14:textId="77777777" w:rsidR="001847CB" w:rsidRPr="001847CB" w:rsidRDefault="001847CB" w:rsidP="001847CB">
      <w:r w:rsidRPr="001847CB">
        <w:t xml:space="preserve">World Health Organization (2021) </w:t>
      </w:r>
      <w:r w:rsidRPr="001847CB">
        <w:rPr>
          <w:i/>
          <w:iCs/>
        </w:rPr>
        <w:t>Global Patient Safety Action Plan 2021–2030</w:t>
      </w:r>
      <w:r w:rsidRPr="001847CB">
        <w:t xml:space="preserve">. Available at: </w:t>
      </w:r>
      <w:hyperlink r:id="rId22" w:tgtFrame="_new" w:history="1">
        <w:r w:rsidRPr="001847CB">
          <w:rPr>
            <w:rStyle w:val="Hyperlink"/>
          </w:rPr>
          <w:t>https://www.who.int/publications/i/item/9789240032705</w:t>
        </w:r>
      </w:hyperlink>
      <w:r w:rsidRPr="001847CB">
        <w:t xml:space="preserve"> (Accessed: </w:t>
      </w:r>
      <w:r w:rsidRPr="001847CB">
        <w:rPr>
          <w:b/>
          <w:bCs/>
        </w:rPr>
        <w:t>18 June 2026</w:t>
      </w:r>
      <w:r w:rsidRPr="001847CB">
        <w:t>).</w:t>
      </w:r>
    </w:p>
    <w:p w14:paraId="3AFF7372" w14:textId="77777777" w:rsidR="00134704" w:rsidRPr="00134704" w:rsidRDefault="00134704" w:rsidP="00134704"/>
    <w:sectPr w:rsidR="00134704" w:rsidRPr="00134704" w:rsidSect="00E078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649CF"/>
    <w:multiLevelType w:val="hybridMultilevel"/>
    <w:tmpl w:val="76F62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F0A8F"/>
    <w:multiLevelType w:val="multilevel"/>
    <w:tmpl w:val="CF4E669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6435061">
    <w:abstractNumId w:val="0"/>
  </w:num>
  <w:num w:numId="2" w16cid:durableId="969438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355"/>
    <w:rsid w:val="0000579E"/>
    <w:rsid w:val="00016DC3"/>
    <w:rsid w:val="000300E4"/>
    <w:rsid w:val="00061A8E"/>
    <w:rsid w:val="000825FF"/>
    <w:rsid w:val="000B629F"/>
    <w:rsid w:val="00126CAF"/>
    <w:rsid w:val="00134704"/>
    <w:rsid w:val="001847CB"/>
    <w:rsid w:val="001B063C"/>
    <w:rsid w:val="001B0651"/>
    <w:rsid w:val="001B72F4"/>
    <w:rsid w:val="001E1107"/>
    <w:rsid w:val="001F3CBA"/>
    <w:rsid w:val="00226568"/>
    <w:rsid w:val="0024616C"/>
    <w:rsid w:val="00265BBF"/>
    <w:rsid w:val="00275E53"/>
    <w:rsid w:val="0029233C"/>
    <w:rsid w:val="002A6EDA"/>
    <w:rsid w:val="00365CE6"/>
    <w:rsid w:val="003818D6"/>
    <w:rsid w:val="00431304"/>
    <w:rsid w:val="00440CF4"/>
    <w:rsid w:val="004E3EC1"/>
    <w:rsid w:val="004E5734"/>
    <w:rsid w:val="004E5A2C"/>
    <w:rsid w:val="00534D09"/>
    <w:rsid w:val="0055303C"/>
    <w:rsid w:val="00573494"/>
    <w:rsid w:val="00641279"/>
    <w:rsid w:val="00644389"/>
    <w:rsid w:val="00673F6A"/>
    <w:rsid w:val="006C5EF1"/>
    <w:rsid w:val="007012FB"/>
    <w:rsid w:val="007024E9"/>
    <w:rsid w:val="0071731D"/>
    <w:rsid w:val="007264B1"/>
    <w:rsid w:val="007360D6"/>
    <w:rsid w:val="0074293A"/>
    <w:rsid w:val="007533C9"/>
    <w:rsid w:val="00802FDF"/>
    <w:rsid w:val="00803355"/>
    <w:rsid w:val="00810670"/>
    <w:rsid w:val="00841189"/>
    <w:rsid w:val="00841560"/>
    <w:rsid w:val="008E291C"/>
    <w:rsid w:val="0096345D"/>
    <w:rsid w:val="009F70B8"/>
    <w:rsid w:val="00A0503A"/>
    <w:rsid w:val="00A24EF7"/>
    <w:rsid w:val="00A37921"/>
    <w:rsid w:val="00AC4824"/>
    <w:rsid w:val="00AF7E21"/>
    <w:rsid w:val="00B2509E"/>
    <w:rsid w:val="00BA00F9"/>
    <w:rsid w:val="00C1571A"/>
    <w:rsid w:val="00C471FE"/>
    <w:rsid w:val="00C5518B"/>
    <w:rsid w:val="00C762D2"/>
    <w:rsid w:val="00DA22F5"/>
    <w:rsid w:val="00DC0389"/>
    <w:rsid w:val="00DD11B7"/>
    <w:rsid w:val="00DD661C"/>
    <w:rsid w:val="00E07813"/>
    <w:rsid w:val="00E17AF8"/>
    <w:rsid w:val="00E51130"/>
    <w:rsid w:val="00E726CC"/>
    <w:rsid w:val="00EC69F3"/>
    <w:rsid w:val="00ED26E6"/>
    <w:rsid w:val="00ED318A"/>
    <w:rsid w:val="00F47599"/>
    <w:rsid w:val="00F63E86"/>
    <w:rsid w:val="00FB1E70"/>
    <w:rsid w:val="00FC6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6F192"/>
  <w15:chartTrackingRefBased/>
  <w15:docId w15:val="{1A685C4F-2B79-4AC4-8CEF-BE033A02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813"/>
  </w:style>
  <w:style w:type="paragraph" w:styleId="Heading1">
    <w:name w:val="heading 1"/>
    <w:basedOn w:val="Normal"/>
    <w:next w:val="Normal"/>
    <w:link w:val="Heading1Char"/>
    <w:uiPriority w:val="9"/>
    <w:qFormat/>
    <w:rsid w:val="000300E4"/>
    <w:pPr>
      <w:keepNext/>
      <w:keepLines/>
      <w:spacing w:before="360" w:after="80"/>
      <w:outlineLvl w:val="0"/>
    </w:pPr>
    <w:rPr>
      <w:rFonts w:asciiTheme="majorHAnsi" w:eastAsiaTheme="majorEastAsia" w:hAnsiTheme="majorHAnsi" w:cstheme="majorBidi"/>
      <w:b/>
      <w:color w:val="000000" w:themeColor="text1"/>
      <w:sz w:val="40"/>
      <w:szCs w:val="40"/>
    </w:rPr>
  </w:style>
  <w:style w:type="paragraph" w:styleId="Heading2">
    <w:name w:val="heading 2"/>
    <w:basedOn w:val="Normal"/>
    <w:next w:val="Normal"/>
    <w:link w:val="Heading2Char"/>
    <w:uiPriority w:val="9"/>
    <w:unhideWhenUsed/>
    <w:qFormat/>
    <w:rsid w:val="00803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335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335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0335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0335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0335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0335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0335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0E4"/>
    <w:rPr>
      <w:rFonts w:asciiTheme="majorHAnsi" w:eastAsiaTheme="majorEastAsia" w:hAnsiTheme="majorHAnsi" w:cstheme="majorBidi"/>
      <w:b/>
      <w:color w:val="000000" w:themeColor="text1"/>
      <w:sz w:val="40"/>
      <w:szCs w:val="40"/>
    </w:rPr>
  </w:style>
  <w:style w:type="character" w:customStyle="1" w:styleId="Heading2Char">
    <w:name w:val="Heading 2 Char"/>
    <w:basedOn w:val="DefaultParagraphFont"/>
    <w:link w:val="Heading2"/>
    <w:uiPriority w:val="9"/>
    <w:rsid w:val="00803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335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80335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0335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0335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0335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0335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0335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300E4"/>
    <w:pPr>
      <w:spacing w:after="80" w:line="240" w:lineRule="auto"/>
      <w:contextualSpacing/>
    </w:pPr>
    <w:rPr>
      <w:rFonts w:asciiTheme="majorHAnsi" w:eastAsiaTheme="majorEastAsia" w:hAnsiTheme="majorHAnsi" w:cstheme="majorBidi"/>
      <w:b/>
      <w:color w:val="156082" w:themeColor="accent1"/>
      <w:spacing w:val="-10"/>
      <w:kern w:val="28"/>
      <w:sz w:val="60"/>
      <w:szCs w:val="56"/>
    </w:rPr>
  </w:style>
  <w:style w:type="character" w:customStyle="1" w:styleId="TitleChar">
    <w:name w:val="Title Char"/>
    <w:basedOn w:val="DefaultParagraphFont"/>
    <w:link w:val="Title"/>
    <w:uiPriority w:val="10"/>
    <w:rsid w:val="000300E4"/>
    <w:rPr>
      <w:rFonts w:asciiTheme="majorHAnsi" w:eastAsiaTheme="majorEastAsia" w:hAnsiTheme="majorHAnsi" w:cstheme="majorBidi"/>
      <w:b/>
      <w:color w:val="156082" w:themeColor="accent1"/>
      <w:spacing w:val="-10"/>
      <w:kern w:val="28"/>
      <w:sz w:val="60"/>
      <w:szCs w:val="56"/>
    </w:rPr>
  </w:style>
  <w:style w:type="paragraph" w:styleId="Subtitle">
    <w:name w:val="Subtitle"/>
    <w:basedOn w:val="Normal"/>
    <w:next w:val="Normal"/>
    <w:link w:val="SubtitleChar"/>
    <w:uiPriority w:val="11"/>
    <w:qFormat/>
    <w:rsid w:val="0080335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35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033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3355"/>
    <w:rPr>
      <w:i/>
      <w:iCs/>
      <w:color w:val="404040" w:themeColor="text1" w:themeTint="BF"/>
    </w:rPr>
  </w:style>
  <w:style w:type="paragraph" w:styleId="ListParagraph">
    <w:name w:val="List Paragraph"/>
    <w:basedOn w:val="Normal"/>
    <w:uiPriority w:val="34"/>
    <w:qFormat/>
    <w:rsid w:val="00803355"/>
    <w:pPr>
      <w:ind w:left="720"/>
      <w:contextualSpacing/>
    </w:pPr>
  </w:style>
  <w:style w:type="character" w:styleId="IntenseEmphasis">
    <w:name w:val="Intense Emphasis"/>
    <w:basedOn w:val="DefaultParagraphFont"/>
    <w:uiPriority w:val="21"/>
    <w:qFormat/>
    <w:rsid w:val="00803355"/>
    <w:rPr>
      <w:i/>
      <w:iCs/>
      <w:color w:val="0F4761" w:themeColor="accent1" w:themeShade="BF"/>
    </w:rPr>
  </w:style>
  <w:style w:type="paragraph" w:styleId="IntenseQuote">
    <w:name w:val="Intense Quote"/>
    <w:basedOn w:val="Normal"/>
    <w:next w:val="Normal"/>
    <w:link w:val="IntenseQuoteChar"/>
    <w:uiPriority w:val="30"/>
    <w:qFormat/>
    <w:rsid w:val="00803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355"/>
    <w:rPr>
      <w:i/>
      <w:iCs/>
      <w:color w:val="0F4761" w:themeColor="accent1" w:themeShade="BF"/>
    </w:rPr>
  </w:style>
  <w:style w:type="character" w:styleId="IntenseReference">
    <w:name w:val="Intense Reference"/>
    <w:basedOn w:val="DefaultParagraphFont"/>
    <w:uiPriority w:val="32"/>
    <w:qFormat/>
    <w:rsid w:val="00803355"/>
    <w:rPr>
      <w:b/>
      <w:bCs/>
      <w:smallCaps/>
      <w:color w:val="0F4761" w:themeColor="accent1" w:themeShade="BF"/>
      <w:spacing w:val="5"/>
    </w:rPr>
  </w:style>
  <w:style w:type="character" w:styleId="Strong">
    <w:name w:val="Strong"/>
    <w:basedOn w:val="DefaultParagraphFont"/>
    <w:uiPriority w:val="22"/>
    <w:qFormat/>
    <w:rsid w:val="00F47599"/>
    <w:rPr>
      <w:b w:val="0"/>
      <w:bCs/>
      <w:i/>
    </w:rPr>
  </w:style>
  <w:style w:type="character" w:styleId="Hyperlink">
    <w:name w:val="Hyperlink"/>
    <w:basedOn w:val="DefaultParagraphFont"/>
    <w:uiPriority w:val="99"/>
    <w:unhideWhenUsed/>
    <w:rsid w:val="001847CB"/>
    <w:rPr>
      <w:color w:val="467886" w:themeColor="hyperlink"/>
      <w:u w:val="single"/>
    </w:rPr>
  </w:style>
  <w:style w:type="character" w:styleId="UnresolvedMention">
    <w:name w:val="Unresolved Mention"/>
    <w:basedOn w:val="DefaultParagraphFont"/>
    <w:uiPriority w:val="99"/>
    <w:semiHidden/>
    <w:unhideWhenUsed/>
    <w:rsid w:val="001847CB"/>
    <w:rPr>
      <w:color w:val="605E5C"/>
      <w:shd w:val="clear" w:color="auto" w:fill="E1DFDD"/>
    </w:rPr>
  </w:style>
  <w:style w:type="paragraph" w:styleId="TOCHeading">
    <w:name w:val="TOC Heading"/>
    <w:basedOn w:val="Heading1"/>
    <w:next w:val="Normal"/>
    <w:uiPriority w:val="39"/>
    <w:unhideWhenUsed/>
    <w:qFormat/>
    <w:rsid w:val="00810670"/>
    <w:pPr>
      <w:spacing w:before="240" w:after="0" w:line="259" w:lineRule="auto"/>
      <w:outlineLvl w:val="9"/>
    </w:pPr>
    <w:rPr>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810670"/>
    <w:pPr>
      <w:spacing w:after="100"/>
    </w:pPr>
  </w:style>
  <w:style w:type="paragraph" w:styleId="TOC2">
    <w:name w:val="toc 2"/>
    <w:basedOn w:val="Normal"/>
    <w:next w:val="Normal"/>
    <w:autoRedefine/>
    <w:uiPriority w:val="39"/>
    <w:unhideWhenUsed/>
    <w:rsid w:val="00810670"/>
    <w:pPr>
      <w:spacing w:after="100"/>
      <w:ind w:left="220"/>
    </w:pPr>
  </w:style>
  <w:style w:type="paragraph" w:styleId="TOC3">
    <w:name w:val="toc 3"/>
    <w:basedOn w:val="Normal"/>
    <w:next w:val="Normal"/>
    <w:autoRedefine/>
    <w:uiPriority w:val="39"/>
    <w:unhideWhenUsed/>
    <w:rsid w:val="008106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gland.nhs.uk" TargetMode="External"/><Relationship Id="rId18" Type="http://schemas.openxmlformats.org/officeDocument/2006/relationships/hyperlink" Target="https://www.kingsfund.org.uk" TargetMode="External"/><Relationship Id="rId3" Type="http://schemas.openxmlformats.org/officeDocument/2006/relationships/customXml" Target="../customXml/item3.xml"/><Relationship Id="rId21" Type="http://schemas.openxmlformats.org/officeDocument/2006/relationships/hyperlink" Target="https://www.gov.uk/government/publications/thirlwall-inquiry-terms-of-reference" TargetMode="External"/><Relationship Id="rId7" Type="http://schemas.openxmlformats.org/officeDocument/2006/relationships/settings" Target="settings.xml"/><Relationship Id="rId12" Type="http://schemas.openxmlformats.org/officeDocument/2006/relationships/hyperlink" Target="https://www.ihi.org" TargetMode="External"/><Relationship Id="rId17" Type="http://schemas.openxmlformats.org/officeDocument/2006/relationships/hyperlink" Target="https://www.theguardian.com/uk-news/article/2024/sep/08/a-superbug-doctor-shortages-and-a-neonatal-unit-out-of-its-depth-failures-at-lucy-letby-hospital-revealed?utm_source=chatgpt.com" TargetMode="External"/><Relationship Id="rId2" Type="http://schemas.openxmlformats.org/officeDocument/2006/relationships/customXml" Target="../customXml/item2.xml"/><Relationship Id="rId16" Type="http://schemas.openxmlformats.org/officeDocument/2006/relationships/hyperlink" Target="https://www.nuffieldtrust.org.uk" TargetMode="External"/><Relationship Id="rId20" Type="http://schemas.openxmlformats.org/officeDocument/2006/relationships/hyperlink" Target="https://www.kingsfund.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hi.org"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ngland.nhs.uk/patient-safety/" TargetMode="External"/><Relationship Id="rId23" Type="http://schemas.openxmlformats.org/officeDocument/2006/relationships/fontTable" Target="fontTable.xml"/><Relationship Id="rId10" Type="http://schemas.openxmlformats.org/officeDocument/2006/relationships/hyperlink" Target="https://www.cqc.org.uk/guidance-providers/gps/gp-mythbusters/gp-mythbuster-87-freedom-to-speak-up" TargetMode="External"/><Relationship Id="rId19" Type="http://schemas.openxmlformats.org/officeDocument/2006/relationships/hyperlink" Target="https://www.kingsfund.org.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england.nhs.uk/ourwork/freedom-to-speak-up/?utm_source=chatgpt.com" TargetMode="External"/><Relationship Id="rId22" Type="http://schemas.openxmlformats.org/officeDocument/2006/relationships/hyperlink" Target="https://www.who.int/publications/i/item/97892400327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b4c2d44543864d33d5ae424bbd8791f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35bc93f2d0aa29775d5c7e2f16e780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70DB01-BB90-4CE6-8BC5-D9287FE09420}">
  <ds:schemaRefs>
    <ds:schemaRef ds:uri="http://schemas.openxmlformats.org/officeDocument/2006/bibliography"/>
  </ds:schemaRefs>
</ds:datastoreItem>
</file>

<file path=customXml/itemProps2.xml><?xml version="1.0" encoding="utf-8"?>
<ds:datastoreItem xmlns:ds="http://schemas.openxmlformats.org/officeDocument/2006/customXml" ds:itemID="{C4AC2C62-9A26-43E4-97D0-CD82D3FBC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D8DB5C-0B5A-474E-A34A-9815DAE3DCE2}">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7CEEF411-2154-499D-8228-BAB5898F4F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14</Pages>
  <Words>4412</Words>
  <Characters>25152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Latorre Restrepo (2231782)</dc:creator>
  <cp:keywords/>
  <dc:description/>
  <cp:lastModifiedBy>Paula Andrea Latorre Restrepo (2231782)</cp:lastModifiedBy>
  <cp:revision>66</cp:revision>
  <dcterms:created xsi:type="dcterms:W3CDTF">2026-08-05T01:08:00Z</dcterms:created>
  <dcterms:modified xsi:type="dcterms:W3CDTF">2026-08-12T13:46:00Z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