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78AE6" w14:textId="77777777" w:rsidR="009E14D5" w:rsidRDefault="009E14D5" w:rsidP="009E14D5">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University of Wales Trinity Saint David</w:t>
      </w:r>
    </w:p>
    <w:p w14:paraId="0A385D98" w14:textId="77777777" w:rsidR="009E14D5" w:rsidRDefault="009E14D5" w:rsidP="009E14D5">
      <w:pPr>
        <w:pStyle w:val="Heading1"/>
        <w:pBdr>
          <w:top w:val="single" w:sz="4" w:space="0" w:color="auto"/>
          <w:bottom w:val="single" w:sz="4" w:space="3" w:color="auto"/>
        </w:pBdr>
        <w:shd w:val="pct30" w:color="auto" w:fill="FFFFFF"/>
        <w:jc w:val="both"/>
        <w:rPr>
          <w:rFonts w:cs="Arial"/>
          <w:sz w:val="28"/>
          <w:szCs w:val="28"/>
        </w:rPr>
      </w:pPr>
    </w:p>
    <w:p w14:paraId="2F6B4100" w14:textId="77777777" w:rsidR="009E14D5" w:rsidRDefault="009E14D5" w:rsidP="009E14D5">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 xml:space="preserve">Law and Legal Practice </w:t>
      </w:r>
    </w:p>
    <w:p w14:paraId="40A959FE" w14:textId="77777777" w:rsidR="009E14D5" w:rsidRDefault="009E14D5" w:rsidP="009E14D5">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p>
    <w:p w14:paraId="3BEE3991" w14:textId="77777777" w:rsidR="009E14D5" w:rsidRDefault="009E14D5" w:rsidP="009E14D5">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Research Response Sheet</w:t>
      </w:r>
    </w:p>
    <w:p w14:paraId="7D10E87C" w14:textId="77777777" w:rsidR="00B21BBB" w:rsidRPr="00A849F3" w:rsidRDefault="00B21BBB" w:rsidP="00B21BBB">
      <w:pPr>
        <w:pBdr>
          <w:top w:val="single" w:sz="4" w:space="0" w:color="auto"/>
          <w:left w:val="single" w:sz="4" w:space="4" w:color="auto"/>
          <w:bottom w:val="single" w:sz="4" w:space="3" w:color="auto"/>
          <w:right w:val="single" w:sz="4" w:space="4" w:color="auto"/>
        </w:pBdr>
        <w:shd w:val="pct30" w:color="auto" w:fill="FFFFFF"/>
        <w:jc w:val="both"/>
        <w:rPr>
          <w:rFonts w:ascii="Times New Roman" w:hAnsi="Times New Roman"/>
          <w:b/>
          <w:sz w:val="24"/>
          <w:szCs w:val="24"/>
        </w:rPr>
      </w:pPr>
    </w:p>
    <w:p w14:paraId="0CB3C786" w14:textId="77777777" w:rsidR="00B21BBB" w:rsidRPr="00A849F3" w:rsidRDefault="00B21BBB" w:rsidP="00B21BBB">
      <w:pPr>
        <w:rPr>
          <w:rFonts w:ascii="Times New Roman" w:hAnsi="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rsidRPr="00A849F3" w14:paraId="281E1CF1" w14:textId="77777777" w:rsidTr="00B21BBB">
        <w:tc>
          <w:tcPr>
            <w:tcW w:w="8856" w:type="dxa"/>
            <w:tcBorders>
              <w:top w:val="single" w:sz="4" w:space="0" w:color="auto"/>
              <w:left w:val="single" w:sz="4" w:space="0" w:color="auto"/>
              <w:bottom w:val="single" w:sz="4" w:space="0" w:color="auto"/>
              <w:right w:val="single" w:sz="4" w:space="0" w:color="auto"/>
            </w:tcBorders>
          </w:tcPr>
          <w:p w14:paraId="67FA1780" w14:textId="4334C258" w:rsidR="00B21BBB" w:rsidRPr="00A849F3" w:rsidRDefault="00B21BBB">
            <w:pPr>
              <w:tabs>
                <w:tab w:val="left" w:leader="dot" w:pos="8690"/>
              </w:tabs>
              <w:rPr>
                <w:rFonts w:ascii="Times New Roman" w:hAnsi="Times New Roman"/>
                <w:b/>
                <w:sz w:val="24"/>
                <w:szCs w:val="24"/>
              </w:rPr>
            </w:pPr>
            <w:r w:rsidRPr="00A849F3">
              <w:rPr>
                <w:rFonts w:ascii="Times New Roman" w:hAnsi="Times New Roman"/>
                <w:b/>
                <w:sz w:val="24"/>
                <w:szCs w:val="24"/>
              </w:rPr>
              <w:t>SUMMARY OF PROBLEM</w:t>
            </w:r>
          </w:p>
          <w:p w14:paraId="2E598E47" w14:textId="1D9F0B73" w:rsidR="004B79B4" w:rsidRPr="00A849F3" w:rsidRDefault="00D5121C">
            <w:pPr>
              <w:tabs>
                <w:tab w:val="left" w:leader="dot" w:pos="8690"/>
              </w:tabs>
              <w:rPr>
                <w:rFonts w:ascii="Times New Roman" w:hAnsi="Times New Roman"/>
                <w:b/>
                <w:sz w:val="24"/>
                <w:szCs w:val="24"/>
              </w:rPr>
            </w:pPr>
            <w:r w:rsidRPr="00A849F3">
              <w:rPr>
                <w:rFonts w:ascii="Times New Roman" w:hAnsi="Times New Roman"/>
                <w:b/>
                <w:sz w:val="24"/>
                <w:szCs w:val="24"/>
              </w:rPr>
              <w:t>Our client</w:t>
            </w:r>
            <w:r w:rsidR="004B79B4" w:rsidRPr="00A849F3">
              <w:rPr>
                <w:rFonts w:ascii="Times New Roman" w:hAnsi="Times New Roman"/>
                <w:b/>
                <w:sz w:val="24"/>
                <w:szCs w:val="24"/>
              </w:rPr>
              <w:t xml:space="preserve"> Mr. Bashir a respected property developer</w:t>
            </w:r>
            <w:r w:rsidRPr="00A849F3">
              <w:rPr>
                <w:rFonts w:ascii="Times New Roman" w:hAnsi="Times New Roman"/>
                <w:b/>
                <w:sz w:val="24"/>
                <w:szCs w:val="24"/>
              </w:rPr>
              <w:t>, has proposed</w:t>
            </w:r>
            <w:r w:rsidR="004B79B4" w:rsidRPr="00A849F3">
              <w:rPr>
                <w:rFonts w:ascii="Times New Roman" w:hAnsi="Times New Roman"/>
                <w:b/>
                <w:sz w:val="24"/>
                <w:szCs w:val="24"/>
              </w:rPr>
              <w:t xml:space="preserve"> to form a non-profit community centre in the area he was raised in. </w:t>
            </w:r>
          </w:p>
          <w:p w14:paraId="00646FB5" w14:textId="77B156C0" w:rsidR="00B21BBB" w:rsidRPr="00A849F3" w:rsidRDefault="00D5121C" w:rsidP="00D5121C">
            <w:pPr>
              <w:tabs>
                <w:tab w:val="left" w:leader="dot" w:pos="8690"/>
              </w:tabs>
              <w:rPr>
                <w:rFonts w:ascii="Times New Roman" w:hAnsi="Times New Roman"/>
                <w:b/>
                <w:sz w:val="24"/>
                <w:szCs w:val="24"/>
              </w:rPr>
            </w:pPr>
            <w:r w:rsidRPr="00A849F3">
              <w:rPr>
                <w:rFonts w:ascii="Times New Roman" w:hAnsi="Times New Roman"/>
                <w:b/>
                <w:sz w:val="24"/>
                <w:szCs w:val="24"/>
              </w:rPr>
              <w:t>The task at hand is to research how this venture can be formalised.</w:t>
            </w:r>
            <w:r w:rsidR="00CE0044" w:rsidRPr="00A849F3">
              <w:rPr>
                <w:rFonts w:ascii="Times New Roman" w:hAnsi="Times New Roman"/>
                <w:b/>
                <w:sz w:val="24"/>
                <w:szCs w:val="24"/>
              </w:rPr>
              <w:t xml:space="preserve"> Below I will set out how this can be achieved.</w:t>
            </w:r>
          </w:p>
        </w:tc>
      </w:tr>
    </w:tbl>
    <w:p w14:paraId="26490725" w14:textId="77777777" w:rsidR="00B21BBB" w:rsidRPr="00A849F3" w:rsidRDefault="00B21BBB" w:rsidP="00B21BBB">
      <w:pPr>
        <w:tabs>
          <w:tab w:val="left" w:leader="dot" w:pos="8690"/>
        </w:tabs>
        <w:rPr>
          <w:rFonts w:ascii="Times New Roman" w:hAnsi="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rsidRPr="00A849F3" w14:paraId="73D5B08E" w14:textId="77777777" w:rsidTr="00B21BBB">
        <w:tc>
          <w:tcPr>
            <w:tcW w:w="8856" w:type="dxa"/>
            <w:tcBorders>
              <w:top w:val="single" w:sz="4" w:space="0" w:color="auto"/>
              <w:left w:val="single" w:sz="4" w:space="0" w:color="auto"/>
              <w:bottom w:val="single" w:sz="4" w:space="0" w:color="auto"/>
              <w:right w:val="single" w:sz="4" w:space="0" w:color="auto"/>
            </w:tcBorders>
          </w:tcPr>
          <w:p w14:paraId="5AA3E424" w14:textId="77777777" w:rsidR="00B21BBB" w:rsidRPr="00A849F3" w:rsidRDefault="00B21BBB">
            <w:pPr>
              <w:tabs>
                <w:tab w:val="left" w:leader="dot" w:pos="8690"/>
              </w:tabs>
              <w:rPr>
                <w:rFonts w:ascii="Times New Roman" w:hAnsi="Times New Roman"/>
                <w:b/>
                <w:sz w:val="24"/>
                <w:szCs w:val="24"/>
              </w:rPr>
            </w:pPr>
            <w:r w:rsidRPr="00A849F3">
              <w:rPr>
                <w:rFonts w:ascii="Times New Roman" w:hAnsi="Times New Roman"/>
                <w:b/>
                <w:sz w:val="24"/>
                <w:szCs w:val="24"/>
              </w:rPr>
              <w:t>KEY WORDS OR PHRASES</w:t>
            </w:r>
          </w:p>
          <w:p w14:paraId="04C95258" w14:textId="449A3A9B" w:rsidR="00136602" w:rsidRPr="00A849F3" w:rsidRDefault="00136602">
            <w:pPr>
              <w:tabs>
                <w:tab w:val="left" w:leader="dot" w:pos="8690"/>
              </w:tabs>
              <w:rPr>
                <w:rFonts w:ascii="Times New Roman" w:hAnsi="Times New Roman"/>
                <w:sz w:val="24"/>
                <w:szCs w:val="24"/>
              </w:rPr>
            </w:pPr>
            <w:r w:rsidRPr="00A849F3">
              <w:rPr>
                <w:rFonts w:ascii="Times New Roman" w:hAnsi="Times New Roman"/>
                <w:sz w:val="24"/>
                <w:szCs w:val="24"/>
              </w:rPr>
              <w:t>Limited company</w:t>
            </w:r>
          </w:p>
          <w:p w14:paraId="69848188" w14:textId="3F03E5B2" w:rsidR="00871D6E" w:rsidRPr="00A849F3" w:rsidRDefault="00360DF2">
            <w:pPr>
              <w:tabs>
                <w:tab w:val="left" w:leader="dot" w:pos="8690"/>
              </w:tabs>
              <w:rPr>
                <w:rFonts w:ascii="Times New Roman" w:hAnsi="Times New Roman"/>
                <w:sz w:val="24"/>
                <w:szCs w:val="24"/>
              </w:rPr>
            </w:pPr>
            <w:r w:rsidRPr="00A849F3">
              <w:rPr>
                <w:rFonts w:ascii="Times New Roman" w:hAnsi="Times New Roman"/>
                <w:sz w:val="24"/>
                <w:szCs w:val="24"/>
              </w:rPr>
              <w:t>Corporate vale</w:t>
            </w:r>
          </w:p>
          <w:p w14:paraId="75A421E8" w14:textId="23AED25F" w:rsidR="00FF4A5D" w:rsidRPr="00A849F3" w:rsidRDefault="00FF4A5D">
            <w:pPr>
              <w:tabs>
                <w:tab w:val="left" w:leader="dot" w:pos="8690"/>
              </w:tabs>
              <w:rPr>
                <w:rFonts w:ascii="Times New Roman" w:hAnsi="Times New Roman"/>
                <w:sz w:val="24"/>
                <w:szCs w:val="24"/>
              </w:rPr>
            </w:pPr>
            <w:r w:rsidRPr="00A849F3">
              <w:rPr>
                <w:rFonts w:ascii="Times New Roman" w:hAnsi="Times New Roman"/>
                <w:sz w:val="24"/>
                <w:szCs w:val="24"/>
              </w:rPr>
              <w:t>Community interest company</w:t>
            </w:r>
          </w:p>
          <w:p w14:paraId="387F69D1" w14:textId="3E4CE85A" w:rsidR="00FF4A5D" w:rsidRPr="00A849F3" w:rsidRDefault="00FF4A5D">
            <w:pPr>
              <w:tabs>
                <w:tab w:val="left" w:leader="dot" w:pos="8690"/>
              </w:tabs>
              <w:rPr>
                <w:rFonts w:ascii="Times New Roman" w:hAnsi="Times New Roman"/>
                <w:sz w:val="24"/>
                <w:szCs w:val="24"/>
              </w:rPr>
            </w:pPr>
            <w:r w:rsidRPr="00A849F3">
              <w:rPr>
                <w:rFonts w:ascii="Times New Roman" w:hAnsi="Times New Roman"/>
                <w:sz w:val="24"/>
                <w:szCs w:val="24"/>
              </w:rPr>
              <w:t>Charitable aims</w:t>
            </w:r>
          </w:p>
          <w:p w14:paraId="5C7420C7" w14:textId="277A8F7A" w:rsidR="00B21BBB" w:rsidRPr="00A849F3" w:rsidRDefault="004B79B4">
            <w:pPr>
              <w:tabs>
                <w:tab w:val="left" w:leader="dot" w:pos="8690"/>
              </w:tabs>
              <w:rPr>
                <w:rFonts w:ascii="Times New Roman" w:hAnsi="Times New Roman"/>
                <w:sz w:val="24"/>
                <w:szCs w:val="24"/>
              </w:rPr>
            </w:pPr>
            <w:r w:rsidRPr="00A849F3">
              <w:rPr>
                <w:rFonts w:ascii="Times New Roman" w:hAnsi="Times New Roman"/>
                <w:sz w:val="24"/>
                <w:szCs w:val="24"/>
              </w:rPr>
              <w:t>Non profitable charity</w:t>
            </w:r>
          </w:p>
          <w:p w14:paraId="23DEF970" w14:textId="70D66B52" w:rsidR="00FF4A5D" w:rsidRPr="00A849F3" w:rsidRDefault="00FF4A5D">
            <w:pPr>
              <w:tabs>
                <w:tab w:val="left" w:leader="dot" w:pos="8690"/>
              </w:tabs>
              <w:rPr>
                <w:rFonts w:ascii="Times New Roman" w:hAnsi="Times New Roman"/>
                <w:sz w:val="24"/>
                <w:szCs w:val="24"/>
              </w:rPr>
            </w:pPr>
            <w:r w:rsidRPr="00A849F3">
              <w:rPr>
                <w:rFonts w:ascii="Times New Roman" w:hAnsi="Times New Roman"/>
                <w:sz w:val="24"/>
                <w:szCs w:val="24"/>
              </w:rPr>
              <w:t>Community centre</w:t>
            </w:r>
          </w:p>
          <w:p w14:paraId="26C62730" w14:textId="72E5F6C1" w:rsidR="004B79B4" w:rsidRPr="00A849F3" w:rsidRDefault="004B79B4">
            <w:pPr>
              <w:tabs>
                <w:tab w:val="left" w:leader="dot" w:pos="8690"/>
              </w:tabs>
              <w:rPr>
                <w:rFonts w:ascii="Times New Roman" w:hAnsi="Times New Roman"/>
                <w:sz w:val="24"/>
                <w:szCs w:val="24"/>
              </w:rPr>
            </w:pPr>
            <w:r w:rsidRPr="00A849F3">
              <w:rPr>
                <w:rFonts w:ascii="Times New Roman" w:hAnsi="Times New Roman"/>
                <w:sz w:val="24"/>
                <w:szCs w:val="24"/>
              </w:rPr>
              <w:t>Company formation</w:t>
            </w:r>
          </w:p>
          <w:p w14:paraId="7B384A63" w14:textId="5B739A80" w:rsidR="004B79B4" w:rsidRPr="00A849F3" w:rsidRDefault="004B79B4">
            <w:pPr>
              <w:tabs>
                <w:tab w:val="left" w:leader="dot" w:pos="8690"/>
              </w:tabs>
              <w:rPr>
                <w:rFonts w:ascii="Times New Roman" w:hAnsi="Times New Roman"/>
                <w:sz w:val="24"/>
                <w:szCs w:val="24"/>
              </w:rPr>
            </w:pPr>
            <w:r w:rsidRPr="00A849F3">
              <w:rPr>
                <w:rFonts w:ascii="Times New Roman" w:hAnsi="Times New Roman"/>
                <w:sz w:val="24"/>
                <w:szCs w:val="24"/>
              </w:rPr>
              <w:t>Local legislations</w:t>
            </w:r>
          </w:p>
          <w:p w14:paraId="7CFB0161" w14:textId="4F9E22E7" w:rsidR="00D15872" w:rsidRPr="00A849F3" w:rsidRDefault="00D15872">
            <w:pPr>
              <w:tabs>
                <w:tab w:val="left" w:leader="dot" w:pos="8690"/>
              </w:tabs>
              <w:rPr>
                <w:rFonts w:ascii="Times New Roman" w:hAnsi="Times New Roman"/>
                <w:sz w:val="24"/>
                <w:szCs w:val="24"/>
              </w:rPr>
            </w:pPr>
            <w:r w:rsidRPr="00A849F3">
              <w:rPr>
                <w:rFonts w:ascii="Times New Roman" w:hAnsi="Times New Roman"/>
                <w:sz w:val="24"/>
                <w:szCs w:val="24"/>
              </w:rPr>
              <w:t>Land Law</w:t>
            </w:r>
          </w:p>
          <w:p w14:paraId="00ADD415" w14:textId="19E1D060" w:rsidR="00D15872" w:rsidRPr="00A849F3" w:rsidRDefault="00D15872">
            <w:pPr>
              <w:tabs>
                <w:tab w:val="left" w:leader="dot" w:pos="8690"/>
              </w:tabs>
              <w:rPr>
                <w:rFonts w:ascii="Times New Roman" w:hAnsi="Times New Roman"/>
                <w:sz w:val="24"/>
                <w:szCs w:val="24"/>
              </w:rPr>
            </w:pPr>
            <w:r w:rsidRPr="00A849F3">
              <w:rPr>
                <w:rFonts w:ascii="Times New Roman" w:hAnsi="Times New Roman"/>
                <w:sz w:val="24"/>
                <w:szCs w:val="24"/>
              </w:rPr>
              <w:t>Ownership</w:t>
            </w:r>
          </w:p>
          <w:p w14:paraId="5D1D7F01" w14:textId="1841DBFF" w:rsidR="00D15872" w:rsidRPr="00A849F3" w:rsidRDefault="00D15872">
            <w:pPr>
              <w:tabs>
                <w:tab w:val="left" w:leader="dot" w:pos="8690"/>
              </w:tabs>
              <w:rPr>
                <w:rFonts w:ascii="Times New Roman" w:hAnsi="Times New Roman"/>
                <w:sz w:val="24"/>
                <w:szCs w:val="24"/>
              </w:rPr>
            </w:pPr>
            <w:r w:rsidRPr="00A849F3">
              <w:rPr>
                <w:rFonts w:ascii="Times New Roman" w:hAnsi="Times New Roman"/>
                <w:sz w:val="24"/>
                <w:szCs w:val="24"/>
              </w:rPr>
              <w:t>Acquisition</w:t>
            </w:r>
          </w:p>
          <w:p w14:paraId="118B537F" w14:textId="108BBE27" w:rsidR="004B79B4" w:rsidRPr="00A849F3" w:rsidRDefault="004B79B4">
            <w:pPr>
              <w:tabs>
                <w:tab w:val="left" w:leader="dot" w:pos="8690"/>
              </w:tabs>
              <w:rPr>
                <w:rFonts w:ascii="Times New Roman" w:hAnsi="Times New Roman"/>
                <w:sz w:val="24"/>
                <w:szCs w:val="24"/>
              </w:rPr>
            </w:pPr>
            <w:r w:rsidRPr="00A849F3">
              <w:rPr>
                <w:rFonts w:ascii="Times New Roman" w:hAnsi="Times New Roman"/>
                <w:sz w:val="24"/>
                <w:szCs w:val="24"/>
              </w:rPr>
              <w:t>Land registry</w:t>
            </w:r>
          </w:p>
          <w:p w14:paraId="5C0A88CD" w14:textId="77777777" w:rsidR="004B79B4" w:rsidRPr="00A849F3" w:rsidRDefault="004B79B4">
            <w:pPr>
              <w:tabs>
                <w:tab w:val="left" w:leader="dot" w:pos="8690"/>
              </w:tabs>
              <w:rPr>
                <w:rFonts w:ascii="Times New Roman" w:hAnsi="Times New Roman"/>
                <w:sz w:val="24"/>
                <w:szCs w:val="24"/>
              </w:rPr>
            </w:pPr>
          </w:p>
          <w:p w14:paraId="6E1A5B1D" w14:textId="77777777" w:rsidR="00B21BBB" w:rsidRPr="00A849F3" w:rsidRDefault="00B21BBB">
            <w:pPr>
              <w:tabs>
                <w:tab w:val="left" w:leader="dot" w:pos="8690"/>
              </w:tabs>
              <w:rPr>
                <w:rFonts w:ascii="Times New Roman" w:hAnsi="Times New Roman"/>
                <w:sz w:val="24"/>
                <w:szCs w:val="24"/>
              </w:rPr>
            </w:pPr>
          </w:p>
          <w:p w14:paraId="04266C2A" w14:textId="77777777" w:rsidR="00B21BBB" w:rsidRPr="00A849F3" w:rsidRDefault="00B21BBB">
            <w:pPr>
              <w:tabs>
                <w:tab w:val="left" w:leader="dot" w:pos="8690"/>
              </w:tabs>
              <w:rPr>
                <w:rFonts w:ascii="Times New Roman" w:hAnsi="Times New Roman"/>
                <w:sz w:val="24"/>
                <w:szCs w:val="24"/>
              </w:rPr>
            </w:pPr>
          </w:p>
          <w:p w14:paraId="511027DA" w14:textId="77777777" w:rsidR="00B21BBB" w:rsidRPr="00A849F3" w:rsidRDefault="00B21BBB">
            <w:pPr>
              <w:tabs>
                <w:tab w:val="left" w:leader="dot" w:pos="8690"/>
              </w:tabs>
              <w:rPr>
                <w:rFonts w:ascii="Times New Roman" w:hAnsi="Times New Roman"/>
                <w:sz w:val="24"/>
                <w:szCs w:val="24"/>
              </w:rPr>
            </w:pPr>
          </w:p>
        </w:tc>
      </w:tr>
    </w:tbl>
    <w:p w14:paraId="67E33A09" w14:textId="77777777" w:rsidR="00B21BBB" w:rsidRPr="00A849F3" w:rsidRDefault="00B21BBB" w:rsidP="00B21BBB">
      <w:pPr>
        <w:tabs>
          <w:tab w:val="left" w:leader="dot" w:pos="8690"/>
        </w:tabs>
        <w:rPr>
          <w:rFonts w:ascii="Times New Roman" w:hAnsi="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rsidRPr="00A849F3" w14:paraId="10902742" w14:textId="77777777" w:rsidTr="00B21BBB">
        <w:tc>
          <w:tcPr>
            <w:tcW w:w="8856" w:type="dxa"/>
            <w:tcBorders>
              <w:top w:val="single" w:sz="4" w:space="0" w:color="auto"/>
              <w:left w:val="single" w:sz="4" w:space="0" w:color="auto"/>
              <w:bottom w:val="single" w:sz="4" w:space="0" w:color="auto"/>
              <w:right w:val="single" w:sz="4" w:space="0" w:color="auto"/>
            </w:tcBorders>
          </w:tcPr>
          <w:p w14:paraId="13364E41" w14:textId="77777777" w:rsidR="00B21BBB" w:rsidRPr="00A849F3" w:rsidRDefault="00B21BBB">
            <w:pPr>
              <w:tabs>
                <w:tab w:val="left" w:leader="dot" w:pos="8690"/>
              </w:tabs>
              <w:rPr>
                <w:rFonts w:ascii="Times New Roman" w:hAnsi="Times New Roman"/>
                <w:b/>
                <w:sz w:val="24"/>
                <w:szCs w:val="24"/>
              </w:rPr>
            </w:pPr>
            <w:r w:rsidRPr="00A849F3">
              <w:rPr>
                <w:rFonts w:ascii="Times New Roman" w:hAnsi="Times New Roman"/>
                <w:b/>
                <w:sz w:val="24"/>
                <w:szCs w:val="24"/>
              </w:rPr>
              <w:t>RESEARCH TRAIL</w:t>
            </w:r>
          </w:p>
          <w:p w14:paraId="417502F5" w14:textId="77777777"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 xml:space="preserve">My research began with the laws and legislation regarding setting up a limited company. To set up a limited company with special rules to help the community, one must register a limited company at Companies House in Cardiff. To form a registered company, one must understand the fundamental features of this type of firm. The Community Interest Company (or CIC) is a new type of corporation created by the Companies (Audit, Investigations and Community Enterprise) Act 2004 and governed by the Community Interest Company Regulations 2005. The CIC model is intended to provide a legal framework for businesses that want to benefit the community or trade with a "social cause" rather than profit. While some social or community enterprises choose to become charities, this isn't always practical, and it's also not always desirable </w:t>
            </w:r>
            <w:r w:rsidRPr="00A849F3">
              <w:rPr>
                <w:rFonts w:ascii="Times New Roman" w:hAnsi="Times New Roman"/>
                <w:color w:val="000000"/>
                <w:sz w:val="24"/>
                <w:szCs w:val="24"/>
                <w:lang w:val="en-US"/>
              </w:rPr>
              <w:t>(Dine and Koutsias, 2020)</w:t>
            </w:r>
            <w:r w:rsidRPr="00A849F3">
              <w:rPr>
                <w:rFonts w:ascii="Times New Roman" w:hAnsi="Times New Roman"/>
                <w:sz w:val="24"/>
                <w:szCs w:val="24"/>
                <w:lang w:val="en-US"/>
              </w:rPr>
              <w:t xml:space="preserve">. As a result, CICs play an essential role in company law: they serve as a way to clearly state that an enterprise's goal is to help the community while simultaneously imparting most of the other benefits often associated with a limited business. </w:t>
            </w:r>
          </w:p>
          <w:p w14:paraId="40FF58EE" w14:textId="4ACA2F69"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 xml:space="preserve">A CIC may be limited by shares or by guarantee. The majority of them are guaranteed to be limited. A dividend cap applies to CICs restricted by shares. This is a way of ensuring that, while issuing claims can produce investment, the CIC model cannot be used for personal advantage. The CIC may reassure the public that its motivations are genuine while still attracting economic support in this approach </w:t>
            </w:r>
            <w:r w:rsidRPr="00A849F3">
              <w:rPr>
                <w:rFonts w:ascii="Times New Roman" w:hAnsi="Times New Roman"/>
                <w:color w:val="000000"/>
                <w:sz w:val="24"/>
                <w:szCs w:val="24"/>
                <w:lang w:val="en-US"/>
              </w:rPr>
              <w:t>(Driver and Thompson, 2018)</w:t>
            </w:r>
            <w:r w:rsidRPr="00A849F3">
              <w:rPr>
                <w:rFonts w:ascii="Times New Roman" w:hAnsi="Times New Roman"/>
                <w:sz w:val="24"/>
                <w:szCs w:val="24"/>
                <w:lang w:val="en-US"/>
              </w:rPr>
              <w:t xml:space="preserve">. CICs, in particular, are exempt from the more stringent regulations and restrictions </w:t>
            </w:r>
            <w:r w:rsidRPr="00A849F3">
              <w:rPr>
                <w:rFonts w:ascii="Times New Roman" w:hAnsi="Times New Roman"/>
                <w:sz w:val="24"/>
                <w:szCs w:val="24"/>
                <w:lang w:val="en-US"/>
              </w:rPr>
              <w:lastRenderedPageBreak/>
              <w:t>that apply to charities. They can, for example, be trading enterprises that benefit from limited liability and, if restricted by shares, can issue shares and pay dividends</w:t>
            </w:r>
            <w:r w:rsidR="008D05A1" w:rsidRPr="00A849F3">
              <w:rPr>
                <w:rFonts w:ascii="Times New Roman" w:hAnsi="Times New Roman"/>
                <w:sz w:val="24"/>
                <w:szCs w:val="24"/>
                <w:lang w:val="en-US"/>
              </w:rPr>
              <w:t xml:space="preserve"> </w:t>
            </w:r>
            <w:r w:rsidR="008D05A1" w:rsidRPr="00A849F3">
              <w:rPr>
                <w:rStyle w:val="selectable"/>
                <w:rFonts w:ascii="Times New Roman" w:hAnsi="Times New Roman"/>
                <w:color w:val="000000"/>
                <w:sz w:val="24"/>
                <w:szCs w:val="24"/>
              </w:rPr>
              <w:t>(Mavrikakis, Allinson, Kempton and Hancock, 2019)</w:t>
            </w:r>
            <w:r w:rsidRPr="00A849F3">
              <w:rPr>
                <w:rFonts w:ascii="Times New Roman" w:hAnsi="Times New Roman"/>
                <w:sz w:val="24"/>
                <w:szCs w:val="24"/>
                <w:lang w:val="en-US"/>
              </w:rPr>
              <w:t xml:space="preserve">. This gives the CIC a lot of leeway in day-to-day operations, as long as the necessary caps and regulations are followed. </w:t>
            </w:r>
          </w:p>
          <w:p w14:paraId="1F0379D4" w14:textId="77777777"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 xml:space="preserve">Several key statutory acts apply to all CICs, many of which are outlined in the Regulations. They must present a Community Interest Statement and an annual Community Support Report and be subject to an asset lock, a clause placed into the CIC's memorandum of association that ensures that any assets remain with the CIC and are not moved away from them. In addition to its responsibility to the Regulator, a CIC must comply with corporate law rules in general and file yearly accounts and reports with Company Accounts. As a result, a CIC must register with Companies House and the CIC Regulator. A CIC can be any company, including a public limited company (PLC). However, most are limited by guarantee </w:t>
            </w:r>
            <w:r w:rsidRPr="00A849F3">
              <w:rPr>
                <w:rFonts w:ascii="Times New Roman" w:hAnsi="Times New Roman"/>
                <w:color w:val="000000"/>
                <w:sz w:val="24"/>
                <w:szCs w:val="24"/>
                <w:lang w:val="en-US"/>
              </w:rPr>
              <w:t>(Driver and Thompson, 2018)</w:t>
            </w:r>
            <w:r w:rsidRPr="00A849F3">
              <w:rPr>
                <w:rFonts w:ascii="Times New Roman" w:hAnsi="Times New Roman"/>
                <w:sz w:val="24"/>
                <w:szCs w:val="24"/>
                <w:lang w:val="en-US"/>
              </w:rPr>
              <w:t>. The CIC Regulator is responsible for ongoing monitoring and enforcement and presiding over the registration procedure.</w:t>
            </w:r>
          </w:p>
          <w:p w14:paraId="63658BE9" w14:textId="6DCDABA1"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CICs are a cross between a charity and a business-limited business. They exist to provide a quasi-charitable or community benefit while avoiding the obstacles that charities encounter when securing funding. However, the CIC must justify its existence by stating how it would benefit the community</w:t>
            </w:r>
            <w:r w:rsidR="00A849F3" w:rsidRPr="00A849F3">
              <w:rPr>
                <w:rFonts w:ascii="Times New Roman" w:hAnsi="Times New Roman"/>
                <w:sz w:val="24"/>
                <w:szCs w:val="24"/>
                <w:lang w:val="en-US"/>
              </w:rPr>
              <w:t xml:space="preserve"> </w:t>
            </w:r>
            <w:r w:rsidR="00A849F3" w:rsidRPr="00A849F3">
              <w:rPr>
                <w:rStyle w:val="selectable"/>
                <w:rFonts w:ascii="Times New Roman" w:hAnsi="Times New Roman"/>
                <w:color w:val="000000"/>
                <w:sz w:val="24"/>
                <w:szCs w:val="24"/>
              </w:rPr>
              <w:t>(IBP, Inc, 2009)</w:t>
            </w:r>
            <w:r w:rsidRPr="00A849F3">
              <w:rPr>
                <w:rFonts w:ascii="Times New Roman" w:hAnsi="Times New Roman"/>
                <w:sz w:val="24"/>
                <w:szCs w:val="24"/>
                <w:lang w:val="en-US"/>
              </w:rPr>
              <w:t xml:space="preserve">. This is accomplished by submitting form CIC36, which contains the company's initial Community Interest Statement and communicates the company's goals to the Regulator. An objects clause should be included in the articles of association, just as it is in other benevolent organizations. Aside from the initial Community Interest Statement, every CIC must file an annual Community Interest Report with its financial statements. The document, which </w:t>
            </w:r>
            <w:r w:rsidRPr="00A849F3">
              <w:rPr>
                <w:rFonts w:ascii="Times New Roman" w:hAnsi="Times New Roman"/>
                <w:sz w:val="24"/>
                <w:szCs w:val="24"/>
                <w:lang w:val="en-US"/>
              </w:rPr>
              <w:lastRenderedPageBreak/>
              <w:t>is lodged at Companies House and forwarded to the CIC Regulator, should state what the CIC has done to assist the community during the year. It also includes information on the compensation of directors, earnings declared, and interest paid on any capped loans.</w:t>
            </w:r>
          </w:p>
          <w:p w14:paraId="49B557F0" w14:textId="6F8D6953"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To form a registered company, one must follow the set guidelines in line with the registration of the Companies Act. Some guidelines stipulate the specific documentation needed and elaborate all the processes to be followed in the registration process. The registration of a CIC is guided under the standards set for a limited liability company</w:t>
            </w:r>
            <w:r w:rsidR="008D05A1" w:rsidRPr="00A849F3">
              <w:rPr>
                <w:rFonts w:ascii="Times New Roman" w:hAnsi="Times New Roman"/>
                <w:sz w:val="24"/>
                <w:szCs w:val="24"/>
                <w:lang w:val="en-US"/>
              </w:rPr>
              <w:t xml:space="preserve"> </w:t>
            </w:r>
            <w:r w:rsidR="008D05A1" w:rsidRPr="00A849F3">
              <w:rPr>
                <w:rStyle w:val="selectable"/>
                <w:rFonts w:ascii="Times New Roman" w:hAnsi="Times New Roman"/>
                <w:color w:val="000000"/>
                <w:sz w:val="24"/>
                <w:szCs w:val="24"/>
              </w:rPr>
              <w:t>(Mavrikakis, Allinson, Kempton and Hancock, 2019)</w:t>
            </w:r>
            <w:r w:rsidRPr="00A849F3">
              <w:rPr>
                <w:rFonts w:ascii="Times New Roman" w:hAnsi="Times New Roman"/>
                <w:sz w:val="24"/>
                <w:szCs w:val="24"/>
                <w:lang w:val="en-US"/>
              </w:rPr>
              <w:t xml:space="preserve">. Therefore, Companies House in Cardiff plays a significant role in the process.  It begins with the Memorandum of Association section 8, where you must classify the form as a nonprofit organization. By definition, a Memorandum of Association (MOA) is a legal document used to define a limited liability company's relationship with its shareholders during the formation and registration process </w:t>
            </w:r>
            <w:r w:rsidRPr="00A849F3">
              <w:rPr>
                <w:rFonts w:ascii="Times New Roman" w:hAnsi="Times New Roman"/>
                <w:color w:val="000000"/>
                <w:sz w:val="24"/>
                <w:szCs w:val="24"/>
                <w:lang w:val="en-US"/>
              </w:rPr>
              <w:t>(Graham and Vergunst, 2018)</w:t>
            </w:r>
            <w:r w:rsidRPr="00A849F3">
              <w:rPr>
                <w:rFonts w:ascii="Times New Roman" w:hAnsi="Times New Roman"/>
                <w:sz w:val="24"/>
                <w:szCs w:val="24"/>
                <w:lang w:val="en-US"/>
              </w:rPr>
              <w:t xml:space="preserve">. The MOA is open to the public and contains information about the company's name, registered office address, shareholders, and share distribution. The company's constitution comprises the MOA and the Articles of Association. </w:t>
            </w:r>
            <w:r w:rsidR="00A849F3" w:rsidRPr="00A849F3">
              <w:rPr>
                <w:rFonts w:ascii="Times New Roman" w:hAnsi="Times New Roman"/>
                <w:sz w:val="24"/>
                <w:szCs w:val="24"/>
                <w:lang w:val="en-US"/>
              </w:rPr>
              <w:t>The</w:t>
            </w:r>
            <w:r w:rsidRPr="00A849F3">
              <w:rPr>
                <w:rFonts w:ascii="Times New Roman" w:hAnsi="Times New Roman"/>
                <w:sz w:val="24"/>
                <w:szCs w:val="24"/>
                <w:lang w:val="en-US"/>
              </w:rPr>
              <w:t xml:space="preserve"> MOA is a legal necessity for limited liability corporations in Europe, notably the United Kingdom, France, the Netherlands, and some Commonwealth countries.</w:t>
            </w:r>
          </w:p>
          <w:p w14:paraId="4CFB7A6A" w14:textId="77777777"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 xml:space="preserve">A CIC is registered under the guidelines set out under Section 8. It is thus categorized as a nonprofit organization. When a business registers as a Nonprofit Organization (NPO), it has the goal of promoting the arts, commerce, education, charity, environmental protection, sports, science, research, social welfare, and religion, and it aims to utilize its revenues (if any) or other income to achieve these goals. The money of a nonprofit organization (NPO) cannot be used to pay dividends to its shareholders; </w:t>
            </w:r>
            <w:r w:rsidRPr="00A849F3">
              <w:rPr>
                <w:rFonts w:ascii="Times New Roman" w:hAnsi="Times New Roman"/>
                <w:sz w:val="24"/>
                <w:szCs w:val="24"/>
                <w:lang w:val="en-US"/>
              </w:rPr>
              <w:lastRenderedPageBreak/>
              <w:t>instead, it must be utilized to further philanthropic goals. These businesses acquire a certificate of incorporation from the government and must follow the government's rules.</w:t>
            </w:r>
          </w:p>
          <w:p w14:paraId="66940162" w14:textId="77777777"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The following book, "How to Form a Nonprofit Corporation (National Edition): A Step-By-Step Guide to Forming a 501(c)(3) Nonprofit in Any State (Fifteen Edition)" it states that an individual or group of individuals can register as a Section 8 Company if they want to promote science, commerce, education, art, sports, research, religion, charity, social welfare, environmental preservation, or similar goals. The business's promoters must also state that they aim to invest all profits (if any) and other income earned after formation solely to advance such purposes while demonstrating that the company will not pay dividends to its shareholders.</w:t>
            </w:r>
          </w:p>
          <w:p w14:paraId="5705F460" w14:textId="1712BEE9"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 xml:space="preserve">Nonprofit organizations are formed for the benefit of the general public or for mutual benefit rather than to make a profit for their owners or investors. They can range from informal neighborhood associations, soup kitchens, local churches, or traditional poor-serving charities to labor unions, self-help groups, museums, hospitals, and huge universities. Nonprofit organizations have five essential features, regardless of size or form: organized, private (not affiliated with the government), self-governing, non-profit-distributing, and voluntary. The nonprofit distributing feature states that, contrary to popular opinion, charities can make money but cannot distribute it to their owners or directors. The entire profit must be used to fund the organization's operations (Anheier 2014). Nonprofits can take a variety of legal forms, but the Internal Revenue Code distinguishes between two basic types: 501 (c) (3) and 501 (c) (4) organizations. Even though both categories are tax-exempt, only the 501 (c) (3)s, also known as public benefit organizations, are eligible for tax-deductible personal donations or businesses. 501 (c) (4)s are known as social welfare organizations, and they include many civic leagues and </w:t>
            </w:r>
            <w:r w:rsidRPr="00A849F3">
              <w:rPr>
                <w:rFonts w:ascii="Times New Roman" w:hAnsi="Times New Roman"/>
                <w:sz w:val="24"/>
                <w:szCs w:val="24"/>
                <w:lang w:val="en-US"/>
              </w:rPr>
              <w:lastRenderedPageBreak/>
              <w:t>advocacy organizations that advocate for social and political causes (Anheier 2014). Some nonprofits, such as Planned Parenthood, are incorporated as both sorts of 501 (c) organizations.</w:t>
            </w:r>
          </w:p>
          <w:p w14:paraId="1A7CF6AC" w14:textId="77777777"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 xml:space="preserve">When charities began gaining popularity in the 17th and 18th centuries, mismanagement of monies arose, which led to the need to come up with regulations to govern them. The enforcement of restrictions was continually amended and led to the Charitable Trusts Act of 1853 established the Charity Commissioners for England and Wales </w:t>
            </w:r>
            <w:r w:rsidRPr="00A849F3">
              <w:rPr>
                <w:rFonts w:ascii="Times New Roman" w:hAnsi="Times New Roman"/>
                <w:color w:val="000000"/>
                <w:sz w:val="24"/>
                <w:szCs w:val="24"/>
                <w:lang w:val="en-US"/>
              </w:rPr>
              <w:t>(Dine and Koutsias, 2020)</w:t>
            </w:r>
            <w:r w:rsidRPr="00A849F3">
              <w:rPr>
                <w:rFonts w:ascii="Times New Roman" w:hAnsi="Times New Roman"/>
                <w:sz w:val="24"/>
                <w:szCs w:val="24"/>
                <w:lang w:val="en-US"/>
              </w:rPr>
              <w:t>. Both legislation and case law continued to shape charity law throughout the twentieth century.</w:t>
            </w:r>
          </w:p>
          <w:p w14:paraId="470FD842" w14:textId="29D8C951"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The Charities Act of 1960, which established a public register of charities, expanded the authority of the Charity Commissioners. The Charities Act of 1992 was enacted in response to the rise of the volunteer sector in the 1980s and worries about fraud</w:t>
            </w:r>
            <w:r w:rsidR="00A849F3" w:rsidRPr="00A849F3">
              <w:rPr>
                <w:rFonts w:ascii="Times New Roman" w:hAnsi="Times New Roman"/>
                <w:sz w:val="24"/>
                <w:szCs w:val="24"/>
                <w:lang w:val="en-US"/>
              </w:rPr>
              <w:t xml:space="preserve"> </w:t>
            </w:r>
            <w:r w:rsidR="00A849F3" w:rsidRPr="00A849F3">
              <w:rPr>
                <w:rStyle w:val="selectable"/>
                <w:rFonts w:ascii="Times New Roman" w:hAnsi="Times New Roman"/>
                <w:color w:val="000000"/>
                <w:sz w:val="24"/>
                <w:szCs w:val="24"/>
              </w:rPr>
              <w:t>(IBP, Inc, 2009)</w:t>
            </w:r>
            <w:r w:rsidRPr="00A849F3">
              <w:rPr>
                <w:rFonts w:ascii="Times New Roman" w:hAnsi="Times New Roman"/>
                <w:sz w:val="24"/>
                <w:szCs w:val="24"/>
                <w:lang w:val="en-US"/>
              </w:rPr>
              <w:t xml:space="preserve">. It gave the Charity Commissioners unprecedented authority and established a new fundraising procedure. The Charities Act 1993 merged the 1960 Act and much of the 1992 Act, leading to greater recognition of charity law in England and Wales as a distinct profession requiring specialist advice as the voluntary sector grew in the 1990s </w:t>
            </w:r>
            <w:r w:rsidRPr="00A849F3">
              <w:rPr>
                <w:rFonts w:ascii="Times New Roman" w:hAnsi="Times New Roman"/>
                <w:color w:val="000000"/>
                <w:sz w:val="24"/>
                <w:szCs w:val="24"/>
                <w:lang w:val="en-US"/>
              </w:rPr>
              <w:t>(Marquis, 2018)</w:t>
            </w:r>
            <w:r w:rsidRPr="00A849F3">
              <w:rPr>
                <w:rFonts w:ascii="Times New Roman" w:hAnsi="Times New Roman"/>
                <w:sz w:val="24"/>
                <w:szCs w:val="24"/>
                <w:lang w:val="en-US"/>
              </w:rPr>
              <w:t>. Over time, more changes have occurred, with the most recent legislation being the Charities (Protection and Social Investment) Act 2016, which enhances the Charity Commission's powers. The Law Commission's report on Technical Issues in Charity Law, released in September 2017, provides some reform recommendations.</w:t>
            </w:r>
          </w:p>
          <w:p w14:paraId="45E84986" w14:textId="77777777"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 xml:space="preserve">The community interest expression is a vital part of the Regulator's examination of the company's eligibility for CIC status, especially regarding the best practice for stating the company's aims and proposed activities. Once delivered and registered, the </w:t>
            </w:r>
            <w:r w:rsidRPr="00A849F3">
              <w:rPr>
                <w:rFonts w:ascii="Times New Roman" w:hAnsi="Times New Roman"/>
                <w:sz w:val="24"/>
                <w:szCs w:val="24"/>
                <w:lang w:val="en-US"/>
              </w:rPr>
              <w:lastRenderedPageBreak/>
              <w:t xml:space="preserve">community interest statement cannot be modified until the company's objects change, in which case a new community interest statement, form CIC14, must be delivered to the Registrar of Companies. Under the case of the registration, the community interest clause allows a company to use community land </w:t>
            </w:r>
            <w:r w:rsidRPr="00A849F3">
              <w:rPr>
                <w:rFonts w:ascii="Times New Roman" w:hAnsi="Times New Roman"/>
                <w:color w:val="000000"/>
                <w:sz w:val="24"/>
                <w:szCs w:val="24"/>
                <w:lang w:val="en-US"/>
              </w:rPr>
              <w:t>(Graham and Vergunst, 2018)</w:t>
            </w:r>
            <w:r w:rsidRPr="00A849F3">
              <w:rPr>
                <w:rFonts w:ascii="Times New Roman" w:hAnsi="Times New Roman"/>
                <w:sz w:val="24"/>
                <w:szCs w:val="24"/>
                <w:lang w:val="en-US"/>
              </w:rPr>
              <w:t xml:space="preserve">. The land registry allows for the issuance of a use permit because the facility strictly follows set conditions as in the Companies Act. The asset lock concept is also vital in safeguarding the CIC assets, thus protecting the public land from transfer to private use. However, transferring a property from a CIC use to personal service is possible. However, some conditions must be met before such a transfer can be affected. </w:t>
            </w:r>
          </w:p>
          <w:p w14:paraId="7B596295" w14:textId="77777777"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 xml:space="preserve">A transfer of assets must meet specific criteria. This means that assuming the public benefit company (CIC) meets its obligations, its assets must either be kept within the CIC to be used for the community purposes for which it was formed, or they must be converted out of the CIC and meet one of the following criteria: it is made for full consideration, which means assets are sold for market value </w:t>
            </w:r>
            <w:r w:rsidRPr="00A849F3">
              <w:rPr>
                <w:rFonts w:ascii="Times New Roman" w:hAnsi="Times New Roman"/>
                <w:color w:val="000000"/>
                <w:sz w:val="24"/>
                <w:szCs w:val="24"/>
                <w:lang w:val="en-US"/>
              </w:rPr>
              <w:t>(Dine and Koutsias, 2020)</w:t>
            </w:r>
            <w:r w:rsidRPr="00A849F3">
              <w:rPr>
                <w:rFonts w:ascii="Times New Roman" w:hAnsi="Times New Roman"/>
                <w:sz w:val="24"/>
                <w:szCs w:val="24"/>
                <w:lang w:val="en-US"/>
              </w:rPr>
              <w:t>. This is to ensure that the CIC keeps the valuation transferred; it is made to that other asset-locked entity with the Regulator's agreement, or it is made for the community's benefit in some other way.</w:t>
            </w:r>
          </w:p>
          <w:p w14:paraId="5BD18961" w14:textId="77777777" w:rsidR="00B21BBB" w:rsidRPr="00A849F3" w:rsidRDefault="00B21BBB">
            <w:pPr>
              <w:tabs>
                <w:tab w:val="left" w:pos="8690"/>
              </w:tabs>
              <w:rPr>
                <w:rFonts w:ascii="Times New Roman" w:hAnsi="Times New Roman"/>
                <w:sz w:val="24"/>
                <w:szCs w:val="24"/>
              </w:rPr>
            </w:pPr>
          </w:p>
        </w:tc>
      </w:tr>
      <w:tr w:rsidR="00B21BBB" w:rsidRPr="00A849F3" w14:paraId="510B512A" w14:textId="77777777" w:rsidTr="00B21BBB">
        <w:tc>
          <w:tcPr>
            <w:tcW w:w="8856" w:type="dxa"/>
            <w:tcBorders>
              <w:top w:val="single" w:sz="4" w:space="0" w:color="auto"/>
              <w:left w:val="single" w:sz="4" w:space="0" w:color="auto"/>
              <w:bottom w:val="single" w:sz="4" w:space="0" w:color="auto"/>
              <w:right w:val="single" w:sz="4" w:space="0" w:color="auto"/>
            </w:tcBorders>
          </w:tcPr>
          <w:p w14:paraId="053EBA5D" w14:textId="77777777" w:rsidR="00B21BBB" w:rsidRPr="00A849F3" w:rsidRDefault="00B21BBB">
            <w:pPr>
              <w:tabs>
                <w:tab w:val="left" w:leader="dot" w:pos="8690"/>
              </w:tabs>
              <w:rPr>
                <w:rFonts w:ascii="Times New Roman" w:hAnsi="Times New Roman"/>
                <w:b/>
                <w:sz w:val="24"/>
                <w:szCs w:val="24"/>
              </w:rPr>
            </w:pPr>
            <w:r w:rsidRPr="00A849F3">
              <w:rPr>
                <w:rFonts w:ascii="Times New Roman" w:hAnsi="Times New Roman"/>
                <w:b/>
                <w:sz w:val="24"/>
                <w:szCs w:val="24"/>
              </w:rPr>
              <w:lastRenderedPageBreak/>
              <w:t>RESEARCH FINDINGS</w:t>
            </w:r>
          </w:p>
          <w:p w14:paraId="3F2DCBA8" w14:textId="77777777" w:rsidR="006D2EDE" w:rsidRPr="00A849F3" w:rsidRDefault="006D2EDE" w:rsidP="006D2EDE">
            <w:pPr>
              <w:spacing w:line="480" w:lineRule="auto"/>
              <w:ind w:firstLine="720"/>
              <w:rPr>
                <w:rFonts w:ascii="Times New Roman" w:hAnsi="Times New Roman"/>
                <w:sz w:val="24"/>
                <w:szCs w:val="24"/>
                <w:lang w:val="en-US"/>
              </w:rPr>
            </w:pPr>
            <w:r w:rsidRPr="00A849F3">
              <w:rPr>
                <w:rFonts w:ascii="Times New Roman" w:hAnsi="Times New Roman"/>
                <w:sz w:val="24"/>
                <w:szCs w:val="24"/>
                <w:lang w:val="en-US"/>
              </w:rPr>
              <w:t xml:space="preserve">Following extensive research, I have found that the primary goal of forming a community interest business is to support a social cause or purpose. They are specifically established so that an individual, or a group of individuals, can form a limited liability corporation to benefit the company </w:t>
            </w:r>
            <w:r w:rsidRPr="00A849F3">
              <w:rPr>
                <w:rFonts w:ascii="Times New Roman" w:hAnsi="Times New Roman"/>
                <w:color w:val="000000"/>
                <w:sz w:val="24"/>
                <w:szCs w:val="24"/>
                <w:lang w:val="en-US"/>
              </w:rPr>
              <w:t>(Driver and Thompson, 2018)</w:t>
            </w:r>
            <w:r w:rsidRPr="00A849F3">
              <w:rPr>
                <w:rFonts w:ascii="Times New Roman" w:hAnsi="Times New Roman"/>
                <w:sz w:val="24"/>
                <w:szCs w:val="24"/>
                <w:lang w:val="en-US"/>
              </w:rPr>
              <w:t xml:space="preserve">. However, because of their charitable orientation, these companies may appear quite similar to charities; </w:t>
            </w:r>
            <w:r w:rsidRPr="00A849F3">
              <w:rPr>
                <w:rFonts w:ascii="Times New Roman" w:hAnsi="Times New Roman"/>
                <w:sz w:val="24"/>
                <w:szCs w:val="24"/>
                <w:lang w:val="en-US"/>
              </w:rPr>
              <w:lastRenderedPageBreak/>
              <w:t>however, some crucial characteristics distinguish community interest corporations from charities. Having a community interest corporation makes it simpler for its directors to profit from the business than working for a charity.</w:t>
            </w:r>
          </w:p>
          <w:p w14:paraId="5AEACEDC" w14:textId="77777777" w:rsidR="006D2EDE" w:rsidRPr="00A849F3" w:rsidRDefault="006D2EDE" w:rsidP="006D2EDE">
            <w:pPr>
              <w:spacing w:line="480" w:lineRule="auto"/>
              <w:rPr>
                <w:rFonts w:ascii="Times New Roman" w:hAnsi="Times New Roman"/>
                <w:sz w:val="24"/>
                <w:szCs w:val="24"/>
                <w:lang w:val="en-US"/>
              </w:rPr>
            </w:pPr>
            <w:r w:rsidRPr="00A849F3">
              <w:rPr>
                <w:rFonts w:ascii="Times New Roman" w:hAnsi="Times New Roman"/>
                <w:sz w:val="24"/>
                <w:szCs w:val="24"/>
                <w:lang w:val="en-US"/>
              </w:rPr>
              <w:t xml:space="preserve"> Having a community interest corporation comes with its own set of benefits, including:</w:t>
            </w:r>
          </w:p>
          <w:p w14:paraId="7D0EBE29" w14:textId="77777777" w:rsidR="006D2EDE" w:rsidRPr="00A849F3" w:rsidRDefault="006D2EDE" w:rsidP="006D2EDE">
            <w:pPr>
              <w:numPr>
                <w:ilvl w:val="0"/>
                <w:numId w:val="1"/>
              </w:numPr>
              <w:spacing w:line="480" w:lineRule="auto"/>
              <w:ind w:left="810"/>
              <w:contextualSpacing/>
              <w:rPr>
                <w:rFonts w:ascii="Times New Roman" w:hAnsi="Times New Roman"/>
                <w:sz w:val="24"/>
                <w:szCs w:val="24"/>
                <w:lang w:val="en-US"/>
              </w:rPr>
            </w:pPr>
            <w:r w:rsidRPr="00A849F3">
              <w:rPr>
                <w:rFonts w:ascii="Times New Roman" w:hAnsi="Times New Roman"/>
                <w:sz w:val="24"/>
                <w:szCs w:val="24"/>
                <w:lang w:val="en-US"/>
              </w:rPr>
              <w:t xml:space="preserve">The Asset Lock: A community interest company's asset lock assures that all of the company's assets are used solely for the benefit of the community. Any purchases and revenues are kept inside the company and benefit the community or a social cause. However, in some circumstances, assets may be transferred, but only to other asset-locked entities — that is, organizations that already have an asset lock in place, implying that purchases may be transferred to charities or other community interest firms </w:t>
            </w:r>
            <w:r w:rsidRPr="00A849F3">
              <w:rPr>
                <w:rFonts w:ascii="Times New Roman" w:hAnsi="Times New Roman"/>
                <w:color w:val="000000"/>
                <w:sz w:val="24"/>
                <w:szCs w:val="24"/>
                <w:lang w:val="en-US"/>
              </w:rPr>
              <w:t>(Clarke, 2020)</w:t>
            </w:r>
            <w:r w:rsidRPr="00A849F3">
              <w:rPr>
                <w:rFonts w:ascii="Times New Roman" w:hAnsi="Times New Roman"/>
                <w:sz w:val="24"/>
                <w:szCs w:val="24"/>
                <w:lang w:val="en-US"/>
              </w:rPr>
              <w:t xml:space="preserve">. </w:t>
            </w:r>
          </w:p>
          <w:p w14:paraId="39A22ED8" w14:textId="77777777" w:rsidR="006D2EDE" w:rsidRPr="00A849F3" w:rsidRDefault="006D2EDE" w:rsidP="006D2EDE">
            <w:pPr>
              <w:numPr>
                <w:ilvl w:val="0"/>
                <w:numId w:val="1"/>
              </w:numPr>
              <w:spacing w:line="480" w:lineRule="auto"/>
              <w:ind w:left="810"/>
              <w:contextualSpacing/>
              <w:rPr>
                <w:rFonts w:ascii="Times New Roman" w:hAnsi="Times New Roman"/>
                <w:sz w:val="24"/>
                <w:szCs w:val="24"/>
                <w:lang w:val="en-US"/>
              </w:rPr>
            </w:pPr>
            <w:r w:rsidRPr="00A849F3">
              <w:rPr>
                <w:rFonts w:ascii="Times New Roman" w:hAnsi="Times New Roman"/>
                <w:sz w:val="24"/>
                <w:szCs w:val="24"/>
                <w:lang w:val="en-US"/>
              </w:rPr>
              <w:t xml:space="preserve"> It ensures purpose continuity: Once incorporated, a community interest corporation will continue to help the community until it is dissolved or converted into a charity. And, if it is dissolved at any point under the Insolvency Act 1986, any remaining assets will be transferred to another asset-locked organization, such as a charity or another community interest company, following receiving approval from its creditors. </w:t>
            </w:r>
          </w:p>
          <w:p w14:paraId="1DEBE95D" w14:textId="4DAA60D5" w:rsidR="006D2EDE" w:rsidRPr="00A849F3" w:rsidRDefault="006D2EDE" w:rsidP="006D2EDE">
            <w:pPr>
              <w:numPr>
                <w:ilvl w:val="0"/>
                <w:numId w:val="1"/>
              </w:numPr>
              <w:spacing w:line="480" w:lineRule="auto"/>
              <w:ind w:left="810"/>
              <w:contextualSpacing/>
              <w:rPr>
                <w:rFonts w:ascii="Times New Roman" w:hAnsi="Times New Roman"/>
                <w:sz w:val="24"/>
                <w:szCs w:val="24"/>
                <w:lang w:val="en-US"/>
              </w:rPr>
            </w:pPr>
            <w:r w:rsidRPr="00A849F3">
              <w:rPr>
                <w:rFonts w:ascii="Times New Roman" w:hAnsi="Times New Roman"/>
                <w:sz w:val="24"/>
                <w:szCs w:val="24"/>
                <w:lang w:val="en-US"/>
              </w:rPr>
              <w:t>The public interest corporation is intended for the social entrepreneur and is quick, easy, and inexpensive to establish</w:t>
            </w:r>
            <w:r w:rsidR="008D05A1" w:rsidRPr="00A849F3">
              <w:rPr>
                <w:rFonts w:ascii="Times New Roman" w:hAnsi="Times New Roman"/>
                <w:sz w:val="24"/>
                <w:szCs w:val="24"/>
                <w:lang w:val="en-US"/>
              </w:rPr>
              <w:t xml:space="preserve"> </w:t>
            </w:r>
            <w:r w:rsidR="008D05A1" w:rsidRPr="00A849F3">
              <w:rPr>
                <w:rStyle w:val="selectable"/>
                <w:rFonts w:ascii="Times New Roman" w:hAnsi="Times New Roman"/>
                <w:color w:val="000000"/>
                <w:sz w:val="24"/>
                <w:szCs w:val="24"/>
              </w:rPr>
              <w:t>(Jones, 2017)</w:t>
            </w:r>
            <w:r w:rsidRPr="00A849F3">
              <w:rPr>
                <w:rFonts w:ascii="Times New Roman" w:hAnsi="Times New Roman"/>
                <w:sz w:val="24"/>
                <w:szCs w:val="24"/>
                <w:lang w:val="en-US"/>
              </w:rPr>
              <w:t>.</w:t>
            </w:r>
          </w:p>
          <w:p w14:paraId="7E6466E7" w14:textId="77777777" w:rsidR="006D2EDE" w:rsidRPr="00A849F3" w:rsidRDefault="006D2EDE" w:rsidP="006D2EDE">
            <w:pPr>
              <w:numPr>
                <w:ilvl w:val="0"/>
                <w:numId w:val="1"/>
              </w:numPr>
              <w:spacing w:line="480" w:lineRule="auto"/>
              <w:ind w:left="810"/>
              <w:contextualSpacing/>
              <w:rPr>
                <w:rFonts w:ascii="Times New Roman" w:hAnsi="Times New Roman"/>
                <w:sz w:val="24"/>
                <w:szCs w:val="24"/>
                <w:lang w:val="en-US"/>
              </w:rPr>
            </w:pPr>
            <w:r w:rsidRPr="00A849F3">
              <w:rPr>
                <w:rFonts w:ascii="Times New Roman" w:hAnsi="Times New Roman"/>
                <w:sz w:val="24"/>
                <w:szCs w:val="24"/>
                <w:lang w:val="en-US"/>
              </w:rPr>
              <w:t>Members of the community interest corporation have limited liability.</w:t>
            </w:r>
          </w:p>
          <w:p w14:paraId="6CCCAF1D" w14:textId="77777777" w:rsidR="006D2EDE" w:rsidRPr="00A849F3" w:rsidRDefault="006D2EDE" w:rsidP="006D2EDE">
            <w:pPr>
              <w:numPr>
                <w:ilvl w:val="0"/>
                <w:numId w:val="1"/>
              </w:numPr>
              <w:spacing w:line="480" w:lineRule="auto"/>
              <w:ind w:left="810"/>
              <w:contextualSpacing/>
              <w:rPr>
                <w:rFonts w:ascii="Times New Roman" w:hAnsi="Times New Roman"/>
                <w:sz w:val="24"/>
                <w:szCs w:val="24"/>
                <w:lang w:val="en-US"/>
              </w:rPr>
            </w:pPr>
            <w:r w:rsidRPr="00A849F3">
              <w:rPr>
                <w:rFonts w:ascii="Times New Roman" w:hAnsi="Times New Roman"/>
                <w:sz w:val="24"/>
                <w:szCs w:val="24"/>
                <w:lang w:val="en-US"/>
              </w:rPr>
              <w:t>It employs the company form, which can be adjusted to a specific organizational structure, governance, or membership and can range from a community-based cooperative to a single-member corporation.</w:t>
            </w:r>
          </w:p>
          <w:p w14:paraId="0366EDD7" w14:textId="77777777" w:rsidR="006D2EDE" w:rsidRPr="00A849F3" w:rsidRDefault="006D2EDE" w:rsidP="006D2EDE">
            <w:pPr>
              <w:numPr>
                <w:ilvl w:val="0"/>
                <w:numId w:val="1"/>
              </w:numPr>
              <w:spacing w:line="480" w:lineRule="auto"/>
              <w:ind w:left="810"/>
              <w:contextualSpacing/>
              <w:rPr>
                <w:rFonts w:ascii="Times New Roman" w:hAnsi="Times New Roman"/>
                <w:sz w:val="24"/>
                <w:szCs w:val="24"/>
                <w:lang w:val="en-US"/>
              </w:rPr>
            </w:pPr>
            <w:r w:rsidRPr="00A849F3">
              <w:rPr>
                <w:rFonts w:ascii="Times New Roman" w:hAnsi="Times New Roman"/>
                <w:sz w:val="24"/>
                <w:szCs w:val="24"/>
                <w:lang w:val="en-US"/>
              </w:rPr>
              <w:lastRenderedPageBreak/>
              <w:t>Limited by shares, a community interest corporation can quickly expand by selling its shares.</w:t>
            </w:r>
          </w:p>
          <w:p w14:paraId="1EBEFFCA" w14:textId="77777777" w:rsidR="006D2EDE" w:rsidRPr="00A849F3" w:rsidRDefault="006D2EDE" w:rsidP="006D2EDE">
            <w:pPr>
              <w:numPr>
                <w:ilvl w:val="0"/>
                <w:numId w:val="1"/>
              </w:numPr>
              <w:spacing w:line="480" w:lineRule="auto"/>
              <w:ind w:left="810"/>
              <w:contextualSpacing/>
              <w:rPr>
                <w:rFonts w:ascii="Times New Roman" w:hAnsi="Times New Roman"/>
                <w:sz w:val="24"/>
                <w:szCs w:val="24"/>
                <w:lang w:val="en-US"/>
              </w:rPr>
            </w:pPr>
            <w:r w:rsidRPr="00A849F3">
              <w:rPr>
                <w:rFonts w:ascii="Times New Roman" w:hAnsi="Times New Roman"/>
                <w:sz w:val="24"/>
                <w:szCs w:val="24"/>
                <w:lang w:val="en-US"/>
              </w:rPr>
              <w:t>A community interest corporation can access the financial markets for loans and bonds to use a company's risk-taking feature.</w:t>
            </w:r>
          </w:p>
          <w:p w14:paraId="2067A214" w14:textId="77777777" w:rsidR="006D2EDE" w:rsidRPr="00A849F3" w:rsidRDefault="006D2EDE" w:rsidP="006D2EDE">
            <w:pPr>
              <w:numPr>
                <w:ilvl w:val="0"/>
                <w:numId w:val="1"/>
              </w:numPr>
              <w:spacing w:line="480" w:lineRule="auto"/>
              <w:ind w:left="810"/>
              <w:contextualSpacing/>
              <w:rPr>
                <w:rFonts w:ascii="Times New Roman" w:hAnsi="Times New Roman"/>
                <w:sz w:val="24"/>
                <w:szCs w:val="24"/>
                <w:lang w:val="en-US"/>
              </w:rPr>
            </w:pPr>
            <w:r w:rsidRPr="00A849F3">
              <w:rPr>
                <w:rFonts w:ascii="Times New Roman" w:hAnsi="Times New Roman"/>
                <w:sz w:val="24"/>
                <w:szCs w:val="24"/>
                <w:lang w:val="en-US"/>
              </w:rPr>
              <w:t>Community development finance institutions may be a valuable source of capital for a community interest enterprise.</w:t>
            </w:r>
          </w:p>
          <w:p w14:paraId="42C1ADDC" w14:textId="77777777" w:rsidR="006D2EDE" w:rsidRPr="00A849F3" w:rsidRDefault="006D2EDE" w:rsidP="006D2EDE">
            <w:pPr>
              <w:numPr>
                <w:ilvl w:val="0"/>
                <w:numId w:val="1"/>
              </w:numPr>
              <w:spacing w:line="480" w:lineRule="auto"/>
              <w:ind w:left="810"/>
              <w:contextualSpacing/>
              <w:rPr>
                <w:rFonts w:ascii="Times New Roman" w:hAnsi="Times New Roman"/>
                <w:sz w:val="24"/>
                <w:szCs w:val="24"/>
                <w:lang w:val="en-US"/>
              </w:rPr>
            </w:pPr>
            <w:r w:rsidRPr="00A849F3">
              <w:rPr>
                <w:rFonts w:ascii="Times New Roman" w:hAnsi="Times New Roman"/>
                <w:sz w:val="24"/>
                <w:szCs w:val="24"/>
                <w:lang w:val="en-US"/>
              </w:rPr>
              <w:t xml:space="preserve">The business community is well aware of it </w:t>
            </w:r>
            <w:r w:rsidRPr="00A849F3">
              <w:rPr>
                <w:rFonts w:ascii="Times New Roman" w:hAnsi="Times New Roman"/>
                <w:color w:val="000000"/>
                <w:sz w:val="24"/>
                <w:szCs w:val="24"/>
                <w:lang w:val="en-US"/>
              </w:rPr>
              <w:t>(Driver and Thompson, 2018)</w:t>
            </w:r>
            <w:r w:rsidRPr="00A849F3">
              <w:rPr>
                <w:rFonts w:ascii="Times New Roman" w:hAnsi="Times New Roman"/>
                <w:sz w:val="24"/>
                <w:szCs w:val="24"/>
                <w:lang w:val="en-US"/>
              </w:rPr>
              <w:t xml:space="preserve">. </w:t>
            </w:r>
          </w:p>
          <w:p w14:paraId="1B37AD89" w14:textId="77777777" w:rsidR="006D2EDE" w:rsidRPr="00A849F3" w:rsidRDefault="006D2EDE" w:rsidP="006D2EDE">
            <w:pPr>
              <w:numPr>
                <w:ilvl w:val="0"/>
                <w:numId w:val="1"/>
              </w:numPr>
              <w:spacing w:line="480" w:lineRule="auto"/>
              <w:ind w:left="810"/>
              <w:contextualSpacing/>
              <w:rPr>
                <w:rFonts w:ascii="Times New Roman" w:hAnsi="Times New Roman"/>
                <w:sz w:val="24"/>
                <w:szCs w:val="24"/>
                <w:lang w:val="en-US"/>
              </w:rPr>
            </w:pPr>
            <w:r w:rsidRPr="00A849F3">
              <w:rPr>
                <w:rFonts w:ascii="Times New Roman" w:hAnsi="Times New Roman"/>
                <w:sz w:val="24"/>
                <w:szCs w:val="24"/>
                <w:lang w:val="en-US"/>
              </w:rPr>
              <w:t xml:space="preserve">Compared to other nonprofit organizations, Community Interest Companies have more activity flexibility, no trustees and trustee control, and fewer reporting and administration obligations. </w:t>
            </w:r>
          </w:p>
          <w:p w14:paraId="22206D3C" w14:textId="77777777" w:rsidR="00B21BBB" w:rsidRPr="00A849F3" w:rsidRDefault="00B21BBB">
            <w:pPr>
              <w:tabs>
                <w:tab w:val="left" w:leader="dot" w:pos="8690"/>
              </w:tabs>
              <w:rPr>
                <w:rFonts w:ascii="Times New Roman" w:hAnsi="Times New Roman"/>
                <w:sz w:val="24"/>
                <w:szCs w:val="24"/>
              </w:rPr>
            </w:pPr>
          </w:p>
        </w:tc>
      </w:tr>
    </w:tbl>
    <w:p w14:paraId="3A35A534" w14:textId="77777777" w:rsidR="00B21BBB" w:rsidRPr="00A849F3" w:rsidRDefault="00B21BBB" w:rsidP="00B21BBB">
      <w:pPr>
        <w:tabs>
          <w:tab w:val="left" w:leader="dot" w:pos="8690"/>
        </w:tabs>
        <w:rPr>
          <w:rFonts w:ascii="Times New Roman" w:hAnsi="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rsidRPr="00A849F3" w14:paraId="4D05B823" w14:textId="77777777" w:rsidTr="00B21BBB">
        <w:tc>
          <w:tcPr>
            <w:tcW w:w="8856" w:type="dxa"/>
            <w:tcBorders>
              <w:top w:val="single" w:sz="4" w:space="0" w:color="auto"/>
              <w:left w:val="single" w:sz="4" w:space="0" w:color="auto"/>
              <w:bottom w:val="single" w:sz="4" w:space="0" w:color="auto"/>
              <w:right w:val="single" w:sz="4" w:space="0" w:color="auto"/>
            </w:tcBorders>
          </w:tcPr>
          <w:p w14:paraId="370F99C7" w14:textId="77777777" w:rsidR="00B21BBB" w:rsidRPr="00A849F3" w:rsidRDefault="00B21BBB">
            <w:pPr>
              <w:tabs>
                <w:tab w:val="left" w:leader="dot" w:pos="8690"/>
              </w:tabs>
              <w:rPr>
                <w:rFonts w:ascii="Times New Roman" w:hAnsi="Times New Roman"/>
                <w:b/>
                <w:sz w:val="24"/>
                <w:szCs w:val="24"/>
              </w:rPr>
            </w:pPr>
            <w:r w:rsidRPr="00A849F3">
              <w:rPr>
                <w:rFonts w:ascii="Times New Roman" w:hAnsi="Times New Roman"/>
                <w:b/>
                <w:sz w:val="24"/>
                <w:szCs w:val="24"/>
              </w:rPr>
              <w:t>ADVICE TO CLIENT</w:t>
            </w:r>
          </w:p>
          <w:p w14:paraId="2168D024" w14:textId="186262E0" w:rsidR="00B21BBB" w:rsidRPr="00A849F3" w:rsidRDefault="006D2EDE">
            <w:pPr>
              <w:tabs>
                <w:tab w:val="left" w:leader="dot" w:pos="8690"/>
              </w:tabs>
              <w:rPr>
                <w:rFonts w:ascii="Times New Roman" w:hAnsi="Times New Roman"/>
                <w:sz w:val="24"/>
                <w:szCs w:val="24"/>
              </w:rPr>
            </w:pPr>
            <w:r w:rsidRPr="00A849F3">
              <w:rPr>
                <w:rFonts w:ascii="Times New Roman" w:hAnsi="Times New Roman"/>
                <w:sz w:val="24"/>
                <w:szCs w:val="24"/>
                <w:lang w:val="en-US"/>
              </w:rPr>
              <w:t xml:space="preserve">To conclude, CICs must pass the 'community interest test' when they are formed or converted, and they must continue to give it for as long as they are a CIC (i.e., a reasonable person might consider that its activities are being carried on for the benefit of the community) </w:t>
            </w:r>
            <w:r w:rsidRPr="00A849F3">
              <w:rPr>
                <w:rFonts w:ascii="Times New Roman" w:hAnsi="Times New Roman"/>
                <w:color w:val="000000"/>
                <w:sz w:val="24"/>
                <w:szCs w:val="24"/>
                <w:lang w:val="en-US"/>
              </w:rPr>
              <w:t>(Marquis, 2018)</w:t>
            </w:r>
            <w:r w:rsidRPr="00A849F3">
              <w:rPr>
                <w:rFonts w:ascii="Times New Roman" w:hAnsi="Times New Roman"/>
                <w:sz w:val="24"/>
                <w:szCs w:val="24"/>
                <w:lang w:val="en-US"/>
              </w:rPr>
              <w:t>. Not every action carried out by a CIC must directly help the community it serves, but everything a CIC does should help the community it was founded to fit in some way. The CIC Regulator determines whether or not a company is eligible to be a CIC and must approve the CIC's registration</w:t>
            </w:r>
            <w:r w:rsidR="008D05A1" w:rsidRPr="00A849F3">
              <w:rPr>
                <w:rFonts w:ascii="Times New Roman" w:hAnsi="Times New Roman"/>
                <w:sz w:val="24"/>
                <w:szCs w:val="24"/>
                <w:lang w:val="en-US"/>
              </w:rPr>
              <w:t xml:space="preserve"> </w:t>
            </w:r>
            <w:r w:rsidR="008D05A1" w:rsidRPr="00A849F3">
              <w:rPr>
                <w:rStyle w:val="selectable"/>
                <w:rFonts w:ascii="Times New Roman" w:hAnsi="Times New Roman"/>
                <w:color w:val="000000"/>
                <w:sz w:val="24"/>
                <w:szCs w:val="24"/>
              </w:rPr>
              <w:t>(Jones, 2017)</w:t>
            </w:r>
            <w:r w:rsidRPr="00A849F3">
              <w:rPr>
                <w:rFonts w:ascii="Times New Roman" w:hAnsi="Times New Roman"/>
                <w:sz w:val="24"/>
                <w:szCs w:val="24"/>
                <w:lang w:val="en-US"/>
              </w:rPr>
              <w:t>. Therefore, it is viable that Mr. Bashir proceeds to initiate the company. He, however, has to meet all the set standards and conditions to ensure that the company operates within the confinements of the law. It is essential to follow the Chapter 8 guidelines to create the type of company.</w:t>
            </w:r>
          </w:p>
        </w:tc>
      </w:tr>
    </w:tbl>
    <w:p w14:paraId="6F76065B" w14:textId="77777777" w:rsidR="00B21BBB" w:rsidRPr="00A849F3" w:rsidRDefault="00B21BBB" w:rsidP="00B21BBB">
      <w:pPr>
        <w:rPr>
          <w:rFonts w:ascii="Times New Roman" w:hAnsi="Times New Roman"/>
          <w:sz w:val="24"/>
          <w:szCs w:val="24"/>
        </w:rPr>
      </w:pPr>
    </w:p>
    <w:p w14:paraId="2ED4905D" w14:textId="386C80E9" w:rsidR="006D2EDE" w:rsidRPr="00A849F3" w:rsidRDefault="006D2EDE">
      <w:pPr>
        <w:spacing w:after="160" w:line="259" w:lineRule="auto"/>
        <w:rPr>
          <w:rFonts w:ascii="Times New Roman" w:hAnsi="Times New Roman"/>
          <w:sz w:val="24"/>
          <w:szCs w:val="24"/>
        </w:rPr>
      </w:pPr>
      <w:r w:rsidRPr="00A849F3">
        <w:rPr>
          <w:rFonts w:ascii="Times New Roman" w:hAnsi="Times New Roman"/>
          <w:sz w:val="24"/>
          <w:szCs w:val="24"/>
        </w:rPr>
        <w:br w:type="page"/>
      </w:r>
    </w:p>
    <w:p w14:paraId="136E2D7C" w14:textId="77777777" w:rsidR="006D2EDE" w:rsidRPr="00A849F3" w:rsidRDefault="006D2EDE" w:rsidP="006D2EDE">
      <w:pPr>
        <w:spacing w:line="480" w:lineRule="auto"/>
        <w:jc w:val="center"/>
        <w:rPr>
          <w:rFonts w:ascii="Times New Roman" w:hAnsi="Times New Roman"/>
          <w:b/>
          <w:bCs/>
          <w:sz w:val="24"/>
          <w:szCs w:val="24"/>
          <w:lang w:val="en-US"/>
        </w:rPr>
      </w:pPr>
      <w:r w:rsidRPr="00A849F3">
        <w:rPr>
          <w:rFonts w:ascii="Times New Roman" w:hAnsi="Times New Roman"/>
          <w:b/>
          <w:bCs/>
          <w:sz w:val="24"/>
          <w:szCs w:val="24"/>
          <w:lang w:val="en-US"/>
        </w:rPr>
        <w:lastRenderedPageBreak/>
        <w:t>References</w:t>
      </w:r>
    </w:p>
    <w:p w14:paraId="6472DF1F" w14:textId="77777777" w:rsidR="00A849F3" w:rsidRPr="00A849F3" w:rsidRDefault="00A849F3" w:rsidP="006D2EDE">
      <w:pPr>
        <w:spacing w:line="480" w:lineRule="auto"/>
        <w:ind w:left="720" w:hanging="720"/>
        <w:rPr>
          <w:rFonts w:ascii="Times New Roman" w:hAnsi="Times New Roman"/>
          <w:sz w:val="24"/>
          <w:szCs w:val="24"/>
          <w:lang w:val="en-US"/>
        </w:rPr>
      </w:pPr>
      <w:r w:rsidRPr="00A849F3">
        <w:rPr>
          <w:rFonts w:ascii="Times New Roman" w:hAnsi="Times New Roman"/>
          <w:sz w:val="24"/>
          <w:szCs w:val="24"/>
          <w:lang w:val="en-US"/>
        </w:rPr>
        <w:t xml:space="preserve">Anheier, Helmut K. </w:t>
      </w:r>
      <w:r w:rsidRPr="00A849F3">
        <w:rPr>
          <w:rFonts w:ascii="Times New Roman" w:hAnsi="Times New Roman"/>
          <w:i/>
          <w:iCs/>
          <w:sz w:val="24"/>
          <w:szCs w:val="24"/>
          <w:lang w:val="en-US"/>
        </w:rPr>
        <w:t xml:space="preserve">Nonprofit Organizations. </w:t>
      </w:r>
      <w:r w:rsidRPr="00A849F3">
        <w:rPr>
          <w:rFonts w:ascii="Times New Roman" w:hAnsi="Times New Roman"/>
          <w:sz w:val="24"/>
          <w:szCs w:val="24"/>
          <w:lang w:val="en-US"/>
        </w:rPr>
        <w:t>New York, Oxon: Routledge, 2014.</w:t>
      </w:r>
    </w:p>
    <w:p w14:paraId="25E6851A" w14:textId="77777777" w:rsidR="00A849F3" w:rsidRPr="00A849F3" w:rsidRDefault="00A849F3" w:rsidP="006D2EDE">
      <w:pPr>
        <w:spacing w:line="480" w:lineRule="auto"/>
        <w:ind w:left="720" w:hanging="720"/>
        <w:rPr>
          <w:rFonts w:ascii="Times New Roman" w:hAnsi="Times New Roman"/>
          <w:sz w:val="24"/>
          <w:szCs w:val="24"/>
          <w:lang w:val="en-US"/>
        </w:rPr>
      </w:pPr>
      <w:r w:rsidRPr="00A849F3">
        <w:rPr>
          <w:rFonts w:ascii="Times New Roman" w:hAnsi="Times New Roman"/>
          <w:sz w:val="24"/>
          <w:szCs w:val="24"/>
          <w:lang w:val="en-US"/>
        </w:rPr>
        <w:t xml:space="preserve">Clarke, A., 2020. </w:t>
      </w:r>
      <w:r w:rsidRPr="00A849F3">
        <w:rPr>
          <w:rFonts w:ascii="Times New Roman" w:hAnsi="Times New Roman"/>
          <w:i/>
          <w:iCs/>
          <w:sz w:val="24"/>
          <w:szCs w:val="24"/>
          <w:lang w:val="en-US"/>
        </w:rPr>
        <w:t>Principles of property law</w:t>
      </w:r>
      <w:r w:rsidRPr="00A849F3">
        <w:rPr>
          <w:rFonts w:ascii="Times New Roman" w:hAnsi="Times New Roman"/>
          <w:sz w:val="24"/>
          <w:szCs w:val="24"/>
          <w:lang w:val="en-US"/>
        </w:rPr>
        <w:t>. Cambridge University Press.</w:t>
      </w:r>
    </w:p>
    <w:p w14:paraId="178CEBF2" w14:textId="77777777" w:rsidR="00A849F3" w:rsidRPr="00A849F3" w:rsidRDefault="00A849F3" w:rsidP="006D2EDE">
      <w:pPr>
        <w:spacing w:line="480" w:lineRule="auto"/>
        <w:ind w:left="720" w:hanging="720"/>
        <w:rPr>
          <w:rFonts w:ascii="Times New Roman" w:hAnsi="Times New Roman"/>
          <w:sz w:val="24"/>
          <w:szCs w:val="24"/>
          <w:lang w:val="en-US"/>
        </w:rPr>
      </w:pPr>
      <w:r w:rsidRPr="00A849F3">
        <w:rPr>
          <w:rFonts w:ascii="Times New Roman" w:hAnsi="Times New Roman"/>
          <w:sz w:val="24"/>
          <w:szCs w:val="24"/>
          <w:lang w:val="en-US"/>
        </w:rPr>
        <w:t xml:space="preserve">Dine, J. and Koutsias, M., 2020. </w:t>
      </w:r>
      <w:r w:rsidRPr="00A849F3">
        <w:rPr>
          <w:rFonts w:ascii="Times New Roman" w:hAnsi="Times New Roman"/>
          <w:i/>
          <w:iCs/>
          <w:sz w:val="24"/>
          <w:szCs w:val="24"/>
          <w:lang w:val="en-US"/>
        </w:rPr>
        <w:t>Company Law</w:t>
      </w:r>
      <w:r w:rsidRPr="00A849F3">
        <w:rPr>
          <w:rFonts w:ascii="Times New Roman" w:hAnsi="Times New Roman"/>
          <w:sz w:val="24"/>
          <w:szCs w:val="24"/>
          <w:lang w:val="en-US"/>
        </w:rPr>
        <w:t>. Red Globe Press.</w:t>
      </w:r>
    </w:p>
    <w:p w14:paraId="144470EB" w14:textId="77777777" w:rsidR="00A849F3" w:rsidRPr="00A849F3" w:rsidRDefault="00A849F3" w:rsidP="006D2EDE">
      <w:pPr>
        <w:spacing w:line="480" w:lineRule="auto"/>
        <w:ind w:left="720" w:hanging="720"/>
        <w:rPr>
          <w:rFonts w:ascii="Times New Roman" w:hAnsi="Times New Roman"/>
          <w:sz w:val="24"/>
          <w:szCs w:val="24"/>
          <w:lang w:val="en-US"/>
        </w:rPr>
      </w:pPr>
      <w:r w:rsidRPr="00A849F3">
        <w:rPr>
          <w:rFonts w:ascii="Times New Roman" w:hAnsi="Times New Roman"/>
          <w:sz w:val="24"/>
          <w:szCs w:val="24"/>
          <w:lang w:val="en-US"/>
        </w:rPr>
        <w:t xml:space="preserve">Driver, C. and Thompson, G., 2018. </w:t>
      </w:r>
      <w:r w:rsidRPr="00A849F3">
        <w:rPr>
          <w:rFonts w:ascii="Times New Roman" w:hAnsi="Times New Roman"/>
          <w:i/>
          <w:iCs/>
          <w:sz w:val="24"/>
          <w:szCs w:val="24"/>
          <w:lang w:val="en-US"/>
        </w:rPr>
        <w:t>Corporate governance in contention</w:t>
      </w:r>
      <w:r w:rsidRPr="00A849F3">
        <w:rPr>
          <w:rFonts w:ascii="Times New Roman" w:hAnsi="Times New Roman"/>
          <w:sz w:val="24"/>
          <w:szCs w:val="24"/>
          <w:lang w:val="en-US"/>
        </w:rPr>
        <w:t>. Oxford: Oxford University Press.</w:t>
      </w:r>
    </w:p>
    <w:p w14:paraId="20AC9E39" w14:textId="77777777" w:rsidR="00A849F3" w:rsidRPr="00A849F3" w:rsidRDefault="00A849F3" w:rsidP="006D2EDE">
      <w:pPr>
        <w:spacing w:line="480" w:lineRule="auto"/>
        <w:ind w:left="720" w:hanging="720"/>
        <w:rPr>
          <w:rFonts w:ascii="Times New Roman" w:hAnsi="Times New Roman"/>
          <w:sz w:val="24"/>
          <w:szCs w:val="24"/>
          <w:lang w:val="en-US"/>
        </w:rPr>
      </w:pPr>
      <w:r w:rsidRPr="00A849F3">
        <w:rPr>
          <w:rFonts w:ascii="Times New Roman" w:hAnsi="Times New Roman"/>
          <w:sz w:val="24"/>
          <w:szCs w:val="24"/>
          <w:lang w:val="en-US"/>
        </w:rPr>
        <w:t xml:space="preserve">Graham, H. and Vergunst, J., 2018. </w:t>
      </w:r>
      <w:r w:rsidRPr="00A849F3">
        <w:rPr>
          <w:rFonts w:ascii="Times New Roman" w:hAnsi="Times New Roman"/>
          <w:i/>
          <w:iCs/>
          <w:sz w:val="24"/>
          <w:szCs w:val="24"/>
          <w:lang w:val="en-US"/>
        </w:rPr>
        <w:t>Heritage As Community Research: Legacies of Co-production</w:t>
      </w:r>
      <w:r w:rsidRPr="00A849F3">
        <w:rPr>
          <w:rFonts w:ascii="Times New Roman" w:hAnsi="Times New Roman"/>
          <w:sz w:val="24"/>
          <w:szCs w:val="24"/>
          <w:lang w:val="en-US"/>
        </w:rPr>
        <w:t>. Policy Press.</w:t>
      </w:r>
    </w:p>
    <w:p w14:paraId="193EA2B0" w14:textId="77777777" w:rsidR="00A849F3" w:rsidRPr="00A849F3" w:rsidRDefault="00A849F3" w:rsidP="00A849F3">
      <w:pPr>
        <w:spacing w:line="480" w:lineRule="auto"/>
        <w:ind w:left="720" w:hanging="720"/>
        <w:rPr>
          <w:rFonts w:ascii="Times New Roman" w:hAnsi="Times New Roman"/>
          <w:sz w:val="24"/>
          <w:szCs w:val="24"/>
          <w:lang w:val="en-US"/>
        </w:rPr>
      </w:pPr>
      <w:r w:rsidRPr="00A849F3">
        <w:rPr>
          <w:rFonts w:ascii="Times New Roman" w:hAnsi="Times New Roman"/>
          <w:sz w:val="24"/>
          <w:szCs w:val="24"/>
          <w:lang w:val="en-US"/>
        </w:rPr>
        <w:t xml:space="preserve">IBP, Inc, 2009. </w:t>
      </w:r>
      <w:r w:rsidRPr="00A849F3">
        <w:rPr>
          <w:rFonts w:ascii="Times New Roman" w:hAnsi="Times New Roman"/>
          <w:i/>
          <w:iCs/>
          <w:sz w:val="24"/>
          <w:szCs w:val="24"/>
          <w:lang w:val="en-US"/>
        </w:rPr>
        <w:t>Qfinance</w:t>
      </w:r>
      <w:r w:rsidRPr="00A849F3">
        <w:rPr>
          <w:rFonts w:ascii="Times New Roman" w:hAnsi="Times New Roman"/>
          <w:sz w:val="24"/>
          <w:szCs w:val="24"/>
          <w:lang w:val="en-US"/>
        </w:rPr>
        <w:t>. London: Bloomsbury.</w:t>
      </w:r>
    </w:p>
    <w:p w14:paraId="12F3F356" w14:textId="77777777" w:rsidR="00A849F3" w:rsidRPr="00A849F3" w:rsidRDefault="00A849F3" w:rsidP="00A849F3">
      <w:pPr>
        <w:spacing w:line="480" w:lineRule="auto"/>
        <w:ind w:left="720" w:hanging="720"/>
        <w:rPr>
          <w:rFonts w:ascii="Times New Roman" w:hAnsi="Times New Roman"/>
          <w:sz w:val="24"/>
          <w:szCs w:val="24"/>
          <w:lang w:val="en-US"/>
        </w:rPr>
      </w:pPr>
      <w:r w:rsidRPr="00A849F3">
        <w:rPr>
          <w:rFonts w:ascii="Times New Roman" w:hAnsi="Times New Roman"/>
          <w:sz w:val="24"/>
          <w:szCs w:val="24"/>
          <w:lang w:val="en-US"/>
        </w:rPr>
        <w:t xml:space="preserve">Jones, L., 2017. </w:t>
      </w:r>
      <w:r w:rsidRPr="00A849F3">
        <w:rPr>
          <w:rFonts w:ascii="Times New Roman" w:hAnsi="Times New Roman"/>
          <w:i/>
          <w:iCs/>
          <w:sz w:val="24"/>
          <w:szCs w:val="24"/>
          <w:lang w:val="en-US"/>
        </w:rPr>
        <w:t>Introduction to business law</w:t>
      </w:r>
      <w:r w:rsidRPr="00A849F3">
        <w:rPr>
          <w:rFonts w:ascii="Times New Roman" w:hAnsi="Times New Roman"/>
          <w:sz w:val="24"/>
          <w:szCs w:val="24"/>
          <w:lang w:val="en-US"/>
        </w:rPr>
        <w:t>. Oxford University Press.</w:t>
      </w:r>
    </w:p>
    <w:p w14:paraId="33CAE2F7" w14:textId="77777777" w:rsidR="00A849F3" w:rsidRPr="00A849F3" w:rsidRDefault="00A849F3" w:rsidP="006D2EDE">
      <w:pPr>
        <w:spacing w:line="480" w:lineRule="auto"/>
        <w:ind w:left="720" w:hanging="720"/>
        <w:rPr>
          <w:rFonts w:ascii="Times New Roman" w:hAnsi="Times New Roman"/>
          <w:sz w:val="24"/>
          <w:szCs w:val="24"/>
          <w:lang w:val="en-US"/>
        </w:rPr>
      </w:pPr>
      <w:r w:rsidRPr="00A849F3">
        <w:rPr>
          <w:rFonts w:ascii="Times New Roman" w:hAnsi="Times New Roman"/>
          <w:sz w:val="24"/>
          <w:szCs w:val="24"/>
          <w:lang w:val="en-US"/>
        </w:rPr>
        <w:t xml:space="preserve">Mancuso, A., 2021. </w:t>
      </w:r>
      <w:r w:rsidRPr="00A849F3">
        <w:rPr>
          <w:rFonts w:ascii="Times New Roman" w:hAnsi="Times New Roman"/>
          <w:i/>
          <w:iCs/>
          <w:sz w:val="24"/>
          <w:szCs w:val="24"/>
          <w:lang w:val="en-US"/>
        </w:rPr>
        <w:t>How to Form a Nonprofit Corporation (National Edition): A Step-By-Step Guide to Forming a 501(c)(3) Nonprofit in Any State (Fifteen Edition)</w:t>
      </w:r>
      <w:r w:rsidRPr="00A849F3">
        <w:rPr>
          <w:rFonts w:ascii="Times New Roman" w:hAnsi="Times New Roman"/>
          <w:sz w:val="24"/>
          <w:szCs w:val="24"/>
          <w:lang w:val="en-US"/>
        </w:rPr>
        <w:t>. NOLO, p.121.</w:t>
      </w:r>
    </w:p>
    <w:p w14:paraId="0971E477" w14:textId="77777777" w:rsidR="00A849F3" w:rsidRDefault="00A849F3" w:rsidP="006D2EDE">
      <w:pPr>
        <w:spacing w:line="480" w:lineRule="auto"/>
        <w:ind w:left="720" w:hanging="720"/>
        <w:rPr>
          <w:rFonts w:ascii="Times New Roman" w:hAnsi="Times New Roman"/>
          <w:sz w:val="24"/>
          <w:szCs w:val="24"/>
          <w:lang w:val="en-US"/>
        </w:rPr>
      </w:pPr>
      <w:r w:rsidRPr="00A849F3">
        <w:rPr>
          <w:rFonts w:ascii="Times New Roman" w:hAnsi="Times New Roman"/>
          <w:sz w:val="24"/>
          <w:szCs w:val="24"/>
          <w:lang w:val="en-US"/>
        </w:rPr>
        <w:t xml:space="preserve">Marquis, C., 2018. </w:t>
      </w:r>
      <w:r w:rsidRPr="00A849F3">
        <w:rPr>
          <w:rFonts w:ascii="Times New Roman" w:hAnsi="Times New Roman"/>
          <w:i/>
          <w:iCs/>
          <w:sz w:val="24"/>
          <w:szCs w:val="24"/>
          <w:lang w:val="en-US"/>
        </w:rPr>
        <w:t>Better business</w:t>
      </w:r>
      <w:r w:rsidRPr="00A849F3">
        <w:rPr>
          <w:rFonts w:ascii="Times New Roman" w:hAnsi="Times New Roman"/>
          <w:sz w:val="24"/>
          <w:szCs w:val="24"/>
          <w:lang w:val="en-US"/>
        </w:rPr>
        <w:t>.</w:t>
      </w:r>
    </w:p>
    <w:p w14:paraId="359A4DA0" w14:textId="3F5410BB" w:rsidR="00EB3CE8" w:rsidRPr="009814E1" w:rsidRDefault="00A849F3" w:rsidP="009814E1">
      <w:pPr>
        <w:spacing w:line="480" w:lineRule="auto"/>
        <w:ind w:left="720" w:hanging="720"/>
        <w:rPr>
          <w:rFonts w:ascii="Times New Roman" w:hAnsi="Times New Roman"/>
          <w:sz w:val="24"/>
          <w:szCs w:val="24"/>
          <w:lang w:val="en-US"/>
        </w:rPr>
      </w:pPr>
      <w:r w:rsidRPr="00A849F3">
        <w:rPr>
          <w:rFonts w:ascii="Times New Roman" w:hAnsi="Times New Roman"/>
          <w:sz w:val="24"/>
          <w:szCs w:val="24"/>
          <w:lang w:val="en-US"/>
        </w:rPr>
        <w:t xml:space="preserve">Mavrikakis, A., Allinson, S., Kempton, J. and Hancock, N., 2019. </w:t>
      </w:r>
      <w:r w:rsidRPr="00A849F3">
        <w:rPr>
          <w:rFonts w:ascii="Times New Roman" w:hAnsi="Times New Roman"/>
          <w:i/>
          <w:iCs/>
          <w:sz w:val="24"/>
          <w:szCs w:val="24"/>
          <w:lang w:val="en-US"/>
        </w:rPr>
        <w:t>Business law and practice</w:t>
      </w:r>
      <w:r w:rsidRPr="00A849F3">
        <w:rPr>
          <w:rFonts w:ascii="Times New Roman" w:hAnsi="Times New Roman"/>
          <w:sz w:val="24"/>
          <w:szCs w:val="24"/>
          <w:lang w:val="en-US"/>
        </w:rPr>
        <w:t>. College of Law Publishing.</w:t>
      </w:r>
    </w:p>
    <w:sectPr w:rsidR="00EB3CE8" w:rsidRPr="009814E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04F46" w14:textId="77777777" w:rsidR="007C28E9" w:rsidRDefault="007C28E9" w:rsidP="00742BA6">
      <w:pPr>
        <w:spacing w:after="0" w:line="240" w:lineRule="auto"/>
      </w:pPr>
      <w:r>
        <w:separator/>
      </w:r>
    </w:p>
  </w:endnote>
  <w:endnote w:type="continuationSeparator" w:id="0">
    <w:p w14:paraId="48A2D0F2" w14:textId="77777777" w:rsidR="007C28E9" w:rsidRDefault="007C28E9" w:rsidP="00742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9CE4F" w14:textId="77777777" w:rsidR="00742BA6" w:rsidRDefault="00742B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1247F" w14:textId="77777777" w:rsidR="00742BA6" w:rsidRDefault="00742B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0AC07" w14:textId="77777777" w:rsidR="00742BA6" w:rsidRDefault="00742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9025D" w14:textId="77777777" w:rsidR="007C28E9" w:rsidRDefault="007C28E9" w:rsidP="00742BA6">
      <w:pPr>
        <w:spacing w:after="0" w:line="240" w:lineRule="auto"/>
      </w:pPr>
      <w:r>
        <w:separator/>
      </w:r>
    </w:p>
  </w:footnote>
  <w:footnote w:type="continuationSeparator" w:id="0">
    <w:p w14:paraId="19FD0AA2" w14:textId="77777777" w:rsidR="007C28E9" w:rsidRDefault="007C28E9" w:rsidP="00742B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3F31D" w14:textId="77777777" w:rsidR="00742BA6" w:rsidRDefault="00742B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AB14F" w14:textId="77777777" w:rsidR="00742BA6" w:rsidRDefault="00742B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C3AE5" w14:textId="77777777" w:rsidR="00742BA6" w:rsidRDefault="00742B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E07358"/>
    <w:multiLevelType w:val="hybridMultilevel"/>
    <w:tmpl w:val="69F08A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G0NLI0tDAyMDIxNTJV0lEKTi0uzszPAykwqgUApU4qmSwAAAA="/>
  </w:docVars>
  <w:rsids>
    <w:rsidRoot w:val="00B21BBB"/>
    <w:rsid w:val="00024CD5"/>
    <w:rsid w:val="00136602"/>
    <w:rsid w:val="00360DF2"/>
    <w:rsid w:val="0038083F"/>
    <w:rsid w:val="004B79B4"/>
    <w:rsid w:val="0057719C"/>
    <w:rsid w:val="006D2EDE"/>
    <w:rsid w:val="00742BA6"/>
    <w:rsid w:val="00754164"/>
    <w:rsid w:val="007A408A"/>
    <w:rsid w:val="007C28E9"/>
    <w:rsid w:val="00871D6E"/>
    <w:rsid w:val="008D05A1"/>
    <w:rsid w:val="009814E1"/>
    <w:rsid w:val="009D2B3A"/>
    <w:rsid w:val="009E14D5"/>
    <w:rsid w:val="00A849F3"/>
    <w:rsid w:val="00B21BBB"/>
    <w:rsid w:val="00BE0185"/>
    <w:rsid w:val="00CE0044"/>
    <w:rsid w:val="00D15872"/>
    <w:rsid w:val="00D5121C"/>
    <w:rsid w:val="00D85B16"/>
    <w:rsid w:val="00E76C17"/>
    <w:rsid w:val="00EB3CE8"/>
    <w:rsid w:val="00F04650"/>
    <w:rsid w:val="00FA0CF6"/>
    <w:rsid w:val="00FC768A"/>
    <w:rsid w:val="00FF4A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C2A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BBB"/>
    <w:pPr>
      <w:spacing w:after="200" w:line="276" w:lineRule="auto"/>
    </w:pPr>
    <w:rPr>
      <w:rFonts w:ascii="Calibri" w:eastAsia="Calibri" w:hAnsi="Calibri" w:cs="Times New Roman"/>
      <w:lang w:eastAsia="en-US"/>
    </w:rPr>
  </w:style>
  <w:style w:type="paragraph" w:styleId="Heading1">
    <w:name w:val="heading 1"/>
    <w:basedOn w:val="Normal"/>
    <w:next w:val="Normal"/>
    <w:link w:val="Heading1Char"/>
    <w:qFormat/>
    <w:rsid w:val="00B21BBB"/>
    <w:pPr>
      <w:keepNext/>
      <w:pBdr>
        <w:top w:val="single" w:sz="4" w:space="1" w:color="auto"/>
        <w:left w:val="single" w:sz="4" w:space="4" w:color="auto"/>
        <w:bottom w:val="single" w:sz="4" w:space="1" w:color="auto"/>
        <w:right w:val="single" w:sz="4" w:space="4" w:color="auto"/>
      </w:pBdr>
      <w:spacing w:after="0" w:line="240" w:lineRule="auto"/>
      <w:outlineLvl w:val="0"/>
    </w:pPr>
    <w:rPr>
      <w:rFonts w:ascii="Arial" w:eastAsia="Times New Roman" w:hAnsi="Arial"/>
      <w:b/>
      <w:sz w:val="24"/>
      <w:szCs w:val="20"/>
      <w:lang w:eastAsia="en-GB"/>
    </w:rPr>
  </w:style>
  <w:style w:type="paragraph" w:styleId="Heading2">
    <w:name w:val="heading 2"/>
    <w:basedOn w:val="Normal"/>
    <w:next w:val="Normal"/>
    <w:link w:val="Heading2Char"/>
    <w:uiPriority w:val="9"/>
    <w:semiHidden/>
    <w:unhideWhenUsed/>
    <w:qFormat/>
    <w:rsid w:val="00A849F3"/>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21BBB"/>
    <w:rPr>
      <w:rFonts w:ascii="Arial" w:eastAsia="Times New Roman" w:hAnsi="Arial" w:cs="Times New Roman"/>
      <w:b/>
      <w:sz w:val="24"/>
      <w:szCs w:val="20"/>
      <w:lang w:eastAsia="en-GB"/>
    </w:rPr>
  </w:style>
  <w:style w:type="character" w:customStyle="1" w:styleId="selectable">
    <w:name w:val="selectable"/>
    <w:basedOn w:val="DefaultParagraphFont"/>
    <w:rsid w:val="008D05A1"/>
  </w:style>
  <w:style w:type="character" w:customStyle="1" w:styleId="Heading2Char">
    <w:name w:val="Heading 2 Char"/>
    <w:basedOn w:val="DefaultParagraphFont"/>
    <w:link w:val="Heading2"/>
    <w:uiPriority w:val="9"/>
    <w:semiHidden/>
    <w:rsid w:val="00A849F3"/>
    <w:rPr>
      <w:rFonts w:asciiTheme="majorHAnsi" w:eastAsiaTheme="majorEastAsia" w:hAnsiTheme="majorHAnsi" w:cstheme="majorBidi"/>
      <w:b/>
      <w:bCs/>
      <w:color w:val="4472C4" w:themeColor="accent1"/>
      <w:sz w:val="26"/>
      <w:szCs w:val="26"/>
      <w:lang w:eastAsia="en-US"/>
    </w:rPr>
  </w:style>
  <w:style w:type="paragraph" w:styleId="Header">
    <w:name w:val="header"/>
    <w:basedOn w:val="Normal"/>
    <w:link w:val="HeaderChar"/>
    <w:uiPriority w:val="99"/>
    <w:unhideWhenUsed/>
    <w:rsid w:val="00742B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2BA6"/>
    <w:rPr>
      <w:rFonts w:ascii="Calibri" w:eastAsia="Calibri" w:hAnsi="Calibri" w:cs="Times New Roman"/>
      <w:lang w:eastAsia="en-US"/>
    </w:rPr>
  </w:style>
  <w:style w:type="paragraph" w:styleId="Footer">
    <w:name w:val="footer"/>
    <w:basedOn w:val="Normal"/>
    <w:link w:val="FooterChar"/>
    <w:uiPriority w:val="99"/>
    <w:unhideWhenUsed/>
    <w:rsid w:val="00742B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2BA6"/>
    <w:rPr>
      <w:rFonts w:ascii="Calibri" w:eastAsia="Calibri" w:hAnsi="Calibri"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045231">
      <w:bodyDiv w:val="1"/>
      <w:marLeft w:val="0"/>
      <w:marRight w:val="0"/>
      <w:marTop w:val="0"/>
      <w:marBottom w:val="0"/>
      <w:divBdr>
        <w:top w:val="none" w:sz="0" w:space="0" w:color="auto"/>
        <w:left w:val="none" w:sz="0" w:space="0" w:color="auto"/>
        <w:bottom w:val="none" w:sz="0" w:space="0" w:color="auto"/>
        <w:right w:val="none" w:sz="0" w:space="0" w:color="auto"/>
      </w:divBdr>
    </w:div>
    <w:div w:id="1116291514">
      <w:bodyDiv w:val="1"/>
      <w:marLeft w:val="0"/>
      <w:marRight w:val="0"/>
      <w:marTop w:val="0"/>
      <w:marBottom w:val="0"/>
      <w:divBdr>
        <w:top w:val="none" w:sz="0" w:space="0" w:color="auto"/>
        <w:left w:val="none" w:sz="0" w:space="0" w:color="auto"/>
        <w:bottom w:val="none" w:sz="0" w:space="0" w:color="auto"/>
        <w:right w:val="none" w:sz="0" w:space="0" w:color="auto"/>
      </w:divBdr>
      <w:divsChild>
        <w:div w:id="1129128087">
          <w:marLeft w:val="0"/>
          <w:marRight w:val="0"/>
          <w:marTop w:val="0"/>
          <w:marBottom w:val="0"/>
          <w:divBdr>
            <w:top w:val="none" w:sz="0" w:space="0" w:color="auto"/>
            <w:left w:val="none" w:sz="0" w:space="0" w:color="auto"/>
            <w:bottom w:val="none" w:sz="0" w:space="0" w:color="auto"/>
            <w:right w:val="none" w:sz="0" w:space="0" w:color="auto"/>
          </w:divBdr>
          <w:divsChild>
            <w:div w:id="20101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788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2378</Words>
  <Characters>13557</Characters>
  <Application>Microsoft Office Word</Application>
  <DocSecurity>0</DocSecurity>
  <Lines>112</Lines>
  <Paragraphs>31</Paragraphs>
  <ScaleCrop>false</ScaleCrop>
  <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2022-01-07T11:11:00Z</dcterms:created>
  <dcterms:modified xsi:type="dcterms:W3CDTF">2022-01-07T22:33:00Z</dcterms:modified>
</cp:coreProperties>
</file>