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993471" w14:textId="77777777" w:rsidR="00382BCA" w:rsidRPr="00872ED9" w:rsidRDefault="00382BCA" w:rsidP="00872ED9">
      <w:pPr>
        <w:jc w:val="both"/>
        <w:rPr>
          <w:rFonts w:ascii="Arial" w:hAnsi="Arial" w:cs="Arial"/>
          <w:sz w:val="22"/>
          <w:u w:val="single"/>
          <w:lang w:val="en-US"/>
        </w:rPr>
      </w:pPr>
      <w:r w:rsidRPr="00872ED9">
        <w:rPr>
          <w:rFonts w:ascii="Arial" w:hAnsi="Arial" w:cs="Arial"/>
          <w:noProof/>
          <w:sz w:val="22"/>
        </w:rPr>
        <w:drawing>
          <wp:anchor distT="0" distB="0" distL="114300" distR="114300" simplePos="0" relativeHeight="251659264" behindDoc="0" locked="0" layoutInCell="1" allowOverlap="1" wp14:anchorId="055BE058" wp14:editId="4817FC0E">
            <wp:simplePos x="0" y="0"/>
            <wp:positionH relativeFrom="margin">
              <wp:align>center</wp:align>
            </wp:positionH>
            <wp:positionV relativeFrom="paragraph">
              <wp:posOffset>12700</wp:posOffset>
            </wp:positionV>
            <wp:extent cx="2286000" cy="914400"/>
            <wp:effectExtent l="0" t="0" r="0" b="0"/>
            <wp:wrapNone/>
            <wp:docPr id="1" name="Picture 1"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 Logo.png"/>
                    <pic:cNvPicPr/>
                  </pic:nvPicPr>
                  <pic:blipFill>
                    <a:blip r:embed="rId11">
                      <a:extLst>
                        <a:ext uri="{28A0092B-C50C-407E-A947-70E740481C1C}">
                          <a14:useLocalDpi xmlns:a14="http://schemas.microsoft.com/office/drawing/2010/main" val="0"/>
                        </a:ext>
                      </a:extLst>
                    </a:blip>
                    <a:stretch>
                      <a:fillRect/>
                    </a:stretch>
                  </pic:blipFill>
                  <pic:spPr>
                    <a:xfrm>
                      <a:off x="0" y="0"/>
                      <a:ext cx="2286000" cy="914400"/>
                    </a:xfrm>
                    <a:prstGeom prst="rect">
                      <a:avLst/>
                    </a:prstGeom>
                  </pic:spPr>
                </pic:pic>
              </a:graphicData>
            </a:graphic>
            <wp14:sizeRelH relativeFrom="page">
              <wp14:pctWidth>0</wp14:pctWidth>
            </wp14:sizeRelH>
            <wp14:sizeRelV relativeFrom="page">
              <wp14:pctHeight>0</wp14:pctHeight>
            </wp14:sizeRelV>
          </wp:anchor>
        </w:drawing>
      </w:r>
    </w:p>
    <w:p w14:paraId="0C7DACD1" w14:textId="6EAF7244" w:rsidR="00382BCA" w:rsidRDefault="00382BCA" w:rsidP="00872ED9">
      <w:pPr>
        <w:jc w:val="both"/>
        <w:rPr>
          <w:rFonts w:ascii="Arial" w:hAnsi="Arial" w:cs="Arial"/>
          <w:sz w:val="22"/>
          <w:u w:val="single"/>
          <w:lang w:val="en-US"/>
        </w:rPr>
      </w:pPr>
    </w:p>
    <w:p w14:paraId="5BBF7EF5" w14:textId="5C765857" w:rsidR="00B10FD3" w:rsidRDefault="00B10FD3" w:rsidP="00872ED9">
      <w:pPr>
        <w:jc w:val="both"/>
        <w:rPr>
          <w:rFonts w:ascii="Arial" w:hAnsi="Arial" w:cs="Arial"/>
          <w:sz w:val="22"/>
          <w:u w:val="single"/>
          <w:lang w:val="en-US"/>
        </w:rPr>
      </w:pPr>
    </w:p>
    <w:p w14:paraId="4327EB8E" w14:textId="6D847A47" w:rsidR="00B10FD3" w:rsidRPr="00961A3E" w:rsidRDefault="00B10FD3" w:rsidP="00872ED9">
      <w:pPr>
        <w:jc w:val="both"/>
        <w:rPr>
          <w:rFonts w:ascii="Arial" w:hAnsi="Arial" w:cs="Arial"/>
          <w:sz w:val="22"/>
          <w:u w:val="single"/>
          <w:lang w:val="en-US"/>
        </w:rPr>
      </w:pPr>
    </w:p>
    <w:p w14:paraId="0E53F1E1" w14:textId="77777777" w:rsidR="00B10FD3" w:rsidRPr="00961A3E" w:rsidRDefault="00B10FD3" w:rsidP="00872ED9">
      <w:pPr>
        <w:jc w:val="both"/>
        <w:rPr>
          <w:rFonts w:ascii="Arial" w:hAnsi="Arial" w:cs="Arial"/>
          <w:sz w:val="22"/>
          <w:u w:val="single"/>
          <w:lang w:val="en-US"/>
        </w:rPr>
      </w:pPr>
    </w:p>
    <w:p w14:paraId="4C5B98A1" w14:textId="7241211E" w:rsidR="00382BCA" w:rsidRPr="00961A3E" w:rsidRDefault="00382BCA" w:rsidP="00B10FD3">
      <w:pPr>
        <w:jc w:val="center"/>
        <w:rPr>
          <w:rFonts w:ascii="Arial" w:hAnsi="Arial" w:cs="Arial"/>
          <w:sz w:val="22"/>
          <w:u w:val="single"/>
          <w:lang w:val="en-US"/>
        </w:rPr>
      </w:pPr>
      <w:r w:rsidRPr="00961A3E">
        <w:rPr>
          <w:rFonts w:ascii="Arial" w:hAnsi="Arial" w:cs="Arial"/>
          <w:sz w:val="22"/>
          <w:u w:val="single"/>
          <w:lang w:val="en-US"/>
        </w:rPr>
        <w:t>Vehicle to Grid Technology</w:t>
      </w:r>
    </w:p>
    <w:p w14:paraId="70FB35FF" w14:textId="77777777" w:rsidR="00382BCA" w:rsidRPr="00961A3E" w:rsidRDefault="00382BCA" w:rsidP="00B10FD3">
      <w:pPr>
        <w:jc w:val="center"/>
        <w:rPr>
          <w:rFonts w:ascii="Arial" w:hAnsi="Arial" w:cs="Arial"/>
          <w:sz w:val="22"/>
          <w:u w:val="single"/>
          <w:lang w:val="en-US"/>
        </w:rPr>
      </w:pPr>
    </w:p>
    <w:p w14:paraId="70536BD9" w14:textId="77777777" w:rsidR="00382BCA" w:rsidRPr="00961A3E" w:rsidRDefault="00382BCA" w:rsidP="00B10FD3">
      <w:pPr>
        <w:jc w:val="center"/>
        <w:rPr>
          <w:rFonts w:ascii="Arial" w:hAnsi="Arial" w:cs="Arial"/>
          <w:sz w:val="22"/>
          <w:u w:val="single"/>
          <w:lang w:val="en-US"/>
        </w:rPr>
      </w:pPr>
    </w:p>
    <w:p w14:paraId="32E6D9F0" w14:textId="5D43A341" w:rsidR="00705BEC" w:rsidRPr="00961A3E" w:rsidRDefault="00705BEC" w:rsidP="00B10FD3">
      <w:pPr>
        <w:jc w:val="center"/>
        <w:rPr>
          <w:rFonts w:ascii="Arial" w:hAnsi="Arial" w:cs="Arial"/>
          <w:sz w:val="22"/>
          <w:u w:val="single"/>
          <w:lang w:val="en-US"/>
        </w:rPr>
      </w:pPr>
    </w:p>
    <w:p w14:paraId="06DAD101" w14:textId="77777777" w:rsidR="00705BEC" w:rsidRPr="00961A3E" w:rsidRDefault="00705BEC" w:rsidP="00B10FD3">
      <w:pPr>
        <w:jc w:val="center"/>
        <w:rPr>
          <w:rFonts w:ascii="Arial" w:hAnsi="Arial" w:cs="Arial"/>
          <w:sz w:val="22"/>
          <w:u w:val="single"/>
          <w:lang w:val="en-US"/>
        </w:rPr>
      </w:pPr>
    </w:p>
    <w:p w14:paraId="763AB41D" w14:textId="77777777" w:rsidR="00382BCA" w:rsidRPr="00961A3E" w:rsidRDefault="00382BCA" w:rsidP="00B10FD3">
      <w:pPr>
        <w:jc w:val="center"/>
        <w:rPr>
          <w:rFonts w:ascii="Arial" w:hAnsi="Arial" w:cs="Arial"/>
          <w:sz w:val="22"/>
          <w:u w:val="single"/>
          <w:lang w:val="en-US"/>
        </w:rPr>
      </w:pPr>
    </w:p>
    <w:p w14:paraId="451CC548" w14:textId="67BDAB9F" w:rsidR="00382BCA" w:rsidRPr="00961A3E" w:rsidRDefault="00382BCA" w:rsidP="00B10FD3">
      <w:pPr>
        <w:jc w:val="center"/>
        <w:rPr>
          <w:rFonts w:ascii="Arial" w:hAnsi="Arial" w:cs="Arial"/>
          <w:sz w:val="22"/>
          <w:u w:val="single"/>
          <w:lang w:val="en-US"/>
        </w:rPr>
      </w:pPr>
      <w:r w:rsidRPr="00961A3E">
        <w:rPr>
          <w:rFonts w:ascii="Arial" w:hAnsi="Arial" w:cs="Arial"/>
          <w:sz w:val="22"/>
          <w:u w:val="single"/>
          <w:lang w:val="en-US"/>
        </w:rPr>
        <w:t>Automotive Materials &amp; Sustainability</w:t>
      </w:r>
    </w:p>
    <w:p w14:paraId="49805E02" w14:textId="76EE065E" w:rsidR="00382BCA" w:rsidRPr="00961A3E" w:rsidRDefault="00382BCA" w:rsidP="00B10FD3">
      <w:pPr>
        <w:jc w:val="center"/>
        <w:rPr>
          <w:rFonts w:ascii="Arial" w:hAnsi="Arial" w:cs="Arial"/>
          <w:sz w:val="22"/>
          <w:u w:val="single"/>
          <w:lang w:val="en-US"/>
        </w:rPr>
      </w:pPr>
      <w:r w:rsidRPr="00961A3E">
        <w:rPr>
          <w:rFonts w:ascii="Arial" w:hAnsi="Arial" w:cs="Arial"/>
          <w:sz w:val="22"/>
          <w:u w:val="single"/>
          <w:lang w:val="en-US"/>
        </w:rPr>
        <w:t>ACHA6012</w:t>
      </w:r>
    </w:p>
    <w:p w14:paraId="6E1D4DAC" w14:textId="22DC58B0" w:rsidR="00382BCA" w:rsidRPr="00961A3E" w:rsidRDefault="00382BCA" w:rsidP="00B10FD3">
      <w:pPr>
        <w:jc w:val="center"/>
        <w:rPr>
          <w:rFonts w:ascii="Arial" w:hAnsi="Arial" w:cs="Arial"/>
          <w:sz w:val="22"/>
          <w:u w:val="single"/>
          <w:lang w:val="en-US"/>
        </w:rPr>
      </w:pPr>
      <w:r w:rsidRPr="00961A3E">
        <w:rPr>
          <w:rFonts w:ascii="Arial" w:hAnsi="Arial" w:cs="Arial"/>
          <w:sz w:val="22"/>
          <w:u w:val="single"/>
          <w:lang w:val="en-US"/>
        </w:rPr>
        <w:t>Abi Summerfield</w:t>
      </w:r>
    </w:p>
    <w:p w14:paraId="7A432064" w14:textId="77777777" w:rsidR="00382BCA" w:rsidRPr="00961A3E" w:rsidRDefault="00382BCA" w:rsidP="00B10FD3">
      <w:pPr>
        <w:jc w:val="center"/>
        <w:rPr>
          <w:rFonts w:ascii="Arial" w:hAnsi="Arial" w:cs="Arial"/>
          <w:sz w:val="22"/>
          <w:u w:val="single"/>
          <w:lang w:val="en-US"/>
        </w:rPr>
      </w:pPr>
    </w:p>
    <w:p w14:paraId="7539B44B" w14:textId="77777777" w:rsidR="00382BCA" w:rsidRPr="00961A3E" w:rsidRDefault="00382BCA" w:rsidP="00B10FD3">
      <w:pPr>
        <w:jc w:val="center"/>
        <w:rPr>
          <w:rFonts w:ascii="Arial" w:hAnsi="Arial" w:cs="Arial"/>
          <w:sz w:val="22"/>
          <w:u w:val="single"/>
          <w:lang w:val="en-US"/>
        </w:rPr>
      </w:pPr>
    </w:p>
    <w:p w14:paraId="41C6A858" w14:textId="77777777" w:rsidR="00382BCA" w:rsidRPr="00961A3E" w:rsidRDefault="00382BCA" w:rsidP="00B10FD3">
      <w:pPr>
        <w:jc w:val="center"/>
        <w:rPr>
          <w:rFonts w:ascii="Arial" w:hAnsi="Arial" w:cs="Arial"/>
          <w:sz w:val="22"/>
          <w:u w:val="single"/>
          <w:lang w:val="en-US"/>
        </w:rPr>
      </w:pPr>
    </w:p>
    <w:p w14:paraId="7D34FE9F" w14:textId="77777777" w:rsidR="00382BCA" w:rsidRPr="00961A3E" w:rsidRDefault="00382BCA" w:rsidP="00B10FD3">
      <w:pPr>
        <w:jc w:val="center"/>
        <w:rPr>
          <w:rFonts w:ascii="Arial" w:hAnsi="Arial" w:cs="Arial"/>
          <w:sz w:val="22"/>
          <w:u w:val="single"/>
          <w:lang w:val="en-US"/>
        </w:rPr>
      </w:pPr>
    </w:p>
    <w:p w14:paraId="751924FA" w14:textId="77777777" w:rsidR="00382BCA" w:rsidRPr="00961A3E" w:rsidRDefault="00382BCA" w:rsidP="00B10FD3">
      <w:pPr>
        <w:jc w:val="center"/>
        <w:rPr>
          <w:rFonts w:ascii="Arial" w:hAnsi="Arial" w:cs="Arial"/>
          <w:sz w:val="22"/>
          <w:u w:val="single"/>
          <w:lang w:val="en-US"/>
        </w:rPr>
      </w:pPr>
    </w:p>
    <w:p w14:paraId="60AC778A" w14:textId="77777777" w:rsidR="00382BCA" w:rsidRPr="00961A3E" w:rsidRDefault="00382BCA" w:rsidP="00B10FD3">
      <w:pPr>
        <w:jc w:val="center"/>
        <w:rPr>
          <w:rFonts w:ascii="Arial" w:hAnsi="Arial" w:cs="Arial"/>
          <w:sz w:val="22"/>
          <w:u w:val="single"/>
          <w:lang w:val="en-US"/>
        </w:rPr>
      </w:pPr>
    </w:p>
    <w:p w14:paraId="5372D88D" w14:textId="77777777" w:rsidR="00382BCA" w:rsidRPr="00961A3E" w:rsidRDefault="00382BCA" w:rsidP="00B10FD3">
      <w:pPr>
        <w:jc w:val="center"/>
        <w:rPr>
          <w:rFonts w:ascii="Arial" w:hAnsi="Arial" w:cs="Arial"/>
          <w:sz w:val="22"/>
          <w:u w:val="single"/>
          <w:lang w:val="en-US"/>
        </w:rPr>
      </w:pPr>
    </w:p>
    <w:p w14:paraId="77EA76E1" w14:textId="77777777" w:rsidR="00382BCA" w:rsidRPr="00961A3E" w:rsidRDefault="00382BCA" w:rsidP="00B10FD3">
      <w:pPr>
        <w:jc w:val="center"/>
        <w:rPr>
          <w:rFonts w:ascii="Arial" w:hAnsi="Arial" w:cs="Arial"/>
          <w:sz w:val="22"/>
          <w:u w:val="single"/>
          <w:lang w:val="en-US"/>
        </w:rPr>
      </w:pPr>
    </w:p>
    <w:p w14:paraId="78DF97E3" w14:textId="72A262DF" w:rsidR="00382BCA" w:rsidRPr="00961A3E" w:rsidRDefault="00382BCA" w:rsidP="00B10FD3">
      <w:pPr>
        <w:jc w:val="center"/>
        <w:rPr>
          <w:rFonts w:ascii="Arial" w:hAnsi="Arial" w:cs="Arial"/>
          <w:sz w:val="22"/>
          <w:u w:val="single"/>
          <w:lang w:val="en-US"/>
        </w:rPr>
      </w:pPr>
    </w:p>
    <w:p w14:paraId="5AB80D01" w14:textId="61D7D347" w:rsidR="00705BEC" w:rsidRPr="00961A3E" w:rsidRDefault="00705BEC" w:rsidP="00B10FD3">
      <w:pPr>
        <w:jc w:val="center"/>
        <w:rPr>
          <w:rFonts w:ascii="Arial" w:hAnsi="Arial" w:cs="Arial"/>
          <w:sz w:val="22"/>
          <w:u w:val="single"/>
          <w:lang w:val="en-US"/>
        </w:rPr>
      </w:pPr>
    </w:p>
    <w:p w14:paraId="2FD1248F" w14:textId="05744CA8" w:rsidR="00705BEC" w:rsidRPr="00961A3E" w:rsidRDefault="00705BEC" w:rsidP="00B10FD3">
      <w:pPr>
        <w:jc w:val="center"/>
        <w:rPr>
          <w:rFonts w:ascii="Arial" w:hAnsi="Arial" w:cs="Arial"/>
          <w:sz w:val="22"/>
          <w:u w:val="single"/>
          <w:lang w:val="en-US"/>
        </w:rPr>
      </w:pPr>
    </w:p>
    <w:p w14:paraId="59AD802D" w14:textId="701B328F" w:rsidR="00705BEC" w:rsidRPr="00961A3E" w:rsidRDefault="00705BEC" w:rsidP="00B10FD3">
      <w:pPr>
        <w:jc w:val="center"/>
        <w:rPr>
          <w:rFonts w:ascii="Arial" w:hAnsi="Arial" w:cs="Arial"/>
          <w:sz w:val="22"/>
          <w:u w:val="single"/>
          <w:lang w:val="en-US"/>
        </w:rPr>
      </w:pPr>
    </w:p>
    <w:p w14:paraId="5E6F8D96" w14:textId="78979439" w:rsidR="00705BEC" w:rsidRPr="00961A3E" w:rsidRDefault="00705BEC" w:rsidP="00B10FD3">
      <w:pPr>
        <w:jc w:val="center"/>
        <w:rPr>
          <w:rFonts w:ascii="Arial" w:hAnsi="Arial" w:cs="Arial"/>
          <w:sz w:val="22"/>
          <w:u w:val="single"/>
          <w:lang w:val="en-US"/>
        </w:rPr>
      </w:pPr>
    </w:p>
    <w:p w14:paraId="6A1E3BA7" w14:textId="24E353B4" w:rsidR="00705BEC" w:rsidRPr="00961A3E" w:rsidRDefault="00705BEC" w:rsidP="00B10FD3">
      <w:pPr>
        <w:jc w:val="center"/>
        <w:rPr>
          <w:rFonts w:ascii="Arial" w:hAnsi="Arial" w:cs="Arial"/>
          <w:sz w:val="22"/>
          <w:u w:val="single"/>
          <w:lang w:val="en-US"/>
        </w:rPr>
      </w:pPr>
    </w:p>
    <w:p w14:paraId="400EF8A8" w14:textId="19661DD3" w:rsidR="00705BEC" w:rsidRPr="00961A3E" w:rsidRDefault="00705BEC" w:rsidP="00B10FD3">
      <w:pPr>
        <w:jc w:val="center"/>
        <w:rPr>
          <w:rFonts w:ascii="Arial" w:hAnsi="Arial" w:cs="Arial"/>
          <w:sz w:val="22"/>
          <w:u w:val="single"/>
          <w:lang w:val="en-US"/>
        </w:rPr>
      </w:pPr>
    </w:p>
    <w:p w14:paraId="72D30EA7" w14:textId="77777777" w:rsidR="00705BEC" w:rsidRPr="00961A3E" w:rsidRDefault="00705BEC" w:rsidP="00B10FD3">
      <w:pPr>
        <w:jc w:val="center"/>
        <w:rPr>
          <w:rFonts w:ascii="Arial" w:hAnsi="Arial" w:cs="Arial"/>
          <w:sz w:val="22"/>
          <w:u w:val="single"/>
          <w:lang w:val="en-US"/>
        </w:rPr>
      </w:pPr>
    </w:p>
    <w:p w14:paraId="0BE421F3" w14:textId="49F7294A" w:rsidR="00705BEC" w:rsidRPr="00961A3E" w:rsidRDefault="00382BCA" w:rsidP="00B10FD3">
      <w:pPr>
        <w:jc w:val="center"/>
        <w:rPr>
          <w:rFonts w:ascii="Arial" w:hAnsi="Arial" w:cs="Arial"/>
          <w:sz w:val="22"/>
          <w:u w:val="single"/>
          <w:lang w:val="en-US"/>
        </w:rPr>
      </w:pPr>
      <w:r w:rsidRPr="00961A3E">
        <w:rPr>
          <w:rFonts w:ascii="Arial" w:hAnsi="Arial" w:cs="Arial"/>
          <w:sz w:val="22"/>
          <w:u w:val="single"/>
          <w:lang w:val="en-US"/>
        </w:rPr>
        <w:t>By Evan Morcom (1802426)</w:t>
      </w:r>
    </w:p>
    <w:p w14:paraId="097593DB" w14:textId="77777777" w:rsidR="00E95A2F" w:rsidRDefault="00E95A2F">
      <w:pPr>
        <w:rPr>
          <w:rFonts w:ascii="Arial" w:hAnsi="Arial" w:cs="Arial"/>
          <w:sz w:val="22"/>
        </w:rPr>
      </w:pPr>
      <w:r>
        <w:rPr>
          <w:rFonts w:ascii="Arial" w:hAnsi="Arial" w:cs="Arial"/>
          <w:sz w:val="22"/>
        </w:rPr>
        <w:br w:type="page"/>
      </w:r>
    </w:p>
    <w:sdt>
      <w:sdtPr>
        <w:rPr>
          <w:rFonts w:asciiTheme="minorHAnsi" w:eastAsiaTheme="minorHAnsi" w:hAnsiTheme="minorHAnsi" w:cstheme="minorBidi"/>
          <w:color w:val="auto"/>
          <w:sz w:val="24"/>
          <w:szCs w:val="22"/>
          <w:lang w:val="en-GB"/>
        </w:rPr>
        <w:id w:val="840585022"/>
        <w:docPartObj>
          <w:docPartGallery w:val="Table of Contents"/>
          <w:docPartUnique/>
        </w:docPartObj>
      </w:sdtPr>
      <w:sdtEndPr>
        <w:rPr>
          <w:b/>
          <w:bCs/>
          <w:noProof/>
        </w:rPr>
      </w:sdtEndPr>
      <w:sdtContent>
        <w:p w14:paraId="3D145228" w14:textId="22A46D98" w:rsidR="007C57A6" w:rsidRDefault="007C57A6">
          <w:pPr>
            <w:pStyle w:val="TOCHeading"/>
          </w:pPr>
          <w:r>
            <w:t>Contents</w:t>
          </w:r>
        </w:p>
        <w:p w14:paraId="640AF843" w14:textId="540E3F52" w:rsidR="007C57A6" w:rsidRDefault="007C57A6">
          <w:pPr>
            <w:pStyle w:val="TOC1"/>
            <w:tabs>
              <w:tab w:val="right" w:leader="dot" w:pos="9016"/>
            </w:tabs>
            <w:rPr>
              <w:noProof/>
            </w:rPr>
          </w:pPr>
          <w:r>
            <w:fldChar w:fldCharType="begin"/>
          </w:r>
          <w:r>
            <w:instrText xml:space="preserve"> TOC \o "1-3" \h \z \u </w:instrText>
          </w:r>
          <w:r>
            <w:fldChar w:fldCharType="separate"/>
          </w:r>
          <w:hyperlink w:anchor="_Toc87453620" w:history="1">
            <w:r w:rsidRPr="00D060C3">
              <w:rPr>
                <w:rStyle w:val="Hyperlink"/>
                <w:noProof/>
              </w:rPr>
              <w:t>1.0 - Introduction</w:t>
            </w:r>
            <w:r>
              <w:rPr>
                <w:noProof/>
                <w:webHidden/>
              </w:rPr>
              <w:tab/>
            </w:r>
            <w:r>
              <w:rPr>
                <w:noProof/>
                <w:webHidden/>
              </w:rPr>
              <w:fldChar w:fldCharType="begin"/>
            </w:r>
            <w:r>
              <w:rPr>
                <w:noProof/>
                <w:webHidden/>
              </w:rPr>
              <w:instrText xml:space="preserve"> PAGEREF _Toc87453620 \h </w:instrText>
            </w:r>
            <w:r>
              <w:rPr>
                <w:noProof/>
                <w:webHidden/>
              </w:rPr>
            </w:r>
            <w:r>
              <w:rPr>
                <w:noProof/>
                <w:webHidden/>
              </w:rPr>
              <w:fldChar w:fldCharType="separate"/>
            </w:r>
            <w:r>
              <w:rPr>
                <w:noProof/>
                <w:webHidden/>
              </w:rPr>
              <w:t>4</w:t>
            </w:r>
            <w:r>
              <w:rPr>
                <w:noProof/>
                <w:webHidden/>
              </w:rPr>
              <w:fldChar w:fldCharType="end"/>
            </w:r>
          </w:hyperlink>
        </w:p>
        <w:p w14:paraId="13E303AD" w14:textId="24DE9B8F" w:rsidR="007C57A6" w:rsidRDefault="00DF4A82">
          <w:pPr>
            <w:pStyle w:val="TOC1"/>
            <w:tabs>
              <w:tab w:val="right" w:leader="dot" w:pos="9016"/>
            </w:tabs>
            <w:rPr>
              <w:noProof/>
            </w:rPr>
          </w:pPr>
          <w:hyperlink w:anchor="_Toc87453621" w:history="1">
            <w:r w:rsidR="007C57A6" w:rsidRPr="00D060C3">
              <w:rPr>
                <w:rStyle w:val="Hyperlink"/>
                <w:noProof/>
              </w:rPr>
              <w:t>2.0 - Background</w:t>
            </w:r>
            <w:r w:rsidR="007C57A6">
              <w:rPr>
                <w:noProof/>
                <w:webHidden/>
              </w:rPr>
              <w:tab/>
            </w:r>
            <w:r w:rsidR="007C57A6">
              <w:rPr>
                <w:noProof/>
                <w:webHidden/>
              </w:rPr>
              <w:fldChar w:fldCharType="begin"/>
            </w:r>
            <w:r w:rsidR="007C57A6">
              <w:rPr>
                <w:noProof/>
                <w:webHidden/>
              </w:rPr>
              <w:instrText xml:space="preserve"> PAGEREF _Toc87453621 \h </w:instrText>
            </w:r>
            <w:r w:rsidR="007C57A6">
              <w:rPr>
                <w:noProof/>
                <w:webHidden/>
              </w:rPr>
            </w:r>
            <w:r w:rsidR="007C57A6">
              <w:rPr>
                <w:noProof/>
                <w:webHidden/>
              </w:rPr>
              <w:fldChar w:fldCharType="separate"/>
            </w:r>
            <w:r w:rsidR="007C57A6">
              <w:rPr>
                <w:noProof/>
                <w:webHidden/>
              </w:rPr>
              <w:t>5</w:t>
            </w:r>
            <w:r w:rsidR="007C57A6">
              <w:rPr>
                <w:noProof/>
                <w:webHidden/>
              </w:rPr>
              <w:fldChar w:fldCharType="end"/>
            </w:r>
          </w:hyperlink>
        </w:p>
        <w:p w14:paraId="0710B574" w14:textId="5CDC71D5" w:rsidR="007C57A6" w:rsidRDefault="00DF4A82">
          <w:pPr>
            <w:pStyle w:val="TOC1"/>
            <w:tabs>
              <w:tab w:val="right" w:leader="dot" w:pos="9016"/>
            </w:tabs>
            <w:rPr>
              <w:noProof/>
            </w:rPr>
          </w:pPr>
          <w:hyperlink w:anchor="_Toc87453622" w:history="1">
            <w:r w:rsidR="007C57A6" w:rsidRPr="00D060C3">
              <w:rPr>
                <w:rStyle w:val="Hyperlink"/>
                <w:noProof/>
              </w:rPr>
              <w:t>3.0 - Discussion</w:t>
            </w:r>
            <w:r w:rsidR="007C57A6">
              <w:rPr>
                <w:noProof/>
                <w:webHidden/>
              </w:rPr>
              <w:tab/>
            </w:r>
            <w:r w:rsidR="007C57A6">
              <w:rPr>
                <w:noProof/>
                <w:webHidden/>
              </w:rPr>
              <w:fldChar w:fldCharType="begin"/>
            </w:r>
            <w:r w:rsidR="007C57A6">
              <w:rPr>
                <w:noProof/>
                <w:webHidden/>
              </w:rPr>
              <w:instrText xml:space="preserve"> PAGEREF _Toc87453622 \h </w:instrText>
            </w:r>
            <w:r w:rsidR="007C57A6">
              <w:rPr>
                <w:noProof/>
                <w:webHidden/>
              </w:rPr>
            </w:r>
            <w:r w:rsidR="007C57A6">
              <w:rPr>
                <w:noProof/>
                <w:webHidden/>
              </w:rPr>
              <w:fldChar w:fldCharType="separate"/>
            </w:r>
            <w:r w:rsidR="007C57A6">
              <w:rPr>
                <w:noProof/>
                <w:webHidden/>
              </w:rPr>
              <w:t>6</w:t>
            </w:r>
            <w:r w:rsidR="007C57A6">
              <w:rPr>
                <w:noProof/>
                <w:webHidden/>
              </w:rPr>
              <w:fldChar w:fldCharType="end"/>
            </w:r>
          </w:hyperlink>
        </w:p>
        <w:p w14:paraId="270DE00F" w14:textId="7ABAA309" w:rsidR="007C57A6" w:rsidRDefault="00DF4A82">
          <w:pPr>
            <w:pStyle w:val="TOC2"/>
            <w:tabs>
              <w:tab w:val="right" w:leader="dot" w:pos="9016"/>
            </w:tabs>
            <w:rPr>
              <w:noProof/>
            </w:rPr>
          </w:pPr>
          <w:hyperlink w:anchor="_Toc87453623" w:history="1">
            <w:r w:rsidR="007C57A6" w:rsidRPr="00D060C3">
              <w:rPr>
                <w:rStyle w:val="Hyperlink"/>
                <w:noProof/>
              </w:rPr>
              <w:t>3.1 - Immediate</w:t>
            </w:r>
            <w:r w:rsidR="007C57A6">
              <w:rPr>
                <w:noProof/>
                <w:webHidden/>
              </w:rPr>
              <w:tab/>
            </w:r>
            <w:r w:rsidR="007C57A6">
              <w:rPr>
                <w:noProof/>
                <w:webHidden/>
              </w:rPr>
              <w:fldChar w:fldCharType="begin"/>
            </w:r>
            <w:r w:rsidR="007C57A6">
              <w:rPr>
                <w:noProof/>
                <w:webHidden/>
              </w:rPr>
              <w:instrText xml:space="preserve"> PAGEREF _Toc87453623 \h </w:instrText>
            </w:r>
            <w:r w:rsidR="007C57A6">
              <w:rPr>
                <w:noProof/>
                <w:webHidden/>
              </w:rPr>
            </w:r>
            <w:r w:rsidR="007C57A6">
              <w:rPr>
                <w:noProof/>
                <w:webHidden/>
              </w:rPr>
              <w:fldChar w:fldCharType="separate"/>
            </w:r>
            <w:r w:rsidR="007C57A6">
              <w:rPr>
                <w:noProof/>
                <w:webHidden/>
              </w:rPr>
              <w:t>6</w:t>
            </w:r>
            <w:r w:rsidR="007C57A6">
              <w:rPr>
                <w:noProof/>
                <w:webHidden/>
              </w:rPr>
              <w:fldChar w:fldCharType="end"/>
            </w:r>
          </w:hyperlink>
        </w:p>
        <w:p w14:paraId="5A596CC6" w14:textId="0A95E0EC" w:rsidR="007C57A6" w:rsidRDefault="00DF4A82">
          <w:pPr>
            <w:pStyle w:val="TOC2"/>
            <w:tabs>
              <w:tab w:val="right" w:leader="dot" w:pos="9016"/>
            </w:tabs>
            <w:rPr>
              <w:noProof/>
            </w:rPr>
          </w:pPr>
          <w:hyperlink w:anchor="_Toc87453624" w:history="1">
            <w:r w:rsidR="007C57A6" w:rsidRPr="00D060C3">
              <w:rPr>
                <w:rStyle w:val="Hyperlink"/>
                <w:noProof/>
              </w:rPr>
              <w:t>3.2 - Long-term implications</w:t>
            </w:r>
            <w:r w:rsidR="007C57A6">
              <w:rPr>
                <w:noProof/>
                <w:webHidden/>
              </w:rPr>
              <w:tab/>
            </w:r>
            <w:r w:rsidR="007C57A6">
              <w:rPr>
                <w:noProof/>
                <w:webHidden/>
              </w:rPr>
              <w:fldChar w:fldCharType="begin"/>
            </w:r>
            <w:r w:rsidR="007C57A6">
              <w:rPr>
                <w:noProof/>
                <w:webHidden/>
              </w:rPr>
              <w:instrText xml:space="preserve"> PAGEREF _Toc87453624 \h </w:instrText>
            </w:r>
            <w:r w:rsidR="007C57A6">
              <w:rPr>
                <w:noProof/>
                <w:webHidden/>
              </w:rPr>
            </w:r>
            <w:r w:rsidR="007C57A6">
              <w:rPr>
                <w:noProof/>
                <w:webHidden/>
              </w:rPr>
              <w:fldChar w:fldCharType="separate"/>
            </w:r>
            <w:r w:rsidR="007C57A6">
              <w:rPr>
                <w:noProof/>
                <w:webHidden/>
              </w:rPr>
              <w:t>6</w:t>
            </w:r>
            <w:r w:rsidR="007C57A6">
              <w:rPr>
                <w:noProof/>
                <w:webHidden/>
              </w:rPr>
              <w:fldChar w:fldCharType="end"/>
            </w:r>
          </w:hyperlink>
        </w:p>
        <w:p w14:paraId="33AED327" w14:textId="5E0650A6" w:rsidR="007C57A6" w:rsidRDefault="00DF4A82">
          <w:pPr>
            <w:pStyle w:val="TOC2"/>
            <w:tabs>
              <w:tab w:val="right" w:leader="dot" w:pos="9016"/>
            </w:tabs>
            <w:rPr>
              <w:noProof/>
            </w:rPr>
          </w:pPr>
          <w:hyperlink w:anchor="_Toc87453625" w:history="1">
            <w:r w:rsidR="007C57A6" w:rsidRPr="00D060C3">
              <w:rPr>
                <w:rStyle w:val="Hyperlink"/>
                <w:noProof/>
              </w:rPr>
              <w:t>3.3 - Electricity demand solutions and grid capabilities</w:t>
            </w:r>
            <w:r w:rsidR="007C57A6">
              <w:rPr>
                <w:noProof/>
                <w:webHidden/>
              </w:rPr>
              <w:tab/>
            </w:r>
            <w:r w:rsidR="007C57A6">
              <w:rPr>
                <w:noProof/>
                <w:webHidden/>
              </w:rPr>
              <w:fldChar w:fldCharType="begin"/>
            </w:r>
            <w:r w:rsidR="007C57A6">
              <w:rPr>
                <w:noProof/>
                <w:webHidden/>
              </w:rPr>
              <w:instrText xml:space="preserve"> PAGEREF _Toc87453625 \h </w:instrText>
            </w:r>
            <w:r w:rsidR="007C57A6">
              <w:rPr>
                <w:noProof/>
                <w:webHidden/>
              </w:rPr>
            </w:r>
            <w:r w:rsidR="007C57A6">
              <w:rPr>
                <w:noProof/>
                <w:webHidden/>
              </w:rPr>
              <w:fldChar w:fldCharType="separate"/>
            </w:r>
            <w:r w:rsidR="007C57A6">
              <w:rPr>
                <w:noProof/>
                <w:webHidden/>
              </w:rPr>
              <w:t>8</w:t>
            </w:r>
            <w:r w:rsidR="007C57A6">
              <w:rPr>
                <w:noProof/>
                <w:webHidden/>
              </w:rPr>
              <w:fldChar w:fldCharType="end"/>
            </w:r>
          </w:hyperlink>
        </w:p>
        <w:p w14:paraId="54E7563C" w14:textId="1A16A7A9" w:rsidR="007C57A6" w:rsidRDefault="00DF4A82">
          <w:pPr>
            <w:pStyle w:val="TOC2"/>
            <w:tabs>
              <w:tab w:val="right" w:leader="dot" w:pos="9016"/>
            </w:tabs>
            <w:rPr>
              <w:noProof/>
            </w:rPr>
          </w:pPr>
          <w:hyperlink w:anchor="_Toc87453626" w:history="1">
            <w:r w:rsidR="007C57A6" w:rsidRPr="00D060C3">
              <w:rPr>
                <w:rStyle w:val="Hyperlink"/>
                <w:noProof/>
              </w:rPr>
              <w:t>3.4 - Any ethical issues that might occur</w:t>
            </w:r>
            <w:r w:rsidR="007C57A6">
              <w:rPr>
                <w:noProof/>
                <w:webHidden/>
              </w:rPr>
              <w:tab/>
            </w:r>
            <w:r w:rsidR="007C57A6">
              <w:rPr>
                <w:noProof/>
                <w:webHidden/>
              </w:rPr>
              <w:fldChar w:fldCharType="begin"/>
            </w:r>
            <w:r w:rsidR="007C57A6">
              <w:rPr>
                <w:noProof/>
                <w:webHidden/>
              </w:rPr>
              <w:instrText xml:space="preserve"> PAGEREF _Toc87453626 \h </w:instrText>
            </w:r>
            <w:r w:rsidR="007C57A6">
              <w:rPr>
                <w:noProof/>
                <w:webHidden/>
              </w:rPr>
            </w:r>
            <w:r w:rsidR="007C57A6">
              <w:rPr>
                <w:noProof/>
                <w:webHidden/>
              </w:rPr>
              <w:fldChar w:fldCharType="separate"/>
            </w:r>
            <w:r w:rsidR="007C57A6">
              <w:rPr>
                <w:noProof/>
                <w:webHidden/>
              </w:rPr>
              <w:t>9</w:t>
            </w:r>
            <w:r w:rsidR="007C57A6">
              <w:rPr>
                <w:noProof/>
                <w:webHidden/>
              </w:rPr>
              <w:fldChar w:fldCharType="end"/>
            </w:r>
          </w:hyperlink>
        </w:p>
        <w:p w14:paraId="49E4182F" w14:textId="30E35D22" w:rsidR="007C57A6" w:rsidRDefault="00DF4A82">
          <w:pPr>
            <w:pStyle w:val="TOC2"/>
            <w:tabs>
              <w:tab w:val="right" w:leader="dot" w:pos="9016"/>
            </w:tabs>
            <w:rPr>
              <w:noProof/>
            </w:rPr>
          </w:pPr>
          <w:hyperlink w:anchor="_Toc87453627" w:history="1">
            <w:r w:rsidR="007C57A6" w:rsidRPr="00D060C3">
              <w:rPr>
                <w:rStyle w:val="Hyperlink"/>
                <w:noProof/>
              </w:rPr>
              <w:t>3.5 - Practicalities of using such technologies for my area</w:t>
            </w:r>
            <w:r w:rsidR="007C57A6">
              <w:rPr>
                <w:noProof/>
                <w:webHidden/>
              </w:rPr>
              <w:tab/>
            </w:r>
            <w:r w:rsidR="007C57A6">
              <w:rPr>
                <w:noProof/>
                <w:webHidden/>
              </w:rPr>
              <w:fldChar w:fldCharType="begin"/>
            </w:r>
            <w:r w:rsidR="007C57A6">
              <w:rPr>
                <w:noProof/>
                <w:webHidden/>
              </w:rPr>
              <w:instrText xml:space="preserve"> PAGEREF _Toc87453627 \h </w:instrText>
            </w:r>
            <w:r w:rsidR="007C57A6">
              <w:rPr>
                <w:noProof/>
                <w:webHidden/>
              </w:rPr>
            </w:r>
            <w:r w:rsidR="007C57A6">
              <w:rPr>
                <w:noProof/>
                <w:webHidden/>
              </w:rPr>
              <w:fldChar w:fldCharType="separate"/>
            </w:r>
            <w:r w:rsidR="007C57A6">
              <w:rPr>
                <w:noProof/>
                <w:webHidden/>
              </w:rPr>
              <w:t>10</w:t>
            </w:r>
            <w:r w:rsidR="007C57A6">
              <w:rPr>
                <w:noProof/>
                <w:webHidden/>
              </w:rPr>
              <w:fldChar w:fldCharType="end"/>
            </w:r>
          </w:hyperlink>
        </w:p>
        <w:p w14:paraId="4E809B7D" w14:textId="2C2D96E7" w:rsidR="007C57A6" w:rsidRDefault="00DF4A82">
          <w:pPr>
            <w:pStyle w:val="TOC2"/>
            <w:tabs>
              <w:tab w:val="right" w:leader="dot" w:pos="9016"/>
            </w:tabs>
            <w:rPr>
              <w:noProof/>
            </w:rPr>
          </w:pPr>
          <w:hyperlink w:anchor="_Toc87453628" w:history="1">
            <w:r w:rsidR="007C57A6" w:rsidRPr="00D060C3">
              <w:rPr>
                <w:rStyle w:val="Hyperlink"/>
                <w:noProof/>
              </w:rPr>
              <w:t>3.6 - Current charging technology</w:t>
            </w:r>
            <w:r w:rsidR="007C57A6">
              <w:rPr>
                <w:noProof/>
                <w:webHidden/>
              </w:rPr>
              <w:tab/>
            </w:r>
            <w:r w:rsidR="007C57A6">
              <w:rPr>
                <w:noProof/>
                <w:webHidden/>
              </w:rPr>
              <w:fldChar w:fldCharType="begin"/>
            </w:r>
            <w:r w:rsidR="007C57A6">
              <w:rPr>
                <w:noProof/>
                <w:webHidden/>
              </w:rPr>
              <w:instrText xml:space="preserve"> PAGEREF _Toc87453628 \h </w:instrText>
            </w:r>
            <w:r w:rsidR="007C57A6">
              <w:rPr>
                <w:noProof/>
                <w:webHidden/>
              </w:rPr>
            </w:r>
            <w:r w:rsidR="007C57A6">
              <w:rPr>
                <w:noProof/>
                <w:webHidden/>
              </w:rPr>
              <w:fldChar w:fldCharType="separate"/>
            </w:r>
            <w:r w:rsidR="007C57A6">
              <w:rPr>
                <w:noProof/>
                <w:webHidden/>
              </w:rPr>
              <w:t>12</w:t>
            </w:r>
            <w:r w:rsidR="007C57A6">
              <w:rPr>
                <w:noProof/>
                <w:webHidden/>
              </w:rPr>
              <w:fldChar w:fldCharType="end"/>
            </w:r>
          </w:hyperlink>
        </w:p>
        <w:p w14:paraId="36D9F123" w14:textId="04A07E6A" w:rsidR="007C57A6" w:rsidRDefault="00DF4A82">
          <w:pPr>
            <w:pStyle w:val="TOC1"/>
            <w:tabs>
              <w:tab w:val="right" w:leader="dot" w:pos="9016"/>
            </w:tabs>
            <w:rPr>
              <w:noProof/>
            </w:rPr>
          </w:pPr>
          <w:hyperlink w:anchor="_Toc87453629" w:history="1">
            <w:r w:rsidR="007C57A6" w:rsidRPr="00D060C3">
              <w:rPr>
                <w:rStyle w:val="Hyperlink"/>
                <w:noProof/>
              </w:rPr>
              <w:t>4.0 - Conclusion</w:t>
            </w:r>
            <w:r w:rsidR="007C57A6">
              <w:rPr>
                <w:noProof/>
                <w:webHidden/>
              </w:rPr>
              <w:tab/>
            </w:r>
            <w:r w:rsidR="007C57A6">
              <w:rPr>
                <w:noProof/>
                <w:webHidden/>
              </w:rPr>
              <w:fldChar w:fldCharType="begin"/>
            </w:r>
            <w:r w:rsidR="007C57A6">
              <w:rPr>
                <w:noProof/>
                <w:webHidden/>
              </w:rPr>
              <w:instrText xml:space="preserve"> PAGEREF _Toc87453629 \h </w:instrText>
            </w:r>
            <w:r w:rsidR="007C57A6">
              <w:rPr>
                <w:noProof/>
                <w:webHidden/>
              </w:rPr>
            </w:r>
            <w:r w:rsidR="007C57A6">
              <w:rPr>
                <w:noProof/>
                <w:webHidden/>
              </w:rPr>
              <w:fldChar w:fldCharType="separate"/>
            </w:r>
            <w:r w:rsidR="007C57A6">
              <w:rPr>
                <w:noProof/>
                <w:webHidden/>
              </w:rPr>
              <w:t>13</w:t>
            </w:r>
            <w:r w:rsidR="007C57A6">
              <w:rPr>
                <w:noProof/>
                <w:webHidden/>
              </w:rPr>
              <w:fldChar w:fldCharType="end"/>
            </w:r>
          </w:hyperlink>
        </w:p>
        <w:p w14:paraId="6204A6AD" w14:textId="62FEF423" w:rsidR="007C57A6" w:rsidRDefault="00DF4A82">
          <w:pPr>
            <w:pStyle w:val="TOC1"/>
            <w:tabs>
              <w:tab w:val="right" w:leader="dot" w:pos="9016"/>
            </w:tabs>
            <w:rPr>
              <w:noProof/>
            </w:rPr>
          </w:pPr>
          <w:hyperlink w:anchor="_Toc87453630" w:history="1">
            <w:r w:rsidR="007C57A6" w:rsidRPr="00D060C3">
              <w:rPr>
                <w:rStyle w:val="Hyperlink"/>
                <w:noProof/>
              </w:rPr>
              <w:t>5.0 - References</w:t>
            </w:r>
            <w:r w:rsidR="007C57A6">
              <w:rPr>
                <w:noProof/>
                <w:webHidden/>
              </w:rPr>
              <w:tab/>
            </w:r>
            <w:r w:rsidR="007C57A6">
              <w:rPr>
                <w:noProof/>
                <w:webHidden/>
              </w:rPr>
              <w:fldChar w:fldCharType="begin"/>
            </w:r>
            <w:r w:rsidR="007C57A6">
              <w:rPr>
                <w:noProof/>
                <w:webHidden/>
              </w:rPr>
              <w:instrText xml:space="preserve"> PAGEREF _Toc87453630 \h </w:instrText>
            </w:r>
            <w:r w:rsidR="007C57A6">
              <w:rPr>
                <w:noProof/>
                <w:webHidden/>
              </w:rPr>
            </w:r>
            <w:r w:rsidR="007C57A6">
              <w:rPr>
                <w:noProof/>
                <w:webHidden/>
              </w:rPr>
              <w:fldChar w:fldCharType="separate"/>
            </w:r>
            <w:r w:rsidR="007C57A6">
              <w:rPr>
                <w:noProof/>
                <w:webHidden/>
              </w:rPr>
              <w:t>15</w:t>
            </w:r>
            <w:r w:rsidR="007C57A6">
              <w:rPr>
                <w:noProof/>
                <w:webHidden/>
              </w:rPr>
              <w:fldChar w:fldCharType="end"/>
            </w:r>
          </w:hyperlink>
        </w:p>
        <w:p w14:paraId="4FA0A478" w14:textId="69E8CA43" w:rsidR="007C57A6" w:rsidRDefault="007C57A6">
          <w:r>
            <w:rPr>
              <w:b/>
              <w:bCs/>
              <w:noProof/>
            </w:rPr>
            <w:fldChar w:fldCharType="end"/>
          </w:r>
        </w:p>
      </w:sdtContent>
    </w:sdt>
    <w:p w14:paraId="49B8756D" w14:textId="5859D60D" w:rsidR="008727B7" w:rsidRDefault="008727B7" w:rsidP="00584152">
      <w:pPr>
        <w:rPr>
          <w:rFonts w:ascii="Arial" w:hAnsi="Arial" w:cs="Arial"/>
          <w:sz w:val="22"/>
        </w:rPr>
      </w:pPr>
      <w:r>
        <w:rPr>
          <w:rFonts w:ascii="Arial" w:hAnsi="Arial" w:cs="Arial"/>
          <w:sz w:val="22"/>
        </w:rPr>
        <w:br w:type="page"/>
      </w:r>
    </w:p>
    <w:p w14:paraId="32CAC538" w14:textId="54B95542" w:rsidR="00584152" w:rsidRPr="00584152" w:rsidRDefault="00584152">
      <w:pPr>
        <w:pStyle w:val="TableofFigures"/>
        <w:tabs>
          <w:tab w:val="right" w:leader="dot" w:pos="9016"/>
        </w:tabs>
        <w:rPr>
          <w:rFonts w:ascii="Arial" w:hAnsi="Arial" w:cs="Arial"/>
          <w:noProof/>
          <w:sz w:val="22"/>
        </w:rPr>
      </w:pPr>
      <w:r w:rsidRPr="00584152">
        <w:rPr>
          <w:rFonts w:ascii="Arial" w:hAnsi="Arial" w:cs="Arial"/>
          <w:sz w:val="22"/>
        </w:rPr>
        <w:lastRenderedPageBreak/>
        <w:fldChar w:fldCharType="begin"/>
      </w:r>
      <w:r w:rsidRPr="00584152">
        <w:rPr>
          <w:rFonts w:ascii="Arial" w:hAnsi="Arial" w:cs="Arial"/>
          <w:sz w:val="22"/>
        </w:rPr>
        <w:instrText xml:space="preserve"> TOC \h \z \c "Figure" </w:instrText>
      </w:r>
      <w:r w:rsidRPr="00584152">
        <w:rPr>
          <w:rFonts w:ascii="Arial" w:hAnsi="Arial" w:cs="Arial"/>
          <w:sz w:val="22"/>
        </w:rPr>
        <w:fldChar w:fldCharType="separate"/>
      </w:r>
      <w:hyperlink r:id="rId12" w:anchor="_Toc87453099" w:history="1">
        <w:r w:rsidRPr="00584152">
          <w:rPr>
            <w:rStyle w:val="Hyperlink"/>
            <w:rFonts w:ascii="Arial" w:hAnsi="Arial" w:cs="Arial"/>
            <w:noProof/>
            <w:sz w:val="22"/>
          </w:rPr>
          <w:t>Figure 1 - How V2G Operates</w:t>
        </w:r>
        <w:r w:rsidRPr="00584152">
          <w:rPr>
            <w:rStyle w:val="Hyperlink"/>
            <w:rFonts w:ascii="Arial" w:hAnsi="Arial" w:cs="Arial"/>
            <w:noProof/>
            <w:sz w:val="22"/>
            <w:lang w:val="en-US"/>
          </w:rPr>
          <w:t xml:space="preserve"> (Newmotion, 2021)</w:t>
        </w:r>
        <w:r w:rsidRPr="00584152">
          <w:rPr>
            <w:rFonts w:ascii="Arial" w:hAnsi="Arial" w:cs="Arial"/>
            <w:noProof/>
            <w:webHidden/>
            <w:sz w:val="22"/>
          </w:rPr>
          <w:tab/>
        </w:r>
        <w:r w:rsidRPr="00584152">
          <w:rPr>
            <w:rFonts w:ascii="Arial" w:hAnsi="Arial" w:cs="Arial"/>
            <w:noProof/>
            <w:webHidden/>
            <w:sz w:val="22"/>
          </w:rPr>
          <w:fldChar w:fldCharType="begin"/>
        </w:r>
        <w:r w:rsidRPr="00584152">
          <w:rPr>
            <w:rFonts w:ascii="Arial" w:hAnsi="Arial" w:cs="Arial"/>
            <w:noProof/>
            <w:webHidden/>
            <w:sz w:val="22"/>
          </w:rPr>
          <w:instrText xml:space="preserve"> PAGEREF _Toc87453099 \h </w:instrText>
        </w:r>
        <w:r w:rsidRPr="00584152">
          <w:rPr>
            <w:rFonts w:ascii="Arial" w:hAnsi="Arial" w:cs="Arial"/>
            <w:noProof/>
            <w:webHidden/>
            <w:sz w:val="22"/>
          </w:rPr>
        </w:r>
        <w:r w:rsidRPr="00584152">
          <w:rPr>
            <w:rFonts w:ascii="Arial" w:hAnsi="Arial" w:cs="Arial"/>
            <w:noProof/>
            <w:webHidden/>
            <w:sz w:val="22"/>
          </w:rPr>
          <w:fldChar w:fldCharType="separate"/>
        </w:r>
        <w:r w:rsidRPr="00584152">
          <w:rPr>
            <w:rFonts w:ascii="Arial" w:hAnsi="Arial" w:cs="Arial"/>
            <w:noProof/>
            <w:webHidden/>
            <w:sz w:val="22"/>
          </w:rPr>
          <w:t>4</w:t>
        </w:r>
        <w:r w:rsidRPr="00584152">
          <w:rPr>
            <w:rFonts w:ascii="Arial" w:hAnsi="Arial" w:cs="Arial"/>
            <w:noProof/>
            <w:webHidden/>
            <w:sz w:val="22"/>
          </w:rPr>
          <w:fldChar w:fldCharType="end"/>
        </w:r>
      </w:hyperlink>
    </w:p>
    <w:p w14:paraId="27FCCC43" w14:textId="3E921BC6" w:rsidR="00584152" w:rsidRPr="00584152" w:rsidRDefault="00DF4A82">
      <w:pPr>
        <w:pStyle w:val="TableofFigures"/>
        <w:tabs>
          <w:tab w:val="right" w:leader="dot" w:pos="9016"/>
        </w:tabs>
        <w:rPr>
          <w:rFonts w:ascii="Arial" w:hAnsi="Arial" w:cs="Arial"/>
          <w:noProof/>
          <w:sz w:val="22"/>
        </w:rPr>
      </w:pPr>
      <w:hyperlink r:id="rId13" w:anchor="_Toc87453100" w:history="1">
        <w:r w:rsidR="00584152" w:rsidRPr="00584152">
          <w:rPr>
            <w:rStyle w:val="Hyperlink"/>
            <w:rFonts w:ascii="Arial" w:hAnsi="Arial" w:cs="Arial"/>
            <w:noProof/>
            <w:sz w:val="22"/>
          </w:rPr>
          <w:t>Figure 2 - Identified Lithium Resources (Gerber, 2021)</w:t>
        </w:r>
        <w:r w:rsidR="00584152" w:rsidRPr="00584152">
          <w:rPr>
            <w:rFonts w:ascii="Arial" w:hAnsi="Arial" w:cs="Arial"/>
            <w:noProof/>
            <w:webHidden/>
            <w:sz w:val="22"/>
          </w:rPr>
          <w:tab/>
        </w:r>
        <w:r w:rsidR="00584152" w:rsidRPr="00584152">
          <w:rPr>
            <w:rFonts w:ascii="Arial" w:hAnsi="Arial" w:cs="Arial"/>
            <w:noProof/>
            <w:webHidden/>
            <w:sz w:val="22"/>
          </w:rPr>
          <w:fldChar w:fldCharType="begin"/>
        </w:r>
        <w:r w:rsidR="00584152" w:rsidRPr="00584152">
          <w:rPr>
            <w:rFonts w:ascii="Arial" w:hAnsi="Arial" w:cs="Arial"/>
            <w:noProof/>
            <w:webHidden/>
            <w:sz w:val="22"/>
          </w:rPr>
          <w:instrText xml:space="preserve"> PAGEREF _Toc87453100 \h </w:instrText>
        </w:r>
        <w:r w:rsidR="00584152" w:rsidRPr="00584152">
          <w:rPr>
            <w:rFonts w:ascii="Arial" w:hAnsi="Arial" w:cs="Arial"/>
            <w:noProof/>
            <w:webHidden/>
            <w:sz w:val="22"/>
          </w:rPr>
        </w:r>
        <w:r w:rsidR="00584152" w:rsidRPr="00584152">
          <w:rPr>
            <w:rFonts w:ascii="Arial" w:hAnsi="Arial" w:cs="Arial"/>
            <w:noProof/>
            <w:webHidden/>
            <w:sz w:val="22"/>
          </w:rPr>
          <w:fldChar w:fldCharType="separate"/>
        </w:r>
        <w:r w:rsidR="00584152" w:rsidRPr="00584152">
          <w:rPr>
            <w:rFonts w:ascii="Arial" w:hAnsi="Arial" w:cs="Arial"/>
            <w:noProof/>
            <w:webHidden/>
            <w:sz w:val="22"/>
          </w:rPr>
          <w:t>6</w:t>
        </w:r>
        <w:r w:rsidR="00584152" w:rsidRPr="00584152">
          <w:rPr>
            <w:rFonts w:ascii="Arial" w:hAnsi="Arial" w:cs="Arial"/>
            <w:noProof/>
            <w:webHidden/>
            <w:sz w:val="22"/>
          </w:rPr>
          <w:fldChar w:fldCharType="end"/>
        </w:r>
      </w:hyperlink>
    </w:p>
    <w:p w14:paraId="2834F4CB" w14:textId="10F93D35" w:rsidR="00584152" w:rsidRPr="00584152" w:rsidRDefault="00DF4A82">
      <w:pPr>
        <w:pStyle w:val="TableofFigures"/>
        <w:tabs>
          <w:tab w:val="right" w:leader="dot" w:pos="9016"/>
        </w:tabs>
        <w:rPr>
          <w:rFonts w:ascii="Arial" w:hAnsi="Arial" w:cs="Arial"/>
          <w:noProof/>
          <w:sz w:val="22"/>
        </w:rPr>
      </w:pPr>
      <w:hyperlink r:id="rId14" w:anchor="_Toc87453101" w:history="1">
        <w:r w:rsidR="00584152" w:rsidRPr="00584152">
          <w:rPr>
            <w:rStyle w:val="Hyperlink"/>
            <w:rFonts w:ascii="Arial" w:hAnsi="Arial" w:cs="Arial"/>
            <w:noProof/>
            <w:sz w:val="22"/>
          </w:rPr>
          <w:t>Figure 3 - When are Electric vehicles idle? (Newmotion, 2021)</w:t>
        </w:r>
        <w:r w:rsidR="00584152" w:rsidRPr="00584152">
          <w:rPr>
            <w:rFonts w:ascii="Arial" w:hAnsi="Arial" w:cs="Arial"/>
            <w:noProof/>
            <w:webHidden/>
            <w:sz w:val="22"/>
          </w:rPr>
          <w:tab/>
        </w:r>
        <w:r w:rsidR="00584152" w:rsidRPr="00584152">
          <w:rPr>
            <w:rFonts w:ascii="Arial" w:hAnsi="Arial" w:cs="Arial"/>
            <w:noProof/>
            <w:webHidden/>
            <w:sz w:val="22"/>
          </w:rPr>
          <w:fldChar w:fldCharType="begin"/>
        </w:r>
        <w:r w:rsidR="00584152" w:rsidRPr="00584152">
          <w:rPr>
            <w:rFonts w:ascii="Arial" w:hAnsi="Arial" w:cs="Arial"/>
            <w:noProof/>
            <w:webHidden/>
            <w:sz w:val="22"/>
          </w:rPr>
          <w:instrText xml:space="preserve"> PAGEREF _Toc87453101 \h </w:instrText>
        </w:r>
        <w:r w:rsidR="00584152" w:rsidRPr="00584152">
          <w:rPr>
            <w:rFonts w:ascii="Arial" w:hAnsi="Arial" w:cs="Arial"/>
            <w:noProof/>
            <w:webHidden/>
            <w:sz w:val="22"/>
          </w:rPr>
        </w:r>
        <w:r w:rsidR="00584152" w:rsidRPr="00584152">
          <w:rPr>
            <w:rFonts w:ascii="Arial" w:hAnsi="Arial" w:cs="Arial"/>
            <w:noProof/>
            <w:webHidden/>
            <w:sz w:val="22"/>
          </w:rPr>
          <w:fldChar w:fldCharType="separate"/>
        </w:r>
        <w:r w:rsidR="00584152" w:rsidRPr="00584152">
          <w:rPr>
            <w:rFonts w:ascii="Arial" w:hAnsi="Arial" w:cs="Arial"/>
            <w:noProof/>
            <w:webHidden/>
            <w:sz w:val="22"/>
          </w:rPr>
          <w:t>10</w:t>
        </w:r>
        <w:r w:rsidR="00584152" w:rsidRPr="00584152">
          <w:rPr>
            <w:rFonts w:ascii="Arial" w:hAnsi="Arial" w:cs="Arial"/>
            <w:noProof/>
            <w:webHidden/>
            <w:sz w:val="22"/>
          </w:rPr>
          <w:fldChar w:fldCharType="end"/>
        </w:r>
      </w:hyperlink>
    </w:p>
    <w:p w14:paraId="5E89B33F" w14:textId="129FCA0B" w:rsidR="00382BCA" w:rsidRPr="00584152" w:rsidRDefault="00584152" w:rsidP="008E76B0">
      <w:pPr>
        <w:jc w:val="both"/>
        <w:rPr>
          <w:rFonts w:ascii="Arial" w:hAnsi="Arial" w:cs="Arial"/>
          <w:sz w:val="22"/>
        </w:rPr>
      </w:pPr>
      <w:r w:rsidRPr="00584152">
        <w:rPr>
          <w:rFonts w:ascii="Arial" w:hAnsi="Arial" w:cs="Arial"/>
          <w:sz w:val="22"/>
        </w:rPr>
        <w:fldChar w:fldCharType="end"/>
      </w:r>
      <w:r w:rsidR="00382BCA" w:rsidRPr="00584152">
        <w:rPr>
          <w:rFonts w:ascii="Arial" w:hAnsi="Arial" w:cs="Arial"/>
          <w:sz w:val="22"/>
        </w:rPr>
        <w:br w:type="page"/>
      </w:r>
    </w:p>
    <w:p w14:paraId="3E9C2D0D" w14:textId="1EC1ACD0" w:rsidR="00A13914" w:rsidRPr="006A5C56" w:rsidRDefault="00382BCA" w:rsidP="00E44301">
      <w:pPr>
        <w:pStyle w:val="Heading1"/>
      </w:pPr>
      <w:bookmarkStart w:id="0" w:name="_Toc87453620"/>
      <w:r w:rsidRPr="006A5C56">
        <w:lastRenderedPageBreak/>
        <w:t>1.0 - Introduction</w:t>
      </w:r>
      <w:bookmarkEnd w:id="0"/>
    </w:p>
    <w:p w14:paraId="74CAF003" w14:textId="2E141C5F" w:rsidR="00DD4FAB" w:rsidRPr="006A5C56" w:rsidRDefault="00DD4FAB" w:rsidP="00D27DE6">
      <w:pPr>
        <w:spacing w:line="360" w:lineRule="auto"/>
        <w:jc w:val="both"/>
        <w:rPr>
          <w:rFonts w:ascii="Arial" w:hAnsi="Arial" w:cs="Arial"/>
          <w:sz w:val="22"/>
        </w:rPr>
      </w:pPr>
      <w:r w:rsidRPr="006A5C56">
        <w:rPr>
          <w:rFonts w:ascii="Arial" w:hAnsi="Arial" w:cs="Arial"/>
          <w:sz w:val="22"/>
        </w:rPr>
        <w:t>This research paper is looking into the feasibility for widespread employment of vehicle to grid (V2G) as a solution to peak energy demands in the UK.</w:t>
      </w:r>
    </w:p>
    <w:p w14:paraId="549135B0" w14:textId="77E4723E" w:rsidR="00734E14" w:rsidRPr="006A5C56" w:rsidRDefault="00734E14" w:rsidP="00D27DE6">
      <w:pPr>
        <w:spacing w:line="360" w:lineRule="auto"/>
        <w:jc w:val="both"/>
        <w:rPr>
          <w:rFonts w:ascii="Arial" w:hAnsi="Arial" w:cs="Arial"/>
          <w:sz w:val="22"/>
        </w:rPr>
      </w:pPr>
      <w:r w:rsidRPr="006A5C56">
        <w:rPr>
          <w:rFonts w:ascii="Arial" w:hAnsi="Arial" w:cs="Arial"/>
          <w:sz w:val="22"/>
        </w:rPr>
        <w:t xml:space="preserve">Within the paper, contemporary environmental issues raised by the automotive industry will be </w:t>
      </w:r>
      <w:r w:rsidR="002E5C88" w:rsidRPr="006A5C56">
        <w:rPr>
          <w:rFonts w:ascii="Arial" w:hAnsi="Arial" w:cs="Arial"/>
          <w:sz w:val="22"/>
        </w:rPr>
        <w:t>analysed</w:t>
      </w:r>
      <w:r w:rsidRPr="006A5C56">
        <w:rPr>
          <w:rFonts w:ascii="Arial" w:hAnsi="Arial" w:cs="Arial"/>
          <w:sz w:val="22"/>
        </w:rPr>
        <w:t xml:space="preserve"> as well as investigating the technical and leg</w:t>
      </w:r>
      <w:r w:rsidR="00246AC8" w:rsidRPr="006A5C56">
        <w:rPr>
          <w:rFonts w:ascii="Arial" w:hAnsi="Arial" w:cs="Arial"/>
          <w:sz w:val="22"/>
        </w:rPr>
        <w:t>islative arguments for each response.</w:t>
      </w:r>
      <w:r w:rsidR="00D27DE6">
        <w:rPr>
          <w:rFonts w:ascii="Arial" w:hAnsi="Arial" w:cs="Arial"/>
          <w:sz w:val="22"/>
        </w:rPr>
        <w:t xml:space="preserve"> </w:t>
      </w:r>
      <w:r w:rsidR="00D27DE6">
        <w:rPr>
          <w:rFonts w:ascii="Arial" w:hAnsi="Arial" w:cs="Arial"/>
          <w:sz w:val="22"/>
        </w:rPr>
        <w:t>A variety of areas will be covered such as immediate and long terms implications, charging technologies, electricity supply demand, grid capabilities and ethical issues.</w:t>
      </w:r>
    </w:p>
    <w:p w14:paraId="4C76F3FE" w14:textId="192A40B2" w:rsidR="008266EA" w:rsidRDefault="00F81291" w:rsidP="00D27DE6">
      <w:pPr>
        <w:spacing w:line="360" w:lineRule="auto"/>
        <w:jc w:val="both"/>
        <w:rPr>
          <w:rFonts w:ascii="Arial" w:hAnsi="Arial" w:cs="Arial"/>
          <w:sz w:val="22"/>
        </w:rPr>
      </w:pPr>
      <w:r w:rsidRPr="006A5C56">
        <w:rPr>
          <w:rFonts w:ascii="Arial" w:hAnsi="Arial" w:cs="Arial"/>
          <w:sz w:val="22"/>
        </w:rPr>
        <w:t xml:space="preserve">With V2G being relatively new technology, reports like this will be created and used to help governing bodies and manufacturers design and create new products, </w:t>
      </w:r>
      <w:r w:rsidR="00D27DE6" w:rsidRPr="006A5C56">
        <w:rPr>
          <w:rFonts w:ascii="Arial" w:hAnsi="Arial" w:cs="Arial"/>
          <w:sz w:val="22"/>
        </w:rPr>
        <w:t>legislation,</w:t>
      </w:r>
      <w:r w:rsidRPr="006A5C56">
        <w:rPr>
          <w:rFonts w:ascii="Arial" w:hAnsi="Arial" w:cs="Arial"/>
          <w:sz w:val="22"/>
        </w:rPr>
        <w:t xml:space="preserve"> and infrastructure to aid with the </w:t>
      </w:r>
      <w:r w:rsidR="003849F1" w:rsidRPr="006A5C56">
        <w:rPr>
          <w:rFonts w:ascii="Arial" w:hAnsi="Arial" w:cs="Arial"/>
          <w:sz w:val="22"/>
        </w:rPr>
        <w:t xml:space="preserve">power demand that will come hand in </w:t>
      </w:r>
      <w:r w:rsidR="00CE57C7" w:rsidRPr="006A5C56">
        <w:rPr>
          <w:rFonts w:ascii="Arial" w:hAnsi="Arial" w:cs="Arial"/>
          <w:sz w:val="22"/>
        </w:rPr>
        <w:t>hand</w:t>
      </w:r>
      <w:r w:rsidR="003849F1" w:rsidRPr="006A5C56">
        <w:rPr>
          <w:rFonts w:ascii="Arial" w:hAnsi="Arial" w:cs="Arial"/>
          <w:sz w:val="22"/>
        </w:rPr>
        <w:t xml:space="preserve"> with the </w:t>
      </w:r>
      <w:r w:rsidR="00CE57C7" w:rsidRPr="006A5C56">
        <w:rPr>
          <w:rFonts w:ascii="Arial" w:hAnsi="Arial" w:cs="Arial"/>
          <w:sz w:val="22"/>
        </w:rPr>
        <w:t>ever-growing</w:t>
      </w:r>
      <w:r w:rsidR="003849F1" w:rsidRPr="006A5C56">
        <w:rPr>
          <w:rFonts w:ascii="Arial" w:hAnsi="Arial" w:cs="Arial"/>
          <w:sz w:val="22"/>
        </w:rPr>
        <w:t xml:space="preserve"> popularity with EV methods</w:t>
      </w:r>
      <w:r w:rsidR="00BE28CA" w:rsidRPr="006A5C56">
        <w:rPr>
          <w:rFonts w:ascii="Arial" w:hAnsi="Arial" w:cs="Arial"/>
          <w:sz w:val="22"/>
        </w:rPr>
        <w:t xml:space="preserve"> of transport.</w:t>
      </w:r>
    </w:p>
    <w:p w14:paraId="222F256F" w14:textId="77777777" w:rsidR="00AA0C8D" w:rsidRPr="006A5C56" w:rsidRDefault="00AA0C8D" w:rsidP="00D27DE6">
      <w:pPr>
        <w:spacing w:line="360" w:lineRule="auto"/>
        <w:jc w:val="both"/>
        <w:rPr>
          <w:rFonts w:ascii="Arial" w:hAnsi="Arial" w:cs="Arial"/>
          <w:sz w:val="22"/>
        </w:rPr>
      </w:pPr>
    </w:p>
    <w:p w14:paraId="09D8E471" w14:textId="7A72BBD9" w:rsidR="00A13914" w:rsidRPr="006A5C56" w:rsidRDefault="00A13914" w:rsidP="00D27DE6">
      <w:pPr>
        <w:spacing w:line="360" w:lineRule="auto"/>
        <w:jc w:val="both"/>
        <w:rPr>
          <w:rFonts w:ascii="Arial" w:hAnsi="Arial" w:cs="Arial"/>
          <w:color w:val="FF0000"/>
          <w:sz w:val="22"/>
          <w:lang w:val="en-US"/>
        </w:rPr>
      </w:pPr>
    </w:p>
    <w:p w14:paraId="3495172A" w14:textId="2FA6FEA0" w:rsidR="00246AC8" w:rsidRPr="006A5C56" w:rsidRDefault="00246AC8" w:rsidP="00D27DE6">
      <w:pPr>
        <w:spacing w:line="360" w:lineRule="auto"/>
        <w:jc w:val="both"/>
        <w:rPr>
          <w:rFonts w:ascii="Arial" w:hAnsi="Arial" w:cs="Arial"/>
          <w:color w:val="FF0000"/>
          <w:sz w:val="22"/>
          <w:lang w:val="en-US"/>
        </w:rPr>
      </w:pPr>
      <w:r w:rsidRPr="006A5C56">
        <w:rPr>
          <w:rFonts w:ascii="Arial" w:hAnsi="Arial" w:cs="Arial"/>
          <w:color w:val="FF0000"/>
          <w:sz w:val="22"/>
          <w:lang w:val="en-US"/>
        </w:rPr>
        <w:br w:type="page"/>
      </w:r>
    </w:p>
    <w:p w14:paraId="1851AA15" w14:textId="77777777" w:rsidR="00382BCA" w:rsidRPr="006A5C56" w:rsidRDefault="00382BCA" w:rsidP="00D27DE6">
      <w:pPr>
        <w:pStyle w:val="Heading1"/>
        <w:spacing w:line="360" w:lineRule="auto"/>
      </w:pPr>
      <w:bookmarkStart w:id="1" w:name="_Toc87453621"/>
      <w:r w:rsidRPr="006A5C56">
        <w:lastRenderedPageBreak/>
        <w:t>2.0 - Background</w:t>
      </w:r>
      <w:bookmarkEnd w:id="1"/>
    </w:p>
    <w:p w14:paraId="2014132C" w14:textId="4C2ABD97" w:rsidR="007802E0" w:rsidRPr="006A5C56" w:rsidRDefault="0005711D" w:rsidP="00D27DE6">
      <w:pPr>
        <w:spacing w:line="360" w:lineRule="auto"/>
        <w:jc w:val="both"/>
        <w:rPr>
          <w:rFonts w:ascii="Arial" w:hAnsi="Arial" w:cs="Arial"/>
          <w:sz w:val="22"/>
        </w:rPr>
      </w:pPr>
      <w:r>
        <w:rPr>
          <w:noProof/>
        </w:rPr>
        <mc:AlternateContent>
          <mc:Choice Requires="wps">
            <w:drawing>
              <wp:anchor distT="0" distB="0" distL="114300" distR="114300" simplePos="0" relativeHeight="251707904" behindDoc="0" locked="0" layoutInCell="1" allowOverlap="1" wp14:anchorId="40089CD8" wp14:editId="48CB36D7">
                <wp:simplePos x="0" y="0"/>
                <wp:positionH relativeFrom="margin">
                  <wp:align>right</wp:align>
                </wp:positionH>
                <wp:positionV relativeFrom="paragraph">
                  <wp:posOffset>4170045</wp:posOffset>
                </wp:positionV>
                <wp:extent cx="573405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13D62869" w14:textId="483D34FA" w:rsidR="008C7AE6" w:rsidRPr="00530192" w:rsidRDefault="008C7AE6" w:rsidP="0005711D">
                            <w:pPr>
                              <w:pStyle w:val="Caption"/>
                              <w:jc w:val="center"/>
                              <w:rPr>
                                <w:rFonts w:ascii="Arial" w:hAnsi="Arial" w:cs="Arial"/>
                                <w:noProof/>
                              </w:rPr>
                            </w:pPr>
                            <w:bookmarkStart w:id="2" w:name="_Toc87453099"/>
                            <w:r>
                              <w:t xml:space="preserve">Figure </w:t>
                            </w:r>
                            <w:r w:rsidR="00DF4A82">
                              <w:fldChar w:fldCharType="begin"/>
                            </w:r>
                            <w:r w:rsidR="00DF4A82">
                              <w:instrText xml:space="preserve"> SEQ Figure \* ARABIC </w:instrText>
                            </w:r>
                            <w:r w:rsidR="00DF4A82">
                              <w:fldChar w:fldCharType="separate"/>
                            </w:r>
                            <w:r w:rsidR="0005711D">
                              <w:rPr>
                                <w:noProof/>
                              </w:rPr>
                              <w:t>1</w:t>
                            </w:r>
                            <w:r w:rsidR="00DF4A82">
                              <w:rPr>
                                <w:noProof/>
                              </w:rPr>
                              <w:fldChar w:fldCharType="end"/>
                            </w:r>
                            <w:r w:rsidR="0005711D">
                              <w:t xml:space="preserve"> - </w:t>
                            </w:r>
                            <w:r w:rsidR="0005711D" w:rsidRPr="00C52E21">
                              <w:rPr>
                                <w:rFonts w:ascii="Arial" w:hAnsi="Arial" w:cs="Arial"/>
                                <w:sz w:val="16"/>
                                <w:szCs w:val="16"/>
                              </w:rPr>
                              <w:t>How V2G Operates</w:t>
                            </w:r>
                            <w:sdt>
                              <w:sdtPr>
                                <w:rPr>
                                  <w:rFonts w:ascii="Arial" w:hAnsi="Arial" w:cs="Arial"/>
                                  <w:sz w:val="16"/>
                                  <w:szCs w:val="16"/>
                                </w:rPr>
                                <w:id w:val="843287433"/>
                                <w:citation/>
                              </w:sdtPr>
                              <w:sdtEndPr/>
                              <w:sdtContent>
                                <w:r w:rsidR="0005711D" w:rsidRPr="00C52E21">
                                  <w:rPr>
                                    <w:rFonts w:ascii="Arial" w:hAnsi="Arial" w:cs="Arial"/>
                                    <w:sz w:val="16"/>
                                    <w:szCs w:val="16"/>
                                  </w:rPr>
                                  <w:fldChar w:fldCharType="begin"/>
                                </w:r>
                                <w:r w:rsidR="0005711D" w:rsidRPr="00C52E21">
                                  <w:rPr>
                                    <w:rFonts w:ascii="Arial" w:hAnsi="Arial" w:cs="Arial"/>
                                    <w:sz w:val="16"/>
                                    <w:szCs w:val="16"/>
                                    <w:lang w:val="en-US"/>
                                  </w:rPr>
                                  <w:instrText xml:space="preserve"> CITATION New21 \l 1033 </w:instrText>
                                </w:r>
                                <w:r w:rsidR="0005711D" w:rsidRPr="00C52E21">
                                  <w:rPr>
                                    <w:rFonts w:ascii="Arial" w:hAnsi="Arial" w:cs="Arial"/>
                                    <w:sz w:val="16"/>
                                    <w:szCs w:val="16"/>
                                  </w:rPr>
                                  <w:fldChar w:fldCharType="separate"/>
                                </w:r>
                                <w:r w:rsidR="0005711D" w:rsidRPr="00C52E21">
                                  <w:rPr>
                                    <w:rFonts w:ascii="Arial" w:hAnsi="Arial" w:cs="Arial"/>
                                    <w:noProof/>
                                    <w:sz w:val="16"/>
                                    <w:szCs w:val="16"/>
                                    <w:lang w:val="en-US"/>
                                  </w:rPr>
                                  <w:t xml:space="preserve"> (Newmotion, 2021)</w:t>
                                </w:r>
                                <w:r w:rsidR="0005711D" w:rsidRPr="00C52E21">
                                  <w:rPr>
                                    <w:rFonts w:ascii="Arial" w:hAnsi="Arial" w:cs="Arial"/>
                                    <w:sz w:val="16"/>
                                    <w:szCs w:val="16"/>
                                  </w:rPr>
                                  <w:fldChar w:fldCharType="end"/>
                                </w:r>
                              </w:sdtContent>
                            </w:sdt>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0089CD8" id="_x0000_t202" coordsize="21600,21600" o:spt="202" path="m,l,21600r21600,l21600,xe">
                <v:stroke joinstyle="miter"/>
                <v:path gradientshapeok="t" o:connecttype="rect"/>
              </v:shapetype>
              <v:shape id="Text Box 9" o:spid="_x0000_s1026" type="#_x0000_t202" style="position:absolute;left:0;text-align:left;margin-left:400.3pt;margin-top:328.35pt;width:451.5pt;height:.05pt;z-index:25170790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" stroked="f">
                <v:textbox style="mso-fit-shape-to-text:t" inset="0,0,0,0">
                  <w:txbxContent>
                    <w:p w14:paraId="13D62869" w14:textId="483D34FA" w:rsidR="008C7AE6" w:rsidRPr="00530192" w:rsidRDefault="008C7AE6" w:rsidP="0005711D">
                      <w:pPr>
                        <w:pStyle w:val="Caption"/>
                        <w:jc w:val="center"/>
                        <w:rPr>
                          <w:rFonts w:ascii="Arial" w:hAnsi="Arial" w:cs="Arial"/>
                          <w:noProof/>
                        </w:rPr>
                      </w:pPr>
                      <w:bookmarkStart w:id="3" w:name="_Toc87453099"/>
                      <w:r>
                        <w:t xml:space="preserve">Figure </w:t>
                      </w:r>
                      <w:r w:rsidR="00DF4A82">
                        <w:fldChar w:fldCharType="begin"/>
                      </w:r>
                      <w:r w:rsidR="00DF4A82">
                        <w:instrText xml:space="preserve"> SEQ Figure \* ARABIC </w:instrText>
                      </w:r>
                      <w:r w:rsidR="00DF4A82">
                        <w:fldChar w:fldCharType="separate"/>
                      </w:r>
                      <w:r w:rsidR="0005711D">
                        <w:rPr>
                          <w:noProof/>
                        </w:rPr>
                        <w:t>1</w:t>
                      </w:r>
                      <w:r w:rsidR="00DF4A82">
                        <w:rPr>
                          <w:noProof/>
                        </w:rPr>
                        <w:fldChar w:fldCharType="end"/>
                      </w:r>
                      <w:r w:rsidR="0005711D">
                        <w:t xml:space="preserve"> - </w:t>
                      </w:r>
                      <w:r w:rsidR="0005711D" w:rsidRPr="00C52E21">
                        <w:rPr>
                          <w:rFonts w:ascii="Arial" w:hAnsi="Arial" w:cs="Arial"/>
                          <w:sz w:val="16"/>
                          <w:szCs w:val="16"/>
                        </w:rPr>
                        <w:t>How V2G Operates</w:t>
                      </w:r>
                      <w:sdt>
                        <w:sdtPr>
                          <w:rPr>
                            <w:rFonts w:ascii="Arial" w:hAnsi="Arial" w:cs="Arial"/>
                            <w:sz w:val="16"/>
                            <w:szCs w:val="16"/>
                          </w:rPr>
                          <w:id w:val="843287433"/>
                          <w:citation/>
                        </w:sdtPr>
                        <w:sdtEndPr/>
                        <w:sdtContent>
                          <w:r w:rsidR="0005711D" w:rsidRPr="00C52E21">
                            <w:rPr>
                              <w:rFonts w:ascii="Arial" w:hAnsi="Arial" w:cs="Arial"/>
                              <w:sz w:val="16"/>
                              <w:szCs w:val="16"/>
                            </w:rPr>
                            <w:fldChar w:fldCharType="begin"/>
                          </w:r>
                          <w:r w:rsidR="0005711D" w:rsidRPr="00C52E21">
                            <w:rPr>
                              <w:rFonts w:ascii="Arial" w:hAnsi="Arial" w:cs="Arial"/>
                              <w:sz w:val="16"/>
                              <w:szCs w:val="16"/>
                              <w:lang w:val="en-US"/>
                            </w:rPr>
                            <w:instrText xml:space="preserve"> CITATION New21 \l 1033 </w:instrText>
                          </w:r>
                          <w:r w:rsidR="0005711D" w:rsidRPr="00C52E21">
                            <w:rPr>
                              <w:rFonts w:ascii="Arial" w:hAnsi="Arial" w:cs="Arial"/>
                              <w:sz w:val="16"/>
                              <w:szCs w:val="16"/>
                            </w:rPr>
                            <w:fldChar w:fldCharType="separate"/>
                          </w:r>
                          <w:r w:rsidR="0005711D" w:rsidRPr="00C52E21">
                            <w:rPr>
                              <w:rFonts w:ascii="Arial" w:hAnsi="Arial" w:cs="Arial"/>
                              <w:noProof/>
                              <w:sz w:val="16"/>
                              <w:szCs w:val="16"/>
                              <w:lang w:val="en-US"/>
                            </w:rPr>
                            <w:t xml:space="preserve"> (Newmotion, 2021)</w:t>
                          </w:r>
                          <w:r w:rsidR="0005711D" w:rsidRPr="00C52E21">
                            <w:rPr>
                              <w:rFonts w:ascii="Arial" w:hAnsi="Arial" w:cs="Arial"/>
                              <w:sz w:val="16"/>
                              <w:szCs w:val="16"/>
                            </w:rPr>
                            <w:fldChar w:fldCharType="end"/>
                          </w:r>
                        </w:sdtContent>
                      </w:sdt>
                      <w:bookmarkEnd w:id="3"/>
                    </w:p>
                  </w:txbxContent>
                </v:textbox>
                <w10:wrap type="square" anchorx="margin"/>
              </v:shape>
            </w:pict>
          </mc:Fallback>
        </mc:AlternateContent>
      </w:r>
      <w:r w:rsidR="003E2C38" w:rsidRPr="006A5C56">
        <w:rPr>
          <w:rFonts w:ascii="Arial" w:hAnsi="Arial" w:cs="Arial"/>
          <w:noProof/>
          <w:sz w:val="22"/>
        </w:rPr>
        <w:drawing>
          <wp:anchor distT="0" distB="0" distL="114300" distR="114300" simplePos="0" relativeHeight="251694592" behindDoc="0" locked="0" layoutInCell="1" allowOverlap="1" wp14:anchorId="3CB52486" wp14:editId="31F229EA">
            <wp:simplePos x="0" y="0"/>
            <wp:positionH relativeFrom="margin">
              <wp:align>right</wp:align>
            </wp:positionH>
            <wp:positionV relativeFrom="paragraph">
              <wp:posOffset>906145</wp:posOffset>
            </wp:positionV>
            <wp:extent cx="5734050" cy="3330575"/>
            <wp:effectExtent l="0" t="0" r="0" b="3175"/>
            <wp:wrapSquare wrapText="bothSides"/>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rotWithShape="1">
                    <a:blip r:embed="rId15">
                      <a:extLst>
                        <a:ext uri="{28A0092B-C50C-407E-A947-70E740481C1C}">
                          <a14:useLocalDpi xmlns:a14="http://schemas.microsoft.com/office/drawing/2010/main" val="0"/>
                        </a:ext>
                      </a:extLst>
                    </a:blip>
                    <a:srcRect l="26922" t="31909" r="27875" b="21410"/>
                    <a:stretch/>
                  </pic:blipFill>
                  <pic:spPr bwMode="auto">
                    <a:xfrm>
                      <a:off x="0" y="0"/>
                      <a:ext cx="5734050" cy="3330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802E0" w:rsidRPr="006A5C56">
        <w:rPr>
          <w:rFonts w:ascii="Arial" w:hAnsi="Arial" w:cs="Arial"/>
          <w:sz w:val="22"/>
        </w:rPr>
        <w:t>V2G charging is refer</w:t>
      </w:r>
      <w:r w:rsidR="00554FD4">
        <w:rPr>
          <w:rFonts w:ascii="Arial" w:hAnsi="Arial" w:cs="Arial"/>
          <w:sz w:val="22"/>
        </w:rPr>
        <w:t>red</w:t>
      </w:r>
      <w:r w:rsidR="007802E0" w:rsidRPr="006A5C56">
        <w:rPr>
          <w:rFonts w:ascii="Arial" w:hAnsi="Arial" w:cs="Arial"/>
          <w:sz w:val="22"/>
        </w:rPr>
        <w:t xml:space="preserve"> to the 2-way flow of electricity or bi-directional flow of electricity from the grid. This is done via specific DC chargers, which will be discussed later in the paper. EV owners will be able to choose whether to charge their vehicle or </w:t>
      </w:r>
      <w:r w:rsidR="003E2C38" w:rsidRPr="006A5C56">
        <w:rPr>
          <w:rFonts w:ascii="Arial" w:hAnsi="Arial" w:cs="Arial"/>
          <w:sz w:val="22"/>
        </w:rPr>
        <w:t>sell</w:t>
      </w:r>
      <w:r w:rsidR="007802E0" w:rsidRPr="006A5C56">
        <w:rPr>
          <w:rFonts w:ascii="Arial" w:hAnsi="Arial" w:cs="Arial"/>
          <w:sz w:val="22"/>
        </w:rPr>
        <w:t xml:space="preserve"> the energy that is stored in the vehicle back to the grid. </w:t>
      </w:r>
    </w:p>
    <w:p w14:paraId="11805D88" w14:textId="2D902629" w:rsidR="00DB4293" w:rsidRPr="00554FD4" w:rsidRDefault="00DB4293" w:rsidP="00D27DE6">
      <w:pPr>
        <w:spacing w:line="360" w:lineRule="auto"/>
        <w:jc w:val="both"/>
      </w:pPr>
      <w:r w:rsidRPr="006A5C56">
        <w:rPr>
          <w:rFonts w:ascii="Arial" w:hAnsi="Arial" w:cs="Arial"/>
          <w:sz w:val="22"/>
          <w:lang w:val="en-US"/>
        </w:rPr>
        <w:t>Vehicle to grid (V2G) charging technology allows participating customers to save or earn money by allowing their EV batteries to store energy and discharge it back to the national grid, or their own buildings, when it’s most needed – for instance at peak demand during the day when usage and costs across the UK are at their highest. This way V2G also increases the positive impact electric vehicles already have in reducing carbon emissions, by supporting the introduction of renewable energy sources to the grid</w:t>
      </w:r>
      <w:r w:rsidR="00554FD4">
        <w:rPr>
          <w:rFonts w:ascii="Arial" w:hAnsi="Arial" w:cs="Arial"/>
          <w:sz w:val="22"/>
          <w:lang w:val="en-US"/>
        </w:rPr>
        <w:t xml:space="preserve">. </w:t>
      </w:r>
      <w:sdt>
        <w:sdtPr>
          <w:rPr>
            <w:rFonts w:ascii="Arial" w:hAnsi="Arial" w:cs="Arial"/>
            <w:sz w:val="22"/>
            <w:lang w:val="en-US"/>
          </w:rPr>
          <w:id w:val="926697773"/>
          <w:citation/>
        </w:sdtPr>
        <w:sdtContent>
          <w:r w:rsidR="00554FD4">
            <w:rPr>
              <w:rFonts w:ascii="Arial" w:hAnsi="Arial" w:cs="Arial"/>
              <w:sz w:val="22"/>
              <w:lang w:val="en-US"/>
            </w:rPr>
            <w:fldChar w:fldCharType="begin"/>
          </w:r>
          <w:r w:rsidR="00554FD4">
            <w:rPr>
              <w:rFonts w:ascii="Arial" w:hAnsi="Arial" w:cs="Arial"/>
              <w:sz w:val="22"/>
              <w:lang w:val="en-US"/>
            </w:rPr>
            <w:instrText xml:space="preserve">CITATION EDF21 \l 1033 </w:instrText>
          </w:r>
          <w:r w:rsidR="00554FD4">
            <w:rPr>
              <w:rFonts w:ascii="Arial" w:hAnsi="Arial" w:cs="Arial"/>
              <w:sz w:val="22"/>
              <w:lang w:val="en-US"/>
            </w:rPr>
            <w:fldChar w:fldCharType="separate"/>
          </w:r>
          <w:r w:rsidR="00554FD4" w:rsidRPr="00377227">
            <w:rPr>
              <w:rFonts w:ascii="Arial" w:hAnsi="Arial" w:cs="Arial"/>
              <w:noProof/>
              <w:sz w:val="22"/>
              <w:lang w:val="en-US"/>
            </w:rPr>
            <w:t>(EDF Energy, 2021)</w:t>
          </w:r>
          <w:r w:rsidR="00554FD4">
            <w:rPr>
              <w:rFonts w:ascii="Arial" w:hAnsi="Arial" w:cs="Arial"/>
              <w:sz w:val="22"/>
              <w:lang w:val="en-US"/>
            </w:rPr>
            <w:fldChar w:fldCharType="end"/>
          </w:r>
        </w:sdtContent>
      </w:sdt>
    </w:p>
    <w:p w14:paraId="3B477810" w14:textId="0FA4CC5C" w:rsidR="002629B2" w:rsidRDefault="00DB4293" w:rsidP="00D27DE6">
      <w:pPr>
        <w:spacing w:line="360" w:lineRule="auto"/>
        <w:jc w:val="both"/>
        <w:rPr>
          <w:rFonts w:ascii="Arial" w:hAnsi="Arial" w:cs="Arial"/>
          <w:sz w:val="22"/>
          <w:lang w:val="en-US"/>
        </w:rPr>
      </w:pPr>
      <w:r w:rsidRPr="006A5C56">
        <w:rPr>
          <w:rFonts w:ascii="Arial" w:hAnsi="Arial" w:cs="Arial"/>
          <w:sz w:val="22"/>
          <w:lang w:val="en-US"/>
        </w:rPr>
        <w:t xml:space="preserve">The main idea behind V2G is to take advantage of electric vehicle batteries when they are not used for driving, by charging and/or discharging them at appropriate times. For example, EVs can be charged to store excess renewable energy production and discharged to feed energy back into the grid during consumption peaks. This not only supports the introduction of renewable energies to the grid, but also prevents the use of fossil fuels thanks to an improved management of the grid. </w:t>
      </w:r>
      <w:r w:rsidR="002E5C88" w:rsidRPr="006A5C56">
        <w:rPr>
          <w:rFonts w:ascii="Arial" w:hAnsi="Arial" w:cs="Arial"/>
          <w:sz w:val="22"/>
          <w:lang w:val="en-US"/>
        </w:rPr>
        <w:t>Therefore,</w:t>
      </w:r>
      <w:r w:rsidRPr="006A5C56">
        <w:rPr>
          <w:rFonts w:ascii="Arial" w:hAnsi="Arial" w:cs="Arial"/>
          <w:sz w:val="22"/>
          <w:lang w:val="en-US"/>
        </w:rPr>
        <w:t xml:space="preserve"> V2G is a ‘win’ for the user (thanks to V2G monthly savings) and the positive environmental impact. </w:t>
      </w:r>
      <w:sdt>
        <w:sdtPr>
          <w:rPr>
            <w:rFonts w:ascii="Arial" w:hAnsi="Arial" w:cs="Arial"/>
            <w:sz w:val="22"/>
            <w:lang w:val="en-US"/>
          </w:rPr>
          <w:id w:val="1564682504"/>
          <w:citation/>
        </w:sdtPr>
        <w:sdtEndPr/>
        <w:sdtContent>
          <w:r w:rsidR="00D03357">
            <w:rPr>
              <w:rFonts w:ascii="Arial" w:hAnsi="Arial" w:cs="Arial"/>
              <w:sz w:val="22"/>
              <w:lang w:val="en-US"/>
            </w:rPr>
            <w:fldChar w:fldCharType="begin"/>
          </w:r>
          <w:r w:rsidR="00377227">
            <w:rPr>
              <w:rFonts w:ascii="Arial" w:hAnsi="Arial" w:cs="Arial"/>
              <w:sz w:val="22"/>
              <w:lang w:val="en-US"/>
            </w:rPr>
            <w:instrText xml:space="preserve">CITATION EDF21 \l 1033 </w:instrText>
          </w:r>
          <w:r w:rsidR="00D03357">
            <w:rPr>
              <w:rFonts w:ascii="Arial" w:hAnsi="Arial" w:cs="Arial"/>
              <w:sz w:val="22"/>
              <w:lang w:val="en-US"/>
            </w:rPr>
            <w:fldChar w:fldCharType="separate"/>
          </w:r>
          <w:r w:rsidR="00377227" w:rsidRPr="00377227">
            <w:rPr>
              <w:rFonts w:ascii="Arial" w:hAnsi="Arial" w:cs="Arial"/>
              <w:noProof/>
              <w:sz w:val="22"/>
              <w:lang w:val="en-US"/>
            </w:rPr>
            <w:t>(EDF Energy, 2021)</w:t>
          </w:r>
          <w:r w:rsidR="00D03357">
            <w:rPr>
              <w:rFonts w:ascii="Arial" w:hAnsi="Arial" w:cs="Arial"/>
              <w:sz w:val="22"/>
              <w:lang w:val="en-US"/>
            </w:rPr>
            <w:fldChar w:fldCharType="end"/>
          </w:r>
        </w:sdtContent>
      </w:sdt>
    </w:p>
    <w:p w14:paraId="06215CFD" w14:textId="77777777" w:rsidR="002629B2" w:rsidRDefault="002629B2" w:rsidP="00D27DE6">
      <w:pPr>
        <w:spacing w:line="360" w:lineRule="auto"/>
        <w:jc w:val="both"/>
        <w:rPr>
          <w:rFonts w:ascii="Arial" w:hAnsi="Arial" w:cs="Arial"/>
          <w:sz w:val="22"/>
          <w:lang w:val="en-US"/>
        </w:rPr>
      </w:pPr>
    </w:p>
    <w:p w14:paraId="127D0893" w14:textId="77777777" w:rsidR="002629B2" w:rsidRDefault="002629B2" w:rsidP="00D27DE6">
      <w:pPr>
        <w:spacing w:line="360" w:lineRule="auto"/>
        <w:jc w:val="both"/>
        <w:rPr>
          <w:rFonts w:ascii="Arial" w:hAnsi="Arial" w:cs="Arial"/>
          <w:sz w:val="22"/>
          <w:lang w:val="en-US"/>
        </w:rPr>
      </w:pPr>
    </w:p>
    <w:p w14:paraId="707C9F28" w14:textId="48F8F933" w:rsidR="00382BCA" w:rsidRPr="006A5C56" w:rsidRDefault="00382BCA" w:rsidP="00D27DE6">
      <w:pPr>
        <w:pStyle w:val="Heading1"/>
        <w:spacing w:line="360" w:lineRule="auto"/>
      </w:pPr>
      <w:bookmarkStart w:id="4" w:name="_Toc87453622"/>
      <w:r w:rsidRPr="006A5C56">
        <w:lastRenderedPageBreak/>
        <w:t>3.0 - Discussion</w:t>
      </w:r>
      <w:bookmarkEnd w:id="4"/>
      <w:r w:rsidRPr="006A5C56">
        <w:t xml:space="preserve"> </w:t>
      </w:r>
    </w:p>
    <w:p w14:paraId="7530F331" w14:textId="0B93E579" w:rsidR="00872ED9" w:rsidRPr="006A5C56" w:rsidRDefault="007802E0" w:rsidP="00D27DE6">
      <w:pPr>
        <w:spacing w:line="360" w:lineRule="auto"/>
        <w:jc w:val="both"/>
        <w:rPr>
          <w:rFonts w:ascii="Arial" w:hAnsi="Arial" w:cs="Arial"/>
          <w:sz w:val="22"/>
        </w:rPr>
      </w:pPr>
      <w:r w:rsidRPr="006A5C56">
        <w:rPr>
          <w:rFonts w:ascii="Arial" w:hAnsi="Arial" w:cs="Arial"/>
          <w:sz w:val="22"/>
        </w:rPr>
        <w:t>Within this section of the paper, different aspects of V2G will be researched and analysis whether V2G is a feasible technology idea and the implications of the implementation of V2G within the automotive sector.</w:t>
      </w:r>
    </w:p>
    <w:p w14:paraId="39AFBA40" w14:textId="32BBEE0A" w:rsidR="00382BCA" w:rsidRPr="006A5C56" w:rsidRDefault="00382BCA" w:rsidP="00D27DE6">
      <w:pPr>
        <w:pStyle w:val="Heading2"/>
        <w:spacing w:line="360" w:lineRule="auto"/>
      </w:pPr>
      <w:bookmarkStart w:id="5" w:name="_Toc87453623"/>
      <w:r w:rsidRPr="006A5C56">
        <w:t>3.1 - Immediate</w:t>
      </w:r>
      <w:bookmarkEnd w:id="5"/>
    </w:p>
    <w:p w14:paraId="2449E475" w14:textId="399DC732" w:rsidR="00013BC2" w:rsidRPr="006A5C56" w:rsidRDefault="00013BC2" w:rsidP="00D27DE6">
      <w:pPr>
        <w:spacing w:line="360" w:lineRule="auto"/>
        <w:jc w:val="both"/>
        <w:rPr>
          <w:rFonts w:ascii="Arial" w:hAnsi="Arial" w:cs="Arial"/>
          <w:sz w:val="22"/>
        </w:rPr>
      </w:pPr>
      <w:r w:rsidRPr="006A5C56">
        <w:rPr>
          <w:rFonts w:ascii="Arial" w:hAnsi="Arial" w:cs="Arial"/>
          <w:sz w:val="22"/>
        </w:rPr>
        <w:t>A study looking into the degradation of a battery while in use with V2G performed two different simulation tests. The first was simulating the impact of reciprocal energy flow on commercial lithium-ion batteries in maximising a car owner’s profit, this test was trying to sell as much cell capacity as possible during a peak one-hour period. While the second test simulated using V2G as a tool to adjust a battery’s rest conditions to improve its longevity. Both tests used the same battery model however the results brought different conclusions.</w:t>
      </w:r>
      <w:r w:rsidR="009A26C2">
        <w:rPr>
          <w:rFonts w:ascii="Arial" w:hAnsi="Arial" w:cs="Arial"/>
          <w:sz w:val="22"/>
        </w:rPr>
        <w:t xml:space="preserve"> </w:t>
      </w:r>
      <w:sdt>
        <w:sdtPr>
          <w:rPr>
            <w:rFonts w:ascii="Arial" w:hAnsi="Arial" w:cs="Arial"/>
            <w:sz w:val="22"/>
          </w:rPr>
          <w:id w:val="59758186"/>
          <w:citation/>
        </w:sdtPr>
        <w:sdtEndPr/>
        <w:sdtContent>
          <w:r w:rsidR="009A26C2">
            <w:rPr>
              <w:rFonts w:ascii="Arial" w:hAnsi="Arial" w:cs="Arial"/>
              <w:sz w:val="22"/>
            </w:rPr>
            <w:fldChar w:fldCharType="begin"/>
          </w:r>
          <w:r w:rsidR="001D150E">
            <w:rPr>
              <w:rFonts w:ascii="Arial" w:hAnsi="Arial" w:cs="Arial"/>
              <w:sz w:val="22"/>
              <w:lang w:val="en-US"/>
            </w:rPr>
            <w:instrText xml:space="preserve">CITATION Udd21 \l 1033 </w:instrText>
          </w:r>
          <w:r w:rsidR="009A26C2">
            <w:rPr>
              <w:rFonts w:ascii="Arial" w:hAnsi="Arial" w:cs="Arial"/>
              <w:sz w:val="22"/>
            </w:rPr>
            <w:fldChar w:fldCharType="separate"/>
          </w:r>
          <w:r w:rsidR="001D150E" w:rsidRPr="001D150E">
            <w:rPr>
              <w:rFonts w:ascii="Arial" w:hAnsi="Arial" w:cs="Arial"/>
              <w:noProof/>
              <w:sz w:val="22"/>
              <w:lang w:val="en-US"/>
            </w:rPr>
            <w:t>(Uddin, 2021)</w:t>
          </w:r>
          <w:r w:rsidR="009A26C2">
            <w:rPr>
              <w:rFonts w:ascii="Arial" w:hAnsi="Arial" w:cs="Arial"/>
              <w:sz w:val="22"/>
            </w:rPr>
            <w:fldChar w:fldCharType="end"/>
          </w:r>
        </w:sdtContent>
      </w:sdt>
      <w:r w:rsidRPr="006A5C56">
        <w:rPr>
          <w:rFonts w:ascii="Arial" w:hAnsi="Arial" w:cs="Arial"/>
          <w:sz w:val="22"/>
        </w:rPr>
        <w:t xml:space="preserve"> </w:t>
      </w:r>
    </w:p>
    <w:p w14:paraId="41CE2BB4" w14:textId="3E7197B0" w:rsidR="00013BC2" w:rsidRPr="006A5C56" w:rsidRDefault="00013BC2" w:rsidP="00D27DE6">
      <w:pPr>
        <w:spacing w:line="360" w:lineRule="auto"/>
        <w:jc w:val="both"/>
        <w:rPr>
          <w:rFonts w:ascii="Arial" w:hAnsi="Arial" w:cs="Arial"/>
          <w:sz w:val="22"/>
        </w:rPr>
      </w:pPr>
      <w:r w:rsidRPr="006A5C56">
        <w:rPr>
          <w:rFonts w:ascii="Arial" w:hAnsi="Arial" w:cs="Arial"/>
          <w:sz w:val="22"/>
        </w:rPr>
        <w:t>The battery using the V2G smart technology could reduce the capacity and power fade of an EV battery by up to 9.1 and 12.1% respectively. whereupon the first tested battery had an estimated up to 5-year reduced life cycle and increasing capacity loss by 75% over an 18-month period.</w:t>
      </w:r>
      <w:r w:rsidR="00554FD4">
        <w:rPr>
          <w:rFonts w:ascii="Arial" w:hAnsi="Arial" w:cs="Arial"/>
          <w:sz w:val="22"/>
        </w:rPr>
        <w:t xml:space="preserve"> </w:t>
      </w:r>
      <w:sdt>
        <w:sdtPr>
          <w:rPr>
            <w:rFonts w:ascii="Arial" w:hAnsi="Arial" w:cs="Arial"/>
            <w:sz w:val="22"/>
          </w:rPr>
          <w:id w:val="266122318"/>
          <w:citation/>
        </w:sdtPr>
        <w:sdtContent>
          <w:r w:rsidR="00554FD4">
            <w:rPr>
              <w:rFonts w:ascii="Arial" w:hAnsi="Arial" w:cs="Arial"/>
              <w:sz w:val="22"/>
            </w:rPr>
            <w:fldChar w:fldCharType="begin"/>
          </w:r>
          <w:r w:rsidR="00554FD4">
            <w:rPr>
              <w:rFonts w:ascii="Arial" w:hAnsi="Arial" w:cs="Arial"/>
              <w:sz w:val="22"/>
              <w:lang w:val="en-US"/>
            </w:rPr>
            <w:instrText xml:space="preserve"> CITATION Udd21 \l 1033 </w:instrText>
          </w:r>
          <w:r w:rsidR="00554FD4">
            <w:rPr>
              <w:rFonts w:ascii="Arial" w:hAnsi="Arial" w:cs="Arial"/>
              <w:sz w:val="22"/>
            </w:rPr>
            <w:fldChar w:fldCharType="separate"/>
          </w:r>
          <w:r w:rsidR="00554FD4" w:rsidRPr="00554FD4">
            <w:rPr>
              <w:rFonts w:ascii="Arial" w:hAnsi="Arial" w:cs="Arial"/>
              <w:noProof/>
              <w:sz w:val="22"/>
              <w:lang w:val="en-US"/>
            </w:rPr>
            <w:t>(Uddin, 2021)</w:t>
          </w:r>
          <w:r w:rsidR="00554FD4">
            <w:rPr>
              <w:rFonts w:ascii="Arial" w:hAnsi="Arial" w:cs="Arial"/>
              <w:sz w:val="22"/>
            </w:rPr>
            <w:fldChar w:fldCharType="end"/>
          </w:r>
        </w:sdtContent>
      </w:sdt>
    </w:p>
    <w:p w14:paraId="4B20DB74" w14:textId="6962CE03" w:rsidR="00692D80" w:rsidRPr="006A5C56" w:rsidRDefault="00013BC2" w:rsidP="00D27DE6">
      <w:pPr>
        <w:spacing w:line="360" w:lineRule="auto"/>
        <w:jc w:val="both"/>
        <w:rPr>
          <w:rFonts w:ascii="Arial" w:hAnsi="Arial" w:cs="Arial"/>
          <w:sz w:val="22"/>
        </w:rPr>
      </w:pPr>
      <w:r w:rsidRPr="006A5C56">
        <w:rPr>
          <w:rFonts w:ascii="Arial" w:hAnsi="Arial" w:cs="Arial"/>
          <w:sz w:val="22"/>
        </w:rPr>
        <w:t>The statement from European Commission stating the batteries performance makes the V2G technology seem like a feasible option, as they have started to provide clarity on how EV battery life can be reliably extended. However, current studies on V2G, model batteries without considering their degradation. This is an important factor which brings implications to governing bodies, manufacturers and lastly consumers.</w:t>
      </w:r>
    </w:p>
    <w:p w14:paraId="1498FA4D" w14:textId="2BEF5C4B" w:rsidR="00692D80" w:rsidRPr="006A5C56" w:rsidRDefault="00382BCA" w:rsidP="00D27DE6">
      <w:pPr>
        <w:pStyle w:val="Heading2"/>
        <w:spacing w:line="360" w:lineRule="auto"/>
      </w:pPr>
      <w:bookmarkStart w:id="6" w:name="_Toc87453624"/>
      <w:r w:rsidRPr="006A5C56">
        <w:t>3.2 - Long-term implications</w:t>
      </w:r>
      <w:bookmarkEnd w:id="6"/>
    </w:p>
    <w:p w14:paraId="061268FA" w14:textId="58AD3AE7" w:rsidR="00FF23FE" w:rsidRPr="006A5C56" w:rsidRDefault="00FF23FE" w:rsidP="00D27DE6">
      <w:pPr>
        <w:spacing w:line="360" w:lineRule="auto"/>
        <w:jc w:val="both"/>
        <w:rPr>
          <w:rFonts w:ascii="Arial" w:hAnsi="Arial" w:cs="Arial"/>
          <w:sz w:val="22"/>
          <w:lang w:val="en-US"/>
        </w:rPr>
      </w:pPr>
      <w:r w:rsidRPr="006A5C56">
        <w:rPr>
          <w:rFonts w:ascii="Arial" w:hAnsi="Arial" w:cs="Arial"/>
          <w:sz w:val="22"/>
          <w:lang w:val="en-US"/>
        </w:rPr>
        <w:t>Since all EV’s require a battery and the current go</w:t>
      </w:r>
      <w:r w:rsidR="00554FD4">
        <w:rPr>
          <w:rFonts w:ascii="Arial" w:hAnsi="Arial" w:cs="Arial"/>
          <w:sz w:val="22"/>
          <w:lang w:val="en-US"/>
        </w:rPr>
        <w:t>-</w:t>
      </w:r>
      <w:r w:rsidRPr="006A5C56">
        <w:rPr>
          <w:rFonts w:ascii="Arial" w:hAnsi="Arial" w:cs="Arial"/>
          <w:sz w:val="22"/>
          <w:lang w:val="en-US"/>
        </w:rPr>
        <w:t>to technology is the lithium-ion battery, although mentioned in the immediate implications section. Batteries will be continued to be manufactured and lithium will continue to be mined until it is no longer sustainable. However, to most lithium is a rare metal which will only become harder to obtain.</w:t>
      </w:r>
    </w:p>
    <w:p w14:paraId="0B51FD9D" w14:textId="4345590B" w:rsidR="00FF23FE" w:rsidRPr="006A5C56" w:rsidRDefault="00501B98" w:rsidP="00D27DE6">
      <w:pPr>
        <w:spacing w:line="360" w:lineRule="auto"/>
        <w:jc w:val="both"/>
        <w:rPr>
          <w:rFonts w:ascii="Arial" w:hAnsi="Arial" w:cs="Arial"/>
          <w:sz w:val="22"/>
          <w:lang w:val="en-US"/>
        </w:rPr>
      </w:pPr>
      <w:r w:rsidRPr="006A5C56">
        <w:rPr>
          <w:rFonts w:ascii="Arial" w:hAnsi="Arial" w:cs="Arial"/>
          <w:sz w:val="22"/>
          <w:lang w:val="en-US"/>
        </w:rPr>
        <w:t>Katharina Gerber PH. D</w:t>
      </w:r>
      <w:r w:rsidR="00FF23FE" w:rsidRPr="006A5C56">
        <w:rPr>
          <w:rFonts w:ascii="Arial" w:hAnsi="Arial" w:cs="Arial"/>
          <w:sz w:val="22"/>
          <w:lang w:val="en-US"/>
        </w:rPr>
        <w:t xml:space="preserve"> released a paper which stated Lithium is not rare per definition. The terminology, “rare metal”, does not come from academia and there is no consensus on which element it pertains. Some countries, like Japan, consider lithium as rare, others, such as Europe, list lithium as a critical mineral.</w:t>
      </w:r>
    </w:p>
    <w:p w14:paraId="637B2BC0" w14:textId="2199E0CC" w:rsidR="00FF23FE" w:rsidRPr="006A5C56" w:rsidRDefault="0026400E" w:rsidP="00D27DE6">
      <w:pPr>
        <w:spacing w:line="360" w:lineRule="auto"/>
        <w:jc w:val="both"/>
        <w:rPr>
          <w:rFonts w:ascii="Arial" w:hAnsi="Arial" w:cs="Arial"/>
          <w:sz w:val="22"/>
          <w:lang w:val="en-US"/>
        </w:rPr>
      </w:pPr>
      <w:r>
        <w:rPr>
          <w:rFonts w:ascii="Arial" w:hAnsi="Arial" w:cs="Arial"/>
          <w:sz w:val="22"/>
          <w:lang w:val="en-US"/>
        </w:rPr>
        <w:t>The consensus</w:t>
      </w:r>
      <w:r w:rsidR="00FF23FE" w:rsidRPr="006A5C56">
        <w:rPr>
          <w:rFonts w:ascii="Arial" w:hAnsi="Arial" w:cs="Arial"/>
          <w:sz w:val="22"/>
          <w:lang w:val="en-US"/>
        </w:rPr>
        <w:t xml:space="preserve"> is that lithium is the 33rd most common element in the Earth's crust (right behind cobalt and two places before lead). </w:t>
      </w:r>
      <w:proofErr w:type="gramStart"/>
      <w:r w:rsidR="00FF23FE" w:rsidRPr="006A5C56">
        <w:rPr>
          <w:rFonts w:ascii="Arial" w:hAnsi="Arial" w:cs="Arial"/>
          <w:sz w:val="22"/>
          <w:lang w:val="en-US"/>
        </w:rPr>
        <w:t>As a whole, the</w:t>
      </w:r>
      <w:proofErr w:type="gramEnd"/>
      <w:r w:rsidR="00FF23FE" w:rsidRPr="006A5C56">
        <w:rPr>
          <w:rFonts w:ascii="Arial" w:hAnsi="Arial" w:cs="Arial"/>
          <w:sz w:val="22"/>
          <w:lang w:val="en-US"/>
        </w:rPr>
        <w:t xml:space="preserve"> Earth's lithosphere contains approximately 17-20 parts per million (ppm) of lithium. The issue with it is that lithium is widely distributed in trace amounts in rocks, soils, and oceanic and sea waters and only a fraction of </w:t>
      </w:r>
      <w:r w:rsidR="00FF23FE" w:rsidRPr="006A5C56">
        <w:rPr>
          <w:rFonts w:ascii="Arial" w:hAnsi="Arial" w:cs="Arial"/>
          <w:sz w:val="22"/>
          <w:lang w:val="en-US"/>
        </w:rPr>
        <w:lastRenderedPageBreak/>
        <w:t xml:space="preserve">identified lithium resources is in theory economically feasible for extraction (lithium reserves). In practice, at least a quarter of the global lithium reserves cannot be developed </w:t>
      </w:r>
      <w:proofErr w:type="gramStart"/>
      <w:r w:rsidR="00FF23FE" w:rsidRPr="006A5C56">
        <w:rPr>
          <w:rFonts w:ascii="Arial" w:hAnsi="Arial" w:cs="Arial"/>
          <w:sz w:val="22"/>
          <w:lang w:val="en-US"/>
        </w:rPr>
        <w:t>in the near future</w:t>
      </w:r>
      <w:proofErr w:type="gramEnd"/>
      <w:r w:rsidR="00FF23FE" w:rsidRPr="006A5C56">
        <w:rPr>
          <w:rFonts w:ascii="Arial" w:hAnsi="Arial" w:cs="Arial"/>
          <w:sz w:val="22"/>
          <w:lang w:val="en-US"/>
        </w:rPr>
        <w:t xml:space="preserve"> due to the political (Bolivia) and technical (lack of infrastructure for energy and water access) issues. </w:t>
      </w:r>
    </w:p>
    <w:p w14:paraId="64732ABE" w14:textId="46AE6507" w:rsidR="00501B98" w:rsidRPr="00501B98" w:rsidRDefault="0005711D" w:rsidP="00D27DE6">
      <w:pPr>
        <w:spacing w:line="360" w:lineRule="auto"/>
        <w:jc w:val="both"/>
        <w:rPr>
          <w:rFonts w:ascii="Arial" w:hAnsi="Arial" w:cs="Arial"/>
          <w:sz w:val="22"/>
          <w:lang w:val="en-US"/>
        </w:rPr>
      </w:pPr>
      <w:r>
        <w:rPr>
          <w:noProof/>
        </w:rPr>
        <mc:AlternateContent>
          <mc:Choice Requires="wps">
            <w:drawing>
              <wp:anchor distT="0" distB="0" distL="114300" distR="114300" simplePos="0" relativeHeight="251708928" behindDoc="0" locked="0" layoutInCell="1" allowOverlap="1" wp14:anchorId="3994DB37" wp14:editId="2E221766">
                <wp:simplePos x="0" y="0"/>
                <wp:positionH relativeFrom="column">
                  <wp:posOffset>-328930</wp:posOffset>
                </wp:positionH>
                <wp:positionV relativeFrom="paragraph">
                  <wp:posOffset>3831590</wp:posOffset>
                </wp:positionV>
                <wp:extent cx="638937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6389370" cy="635"/>
                        </a:xfrm>
                        <a:prstGeom prst="rect">
                          <a:avLst/>
                        </a:prstGeom>
                        <a:solidFill>
                          <a:prstClr val="white"/>
                        </a:solidFill>
                        <a:ln>
                          <a:noFill/>
                        </a:ln>
                      </wps:spPr>
                      <wps:txbx>
                        <w:txbxContent>
                          <w:p w14:paraId="4D7318E7" w14:textId="38E0736B" w:rsidR="0005711D" w:rsidRPr="00D71D0B" w:rsidRDefault="0005711D" w:rsidP="0005711D">
                            <w:pPr>
                              <w:pStyle w:val="Caption"/>
                              <w:jc w:val="center"/>
                              <w:rPr>
                                <w:rFonts w:ascii="Arial" w:hAnsi="Arial" w:cs="Arial"/>
                                <w:noProof/>
                              </w:rPr>
                            </w:pPr>
                            <w:bookmarkStart w:id="7" w:name="_Toc87453100"/>
                            <w:r>
                              <w:t xml:space="preserve">Figure </w:t>
                            </w:r>
                            <w:r w:rsidR="00DF4A82">
                              <w:fldChar w:fldCharType="begin"/>
                            </w:r>
                            <w:r w:rsidR="00DF4A82">
                              <w:instrText xml:space="preserve"> SEQ Figure \* ARABIC </w:instrText>
                            </w:r>
                            <w:r w:rsidR="00DF4A82">
                              <w:fldChar w:fldCharType="separate"/>
                            </w:r>
                            <w:r>
                              <w:rPr>
                                <w:noProof/>
                              </w:rPr>
                              <w:t>2</w:t>
                            </w:r>
                            <w:r w:rsidR="00DF4A82">
                              <w:rPr>
                                <w:noProof/>
                              </w:rPr>
                              <w:fldChar w:fldCharType="end"/>
                            </w:r>
                            <w:r>
                              <w:t xml:space="preserve"> - </w:t>
                            </w:r>
                            <w:r w:rsidRPr="00960B25">
                              <w:t>Identified Lithium Resources (Gerber, 2021)</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94DB37" id="Text Box 10" o:spid="_x0000_s1027" type="#_x0000_t202" style="position:absolute;left:0;text-align:left;margin-left:-25.9pt;margin-top:301.7pt;width:503.1pt;height:.05pt;z-index:251708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" stroked="f">
                <v:textbox style="mso-fit-shape-to-text:t" inset="0,0,0,0">
                  <w:txbxContent>
                    <w:p w14:paraId="4D7318E7" w14:textId="38E0736B" w:rsidR="0005711D" w:rsidRPr="00D71D0B" w:rsidRDefault="0005711D" w:rsidP="0005711D">
                      <w:pPr>
                        <w:pStyle w:val="Caption"/>
                        <w:jc w:val="center"/>
                        <w:rPr>
                          <w:rFonts w:ascii="Arial" w:hAnsi="Arial" w:cs="Arial"/>
                          <w:noProof/>
                        </w:rPr>
                      </w:pPr>
                      <w:bookmarkStart w:id="8" w:name="_Toc87453100"/>
                      <w:r>
                        <w:t xml:space="preserve">Figure </w:t>
                      </w:r>
                      <w:r w:rsidR="00DF4A82">
                        <w:fldChar w:fldCharType="begin"/>
                      </w:r>
                      <w:r w:rsidR="00DF4A82">
                        <w:instrText xml:space="preserve"> SEQ Figure \* ARABIC </w:instrText>
                      </w:r>
                      <w:r w:rsidR="00DF4A82">
                        <w:fldChar w:fldCharType="separate"/>
                      </w:r>
                      <w:r>
                        <w:rPr>
                          <w:noProof/>
                        </w:rPr>
                        <w:t>2</w:t>
                      </w:r>
                      <w:r w:rsidR="00DF4A82">
                        <w:rPr>
                          <w:noProof/>
                        </w:rPr>
                        <w:fldChar w:fldCharType="end"/>
                      </w:r>
                      <w:r>
                        <w:t xml:space="preserve"> - </w:t>
                      </w:r>
                      <w:r w:rsidRPr="00960B25">
                        <w:t>Identified Lithium Resources (Gerber, 2021)</w:t>
                      </w:r>
                      <w:bookmarkEnd w:id="8"/>
                    </w:p>
                  </w:txbxContent>
                </v:textbox>
                <w10:wrap type="square"/>
              </v:shape>
            </w:pict>
          </mc:Fallback>
        </mc:AlternateContent>
      </w:r>
      <w:r w:rsidR="00A847F1" w:rsidRPr="006A5C56">
        <w:rPr>
          <w:rFonts w:ascii="Arial" w:hAnsi="Arial" w:cs="Arial"/>
          <w:noProof/>
          <w:sz w:val="22"/>
        </w:rPr>
        <w:drawing>
          <wp:anchor distT="0" distB="0" distL="114300" distR="114300" simplePos="0" relativeHeight="251662848" behindDoc="0" locked="0" layoutInCell="1" allowOverlap="1" wp14:anchorId="4F16BB76" wp14:editId="66582B7A">
            <wp:simplePos x="0" y="0"/>
            <wp:positionH relativeFrom="margin">
              <wp:align>center</wp:align>
            </wp:positionH>
            <wp:positionV relativeFrom="paragraph">
              <wp:posOffset>1271905</wp:posOffset>
            </wp:positionV>
            <wp:extent cx="6389370" cy="2502535"/>
            <wp:effectExtent l="0" t="0" r="0" b="0"/>
            <wp:wrapSquare wrapText="bothSides"/>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pic:nvPicPr>
                  <pic:blipFill rotWithShape="1">
                    <a:blip r:embed="rId16">
                      <a:extLst>
                        <a:ext uri="{28A0092B-C50C-407E-A947-70E740481C1C}">
                          <a14:useLocalDpi xmlns:a14="http://schemas.microsoft.com/office/drawing/2010/main" val="0"/>
                        </a:ext>
                      </a:extLst>
                    </a:blip>
                    <a:srcRect l="17414" t="31046" r="10382" b="18655"/>
                    <a:stretch/>
                  </pic:blipFill>
                  <pic:spPr bwMode="auto">
                    <a:xfrm>
                      <a:off x="0" y="0"/>
                      <a:ext cx="6389370" cy="25025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F23FE" w:rsidRPr="006A5C56">
        <w:rPr>
          <w:rFonts w:ascii="Arial" w:hAnsi="Arial" w:cs="Arial"/>
          <w:sz w:val="22"/>
          <w:lang w:val="en-US"/>
        </w:rPr>
        <w:t>Lithium industry has done well continuing the exploration of new lithium resources worldwide. Since 2001 the identified lithium resources have increased substantially worldwide from 12 million metric tons to about 86 million tons by 2020. At the same time the estimated global lithium reserves increased from 3.4 million metric tons in 2001 to 21 million metric tons in 2020.</w:t>
      </w:r>
      <w:r w:rsidR="00A847F1">
        <w:rPr>
          <w:rFonts w:ascii="Arial" w:hAnsi="Arial" w:cs="Arial"/>
          <w:sz w:val="22"/>
          <w:lang w:val="en-US"/>
        </w:rPr>
        <w:t xml:space="preserve"> </w:t>
      </w:r>
      <w:sdt>
        <w:sdtPr>
          <w:rPr>
            <w:rFonts w:ascii="Arial" w:hAnsi="Arial" w:cs="Arial"/>
            <w:sz w:val="22"/>
            <w:lang w:val="en-US"/>
          </w:rPr>
          <w:id w:val="-2062858530"/>
          <w:citation/>
        </w:sdtPr>
        <w:sdtEndPr/>
        <w:sdtContent>
          <w:r w:rsidR="00A847F1">
            <w:rPr>
              <w:rFonts w:ascii="Arial" w:hAnsi="Arial" w:cs="Arial"/>
              <w:sz w:val="22"/>
              <w:lang w:val="en-US"/>
            </w:rPr>
            <w:fldChar w:fldCharType="begin"/>
          </w:r>
          <w:r w:rsidR="00A847F1">
            <w:rPr>
              <w:rFonts w:ascii="Arial" w:hAnsi="Arial" w:cs="Arial"/>
              <w:sz w:val="22"/>
              <w:lang w:val="en-US"/>
            </w:rPr>
            <w:instrText xml:space="preserve"> CITATION Ger21 \l 1033 </w:instrText>
          </w:r>
          <w:r w:rsidR="00A847F1">
            <w:rPr>
              <w:rFonts w:ascii="Arial" w:hAnsi="Arial" w:cs="Arial"/>
              <w:sz w:val="22"/>
              <w:lang w:val="en-US"/>
            </w:rPr>
            <w:fldChar w:fldCharType="separate"/>
          </w:r>
          <w:r w:rsidR="00A847F1" w:rsidRPr="00A847F1">
            <w:rPr>
              <w:rFonts w:ascii="Arial" w:hAnsi="Arial" w:cs="Arial"/>
              <w:noProof/>
              <w:sz w:val="22"/>
              <w:lang w:val="en-US"/>
            </w:rPr>
            <w:t>(Gerber, 2021)</w:t>
          </w:r>
          <w:r w:rsidR="00A847F1">
            <w:rPr>
              <w:rFonts w:ascii="Arial" w:hAnsi="Arial" w:cs="Arial"/>
              <w:sz w:val="22"/>
              <w:lang w:val="en-US"/>
            </w:rPr>
            <w:fldChar w:fldCharType="end"/>
          </w:r>
        </w:sdtContent>
      </w:sdt>
    </w:p>
    <w:p w14:paraId="59B02714" w14:textId="35413F5D" w:rsidR="00501B98" w:rsidRDefault="00FF23FE" w:rsidP="00D27DE6">
      <w:pPr>
        <w:spacing w:line="360" w:lineRule="auto"/>
        <w:jc w:val="both"/>
        <w:rPr>
          <w:rFonts w:ascii="Arial" w:hAnsi="Arial" w:cs="Arial"/>
          <w:sz w:val="22"/>
          <w:lang w:val="en-US"/>
        </w:rPr>
      </w:pPr>
      <w:r w:rsidRPr="00501B98">
        <w:rPr>
          <w:rFonts w:ascii="Arial" w:hAnsi="Arial" w:cs="Arial"/>
          <w:sz w:val="22"/>
          <w:lang w:val="en-US"/>
        </w:rPr>
        <w:t xml:space="preserve">These statements all sound very promising for the future of lithium mining and their use in lithium-ion batteries within EV’s. Though Gerber continues within her paper and says </w:t>
      </w:r>
      <w:r w:rsidRPr="006A5C56">
        <w:rPr>
          <w:rFonts w:ascii="Arial" w:hAnsi="Arial" w:cs="Arial"/>
          <w:sz w:val="22"/>
          <w:lang w:val="en-US"/>
        </w:rPr>
        <w:t xml:space="preserve">each EV battery consists of 30-40% of valuable cathode material by weight. Even if the lithium percentage in the lithium-ion battery accounts for only 7%, the total amount of lithium needed for 140 million vehicles equals 3,000kt of lithium content. In this case the currently known natural reserves of lithium would run dry during our lifetime. </w:t>
      </w:r>
      <w:sdt>
        <w:sdtPr>
          <w:rPr>
            <w:rFonts w:ascii="Arial" w:hAnsi="Arial" w:cs="Arial"/>
            <w:sz w:val="22"/>
            <w:lang w:val="en-US"/>
          </w:rPr>
          <w:id w:val="396939063"/>
          <w:citation/>
        </w:sdtPr>
        <w:sdtEndPr/>
        <w:sdtContent>
          <w:r w:rsidR="00A847F1">
            <w:rPr>
              <w:rFonts w:ascii="Arial" w:hAnsi="Arial" w:cs="Arial"/>
              <w:sz w:val="22"/>
              <w:lang w:val="en-US"/>
            </w:rPr>
            <w:fldChar w:fldCharType="begin"/>
          </w:r>
          <w:r w:rsidR="00A847F1">
            <w:rPr>
              <w:rFonts w:ascii="Arial" w:hAnsi="Arial" w:cs="Arial"/>
              <w:sz w:val="22"/>
              <w:lang w:val="en-US"/>
            </w:rPr>
            <w:instrText xml:space="preserve"> CITATION Ger21 \l 1033 </w:instrText>
          </w:r>
          <w:r w:rsidR="00A847F1">
            <w:rPr>
              <w:rFonts w:ascii="Arial" w:hAnsi="Arial" w:cs="Arial"/>
              <w:sz w:val="22"/>
              <w:lang w:val="en-US"/>
            </w:rPr>
            <w:fldChar w:fldCharType="separate"/>
          </w:r>
          <w:r w:rsidR="00A847F1" w:rsidRPr="00A847F1">
            <w:rPr>
              <w:rFonts w:ascii="Arial" w:hAnsi="Arial" w:cs="Arial"/>
              <w:noProof/>
              <w:sz w:val="22"/>
              <w:lang w:val="en-US"/>
            </w:rPr>
            <w:t>(Gerber, 2021)</w:t>
          </w:r>
          <w:r w:rsidR="00A847F1">
            <w:rPr>
              <w:rFonts w:ascii="Arial" w:hAnsi="Arial" w:cs="Arial"/>
              <w:sz w:val="22"/>
              <w:lang w:val="en-US"/>
            </w:rPr>
            <w:fldChar w:fldCharType="end"/>
          </w:r>
        </w:sdtContent>
      </w:sdt>
    </w:p>
    <w:p w14:paraId="23289446" w14:textId="66CD11D3" w:rsidR="00A847F1" w:rsidRDefault="00A847F1" w:rsidP="00D27DE6">
      <w:pPr>
        <w:spacing w:line="360" w:lineRule="auto"/>
        <w:jc w:val="both"/>
        <w:rPr>
          <w:rFonts w:ascii="Arial" w:hAnsi="Arial" w:cs="Arial"/>
          <w:sz w:val="22"/>
          <w:lang w:val="en-US"/>
        </w:rPr>
      </w:pPr>
    </w:p>
    <w:p w14:paraId="6431C808" w14:textId="64D3C8D3" w:rsidR="00A847F1" w:rsidRDefault="00A847F1" w:rsidP="00D27DE6">
      <w:pPr>
        <w:spacing w:line="360" w:lineRule="auto"/>
        <w:jc w:val="both"/>
        <w:rPr>
          <w:rFonts w:ascii="Arial" w:hAnsi="Arial" w:cs="Arial"/>
          <w:sz w:val="22"/>
          <w:lang w:val="en-US"/>
        </w:rPr>
      </w:pPr>
    </w:p>
    <w:p w14:paraId="2BCC3267" w14:textId="53B65489" w:rsidR="00A847F1" w:rsidRDefault="00A847F1" w:rsidP="00D27DE6">
      <w:pPr>
        <w:spacing w:line="360" w:lineRule="auto"/>
        <w:jc w:val="both"/>
        <w:rPr>
          <w:rFonts w:ascii="Arial" w:hAnsi="Arial" w:cs="Arial"/>
          <w:sz w:val="22"/>
          <w:lang w:val="en-US"/>
        </w:rPr>
      </w:pPr>
    </w:p>
    <w:p w14:paraId="14D5F1AD" w14:textId="0AB2C109" w:rsidR="00A847F1" w:rsidRDefault="00A847F1" w:rsidP="00D27DE6">
      <w:pPr>
        <w:spacing w:line="360" w:lineRule="auto"/>
        <w:jc w:val="both"/>
        <w:rPr>
          <w:rFonts w:ascii="Arial" w:hAnsi="Arial" w:cs="Arial"/>
          <w:sz w:val="22"/>
          <w:lang w:val="en-US"/>
        </w:rPr>
      </w:pPr>
    </w:p>
    <w:p w14:paraId="06A42FBE" w14:textId="77777777" w:rsidR="002A7A38" w:rsidRDefault="002A7A38" w:rsidP="00D27DE6">
      <w:pPr>
        <w:spacing w:line="360" w:lineRule="auto"/>
        <w:jc w:val="both"/>
        <w:rPr>
          <w:rFonts w:ascii="Arial" w:hAnsi="Arial" w:cs="Arial"/>
          <w:sz w:val="22"/>
          <w:lang w:val="en-US"/>
        </w:rPr>
      </w:pPr>
    </w:p>
    <w:p w14:paraId="51F698C1" w14:textId="77777777" w:rsidR="00A847F1" w:rsidRPr="00A847F1" w:rsidRDefault="00A847F1" w:rsidP="00D27DE6">
      <w:pPr>
        <w:spacing w:line="360" w:lineRule="auto"/>
        <w:jc w:val="both"/>
        <w:rPr>
          <w:rFonts w:ascii="Arial" w:hAnsi="Arial" w:cs="Arial"/>
          <w:sz w:val="22"/>
          <w:lang w:val="en-US"/>
        </w:rPr>
      </w:pPr>
    </w:p>
    <w:p w14:paraId="12CA0C3B" w14:textId="63C84BB6" w:rsidR="00382BCA" w:rsidRPr="006A5C56" w:rsidRDefault="00382BCA" w:rsidP="00D27DE6">
      <w:pPr>
        <w:pStyle w:val="Heading2"/>
        <w:spacing w:line="360" w:lineRule="auto"/>
      </w:pPr>
      <w:bookmarkStart w:id="9" w:name="_Toc87453625"/>
      <w:r w:rsidRPr="006A5C56">
        <w:lastRenderedPageBreak/>
        <w:t>3.3 - Electricity demand solutions and grid capabilities</w:t>
      </w:r>
      <w:bookmarkEnd w:id="9"/>
    </w:p>
    <w:p w14:paraId="766E270C" w14:textId="50FBE104" w:rsidR="00783B41" w:rsidRPr="006A5C56" w:rsidRDefault="00783B41" w:rsidP="00D27DE6">
      <w:pPr>
        <w:spacing w:line="360" w:lineRule="auto"/>
        <w:jc w:val="both"/>
        <w:rPr>
          <w:rFonts w:ascii="Arial" w:hAnsi="Arial" w:cs="Arial"/>
          <w:sz w:val="22"/>
        </w:rPr>
      </w:pPr>
      <w:r w:rsidRPr="006A5C56">
        <w:rPr>
          <w:rFonts w:ascii="Arial" w:hAnsi="Arial" w:cs="Arial"/>
          <w:sz w:val="22"/>
        </w:rPr>
        <w:t xml:space="preserve">High voltage DC (HVDC) technology development. Allows for more efficient (x5) transport of power compared to AC, especially with regards to offshore. HVDC is more expensive compared to AC but due to its gain in efficiency can pay back the initial outlay once link reaches 700km in length, thus making it ideal for creating energy superhighways that cross continents. </w:t>
      </w:r>
      <w:sdt>
        <w:sdtPr>
          <w:rPr>
            <w:rFonts w:ascii="Arial" w:hAnsi="Arial" w:cs="Arial"/>
            <w:sz w:val="22"/>
          </w:rPr>
          <w:id w:val="-519699109"/>
          <w:citation/>
        </w:sdtPr>
        <w:sdtEndPr/>
        <w:sdtContent>
          <w:r w:rsidR="00286047">
            <w:rPr>
              <w:rFonts w:ascii="Arial" w:hAnsi="Arial" w:cs="Arial"/>
              <w:sz w:val="22"/>
            </w:rPr>
            <w:fldChar w:fldCharType="begin"/>
          </w:r>
          <w:r w:rsidR="00286047">
            <w:rPr>
              <w:rFonts w:ascii="Arial" w:hAnsi="Arial" w:cs="Arial"/>
              <w:sz w:val="22"/>
              <w:lang w:val="en-US"/>
            </w:rPr>
            <w:instrText xml:space="preserve"> CITATION Pro21 \l 1033 </w:instrText>
          </w:r>
          <w:r w:rsidR="00286047">
            <w:rPr>
              <w:rFonts w:ascii="Arial" w:hAnsi="Arial" w:cs="Arial"/>
              <w:sz w:val="22"/>
            </w:rPr>
            <w:fldChar w:fldCharType="separate"/>
          </w:r>
          <w:r w:rsidR="00286047" w:rsidRPr="00286047">
            <w:rPr>
              <w:rFonts w:ascii="Arial" w:hAnsi="Arial" w:cs="Arial"/>
              <w:noProof/>
              <w:sz w:val="22"/>
              <w:lang w:val="en-US"/>
            </w:rPr>
            <w:t>(Professional Engineering Corporation, 2021)</w:t>
          </w:r>
          <w:r w:rsidR="00286047">
            <w:rPr>
              <w:rFonts w:ascii="Arial" w:hAnsi="Arial" w:cs="Arial"/>
              <w:sz w:val="22"/>
            </w:rPr>
            <w:fldChar w:fldCharType="end"/>
          </w:r>
        </w:sdtContent>
      </w:sdt>
    </w:p>
    <w:p w14:paraId="7ADD0053" w14:textId="03EFC660" w:rsidR="00783B41" w:rsidRPr="006A5C56" w:rsidRDefault="00783B41" w:rsidP="00D27DE6">
      <w:pPr>
        <w:spacing w:line="360" w:lineRule="auto"/>
        <w:jc w:val="both"/>
        <w:rPr>
          <w:rFonts w:ascii="Arial" w:hAnsi="Arial" w:cs="Arial"/>
          <w:sz w:val="22"/>
        </w:rPr>
      </w:pPr>
      <w:r w:rsidRPr="006A5C56">
        <w:rPr>
          <w:rFonts w:ascii="Arial" w:hAnsi="Arial" w:cs="Arial"/>
          <w:sz w:val="22"/>
        </w:rPr>
        <w:t xml:space="preserve">HVDC lines can be submerged in water offshore and not suffer with losses that AC transmission must deal with. Several HVDC connections are already in place within Europe with the highest voltage connections running at 500kV. China and India already have connections that already run at 800kV. </w:t>
      </w:r>
      <w:sdt>
        <w:sdtPr>
          <w:rPr>
            <w:rFonts w:ascii="Arial" w:hAnsi="Arial" w:cs="Arial"/>
            <w:sz w:val="22"/>
          </w:rPr>
          <w:id w:val="994227730"/>
          <w:citation/>
        </w:sdtPr>
        <w:sdtEndPr/>
        <w:sdtContent>
          <w:r w:rsidR="00286047">
            <w:rPr>
              <w:rFonts w:ascii="Arial" w:hAnsi="Arial" w:cs="Arial"/>
              <w:sz w:val="22"/>
            </w:rPr>
            <w:fldChar w:fldCharType="begin"/>
          </w:r>
          <w:r w:rsidR="00286047">
            <w:rPr>
              <w:rFonts w:ascii="Arial" w:hAnsi="Arial" w:cs="Arial"/>
              <w:sz w:val="22"/>
              <w:lang w:val="en-US"/>
            </w:rPr>
            <w:instrText xml:space="preserve"> CITATION Pro21 \l 1033 </w:instrText>
          </w:r>
          <w:r w:rsidR="00286047">
            <w:rPr>
              <w:rFonts w:ascii="Arial" w:hAnsi="Arial" w:cs="Arial"/>
              <w:sz w:val="22"/>
            </w:rPr>
            <w:fldChar w:fldCharType="separate"/>
          </w:r>
          <w:r w:rsidR="00286047" w:rsidRPr="00286047">
            <w:rPr>
              <w:rFonts w:ascii="Arial" w:hAnsi="Arial" w:cs="Arial"/>
              <w:noProof/>
              <w:sz w:val="22"/>
              <w:lang w:val="en-US"/>
            </w:rPr>
            <w:t>(Professional Engineering Corporation, 2021)</w:t>
          </w:r>
          <w:r w:rsidR="00286047">
            <w:rPr>
              <w:rFonts w:ascii="Arial" w:hAnsi="Arial" w:cs="Arial"/>
              <w:sz w:val="22"/>
            </w:rPr>
            <w:fldChar w:fldCharType="end"/>
          </w:r>
        </w:sdtContent>
      </w:sdt>
    </w:p>
    <w:p w14:paraId="0B6271DB" w14:textId="34B7ED2C" w:rsidR="00783B41" w:rsidRPr="006A5C56" w:rsidRDefault="00783B41" w:rsidP="00D27DE6">
      <w:pPr>
        <w:spacing w:line="360" w:lineRule="auto"/>
        <w:jc w:val="both"/>
        <w:rPr>
          <w:rFonts w:ascii="Arial" w:hAnsi="Arial" w:cs="Arial"/>
          <w:sz w:val="22"/>
        </w:rPr>
      </w:pPr>
      <w:r w:rsidRPr="006A5C56">
        <w:rPr>
          <w:rFonts w:ascii="Arial" w:hAnsi="Arial" w:cs="Arial"/>
          <w:sz w:val="22"/>
        </w:rPr>
        <w:t xml:space="preserve">Existing HVDC connections have two terminals and power flows from one to the other. A project in Sweden is underway which will be the first system which has more than two terminals in Europe. However, integrating connections this way is difficult due to having to break a DC circuit on an industrial scale. Since DC systems have a constant current which doesn’t pass through zero means there is no opportune moment like there is with AC systems. Circuit breakers are used when breaking a DC system as this diverts current into a parallel circuit where semiconductors block the current. These circuit breakers are critical to the </w:t>
      </w:r>
      <w:proofErr w:type="spellStart"/>
      <w:r w:rsidR="00333ACE" w:rsidRPr="006A5C56">
        <w:rPr>
          <w:rFonts w:ascii="Arial" w:hAnsi="Arial" w:cs="Arial"/>
          <w:sz w:val="22"/>
        </w:rPr>
        <w:t>S</w:t>
      </w:r>
      <w:r w:rsidRPr="006A5C56">
        <w:rPr>
          <w:rFonts w:ascii="Arial" w:hAnsi="Arial" w:cs="Arial"/>
          <w:sz w:val="22"/>
        </w:rPr>
        <w:t>upergrid</w:t>
      </w:r>
      <w:proofErr w:type="spellEnd"/>
      <w:r w:rsidRPr="006A5C56">
        <w:rPr>
          <w:rFonts w:ascii="Arial" w:hAnsi="Arial" w:cs="Arial"/>
          <w:sz w:val="22"/>
        </w:rPr>
        <w:t xml:space="preserve"> for safety and being used to isolate the system with fault finding. If these faults aren’t found, the current is allowed to build up to high levels and damage converter stations. </w:t>
      </w:r>
      <w:sdt>
        <w:sdtPr>
          <w:rPr>
            <w:rFonts w:ascii="Arial" w:hAnsi="Arial" w:cs="Arial"/>
            <w:sz w:val="22"/>
          </w:rPr>
          <w:id w:val="332720840"/>
          <w:citation/>
        </w:sdtPr>
        <w:sdtEndPr/>
        <w:sdtContent>
          <w:r w:rsidR="00286047">
            <w:rPr>
              <w:rFonts w:ascii="Arial" w:hAnsi="Arial" w:cs="Arial"/>
              <w:sz w:val="22"/>
            </w:rPr>
            <w:fldChar w:fldCharType="begin"/>
          </w:r>
          <w:r w:rsidR="00286047">
            <w:rPr>
              <w:rFonts w:ascii="Arial" w:hAnsi="Arial" w:cs="Arial"/>
              <w:sz w:val="22"/>
              <w:lang w:val="en-US"/>
            </w:rPr>
            <w:instrText xml:space="preserve"> CITATION Pro21 \l 1033 </w:instrText>
          </w:r>
          <w:r w:rsidR="00286047">
            <w:rPr>
              <w:rFonts w:ascii="Arial" w:hAnsi="Arial" w:cs="Arial"/>
              <w:sz w:val="22"/>
            </w:rPr>
            <w:fldChar w:fldCharType="separate"/>
          </w:r>
          <w:r w:rsidR="00286047" w:rsidRPr="00286047">
            <w:rPr>
              <w:rFonts w:ascii="Arial" w:hAnsi="Arial" w:cs="Arial"/>
              <w:noProof/>
              <w:sz w:val="22"/>
              <w:lang w:val="en-US"/>
            </w:rPr>
            <w:t>(Professional Engineering Corporation, 2021)</w:t>
          </w:r>
          <w:r w:rsidR="00286047">
            <w:rPr>
              <w:rFonts w:ascii="Arial" w:hAnsi="Arial" w:cs="Arial"/>
              <w:sz w:val="22"/>
            </w:rPr>
            <w:fldChar w:fldCharType="end"/>
          </w:r>
        </w:sdtContent>
      </w:sdt>
    </w:p>
    <w:p w14:paraId="5AB6A238" w14:textId="739A6C76" w:rsidR="00783B41" w:rsidRPr="006A5C56" w:rsidRDefault="00783B41" w:rsidP="00D27DE6">
      <w:pPr>
        <w:spacing w:line="360" w:lineRule="auto"/>
        <w:jc w:val="both"/>
        <w:rPr>
          <w:rFonts w:ascii="Arial" w:hAnsi="Arial" w:cs="Arial"/>
          <w:sz w:val="22"/>
        </w:rPr>
      </w:pPr>
      <w:r w:rsidRPr="006A5C56">
        <w:rPr>
          <w:rFonts w:ascii="Arial" w:hAnsi="Arial" w:cs="Arial"/>
          <w:sz w:val="22"/>
        </w:rPr>
        <w:t xml:space="preserve">Dr Keith Bell of Strathclyde University disagrees with the vital usage of circuit breakers and says it is possible to build a </w:t>
      </w:r>
      <w:proofErr w:type="spellStart"/>
      <w:r w:rsidR="00333ACE" w:rsidRPr="006A5C56">
        <w:rPr>
          <w:rFonts w:ascii="Arial" w:hAnsi="Arial" w:cs="Arial"/>
          <w:sz w:val="22"/>
        </w:rPr>
        <w:t>S</w:t>
      </w:r>
      <w:r w:rsidRPr="006A5C56">
        <w:rPr>
          <w:rFonts w:ascii="Arial" w:hAnsi="Arial" w:cs="Arial"/>
          <w:sz w:val="22"/>
        </w:rPr>
        <w:t>upergrid</w:t>
      </w:r>
      <w:proofErr w:type="spellEnd"/>
      <w:r w:rsidRPr="006A5C56">
        <w:rPr>
          <w:rFonts w:ascii="Arial" w:hAnsi="Arial" w:cs="Arial"/>
          <w:sz w:val="22"/>
        </w:rPr>
        <w:t xml:space="preserve"> without circuit breakers. However, the network operator National Grid will need to ask questions such as how much does the technology cost to implement and if the extra abilities it will give them is worth the increased price tag. Operators like National Grid will need to know how much electricity consumers are using on an hourly and daily basis so they know how much to import from Europe or how much of their own power they can send to other parts of the grid. Unfortunately, this information isn’t available now even though the technology for this new type of smart and flexible grid is available. </w:t>
      </w:r>
      <w:sdt>
        <w:sdtPr>
          <w:rPr>
            <w:rFonts w:ascii="Arial" w:hAnsi="Arial" w:cs="Arial"/>
            <w:sz w:val="22"/>
          </w:rPr>
          <w:id w:val="1827406858"/>
          <w:citation/>
        </w:sdtPr>
        <w:sdtEndPr/>
        <w:sdtContent>
          <w:r w:rsidR="00286047">
            <w:rPr>
              <w:rFonts w:ascii="Arial" w:hAnsi="Arial" w:cs="Arial"/>
              <w:sz w:val="22"/>
            </w:rPr>
            <w:fldChar w:fldCharType="begin"/>
          </w:r>
          <w:r w:rsidR="00286047">
            <w:rPr>
              <w:rFonts w:ascii="Arial" w:hAnsi="Arial" w:cs="Arial"/>
              <w:sz w:val="22"/>
              <w:lang w:val="en-US"/>
            </w:rPr>
            <w:instrText xml:space="preserve"> CITATION Pro21 \l 1033 </w:instrText>
          </w:r>
          <w:r w:rsidR="00286047">
            <w:rPr>
              <w:rFonts w:ascii="Arial" w:hAnsi="Arial" w:cs="Arial"/>
              <w:sz w:val="22"/>
            </w:rPr>
            <w:fldChar w:fldCharType="separate"/>
          </w:r>
          <w:r w:rsidR="00286047" w:rsidRPr="00286047">
            <w:rPr>
              <w:rFonts w:ascii="Arial" w:hAnsi="Arial" w:cs="Arial"/>
              <w:noProof/>
              <w:sz w:val="22"/>
              <w:lang w:val="en-US"/>
            </w:rPr>
            <w:t>(Professional Engineering Corporation, 2021)</w:t>
          </w:r>
          <w:r w:rsidR="00286047">
            <w:rPr>
              <w:rFonts w:ascii="Arial" w:hAnsi="Arial" w:cs="Arial"/>
              <w:sz w:val="22"/>
            </w:rPr>
            <w:fldChar w:fldCharType="end"/>
          </w:r>
        </w:sdtContent>
      </w:sdt>
    </w:p>
    <w:p w14:paraId="2DAE6BB4" w14:textId="4164938C" w:rsidR="00692D80" w:rsidRDefault="00783B41" w:rsidP="00D27DE6">
      <w:pPr>
        <w:spacing w:line="360" w:lineRule="auto"/>
        <w:jc w:val="both"/>
        <w:rPr>
          <w:rFonts w:ascii="Arial" w:hAnsi="Arial" w:cs="Arial"/>
          <w:sz w:val="22"/>
        </w:rPr>
      </w:pPr>
      <w:r w:rsidRPr="006A5C56">
        <w:rPr>
          <w:rFonts w:ascii="Arial" w:hAnsi="Arial" w:cs="Arial"/>
          <w:sz w:val="22"/>
        </w:rPr>
        <w:t xml:space="preserve">After reading the </w:t>
      </w:r>
      <w:proofErr w:type="spellStart"/>
      <w:r w:rsidRPr="006A5C56">
        <w:rPr>
          <w:rFonts w:ascii="Arial" w:hAnsi="Arial" w:cs="Arial"/>
          <w:sz w:val="22"/>
        </w:rPr>
        <w:t>Supergrid</w:t>
      </w:r>
      <w:proofErr w:type="spellEnd"/>
      <w:r w:rsidRPr="006A5C56">
        <w:rPr>
          <w:rFonts w:ascii="Arial" w:hAnsi="Arial" w:cs="Arial"/>
          <w:sz w:val="22"/>
        </w:rPr>
        <w:t xml:space="preserve"> article, it has become clear that the technology is heading in the right direction but there are big hurdles within which are stopping the progression of V2G on a hardware and data level. This starts the thought of what can be done to change these obstacles like not having the data from operators like National Grid.</w:t>
      </w:r>
    </w:p>
    <w:p w14:paraId="4A7D369A" w14:textId="77777777" w:rsidR="00867611" w:rsidRPr="006A5C56" w:rsidRDefault="00867611" w:rsidP="00D27DE6">
      <w:pPr>
        <w:spacing w:line="360" w:lineRule="auto"/>
        <w:jc w:val="both"/>
        <w:rPr>
          <w:rFonts w:ascii="Arial" w:hAnsi="Arial" w:cs="Arial"/>
          <w:sz w:val="22"/>
        </w:rPr>
      </w:pPr>
    </w:p>
    <w:p w14:paraId="32DA0D5B" w14:textId="44F1DDC6" w:rsidR="00692D80" w:rsidRPr="006A5C56" w:rsidRDefault="00382BCA" w:rsidP="00D27DE6">
      <w:pPr>
        <w:pStyle w:val="Heading2"/>
        <w:spacing w:line="360" w:lineRule="auto"/>
      </w:pPr>
      <w:bookmarkStart w:id="10" w:name="_Toc87453626"/>
      <w:r w:rsidRPr="006A5C56">
        <w:lastRenderedPageBreak/>
        <w:t>3.4 - Any ethical issues that might occur</w:t>
      </w:r>
      <w:bookmarkEnd w:id="10"/>
    </w:p>
    <w:p w14:paraId="4FB5345F" w14:textId="15227528" w:rsidR="00783B41" w:rsidRPr="006A5C56" w:rsidRDefault="00783B41" w:rsidP="00D27DE6">
      <w:pPr>
        <w:spacing w:line="360" w:lineRule="auto"/>
        <w:jc w:val="both"/>
        <w:rPr>
          <w:rFonts w:ascii="Arial" w:hAnsi="Arial" w:cs="Arial"/>
          <w:sz w:val="22"/>
        </w:rPr>
      </w:pPr>
      <w:r w:rsidRPr="006A5C56">
        <w:rPr>
          <w:rFonts w:ascii="Arial" w:hAnsi="Arial" w:cs="Arial"/>
          <w:sz w:val="22"/>
        </w:rPr>
        <w:t xml:space="preserve">Creating sufficient power within the grid to support more EV vehicles, although HVDC connections to a </w:t>
      </w:r>
      <w:proofErr w:type="spellStart"/>
      <w:r w:rsidRPr="006A5C56">
        <w:rPr>
          <w:rFonts w:ascii="Arial" w:hAnsi="Arial" w:cs="Arial"/>
          <w:sz w:val="22"/>
        </w:rPr>
        <w:t>supergrid</w:t>
      </w:r>
      <w:proofErr w:type="spellEnd"/>
      <w:r w:rsidRPr="006A5C56">
        <w:rPr>
          <w:rFonts w:ascii="Arial" w:hAnsi="Arial" w:cs="Arial"/>
          <w:sz w:val="22"/>
        </w:rPr>
        <w:t xml:space="preserve"> would be a great increase, the UK will still need to construct more power stations. Depending on which power station is created, the ethical issues will fluctuate. With regards to nuclear power stations, with events from Fukushima and Chernobyl all in recent history, the development and use of nuclear power has been hotly debated for decades. </w:t>
      </w:r>
      <w:sdt>
        <w:sdtPr>
          <w:rPr>
            <w:rFonts w:ascii="Arial" w:hAnsi="Arial" w:cs="Arial"/>
            <w:sz w:val="22"/>
          </w:rPr>
          <w:id w:val="-837849354"/>
          <w:citation/>
        </w:sdtPr>
        <w:sdtEndPr/>
        <w:sdtContent>
          <w:r w:rsidR="00B00122">
            <w:rPr>
              <w:rFonts w:ascii="Arial" w:hAnsi="Arial" w:cs="Arial"/>
              <w:sz w:val="22"/>
            </w:rPr>
            <w:fldChar w:fldCharType="begin"/>
          </w:r>
          <w:r w:rsidR="00B00122">
            <w:rPr>
              <w:rFonts w:ascii="Arial" w:hAnsi="Arial" w:cs="Arial"/>
              <w:sz w:val="22"/>
              <w:lang w:val="en-US"/>
            </w:rPr>
            <w:instrText xml:space="preserve"> CITATION Xia11 \l 1033 </w:instrText>
          </w:r>
          <w:r w:rsidR="00B00122">
            <w:rPr>
              <w:rFonts w:ascii="Arial" w:hAnsi="Arial" w:cs="Arial"/>
              <w:sz w:val="22"/>
            </w:rPr>
            <w:fldChar w:fldCharType="separate"/>
          </w:r>
          <w:r w:rsidR="00B00122" w:rsidRPr="00B00122">
            <w:rPr>
              <w:rFonts w:ascii="Arial" w:hAnsi="Arial" w:cs="Arial"/>
              <w:noProof/>
              <w:sz w:val="22"/>
              <w:lang w:val="en-US"/>
            </w:rPr>
            <w:t>(Xiang &amp; Zhu, 2011)</w:t>
          </w:r>
          <w:r w:rsidR="00B00122">
            <w:rPr>
              <w:rFonts w:ascii="Arial" w:hAnsi="Arial" w:cs="Arial"/>
              <w:sz w:val="22"/>
            </w:rPr>
            <w:fldChar w:fldCharType="end"/>
          </w:r>
        </w:sdtContent>
      </w:sdt>
    </w:p>
    <w:p w14:paraId="42CFEDC3" w14:textId="3AF85950" w:rsidR="000062B5" w:rsidRDefault="00783B41" w:rsidP="00D27DE6">
      <w:pPr>
        <w:spacing w:line="360" w:lineRule="auto"/>
        <w:jc w:val="both"/>
        <w:rPr>
          <w:rFonts w:ascii="Arial" w:hAnsi="Arial" w:cs="Arial"/>
          <w:sz w:val="22"/>
        </w:rPr>
      </w:pPr>
      <w:r w:rsidRPr="006A5C56">
        <w:rPr>
          <w:rFonts w:ascii="Arial" w:hAnsi="Arial" w:cs="Arial"/>
          <w:sz w:val="22"/>
        </w:rPr>
        <w:t>A lot of the debates and what commonly comes up within the debates has been documented by the World Nuclear Association with state key points from each topic with nuclear power. Although the above statement would push the thought of nuclear being a dangerous method of power generation, but the World Nuclear Association have stated that major studies all conclude that nuclear is an exceptionally safe way to produce electricity on an industrial scale. Nuclear has by far the lowest number of direct fatalities of any major energy source per kWh of energy produced – over 100 times less than hydro and liquefied natural gas</w:t>
      </w:r>
      <w:r w:rsidR="006608C4">
        <w:rPr>
          <w:rFonts w:ascii="Arial" w:hAnsi="Arial" w:cs="Arial"/>
          <w:sz w:val="22"/>
        </w:rPr>
        <w:t xml:space="preserve">. </w:t>
      </w:r>
      <w:sdt>
        <w:sdtPr>
          <w:rPr>
            <w:rFonts w:ascii="Arial" w:hAnsi="Arial" w:cs="Arial"/>
            <w:sz w:val="22"/>
          </w:rPr>
          <w:id w:val="1842352344"/>
          <w:citation/>
        </w:sdtPr>
        <w:sdtEndPr/>
        <w:sdtContent>
          <w:r w:rsidR="00371CCA">
            <w:rPr>
              <w:rFonts w:ascii="Arial" w:hAnsi="Arial" w:cs="Arial"/>
              <w:sz w:val="22"/>
            </w:rPr>
            <w:fldChar w:fldCharType="begin"/>
          </w:r>
          <w:r w:rsidR="00371CCA">
            <w:rPr>
              <w:rFonts w:ascii="Arial" w:hAnsi="Arial" w:cs="Arial"/>
              <w:sz w:val="22"/>
              <w:lang w:val="en-US"/>
            </w:rPr>
            <w:instrText xml:space="preserve"> CITATION Nuc19 \l 1033 </w:instrText>
          </w:r>
          <w:r w:rsidR="00371CCA">
            <w:rPr>
              <w:rFonts w:ascii="Arial" w:hAnsi="Arial" w:cs="Arial"/>
              <w:sz w:val="22"/>
            </w:rPr>
            <w:fldChar w:fldCharType="separate"/>
          </w:r>
          <w:r w:rsidR="00371CCA" w:rsidRPr="00371CCA">
            <w:rPr>
              <w:rFonts w:ascii="Arial" w:hAnsi="Arial" w:cs="Arial"/>
              <w:noProof/>
              <w:sz w:val="22"/>
              <w:lang w:val="en-US"/>
            </w:rPr>
            <w:t>(Nuclear Energy Agency, 2019)</w:t>
          </w:r>
          <w:r w:rsidR="00371CCA">
            <w:rPr>
              <w:rFonts w:ascii="Arial" w:hAnsi="Arial" w:cs="Arial"/>
              <w:sz w:val="22"/>
            </w:rPr>
            <w:fldChar w:fldCharType="end"/>
          </w:r>
        </w:sdtContent>
      </w:sdt>
    </w:p>
    <w:p w14:paraId="56B59696" w14:textId="51442D4D" w:rsidR="00066F7B" w:rsidRDefault="00783B41" w:rsidP="00D27DE6">
      <w:pPr>
        <w:spacing w:line="360" w:lineRule="auto"/>
        <w:jc w:val="both"/>
        <w:rPr>
          <w:rFonts w:ascii="Arial" w:hAnsi="Arial" w:cs="Arial"/>
          <w:sz w:val="22"/>
        </w:rPr>
      </w:pPr>
      <w:r w:rsidRPr="006A5C56">
        <w:rPr>
          <w:rFonts w:ascii="Arial" w:hAnsi="Arial" w:cs="Arial"/>
          <w:sz w:val="22"/>
        </w:rPr>
        <w:t>Serious nuclear accidents are very rare, and not particularly dangerous. The April 1986 Chernobyl accident in Ukraine is the only nuclear accident that has ever led to measurable health effects: 30 fatalities and up to 4000 thyroid cancer cases in those who were children when exposed</w:t>
      </w:r>
      <w:r w:rsidR="00066F7B">
        <w:rPr>
          <w:rFonts w:ascii="Arial" w:hAnsi="Arial" w:cs="Arial"/>
          <w:sz w:val="22"/>
        </w:rPr>
        <w:t xml:space="preserve">. </w:t>
      </w:r>
      <w:sdt>
        <w:sdtPr>
          <w:rPr>
            <w:rFonts w:ascii="Arial" w:hAnsi="Arial" w:cs="Arial"/>
            <w:sz w:val="22"/>
          </w:rPr>
          <w:id w:val="-778573669"/>
          <w:citation/>
        </w:sdtPr>
        <w:sdtEndPr/>
        <w:sdtContent>
          <w:r w:rsidR="00D1410F">
            <w:rPr>
              <w:rFonts w:ascii="Arial" w:hAnsi="Arial" w:cs="Arial"/>
              <w:sz w:val="22"/>
            </w:rPr>
            <w:fldChar w:fldCharType="begin"/>
          </w:r>
          <w:r w:rsidR="00D1410F">
            <w:rPr>
              <w:rFonts w:ascii="Arial" w:hAnsi="Arial" w:cs="Arial"/>
              <w:sz w:val="22"/>
              <w:lang w:val="en-US"/>
            </w:rPr>
            <w:instrText xml:space="preserve"> CITATION UNS08 \l 1033 </w:instrText>
          </w:r>
          <w:r w:rsidR="00D1410F">
            <w:rPr>
              <w:rFonts w:ascii="Arial" w:hAnsi="Arial" w:cs="Arial"/>
              <w:sz w:val="22"/>
            </w:rPr>
            <w:fldChar w:fldCharType="separate"/>
          </w:r>
          <w:r w:rsidR="00D1410F" w:rsidRPr="00D1410F">
            <w:rPr>
              <w:rFonts w:ascii="Arial" w:hAnsi="Arial" w:cs="Arial"/>
              <w:noProof/>
              <w:sz w:val="22"/>
              <w:lang w:val="en-US"/>
            </w:rPr>
            <w:t>(UNSCEAR, 2008)</w:t>
          </w:r>
          <w:r w:rsidR="00D1410F">
            <w:rPr>
              <w:rFonts w:ascii="Arial" w:hAnsi="Arial" w:cs="Arial"/>
              <w:sz w:val="22"/>
            </w:rPr>
            <w:fldChar w:fldCharType="end"/>
          </w:r>
        </w:sdtContent>
      </w:sdt>
      <w:sdt>
        <w:sdtPr>
          <w:rPr>
            <w:rFonts w:ascii="Arial" w:hAnsi="Arial" w:cs="Arial"/>
            <w:sz w:val="22"/>
          </w:rPr>
          <w:id w:val="-1488312543"/>
          <w:citation/>
        </w:sdtPr>
        <w:sdtEndPr/>
        <w:sdtContent>
          <w:r w:rsidR="007941D2">
            <w:rPr>
              <w:rFonts w:ascii="Arial" w:hAnsi="Arial" w:cs="Arial"/>
              <w:sz w:val="22"/>
            </w:rPr>
            <w:fldChar w:fldCharType="begin"/>
          </w:r>
          <w:r w:rsidR="007941D2">
            <w:rPr>
              <w:rFonts w:ascii="Arial" w:hAnsi="Arial" w:cs="Arial"/>
              <w:sz w:val="22"/>
              <w:lang w:val="en-US"/>
            </w:rPr>
            <w:instrText xml:space="preserve"> CITATION Ben06 \l 1033 </w:instrText>
          </w:r>
          <w:r w:rsidR="007941D2">
            <w:rPr>
              <w:rFonts w:ascii="Arial" w:hAnsi="Arial" w:cs="Arial"/>
              <w:sz w:val="22"/>
            </w:rPr>
            <w:fldChar w:fldCharType="separate"/>
          </w:r>
          <w:r w:rsidR="007941D2">
            <w:rPr>
              <w:rFonts w:ascii="Arial" w:hAnsi="Arial" w:cs="Arial"/>
              <w:noProof/>
              <w:sz w:val="22"/>
              <w:lang w:val="en-US"/>
            </w:rPr>
            <w:t xml:space="preserve"> </w:t>
          </w:r>
          <w:r w:rsidR="007941D2" w:rsidRPr="007941D2">
            <w:rPr>
              <w:rFonts w:ascii="Arial" w:hAnsi="Arial" w:cs="Arial"/>
              <w:noProof/>
              <w:sz w:val="22"/>
              <w:lang w:val="en-US"/>
            </w:rPr>
            <w:t>(Bennett, Repacholi, &amp; Carr, 2006)</w:t>
          </w:r>
          <w:r w:rsidR="007941D2">
            <w:rPr>
              <w:rFonts w:ascii="Arial" w:hAnsi="Arial" w:cs="Arial"/>
              <w:sz w:val="22"/>
            </w:rPr>
            <w:fldChar w:fldCharType="end"/>
          </w:r>
        </w:sdtContent>
      </w:sdt>
    </w:p>
    <w:p w14:paraId="75A70D4E" w14:textId="272E804D" w:rsidR="00783B41" w:rsidRDefault="00783B41" w:rsidP="00D27DE6">
      <w:pPr>
        <w:spacing w:line="360" w:lineRule="auto"/>
        <w:jc w:val="both"/>
        <w:rPr>
          <w:rFonts w:ascii="Arial" w:hAnsi="Arial" w:cs="Arial"/>
          <w:sz w:val="22"/>
        </w:rPr>
      </w:pPr>
      <w:r w:rsidRPr="006A5C56">
        <w:rPr>
          <w:rFonts w:ascii="Arial" w:hAnsi="Arial" w:cs="Arial"/>
          <w:sz w:val="22"/>
        </w:rPr>
        <w:t xml:space="preserve">The March 2011 accident at the Fukushima plant in Japan did not cause any immediate health </w:t>
      </w:r>
      <w:r w:rsidR="00066F7B" w:rsidRPr="006A5C56">
        <w:rPr>
          <w:rFonts w:ascii="Arial" w:hAnsi="Arial" w:cs="Arial"/>
          <w:sz w:val="22"/>
        </w:rPr>
        <w:t>effects and</w:t>
      </w:r>
      <w:r w:rsidRPr="006A5C56">
        <w:rPr>
          <w:rFonts w:ascii="Arial" w:hAnsi="Arial" w:cs="Arial"/>
          <w:sz w:val="22"/>
        </w:rPr>
        <w:t xml:space="preserve"> is unlikely to cause any future health effects according to the United Nations Scientific Committee on the Effects of Atomic Radiation</w:t>
      </w:r>
      <w:r w:rsidR="009155AF">
        <w:rPr>
          <w:rFonts w:ascii="Arial" w:hAnsi="Arial" w:cs="Arial"/>
          <w:sz w:val="22"/>
        </w:rPr>
        <w:t>.</w:t>
      </w:r>
      <w:r w:rsidRPr="006A5C56">
        <w:rPr>
          <w:rFonts w:ascii="Arial" w:hAnsi="Arial" w:cs="Arial"/>
          <w:sz w:val="22"/>
        </w:rPr>
        <w:t xml:space="preserve"> </w:t>
      </w:r>
      <w:sdt>
        <w:sdtPr>
          <w:rPr>
            <w:rFonts w:ascii="Arial" w:hAnsi="Arial" w:cs="Arial"/>
            <w:sz w:val="22"/>
          </w:rPr>
          <w:id w:val="455837043"/>
          <w:citation/>
        </w:sdtPr>
        <w:sdtEndPr/>
        <w:sdtContent>
          <w:r w:rsidR="000874F1">
            <w:rPr>
              <w:rFonts w:ascii="Arial" w:hAnsi="Arial" w:cs="Arial"/>
              <w:sz w:val="22"/>
            </w:rPr>
            <w:fldChar w:fldCharType="begin"/>
          </w:r>
          <w:r w:rsidR="000874F1">
            <w:rPr>
              <w:rFonts w:ascii="Arial" w:hAnsi="Arial" w:cs="Arial"/>
              <w:sz w:val="22"/>
              <w:lang w:val="en-US"/>
            </w:rPr>
            <w:instrText xml:space="preserve"> CITATION UNS08 \l 1033 </w:instrText>
          </w:r>
          <w:r w:rsidR="000874F1">
            <w:rPr>
              <w:rFonts w:ascii="Arial" w:hAnsi="Arial" w:cs="Arial"/>
              <w:sz w:val="22"/>
            </w:rPr>
            <w:fldChar w:fldCharType="separate"/>
          </w:r>
          <w:r w:rsidR="000874F1" w:rsidRPr="000874F1">
            <w:rPr>
              <w:rFonts w:ascii="Arial" w:hAnsi="Arial" w:cs="Arial"/>
              <w:noProof/>
              <w:sz w:val="22"/>
              <w:lang w:val="en-US"/>
            </w:rPr>
            <w:t>(UNSCEAR, 2008)</w:t>
          </w:r>
          <w:r w:rsidR="000874F1">
            <w:rPr>
              <w:rFonts w:ascii="Arial" w:hAnsi="Arial" w:cs="Arial"/>
              <w:sz w:val="22"/>
            </w:rPr>
            <w:fldChar w:fldCharType="end"/>
          </w:r>
        </w:sdtContent>
      </w:sdt>
      <w:sdt>
        <w:sdtPr>
          <w:rPr>
            <w:rFonts w:ascii="Arial" w:hAnsi="Arial" w:cs="Arial"/>
            <w:sz w:val="22"/>
          </w:rPr>
          <w:id w:val="-1298595101"/>
          <w:citation/>
        </w:sdtPr>
        <w:sdtEndPr/>
        <w:sdtContent>
          <w:r w:rsidR="001E377B">
            <w:rPr>
              <w:rFonts w:ascii="Arial" w:hAnsi="Arial" w:cs="Arial"/>
              <w:sz w:val="22"/>
            </w:rPr>
            <w:fldChar w:fldCharType="begin"/>
          </w:r>
          <w:r w:rsidR="009155AF">
            <w:rPr>
              <w:rFonts w:ascii="Arial" w:hAnsi="Arial" w:cs="Arial"/>
              <w:sz w:val="22"/>
              <w:lang w:val="en-US"/>
            </w:rPr>
            <w:instrText xml:space="preserve">CITATION Wor21 \l 1033 </w:instrText>
          </w:r>
          <w:r w:rsidR="001E377B">
            <w:rPr>
              <w:rFonts w:ascii="Arial" w:hAnsi="Arial" w:cs="Arial"/>
              <w:sz w:val="22"/>
            </w:rPr>
            <w:fldChar w:fldCharType="separate"/>
          </w:r>
          <w:r w:rsidR="009155AF">
            <w:rPr>
              <w:rFonts w:ascii="Arial" w:hAnsi="Arial" w:cs="Arial"/>
              <w:noProof/>
              <w:sz w:val="22"/>
              <w:lang w:val="en-US"/>
            </w:rPr>
            <w:t xml:space="preserve"> </w:t>
          </w:r>
          <w:r w:rsidR="009155AF" w:rsidRPr="009155AF">
            <w:rPr>
              <w:rFonts w:ascii="Arial" w:hAnsi="Arial" w:cs="Arial"/>
              <w:noProof/>
              <w:sz w:val="22"/>
              <w:lang w:val="en-US"/>
            </w:rPr>
            <w:t>(World Nuclear Association, 2021)</w:t>
          </w:r>
          <w:r w:rsidR="001E377B">
            <w:rPr>
              <w:rFonts w:ascii="Arial" w:hAnsi="Arial" w:cs="Arial"/>
              <w:sz w:val="22"/>
            </w:rPr>
            <w:fldChar w:fldCharType="end"/>
          </w:r>
        </w:sdtContent>
      </w:sdt>
      <w:r w:rsidRPr="006A5C56">
        <w:rPr>
          <w:rFonts w:ascii="Arial" w:hAnsi="Arial" w:cs="Arial"/>
          <w:sz w:val="22"/>
        </w:rPr>
        <w:t xml:space="preserve"> </w:t>
      </w:r>
      <w:sdt>
        <w:sdtPr>
          <w:rPr>
            <w:rFonts w:ascii="Arial" w:hAnsi="Arial" w:cs="Arial"/>
            <w:sz w:val="22"/>
          </w:rPr>
          <w:id w:val="-53853328"/>
          <w:citation/>
        </w:sdtPr>
        <w:sdtEndPr/>
        <w:sdtContent>
          <w:r w:rsidR="00823487">
            <w:rPr>
              <w:rFonts w:ascii="Arial" w:hAnsi="Arial" w:cs="Arial"/>
              <w:sz w:val="22"/>
            </w:rPr>
            <w:fldChar w:fldCharType="begin"/>
          </w:r>
          <w:r w:rsidR="005B0ACE">
            <w:rPr>
              <w:rFonts w:ascii="Arial" w:hAnsi="Arial" w:cs="Arial"/>
              <w:sz w:val="22"/>
              <w:lang w:val="en-US"/>
            </w:rPr>
            <w:instrText xml:space="preserve">CITATION Uni01 \l 1033 </w:instrText>
          </w:r>
          <w:r w:rsidR="00823487">
            <w:rPr>
              <w:rFonts w:ascii="Arial" w:hAnsi="Arial" w:cs="Arial"/>
              <w:sz w:val="22"/>
            </w:rPr>
            <w:fldChar w:fldCharType="separate"/>
          </w:r>
          <w:r w:rsidR="005B0ACE" w:rsidRPr="005B0ACE">
            <w:rPr>
              <w:rFonts w:ascii="Arial" w:hAnsi="Arial" w:cs="Arial"/>
              <w:noProof/>
              <w:sz w:val="22"/>
              <w:lang w:val="en-US"/>
            </w:rPr>
            <w:t>(United Nations Environment Programme, 2013)</w:t>
          </w:r>
          <w:r w:rsidR="00823487">
            <w:rPr>
              <w:rFonts w:ascii="Arial" w:hAnsi="Arial" w:cs="Arial"/>
              <w:sz w:val="22"/>
            </w:rPr>
            <w:fldChar w:fldCharType="end"/>
          </w:r>
        </w:sdtContent>
      </w:sdt>
    </w:p>
    <w:p w14:paraId="020C8B9B" w14:textId="77777777" w:rsidR="00DA54D2" w:rsidRDefault="003413C2" w:rsidP="00D27DE6">
      <w:pPr>
        <w:spacing w:line="360" w:lineRule="auto"/>
        <w:jc w:val="both"/>
        <w:rPr>
          <w:rFonts w:ascii="Arial" w:hAnsi="Arial" w:cs="Arial"/>
          <w:sz w:val="22"/>
        </w:rPr>
      </w:pPr>
      <w:r>
        <w:rPr>
          <w:rFonts w:ascii="Arial" w:hAnsi="Arial" w:cs="Arial"/>
          <w:sz w:val="22"/>
        </w:rPr>
        <w:t>The UK Government is about to approve funding for a small reactor modular reactor (SMR) or also known as a mini nuclear reactor</w:t>
      </w:r>
      <w:r w:rsidR="00533F96">
        <w:rPr>
          <w:rFonts w:ascii="Arial" w:hAnsi="Arial" w:cs="Arial"/>
          <w:sz w:val="22"/>
        </w:rPr>
        <w:t xml:space="preserve">, the project was being managed under the name UK SMR but will soon change to Rolls Royce SMR. These SMRs are supposed to be easy to build and install compared to regular nuclear power plants but will have a capacity of 470 megawatts which on average is enough power for 1.3 million homes based on average UK household power usage. </w:t>
      </w:r>
    </w:p>
    <w:p w14:paraId="3DFCD041" w14:textId="47A83936" w:rsidR="003413C2" w:rsidRPr="006A5C56" w:rsidRDefault="00DA54D2" w:rsidP="00D27DE6">
      <w:pPr>
        <w:spacing w:line="360" w:lineRule="auto"/>
        <w:jc w:val="both"/>
        <w:rPr>
          <w:rFonts w:ascii="Arial" w:hAnsi="Arial" w:cs="Arial"/>
          <w:sz w:val="22"/>
        </w:rPr>
      </w:pPr>
      <w:r>
        <w:rPr>
          <w:rFonts w:ascii="Arial" w:hAnsi="Arial" w:cs="Arial"/>
          <w:sz w:val="22"/>
        </w:rPr>
        <w:t>Rolls Royce have stated “</w:t>
      </w:r>
      <w:r w:rsidRPr="00DA54D2">
        <w:rPr>
          <w:rFonts w:ascii="Arial" w:hAnsi="Arial" w:cs="Arial"/>
          <w:sz w:val="22"/>
        </w:rPr>
        <w:t xml:space="preserve">A single Rolls-Royce SMR power station will occupy the footprint of two football pitches and power approximately one million homes. It can support both on-grid electricity and a range of off-grid clean energy solutions, enabling the decarbonisation of industrial processes and the production of clean fuels, such as sustainable aviation fuels (SAF) </w:t>
      </w:r>
      <w:r w:rsidRPr="00DA54D2">
        <w:rPr>
          <w:rFonts w:ascii="Arial" w:hAnsi="Arial" w:cs="Arial"/>
          <w:sz w:val="22"/>
        </w:rPr>
        <w:lastRenderedPageBreak/>
        <w:t>and green hydrogen, to support the energy transition in the wider heat and transportation sectors.</w:t>
      </w:r>
      <w:r>
        <w:rPr>
          <w:rFonts w:ascii="Arial" w:hAnsi="Arial" w:cs="Arial"/>
          <w:sz w:val="22"/>
        </w:rPr>
        <w:t xml:space="preserve">” </w:t>
      </w:r>
      <w:sdt>
        <w:sdtPr>
          <w:rPr>
            <w:rFonts w:ascii="Arial" w:hAnsi="Arial" w:cs="Arial"/>
            <w:sz w:val="22"/>
          </w:rPr>
          <w:id w:val="1289171050"/>
          <w:citation/>
        </w:sdtPr>
        <w:sdtContent>
          <w:r>
            <w:rPr>
              <w:rFonts w:ascii="Arial" w:hAnsi="Arial" w:cs="Arial"/>
              <w:sz w:val="22"/>
            </w:rPr>
            <w:fldChar w:fldCharType="begin"/>
          </w:r>
          <w:r>
            <w:rPr>
              <w:rFonts w:ascii="Arial" w:hAnsi="Arial" w:cs="Arial"/>
              <w:sz w:val="22"/>
              <w:lang w:val="en-US"/>
            </w:rPr>
            <w:instrText xml:space="preserve"> CITATION Rol21 \l 1033 </w:instrText>
          </w:r>
          <w:r>
            <w:rPr>
              <w:rFonts w:ascii="Arial" w:hAnsi="Arial" w:cs="Arial"/>
              <w:sz w:val="22"/>
            </w:rPr>
            <w:fldChar w:fldCharType="separate"/>
          </w:r>
          <w:r w:rsidRPr="00DA54D2">
            <w:rPr>
              <w:rFonts w:ascii="Arial" w:hAnsi="Arial" w:cs="Arial"/>
              <w:noProof/>
              <w:sz w:val="22"/>
              <w:lang w:val="en-US"/>
            </w:rPr>
            <w:t>(Rolls Royce, 2021)</w:t>
          </w:r>
          <w:r>
            <w:rPr>
              <w:rFonts w:ascii="Arial" w:hAnsi="Arial" w:cs="Arial"/>
              <w:sz w:val="22"/>
            </w:rPr>
            <w:fldChar w:fldCharType="end"/>
          </w:r>
        </w:sdtContent>
      </w:sdt>
    </w:p>
    <w:p w14:paraId="3AC5F790" w14:textId="57B71F09" w:rsidR="003413C2" w:rsidRPr="006A5C56" w:rsidRDefault="00783B41" w:rsidP="00D27DE6">
      <w:pPr>
        <w:spacing w:line="360" w:lineRule="auto"/>
        <w:jc w:val="both"/>
        <w:rPr>
          <w:rFonts w:ascii="Arial" w:hAnsi="Arial" w:cs="Arial"/>
          <w:sz w:val="22"/>
        </w:rPr>
      </w:pPr>
      <w:r w:rsidRPr="006A5C56">
        <w:rPr>
          <w:rFonts w:ascii="Arial" w:hAnsi="Arial" w:cs="Arial"/>
          <w:sz w:val="22"/>
        </w:rPr>
        <w:t>Nuclear energy is considered as a sustainable energy source that reduces greenhouse gas emissions and produces far less wastes than conventional energy. On the other hand, nuclear fuel and wastes are highly radioactive, posing many threats to public health and the environment. Safety is another big concern, since most of nuclear power plants are in densely populated areas. Nuclear accidents are catastrophic on a global scale, which has caused public fear of nuclear power.</w:t>
      </w:r>
      <w:sdt>
        <w:sdtPr>
          <w:rPr>
            <w:rFonts w:ascii="Arial" w:hAnsi="Arial" w:cs="Arial"/>
            <w:sz w:val="22"/>
          </w:rPr>
          <w:id w:val="-733776626"/>
          <w:citation/>
        </w:sdtPr>
        <w:sdtEndPr/>
        <w:sdtContent>
          <w:r w:rsidR="00CD0849">
            <w:rPr>
              <w:rFonts w:ascii="Arial" w:hAnsi="Arial" w:cs="Arial"/>
              <w:sz w:val="22"/>
            </w:rPr>
            <w:fldChar w:fldCharType="begin"/>
          </w:r>
          <w:r w:rsidR="00CD0849">
            <w:rPr>
              <w:rFonts w:ascii="Arial" w:hAnsi="Arial" w:cs="Arial"/>
              <w:sz w:val="22"/>
              <w:lang w:val="en-US"/>
            </w:rPr>
            <w:instrText xml:space="preserve"> CITATION Xia11 \l 1033 </w:instrText>
          </w:r>
          <w:r w:rsidR="00CD0849">
            <w:rPr>
              <w:rFonts w:ascii="Arial" w:hAnsi="Arial" w:cs="Arial"/>
              <w:sz w:val="22"/>
            </w:rPr>
            <w:fldChar w:fldCharType="separate"/>
          </w:r>
          <w:r w:rsidR="00CD0849">
            <w:rPr>
              <w:rFonts w:ascii="Arial" w:hAnsi="Arial" w:cs="Arial"/>
              <w:noProof/>
              <w:sz w:val="22"/>
              <w:lang w:val="en-US"/>
            </w:rPr>
            <w:t xml:space="preserve"> </w:t>
          </w:r>
          <w:r w:rsidR="00CD0849" w:rsidRPr="00CD0849">
            <w:rPr>
              <w:rFonts w:ascii="Arial" w:hAnsi="Arial" w:cs="Arial"/>
              <w:noProof/>
              <w:sz w:val="22"/>
              <w:lang w:val="en-US"/>
            </w:rPr>
            <w:t>(Xiang &amp; Zhu, 2011)</w:t>
          </w:r>
          <w:r w:rsidR="00CD0849">
            <w:rPr>
              <w:rFonts w:ascii="Arial" w:hAnsi="Arial" w:cs="Arial"/>
              <w:sz w:val="22"/>
            </w:rPr>
            <w:fldChar w:fldCharType="end"/>
          </w:r>
        </w:sdtContent>
      </w:sdt>
    </w:p>
    <w:p w14:paraId="2AC4B367" w14:textId="089155EE" w:rsidR="00AC00E8" w:rsidRDefault="00783B41" w:rsidP="00D27DE6">
      <w:pPr>
        <w:spacing w:line="360" w:lineRule="auto"/>
        <w:jc w:val="both"/>
        <w:rPr>
          <w:rFonts w:ascii="Arial" w:hAnsi="Arial" w:cs="Arial"/>
          <w:sz w:val="22"/>
        </w:rPr>
      </w:pPr>
      <w:r w:rsidRPr="006A5C56">
        <w:rPr>
          <w:rFonts w:ascii="Arial" w:hAnsi="Arial" w:cs="Arial"/>
          <w:sz w:val="22"/>
        </w:rPr>
        <w:t xml:space="preserve">There are </w:t>
      </w:r>
      <w:r w:rsidR="003413C2">
        <w:rPr>
          <w:rFonts w:ascii="Arial" w:hAnsi="Arial" w:cs="Arial"/>
          <w:sz w:val="22"/>
        </w:rPr>
        <w:t xml:space="preserve">other </w:t>
      </w:r>
      <w:r w:rsidRPr="006A5C56">
        <w:rPr>
          <w:rFonts w:ascii="Arial" w:hAnsi="Arial" w:cs="Arial"/>
          <w:sz w:val="22"/>
        </w:rPr>
        <w:t xml:space="preserve">power generation methods such as wind turbine farms. These farms take up considerably less space and land compared to its fossil fuel alternatives however do still come with their own ethical issues. While many people find the sight of turbines to be “pleasant and optimistic” because it “symbolizes energy independence and local prosperity,” others argue that the tall, large turbines ruin the landscape and emit noise that interferes with their everyday life. </w:t>
      </w:r>
      <w:sdt>
        <w:sdtPr>
          <w:rPr>
            <w:rFonts w:ascii="Arial" w:hAnsi="Arial" w:cs="Arial"/>
            <w:sz w:val="22"/>
          </w:rPr>
          <w:id w:val="1735426843"/>
          <w:citation/>
        </w:sdtPr>
        <w:sdtEndPr/>
        <w:sdtContent>
          <w:r w:rsidR="00B91F27">
            <w:rPr>
              <w:rFonts w:ascii="Arial" w:hAnsi="Arial" w:cs="Arial"/>
              <w:sz w:val="22"/>
            </w:rPr>
            <w:fldChar w:fldCharType="begin"/>
          </w:r>
          <w:r w:rsidR="00B91F27">
            <w:rPr>
              <w:rFonts w:ascii="Arial" w:hAnsi="Arial" w:cs="Arial"/>
              <w:sz w:val="22"/>
              <w:lang w:val="en-US"/>
            </w:rPr>
            <w:instrText xml:space="preserve"> CITATION Lop12 \l 1033 </w:instrText>
          </w:r>
          <w:r w:rsidR="00B91F27">
            <w:rPr>
              <w:rFonts w:ascii="Arial" w:hAnsi="Arial" w:cs="Arial"/>
              <w:sz w:val="22"/>
            </w:rPr>
            <w:fldChar w:fldCharType="separate"/>
          </w:r>
          <w:r w:rsidR="00B91F27" w:rsidRPr="00B91F27">
            <w:rPr>
              <w:rFonts w:ascii="Arial" w:hAnsi="Arial" w:cs="Arial"/>
              <w:noProof/>
              <w:sz w:val="22"/>
              <w:lang w:val="en-US"/>
            </w:rPr>
            <w:t>(Lopazanski, 2012)</w:t>
          </w:r>
          <w:r w:rsidR="00B91F27">
            <w:rPr>
              <w:rFonts w:ascii="Arial" w:hAnsi="Arial" w:cs="Arial"/>
              <w:sz w:val="22"/>
            </w:rPr>
            <w:fldChar w:fldCharType="end"/>
          </w:r>
        </w:sdtContent>
      </w:sdt>
    </w:p>
    <w:p w14:paraId="4A9A4E26" w14:textId="0EF18AB4" w:rsidR="001C3B5C" w:rsidRDefault="001C3B5C" w:rsidP="00D27DE6">
      <w:pPr>
        <w:spacing w:line="360" w:lineRule="auto"/>
        <w:jc w:val="both"/>
        <w:rPr>
          <w:rFonts w:ascii="Arial" w:hAnsi="Arial" w:cs="Arial"/>
          <w:sz w:val="22"/>
        </w:rPr>
      </w:pPr>
      <w:r>
        <w:rPr>
          <w:rFonts w:ascii="Arial" w:hAnsi="Arial" w:cs="Arial"/>
          <w:sz w:val="22"/>
        </w:rPr>
        <w:t xml:space="preserve">Additional ethical issues can be related lithium mining, </w:t>
      </w:r>
      <w:proofErr w:type="gramStart"/>
      <w:r>
        <w:rPr>
          <w:rFonts w:ascii="Arial" w:hAnsi="Arial" w:cs="Arial"/>
          <w:sz w:val="22"/>
        </w:rPr>
        <w:t>continuing on</w:t>
      </w:r>
      <w:proofErr w:type="gramEnd"/>
      <w:r>
        <w:rPr>
          <w:rFonts w:ascii="Arial" w:hAnsi="Arial" w:cs="Arial"/>
          <w:sz w:val="22"/>
        </w:rPr>
        <w:t xml:space="preserve"> from section 3.2, as well as the lithium sources being limited, the methods used to extract the material is a highly debated issue. Lithium can be mined in various methods however</w:t>
      </w:r>
      <w:r w:rsidR="00DD0B1E">
        <w:rPr>
          <w:rFonts w:ascii="Arial" w:hAnsi="Arial" w:cs="Arial"/>
          <w:sz w:val="22"/>
        </w:rPr>
        <w:t>,</w:t>
      </w:r>
      <w:r>
        <w:rPr>
          <w:rFonts w:ascii="Arial" w:hAnsi="Arial" w:cs="Arial"/>
          <w:sz w:val="22"/>
        </w:rPr>
        <w:t xml:space="preserve"> in Bolivia </w:t>
      </w:r>
      <w:r w:rsidR="00DD0B1E">
        <w:rPr>
          <w:rFonts w:ascii="Arial" w:hAnsi="Arial" w:cs="Arial"/>
          <w:sz w:val="22"/>
        </w:rPr>
        <w:t xml:space="preserve">and Australia </w:t>
      </w:r>
      <w:r>
        <w:rPr>
          <w:rFonts w:ascii="Arial" w:hAnsi="Arial" w:cs="Arial"/>
          <w:sz w:val="22"/>
        </w:rPr>
        <w:t>is acid leaching</w:t>
      </w:r>
      <w:r w:rsidR="00DD0B1E">
        <w:rPr>
          <w:rFonts w:ascii="Arial" w:hAnsi="Arial" w:cs="Arial"/>
          <w:sz w:val="22"/>
        </w:rPr>
        <w:t>, this is from leaching spodumene ores that produce a lithium sulfate solution, to be converted to the useful lithium carbonate, electrochemical processes are introduced. Pumping the ground with substances will always be an ethical issue due to land degradation and the destruction to local habitants.</w:t>
      </w:r>
    </w:p>
    <w:p w14:paraId="325F8E51" w14:textId="1C50AD5B" w:rsidR="007802E0" w:rsidRPr="006A5C56" w:rsidRDefault="00382BCA" w:rsidP="00D27DE6">
      <w:pPr>
        <w:pStyle w:val="Heading2"/>
        <w:spacing w:line="360" w:lineRule="auto"/>
      </w:pPr>
      <w:bookmarkStart w:id="11" w:name="_Toc87453627"/>
      <w:r w:rsidRPr="006A5C56">
        <w:t>3.5 - Practicalities of using such technologies for my area</w:t>
      </w:r>
      <w:bookmarkEnd w:id="11"/>
    </w:p>
    <w:p w14:paraId="61718CD0" w14:textId="77777777" w:rsidR="00333ACE" w:rsidRPr="006A5C56" w:rsidRDefault="00333ACE" w:rsidP="00D27DE6">
      <w:pPr>
        <w:spacing w:line="360" w:lineRule="auto"/>
        <w:jc w:val="both"/>
        <w:rPr>
          <w:rFonts w:ascii="Arial" w:hAnsi="Arial" w:cs="Arial"/>
          <w:sz w:val="22"/>
        </w:rPr>
      </w:pPr>
      <w:r w:rsidRPr="006A5C56">
        <w:rPr>
          <w:rFonts w:ascii="Arial" w:hAnsi="Arial" w:cs="Arial"/>
          <w:sz w:val="22"/>
        </w:rPr>
        <w:t xml:space="preserve">There are companies like EDF Energy that have V2G Package(s) which allow businesses to get up and running on the smart charging technology with not many requirements. Operators like EDF requires a half hourly metered supply, three phase connection and a V2G compatible EV like the Nissan Leaf which is a 5-door compact car or a Nissan e-NV200 which a small compact courier van. In return, EDF provides: </w:t>
      </w:r>
    </w:p>
    <w:p w14:paraId="5C33FBD0" w14:textId="77777777" w:rsidR="00333ACE" w:rsidRPr="006A5C56" w:rsidRDefault="00333ACE" w:rsidP="00D27DE6">
      <w:pPr>
        <w:spacing w:line="360" w:lineRule="auto"/>
        <w:jc w:val="both"/>
        <w:rPr>
          <w:rFonts w:ascii="Arial" w:hAnsi="Arial" w:cs="Arial"/>
          <w:sz w:val="22"/>
        </w:rPr>
      </w:pPr>
      <w:r w:rsidRPr="006A5C56">
        <w:rPr>
          <w:rFonts w:ascii="Arial" w:hAnsi="Arial" w:cs="Arial"/>
          <w:sz w:val="22"/>
        </w:rPr>
        <w:t>•</w:t>
      </w:r>
      <w:r w:rsidRPr="006A5C56">
        <w:rPr>
          <w:rFonts w:ascii="Arial" w:hAnsi="Arial" w:cs="Arial"/>
          <w:sz w:val="22"/>
        </w:rPr>
        <w:tab/>
        <w:t>Vehicle to grid charger</w:t>
      </w:r>
    </w:p>
    <w:p w14:paraId="51504077" w14:textId="77777777" w:rsidR="00333ACE" w:rsidRPr="006A5C56" w:rsidRDefault="00333ACE" w:rsidP="00D27DE6">
      <w:pPr>
        <w:spacing w:line="360" w:lineRule="auto"/>
        <w:jc w:val="both"/>
        <w:rPr>
          <w:rFonts w:ascii="Arial" w:hAnsi="Arial" w:cs="Arial"/>
          <w:sz w:val="22"/>
        </w:rPr>
      </w:pPr>
      <w:r w:rsidRPr="006A5C56">
        <w:rPr>
          <w:rFonts w:ascii="Arial" w:hAnsi="Arial" w:cs="Arial"/>
          <w:sz w:val="22"/>
        </w:rPr>
        <w:t>•</w:t>
      </w:r>
      <w:r w:rsidRPr="006A5C56">
        <w:rPr>
          <w:rFonts w:ascii="Arial" w:hAnsi="Arial" w:cs="Arial"/>
          <w:sz w:val="22"/>
        </w:rPr>
        <w:tab/>
        <w:t>Full installation</w:t>
      </w:r>
    </w:p>
    <w:p w14:paraId="0EC5F046" w14:textId="77777777" w:rsidR="00333ACE" w:rsidRPr="006A5C56" w:rsidRDefault="00333ACE" w:rsidP="00D27DE6">
      <w:pPr>
        <w:spacing w:line="360" w:lineRule="auto"/>
        <w:jc w:val="both"/>
        <w:rPr>
          <w:rFonts w:ascii="Arial" w:hAnsi="Arial" w:cs="Arial"/>
          <w:sz w:val="22"/>
        </w:rPr>
      </w:pPr>
      <w:r w:rsidRPr="006A5C56">
        <w:rPr>
          <w:rFonts w:ascii="Arial" w:hAnsi="Arial" w:cs="Arial"/>
          <w:sz w:val="22"/>
        </w:rPr>
        <w:t>•</w:t>
      </w:r>
      <w:r w:rsidRPr="006A5C56">
        <w:rPr>
          <w:rFonts w:ascii="Arial" w:hAnsi="Arial" w:cs="Arial"/>
          <w:sz w:val="22"/>
        </w:rPr>
        <w:tab/>
        <w:t>Ongoing support and maintenance</w:t>
      </w:r>
    </w:p>
    <w:p w14:paraId="5A9F5524" w14:textId="77777777" w:rsidR="00333ACE" w:rsidRPr="006A5C56" w:rsidRDefault="00333ACE" w:rsidP="00D27DE6">
      <w:pPr>
        <w:spacing w:line="360" w:lineRule="auto"/>
        <w:jc w:val="both"/>
        <w:rPr>
          <w:rFonts w:ascii="Arial" w:hAnsi="Arial" w:cs="Arial"/>
          <w:sz w:val="22"/>
        </w:rPr>
      </w:pPr>
      <w:r w:rsidRPr="006A5C56">
        <w:rPr>
          <w:rFonts w:ascii="Arial" w:hAnsi="Arial" w:cs="Arial"/>
          <w:sz w:val="22"/>
        </w:rPr>
        <w:t>•</w:t>
      </w:r>
      <w:r w:rsidRPr="006A5C56">
        <w:rPr>
          <w:rFonts w:ascii="Arial" w:hAnsi="Arial" w:cs="Arial"/>
          <w:sz w:val="22"/>
        </w:rPr>
        <w:tab/>
        <w:t>Asset management &amp; reporting portal</w:t>
      </w:r>
    </w:p>
    <w:p w14:paraId="2D922A42" w14:textId="77777777" w:rsidR="00333ACE" w:rsidRPr="006A5C56" w:rsidRDefault="00333ACE" w:rsidP="00D27DE6">
      <w:pPr>
        <w:spacing w:line="360" w:lineRule="auto"/>
        <w:jc w:val="both"/>
        <w:rPr>
          <w:rFonts w:ascii="Arial" w:hAnsi="Arial" w:cs="Arial"/>
          <w:sz w:val="22"/>
        </w:rPr>
      </w:pPr>
      <w:r w:rsidRPr="006A5C56">
        <w:rPr>
          <w:rFonts w:ascii="Arial" w:hAnsi="Arial" w:cs="Arial"/>
          <w:sz w:val="22"/>
        </w:rPr>
        <w:t>•</w:t>
      </w:r>
      <w:r w:rsidRPr="006A5C56">
        <w:rPr>
          <w:rFonts w:ascii="Arial" w:hAnsi="Arial" w:cs="Arial"/>
          <w:sz w:val="22"/>
        </w:rPr>
        <w:tab/>
        <w:t>Vehicle to grid monthly savings</w:t>
      </w:r>
    </w:p>
    <w:p w14:paraId="5B6BFA32" w14:textId="77777777" w:rsidR="00333ACE" w:rsidRPr="006A5C56" w:rsidRDefault="00333ACE" w:rsidP="00D27DE6">
      <w:pPr>
        <w:spacing w:line="360" w:lineRule="auto"/>
        <w:jc w:val="both"/>
        <w:rPr>
          <w:rFonts w:ascii="Arial" w:hAnsi="Arial" w:cs="Arial"/>
          <w:sz w:val="22"/>
        </w:rPr>
      </w:pPr>
      <w:r w:rsidRPr="006A5C56">
        <w:rPr>
          <w:rFonts w:ascii="Arial" w:hAnsi="Arial" w:cs="Arial"/>
          <w:sz w:val="22"/>
        </w:rPr>
        <w:lastRenderedPageBreak/>
        <w:t>•</w:t>
      </w:r>
      <w:r w:rsidRPr="006A5C56">
        <w:rPr>
          <w:rFonts w:ascii="Arial" w:hAnsi="Arial" w:cs="Arial"/>
          <w:sz w:val="22"/>
        </w:rPr>
        <w:tab/>
        <w:t>Vehicle to grid compatible car leasing and purchase through our partners</w:t>
      </w:r>
    </w:p>
    <w:p w14:paraId="0D063722" w14:textId="627D5826" w:rsidR="00783B41" w:rsidRPr="006A5C56" w:rsidRDefault="00333ACE" w:rsidP="00D27DE6">
      <w:pPr>
        <w:spacing w:line="360" w:lineRule="auto"/>
        <w:jc w:val="both"/>
        <w:rPr>
          <w:rFonts w:ascii="Arial" w:hAnsi="Arial" w:cs="Arial"/>
          <w:sz w:val="22"/>
        </w:rPr>
      </w:pPr>
      <w:r w:rsidRPr="006A5C56">
        <w:rPr>
          <w:rFonts w:ascii="Arial" w:hAnsi="Arial" w:cs="Arial"/>
          <w:sz w:val="22"/>
        </w:rPr>
        <w:t>DPD has been using the Nissan e-NV200 successfully for deliveries over the last 18 months. Feedback from their drivers so far has been extremely positive, and the company has developed its own in-house training to help drivers adapt to electric vehicles, as part of a comprehensive vehicle handover programme</w:t>
      </w:r>
      <w:r w:rsidR="00006596">
        <w:rPr>
          <w:rFonts w:ascii="Arial" w:hAnsi="Arial" w:cs="Arial"/>
          <w:sz w:val="22"/>
        </w:rPr>
        <w:t xml:space="preserve">. </w:t>
      </w:r>
      <w:sdt>
        <w:sdtPr>
          <w:rPr>
            <w:rFonts w:ascii="Arial" w:hAnsi="Arial" w:cs="Arial"/>
            <w:sz w:val="22"/>
          </w:rPr>
          <w:id w:val="-698465157"/>
          <w:citation/>
        </w:sdtPr>
        <w:sdtEndPr/>
        <w:sdtContent>
          <w:r w:rsidR="00006596">
            <w:rPr>
              <w:rFonts w:ascii="Arial" w:hAnsi="Arial" w:cs="Arial"/>
              <w:sz w:val="22"/>
            </w:rPr>
            <w:fldChar w:fldCharType="begin"/>
          </w:r>
          <w:r w:rsidR="00006596">
            <w:rPr>
              <w:rFonts w:ascii="Arial" w:hAnsi="Arial" w:cs="Arial"/>
              <w:sz w:val="22"/>
              <w:lang w:val="en-US"/>
            </w:rPr>
            <w:instrText xml:space="preserve"> CITATION EDF21 \l 1033 </w:instrText>
          </w:r>
          <w:r w:rsidR="00006596">
            <w:rPr>
              <w:rFonts w:ascii="Arial" w:hAnsi="Arial" w:cs="Arial"/>
              <w:sz w:val="22"/>
            </w:rPr>
            <w:fldChar w:fldCharType="separate"/>
          </w:r>
          <w:r w:rsidR="00006596" w:rsidRPr="00006596">
            <w:rPr>
              <w:rFonts w:ascii="Arial" w:hAnsi="Arial" w:cs="Arial"/>
              <w:noProof/>
              <w:sz w:val="22"/>
              <w:lang w:val="en-US"/>
            </w:rPr>
            <w:t>(EDF Energy, 2021)</w:t>
          </w:r>
          <w:r w:rsidR="00006596">
            <w:rPr>
              <w:rFonts w:ascii="Arial" w:hAnsi="Arial" w:cs="Arial"/>
              <w:sz w:val="22"/>
            </w:rPr>
            <w:fldChar w:fldCharType="end"/>
          </w:r>
        </w:sdtContent>
      </w:sdt>
    </w:p>
    <w:p w14:paraId="48FA68E7" w14:textId="77777777" w:rsidR="00333ACE" w:rsidRPr="006A5C56" w:rsidRDefault="00333ACE" w:rsidP="00D27DE6">
      <w:pPr>
        <w:spacing w:line="360" w:lineRule="auto"/>
        <w:jc w:val="both"/>
        <w:rPr>
          <w:rFonts w:ascii="Arial" w:hAnsi="Arial" w:cs="Arial"/>
          <w:sz w:val="22"/>
        </w:rPr>
      </w:pPr>
      <w:r w:rsidRPr="006A5C56">
        <w:rPr>
          <w:rFonts w:ascii="Arial" w:hAnsi="Arial" w:cs="Arial"/>
          <w:sz w:val="22"/>
        </w:rPr>
        <w:t>The Nissan e-NV200 can cover a WLTP-approved 124-187 miles on one charge and can be rapid charged to 80% in around 60 minutes, or to full in less than eight hours with a wall box.</w:t>
      </w:r>
    </w:p>
    <w:p w14:paraId="040A9FB6" w14:textId="77777777" w:rsidR="00965CBD" w:rsidRDefault="00333ACE" w:rsidP="00D27DE6">
      <w:pPr>
        <w:spacing w:line="360" w:lineRule="auto"/>
        <w:jc w:val="both"/>
        <w:rPr>
          <w:rFonts w:ascii="Arial" w:hAnsi="Arial" w:cs="Arial"/>
          <w:sz w:val="22"/>
        </w:rPr>
      </w:pPr>
      <w:r w:rsidRPr="006A5C56">
        <w:rPr>
          <w:rFonts w:ascii="Arial" w:hAnsi="Arial" w:cs="Arial"/>
          <w:sz w:val="22"/>
        </w:rPr>
        <w:t xml:space="preserve">As the courier service only delivers during office hours, throughout the night whilst the van is idle, leftover charge can be distributed back into the grid but also getting a full charge ready for the next working day. V2G works very well in this scenario as the vehicles won’t be needed unexpectedly or at random due to all vehicles having plans and timetables for when in use, in place. </w:t>
      </w:r>
      <w:sdt>
        <w:sdtPr>
          <w:rPr>
            <w:rFonts w:ascii="Arial" w:hAnsi="Arial" w:cs="Arial"/>
            <w:sz w:val="22"/>
          </w:rPr>
          <w:id w:val="559762140"/>
          <w:citation/>
        </w:sdtPr>
        <w:sdtEndPr/>
        <w:sdtContent>
          <w:r w:rsidR="00377227">
            <w:rPr>
              <w:rFonts w:ascii="Arial" w:hAnsi="Arial" w:cs="Arial"/>
              <w:sz w:val="22"/>
            </w:rPr>
            <w:fldChar w:fldCharType="begin"/>
          </w:r>
          <w:r w:rsidR="00377227">
            <w:rPr>
              <w:rFonts w:ascii="Arial" w:hAnsi="Arial" w:cs="Arial"/>
              <w:sz w:val="22"/>
              <w:lang w:val="en-US"/>
            </w:rPr>
            <w:instrText xml:space="preserve">CITATION EDF21 \l 1033 </w:instrText>
          </w:r>
          <w:r w:rsidR="00377227">
            <w:rPr>
              <w:rFonts w:ascii="Arial" w:hAnsi="Arial" w:cs="Arial"/>
              <w:sz w:val="22"/>
            </w:rPr>
            <w:fldChar w:fldCharType="separate"/>
          </w:r>
          <w:r w:rsidR="00377227" w:rsidRPr="00377227">
            <w:rPr>
              <w:rFonts w:ascii="Arial" w:hAnsi="Arial" w:cs="Arial"/>
              <w:noProof/>
              <w:sz w:val="22"/>
              <w:lang w:val="en-US"/>
            </w:rPr>
            <w:t>(EDF Energy, 2021)</w:t>
          </w:r>
          <w:r w:rsidR="00377227">
            <w:rPr>
              <w:rFonts w:ascii="Arial" w:hAnsi="Arial" w:cs="Arial"/>
              <w:sz w:val="22"/>
            </w:rPr>
            <w:fldChar w:fldCharType="end"/>
          </w:r>
        </w:sdtContent>
      </w:sdt>
    </w:p>
    <w:p w14:paraId="13932427" w14:textId="2A792198" w:rsidR="00333ACE" w:rsidRPr="006A5C56" w:rsidRDefault="0005711D" w:rsidP="00D27DE6">
      <w:pPr>
        <w:spacing w:line="360" w:lineRule="auto"/>
        <w:jc w:val="both"/>
        <w:rPr>
          <w:rFonts w:ascii="Arial" w:hAnsi="Arial" w:cs="Arial"/>
          <w:sz w:val="22"/>
        </w:rPr>
      </w:pPr>
      <w:r>
        <w:rPr>
          <w:noProof/>
        </w:rPr>
        <mc:AlternateContent>
          <mc:Choice Requires="wps">
            <w:drawing>
              <wp:anchor distT="0" distB="0" distL="114300" distR="114300" simplePos="0" relativeHeight="251709952" behindDoc="0" locked="0" layoutInCell="1" allowOverlap="1" wp14:anchorId="7D2E3D0E" wp14:editId="465AF02E">
                <wp:simplePos x="0" y="0"/>
                <wp:positionH relativeFrom="column">
                  <wp:posOffset>65405</wp:posOffset>
                </wp:positionH>
                <wp:positionV relativeFrom="paragraph">
                  <wp:posOffset>5333365</wp:posOffset>
                </wp:positionV>
                <wp:extent cx="559435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5594350" cy="635"/>
                        </a:xfrm>
                        <a:prstGeom prst="rect">
                          <a:avLst/>
                        </a:prstGeom>
                        <a:solidFill>
                          <a:prstClr val="white"/>
                        </a:solidFill>
                        <a:ln>
                          <a:noFill/>
                        </a:ln>
                      </wps:spPr>
                      <wps:txbx>
                        <w:txbxContent>
                          <w:p w14:paraId="29F8F0EE" w14:textId="7EFDA571" w:rsidR="0005711D" w:rsidRPr="00795A88" w:rsidRDefault="0005711D" w:rsidP="0005711D">
                            <w:pPr>
                              <w:pStyle w:val="Caption"/>
                              <w:jc w:val="center"/>
                              <w:rPr>
                                <w:rFonts w:ascii="Arial" w:hAnsi="Arial" w:cs="Arial"/>
                                <w:noProof/>
                              </w:rPr>
                            </w:pPr>
                            <w:bookmarkStart w:id="12" w:name="_Toc87453101"/>
                            <w:r>
                              <w:t xml:space="preserve">Figure </w:t>
                            </w:r>
                            <w:r w:rsidR="00DF4A82">
                              <w:fldChar w:fldCharType="begin"/>
                            </w:r>
                            <w:r w:rsidR="00DF4A82">
                              <w:instrText xml:space="preserve"> SEQ Figure \* ARABIC </w:instrText>
                            </w:r>
                            <w:r w:rsidR="00DF4A82">
                              <w:fldChar w:fldCharType="separate"/>
                            </w:r>
                            <w:r>
                              <w:rPr>
                                <w:noProof/>
                              </w:rPr>
                              <w:t>3</w:t>
                            </w:r>
                            <w:r w:rsidR="00DF4A82">
                              <w:rPr>
                                <w:noProof/>
                              </w:rPr>
                              <w:fldChar w:fldCharType="end"/>
                            </w:r>
                            <w:r>
                              <w:t xml:space="preserve"> - </w:t>
                            </w:r>
                            <w:r w:rsidRPr="00066957">
                              <w:t>When are Electric vehicles idle? (Newmotion, 2021)</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2E3D0E" id="Text Box 11" o:spid="_x0000_s1028" type="#_x0000_t202" style="position:absolute;left:0;text-align:left;margin-left:5.15pt;margin-top:419.95pt;width:440.5pt;height:.05pt;z-index:251709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" stroked="f">
                <v:textbox style="mso-fit-shape-to-text:t" inset="0,0,0,0">
                  <w:txbxContent>
                    <w:p w14:paraId="29F8F0EE" w14:textId="7EFDA571" w:rsidR="0005711D" w:rsidRPr="00795A88" w:rsidRDefault="0005711D" w:rsidP="0005711D">
                      <w:pPr>
                        <w:pStyle w:val="Caption"/>
                        <w:jc w:val="center"/>
                        <w:rPr>
                          <w:rFonts w:ascii="Arial" w:hAnsi="Arial" w:cs="Arial"/>
                          <w:noProof/>
                        </w:rPr>
                      </w:pPr>
                      <w:bookmarkStart w:id="13" w:name="_Toc87453101"/>
                      <w:r>
                        <w:t xml:space="preserve">Figure </w:t>
                      </w:r>
                      <w:r w:rsidR="00DF4A82">
                        <w:fldChar w:fldCharType="begin"/>
                      </w:r>
                      <w:r w:rsidR="00DF4A82">
                        <w:instrText xml:space="preserve"> SEQ Figure \* ARABIC </w:instrText>
                      </w:r>
                      <w:r w:rsidR="00DF4A82">
                        <w:fldChar w:fldCharType="separate"/>
                      </w:r>
                      <w:r>
                        <w:rPr>
                          <w:noProof/>
                        </w:rPr>
                        <w:t>3</w:t>
                      </w:r>
                      <w:r w:rsidR="00DF4A82">
                        <w:rPr>
                          <w:noProof/>
                        </w:rPr>
                        <w:fldChar w:fldCharType="end"/>
                      </w:r>
                      <w:r>
                        <w:t xml:space="preserve"> - </w:t>
                      </w:r>
                      <w:r w:rsidRPr="00066957">
                        <w:t>When are Electric vehicles idle? (Newmotion, 2021)</w:t>
                      </w:r>
                      <w:bookmarkEnd w:id="13"/>
                    </w:p>
                  </w:txbxContent>
                </v:textbox>
                <w10:wrap type="square"/>
              </v:shape>
            </w:pict>
          </mc:Fallback>
        </mc:AlternateContent>
      </w:r>
      <w:r w:rsidR="00333ACE" w:rsidRPr="006A5C56">
        <w:rPr>
          <w:rFonts w:ascii="Arial" w:hAnsi="Arial" w:cs="Arial"/>
          <w:noProof/>
          <w:sz w:val="22"/>
        </w:rPr>
        <w:drawing>
          <wp:anchor distT="0" distB="0" distL="114300" distR="114300" simplePos="0" relativeHeight="251632128" behindDoc="0" locked="0" layoutInCell="1" allowOverlap="1" wp14:anchorId="2BA7AECE" wp14:editId="31EA42D1">
            <wp:simplePos x="0" y="0"/>
            <wp:positionH relativeFrom="margin">
              <wp:align>center</wp:align>
            </wp:positionH>
            <wp:positionV relativeFrom="paragraph">
              <wp:posOffset>933450</wp:posOffset>
            </wp:positionV>
            <wp:extent cx="5594350" cy="4342765"/>
            <wp:effectExtent l="0" t="0" r="6350" b="635"/>
            <wp:wrapSquare wrapText="bothSides"/>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7">
                      <a:extLst>
                        <a:ext uri="{28A0092B-C50C-407E-A947-70E740481C1C}">
                          <a14:useLocalDpi xmlns:a14="http://schemas.microsoft.com/office/drawing/2010/main" val="0"/>
                        </a:ext>
                      </a:extLst>
                    </a:blip>
                    <a:srcRect l="58247" t="37480" r="8547" b="16673"/>
                    <a:stretch/>
                  </pic:blipFill>
                  <pic:spPr bwMode="auto">
                    <a:xfrm>
                      <a:off x="0" y="0"/>
                      <a:ext cx="5594350" cy="43427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roofErr w:type="spellStart"/>
      <w:r w:rsidR="00333ACE" w:rsidRPr="006A5C56">
        <w:rPr>
          <w:rFonts w:ascii="Arial" w:hAnsi="Arial" w:cs="Arial"/>
          <w:sz w:val="22"/>
        </w:rPr>
        <w:t>Newmotion</w:t>
      </w:r>
      <w:proofErr w:type="spellEnd"/>
      <w:r w:rsidR="00333ACE" w:rsidRPr="006A5C56">
        <w:rPr>
          <w:rFonts w:ascii="Arial" w:hAnsi="Arial" w:cs="Arial"/>
          <w:sz w:val="22"/>
        </w:rPr>
        <w:t>, a member of the Shell Group, have released data showing the percentage of EV either and work or home against hours in the day and where charging said vehicles could aid with electricity consumption.</w:t>
      </w:r>
    </w:p>
    <w:p w14:paraId="0EDEA1E5" w14:textId="3C60736E" w:rsidR="00333ACE" w:rsidRPr="006A5C56" w:rsidRDefault="00333ACE" w:rsidP="00D27DE6">
      <w:pPr>
        <w:spacing w:line="360" w:lineRule="auto"/>
        <w:jc w:val="both"/>
        <w:rPr>
          <w:rFonts w:ascii="Arial" w:hAnsi="Arial" w:cs="Arial"/>
          <w:sz w:val="22"/>
        </w:rPr>
      </w:pPr>
      <w:r w:rsidRPr="006A5C56">
        <w:rPr>
          <w:rFonts w:ascii="Arial" w:hAnsi="Arial" w:cs="Arial"/>
          <w:sz w:val="22"/>
        </w:rPr>
        <w:lastRenderedPageBreak/>
        <w:t xml:space="preserve">The chart demonstrates that EV’s that are charged between 11am and 4pm will smooth the demand during these hours and allowing for grid operators increased time to adjust for the increased power consumption. </w:t>
      </w:r>
      <w:sdt>
        <w:sdtPr>
          <w:rPr>
            <w:rFonts w:ascii="Arial" w:hAnsi="Arial" w:cs="Arial"/>
            <w:sz w:val="22"/>
          </w:rPr>
          <w:id w:val="-769238799"/>
          <w:citation/>
        </w:sdtPr>
        <w:sdtEndPr/>
        <w:sdtContent>
          <w:r w:rsidR="008A0753">
            <w:rPr>
              <w:rFonts w:ascii="Arial" w:hAnsi="Arial" w:cs="Arial"/>
              <w:sz w:val="22"/>
            </w:rPr>
            <w:fldChar w:fldCharType="begin"/>
          </w:r>
          <w:r w:rsidR="008A0753">
            <w:rPr>
              <w:rFonts w:ascii="Arial" w:hAnsi="Arial" w:cs="Arial"/>
              <w:sz w:val="22"/>
              <w:lang w:val="en-US"/>
            </w:rPr>
            <w:instrText xml:space="preserve"> CITATION New21 \l 1033 </w:instrText>
          </w:r>
          <w:r w:rsidR="008A0753">
            <w:rPr>
              <w:rFonts w:ascii="Arial" w:hAnsi="Arial" w:cs="Arial"/>
              <w:sz w:val="22"/>
            </w:rPr>
            <w:fldChar w:fldCharType="separate"/>
          </w:r>
          <w:r w:rsidR="008A0753" w:rsidRPr="008A0753">
            <w:rPr>
              <w:rFonts w:ascii="Arial" w:hAnsi="Arial" w:cs="Arial"/>
              <w:noProof/>
              <w:sz w:val="22"/>
              <w:lang w:val="en-US"/>
            </w:rPr>
            <w:t>(Newmotion, 2021)</w:t>
          </w:r>
          <w:r w:rsidR="008A0753">
            <w:rPr>
              <w:rFonts w:ascii="Arial" w:hAnsi="Arial" w:cs="Arial"/>
              <w:sz w:val="22"/>
            </w:rPr>
            <w:fldChar w:fldCharType="end"/>
          </w:r>
        </w:sdtContent>
      </w:sdt>
    </w:p>
    <w:p w14:paraId="2D0C037A" w14:textId="0DF58ABD" w:rsidR="00333ACE" w:rsidRPr="006A5C56" w:rsidRDefault="00333ACE" w:rsidP="00D27DE6">
      <w:pPr>
        <w:spacing w:line="360" w:lineRule="auto"/>
        <w:jc w:val="both"/>
        <w:rPr>
          <w:rFonts w:ascii="Arial" w:hAnsi="Arial" w:cs="Arial"/>
          <w:sz w:val="22"/>
        </w:rPr>
      </w:pPr>
      <w:proofErr w:type="spellStart"/>
      <w:r w:rsidRPr="006A5C56">
        <w:rPr>
          <w:rFonts w:ascii="Arial" w:hAnsi="Arial" w:cs="Arial"/>
          <w:sz w:val="22"/>
        </w:rPr>
        <w:t>Newmotion</w:t>
      </w:r>
      <w:proofErr w:type="spellEnd"/>
      <w:r w:rsidRPr="006A5C56">
        <w:rPr>
          <w:rFonts w:ascii="Arial" w:hAnsi="Arial" w:cs="Arial"/>
          <w:sz w:val="22"/>
        </w:rPr>
        <w:t xml:space="preserve"> also provided a statement saying “By drawing power from the grid during the midday hours when solar output is greatest, electric vehicles can soak up the sun-generated power and in turn reduce the evening ramp-up by returning power to the grid” which aids the argument for V2G technology.</w:t>
      </w:r>
    </w:p>
    <w:p w14:paraId="703AFB2D" w14:textId="5B3928A3" w:rsidR="00A71F8B" w:rsidRDefault="00A71F8B" w:rsidP="00D27DE6">
      <w:pPr>
        <w:spacing w:line="360" w:lineRule="auto"/>
        <w:jc w:val="both"/>
        <w:rPr>
          <w:rFonts w:ascii="Arial" w:hAnsi="Arial" w:cs="Arial"/>
          <w:sz w:val="22"/>
        </w:rPr>
      </w:pPr>
      <w:r w:rsidRPr="006A5C56">
        <w:rPr>
          <w:rFonts w:ascii="Arial" w:hAnsi="Arial" w:cs="Arial"/>
          <w:sz w:val="22"/>
        </w:rPr>
        <w:t>Regardless of how promising this data is, DPD and other courier services all mainly operate during office hours which will charging during 11am to 4pm which means charging time.</w:t>
      </w:r>
    </w:p>
    <w:p w14:paraId="12806258" w14:textId="37169ED4" w:rsidR="00D27DE6" w:rsidRDefault="00B4281E" w:rsidP="00D27DE6">
      <w:pPr>
        <w:spacing w:line="360" w:lineRule="auto"/>
        <w:jc w:val="both"/>
        <w:rPr>
          <w:rFonts w:ascii="Arial" w:hAnsi="Arial" w:cs="Arial"/>
          <w:sz w:val="22"/>
        </w:rPr>
      </w:pPr>
      <w:r>
        <w:rPr>
          <w:rFonts w:ascii="Arial" w:hAnsi="Arial" w:cs="Arial"/>
          <w:sz w:val="22"/>
        </w:rPr>
        <w:t xml:space="preserve">More simple day-to-day issues that come with V2G and regular EV charging, how can people living </w:t>
      </w:r>
      <w:r w:rsidR="00035011">
        <w:rPr>
          <w:rFonts w:ascii="Arial" w:hAnsi="Arial" w:cs="Arial"/>
          <w:sz w:val="22"/>
        </w:rPr>
        <w:t>with</w:t>
      </w:r>
      <w:r>
        <w:rPr>
          <w:rFonts w:ascii="Arial" w:hAnsi="Arial" w:cs="Arial"/>
          <w:sz w:val="22"/>
        </w:rPr>
        <w:t>in busy cities or living within high story accommodation safely and successfully</w:t>
      </w:r>
      <w:r w:rsidR="00035011">
        <w:rPr>
          <w:rFonts w:ascii="Arial" w:hAnsi="Arial" w:cs="Arial"/>
          <w:sz w:val="22"/>
        </w:rPr>
        <w:t xml:space="preserve">. </w:t>
      </w:r>
      <w:r w:rsidR="006D06FC">
        <w:rPr>
          <w:rFonts w:ascii="Arial" w:hAnsi="Arial" w:cs="Arial"/>
          <w:sz w:val="22"/>
        </w:rPr>
        <w:t xml:space="preserve">A common practicality issue that often arises is the charging cables themselves. If </w:t>
      </w:r>
      <w:proofErr w:type="gramStart"/>
      <w:r w:rsidR="006D06FC">
        <w:rPr>
          <w:rFonts w:ascii="Arial" w:hAnsi="Arial" w:cs="Arial"/>
          <w:sz w:val="22"/>
        </w:rPr>
        <w:t>the majority of</w:t>
      </w:r>
      <w:proofErr w:type="gramEnd"/>
      <w:r w:rsidR="006D06FC">
        <w:rPr>
          <w:rFonts w:ascii="Arial" w:hAnsi="Arial" w:cs="Arial"/>
          <w:sz w:val="22"/>
        </w:rPr>
        <w:t xml:space="preserve"> vehicles on the road are EV then a system will need to be designed to ensure cables aren’t causing obstructions across roads and pathways, these cables could also be a trip hazard as well as a possible target for vandalism.</w:t>
      </w:r>
    </w:p>
    <w:p w14:paraId="79D80DD8" w14:textId="77777777" w:rsidR="00D27DE6" w:rsidRPr="006A5C56" w:rsidRDefault="00D27DE6" w:rsidP="00D27DE6">
      <w:pPr>
        <w:spacing w:line="360" w:lineRule="auto"/>
        <w:jc w:val="both"/>
        <w:rPr>
          <w:rFonts w:ascii="Arial" w:hAnsi="Arial" w:cs="Arial"/>
          <w:sz w:val="22"/>
        </w:rPr>
      </w:pPr>
    </w:p>
    <w:p w14:paraId="36EDDBD2" w14:textId="50561550" w:rsidR="00382BCA" w:rsidRPr="006A5C56" w:rsidRDefault="00382BCA" w:rsidP="00D27DE6">
      <w:pPr>
        <w:pStyle w:val="Heading2"/>
        <w:spacing w:line="360" w:lineRule="auto"/>
      </w:pPr>
      <w:bookmarkStart w:id="14" w:name="_Toc87453628"/>
      <w:r w:rsidRPr="006A5C56">
        <w:t>3.6 - Current charging technology</w:t>
      </w:r>
      <w:bookmarkEnd w:id="14"/>
    </w:p>
    <w:p w14:paraId="0EDB4D89" w14:textId="77777777" w:rsidR="00A71F8B" w:rsidRPr="006A5C56" w:rsidRDefault="00A71F8B" w:rsidP="00D27DE6">
      <w:pPr>
        <w:spacing w:line="360" w:lineRule="auto"/>
        <w:jc w:val="both"/>
        <w:rPr>
          <w:rFonts w:ascii="Arial" w:hAnsi="Arial" w:cs="Arial"/>
          <w:sz w:val="22"/>
          <w:lang w:val="en-US"/>
        </w:rPr>
      </w:pPr>
      <w:r w:rsidRPr="006A5C56">
        <w:rPr>
          <w:rFonts w:ascii="Arial" w:hAnsi="Arial" w:cs="Arial"/>
          <w:sz w:val="22"/>
          <w:lang w:val="en-US"/>
        </w:rPr>
        <w:t xml:space="preserve">Currently in the EV industry, charging is generally unknown unless having owned or had to use an EV in the past and even then, it can be confusing and generally an off-putting experience while also increasing range anxiety (the fear of running out of power on a journey). </w:t>
      </w:r>
    </w:p>
    <w:p w14:paraId="0E3A2CC1" w14:textId="77777777" w:rsidR="00A71F8B" w:rsidRPr="006A5C56" w:rsidRDefault="00A71F8B" w:rsidP="00D27DE6">
      <w:pPr>
        <w:spacing w:line="360" w:lineRule="auto"/>
        <w:jc w:val="both"/>
        <w:rPr>
          <w:rFonts w:ascii="Arial" w:hAnsi="Arial" w:cs="Arial"/>
          <w:sz w:val="22"/>
          <w:lang w:val="en-US"/>
        </w:rPr>
      </w:pPr>
      <w:r w:rsidRPr="006A5C56">
        <w:rPr>
          <w:rFonts w:ascii="Arial" w:hAnsi="Arial" w:cs="Arial"/>
          <w:sz w:val="22"/>
          <w:lang w:val="en-US"/>
        </w:rPr>
        <w:t>Unlike filing up an ICE vehicle with diesel or petroleum, EV charging is not at the same level of accessibility, hardware and software wise. These differences are the reason it can be so challenging and causing hesitation for those wanting to switch to EV. These differences can vary between connectors and electricity flow however the main concern for V2G technology to be implemented and successful, the chargers must be bidirectional flow.</w:t>
      </w:r>
    </w:p>
    <w:p w14:paraId="68D3B37D" w14:textId="77777777" w:rsidR="00A71F8B" w:rsidRPr="006A5C56" w:rsidRDefault="00A71F8B" w:rsidP="00D27DE6">
      <w:pPr>
        <w:spacing w:line="360" w:lineRule="auto"/>
        <w:jc w:val="both"/>
        <w:rPr>
          <w:rFonts w:ascii="Arial" w:hAnsi="Arial" w:cs="Arial"/>
          <w:sz w:val="22"/>
          <w:lang w:val="en-US"/>
        </w:rPr>
      </w:pPr>
      <w:r w:rsidRPr="006A5C56">
        <w:rPr>
          <w:rFonts w:ascii="Arial" w:hAnsi="Arial" w:cs="Arial"/>
          <w:sz w:val="22"/>
          <w:lang w:val="en-US"/>
        </w:rPr>
        <w:t>Currently either the chargers or the EV itself will need a converter to allow the grid AC power supply to work with the car DC system. With bidirectional chargers, all contain internal converters that handle the conversion as well as the amount of power supplied to and from the battery.</w:t>
      </w:r>
    </w:p>
    <w:p w14:paraId="1C99B846" w14:textId="57551582" w:rsidR="00A71F8B" w:rsidRPr="006A5C56" w:rsidRDefault="00A71F8B" w:rsidP="00D27DE6">
      <w:pPr>
        <w:spacing w:line="360" w:lineRule="auto"/>
        <w:jc w:val="both"/>
        <w:rPr>
          <w:rFonts w:ascii="Arial" w:hAnsi="Arial" w:cs="Arial"/>
          <w:sz w:val="22"/>
          <w:lang w:val="en-US"/>
        </w:rPr>
      </w:pPr>
      <w:r w:rsidRPr="006A5C56">
        <w:rPr>
          <w:rFonts w:ascii="Arial" w:hAnsi="Arial" w:cs="Arial"/>
          <w:sz w:val="22"/>
          <w:lang w:val="en-US"/>
        </w:rPr>
        <w:t xml:space="preserve">Although DC charging is a must for bidirectional charging, some chargers use AC power supply and there is no recognized standard across OEM EV’s. An example of this is Nissan using the CHAdeMO connector whilst other manufactures use CCS-1 in the USA and CCS-2 </w:t>
      </w:r>
      <w:r w:rsidRPr="006A5C56">
        <w:rPr>
          <w:rFonts w:ascii="Arial" w:hAnsi="Arial" w:cs="Arial"/>
          <w:sz w:val="22"/>
          <w:lang w:val="en-US"/>
        </w:rPr>
        <w:lastRenderedPageBreak/>
        <w:t xml:space="preserve">in Europe, and to make it more confusing, Tesla may use either of the options or even their own port design and connector. </w:t>
      </w:r>
      <w:sdt>
        <w:sdtPr>
          <w:rPr>
            <w:rFonts w:ascii="Arial" w:hAnsi="Arial" w:cs="Arial"/>
            <w:sz w:val="22"/>
            <w:lang w:val="en-US"/>
          </w:rPr>
          <w:id w:val="-667716790"/>
          <w:citation/>
        </w:sdtPr>
        <w:sdtEndPr/>
        <w:sdtContent>
          <w:r w:rsidR="00BA1B70">
            <w:rPr>
              <w:rFonts w:ascii="Arial" w:hAnsi="Arial" w:cs="Arial"/>
              <w:sz w:val="22"/>
              <w:lang w:val="en-US"/>
            </w:rPr>
            <w:fldChar w:fldCharType="begin"/>
          </w:r>
          <w:r w:rsidR="00BA1B70">
            <w:rPr>
              <w:rFonts w:ascii="Arial" w:hAnsi="Arial" w:cs="Arial"/>
              <w:sz w:val="22"/>
              <w:lang w:val="en-US"/>
            </w:rPr>
            <w:instrText xml:space="preserve"> CITATION POD21 \l 1033 </w:instrText>
          </w:r>
          <w:r w:rsidR="00BA1B70">
            <w:rPr>
              <w:rFonts w:ascii="Arial" w:hAnsi="Arial" w:cs="Arial"/>
              <w:sz w:val="22"/>
              <w:lang w:val="en-US"/>
            </w:rPr>
            <w:fldChar w:fldCharType="separate"/>
          </w:r>
          <w:r w:rsidR="00BA1B70" w:rsidRPr="00BA1B70">
            <w:rPr>
              <w:rFonts w:ascii="Arial" w:hAnsi="Arial" w:cs="Arial"/>
              <w:noProof/>
              <w:sz w:val="22"/>
              <w:lang w:val="en-US"/>
            </w:rPr>
            <w:t>(POD, 2021)</w:t>
          </w:r>
          <w:r w:rsidR="00BA1B70">
            <w:rPr>
              <w:rFonts w:ascii="Arial" w:hAnsi="Arial" w:cs="Arial"/>
              <w:sz w:val="22"/>
              <w:lang w:val="en-US"/>
            </w:rPr>
            <w:fldChar w:fldCharType="end"/>
          </w:r>
        </w:sdtContent>
      </w:sdt>
    </w:p>
    <w:p w14:paraId="503F248E" w14:textId="77777777" w:rsidR="00A71F8B" w:rsidRPr="006A5C56" w:rsidRDefault="00A71F8B" w:rsidP="00D27DE6">
      <w:pPr>
        <w:spacing w:line="360" w:lineRule="auto"/>
        <w:jc w:val="both"/>
        <w:rPr>
          <w:rFonts w:ascii="Arial" w:hAnsi="Arial" w:cs="Arial"/>
          <w:sz w:val="22"/>
          <w:lang w:val="en-US"/>
        </w:rPr>
      </w:pPr>
      <w:r w:rsidRPr="006A5C56">
        <w:rPr>
          <w:rFonts w:ascii="Arial" w:hAnsi="Arial" w:cs="Arial"/>
          <w:sz w:val="22"/>
          <w:lang w:val="en-US"/>
        </w:rPr>
        <w:t>V2G charging only uses the CHAdeMO DC connectors and there are only a select few cars which are currently V2G, Flexi-Orb released a statement on 1st October 2019 listing the cars that support and are capable V2G charging, these are:</w:t>
      </w:r>
    </w:p>
    <w:p w14:paraId="216A2E3C" w14:textId="77777777" w:rsidR="00A71F8B" w:rsidRPr="006A5C56" w:rsidRDefault="00A71F8B" w:rsidP="00D27DE6">
      <w:pPr>
        <w:spacing w:line="360" w:lineRule="auto"/>
        <w:jc w:val="both"/>
        <w:rPr>
          <w:rFonts w:ascii="Arial" w:hAnsi="Arial" w:cs="Arial"/>
          <w:sz w:val="22"/>
          <w:lang w:val="en-US"/>
        </w:rPr>
      </w:pPr>
      <w:r w:rsidRPr="006A5C56">
        <w:rPr>
          <w:rFonts w:ascii="Arial" w:hAnsi="Arial" w:cs="Arial"/>
          <w:sz w:val="22"/>
          <w:lang w:val="en-US"/>
        </w:rPr>
        <w:t>•</w:t>
      </w:r>
      <w:r w:rsidRPr="006A5C56">
        <w:rPr>
          <w:rFonts w:ascii="Arial" w:hAnsi="Arial" w:cs="Arial"/>
          <w:sz w:val="22"/>
          <w:lang w:val="en-US"/>
        </w:rPr>
        <w:tab/>
        <w:t xml:space="preserve">Nissan LEAF </w:t>
      </w:r>
    </w:p>
    <w:p w14:paraId="017C74B0" w14:textId="77777777" w:rsidR="00A71F8B" w:rsidRPr="006A5C56" w:rsidRDefault="00A71F8B" w:rsidP="00D27DE6">
      <w:pPr>
        <w:spacing w:line="360" w:lineRule="auto"/>
        <w:jc w:val="both"/>
        <w:rPr>
          <w:rFonts w:ascii="Arial" w:hAnsi="Arial" w:cs="Arial"/>
          <w:sz w:val="22"/>
          <w:lang w:val="en-US"/>
        </w:rPr>
      </w:pPr>
      <w:r w:rsidRPr="006A5C56">
        <w:rPr>
          <w:rFonts w:ascii="Arial" w:hAnsi="Arial" w:cs="Arial"/>
          <w:sz w:val="22"/>
          <w:lang w:val="en-US"/>
        </w:rPr>
        <w:t>•</w:t>
      </w:r>
      <w:r w:rsidRPr="006A5C56">
        <w:rPr>
          <w:rFonts w:ascii="Arial" w:hAnsi="Arial" w:cs="Arial"/>
          <w:sz w:val="22"/>
          <w:lang w:val="en-US"/>
        </w:rPr>
        <w:tab/>
        <w:t>Kia Soul</w:t>
      </w:r>
    </w:p>
    <w:p w14:paraId="1E9542F4" w14:textId="15143931" w:rsidR="00A71F8B" w:rsidRPr="006A5C56" w:rsidRDefault="00A71F8B" w:rsidP="00D27DE6">
      <w:pPr>
        <w:spacing w:line="360" w:lineRule="auto"/>
        <w:jc w:val="both"/>
        <w:rPr>
          <w:rFonts w:ascii="Arial" w:hAnsi="Arial" w:cs="Arial"/>
          <w:sz w:val="22"/>
          <w:lang w:val="en-US"/>
        </w:rPr>
      </w:pPr>
      <w:r w:rsidRPr="006A5C56">
        <w:rPr>
          <w:rFonts w:ascii="Arial" w:hAnsi="Arial" w:cs="Arial"/>
          <w:sz w:val="22"/>
          <w:lang w:val="en-US"/>
        </w:rPr>
        <w:t>•</w:t>
      </w:r>
      <w:r w:rsidRPr="006A5C56">
        <w:rPr>
          <w:rFonts w:ascii="Arial" w:hAnsi="Arial" w:cs="Arial"/>
          <w:sz w:val="22"/>
          <w:lang w:val="en-US"/>
        </w:rPr>
        <w:tab/>
      </w:r>
      <w:r w:rsidR="00F22466" w:rsidRPr="006A5C56">
        <w:rPr>
          <w:rFonts w:ascii="Arial" w:hAnsi="Arial" w:cs="Arial"/>
          <w:sz w:val="22"/>
          <w:lang w:val="en-US"/>
        </w:rPr>
        <w:t>Mitsubishi</w:t>
      </w:r>
      <w:r w:rsidRPr="006A5C56">
        <w:rPr>
          <w:rFonts w:ascii="Arial" w:hAnsi="Arial" w:cs="Arial"/>
          <w:sz w:val="22"/>
          <w:lang w:val="en-US"/>
        </w:rPr>
        <w:t xml:space="preserve"> Outlander</w:t>
      </w:r>
    </w:p>
    <w:p w14:paraId="2B56FF15" w14:textId="77777777" w:rsidR="00A71F8B" w:rsidRPr="006A5C56" w:rsidRDefault="00A71F8B" w:rsidP="00D27DE6">
      <w:pPr>
        <w:spacing w:line="360" w:lineRule="auto"/>
        <w:jc w:val="both"/>
        <w:rPr>
          <w:rFonts w:ascii="Arial" w:hAnsi="Arial" w:cs="Arial"/>
          <w:sz w:val="22"/>
          <w:lang w:val="en-US"/>
        </w:rPr>
      </w:pPr>
      <w:r w:rsidRPr="006A5C56">
        <w:rPr>
          <w:rFonts w:ascii="Arial" w:hAnsi="Arial" w:cs="Arial"/>
          <w:sz w:val="22"/>
          <w:lang w:val="en-US"/>
        </w:rPr>
        <w:t>•</w:t>
      </w:r>
      <w:r w:rsidRPr="006A5C56">
        <w:rPr>
          <w:rFonts w:ascii="Arial" w:hAnsi="Arial" w:cs="Arial"/>
          <w:sz w:val="22"/>
          <w:lang w:val="en-US"/>
        </w:rPr>
        <w:tab/>
        <w:t>Nissan e-NV200</w:t>
      </w:r>
    </w:p>
    <w:p w14:paraId="2DB94CD1" w14:textId="19B9AFEA" w:rsidR="00382BCA" w:rsidRPr="006A5C56" w:rsidRDefault="00DF4A82" w:rsidP="00D27DE6">
      <w:pPr>
        <w:spacing w:line="360" w:lineRule="auto"/>
        <w:jc w:val="both"/>
        <w:rPr>
          <w:rFonts w:ascii="Arial" w:hAnsi="Arial" w:cs="Arial"/>
          <w:sz w:val="22"/>
          <w:lang w:val="en-US"/>
        </w:rPr>
      </w:pPr>
      <w:sdt>
        <w:sdtPr>
          <w:rPr>
            <w:rFonts w:ascii="Arial" w:hAnsi="Arial" w:cs="Arial"/>
            <w:sz w:val="22"/>
          </w:rPr>
          <w:id w:val="1620566901"/>
          <w:citation/>
        </w:sdtPr>
        <w:sdtEndPr/>
        <w:sdtContent>
          <w:r w:rsidR="00055779">
            <w:rPr>
              <w:rFonts w:ascii="Arial" w:hAnsi="Arial" w:cs="Arial"/>
              <w:sz w:val="22"/>
            </w:rPr>
            <w:fldChar w:fldCharType="begin"/>
          </w:r>
          <w:r w:rsidR="00055779">
            <w:rPr>
              <w:rFonts w:ascii="Arial" w:hAnsi="Arial" w:cs="Arial"/>
              <w:sz w:val="22"/>
              <w:lang w:val="en-US"/>
            </w:rPr>
            <w:instrText xml:space="preserve">CITATION Fle21 \l 1033 </w:instrText>
          </w:r>
          <w:r w:rsidR="00055779">
            <w:rPr>
              <w:rFonts w:ascii="Arial" w:hAnsi="Arial" w:cs="Arial"/>
              <w:sz w:val="22"/>
            </w:rPr>
            <w:fldChar w:fldCharType="separate"/>
          </w:r>
          <w:r w:rsidR="00055779" w:rsidRPr="00055779">
            <w:rPr>
              <w:rFonts w:ascii="Arial" w:hAnsi="Arial" w:cs="Arial"/>
              <w:noProof/>
              <w:sz w:val="22"/>
              <w:lang w:val="en-US"/>
            </w:rPr>
            <w:t>(Flexi-Orb, 2021)</w:t>
          </w:r>
          <w:r w:rsidR="00055779">
            <w:rPr>
              <w:rFonts w:ascii="Arial" w:hAnsi="Arial" w:cs="Arial"/>
              <w:sz w:val="22"/>
            </w:rPr>
            <w:fldChar w:fldCharType="end"/>
          </w:r>
        </w:sdtContent>
      </w:sdt>
      <w:r w:rsidR="00055779" w:rsidRPr="006A5C56">
        <w:rPr>
          <w:rFonts w:ascii="Arial" w:hAnsi="Arial" w:cs="Arial"/>
          <w:sz w:val="22"/>
        </w:rPr>
        <w:t xml:space="preserve"> </w:t>
      </w:r>
      <w:r w:rsidR="00382BCA" w:rsidRPr="006A5C56">
        <w:rPr>
          <w:rFonts w:ascii="Arial" w:hAnsi="Arial" w:cs="Arial"/>
          <w:sz w:val="22"/>
          <w:lang w:val="en-US"/>
        </w:rPr>
        <w:br w:type="page"/>
      </w:r>
    </w:p>
    <w:p w14:paraId="531136A3" w14:textId="2998D8EF" w:rsidR="008E76B0" w:rsidRPr="00370309" w:rsidRDefault="00382BCA" w:rsidP="00D27DE6">
      <w:pPr>
        <w:pStyle w:val="Heading1"/>
        <w:spacing w:line="360" w:lineRule="auto"/>
      </w:pPr>
      <w:bookmarkStart w:id="15" w:name="_Toc87453629"/>
      <w:r w:rsidRPr="006A5C56">
        <w:lastRenderedPageBreak/>
        <w:t>4.0 - Conclusion</w:t>
      </w:r>
      <w:bookmarkEnd w:id="15"/>
    </w:p>
    <w:p w14:paraId="554D29CD" w14:textId="77777777" w:rsidR="00E155EA" w:rsidRPr="006A5C56" w:rsidRDefault="00A91535" w:rsidP="00D27DE6">
      <w:pPr>
        <w:spacing w:line="360" w:lineRule="auto"/>
        <w:jc w:val="both"/>
        <w:rPr>
          <w:rFonts w:ascii="Arial" w:hAnsi="Arial" w:cs="Arial"/>
          <w:sz w:val="22"/>
          <w:lang w:val="en-US"/>
        </w:rPr>
      </w:pPr>
      <w:r w:rsidRPr="006A5C56">
        <w:rPr>
          <w:rFonts w:ascii="Arial" w:hAnsi="Arial" w:cs="Arial"/>
          <w:sz w:val="22"/>
          <w:lang w:val="en-US"/>
        </w:rPr>
        <w:t xml:space="preserve">To conclude the report, after performing the research on V2G technology. It has the potential to be a successful solution to the peak energy demands in the UK however there are certain negatives which hold the technology back for immediate enrolment. For example, lack of V2G cars that are currently for sale and the current UK electric supply from the grid, it is simply not ready to cater for millions of EV cars wanting to be charged regardless of them returned unused energy in their batteries. </w:t>
      </w:r>
    </w:p>
    <w:p w14:paraId="039E87BF" w14:textId="57D87F62" w:rsidR="00E155EA" w:rsidRPr="006A5C56" w:rsidRDefault="00A91535" w:rsidP="00D27DE6">
      <w:pPr>
        <w:spacing w:line="360" w:lineRule="auto"/>
        <w:jc w:val="both"/>
        <w:rPr>
          <w:rFonts w:ascii="Arial" w:hAnsi="Arial" w:cs="Arial"/>
          <w:sz w:val="22"/>
          <w:lang w:val="en-US"/>
        </w:rPr>
      </w:pPr>
      <w:r w:rsidRPr="006A5C56">
        <w:rPr>
          <w:rFonts w:ascii="Arial" w:hAnsi="Arial" w:cs="Arial"/>
          <w:sz w:val="22"/>
          <w:lang w:val="en-US"/>
        </w:rPr>
        <w:t xml:space="preserve">Also as seen with PHEV’s, the owners may not use the technology as the manufacturers intended. Some PHEV owners do not charge the EV system within and rely on the ICE within the vehicle, which in turn </w:t>
      </w:r>
      <w:r w:rsidR="00E155EA" w:rsidRPr="006A5C56">
        <w:rPr>
          <w:rFonts w:ascii="Arial" w:hAnsi="Arial" w:cs="Arial"/>
          <w:sz w:val="22"/>
          <w:lang w:val="en-US"/>
        </w:rPr>
        <w:t xml:space="preserve">decreases the efficiency of the car. This raises concerns to whether owners would </w:t>
      </w:r>
      <w:r w:rsidR="003E2C38" w:rsidRPr="006A5C56">
        <w:rPr>
          <w:rFonts w:ascii="Arial" w:hAnsi="Arial" w:cs="Arial"/>
          <w:sz w:val="22"/>
          <w:lang w:val="en-US"/>
        </w:rPr>
        <w:t>allow</w:t>
      </w:r>
      <w:r w:rsidR="00E155EA" w:rsidRPr="006A5C56">
        <w:rPr>
          <w:rFonts w:ascii="Arial" w:hAnsi="Arial" w:cs="Arial"/>
          <w:sz w:val="22"/>
          <w:lang w:val="en-US"/>
        </w:rPr>
        <w:t xml:space="preserve"> their cars to return energy to the grid</w:t>
      </w:r>
      <w:r w:rsidR="003E2C38" w:rsidRPr="006A5C56">
        <w:rPr>
          <w:rFonts w:ascii="Arial" w:hAnsi="Arial" w:cs="Arial"/>
          <w:sz w:val="22"/>
          <w:lang w:val="en-US"/>
        </w:rPr>
        <w:t xml:space="preserve"> even though governing bodies are pushing for financial benefits with V2G. </w:t>
      </w:r>
      <w:r w:rsidR="00555743" w:rsidRPr="006A5C56">
        <w:rPr>
          <w:rFonts w:ascii="Arial" w:hAnsi="Arial" w:cs="Arial"/>
          <w:sz w:val="22"/>
          <w:lang w:val="en-US"/>
        </w:rPr>
        <w:t>While</w:t>
      </w:r>
      <w:r w:rsidR="003E2C38" w:rsidRPr="006A5C56">
        <w:rPr>
          <w:rFonts w:ascii="Arial" w:hAnsi="Arial" w:cs="Arial"/>
          <w:sz w:val="22"/>
          <w:lang w:val="en-US"/>
        </w:rPr>
        <w:t xml:space="preserve"> owners</w:t>
      </w:r>
      <w:r w:rsidR="00E155EA" w:rsidRPr="006A5C56">
        <w:rPr>
          <w:rFonts w:ascii="Arial" w:hAnsi="Arial" w:cs="Arial"/>
          <w:sz w:val="22"/>
          <w:lang w:val="en-US"/>
        </w:rPr>
        <w:t xml:space="preserve"> </w:t>
      </w:r>
      <w:r w:rsidR="00555743" w:rsidRPr="006A5C56">
        <w:rPr>
          <w:rFonts w:ascii="Arial" w:hAnsi="Arial" w:cs="Arial"/>
          <w:sz w:val="22"/>
          <w:lang w:val="en-US"/>
        </w:rPr>
        <w:t>may think it is</w:t>
      </w:r>
      <w:r w:rsidR="00E155EA" w:rsidRPr="006A5C56">
        <w:rPr>
          <w:rFonts w:ascii="Arial" w:hAnsi="Arial" w:cs="Arial"/>
          <w:sz w:val="22"/>
          <w:lang w:val="en-US"/>
        </w:rPr>
        <w:t xml:space="preserve"> easier to keep the energy stored within the </w:t>
      </w:r>
      <w:r w:rsidR="004C06FC" w:rsidRPr="006A5C56">
        <w:rPr>
          <w:rFonts w:ascii="Arial" w:hAnsi="Arial" w:cs="Arial"/>
          <w:sz w:val="22"/>
          <w:lang w:val="en-US"/>
        </w:rPr>
        <w:t>vehicle,</w:t>
      </w:r>
      <w:r w:rsidR="00E155EA" w:rsidRPr="006A5C56">
        <w:rPr>
          <w:rFonts w:ascii="Arial" w:hAnsi="Arial" w:cs="Arial"/>
          <w:sz w:val="22"/>
          <w:lang w:val="en-US"/>
        </w:rPr>
        <w:t xml:space="preserve"> so it is ready for the next time the vehicle needs to</w:t>
      </w:r>
      <w:r w:rsidR="004C06FC" w:rsidRPr="006A5C56">
        <w:rPr>
          <w:rFonts w:ascii="Arial" w:hAnsi="Arial" w:cs="Arial"/>
          <w:sz w:val="22"/>
          <w:lang w:val="en-US"/>
        </w:rPr>
        <w:t xml:space="preserve"> be</w:t>
      </w:r>
      <w:r w:rsidR="00E155EA" w:rsidRPr="006A5C56">
        <w:rPr>
          <w:rFonts w:ascii="Arial" w:hAnsi="Arial" w:cs="Arial"/>
          <w:sz w:val="22"/>
          <w:lang w:val="en-US"/>
        </w:rPr>
        <w:t xml:space="preserve"> </w:t>
      </w:r>
      <w:r w:rsidR="004C06FC" w:rsidRPr="006A5C56">
        <w:rPr>
          <w:rFonts w:ascii="Arial" w:hAnsi="Arial" w:cs="Arial"/>
          <w:sz w:val="22"/>
          <w:lang w:val="en-US"/>
        </w:rPr>
        <w:t>used</w:t>
      </w:r>
      <w:r w:rsidR="00E155EA" w:rsidRPr="006A5C56">
        <w:rPr>
          <w:rFonts w:ascii="Arial" w:hAnsi="Arial" w:cs="Arial"/>
          <w:sz w:val="22"/>
          <w:lang w:val="en-US"/>
        </w:rPr>
        <w:t>.</w:t>
      </w:r>
      <w:r w:rsidR="003E2C38" w:rsidRPr="006A5C56">
        <w:rPr>
          <w:rFonts w:ascii="Arial" w:hAnsi="Arial" w:cs="Arial"/>
          <w:sz w:val="22"/>
          <w:lang w:val="en-US"/>
        </w:rPr>
        <w:t xml:space="preserve"> </w:t>
      </w:r>
    </w:p>
    <w:p w14:paraId="0BB772A0" w14:textId="542832F8" w:rsidR="004C06FC" w:rsidRPr="006A5C56" w:rsidRDefault="004C06FC" w:rsidP="00D27DE6">
      <w:pPr>
        <w:spacing w:line="360" w:lineRule="auto"/>
        <w:jc w:val="both"/>
        <w:rPr>
          <w:rFonts w:ascii="Arial" w:hAnsi="Arial" w:cs="Arial"/>
          <w:sz w:val="22"/>
          <w:lang w:val="en-US"/>
        </w:rPr>
      </w:pPr>
      <w:r w:rsidRPr="006A5C56">
        <w:rPr>
          <w:rFonts w:ascii="Arial" w:hAnsi="Arial" w:cs="Arial"/>
          <w:sz w:val="22"/>
          <w:lang w:val="en-US"/>
        </w:rPr>
        <w:t xml:space="preserve">Although there can be negatives which hold V2G back for the time being, V2H and V2X maybe other solutions to </w:t>
      </w:r>
      <w:proofErr w:type="gramStart"/>
      <w:r w:rsidRPr="006A5C56">
        <w:rPr>
          <w:rFonts w:ascii="Arial" w:hAnsi="Arial" w:cs="Arial"/>
          <w:sz w:val="22"/>
          <w:lang w:val="en-US"/>
        </w:rPr>
        <w:t>look into</w:t>
      </w:r>
      <w:proofErr w:type="gramEnd"/>
      <w:r w:rsidRPr="006A5C56">
        <w:rPr>
          <w:rFonts w:ascii="Arial" w:hAnsi="Arial" w:cs="Arial"/>
          <w:sz w:val="22"/>
          <w:lang w:val="en-US"/>
        </w:rPr>
        <w:t xml:space="preserve"> and consider for a sooner employment.</w:t>
      </w:r>
    </w:p>
    <w:p w14:paraId="253835CD" w14:textId="2D300AE3" w:rsidR="004C06FC" w:rsidRPr="006A5C56" w:rsidRDefault="004C06FC" w:rsidP="00D27DE6">
      <w:pPr>
        <w:spacing w:line="360" w:lineRule="auto"/>
        <w:jc w:val="both"/>
        <w:rPr>
          <w:rFonts w:ascii="Arial" w:hAnsi="Arial" w:cs="Arial"/>
          <w:sz w:val="22"/>
        </w:rPr>
      </w:pPr>
      <w:r w:rsidRPr="006A5C56">
        <w:rPr>
          <w:rFonts w:ascii="Arial" w:hAnsi="Arial" w:cs="Arial"/>
          <w:sz w:val="22"/>
          <w:lang w:val="en-US"/>
        </w:rPr>
        <w:t>V2X is vehicle to everything and is more suited to the individual as well as smaller office solutions.</w:t>
      </w:r>
      <w:r w:rsidR="003E2C38" w:rsidRPr="006A5C56">
        <w:rPr>
          <w:rFonts w:ascii="Arial" w:hAnsi="Arial" w:cs="Arial"/>
          <w:sz w:val="22"/>
          <w:lang w:val="en-US"/>
        </w:rPr>
        <w:t xml:space="preserve"> V2X can be described very similar to V2G though with added benefits. Those primarily being relative to efficiency and accessibility. The charger used for V2X is much smaller and lighter than the relative V2G chargers. Due to the V2X chargers packaging being improved it has eliminated the inconveniences such as installation of the V2G chargers being complex and hard to access resources. The Newmotion V2X system has is superior to the V2G system due to the response time of changing the charging direction has considerably increased. </w:t>
      </w:r>
      <w:sdt>
        <w:sdtPr>
          <w:rPr>
            <w:rFonts w:ascii="Arial" w:hAnsi="Arial" w:cs="Arial"/>
            <w:sz w:val="22"/>
            <w:lang w:val="en-US"/>
          </w:rPr>
          <w:id w:val="-630941527"/>
          <w:citation/>
        </w:sdtPr>
        <w:sdtEndPr/>
        <w:sdtContent>
          <w:r w:rsidR="00055779">
            <w:rPr>
              <w:rFonts w:ascii="Arial" w:hAnsi="Arial" w:cs="Arial"/>
              <w:sz w:val="22"/>
              <w:lang w:val="en-US"/>
            </w:rPr>
            <w:fldChar w:fldCharType="begin"/>
          </w:r>
          <w:r w:rsidR="00055779">
            <w:rPr>
              <w:rFonts w:ascii="Arial" w:hAnsi="Arial" w:cs="Arial"/>
              <w:sz w:val="22"/>
              <w:lang w:val="en-US"/>
            </w:rPr>
            <w:instrText xml:space="preserve"> CITATION New21 \l 1033 </w:instrText>
          </w:r>
          <w:r w:rsidR="00055779">
            <w:rPr>
              <w:rFonts w:ascii="Arial" w:hAnsi="Arial" w:cs="Arial"/>
              <w:sz w:val="22"/>
              <w:lang w:val="en-US"/>
            </w:rPr>
            <w:fldChar w:fldCharType="separate"/>
          </w:r>
          <w:r w:rsidR="00055779" w:rsidRPr="00055779">
            <w:rPr>
              <w:rFonts w:ascii="Arial" w:hAnsi="Arial" w:cs="Arial"/>
              <w:noProof/>
              <w:sz w:val="22"/>
              <w:lang w:val="en-US"/>
            </w:rPr>
            <w:t>(Newmotion, 2021)</w:t>
          </w:r>
          <w:r w:rsidR="00055779">
            <w:rPr>
              <w:rFonts w:ascii="Arial" w:hAnsi="Arial" w:cs="Arial"/>
              <w:sz w:val="22"/>
              <w:lang w:val="en-US"/>
            </w:rPr>
            <w:fldChar w:fldCharType="end"/>
          </w:r>
        </w:sdtContent>
      </w:sdt>
    </w:p>
    <w:p w14:paraId="4399587E" w14:textId="637C482C" w:rsidR="00555743" w:rsidRPr="006A5C56" w:rsidRDefault="00555743" w:rsidP="00D27DE6">
      <w:pPr>
        <w:spacing w:line="360" w:lineRule="auto"/>
        <w:jc w:val="both"/>
        <w:rPr>
          <w:rFonts w:ascii="Arial" w:hAnsi="Arial" w:cs="Arial"/>
          <w:sz w:val="22"/>
        </w:rPr>
      </w:pPr>
      <w:r w:rsidRPr="006A5C56">
        <w:rPr>
          <w:rFonts w:ascii="Arial" w:hAnsi="Arial" w:cs="Arial"/>
          <w:sz w:val="22"/>
        </w:rPr>
        <w:t>V2H is vehicle to home technology and this system is like the two previous mentioned energy storing and bidirectional systems however V2H is currently directed at individuals due to it allowing power from the EV to be transferred and aid with powering the household. An example of how this may work could be by charging automobile batteries during the night, when power consumption is low, and using it in the home during the day, when power consumption is high, overall power consumption during peak times can be reduced. V2H can also be named or known as V2B which is vehicle to building.</w:t>
      </w:r>
    </w:p>
    <w:p w14:paraId="31E99A6D" w14:textId="1AB38D20" w:rsidR="00555743" w:rsidRPr="006A5C56" w:rsidRDefault="00555743" w:rsidP="00D27DE6">
      <w:pPr>
        <w:spacing w:line="360" w:lineRule="auto"/>
        <w:jc w:val="both"/>
        <w:rPr>
          <w:rFonts w:ascii="Arial" w:hAnsi="Arial" w:cs="Arial"/>
          <w:sz w:val="22"/>
        </w:rPr>
      </w:pPr>
      <w:r w:rsidRPr="006A5C56">
        <w:rPr>
          <w:rFonts w:ascii="Arial" w:hAnsi="Arial" w:cs="Arial"/>
          <w:sz w:val="22"/>
        </w:rPr>
        <w:t xml:space="preserve">To bring the report to an end, V2G technology has opened the door for great research and new technology to be produced however currently isn’t the best option for widespread employment of the technology as a solution to the peak energy demand but with the aid of </w:t>
      </w:r>
      <w:r w:rsidR="00B453CC" w:rsidRPr="006A5C56">
        <w:rPr>
          <w:rFonts w:ascii="Arial" w:hAnsi="Arial" w:cs="Arial"/>
          <w:sz w:val="22"/>
        </w:rPr>
        <w:t>all</w:t>
      </w:r>
      <w:r w:rsidRPr="006A5C56">
        <w:rPr>
          <w:rFonts w:ascii="Arial" w:hAnsi="Arial" w:cs="Arial"/>
          <w:sz w:val="22"/>
        </w:rPr>
        <w:t xml:space="preserve"> </w:t>
      </w:r>
      <w:r w:rsidRPr="006A5C56">
        <w:rPr>
          <w:rFonts w:ascii="Arial" w:hAnsi="Arial" w:cs="Arial"/>
          <w:sz w:val="22"/>
        </w:rPr>
        <w:lastRenderedPageBreak/>
        <w:t>the other energy and power systems related to EV’s such as V2X,</w:t>
      </w:r>
      <w:r w:rsidR="000C7FFE" w:rsidRPr="006A5C56">
        <w:rPr>
          <w:rFonts w:ascii="Arial" w:hAnsi="Arial" w:cs="Arial"/>
          <w:sz w:val="22"/>
        </w:rPr>
        <w:t xml:space="preserve"> </w:t>
      </w:r>
      <w:r w:rsidRPr="006A5C56">
        <w:rPr>
          <w:rFonts w:ascii="Arial" w:hAnsi="Arial" w:cs="Arial"/>
          <w:sz w:val="22"/>
        </w:rPr>
        <w:t>V2H and V2B, the power surge demand could be smoothed out in the near future.</w:t>
      </w:r>
    </w:p>
    <w:p w14:paraId="54A9BC56" w14:textId="77777777" w:rsidR="00555743" w:rsidRPr="006A5C56" w:rsidRDefault="00555743" w:rsidP="00D27DE6">
      <w:pPr>
        <w:spacing w:line="360" w:lineRule="auto"/>
        <w:jc w:val="both"/>
        <w:rPr>
          <w:rFonts w:ascii="Arial" w:hAnsi="Arial" w:cs="Arial"/>
          <w:sz w:val="22"/>
          <w:lang w:val="en-US"/>
        </w:rPr>
      </w:pPr>
    </w:p>
    <w:p w14:paraId="2356CAC4" w14:textId="77777777" w:rsidR="004C06FC" w:rsidRPr="006A5C56" w:rsidRDefault="004C06FC" w:rsidP="00D27DE6">
      <w:pPr>
        <w:spacing w:line="360" w:lineRule="auto"/>
        <w:jc w:val="both"/>
        <w:rPr>
          <w:rFonts w:ascii="Arial" w:hAnsi="Arial" w:cs="Arial"/>
          <w:sz w:val="22"/>
          <w:lang w:val="en-US"/>
        </w:rPr>
      </w:pPr>
    </w:p>
    <w:p w14:paraId="7C9DBC44" w14:textId="77777777" w:rsidR="00E155EA" w:rsidRPr="006A5C56" w:rsidRDefault="00E155EA" w:rsidP="00D27DE6">
      <w:pPr>
        <w:spacing w:line="360" w:lineRule="auto"/>
        <w:jc w:val="both"/>
        <w:rPr>
          <w:rFonts w:ascii="Arial" w:hAnsi="Arial" w:cs="Arial"/>
          <w:sz w:val="22"/>
          <w:lang w:val="en-US"/>
        </w:rPr>
      </w:pPr>
    </w:p>
    <w:p w14:paraId="36239196" w14:textId="77777777" w:rsidR="00E155EA" w:rsidRPr="006A5C56" w:rsidRDefault="00E155EA" w:rsidP="00D27DE6">
      <w:pPr>
        <w:spacing w:line="360" w:lineRule="auto"/>
        <w:jc w:val="both"/>
        <w:rPr>
          <w:rFonts w:ascii="Arial" w:hAnsi="Arial" w:cs="Arial"/>
          <w:sz w:val="22"/>
          <w:lang w:val="en-US"/>
        </w:rPr>
      </w:pPr>
    </w:p>
    <w:p w14:paraId="407D99AF" w14:textId="73CA6221" w:rsidR="00382BCA" w:rsidRPr="006A5C56" w:rsidRDefault="00382BCA" w:rsidP="00D27DE6">
      <w:pPr>
        <w:spacing w:line="360" w:lineRule="auto"/>
        <w:jc w:val="both"/>
        <w:rPr>
          <w:rFonts w:ascii="Arial" w:hAnsi="Arial" w:cs="Arial"/>
          <w:i/>
          <w:iCs/>
          <w:sz w:val="22"/>
          <w:lang w:val="en-US"/>
        </w:rPr>
      </w:pPr>
      <w:r w:rsidRPr="006A5C56">
        <w:rPr>
          <w:rFonts w:ascii="Arial" w:hAnsi="Arial" w:cs="Arial"/>
          <w:i/>
          <w:iCs/>
          <w:sz w:val="22"/>
          <w:lang w:val="en-US"/>
        </w:rPr>
        <w:br w:type="page"/>
      </w:r>
    </w:p>
    <w:p w14:paraId="60FA6ABB" w14:textId="77777777" w:rsidR="00382BCA" w:rsidRPr="006A5C56" w:rsidRDefault="00382BCA" w:rsidP="00D27DE6">
      <w:pPr>
        <w:pStyle w:val="Heading1"/>
        <w:spacing w:line="360" w:lineRule="auto"/>
      </w:pPr>
      <w:bookmarkStart w:id="16" w:name="_Toc87453630"/>
      <w:r w:rsidRPr="006A5C56">
        <w:lastRenderedPageBreak/>
        <w:t>5.0 - References</w:t>
      </w:r>
      <w:bookmarkEnd w:id="16"/>
    </w:p>
    <w:p w14:paraId="52562708" w14:textId="77777777" w:rsidR="00055779" w:rsidRDefault="00055779" w:rsidP="00D27DE6">
      <w:pPr>
        <w:pStyle w:val="Bibliography"/>
        <w:spacing w:line="360" w:lineRule="auto"/>
        <w:ind w:left="720" w:hanging="720"/>
        <w:rPr>
          <w:noProof/>
          <w:szCs w:val="24"/>
          <w:lang w:val="en-US"/>
        </w:rPr>
      </w:pPr>
      <w:r>
        <w:rPr>
          <w:rFonts w:ascii="Arial" w:hAnsi="Arial" w:cs="Arial"/>
          <w:sz w:val="22"/>
          <w:lang w:val="en-US"/>
        </w:rPr>
        <w:fldChar w:fldCharType="begin"/>
      </w:r>
      <w:r>
        <w:rPr>
          <w:rFonts w:ascii="Arial" w:hAnsi="Arial" w:cs="Arial"/>
          <w:sz w:val="22"/>
          <w:lang w:val="en-US"/>
        </w:rPr>
        <w:instrText xml:space="preserve"> BIBLIOGRAPHY  \l 1033 </w:instrText>
      </w:r>
      <w:r>
        <w:rPr>
          <w:rFonts w:ascii="Arial" w:hAnsi="Arial" w:cs="Arial"/>
          <w:sz w:val="22"/>
          <w:lang w:val="en-US"/>
        </w:rPr>
        <w:fldChar w:fldCharType="separate"/>
      </w:r>
      <w:r>
        <w:rPr>
          <w:noProof/>
          <w:lang w:val="en-US"/>
        </w:rPr>
        <w:t xml:space="preserve">Bennett, B., Repacholi, M., &amp; Carr, Z. (2006). </w:t>
      </w:r>
      <w:r>
        <w:rPr>
          <w:i/>
          <w:iCs/>
          <w:noProof/>
          <w:lang w:val="en-US"/>
        </w:rPr>
        <w:t>Health Effects of the Chernobyl Accident and Special Health Care Programmes.</w:t>
      </w:r>
      <w:r>
        <w:rPr>
          <w:noProof/>
          <w:lang w:val="en-US"/>
        </w:rPr>
        <w:t xml:space="preserve"> Geneva: World Health Organization.</w:t>
      </w:r>
    </w:p>
    <w:p w14:paraId="4E243F76" w14:textId="77777777" w:rsidR="00055779" w:rsidRDefault="00055779" w:rsidP="00D27DE6">
      <w:pPr>
        <w:pStyle w:val="Bibliography"/>
        <w:spacing w:line="360" w:lineRule="auto"/>
        <w:ind w:left="720" w:hanging="720"/>
        <w:rPr>
          <w:noProof/>
          <w:lang w:val="en-US"/>
        </w:rPr>
      </w:pPr>
      <w:r>
        <w:rPr>
          <w:noProof/>
          <w:lang w:val="en-US"/>
        </w:rPr>
        <w:t xml:space="preserve">EDF Energy. (2021, 10 26). </w:t>
      </w:r>
      <w:r>
        <w:rPr>
          <w:i/>
          <w:iCs/>
          <w:noProof/>
          <w:lang w:val="en-US"/>
        </w:rPr>
        <w:t>Vehicle to Grid (V2G) Business Solution</w:t>
      </w:r>
      <w:r>
        <w:rPr>
          <w:noProof/>
          <w:lang w:val="en-US"/>
        </w:rPr>
        <w:t>. Retrieved from EDF Energy: https://www.edfenergy.com/electric-cars/vehicle-grid</w:t>
      </w:r>
    </w:p>
    <w:p w14:paraId="5FA37EBD" w14:textId="77777777" w:rsidR="00055779" w:rsidRDefault="00055779" w:rsidP="00D27DE6">
      <w:pPr>
        <w:pStyle w:val="Bibliography"/>
        <w:spacing w:line="360" w:lineRule="auto"/>
        <w:ind w:left="720" w:hanging="720"/>
        <w:rPr>
          <w:noProof/>
          <w:lang w:val="en-US"/>
        </w:rPr>
      </w:pPr>
      <w:r>
        <w:rPr>
          <w:noProof/>
          <w:lang w:val="en-US"/>
        </w:rPr>
        <w:t xml:space="preserve">Flexi-Orb. (2021, 11 04). </w:t>
      </w:r>
      <w:r>
        <w:rPr>
          <w:i/>
          <w:iCs/>
          <w:noProof/>
          <w:lang w:val="en-US"/>
        </w:rPr>
        <w:t>What is Vehicle to Grid</w:t>
      </w:r>
      <w:r>
        <w:rPr>
          <w:noProof/>
          <w:lang w:val="en-US"/>
        </w:rPr>
        <w:t>. Retrieved from Flexi-Orb: https://www.flexi-orb.com/electric-vehicles/vehicle-to-grid/</w:t>
      </w:r>
    </w:p>
    <w:p w14:paraId="1E41EF94" w14:textId="77777777" w:rsidR="00055779" w:rsidRDefault="00055779" w:rsidP="00D27DE6">
      <w:pPr>
        <w:pStyle w:val="Bibliography"/>
        <w:spacing w:line="360" w:lineRule="auto"/>
        <w:ind w:left="720" w:hanging="720"/>
        <w:rPr>
          <w:noProof/>
          <w:lang w:val="en-US"/>
        </w:rPr>
      </w:pPr>
      <w:r>
        <w:rPr>
          <w:noProof/>
          <w:lang w:val="en-US"/>
        </w:rPr>
        <w:t xml:space="preserve">Gerber, K. (2021, 11 05). </w:t>
      </w:r>
      <w:r>
        <w:rPr>
          <w:i/>
          <w:iCs/>
          <w:noProof/>
          <w:lang w:val="en-US"/>
        </w:rPr>
        <w:t>Why we are probably not running out of lithium</w:t>
      </w:r>
      <w:r>
        <w:rPr>
          <w:noProof/>
          <w:lang w:val="en-US"/>
        </w:rPr>
        <w:t>. Retrieved from Linkedin: https://ec.europa.eu/environment/integration/research/newsalert/pdf/understanding_degradation_battery_life_key_successful_v2g_523na1_en.pdf</w:t>
      </w:r>
    </w:p>
    <w:p w14:paraId="6290CF37" w14:textId="77777777" w:rsidR="00055779" w:rsidRDefault="00055779" w:rsidP="00D27DE6">
      <w:pPr>
        <w:pStyle w:val="Bibliography"/>
        <w:spacing w:line="360" w:lineRule="auto"/>
        <w:ind w:left="720" w:hanging="720"/>
        <w:rPr>
          <w:noProof/>
          <w:lang w:val="en-US"/>
        </w:rPr>
      </w:pPr>
      <w:r>
        <w:rPr>
          <w:noProof/>
          <w:lang w:val="en-US"/>
        </w:rPr>
        <w:t xml:space="preserve">Lopazanski, C. (2012). </w:t>
      </w:r>
      <w:r>
        <w:rPr>
          <w:i/>
          <w:iCs/>
          <w:noProof/>
          <w:lang w:val="en-US"/>
        </w:rPr>
        <w:t>Ethical Issues and Controversies.</w:t>
      </w:r>
      <w:r>
        <w:rPr>
          <w:noProof/>
          <w:lang w:val="en-US"/>
        </w:rPr>
        <w:t xml:space="preserve"> Durham: North Carolina School of Science and Mathematics.</w:t>
      </w:r>
    </w:p>
    <w:p w14:paraId="686A51A3" w14:textId="77777777" w:rsidR="00055779" w:rsidRDefault="00055779" w:rsidP="00D27DE6">
      <w:pPr>
        <w:pStyle w:val="Bibliography"/>
        <w:spacing w:line="360" w:lineRule="auto"/>
        <w:ind w:left="720" w:hanging="720"/>
        <w:rPr>
          <w:noProof/>
          <w:lang w:val="en-US"/>
        </w:rPr>
      </w:pPr>
      <w:r>
        <w:rPr>
          <w:noProof/>
          <w:lang w:val="en-US"/>
        </w:rPr>
        <w:t xml:space="preserve">Newmotion. (2021, 10 25). </w:t>
      </w:r>
      <w:r>
        <w:rPr>
          <w:i/>
          <w:iCs/>
          <w:noProof/>
          <w:lang w:val="en-US"/>
        </w:rPr>
        <w:t>The Future of EV Charging with V2X</w:t>
      </w:r>
      <w:r>
        <w:rPr>
          <w:noProof/>
          <w:lang w:val="en-US"/>
        </w:rPr>
        <w:t>. Retrieved from Newmotion - A Member of the Shell Group: https://kb.osu.edu/bitstream/handle/1811/307/Poratable_Automotive_Damper_Diagnostic_System.pdf?sequence=1&amp;isAllowed=y</w:t>
      </w:r>
    </w:p>
    <w:p w14:paraId="51CAC031" w14:textId="77777777" w:rsidR="00055779" w:rsidRDefault="00055779" w:rsidP="00D27DE6">
      <w:pPr>
        <w:pStyle w:val="Bibliography"/>
        <w:spacing w:line="360" w:lineRule="auto"/>
        <w:ind w:left="720" w:hanging="720"/>
        <w:rPr>
          <w:noProof/>
          <w:lang w:val="en-US"/>
        </w:rPr>
      </w:pPr>
      <w:r>
        <w:rPr>
          <w:noProof/>
          <w:lang w:val="en-US"/>
        </w:rPr>
        <w:t xml:space="preserve">Nuclear Energy Agency. (2019). Comparing Nuclear Accident Risks with Those from Other Energy Sources. </w:t>
      </w:r>
      <w:r>
        <w:rPr>
          <w:i/>
          <w:iCs/>
          <w:noProof/>
          <w:lang w:val="en-US"/>
        </w:rPr>
        <w:t>Organisation for Economic Co-Operation and Development</w:t>
      </w:r>
      <w:r>
        <w:rPr>
          <w:noProof/>
          <w:lang w:val="en-US"/>
        </w:rPr>
        <w:t>, 13-15.</w:t>
      </w:r>
    </w:p>
    <w:p w14:paraId="6A3BF9CE" w14:textId="77777777" w:rsidR="00055779" w:rsidRDefault="00055779" w:rsidP="00D27DE6">
      <w:pPr>
        <w:pStyle w:val="Bibliography"/>
        <w:spacing w:line="360" w:lineRule="auto"/>
        <w:ind w:left="720" w:hanging="720"/>
        <w:rPr>
          <w:noProof/>
          <w:lang w:val="en-US"/>
        </w:rPr>
      </w:pPr>
      <w:r>
        <w:rPr>
          <w:noProof/>
          <w:lang w:val="en-US"/>
        </w:rPr>
        <w:t xml:space="preserve">POD. (2021, 11 02). </w:t>
      </w:r>
      <w:r>
        <w:rPr>
          <w:i/>
          <w:iCs/>
          <w:noProof/>
          <w:lang w:val="en-US"/>
        </w:rPr>
        <w:t>EV Charging Connector Types and Speeds</w:t>
      </w:r>
      <w:r>
        <w:rPr>
          <w:noProof/>
          <w:lang w:val="en-US"/>
        </w:rPr>
        <w:t>. Retrieved from Pod Point: https://pod-point.com/guides/driver/ev-connector-types-speed</w:t>
      </w:r>
    </w:p>
    <w:p w14:paraId="19EB4428" w14:textId="77777777" w:rsidR="00055779" w:rsidRDefault="00055779" w:rsidP="00D27DE6">
      <w:pPr>
        <w:pStyle w:val="Bibliography"/>
        <w:spacing w:line="360" w:lineRule="auto"/>
        <w:ind w:left="720" w:hanging="720"/>
        <w:rPr>
          <w:noProof/>
          <w:lang w:val="en-US"/>
        </w:rPr>
      </w:pPr>
      <w:r>
        <w:rPr>
          <w:noProof/>
          <w:lang w:val="en-US"/>
        </w:rPr>
        <w:t xml:space="preserve">Professional Engineering Corporation. (2021). Beat the Blackout. </w:t>
      </w:r>
      <w:r>
        <w:rPr>
          <w:i/>
          <w:iCs/>
          <w:noProof/>
          <w:lang w:val="en-US"/>
        </w:rPr>
        <w:t>Professional Engineering</w:t>
      </w:r>
      <w:r>
        <w:rPr>
          <w:noProof/>
          <w:lang w:val="en-US"/>
        </w:rPr>
        <w:t>, 20-23.</w:t>
      </w:r>
    </w:p>
    <w:p w14:paraId="71A270B8" w14:textId="77777777" w:rsidR="00055779" w:rsidRDefault="00055779" w:rsidP="00D27DE6">
      <w:pPr>
        <w:pStyle w:val="Bibliography"/>
        <w:spacing w:line="360" w:lineRule="auto"/>
        <w:ind w:left="720" w:hanging="720"/>
        <w:rPr>
          <w:noProof/>
          <w:lang w:val="en-US"/>
        </w:rPr>
      </w:pPr>
      <w:r>
        <w:rPr>
          <w:noProof/>
          <w:lang w:val="en-US"/>
        </w:rPr>
        <w:t xml:space="preserve">Uddin, K. (2021, 10 28). </w:t>
      </w:r>
      <w:r>
        <w:rPr>
          <w:i/>
          <w:iCs/>
          <w:noProof/>
          <w:lang w:val="en-US"/>
        </w:rPr>
        <w:t>Understanding degradation of battery life-time is key to successful vehicle to grid systems</w:t>
      </w:r>
      <w:r>
        <w:rPr>
          <w:noProof/>
          <w:lang w:val="en-US"/>
        </w:rPr>
        <w:t>. Retrieved from European Commision - Science for Environment Policy: https://ec.europa.eu/environment/integration/research/newsalert/pdf/understanding_degradation_battery_life_key_successful_v2g_523na1_en.pdf</w:t>
      </w:r>
    </w:p>
    <w:p w14:paraId="7FCB39E7" w14:textId="77777777" w:rsidR="00055779" w:rsidRDefault="00055779" w:rsidP="00D27DE6">
      <w:pPr>
        <w:pStyle w:val="Bibliography"/>
        <w:spacing w:line="360" w:lineRule="auto"/>
        <w:ind w:left="720" w:hanging="720"/>
        <w:rPr>
          <w:noProof/>
          <w:lang w:val="en-US"/>
        </w:rPr>
      </w:pPr>
      <w:r>
        <w:rPr>
          <w:noProof/>
          <w:lang w:val="en-US"/>
        </w:rPr>
        <w:lastRenderedPageBreak/>
        <w:t xml:space="preserve">United Nations Environment Programme. (2013). </w:t>
      </w:r>
      <w:r>
        <w:rPr>
          <w:i/>
          <w:iCs/>
          <w:noProof/>
          <w:lang w:val="en-US"/>
        </w:rPr>
        <w:t>No Immediate Health Risks from Fukushima Nuclear Accident Says UN Expert Science Panel.</w:t>
      </w:r>
      <w:r>
        <w:rPr>
          <w:noProof/>
          <w:lang w:val="en-US"/>
        </w:rPr>
        <w:t xml:space="preserve"> Vienna: UN Information Service.</w:t>
      </w:r>
    </w:p>
    <w:p w14:paraId="327944E3" w14:textId="77777777" w:rsidR="00055779" w:rsidRDefault="00055779" w:rsidP="00D27DE6">
      <w:pPr>
        <w:pStyle w:val="Bibliography"/>
        <w:spacing w:line="360" w:lineRule="auto"/>
        <w:ind w:left="720" w:hanging="720"/>
        <w:rPr>
          <w:noProof/>
          <w:lang w:val="en-US"/>
        </w:rPr>
      </w:pPr>
      <w:r>
        <w:rPr>
          <w:noProof/>
          <w:lang w:val="en-US"/>
        </w:rPr>
        <w:t xml:space="preserve">UNSCEAR. (2008). </w:t>
      </w:r>
      <w:r>
        <w:rPr>
          <w:i/>
          <w:iCs/>
          <w:noProof/>
          <w:lang w:val="en-US"/>
        </w:rPr>
        <w:t>Sources and Effects of Ionizing Radiation.</w:t>
      </w:r>
      <w:r>
        <w:rPr>
          <w:noProof/>
          <w:lang w:val="en-US"/>
        </w:rPr>
        <w:t xml:space="preserve"> Washington: United Nations.</w:t>
      </w:r>
    </w:p>
    <w:p w14:paraId="71547694" w14:textId="77777777" w:rsidR="00055779" w:rsidRDefault="00055779" w:rsidP="00D27DE6">
      <w:pPr>
        <w:pStyle w:val="Bibliography"/>
        <w:spacing w:line="360" w:lineRule="auto"/>
        <w:ind w:left="720" w:hanging="720"/>
        <w:rPr>
          <w:noProof/>
          <w:lang w:val="en-US"/>
        </w:rPr>
      </w:pPr>
      <w:r>
        <w:rPr>
          <w:noProof/>
          <w:lang w:val="en-US"/>
        </w:rPr>
        <w:t xml:space="preserve">World Nuclear Association. (2021, 11 02). </w:t>
      </w:r>
      <w:r>
        <w:rPr>
          <w:i/>
          <w:iCs/>
          <w:noProof/>
          <w:lang w:val="en-US"/>
        </w:rPr>
        <w:t>The Nuclear Debate.</w:t>
      </w:r>
      <w:r>
        <w:rPr>
          <w:noProof/>
          <w:lang w:val="en-US"/>
        </w:rPr>
        <w:t xml:space="preserve"> Retrieved from World Nuclear Association: https://world-nuclear.org/information-library/current-and-future-generation/the-nuclear-debate.aspx</w:t>
      </w:r>
    </w:p>
    <w:p w14:paraId="0888E42F" w14:textId="6C3FC52A" w:rsidR="00872ED9" w:rsidRDefault="00055779" w:rsidP="00D27DE6">
      <w:pPr>
        <w:pStyle w:val="Bibliography"/>
        <w:spacing w:line="360" w:lineRule="auto"/>
        <w:ind w:left="720" w:hanging="720"/>
        <w:rPr>
          <w:rFonts w:ascii="Arial" w:hAnsi="Arial" w:cs="Arial"/>
          <w:sz w:val="22"/>
          <w:lang w:val="en-US"/>
        </w:rPr>
      </w:pPr>
      <w:r>
        <w:rPr>
          <w:noProof/>
          <w:lang w:val="en-US"/>
        </w:rPr>
        <w:t xml:space="preserve">Xiang, H., &amp; Zhu, Y. (2011). The Ethics Issues of Nuclear Energy: Hard Lessons Learned from Chernobyl and Fukushima. </w:t>
      </w:r>
      <w:r>
        <w:rPr>
          <w:i/>
          <w:iCs/>
          <w:noProof/>
          <w:lang w:val="en-US"/>
        </w:rPr>
        <w:t>Online Journal of Health Ethics</w:t>
      </w:r>
      <w:r>
        <w:rPr>
          <w:noProof/>
          <w:lang w:val="en-US"/>
        </w:rPr>
        <w:t>, 2-4.</w:t>
      </w:r>
      <w:r>
        <w:rPr>
          <w:rFonts w:ascii="Arial" w:hAnsi="Arial" w:cs="Arial"/>
          <w:sz w:val="22"/>
          <w:lang w:val="en-US"/>
        </w:rPr>
        <w:fldChar w:fldCharType="end"/>
      </w:r>
    </w:p>
    <w:sectPr w:rsidR="00872ED9" w:rsidSect="00B10FD3">
      <w:headerReference w:type="default" r:id="rId18"/>
      <w:footerReference w:type="defaul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C9BC2B" w14:textId="77777777" w:rsidR="00DF4A82" w:rsidRDefault="00DF4A82" w:rsidP="00382BCA">
      <w:pPr>
        <w:spacing w:after="0" w:line="240" w:lineRule="auto"/>
      </w:pPr>
      <w:r>
        <w:separator/>
      </w:r>
    </w:p>
  </w:endnote>
  <w:endnote w:type="continuationSeparator" w:id="0">
    <w:p w14:paraId="2DD030F4" w14:textId="77777777" w:rsidR="00DF4A82" w:rsidRDefault="00DF4A82" w:rsidP="00382B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737166774"/>
      <w:docPartObj>
        <w:docPartGallery w:val="Page Numbers (Bottom of Page)"/>
        <w:docPartUnique/>
      </w:docPartObj>
    </w:sdtPr>
    <w:sdtEndPr>
      <w:rPr>
        <w:noProof/>
      </w:rPr>
    </w:sdtEndPr>
    <w:sdtContent>
      <w:p w14:paraId="260CD159" w14:textId="3FB5C1C6" w:rsidR="00382BCA" w:rsidRDefault="00B10FD3">
        <w:pPr>
          <w:pStyle w:val="Footer"/>
          <w:jc w:val="right"/>
          <w:rPr>
            <w:rFonts w:asciiTheme="majorHAnsi" w:eastAsiaTheme="majorEastAsia" w:hAnsiTheme="majorHAnsi" w:cstheme="majorBidi"/>
            <w:sz w:val="28"/>
            <w:szCs w:val="28"/>
          </w:rPr>
        </w:pPr>
        <w:r w:rsidRPr="00382BCA">
          <w:rPr>
            <w:rFonts w:ascii="Arial" w:hAnsi="Arial" w:cs="Arial"/>
            <w:noProof/>
          </w:rPr>
          <w:drawing>
            <wp:anchor distT="0" distB="0" distL="114300" distR="114300" simplePos="0" relativeHeight="251660288" behindDoc="0" locked="0" layoutInCell="1" allowOverlap="1" wp14:anchorId="3AD7A910" wp14:editId="6AE870ED">
              <wp:simplePos x="0" y="0"/>
              <wp:positionH relativeFrom="page">
                <wp:posOffset>359228</wp:posOffset>
              </wp:positionH>
              <wp:positionV relativeFrom="paragraph">
                <wp:posOffset>10886</wp:posOffset>
              </wp:positionV>
              <wp:extent cx="1114425" cy="445770"/>
              <wp:effectExtent l="0" t="0" r="9525" b="0"/>
              <wp:wrapNone/>
              <wp:docPr id="3" name="Picture 3"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 Logo.png"/>
                      <pic:cNvPicPr/>
                    </pic:nvPicPr>
                    <pic:blipFill>
                      <a:blip r:embed="rId1">
                        <a:extLst>
                          <a:ext uri="{28A0092B-C50C-407E-A947-70E740481C1C}">
                            <a14:useLocalDpi xmlns:a14="http://schemas.microsoft.com/office/drawing/2010/main" val="0"/>
                          </a:ext>
                        </a:extLst>
                      </a:blip>
                      <a:stretch>
                        <a:fillRect/>
                      </a:stretch>
                    </pic:blipFill>
                    <pic:spPr>
                      <a:xfrm>
                        <a:off x="0" y="0"/>
                        <a:ext cx="1114425" cy="445770"/>
                      </a:xfrm>
                      <a:prstGeom prst="rect">
                        <a:avLst/>
                      </a:prstGeom>
                    </pic:spPr>
                  </pic:pic>
                </a:graphicData>
              </a:graphic>
              <wp14:sizeRelH relativeFrom="page">
                <wp14:pctWidth>0</wp14:pctWidth>
              </wp14:sizeRelH>
              <wp14:sizeRelV relativeFrom="page">
                <wp14:pctHeight>0</wp14:pctHeight>
              </wp14:sizeRelV>
            </wp:anchor>
          </w:drawing>
        </w:r>
        <w:r w:rsidR="00382BCA" w:rsidRPr="00382BCA">
          <w:rPr>
            <w:rFonts w:asciiTheme="majorHAnsi" w:eastAsiaTheme="majorEastAsia" w:hAnsiTheme="majorHAnsi" w:cstheme="majorBidi"/>
            <w:szCs w:val="24"/>
          </w:rPr>
          <w:t xml:space="preserve">pg. </w:t>
        </w:r>
        <w:r w:rsidR="00382BCA" w:rsidRPr="00382BCA">
          <w:rPr>
            <w:rFonts w:eastAsiaTheme="minorEastAsia" w:cs="Times New Roman"/>
            <w:sz w:val="20"/>
            <w:szCs w:val="20"/>
          </w:rPr>
          <w:fldChar w:fldCharType="begin"/>
        </w:r>
        <w:r w:rsidR="00382BCA" w:rsidRPr="00382BCA">
          <w:rPr>
            <w:sz w:val="22"/>
            <w:szCs w:val="20"/>
          </w:rPr>
          <w:instrText xml:space="preserve"> PAGE    \* MERGEFORMAT </w:instrText>
        </w:r>
        <w:r w:rsidR="00382BCA" w:rsidRPr="00382BCA">
          <w:rPr>
            <w:rFonts w:eastAsiaTheme="minorEastAsia" w:cs="Times New Roman"/>
            <w:sz w:val="20"/>
            <w:szCs w:val="20"/>
          </w:rPr>
          <w:fldChar w:fldCharType="separate"/>
        </w:r>
        <w:r w:rsidR="00382BCA" w:rsidRPr="00382BCA">
          <w:rPr>
            <w:rFonts w:asciiTheme="majorHAnsi" w:eastAsiaTheme="majorEastAsia" w:hAnsiTheme="majorHAnsi" w:cstheme="majorBidi"/>
            <w:noProof/>
            <w:szCs w:val="24"/>
          </w:rPr>
          <w:t>2</w:t>
        </w:r>
        <w:r w:rsidR="00382BCA" w:rsidRPr="00382BCA">
          <w:rPr>
            <w:rFonts w:asciiTheme="majorHAnsi" w:eastAsiaTheme="majorEastAsia" w:hAnsiTheme="majorHAnsi" w:cstheme="majorBidi"/>
            <w:noProof/>
            <w:szCs w:val="24"/>
          </w:rPr>
          <w:fldChar w:fldCharType="end"/>
        </w:r>
      </w:p>
    </w:sdtContent>
  </w:sdt>
  <w:p w14:paraId="21FA765B" w14:textId="77777777" w:rsidR="00382BCA" w:rsidRDefault="00382B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1171D1" w14:textId="77777777" w:rsidR="00DF4A82" w:rsidRDefault="00DF4A82" w:rsidP="00382BCA">
      <w:pPr>
        <w:spacing w:after="0" w:line="240" w:lineRule="auto"/>
      </w:pPr>
      <w:r>
        <w:separator/>
      </w:r>
    </w:p>
  </w:footnote>
  <w:footnote w:type="continuationSeparator" w:id="0">
    <w:p w14:paraId="4DC5ED4A" w14:textId="77777777" w:rsidR="00DF4A82" w:rsidRDefault="00DF4A82" w:rsidP="00382B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16D343" w14:textId="4B309DF4" w:rsidR="00382BCA" w:rsidRDefault="00382BCA">
    <w:pPr>
      <w:pStyle w:val="Header"/>
    </w:pPr>
    <w:r w:rsidRPr="00382BCA">
      <w:rPr>
        <w:rFonts w:ascii="Arial" w:hAnsi="Arial" w:cs="Arial"/>
        <w:noProof/>
      </w:rPr>
      <w:drawing>
        <wp:anchor distT="0" distB="0" distL="114300" distR="114300" simplePos="0" relativeHeight="251657216" behindDoc="0" locked="0" layoutInCell="1" allowOverlap="1" wp14:anchorId="23287A4D" wp14:editId="66E9FC0E">
          <wp:simplePos x="0" y="0"/>
          <wp:positionH relativeFrom="page">
            <wp:posOffset>6096000</wp:posOffset>
          </wp:positionH>
          <wp:positionV relativeFrom="paragraph">
            <wp:posOffset>-78105</wp:posOffset>
          </wp:positionV>
          <wp:extent cx="1114425" cy="445770"/>
          <wp:effectExtent l="0" t="0" r="9525" b="0"/>
          <wp:wrapNone/>
          <wp:docPr id="2" name="Picture 2"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 Logo.png"/>
                  <pic:cNvPicPr/>
                </pic:nvPicPr>
                <pic:blipFill>
                  <a:blip r:embed="rId1">
                    <a:extLst>
                      <a:ext uri="{28A0092B-C50C-407E-A947-70E740481C1C}">
                        <a14:useLocalDpi xmlns:a14="http://schemas.microsoft.com/office/drawing/2010/main" val="0"/>
                      </a:ext>
                    </a:extLst>
                  </a:blip>
                  <a:stretch>
                    <a:fillRect/>
                  </a:stretch>
                </pic:blipFill>
                <pic:spPr>
                  <a:xfrm>
                    <a:off x="0" y="0"/>
                    <a:ext cx="1114425" cy="445770"/>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DE6112"/>
    <w:multiLevelType w:val="hybridMultilevel"/>
    <w:tmpl w:val="85FA7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BCA"/>
    <w:rsid w:val="000062B5"/>
    <w:rsid w:val="00006596"/>
    <w:rsid w:val="00013BC2"/>
    <w:rsid w:val="0002452A"/>
    <w:rsid w:val="00035011"/>
    <w:rsid w:val="00055779"/>
    <w:rsid w:val="0005711D"/>
    <w:rsid w:val="00066F7B"/>
    <w:rsid w:val="000874F1"/>
    <w:rsid w:val="000908F4"/>
    <w:rsid w:val="000C7FFE"/>
    <w:rsid w:val="000E3DD0"/>
    <w:rsid w:val="001C3B5C"/>
    <w:rsid w:val="001D150E"/>
    <w:rsid w:val="001E377B"/>
    <w:rsid w:val="0020603D"/>
    <w:rsid w:val="002266F0"/>
    <w:rsid w:val="00246AC8"/>
    <w:rsid w:val="002629B2"/>
    <w:rsid w:val="0026400E"/>
    <w:rsid w:val="002848E8"/>
    <w:rsid w:val="00286047"/>
    <w:rsid w:val="002A269B"/>
    <w:rsid w:val="002A7A38"/>
    <w:rsid w:val="002B2529"/>
    <w:rsid w:val="002E5C88"/>
    <w:rsid w:val="002F0085"/>
    <w:rsid w:val="003054BD"/>
    <w:rsid w:val="00333ACE"/>
    <w:rsid w:val="003413C2"/>
    <w:rsid w:val="0036132D"/>
    <w:rsid w:val="00370309"/>
    <w:rsid w:val="00371CCA"/>
    <w:rsid w:val="00377227"/>
    <w:rsid w:val="00382BCA"/>
    <w:rsid w:val="003849F1"/>
    <w:rsid w:val="003E2C38"/>
    <w:rsid w:val="00446C63"/>
    <w:rsid w:val="004C06FC"/>
    <w:rsid w:val="004D2F1B"/>
    <w:rsid w:val="004F3BD8"/>
    <w:rsid w:val="00501B98"/>
    <w:rsid w:val="00533F96"/>
    <w:rsid w:val="005505BF"/>
    <w:rsid w:val="00554FD4"/>
    <w:rsid w:val="00555743"/>
    <w:rsid w:val="00584152"/>
    <w:rsid w:val="005B0ACE"/>
    <w:rsid w:val="005C12EC"/>
    <w:rsid w:val="005C65E9"/>
    <w:rsid w:val="00601871"/>
    <w:rsid w:val="00605505"/>
    <w:rsid w:val="006608C4"/>
    <w:rsid w:val="00692D80"/>
    <w:rsid w:val="006A5C56"/>
    <w:rsid w:val="006D06FC"/>
    <w:rsid w:val="006E10D6"/>
    <w:rsid w:val="006E6C7D"/>
    <w:rsid w:val="00705BEC"/>
    <w:rsid w:val="00734E14"/>
    <w:rsid w:val="00741423"/>
    <w:rsid w:val="00742190"/>
    <w:rsid w:val="007802E0"/>
    <w:rsid w:val="00783B41"/>
    <w:rsid w:val="007941D2"/>
    <w:rsid w:val="007C4AD4"/>
    <w:rsid w:val="007C57A6"/>
    <w:rsid w:val="0080168B"/>
    <w:rsid w:val="00810407"/>
    <w:rsid w:val="00823487"/>
    <w:rsid w:val="008266EA"/>
    <w:rsid w:val="00867611"/>
    <w:rsid w:val="008727B7"/>
    <w:rsid w:val="00872ED9"/>
    <w:rsid w:val="00892772"/>
    <w:rsid w:val="0089297B"/>
    <w:rsid w:val="008A0753"/>
    <w:rsid w:val="008C7AE6"/>
    <w:rsid w:val="008E76B0"/>
    <w:rsid w:val="0091137C"/>
    <w:rsid w:val="009155AF"/>
    <w:rsid w:val="00930E70"/>
    <w:rsid w:val="00943C25"/>
    <w:rsid w:val="009454B6"/>
    <w:rsid w:val="00957F93"/>
    <w:rsid w:val="00961A3E"/>
    <w:rsid w:val="00965CBD"/>
    <w:rsid w:val="009A26C2"/>
    <w:rsid w:val="009D0F9F"/>
    <w:rsid w:val="00A13914"/>
    <w:rsid w:val="00A71F8B"/>
    <w:rsid w:val="00A847F1"/>
    <w:rsid w:val="00A91535"/>
    <w:rsid w:val="00AA0C8D"/>
    <w:rsid w:val="00AC00E8"/>
    <w:rsid w:val="00AE3251"/>
    <w:rsid w:val="00B00122"/>
    <w:rsid w:val="00B10FD3"/>
    <w:rsid w:val="00B4281E"/>
    <w:rsid w:val="00B453CC"/>
    <w:rsid w:val="00B91409"/>
    <w:rsid w:val="00B91F27"/>
    <w:rsid w:val="00BA1B70"/>
    <w:rsid w:val="00BE28CA"/>
    <w:rsid w:val="00BF3D88"/>
    <w:rsid w:val="00C00123"/>
    <w:rsid w:val="00C01B4A"/>
    <w:rsid w:val="00C52E21"/>
    <w:rsid w:val="00CD0849"/>
    <w:rsid w:val="00CE57C7"/>
    <w:rsid w:val="00D03357"/>
    <w:rsid w:val="00D1410F"/>
    <w:rsid w:val="00D27DE6"/>
    <w:rsid w:val="00D4154F"/>
    <w:rsid w:val="00D47F27"/>
    <w:rsid w:val="00DA01F2"/>
    <w:rsid w:val="00DA54D2"/>
    <w:rsid w:val="00DB4293"/>
    <w:rsid w:val="00DC70AF"/>
    <w:rsid w:val="00DD0B1E"/>
    <w:rsid w:val="00DD4FAB"/>
    <w:rsid w:val="00DF4A82"/>
    <w:rsid w:val="00E155EA"/>
    <w:rsid w:val="00E44301"/>
    <w:rsid w:val="00E95A2F"/>
    <w:rsid w:val="00EE24C2"/>
    <w:rsid w:val="00F22466"/>
    <w:rsid w:val="00F81291"/>
    <w:rsid w:val="00FE61E8"/>
    <w:rsid w:val="00FF23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8318F8"/>
  <w15:chartTrackingRefBased/>
  <w15:docId w15:val="{1FEBE293-1426-47D9-89A3-812F8A040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BCA"/>
    <w:rPr>
      <w:sz w:val="24"/>
    </w:rPr>
  </w:style>
  <w:style w:type="paragraph" w:styleId="Heading1">
    <w:name w:val="heading 1"/>
    <w:basedOn w:val="Normal"/>
    <w:next w:val="Normal"/>
    <w:link w:val="Heading1Char"/>
    <w:uiPriority w:val="9"/>
    <w:qFormat/>
    <w:rsid w:val="00382B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2B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BC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82BCA"/>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382B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BCA"/>
    <w:rPr>
      <w:sz w:val="24"/>
    </w:rPr>
  </w:style>
  <w:style w:type="paragraph" w:styleId="Footer">
    <w:name w:val="footer"/>
    <w:basedOn w:val="Normal"/>
    <w:link w:val="FooterChar"/>
    <w:uiPriority w:val="99"/>
    <w:unhideWhenUsed/>
    <w:rsid w:val="00382B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BCA"/>
    <w:rPr>
      <w:sz w:val="24"/>
    </w:rPr>
  </w:style>
  <w:style w:type="paragraph" w:styleId="ListParagraph">
    <w:name w:val="List Paragraph"/>
    <w:basedOn w:val="Normal"/>
    <w:uiPriority w:val="34"/>
    <w:qFormat/>
    <w:rsid w:val="00A13914"/>
    <w:pPr>
      <w:ind w:left="720"/>
      <w:contextualSpacing/>
    </w:pPr>
  </w:style>
  <w:style w:type="character" w:styleId="Hyperlink">
    <w:name w:val="Hyperlink"/>
    <w:basedOn w:val="DefaultParagraphFont"/>
    <w:uiPriority w:val="99"/>
    <w:unhideWhenUsed/>
    <w:rsid w:val="00DB4293"/>
    <w:rPr>
      <w:color w:val="0000FF"/>
      <w:u w:val="single"/>
    </w:rPr>
  </w:style>
  <w:style w:type="character" w:styleId="FollowedHyperlink">
    <w:name w:val="FollowedHyperlink"/>
    <w:basedOn w:val="DefaultParagraphFont"/>
    <w:uiPriority w:val="99"/>
    <w:semiHidden/>
    <w:unhideWhenUsed/>
    <w:rsid w:val="00783B41"/>
    <w:rPr>
      <w:color w:val="954F72" w:themeColor="followedHyperlink"/>
      <w:u w:val="single"/>
    </w:rPr>
  </w:style>
  <w:style w:type="paragraph" w:styleId="Bibliography">
    <w:name w:val="Bibliography"/>
    <w:basedOn w:val="Normal"/>
    <w:next w:val="Normal"/>
    <w:uiPriority w:val="37"/>
    <w:unhideWhenUsed/>
    <w:rsid w:val="009454B6"/>
  </w:style>
  <w:style w:type="paragraph" w:styleId="Caption">
    <w:name w:val="caption"/>
    <w:basedOn w:val="Normal"/>
    <w:next w:val="Normal"/>
    <w:uiPriority w:val="35"/>
    <w:unhideWhenUsed/>
    <w:qFormat/>
    <w:rsid w:val="008C7AE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84152"/>
    <w:pPr>
      <w:spacing w:after="0"/>
    </w:pPr>
  </w:style>
  <w:style w:type="paragraph" w:styleId="TOCHeading">
    <w:name w:val="TOC Heading"/>
    <w:basedOn w:val="Heading1"/>
    <w:next w:val="Normal"/>
    <w:uiPriority w:val="39"/>
    <w:unhideWhenUsed/>
    <w:qFormat/>
    <w:rsid w:val="007C57A6"/>
    <w:pPr>
      <w:outlineLvl w:val="9"/>
    </w:pPr>
    <w:rPr>
      <w:lang w:val="en-US"/>
    </w:rPr>
  </w:style>
  <w:style w:type="paragraph" w:styleId="TOC1">
    <w:name w:val="toc 1"/>
    <w:basedOn w:val="Normal"/>
    <w:next w:val="Normal"/>
    <w:autoRedefine/>
    <w:uiPriority w:val="39"/>
    <w:unhideWhenUsed/>
    <w:rsid w:val="007C57A6"/>
    <w:pPr>
      <w:spacing w:after="100"/>
    </w:pPr>
  </w:style>
  <w:style w:type="paragraph" w:styleId="TOC2">
    <w:name w:val="toc 2"/>
    <w:basedOn w:val="Normal"/>
    <w:next w:val="Normal"/>
    <w:autoRedefine/>
    <w:uiPriority w:val="39"/>
    <w:unhideWhenUsed/>
    <w:rsid w:val="007C57A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86104">
      <w:bodyDiv w:val="1"/>
      <w:marLeft w:val="0"/>
      <w:marRight w:val="0"/>
      <w:marTop w:val="0"/>
      <w:marBottom w:val="0"/>
      <w:divBdr>
        <w:top w:val="none" w:sz="0" w:space="0" w:color="auto"/>
        <w:left w:val="none" w:sz="0" w:space="0" w:color="auto"/>
        <w:bottom w:val="none" w:sz="0" w:space="0" w:color="auto"/>
        <w:right w:val="none" w:sz="0" w:space="0" w:color="auto"/>
      </w:divBdr>
    </w:div>
    <w:div w:id="188763841">
      <w:bodyDiv w:val="1"/>
      <w:marLeft w:val="0"/>
      <w:marRight w:val="0"/>
      <w:marTop w:val="0"/>
      <w:marBottom w:val="0"/>
      <w:divBdr>
        <w:top w:val="none" w:sz="0" w:space="0" w:color="auto"/>
        <w:left w:val="none" w:sz="0" w:space="0" w:color="auto"/>
        <w:bottom w:val="none" w:sz="0" w:space="0" w:color="auto"/>
        <w:right w:val="none" w:sz="0" w:space="0" w:color="auto"/>
      </w:divBdr>
    </w:div>
    <w:div w:id="248393743">
      <w:bodyDiv w:val="1"/>
      <w:marLeft w:val="0"/>
      <w:marRight w:val="0"/>
      <w:marTop w:val="0"/>
      <w:marBottom w:val="0"/>
      <w:divBdr>
        <w:top w:val="none" w:sz="0" w:space="0" w:color="auto"/>
        <w:left w:val="none" w:sz="0" w:space="0" w:color="auto"/>
        <w:bottom w:val="none" w:sz="0" w:space="0" w:color="auto"/>
        <w:right w:val="none" w:sz="0" w:space="0" w:color="auto"/>
      </w:divBdr>
    </w:div>
    <w:div w:id="277642360">
      <w:bodyDiv w:val="1"/>
      <w:marLeft w:val="0"/>
      <w:marRight w:val="0"/>
      <w:marTop w:val="0"/>
      <w:marBottom w:val="0"/>
      <w:divBdr>
        <w:top w:val="none" w:sz="0" w:space="0" w:color="auto"/>
        <w:left w:val="none" w:sz="0" w:space="0" w:color="auto"/>
        <w:bottom w:val="none" w:sz="0" w:space="0" w:color="auto"/>
        <w:right w:val="none" w:sz="0" w:space="0" w:color="auto"/>
      </w:divBdr>
    </w:div>
    <w:div w:id="306131293">
      <w:bodyDiv w:val="1"/>
      <w:marLeft w:val="0"/>
      <w:marRight w:val="0"/>
      <w:marTop w:val="0"/>
      <w:marBottom w:val="0"/>
      <w:divBdr>
        <w:top w:val="none" w:sz="0" w:space="0" w:color="auto"/>
        <w:left w:val="none" w:sz="0" w:space="0" w:color="auto"/>
        <w:bottom w:val="none" w:sz="0" w:space="0" w:color="auto"/>
        <w:right w:val="none" w:sz="0" w:space="0" w:color="auto"/>
      </w:divBdr>
    </w:div>
    <w:div w:id="458959980">
      <w:bodyDiv w:val="1"/>
      <w:marLeft w:val="0"/>
      <w:marRight w:val="0"/>
      <w:marTop w:val="0"/>
      <w:marBottom w:val="0"/>
      <w:divBdr>
        <w:top w:val="none" w:sz="0" w:space="0" w:color="auto"/>
        <w:left w:val="none" w:sz="0" w:space="0" w:color="auto"/>
        <w:bottom w:val="none" w:sz="0" w:space="0" w:color="auto"/>
        <w:right w:val="none" w:sz="0" w:space="0" w:color="auto"/>
      </w:divBdr>
    </w:div>
    <w:div w:id="497235567">
      <w:bodyDiv w:val="1"/>
      <w:marLeft w:val="0"/>
      <w:marRight w:val="0"/>
      <w:marTop w:val="0"/>
      <w:marBottom w:val="0"/>
      <w:divBdr>
        <w:top w:val="none" w:sz="0" w:space="0" w:color="auto"/>
        <w:left w:val="none" w:sz="0" w:space="0" w:color="auto"/>
        <w:bottom w:val="none" w:sz="0" w:space="0" w:color="auto"/>
        <w:right w:val="none" w:sz="0" w:space="0" w:color="auto"/>
      </w:divBdr>
    </w:div>
    <w:div w:id="517080873">
      <w:bodyDiv w:val="1"/>
      <w:marLeft w:val="0"/>
      <w:marRight w:val="0"/>
      <w:marTop w:val="0"/>
      <w:marBottom w:val="0"/>
      <w:divBdr>
        <w:top w:val="none" w:sz="0" w:space="0" w:color="auto"/>
        <w:left w:val="none" w:sz="0" w:space="0" w:color="auto"/>
        <w:bottom w:val="none" w:sz="0" w:space="0" w:color="auto"/>
        <w:right w:val="none" w:sz="0" w:space="0" w:color="auto"/>
      </w:divBdr>
    </w:div>
    <w:div w:id="572279285">
      <w:bodyDiv w:val="1"/>
      <w:marLeft w:val="0"/>
      <w:marRight w:val="0"/>
      <w:marTop w:val="0"/>
      <w:marBottom w:val="0"/>
      <w:divBdr>
        <w:top w:val="none" w:sz="0" w:space="0" w:color="auto"/>
        <w:left w:val="none" w:sz="0" w:space="0" w:color="auto"/>
        <w:bottom w:val="none" w:sz="0" w:space="0" w:color="auto"/>
        <w:right w:val="none" w:sz="0" w:space="0" w:color="auto"/>
      </w:divBdr>
    </w:div>
    <w:div w:id="667028119">
      <w:bodyDiv w:val="1"/>
      <w:marLeft w:val="0"/>
      <w:marRight w:val="0"/>
      <w:marTop w:val="0"/>
      <w:marBottom w:val="0"/>
      <w:divBdr>
        <w:top w:val="none" w:sz="0" w:space="0" w:color="auto"/>
        <w:left w:val="none" w:sz="0" w:space="0" w:color="auto"/>
        <w:bottom w:val="none" w:sz="0" w:space="0" w:color="auto"/>
        <w:right w:val="none" w:sz="0" w:space="0" w:color="auto"/>
      </w:divBdr>
    </w:div>
    <w:div w:id="694892081">
      <w:bodyDiv w:val="1"/>
      <w:marLeft w:val="0"/>
      <w:marRight w:val="0"/>
      <w:marTop w:val="0"/>
      <w:marBottom w:val="0"/>
      <w:divBdr>
        <w:top w:val="none" w:sz="0" w:space="0" w:color="auto"/>
        <w:left w:val="none" w:sz="0" w:space="0" w:color="auto"/>
        <w:bottom w:val="none" w:sz="0" w:space="0" w:color="auto"/>
        <w:right w:val="none" w:sz="0" w:space="0" w:color="auto"/>
      </w:divBdr>
    </w:div>
    <w:div w:id="763375731">
      <w:bodyDiv w:val="1"/>
      <w:marLeft w:val="0"/>
      <w:marRight w:val="0"/>
      <w:marTop w:val="0"/>
      <w:marBottom w:val="0"/>
      <w:divBdr>
        <w:top w:val="none" w:sz="0" w:space="0" w:color="auto"/>
        <w:left w:val="none" w:sz="0" w:space="0" w:color="auto"/>
        <w:bottom w:val="none" w:sz="0" w:space="0" w:color="auto"/>
        <w:right w:val="none" w:sz="0" w:space="0" w:color="auto"/>
      </w:divBdr>
    </w:div>
    <w:div w:id="785075093">
      <w:bodyDiv w:val="1"/>
      <w:marLeft w:val="0"/>
      <w:marRight w:val="0"/>
      <w:marTop w:val="0"/>
      <w:marBottom w:val="0"/>
      <w:divBdr>
        <w:top w:val="none" w:sz="0" w:space="0" w:color="auto"/>
        <w:left w:val="none" w:sz="0" w:space="0" w:color="auto"/>
        <w:bottom w:val="none" w:sz="0" w:space="0" w:color="auto"/>
        <w:right w:val="none" w:sz="0" w:space="0" w:color="auto"/>
      </w:divBdr>
    </w:div>
    <w:div w:id="891696221">
      <w:bodyDiv w:val="1"/>
      <w:marLeft w:val="0"/>
      <w:marRight w:val="0"/>
      <w:marTop w:val="0"/>
      <w:marBottom w:val="0"/>
      <w:divBdr>
        <w:top w:val="none" w:sz="0" w:space="0" w:color="auto"/>
        <w:left w:val="none" w:sz="0" w:space="0" w:color="auto"/>
        <w:bottom w:val="none" w:sz="0" w:space="0" w:color="auto"/>
        <w:right w:val="none" w:sz="0" w:space="0" w:color="auto"/>
      </w:divBdr>
    </w:div>
    <w:div w:id="894120842">
      <w:bodyDiv w:val="1"/>
      <w:marLeft w:val="0"/>
      <w:marRight w:val="0"/>
      <w:marTop w:val="0"/>
      <w:marBottom w:val="0"/>
      <w:divBdr>
        <w:top w:val="none" w:sz="0" w:space="0" w:color="auto"/>
        <w:left w:val="none" w:sz="0" w:space="0" w:color="auto"/>
        <w:bottom w:val="none" w:sz="0" w:space="0" w:color="auto"/>
        <w:right w:val="none" w:sz="0" w:space="0" w:color="auto"/>
      </w:divBdr>
    </w:div>
    <w:div w:id="920413843">
      <w:bodyDiv w:val="1"/>
      <w:marLeft w:val="0"/>
      <w:marRight w:val="0"/>
      <w:marTop w:val="0"/>
      <w:marBottom w:val="0"/>
      <w:divBdr>
        <w:top w:val="none" w:sz="0" w:space="0" w:color="auto"/>
        <w:left w:val="none" w:sz="0" w:space="0" w:color="auto"/>
        <w:bottom w:val="none" w:sz="0" w:space="0" w:color="auto"/>
        <w:right w:val="none" w:sz="0" w:space="0" w:color="auto"/>
      </w:divBdr>
    </w:div>
    <w:div w:id="953053144">
      <w:bodyDiv w:val="1"/>
      <w:marLeft w:val="0"/>
      <w:marRight w:val="0"/>
      <w:marTop w:val="0"/>
      <w:marBottom w:val="0"/>
      <w:divBdr>
        <w:top w:val="none" w:sz="0" w:space="0" w:color="auto"/>
        <w:left w:val="none" w:sz="0" w:space="0" w:color="auto"/>
        <w:bottom w:val="none" w:sz="0" w:space="0" w:color="auto"/>
        <w:right w:val="none" w:sz="0" w:space="0" w:color="auto"/>
      </w:divBdr>
    </w:div>
    <w:div w:id="1011225414">
      <w:bodyDiv w:val="1"/>
      <w:marLeft w:val="0"/>
      <w:marRight w:val="0"/>
      <w:marTop w:val="0"/>
      <w:marBottom w:val="0"/>
      <w:divBdr>
        <w:top w:val="none" w:sz="0" w:space="0" w:color="auto"/>
        <w:left w:val="none" w:sz="0" w:space="0" w:color="auto"/>
        <w:bottom w:val="none" w:sz="0" w:space="0" w:color="auto"/>
        <w:right w:val="none" w:sz="0" w:space="0" w:color="auto"/>
      </w:divBdr>
    </w:div>
    <w:div w:id="1070731297">
      <w:bodyDiv w:val="1"/>
      <w:marLeft w:val="0"/>
      <w:marRight w:val="0"/>
      <w:marTop w:val="0"/>
      <w:marBottom w:val="0"/>
      <w:divBdr>
        <w:top w:val="none" w:sz="0" w:space="0" w:color="auto"/>
        <w:left w:val="none" w:sz="0" w:space="0" w:color="auto"/>
        <w:bottom w:val="none" w:sz="0" w:space="0" w:color="auto"/>
        <w:right w:val="none" w:sz="0" w:space="0" w:color="auto"/>
      </w:divBdr>
    </w:div>
    <w:div w:id="1162239609">
      <w:bodyDiv w:val="1"/>
      <w:marLeft w:val="0"/>
      <w:marRight w:val="0"/>
      <w:marTop w:val="0"/>
      <w:marBottom w:val="0"/>
      <w:divBdr>
        <w:top w:val="none" w:sz="0" w:space="0" w:color="auto"/>
        <w:left w:val="none" w:sz="0" w:space="0" w:color="auto"/>
        <w:bottom w:val="none" w:sz="0" w:space="0" w:color="auto"/>
        <w:right w:val="none" w:sz="0" w:space="0" w:color="auto"/>
      </w:divBdr>
    </w:div>
    <w:div w:id="1212424867">
      <w:bodyDiv w:val="1"/>
      <w:marLeft w:val="0"/>
      <w:marRight w:val="0"/>
      <w:marTop w:val="0"/>
      <w:marBottom w:val="0"/>
      <w:divBdr>
        <w:top w:val="none" w:sz="0" w:space="0" w:color="auto"/>
        <w:left w:val="none" w:sz="0" w:space="0" w:color="auto"/>
        <w:bottom w:val="none" w:sz="0" w:space="0" w:color="auto"/>
        <w:right w:val="none" w:sz="0" w:space="0" w:color="auto"/>
      </w:divBdr>
    </w:div>
    <w:div w:id="1277829686">
      <w:bodyDiv w:val="1"/>
      <w:marLeft w:val="0"/>
      <w:marRight w:val="0"/>
      <w:marTop w:val="0"/>
      <w:marBottom w:val="0"/>
      <w:divBdr>
        <w:top w:val="none" w:sz="0" w:space="0" w:color="auto"/>
        <w:left w:val="none" w:sz="0" w:space="0" w:color="auto"/>
        <w:bottom w:val="none" w:sz="0" w:space="0" w:color="auto"/>
        <w:right w:val="none" w:sz="0" w:space="0" w:color="auto"/>
      </w:divBdr>
    </w:div>
    <w:div w:id="1296105854">
      <w:bodyDiv w:val="1"/>
      <w:marLeft w:val="0"/>
      <w:marRight w:val="0"/>
      <w:marTop w:val="0"/>
      <w:marBottom w:val="0"/>
      <w:divBdr>
        <w:top w:val="none" w:sz="0" w:space="0" w:color="auto"/>
        <w:left w:val="none" w:sz="0" w:space="0" w:color="auto"/>
        <w:bottom w:val="none" w:sz="0" w:space="0" w:color="auto"/>
        <w:right w:val="none" w:sz="0" w:space="0" w:color="auto"/>
      </w:divBdr>
    </w:div>
    <w:div w:id="1314067822">
      <w:bodyDiv w:val="1"/>
      <w:marLeft w:val="0"/>
      <w:marRight w:val="0"/>
      <w:marTop w:val="0"/>
      <w:marBottom w:val="0"/>
      <w:divBdr>
        <w:top w:val="none" w:sz="0" w:space="0" w:color="auto"/>
        <w:left w:val="none" w:sz="0" w:space="0" w:color="auto"/>
        <w:bottom w:val="none" w:sz="0" w:space="0" w:color="auto"/>
        <w:right w:val="none" w:sz="0" w:space="0" w:color="auto"/>
      </w:divBdr>
    </w:div>
    <w:div w:id="1336302068">
      <w:bodyDiv w:val="1"/>
      <w:marLeft w:val="0"/>
      <w:marRight w:val="0"/>
      <w:marTop w:val="0"/>
      <w:marBottom w:val="0"/>
      <w:divBdr>
        <w:top w:val="none" w:sz="0" w:space="0" w:color="auto"/>
        <w:left w:val="none" w:sz="0" w:space="0" w:color="auto"/>
        <w:bottom w:val="none" w:sz="0" w:space="0" w:color="auto"/>
        <w:right w:val="none" w:sz="0" w:space="0" w:color="auto"/>
      </w:divBdr>
    </w:div>
    <w:div w:id="1376388018">
      <w:bodyDiv w:val="1"/>
      <w:marLeft w:val="0"/>
      <w:marRight w:val="0"/>
      <w:marTop w:val="0"/>
      <w:marBottom w:val="0"/>
      <w:divBdr>
        <w:top w:val="none" w:sz="0" w:space="0" w:color="auto"/>
        <w:left w:val="none" w:sz="0" w:space="0" w:color="auto"/>
        <w:bottom w:val="none" w:sz="0" w:space="0" w:color="auto"/>
        <w:right w:val="none" w:sz="0" w:space="0" w:color="auto"/>
      </w:divBdr>
    </w:div>
    <w:div w:id="1409300825">
      <w:bodyDiv w:val="1"/>
      <w:marLeft w:val="0"/>
      <w:marRight w:val="0"/>
      <w:marTop w:val="0"/>
      <w:marBottom w:val="0"/>
      <w:divBdr>
        <w:top w:val="none" w:sz="0" w:space="0" w:color="auto"/>
        <w:left w:val="none" w:sz="0" w:space="0" w:color="auto"/>
        <w:bottom w:val="none" w:sz="0" w:space="0" w:color="auto"/>
        <w:right w:val="none" w:sz="0" w:space="0" w:color="auto"/>
      </w:divBdr>
      <w:divsChild>
        <w:div w:id="721445446">
          <w:marLeft w:val="0"/>
          <w:marRight w:val="0"/>
          <w:marTop w:val="0"/>
          <w:marBottom w:val="0"/>
          <w:divBdr>
            <w:top w:val="none" w:sz="0" w:space="0" w:color="auto"/>
            <w:left w:val="none" w:sz="0" w:space="0" w:color="auto"/>
            <w:bottom w:val="none" w:sz="0" w:space="0" w:color="auto"/>
            <w:right w:val="none" w:sz="0" w:space="0" w:color="auto"/>
          </w:divBdr>
        </w:div>
        <w:div w:id="850609242">
          <w:marLeft w:val="0"/>
          <w:marRight w:val="0"/>
          <w:marTop w:val="435"/>
          <w:marBottom w:val="1575"/>
          <w:divBdr>
            <w:top w:val="none" w:sz="0" w:space="0" w:color="auto"/>
            <w:left w:val="none" w:sz="0" w:space="0" w:color="auto"/>
            <w:bottom w:val="none" w:sz="0" w:space="0" w:color="auto"/>
            <w:right w:val="none" w:sz="0" w:space="0" w:color="auto"/>
          </w:divBdr>
        </w:div>
      </w:divsChild>
    </w:div>
    <w:div w:id="1429616939">
      <w:bodyDiv w:val="1"/>
      <w:marLeft w:val="0"/>
      <w:marRight w:val="0"/>
      <w:marTop w:val="0"/>
      <w:marBottom w:val="0"/>
      <w:divBdr>
        <w:top w:val="none" w:sz="0" w:space="0" w:color="auto"/>
        <w:left w:val="none" w:sz="0" w:space="0" w:color="auto"/>
        <w:bottom w:val="none" w:sz="0" w:space="0" w:color="auto"/>
        <w:right w:val="none" w:sz="0" w:space="0" w:color="auto"/>
      </w:divBdr>
    </w:div>
    <w:div w:id="1440566554">
      <w:bodyDiv w:val="1"/>
      <w:marLeft w:val="0"/>
      <w:marRight w:val="0"/>
      <w:marTop w:val="0"/>
      <w:marBottom w:val="0"/>
      <w:divBdr>
        <w:top w:val="none" w:sz="0" w:space="0" w:color="auto"/>
        <w:left w:val="none" w:sz="0" w:space="0" w:color="auto"/>
        <w:bottom w:val="none" w:sz="0" w:space="0" w:color="auto"/>
        <w:right w:val="none" w:sz="0" w:space="0" w:color="auto"/>
      </w:divBdr>
    </w:div>
    <w:div w:id="1470589625">
      <w:bodyDiv w:val="1"/>
      <w:marLeft w:val="0"/>
      <w:marRight w:val="0"/>
      <w:marTop w:val="0"/>
      <w:marBottom w:val="0"/>
      <w:divBdr>
        <w:top w:val="none" w:sz="0" w:space="0" w:color="auto"/>
        <w:left w:val="none" w:sz="0" w:space="0" w:color="auto"/>
        <w:bottom w:val="none" w:sz="0" w:space="0" w:color="auto"/>
        <w:right w:val="none" w:sz="0" w:space="0" w:color="auto"/>
      </w:divBdr>
    </w:div>
    <w:div w:id="1471947098">
      <w:bodyDiv w:val="1"/>
      <w:marLeft w:val="0"/>
      <w:marRight w:val="0"/>
      <w:marTop w:val="0"/>
      <w:marBottom w:val="0"/>
      <w:divBdr>
        <w:top w:val="none" w:sz="0" w:space="0" w:color="auto"/>
        <w:left w:val="none" w:sz="0" w:space="0" w:color="auto"/>
        <w:bottom w:val="none" w:sz="0" w:space="0" w:color="auto"/>
        <w:right w:val="none" w:sz="0" w:space="0" w:color="auto"/>
      </w:divBdr>
    </w:div>
    <w:div w:id="1473015010">
      <w:bodyDiv w:val="1"/>
      <w:marLeft w:val="0"/>
      <w:marRight w:val="0"/>
      <w:marTop w:val="0"/>
      <w:marBottom w:val="0"/>
      <w:divBdr>
        <w:top w:val="none" w:sz="0" w:space="0" w:color="auto"/>
        <w:left w:val="none" w:sz="0" w:space="0" w:color="auto"/>
        <w:bottom w:val="none" w:sz="0" w:space="0" w:color="auto"/>
        <w:right w:val="none" w:sz="0" w:space="0" w:color="auto"/>
      </w:divBdr>
    </w:div>
    <w:div w:id="1482113923">
      <w:bodyDiv w:val="1"/>
      <w:marLeft w:val="0"/>
      <w:marRight w:val="0"/>
      <w:marTop w:val="0"/>
      <w:marBottom w:val="0"/>
      <w:divBdr>
        <w:top w:val="none" w:sz="0" w:space="0" w:color="auto"/>
        <w:left w:val="none" w:sz="0" w:space="0" w:color="auto"/>
        <w:bottom w:val="none" w:sz="0" w:space="0" w:color="auto"/>
        <w:right w:val="none" w:sz="0" w:space="0" w:color="auto"/>
      </w:divBdr>
    </w:div>
    <w:div w:id="1611621936">
      <w:bodyDiv w:val="1"/>
      <w:marLeft w:val="0"/>
      <w:marRight w:val="0"/>
      <w:marTop w:val="0"/>
      <w:marBottom w:val="0"/>
      <w:divBdr>
        <w:top w:val="none" w:sz="0" w:space="0" w:color="auto"/>
        <w:left w:val="none" w:sz="0" w:space="0" w:color="auto"/>
        <w:bottom w:val="none" w:sz="0" w:space="0" w:color="auto"/>
        <w:right w:val="none" w:sz="0" w:space="0" w:color="auto"/>
      </w:divBdr>
    </w:div>
    <w:div w:id="1628121770">
      <w:bodyDiv w:val="1"/>
      <w:marLeft w:val="0"/>
      <w:marRight w:val="0"/>
      <w:marTop w:val="0"/>
      <w:marBottom w:val="0"/>
      <w:divBdr>
        <w:top w:val="none" w:sz="0" w:space="0" w:color="auto"/>
        <w:left w:val="none" w:sz="0" w:space="0" w:color="auto"/>
        <w:bottom w:val="none" w:sz="0" w:space="0" w:color="auto"/>
        <w:right w:val="none" w:sz="0" w:space="0" w:color="auto"/>
      </w:divBdr>
    </w:div>
    <w:div w:id="1677726703">
      <w:bodyDiv w:val="1"/>
      <w:marLeft w:val="0"/>
      <w:marRight w:val="0"/>
      <w:marTop w:val="0"/>
      <w:marBottom w:val="0"/>
      <w:divBdr>
        <w:top w:val="none" w:sz="0" w:space="0" w:color="auto"/>
        <w:left w:val="none" w:sz="0" w:space="0" w:color="auto"/>
        <w:bottom w:val="none" w:sz="0" w:space="0" w:color="auto"/>
        <w:right w:val="none" w:sz="0" w:space="0" w:color="auto"/>
      </w:divBdr>
    </w:div>
    <w:div w:id="1692296814">
      <w:bodyDiv w:val="1"/>
      <w:marLeft w:val="0"/>
      <w:marRight w:val="0"/>
      <w:marTop w:val="0"/>
      <w:marBottom w:val="0"/>
      <w:divBdr>
        <w:top w:val="none" w:sz="0" w:space="0" w:color="auto"/>
        <w:left w:val="none" w:sz="0" w:space="0" w:color="auto"/>
        <w:bottom w:val="none" w:sz="0" w:space="0" w:color="auto"/>
        <w:right w:val="none" w:sz="0" w:space="0" w:color="auto"/>
      </w:divBdr>
    </w:div>
    <w:div w:id="1728603461">
      <w:bodyDiv w:val="1"/>
      <w:marLeft w:val="0"/>
      <w:marRight w:val="0"/>
      <w:marTop w:val="0"/>
      <w:marBottom w:val="0"/>
      <w:divBdr>
        <w:top w:val="none" w:sz="0" w:space="0" w:color="auto"/>
        <w:left w:val="none" w:sz="0" w:space="0" w:color="auto"/>
        <w:bottom w:val="none" w:sz="0" w:space="0" w:color="auto"/>
        <w:right w:val="none" w:sz="0" w:space="0" w:color="auto"/>
      </w:divBdr>
    </w:div>
    <w:div w:id="1766074586">
      <w:bodyDiv w:val="1"/>
      <w:marLeft w:val="0"/>
      <w:marRight w:val="0"/>
      <w:marTop w:val="0"/>
      <w:marBottom w:val="0"/>
      <w:divBdr>
        <w:top w:val="none" w:sz="0" w:space="0" w:color="auto"/>
        <w:left w:val="none" w:sz="0" w:space="0" w:color="auto"/>
        <w:bottom w:val="none" w:sz="0" w:space="0" w:color="auto"/>
        <w:right w:val="none" w:sz="0" w:space="0" w:color="auto"/>
      </w:divBdr>
    </w:div>
    <w:div w:id="1802378338">
      <w:bodyDiv w:val="1"/>
      <w:marLeft w:val="0"/>
      <w:marRight w:val="0"/>
      <w:marTop w:val="0"/>
      <w:marBottom w:val="0"/>
      <w:divBdr>
        <w:top w:val="none" w:sz="0" w:space="0" w:color="auto"/>
        <w:left w:val="none" w:sz="0" w:space="0" w:color="auto"/>
        <w:bottom w:val="none" w:sz="0" w:space="0" w:color="auto"/>
        <w:right w:val="none" w:sz="0" w:space="0" w:color="auto"/>
      </w:divBdr>
    </w:div>
    <w:div w:id="1802651235">
      <w:bodyDiv w:val="1"/>
      <w:marLeft w:val="0"/>
      <w:marRight w:val="0"/>
      <w:marTop w:val="0"/>
      <w:marBottom w:val="0"/>
      <w:divBdr>
        <w:top w:val="none" w:sz="0" w:space="0" w:color="auto"/>
        <w:left w:val="none" w:sz="0" w:space="0" w:color="auto"/>
        <w:bottom w:val="none" w:sz="0" w:space="0" w:color="auto"/>
        <w:right w:val="none" w:sz="0" w:space="0" w:color="auto"/>
      </w:divBdr>
    </w:div>
    <w:div w:id="1850944775">
      <w:bodyDiv w:val="1"/>
      <w:marLeft w:val="0"/>
      <w:marRight w:val="0"/>
      <w:marTop w:val="0"/>
      <w:marBottom w:val="0"/>
      <w:divBdr>
        <w:top w:val="none" w:sz="0" w:space="0" w:color="auto"/>
        <w:left w:val="none" w:sz="0" w:space="0" w:color="auto"/>
        <w:bottom w:val="none" w:sz="0" w:space="0" w:color="auto"/>
        <w:right w:val="none" w:sz="0" w:space="0" w:color="auto"/>
      </w:divBdr>
    </w:div>
    <w:div w:id="1868638614">
      <w:bodyDiv w:val="1"/>
      <w:marLeft w:val="0"/>
      <w:marRight w:val="0"/>
      <w:marTop w:val="0"/>
      <w:marBottom w:val="0"/>
      <w:divBdr>
        <w:top w:val="none" w:sz="0" w:space="0" w:color="auto"/>
        <w:left w:val="none" w:sz="0" w:space="0" w:color="auto"/>
        <w:bottom w:val="none" w:sz="0" w:space="0" w:color="auto"/>
        <w:right w:val="none" w:sz="0" w:space="0" w:color="auto"/>
      </w:divBdr>
    </w:div>
    <w:div w:id="1879468380">
      <w:bodyDiv w:val="1"/>
      <w:marLeft w:val="0"/>
      <w:marRight w:val="0"/>
      <w:marTop w:val="0"/>
      <w:marBottom w:val="0"/>
      <w:divBdr>
        <w:top w:val="none" w:sz="0" w:space="0" w:color="auto"/>
        <w:left w:val="none" w:sz="0" w:space="0" w:color="auto"/>
        <w:bottom w:val="none" w:sz="0" w:space="0" w:color="auto"/>
        <w:right w:val="none" w:sz="0" w:space="0" w:color="auto"/>
      </w:divBdr>
    </w:div>
    <w:div w:id="1940525132">
      <w:bodyDiv w:val="1"/>
      <w:marLeft w:val="0"/>
      <w:marRight w:val="0"/>
      <w:marTop w:val="0"/>
      <w:marBottom w:val="0"/>
      <w:divBdr>
        <w:top w:val="none" w:sz="0" w:space="0" w:color="auto"/>
        <w:left w:val="none" w:sz="0" w:space="0" w:color="auto"/>
        <w:bottom w:val="none" w:sz="0" w:space="0" w:color="auto"/>
        <w:right w:val="none" w:sz="0" w:space="0" w:color="auto"/>
      </w:divBdr>
    </w:div>
    <w:div w:id="2034067796">
      <w:bodyDiv w:val="1"/>
      <w:marLeft w:val="0"/>
      <w:marRight w:val="0"/>
      <w:marTop w:val="0"/>
      <w:marBottom w:val="0"/>
      <w:divBdr>
        <w:top w:val="none" w:sz="0" w:space="0" w:color="auto"/>
        <w:left w:val="none" w:sz="0" w:space="0" w:color="auto"/>
        <w:bottom w:val="none" w:sz="0" w:space="0" w:color="auto"/>
        <w:right w:val="none" w:sz="0" w:space="0" w:color="auto"/>
      </w:divBdr>
    </w:div>
    <w:div w:id="2048220220">
      <w:bodyDiv w:val="1"/>
      <w:marLeft w:val="0"/>
      <w:marRight w:val="0"/>
      <w:marTop w:val="0"/>
      <w:marBottom w:val="0"/>
      <w:divBdr>
        <w:top w:val="none" w:sz="0" w:space="0" w:color="auto"/>
        <w:left w:val="none" w:sz="0" w:space="0" w:color="auto"/>
        <w:bottom w:val="none" w:sz="0" w:space="0" w:color="auto"/>
        <w:right w:val="none" w:sz="0" w:space="0" w:color="auto"/>
      </w:divBdr>
    </w:div>
    <w:div w:id="2099055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owtsd-my.sharepoint.com/personal/1802426_student_uwtsd_ac_uk/Documents/Vehicle%202%20Grid%20-%20Report%20Draft%20(1).docx"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uowtsd-my.sharepoint.com/personal/1802426_student_uwtsd_ac_uk/Documents/Vehicle%202%20Grid%20-%20Report%20Draft%20(1).docx" TargetMode="Externa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my.sharepoint.com/personal/1802426_student_uwtsd_ac_uk/Documents/Vehicle%202%20Grid%20-%20Report%20Draft%20(1).docx"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8" ma:contentTypeDescription="Create a new document." ma:contentTypeScope="" ma:versionID="8fa6c681173032ddfb6af1ad5aa96913">
  <xsd:schema xmlns:xsd="http://www.w3.org/2001/XMLSchema" xmlns:xs="http://www.w3.org/2001/XMLSchema" xmlns:p="http://schemas.microsoft.com/office/2006/metadata/properties" xmlns:ns3="ada16477-4a9e-4f32-8a2f-23c8ffb0c900" targetNamespace="http://schemas.microsoft.com/office/2006/metadata/properties" ma:root="true" ma:fieldsID="3e1cddb80e78e38e3c93b3616828e05c" ns3:_="">
    <xsd:import namespace="ada16477-4a9e-4f32-8a2f-23c8ffb0c90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New21</b:Tag>
    <b:SourceType>InternetSite</b:SourceType>
    <b:Guid>{5421E817-5036-4D52-8657-C6E775B17D22}</b:Guid>
    <b:Title>The Future of EV Charging with V2X</b:Title>
    <b:Year>2021</b:Year>
    <b:Author>
      <b:Author>
        <b:NameList>
          <b:Person>
            <b:Last>Newmotion</b:Last>
          </b:Person>
        </b:NameList>
      </b:Author>
    </b:Author>
    <b:InternetSiteTitle>Newmotion - A Member of the Shell Group</b:InternetSiteTitle>
    <b:Month>10</b:Month>
    <b:Day>25</b:Day>
    <b:URL>https://kb.osu.edu/bitstream/handle/1811/307/Poratable_Automotive_Damper_Diagnostic_System.pdf?sequence=1&amp;isAllowed=y</b:URL>
    <b:RefOrder>13</b:RefOrder>
  </b:Source>
  <b:Source>
    <b:Tag>Udd21</b:Tag>
    <b:SourceType>InternetSite</b:SourceType>
    <b:Guid>{980B0B52-7264-4BA5-9BD4-466335EBA474}</b:Guid>
    <b:Author>
      <b:Author>
        <b:NameList>
          <b:Person>
            <b:Last>Uddin</b:Last>
            <b:First>K</b:First>
          </b:Person>
        </b:NameList>
      </b:Author>
    </b:Author>
    <b:Title>Understanding degradation of battery life-time is key to successful vehicle to grid systems</b:Title>
    <b:InternetSiteTitle>European Commision - Science for Environment Policy</b:InternetSiteTitle>
    <b:Year>2021</b:Year>
    <b:Month>10</b:Month>
    <b:Day>28</b:Day>
    <b:URL>https://ec.europa.eu/environment/integration/research/newsalert/pdf/understanding_degradation_battery_life_key_successful_v2g_523na1_en.pdf</b:URL>
    <b:RefOrder>2</b:RefOrder>
  </b:Source>
  <b:Source>
    <b:Tag>Ger21</b:Tag>
    <b:SourceType>InternetSite</b:SourceType>
    <b:Guid>{2A192BA9-BC0F-4585-ABD1-7E09AEA04F37}</b:Guid>
    <b:Author>
      <b:Author>
        <b:NameList>
          <b:Person>
            <b:Last>Gerber</b:Last>
            <b:First>K</b:First>
          </b:Person>
        </b:NameList>
      </b:Author>
    </b:Author>
    <b:Title>Why we are probably not running out of lithium</b:Title>
    <b:InternetSiteTitle>Linkedin</b:InternetSiteTitle>
    <b:Year>2021</b:Year>
    <b:Month>11</b:Month>
    <b:Day>05</b:Day>
    <b:URL>https://ec.europa.eu/environment/integration/research/newsalert/pdf/understanding_degradation_battery_life_key_successful_v2g_523na1_en.pdf</b:URL>
    <b:RefOrder>3</b:RefOrder>
  </b:Source>
  <b:Source>
    <b:Tag>Pro21</b:Tag>
    <b:SourceType>JournalArticle</b:SourceType>
    <b:Guid>{7AEADA95-F66A-4930-860D-E6F72261CEC3}</b:Guid>
    <b:Title>Beat the Blackout</b:Title>
    <b:Year>2021</b:Year>
    <b:Author>
      <b:Author>
        <b:Corporate>Professional Engineering Corporation</b:Corporate>
      </b:Author>
    </b:Author>
    <b:JournalName>Professional Engineering</b:JournalName>
    <b:Pages>20-23</b:Pages>
    <b:RefOrder>4</b:RefOrder>
  </b:Source>
  <b:Source>
    <b:Tag>Xia11</b:Tag>
    <b:SourceType>JournalArticle</b:SourceType>
    <b:Guid>{8DF887BB-1A9F-4BBE-890D-D12930FA1EDC}</b:Guid>
    <b:Title>The Ethics Issues of Nuclear Energy: Hard Lessons Learned from Chernobyl and Fukushima</b:Title>
    <b:JournalName>Online Journal of Health Ethics</b:JournalName>
    <b:Year>2011</b:Year>
    <b:Pages>2-4</b:Pages>
    <b:Author>
      <b:Author>
        <b:NameList>
          <b:Person>
            <b:Last>Xiang</b:Last>
            <b:First>H</b:First>
          </b:Person>
          <b:Person>
            <b:Last>Zhu</b:Last>
            <b:First>Y</b:First>
          </b:Person>
        </b:NameList>
      </b:Author>
    </b:Author>
    <b:RefOrder>5</b:RefOrder>
  </b:Source>
  <b:Source>
    <b:Tag>Nuc19</b:Tag>
    <b:SourceType>JournalArticle</b:SourceType>
    <b:Guid>{B3713B4D-785A-4B8E-B0A0-96BEC391C7D5}</b:Guid>
    <b:Author>
      <b:Author>
        <b:Corporate>Nuclear Energy Agency</b:Corporate>
      </b:Author>
    </b:Author>
    <b:Title>Comparing Nuclear Accident Risks with Those from Other Energy Sources</b:Title>
    <b:JournalName>Organisation for Economic Co-Operation and Development</b:JournalName>
    <b:Year>2019</b:Year>
    <b:Pages>13-15</b:Pages>
    <b:RefOrder>6</b:RefOrder>
  </b:Source>
  <b:Source>
    <b:Tag>UNS08</b:Tag>
    <b:SourceType>Report</b:SourceType>
    <b:Guid>{B36DBC5B-73A0-4975-87EC-7A1C77AF2711}</b:Guid>
    <b:Title>Sources and Effects of Ionizing Radiation</b:Title>
    <b:Year>2008</b:Year>
    <b:Author>
      <b:Author>
        <b:NameList>
          <b:Person>
            <b:Last>UNSCEAR</b:Last>
          </b:Person>
        </b:NameList>
      </b:Author>
    </b:Author>
    <b:Publisher>United Nations</b:Publisher>
    <b:City>Washington</b:City>
    <b:RefOrder>7</b:RefOrder>
  </b:Source>
  <b:Source>
    <b:Tag>Ben06</b:Tag>
    <b:SourceType>Report</b:SourceType>
    <b:Guid>{6C7474C8-DA97-46C2-9046-02863938EECD}</b:Guid>
    <b:Author>
      <b:Author>
        <b:NameList>
          <b:Person>
            <b:Last>Bennett</b:Last>
            <b:First>B</b:First>
          </b:Person>
          <b:Person>
            <b:Last>Repacholi</b:Last>
            <b:First>M</b:First>
          </b:Person>
          <b:Person>
            <b:Last>Carr</b:Last>
            <b:First>Z</b:First>
          </b:Person>
        </b:NameList>
      </b:Author>
    </b:Author>
    <b:Title>Health Effects of the Chernobyl Accident and Special Health Care Programmes</b:Title>
    <b:Year>2006</b:Year>
    <b:Publisher>World Health Organization</b:Publisher>
    <b:City>Geneva</b:City>
    <b:RefOrder>8</b:RefOrder>
  </b:Source>
  <b:Source>
    <b:Tag>Wor21</b:Tag>
    <b:SourceType>DocumentFromInternetSite</b:SourceType>
    <b:Guid>{3724DB9A-A528-411C-8185-A05239523DF0}</b:Guid>
    <b:Title>The Nuclear Debate</b:Title>
    <b:Year>2021</b:Year>
    <b:Author>
      <b:Author>
        <b:NameList>
          <b:Person>
            <b:Last>World Nuclear Association</b:Last>
          </b:Person>
        </b:NameList>
      </b:Author>
    </b:Author>
    <b:InternetSiteTitle>World Nuclear Association</b:InternetSiteTitle>
    <b:Month>11</b:Month>
    <b:Day>02</b:Day>
    <b:URL>https://world-nuclear.org/information-library/current-and-future-generation/the-nuclear-debate.aspx</b:URL>
    <b:RefOrder>9</b:RefOrder>
  </b:Source>
  <b:Source>
    <b:Tag>Uni01</b:Tag>
    <b:SourceType>Report</b:SourceType>
    <b:Guid>{6B1168DA-DA5A-4E69-9B3D-4F0725DEE177}</b:Guid>
    <b:Title>No Immediate Health Risks from Fukushima Nuclear Accident Says UN Expert Science Panel</b:Title>
    <b:Year>2013</b:Year>
    <b:Author>
      <b:Author>
        <b:Corporate>United Nations Environment Programme</b:Corporate>
      </b:Author>
    </b:Author>
    <b:Publisher>UN Information Service</b:Publisher>
    <b:City>Vienna</b:City>
    <b:RefOrder>10</b:RefOrder>
  </b:Source>
  <b:Source>
    <b:Tag>Lop12</b:Tag>
    <b:SourceType>Report</b:SourceType>
    <b:Guid>{96552F3B-9741-49ED-BBE5-3A7FEDA210E3}</b:Guid>
    <b:Author>
      <b:Author>
        <b:NameList>
          <b:Person>
            <b:Last>Lopazanski</b:Last>
            <b:First>C</b:First>
          </b:Person>
        </b:NameList>
      </b:Author>
    </b:Author>
    <b:Title>Ethical Issues and Controversies</b:Title>
    <b:Year>2012</b:Year>
    <b:Publisher>North Carolina School of Science and Mathematics</b:Publisher>
    <b:City>Durham</b:City>
    <b:RefOrder>12</b:RefOrder>
  </b:Source>
  <b:Source>
    <b:Tag>EDF21</b:Tag>
    <b:SourceType>InternetSite</b:SourceType>
    <b:Guid>{4729976E-AE7D-487E-8DA1-597D18B7D233}</b:Guid>
    <b:Author>
      <b:Author>
        <b:Corporate>EDF Energy</b:Corporate>
      </b:Author>
    </b:Author>
    <b:Title>Vehicle to Grid (V2G) Business Solution</b:Title>
    <b:InternetSiteTitle>EDF Energy</b:InternetSiteTitle>
    <b:Year>2021</b:Year>
    <b:Month>10</b:Month>
    <b:Day>26</b:Day>
    <b:URL>https://www.edfenergy.com/electric-cars/vehicle-grid</b:URL>
    <b:RefOrder>1</b:RefOrder>
  </b:Source>
  <b:Source>
    <b:Tag>POD21</b:Tag>
    <b:SourceType>InternetSite</b:SourceType>
    <b:Guid>{C6B1EAAF-8546-4CDA-AECA-63D5A038189E}</b:Guid>
    <b:Title>EV Charging Connector Types and Speeds</b:Title>
    <b:Year>2021</b:Year>
    <b:Author>
      <b:Author>
        <b:NameList>
          <b:Person>
            <b:Last>POD</b:Last>
          </b:Person>
        </b:NameList>
      </b:Author>
    </b:Author>
    <b:InternetSiteTitle>Pod Point</b:InternetSiteTitle>
    <b:Month>11</b:Month>
    <b:Day>02</b:Day>
    <b:URL>https://pod-point.com/guides/driver/ev-connector-types-speed</b:URL>
    <b:RefOrder>14</b:RefOrder>
  </b:Source>
  <b:Source>
    <b:Tag>Fle21</b:Tag>
    <b:SourceType>InternetSite</b:SourceType>
    <b:Guid>{D03CE072-552E-4A43-81BF-7303FA01CFD4}</b:Guid>
    <b:Author>
      <b:Author>
        <b:Corporate>Flexi-Orb</b:Corporate>
      </b:Author>
    </b:Author>
    <b:Title>What is Vehicle to Grid</b:Title>
    <b:InternetSiteTitle>Flexi-Orb</b:InternetSiteTitle>
    <b:Year>2021</b:Year>
    <b:Month>11</b:Month>
    <b:Day>04</b:Day>
    <b:URL>https://www.flexi-orb.com/electric-vehicles/vehicle-to-grid/</b:URL>
    <b:RefOrder>15</b:RefOrder>
  </b:Source>
  <b:Source>
    <b:Tag>Rol21</b:Tag>
    <b:SourceType>InternetSite</b:SourceType>
    <b:Guid>{6CE1C230-D559-4B35-8ACE-F4B98897860C}</b:Guid>
    <b:Author>
      <b:Author>
        <b:Corporate>Rolls Royce</b:Corporate>
      </b:Author>
    </b:Author>
    <b:Title>UK Small Modular Reactor: Pioneering intelligent power</b:Title>
    <b:InternetSiteTitle>Rolls-Royce</b:InternetSiteTitle>
    <b:Year>2021</b:Year>
    <b:Month>11</b:Month>
    <b:Day>17</b:Day>
    <b:URL>https://www.rolls-royce.com/innovation/small-modular-reactors.aspx#/</b:URL>
    <b:RefOrder>11</b:RefOrder>
  </b:Source>
</b:Sources>
</file>

<file path=customXml/itemProps1.xml><?xml version="1.0" encoding="utf-8"?>
<ds:datastoreItem xmlns:ds="http://schemas.openxmlformats.org/officeDocument/2006/customXml" ds:itemID="{99F23321-896F-4315-8979-8541E2F68CD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8244799-2904-4F9F-954C-57CC2C5120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DFF5F4-E512-4579-B066-4726489E2F32}">
  <ds:schemaRefs>
    <ds:schemaRef ds:uri="http://schemas.microsoft.com/sharepoint/v3/contenttype/forms"/>
  </ds:schemaRefs>
</ds:datastoreItem>
</file>

<file path=customXml/itemProps4.xml><?xml version="1.0" encoding="utf-8"?>
<ds:datastoreItem xmlns:ds="http://schemas.openxmlformats.org/officeDocument/2006/customXml" ds:itemID="{A3B697C1-1E4F-4394-A70B-891D80695D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1591</TotalTime>
  <Pages>17</Pages>
  <Words>3910</Words>
  <Characters>22288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Cassells Morcom (1802426)</dc:creator>
  <cp:keywords/>
  <dc:description/>
  <cp:lastModifiedBy>Evan Cassells Morcom (1802426)</cp:lastModifiedBy>
  <cp:revision>7</cp:revision>
  <dcterms:created xsi:type="dcterms:W3CDTF">2021-11-10T16:24:00Z</dcterms:created>
  <dcterms:modified xsi:type="dcterms:W3CDTF">2021-11-17T17:28:00Z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