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E707B" w14:textId="77777777" w:rsidR="0037012D" w:rsidRDefault="00000000">
      <w:pPr>
        <w:rPr>
          <w:b/>
          <w:bCs/>
          <w:sz w:val="32"/>
          <w:szCs w:val="24"/>
          <w:lang w:val="en-IN"/>
        </w:rPr>
      </w:pPr>
      <w:r>
        <w:rPr>
          <w:noProof/>
          <w:lang w:val="en-US"/>
        </w:rPr>
        <w:drawing>
          <wp:inline distT="0" distB="0" distL="0" distR="0" wp14:anchorId="2DFD4B01" wp14:editId="69332234">
            <wp:extent cx="1809750" cy="723900"/>
            <wp:effectExtent l="0" t="0" r="0" b="0"/>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7" cstate="print"/>
                    <a:stretch>
                      <a:fillRect/>
                    </a:stretch>
                  </pic:blipFill>
                  <pic:spPr>
                    <a:xfrm>
                      <a:off x="0" y="0"/>
                      <a:ext cx="1809750" cy="723900"/>
                    </a:xfrm>
                    <a:prstGeom prst="rect">
                      <a:avLst/>
                    </a:prstGeom>
                  </pic:spPr>
                </pic:pic>
              </a:graphicData>
            </a:graphic>
          </wp:inline>
        </w:drawing>
      </w:r>
    </w:p>
    <w:p w14:paraId="557DF8D2" w14:textId="77777777" w:rsidR="0037012D" w:rsidRDefault="00000000">
      <w:pPr>
        <w:jc w:val="center"/>
        <w:rPr>
          <w:b/>
          <w:bCs/>
          <w:sz w:val="32"/>
          <w:szCs w:val="24"/>
          <w:lang w:val="en-IN"/>
        </w:rPr>
      </w:pPr>
      <w:r>
        <w:rPr>
          <w:b/>
          <w:bCs/>
          <w:sz w:val="32"/>
          <w:szCs w:val="24"/>
          <w:lang w:val="en-IN"/>
        </w:rPr>
        <w:t>Programme: BA (Hons) Leadership and Management Skills for the Workplace</w:t>
      </w:r>
    </w:p>
    <w:p w14:paraId="5CBF7DD5" w14:textId="77777777" w:rsidR="0037012D" w:rsidRDefault="00000000">
      <w:pPr>
        <w:jc w:val="center"/>
        <w:rPr>
          <w:lang w:val="en-IN"/>
        </w:rPr>
      </w:pPr>
      <w:r>
        <w:rPr>
          <w:lang w:val="en-IN"/>
        </w:rPr>
        <w:t>Module: Developing Emotional Intelligence Skills</w:t>
      </w:r>
    </w:p>
    <w:p w14:paraId="394B43A6" w14:textId="77777777" w:rsidR="0037012D" w:rsidRDefault="00000000">
      <w:pPr>
        <w:jc w:val="center"/>
        <w:rPr>
          <w:lang w:val="en-IN"/>
        </w:rPr>
      </w:pPr>
      <w:r>
        <w:rPr>
          <w:lang w:val="en-IN"/>
        </w:rPr>
        <w:t>Module code: LCLM5006</w:t>
      </w:r>
    </w:p>
    <w:p w14:paraId="176F0708" w14:textId="77777777" w:rsidR="0037012D" w:rsidRDefault="00000000">
      <w:pPr>
        <w:jc w:val="center"/>
        <w:rPr>
          <w:lang w:val="en-IN"/>
        </w:rPr>
      </w:pPr>
      <w:r>
        <w:rPr>
          <w:lang w:val="en-IN"/>
        </w:rPr>
        <w:t>Lecturer: Nishi Ramsurrun and Abdallah Naser</w:t>
      </w:r>
    </w:p>
    <w:p w14:paraId="196D7B93" w14:textId="77777777" w:rsidR="0037012D" w:rsidRDefault="00000000">
      <w:pPr>
        <w:jc w:val="center"/>
        <w:rPr>
          <w:lang w:val="en-IN"/>
        </w:rPr>
      </w:pPr>
      <w:r>
        <w:rPr>
          <w:lang w:val="en-IN"/>
        </w:rPr>
        <w:t>Assignment Title: Component 2 - Individual written report</w:t>
      </w:r>
    </w:p>
    <w:p w14:paraId="182A7CB0" w14:textId="77777777" w:rsidR="0037012D" w:rsidRPr="00BC67CE" w:rsidRDefault="00000000">
      <w:pPr>
        <w:jc w:val="center"/>
        <w:rPr>
          <w:szCs w:val="22"/>
          <w:lang w:val="nl-NL"/>
        </w:rPr>
      </w:pPr>
      <w:r w:rsidRPr="00BC67CE">
        <w:rPr>
          <w:szCs w:val="22"/>
          <w:lang w:val="nl-NL"/>
        </w:rPr>
        <w:t>Student Name: George Burlui</w:t>
      </w:r>
    </w:p>
    <w:p w14:paraId="30FE2DF3" w14:textId="77777777" w:rsidR="0037012D" w:rsidRPr="00BC67CE" w:rsidRDefault="00000000">
      <w:pPr>
        <w:jc w:val="center"/>
        <w:rPr>
          <w:szCs w:val="22"/>
          <w:lang w:val="nl-NL"/>
        </w:rPr>
      </w:pPr>
      <w:r w:rsidRPr="00BC67CE">
        <w:rPr>
          <w:szCs w:val="22"/>
          <w:lang w:val="nl-NL"/>
        </w:rPr>
        <w:t>Student ID: 1907641</w:t>
      </w:r>
    </w:p>
    <w:p w14:paraId="22359E18" w14:textId="77777777" w:rsidR="0037012D" w:rsidRPr="00BC67CE" w:rsidRDefault="0037012D">
      <w:pPr>
        <w:jc w:val="center"/>
        <w:rPr>
          <w:lang w:val="nl-NL"/>
        </w:rPr>
      </w:pPr>
    </w:p>
    <w:p w14:paraId="2FE17002" w14:textId="77777777" w:rsidR="0037012D" w:rsidRPr="00BC67CE" w:rsidRDefault="00000000">
      <w:pPr>
        <w:jc w:val="center"/>
        <w:rPr>
          <w:b/>
          <w:bCs/>
          <w:sz w:val="20"/>
          <w:lang w:val="nl-NL"/>
        </w:rPr>
      </w:pPr>
      <w:r w:rsidRPr="00BC67CE">
        <w:rPr>
          <w:lang w:val="nl-NL"/>
        </w:rPr>
        <w:br w:type="page"/>
      </w:r>
    </w:p>
    <w:p w14:paraId="7692CFF8" w14:textId="77777777" w:rsidR="0037012D" w:rsidRPr="00BC67CE" w:rsidRDefault="0037012D">
      <w:pPr>
        <w:spacing w:after="160" w:line="259" w:lineRule="auto"/>
        <w:jc w:val="left"/>
        <w:rPr>
          <w:lang w:val="nl-NL"/>
        </w:rPr>
      </w:pPr>
    </w:p>
    <w:sdt>
      <w:sdtPr>
        <w:rPr>
          <w:rFonts w:ascii="Arial" w:eastAsia="Times New Roman" w:hAnsi="Arial" w:cs="Times New Roman"/>
          <w:color w:val="auto"/>
          <w:sz w:val="22"/>
          <w:szCs w:val="20"/>
          <w:lang w:val="en-GB"/>
        </w:rPr>
        <w:id w:val="-1795206181"/>
        <w:docPartObj>
          <w:docPartGallery w:val="Table of Contents"/>
          <w:docPartUnique/>
        </w:docPartObj>
      </w:sdtPr>
      <w:sdtContent>
        <w:p w14:paraId="794155BA" w14:textId="77777777" w:rsidR="0037012D" w:rsidRDefault="00000000">
          <w:pPr>
            <w:pStyle w:val="TOCHeading1"/>
            <w:jc w:val="center"/>
            <w:rPr>
              <w:rFonts w:ascii="Arial" w:hAnsi="Arial" w:cs="Arial"/>
              <w:b/>
              <w:bCs/>
              <w:color w:val="000000" w:themeColor="text1"/>
              <w:sz w:val="28"/>
              <w:szCs w:val="28"/>
            </w:rPr>
          </w:pPr>
          <w:r>
            <w:rPr>
              <w:rFonts w:ascii="Arial" w:hAnsi="Arial" w:cs="Arial"/>
              <w:b/>
              <w:bCs/>
              <w:color w:val="000000" w:themeColor="text1"/>
              <w:sz w:val="28"/>
              <w:szCs w:val="28"/>
            </w:rPr>
            <w:t>Table of Contents</w:t>
          </w:r>
        </w:p>
        <w:p w14:paraId="5A82AB7E" w14:textId="77777777" w:rsidR="0037012D" w:rsidRDefault="00000000">
          <w:pPr>
            <w:pStyle w:val="TOC1"/>
            <w:tabs>
              <w:tab w:val="right" w:leader="dot" w:pos="9016"/>
            </w:tabs>
            <w:rPr>
              <w:rFonts w:asciiTheme="minorHAnsi" w:eastAsiaTheme="minorEastAsia" w:hAnsiTheme="minorHAnsi" w:cstheme="minorBidi"/>
              <w:szCs w:val="22"/>
              <w:lang w:val="en-US"/>
            </w:rPr>
          </w:pPr>
          <w:r>
            <w:fldChar w:fldCharType="begin"/>
          </w:r>
          <w:r>
            <w:instrText xml:space="preserve"> TOC \o "1-3" \h \z \u </w:instrText>
          </w:r>
          <w:r>
            <w:fldChar w:fldCharType="separate"/>
          </w:r>
          <w:hyperlink w:anchor="_Toc230972667" w:history="1">
            <w:r>
              <w:rPr>
                <w:rStyle w:val="Hyperlink"/>
              </w:rPr>
              <w:t>Introduction</w:t>
            </w:r>
            <w:r>
              <w:tab/>
            </w:r>
            <w:r>
              <w:fldChar w:fldCharType="begin"/>
            </w:r>
            <w:r>
              <w:instrText xml:space="preserve"> PAGEREF _Toc230972667 \h </w:instrText>
            </w:r>
            <w:r>
              <w:fldChar w:fldCharType="separate"/>
            </w:r>
            <w:r>
              <w:t>2</w:t>
            </w:r>
            <w:r>
              <w:fldChar w:fldCharType="end"/>
            </w:r>
          </w:hyperlink>
        </w:p>
        <w:p w14:paraId="61F9E267" w14:textId="77777777" w:rsidR="0037012D" w:rsidRDefault="00000000">
          <w:pPr>
            <w:pStyle w:val="TOC1"/>
            <w:tabs>
              <w:tab w:val="right" w:leader="dot" w:pos="9016"/>
            </w:tabs>
            <w:rPr>
              <w:rFonts w:asciiTheme="minorHAnsi" w:eastAsiaTheme="minorEastAsia" w:hAnsiTheme="minorHAnsi" w:cstheme="minorBidi"/>
              <w:szCs w:val="22"/>
              <w:lang w:val="en-US"/>
            </w:rPr>
          </w:pPr>
          <w:hyperlink w:anchor="_Toc230972668" w:history="1">
            <w:r>
              <w:rPr>
                <w:rStyle w:val="Hyperlink"/>
              </w:rPr>
              <w:t>Task 1: Emotional Intelligence in the Workplace</w:t>
            </w:r>
            <w:r>
              <w:tab/>
            </w:r>
            <w:r>
              <w:fldChar w:fldCharType="begin"/>
            </w:r>
            <w:r>
              <w:instrText xml:space="preserve"> PAGEREF _Toc230972668 \h </w:instrText>
            </w:r>
            <w:r>
              <w:fldChar w:fldCharType="separate"/>
            </w:r>
            <w:r>
              <w:t>2</w:t>
            </w:r>
            <w:r>
              <w:fldChar w:fldCharType="end"/>
            </w:r>
          </w:hyperlink>
        </w:p>
        <w:p w14:paraId="4A6F7D42"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69" w:history="1">
            <w:r>
              <w:rPr>
                <w:rStyle w:val="Hyperlink"/>
                <w:lang w:val="en-IN"/>
              </w:rPr>
              <w:t>1.1 Understanding Emotional Intelligence</w:t>
            </w:r>
            <w:r>
              <w:tab/>
            </w:r>
            <w:r>
              <w:fldChar w:fldCharType="begin"/>
            </w:r>
            <w:r>
              <w:instrText xml:space="preserve"> PAGEREF _Toc230972669 \h </w:instrText>
            </w:r>
            <w:r>
              <w:fldChar w:fldCharType="separate"/>
            </w:r>
            <w:r>
              <w:t>2</w:t>
            </w:r>
            <w:r>
              <w:fldChar w:fldCharType="end"/>
            </w:r>
          </w:hyperlink>
        </w:p>
        <w:p w14:paraId="32251FC6"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70" w:history="1">
            <w:r>
              <w:rPr>
                <w:rStyle w:val="Hyperlink"/>
                <w:lang w:val="en-IN"/>
              </w:rPr>
              <w:t>1.2 Goleman’s Emotional Intelligence Framework</w:t>
            </w:r>
            <w:r>
              <w:tab/>
            </w:r>
            <w:r>
              <w:fldChar w:fldCharType="begin"/>
            </w:r>
            <w:r>
              <w:instrText xml:space="preserve"> PAGEREF _Toc230972670 \h </w:instrText>
            </w:r>
            <w:r>
              <w:fldChar w:fldCharType="separate"/>
            </w:r>
            <w:r>
              <w:t>3</w:t>
            </w:r>
            <w:r>
              <w:fldChar w:fldCharType="end"/>
            </w:r>
          </w:hyperlink>
        </w:p>
        <w:p w14:paraId="5540BDC1"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71" w:history="1">
            <w:r>
              <w:rPr>
                <w:rStyle w:val="Hyperlink"/>
                <w:lang w:val="en-IN"/>
              </w:rPr>
              <w:t>1.3 Mayer and Salovey’s Ability Model</w:t>
            </w:r>
            <w:r>
              <w:tab/>
            </w:r>
            <w:r>
              <w:fldChar w:fldCharType="begin"/>
            </w:r>
            <w:r>
              <w:instrText xml:space="preserve"> PAGEREF _Toc230972671 \h </w:instrText>
            </w:r>
            <w:r>
              <w:fldChar w:fldCharType="separate"/>
            </w:r>
            <w:r>
              <w:t>4</w:t>
            </w:r>
            <w:r>
              <w:fldChar w:fldCharType="end"/>
            </w:r>
          </w:hyperlink>
        </w:p>
        <w:p w14:paraId="2FBC7240"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72" w:history="1">
            <w:r>
              <w:rPr>
                <w:rStyle w:val="Hyperlink"/>
                <w:lang w:val="en-IN"/>
              </w:rPr>
              <w:t>1.4 Bar-On’s Emotional-Social Intelligence Model</w:t>
            </w:r>
            <w:r>
              <w:tab/>
            </w:r>
            <w:r>
              <w:fldChar w:fldCharType="begin"/>
            </w:r>
            <w:r>
              <w:instrText xml:space="preserve"> PAGEREF _Toc230972672 \h </w:instrText>
            </w:r>
            <w:r>
              <w:fldChar w:fldCharType="separate"/>
            </w:r>
            <w:r>
              <w:t>4</w:t>
            </w:r>
            <w:r>
              <w:fldChar w:fldCharType="end"/>
            </w:r>
          </w:hyperlink>
        </w:p>
        <w:p w14:paraId="6B77D29F"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73" w:history="1">
            <w:r>
              <w:rPr>
                <w:rStyle w:val="Hyperlink"/>
                <w:lang w:val="en-IN"/>
              </w:rPr>
              <w:t>1.5 Emotional Intelligence and Workplace Communication</w:t>
            </w:r>
            <w:r>
              <w:tab/>
            </w:r>
            <w:r>
              <w:fldChar w:fldCharType="begin"/>
            </w:r>
            <w:r>
              <w:instrText xml:space="preserve"> PAGEREF _Toc230972673 \h </w:instrText>
            </w:r>
            <w:r>
              <w:fldChar w:fldCharType="separate"/>
            </w:r>
            <w:r>
              <w:t>6</w:t>
            </w:r>
            <w:r>
              <w:fldChar w:fldCharType="end"/>
            </w:r>
          </w:hyperlink>
        </w:p>
        <w:p w14:paraId="6ED801A3"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74" w:history="1">
            <w:r>
              <w:rPr>
                <w:rStyle w:val="Hyperlink"/>
              </w:rPr>
              <w:t>1.6 Emotional Intelligence and Leadership Effectiveness</w:t>
            </w:r>
            <w:r>
              <w:tab/>
            </w:r>
            <w:r>
              <w:fldChar w:fldCharType="begin"/>
            </w:r>
            <w:r>
              <w:instrText xml:space="preserve"> PAGEREF _Toc230972674 \h </w:instrText>
            </w:r>
            <w:r>
              <w:fldChar w:fldCharType="separate"/>
            </w:r>
            <w:r>
              <w:t>6</w:t>
            </w:r>
            <w:r>
              <w:fldChar w:fldCharType="end"/>
            </w:r>
          </w:hyperlink>
        </w:p>
        <w:p w14:paraId="6FC3CF5C"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75" w:history="1">
            <w:r>
              <w:rPr>
                <w:rStyle w:val="Hyperlink"/>
              </w:rPr>
              <w:t>1.7 Role of Mindfulness in Emotional Intelligence</w:t>
            </w:r>
            <w:r>
              <w:tab/>
            </w:r>
            <w:r>
              <w:fldChar w:fldCharType="begin"/>
            </w:r>
            <w:r>
              <w:instrText xml:space="preserve"> PAGEREF _Toc230972675 \h </w:instrText>
            </w:r>
            <w:r>
              <w:fldChar w:fldCharType="separate"/>
            </w:r>
            <w:r>
              <w:t>6</w:t>
            </w:r>
            <w:r>
              <w:fldChar w:fldCharType="end"/>
            </w:r>
          </w:hyperlink>
        </w:p>
        <w:p w14:paraId="45F6F415"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76" w:history="1">
            <w:r>
              <w:rPr>
                <w:rStyle w:val="Hyperlink"/>
              </w:rPr>
              <w:t>1.8 Critical Evaluation of Emotional Intelligence</w:t>
            </w:r>
            <w:r>
              <w:tab/>
            </w:r>
            <w:r>
              <w:fldChar w:fldCharType="begin"/>
            </w:r>
            <w:r>
              <w:instrText xml:space="preserve"> PAGEREF _Toc230972676 \h </w:instrText>
            </w:r>
            <w:r>
              <w:fldChar w:fldCharType="separate"/>
            </w:r>
            <w:r>
              <w:t>7</w:t>
            </w:r>
            <w:r>
              <w:fldChar w:fldCharType="end"/>
            </w:r>
          </w:hyperlink>
        </w:p>
        <w:p w14:paraId="2DFEA69E" w14:textId="77777777" w:rsidR="0037012D" w:rsidRDefault="00000000">
          <w:pPr>
            <w:pStyle w:val="TOC1"/>
            <w:tabs>
              <w:tab w:val="right" w:leader="dot" w:pos="9016"/>
            </w:tabs>
            <w:rPr>
              <w:rFonts w:asciiTheme="minorHAnsi" w:eastAsiaTheme="minorEastAsia" w:hAnsiTheme="minorHAnsi" w:cstheme="minorBidi"/>
              <w:szCs w:val="22"/>
              <w:lang w:val="en-US"/>
            </w:rPr>
          </w:pPr>
          <w:hyperlink w:anchor="_Toc230972677" w:history="1">
            <w:r>
              <w:rPr>
                <w:rStyle w:val="Hyperlink"/>
                <w:rFonts w:cs="Arial"/>
                <w:bCs/>
              </w:rPr>
              <w:t>Task 2: Managing a Multigenerational Workforce</w:t>
            </w:r>
            <w:r>
              <w:tab/>
            </w:r>
            <w:r>
              <w:fldChar w:fldCharType="begin"/>
            </w:r>
            <w:r>
              <w:instrText xml:space="preserve"> PAGEREF _Toc230972677 \h </w:instrText>
            </w:r>
            <w:r>
              <w:fldChar w:fldCharType="separate"/>
            </w:r>
            <w:r>
              <w:t>7</w:t>
            </w:r>
            <w:r>
              <w:fldChar w:fldCharType="end"/>
            </w:r>
          </w:hyperlink>
        </w:p>
        <w:p w14:paraId="1D4ABED6"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78" w:history="1">
            <w:r>
              <w:rPr>
                <w:rStyle w:val="Hyperlink"/>
                <w:rFonts w:cs="Arial"/>
                <w:bCs/>
              </w:rPr>
              <w:t>2.1 Introduction to Generational Groups</w:t>
            </w:r>
            <w:r>
              <w:tab/>
            </w:r>
            <w:r>
              <w:fldChar w:fldCharType="begin"/>
            </w:r>
            <w:r>
              <w:instrText xml:space="preserve"> PAGEREF _Toc230972678 \h </w:instrText>
            </w:r>
            <w:r>
              <w:fldChar w:fldCharType="separate"/>
            </w:r>
            <w:r>
              <w:t>7</w:t>
            </w:r>
            <w:r>
              <w:fldChar w:fldCharType="end"/>
            </w:r>
          </w:hyperlink>
        </w:p>
        <w:p w14:paraId="5787DD80"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79" w:history="1">
            <w:r>
              <w:rPr>
                <w:rStyle w:val="Hyperlink"/>
                <w:rFonts w:cs="Arial"/>
                <w:bCs/>
              </w:rPr>
              <w:t>2.3 Impacts of Generational Differences on Organisations</w:t>
            </w:r>
            <w:r>
              <w:tab/>
            </w:r>
            <w:r>
              <w:fldChar w:fldCharType="begin"/>
            </w:r>
            <w:r>
              <w:instrText xml:space="preserve"> PAGEREF _Toc230972679 \h </w:instrText>
            </w:r>
            <w:r>
              <w:fldChar w:fldCharType="separate"/>
            </w:r>
            <w:r>
              <w:t>9</w:t>
            </w:r>
            <w:r>
              <w:fldChar w:fldCharType="end"/>
            </w:r>
          </w:hyperlink>
        </w:p>
        <w:p w14:paraId="12495577"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80" w:history="1">
            <w:r>
              <w:rPr>
                <w:rStyle w:val="Hyperlink"/>
                <w:rFonts w:cs="Arial"/>
                <w:bCs/>
              </w:rPr>
              <w:t>2.4 Use of Emotional Intelligence (EI) in Managing Generational Diversity</w:t>
            </w:r>
            <w:r>
              <w:tab/>
            </w:r>
            <w:r>
              <w:fldChar w:fldCharType="begin"/>
            </w:r>
            <w:r>
              <w:instrText xml:space="preserve"> PAGEREF _Toc230972680 \h </w:instrText>
            </w:r>
            <w:r>
              <w:fldChar w:fldCharType="separate"/>
            </w:r>
            <w:r>
              <w:t>9</w:t>
            </w:r>
            <w:r>
              <w:fldChar w:fldCharType="end"/>
            </w:r>
          </w:hyperlink>
        </w:p>
        <w:p w14:paraId="2260612B" w14:textId="77777777" w:rsidR="0037012D" w:rsidRDefault="00000000">
          <w:pPr>
            <w:pStyle w:val="TOC2"/>
            <w:tabs>
              <w:tab w:val="right" w:leader="dot" w:pos="9016"/>
            </w:tabs>
            <w:rPr>
              <w:rFonts w:asciiTheme="minorHAnsi" w:eastAsiaTheme="minorEastAsia" w:hAnsiTheme="minorHAnsi" w:cstheme="minorBidi"/>
              <w:szCs w:val="22"/>
              <w:lang w:val="en-US"/>
            </w:rPr>
          </w:pPr>
          <w:hyperlink w:anchor="_Toc230972681" w:history="1">
            <w:r>
              <w:rPr>
                <w:rStyle w:val="Hyperlink"/>
                <w:rFonts w:cs="Arial"/>
                <w:bCs/>
              </w:rPr>
              <w:t>2.5 Mindfulness and Inclusive Leadership</w:t>
            </w:r>
            <w:r>
              <w:tab/>
            </w:r>
            <w:r>
              <w:fldChar w:fldCharType="begin"/>
            </w:r>
            <w:r>
              <w:instrText xml:space="preserve"> PAGEREF _Toc230972681 \h </w:instrText>
            </w:r>
            <w:r>
              <w:fldChar w:fldCharType="separate"/>
            </w:r>
            <w:r>
              <w:t>10</w:t>
            </w:r>
            <w:r>
              <w:fldChar w:fldCharType="end"/>
            </w:r>
          </w:hyperlink>
        </w:p>
        <w:p w14:paraId="667C652B" w14:textId="77777777" w:rsidR="0037012D" w:rsidRDefault="00000000">
          <w:pPr>
            <w:pStyle w:val="TOC1"/>
            <w:tabs>
              <w:tab w:val="right" w:leader="dot" w:pos="9016"/>
            </w:tabs>
            <w:rPr>
              <w:rFonts w:asciiTheme="minorHAnsi" w:eastAsiaTheme="minorEastAsia" w:hAnsiTheme="minorHAnsi" w:cstheme="minorBidi"/>
              <w:szCs w:val="22"/>
              <w:lang w:val="en-US"/>
            </w:rPr>
          </w:pPr>
          <w:hyperlink w:anchor="_Toc230972682" w:history="1">
            <w:r>
              <w:rPr>
                <w:rStyle w:val="Hyperlink"/>
              </w:rPr>
              <w:t>Conclusion</w:t>
            </w:r>
            <w:r>
              <w:tab/>
            </w:r>
            <w:r>
              <w:fldChar w:fldCharType="begin"/>
            </w:r>
            <w:r>
              <w:instrText xml:space="preserve"> PAGEREF _Toc230972682 \h </w:instrText>
            </w:r>
            <w:r>
              <w:fldChar w:fldCharType="separate"/>
            </w:r>
            <w:r>
              <w:t>11</w:t>
            </w:r>
            <w:r>
              <w:fldChar w:fldCharType="end"/>
            </w:r>
          </w:hyperlink>
        </w:p>
        <w:p w14:paraId="4D420573" w14:textId="77777777" w:rsidR="0037012D" w:rsidRDefault="00000000">
          <w:pPr>
            <w:pStyle w:val="TOC1"/>
            <w:tabs>
              <w:tab w:val="right" w:leader="dot" w:pos="9016"/>
            </w:tabs>
            <w:rPr>
              <w:rFonts w:asciiTheme="minorHAnsi" w:eastAsiaTheme="minorEastAsia" w:hAnsiTheme="minorHAnsi" w:cstheme="minorBidi"/>
              <w:szCs w:val="22"/>
              <w:lang w:val="en-US"/>
            </w:rPr>
          </w:pPr>
          <w:hyperlink w:anchor="_Toc230972683" w:history="1">
            <w:r>
              <w:rPr>
                <w:rStyle w:val="Hyperlink"/>
                <w:lang w:val="en-IN"/>
              </w:rPr>
              <w:t>References</w:t>
            </w:r>
            <w:r>
              <w:tab/>
            </w:r>
            <w:r>
              <w:fldChar w:fldCharType="begin"/>
            </w:r>
            <w:r>
              <w:instrText xml:space="preserve"> PAGEREF _Toc230972683 \h </w:instrText>
            </w:r>
            <w:r>
              <w:fldChar w:fldCharType="separate"/>
            </w:r>
            <w:r>
              <w:t>12</w:t>
            </w:r>
            <w:r>
              <w:fldChar w:fldCharType="end"/>
            </w:r>
          </w:hyperlink>
        </w:p>
        <w:p w14:paraId="78D7FD04" w14:textId="77777777" w:rsidR="0037012D" w:rsidRDefault="00000000">
          <w:r>
            <w:rPr>
              <w:b/>
              <w:bCs/>
            </w:rPr>
            <w:fldChar w:fldCharType="end"/>
          </w:r>
        </w:p>
      </w:sdtContent>
    </w:sdt>
    <w:p w14:paraId="11128668" w14:textId="77777777" w:rsidR="0037012D" w:rsidRDefault="00000000">
      <w:pPr>
        <w:spacing w:after="160" w:line="259" w:lineRule="auto"/>
        <w:jc w:val="left"/>
        <w:rPr>
          <w:lang w:val="en-IN"/>
        </w:rPr>
      </w:pPr>
      <w:r>
        <w:rPr>
          <w:lang w:val="en-IN"/>
        </w:rPr>
        <w:br w:type="page"/>
      </w:r>
    </w:p>
    <w:p w14:paraId="0EBAF251" w14:textId="77777777" w:rsidR="0037012D" w:rsidRDefault="00000000">
      <w:pPr>
        <w:pStyle w:val="Heading1"/>
      </w:pPr>
      <w:bookmarkStart w:id="0" w:name="_Toc230972667"/>
      <w:r>
        <w:lastRenderedPageBreak/>
        <w:t>Introduction</w:t>
      </w:r>
      <w:bookmarkEnd w:id="0"/>
    </w:p>
    <w:p w14:paraId="34EEB92F" w14:textId="77777777" w:rsidR="0037012D" w:rsidRDefault="00000000">
      <w:pPr>
        <w:pStyle w:val="Normal1"/>
        <w:shd w:val="clear" w:color="auto" w:fill="FFFFFF"/>
        <w:spacing w:line="360" w:lineRule="auto"/>
        <w:jc w:val="both"/>
        <w:rPr>
          <w:szCs w:val="24"/>
          <w:lang w:val="en-GB"/>
        </w:rPr>
      </w:pPr>
      <w:r>
        <w:rPr>
          <w:szCs w:val="24"/>
          <w:lang w:val="en-GB"/>
        </w:rPr>
        <w:t xml:space="preserve">Emotional intelligence (EI) and mindfulness have become important for contemporary organisations as the modern workplace are increasingly drivers, technology-driven and emotionally demanding. Different organisations can also recognise employee performance and organisational success majorly depending on the technical knowledge but also for the case of interpersonal skills, emotional regulations and psychological well-being. EI refers to the respective ability to identify, understand, manage and also influence emotions in one and others (Antonopoulou, 2024). Mindfulness involves the maintaining of awareness of present experience while also responding calmly and thoughtfully to the workplace situation (Channawar, 2023). Both the concept contributes to the communication, collaboration, leadership effectiveness and the consideration to the conflict management in the organisation. The importance of EI has significantly increased because of the organisations that operate in highly competitive and stressful environments where the burnout, workplace conflicts and poor communication can also negatively affect productivity and morale. Employees with the EI are better able to manage pressures, demonstrating empathy and building positive workplace relationships. Similarly, mindfulness practices include emotional stability, resilience and decision making by helping the individual remain focused during any challenging situation. The report critically analyses the role of EI and mindfulness in modern organisations. It evaluates different EI theories that include Goleman’s Emotional Intelligence Framework, Mayer and Salovey’s Ability Model, and Bar-On’s Emotional-Social Intelligence Model. The report highlights on examination the contribution of EI towards the leadership effectiveness, workplace communication, employee well-being and the inclusive management practice observed in the multigenerational workplace. </w:t>
      </w:r>
    </w:p>
    <w:p w14:paraId="45431CE9" w14:textId="77777777" w:rsidR="0037012D" w:rsidRDefault="00000000">
      <w:pPr>
        <w:pStyle w:val="Heading1"/>
        <w:rPr>
          <w:lang w:val="en-IN"/>
        </w:rPr>
      </w:pPr>
      <w:bookmarkStart w:id="1" w:name="_Toc230972668"/>
      <w:r>
        <w:t>Task 1: Emotional Intelligence in the Workplace</w:t>
      </w:r>
      <w:bookmarkEnd w:id="1"/>
    </w:p>
    <w:p w14:paraId="3AB8F282" w14:textId="77777777" w:rsidR="0037012D" w:rsidRDefault="00000000">
      <w:pPr>
        <w:pStyle w:val="Heading2"/>
        <w:rPr>
          <w:lang w:val="en-IN"/>
        </w:rPr>
      </w:pPr>
      <w:bookmarkStart w:id="2" w:name="_Toc230972669"/>
      <w:r>
        <w:rPr>
          <w:lang w:val="en-IN"/>
        </w:rPr>
        <w:t>1.1 Understanding Emotional Intelligence</w:t>
      </w:r>
      <w:bookmarkEnd w:id="2"/>
    </w:p>
    <w:p w14:paraId="643C333A" w14:textId="77777777" w:rsidR="0037012D" w:rsidRDefault="00000000">
      <w:pPr>
        <w:rPr>
          <w:lang w:val="en-IN"/>
        </w:rPr>
      </w:pPr>
      <w:r>
        <w:rPr>
          <w:lang w:val="en-IN"/>
        </w:rPr>
        <w:t>Emotional Intelligence or EI can be defined as the ability among individuals to identify, understand, influence, and manage emotions within themselves and others. As stated by Daniel Goleman, EI includes various competencies like self-regulation, self-awareness, social skills, motivation, and empathy (</w:t>
      </w:r>
      <w:r>
        <w:t>Singh et al., 2022</w:t>
      </w:r>
      <w:r>
        <w:rPr>
          <w:lang w:val="en-IN"/>
        </w:rPr>
        <w:t xml:space="preserve">). All these competencies influence behaviour within organisations along with organisational effectiveness. In the case of modern workplaces, emotional intelligence has become a majorly necessary element as employees operate within technology-driven, diverse, and stressful environments. Within such environment, interpersonal relationships can affect employee wellbeing and </w:t>
      </w:r>
      <w:r>
        <w:rPr>
          <w:lang w:val="en-IN"/>
        </w:rPr>
        <w:lastRenderedPageBreak/>
        <w:t>productivity strongly. The organisation in the case study can leverage emotional intelligence for strengthening collaboration, lower workplace tensions, and enhance morale among employees, amidst decision-making and team interactions.</w:t>
      </w:r>
    </w:p>
    <w:p w14:paraId="74861547" w14:textId="77777777" w:rsidR="0037012D" w:rsidRDefault="00000000">
      <w:pPr>
        <w:rPr>
          <w:lang w:val="en-IN"/>
        </w:rPr>
      </w:pPr>
      <w:r>
        <w:rPr>
          <w:lang w:val="en-IN"/>
        </w:rPr>
        <w:t>The emotionally intelligent workers, within organisational behaviour seem to be more capable of resolving conflicts, handling pressure, and adapting to the changes within an organisation. For example, organisations like Tesco have integrated employee well-being and EI leadership into their management practices (</w:t>
      </w:r>
      <w:r>
        <w:t>Tesco plc</w:t>
      </w:r>
      <w:r>
        <w:rPr>
          <w:lang w:val="en-IN"/>
        </w:rPr>
        <w:t>, 2024). This decision is taken by Tesco to improve employee retention and engagement. Positive workplace relations and employee well-being contribute directly to performance and job satisfaction (</w:t>
      </w:r>
      <w:r>
        <w:t>BELLA</w:t>
      </w:r>
      <w:r>
        <w:rPr>
          <w:lang w:val="en-IN"/>
        </w:rPr>
        <w:t xml:space="preserve">, 2023). Similarly, the case study organisation can get the facilities from emotionally intelligent practices. It can help to motivate open communication, psychological safety, and trust among the workers. </w:t>
      </w:r>
    </w:p>
    <w:p w14:paraId="56EB437F" w14:textId="77777777" w:rsidR="0037012D" w:rsidRDefault="00000000">
      <w:pPr>
        <w:pStyle w:val="Heading2"/>
        <w:rPr>
          <w:lang w:val="en-IN"/>
        </w:rPr>
      </w:pPr>
      <w:bookmarkStart w:id="3" w:name="_Toc230972670"/>
      <w:r>
        <w:rPr>
          <w:lang w:val="en-IN"/>
        </w:rPr>
        <w:t>1.2 Goleman’s Emotional Intelligence Framework</w:t>
      </w:r>
      <w:bookmarkEnd w:id="3"/>
    </w:p>
    <w:p w14:paraId="1A893EF9" w14:textId="77777777" w:rsidR="0037012D" w:rsidRDefault="00000000">
      <w:pPr>
        <w:rPr>
          <w:lang w:val="en-IN"/>
        </w:rPr>
      </w:pPr>
      <w:r>
        <w:rPr>
          <w:lang w:val="en-IN"/>
        </w:rPr>
        <w:t>The emotional intelligence framework of Goleman recognises five major components that can influence leadership capabilities and employee effectiveness. These five factors are self-regulation, self-awareness, empathy, motivation, and social skills (</w:t>
      </w:r>
      <w:r>
        <w:t>Antonopoulou</w:t>
      </w:r>
      <w:r>
        <w:rPr>
          <w:lang w:val="en-IN"/>
        </w:rPr>
        <w:t>, 2024). With self-awareness, employees can identify the emotional triggers besides understanding how emotions can affect behaviour across workplace. Employees having higher level of self-awareness seem to reflect on their own actions and enhance professional relationships. Emotional control is therefore supported by self-regulation, amidst stressful situations. It helps individuals to make rational decisions and keep calm amidst organisational pressure or conflicts. Motivation is persistence and internal commitment towards organisational gaols. The emotionally intelligent workers maintain their productivity levels and showcase resilience despite challenges. Empathy allows managers and employees to understand the perspectives and emotions of colleagues. It helps to solidify collaboration as well as inclusivity. With social skills, employees benefit with effective teamwork, communication, and relationship management. All these aspects are highly necessary within modern organisations. For instance, mindfulness initiatives introduced by the College of Policing in England and Wales have improved work performance, resilience, and employee satisfaction (</w:t>
      </w:r>
      <w:r>
        <w:t>CIPD</w:t>
      </w:r>
      <w:r>
        <w:rPr>
          <w:lang w:val="en-IN"/>
        </w:rPr>
        <w:t xml:space="preserve">, 2020). Respectful communication, positive leadership, and supportive management improve workplace relationships. Thus, the case study organisation can apply the framework of Goleman to improve conflict resolution, communication, and employee morale. </w:t>
      </w:r>
    </w:p>
    <w:p w14:paraId="1E419626" w14:textId="77777777" w:rsidR="0037012D" w:rsidRDefault="00000000">
      <w:pPr>
        <w:pStyle w:val="Heading2"/>
        <w:rPr>
          <w:lang w:val="en-IN"/>
        </w:rPr>
      </w:pPr>
      <w:bookmarkStart w:id="4" w:name="_Toc230972671"/>
      <w:r>
        <w:rPr>
          <w:lang w:val="en-IN"/>
        </w:rPr>
        <w:lastRenderedPageBreak/>
        <w:t>1.3 Mayer and Salovey’s Ability Model</w:t>
      </w:r>
      <w:bookmarkEnd w:id="4"/>
    </w:p>
    <w:p w14:paraId="5529F26A" w14:textId="77777777" w:rsidR="0037012D" w:rsidRDefault="00000000">
      <w:pPr>
        <w:rPr>
          <w:lang w:val="en-IN"/>
        </w:rPr>
      </w:pPr>
      <w:r>
        <w:rPr>
          <w:lang w:val="en-IN"/>
        </w:rPr>
        <w:t>The Ability Model of Mayer and Salovey sees EI as a set of cognitive abilities. These abilities enable individuals to process all the emotional information proactively. This model includes four main dimensions. These are using emotions to facilitate thinking, perceiving emotions, managing emotions, and understanding emotions (</w:t>
      </w:r>
      <w:r>
        <w:t>Mayer</w:t>
      </w:r>
      <w:r>
        <w:rPr>
          <w:lang w:val="en-IN"/>
        </w:rPr>
        <w:t xml:space="preserve"> et al., 2024). In the context of perceiving emotions, one must recognise emotional expressions through non-verbal and verbal communication. This skill, within the organisation can improve interactions among employees by enabling team members as well as managers to recognise frustration, disagreement, or stress among colleagues. The use of emotions to facilitate thinking benefits employees in integrating emotions into problem-solving and decision-making processes. Individuals who are emotionally intelligent can utilise positive emotions to motivate collaboration and creativity during projects in workplaces. The element, understanding emotions, includes identification of the patterns of emotions and predicting the behavioural responses amidst conflict situations or organisational change. The management of emotions is the ability of regulating emotions proactively, besides influencing others positively among stressful circumstances. In the modern workplaces, the significance of this model has increased. Organisations across the UK are highly emphasising mental wellbeing as an emotionally supportive environment can improve productivity, loyalty, and engagement (</w:t>
      </w:r>
      <w:r>
        <w:t>BSC</w:t>
      </w:r>
      <w:r>
        <w:rPr>
          <w:lang w:val="en-IN"/>
        </w:rPr>
        <w:t xml:space="preserve">, 2022). Thus, the organisation in the case study can utilise the framework of </w:t>
      </w:r>
      <w:r>
        <w:t xml:space="preserve">Mayer and Salovey to improve positive workplace relationships. </w:t>
      </w:r>
    </w:p>
    <w:p w14:paraId="4545B8B4" w14:textId="77777777" w:rsidR="0037012D" w:rsidRDefault="00000000">
      <w:pPr>
        <w:pStyle w:val="Heading2"/>
        <w:rPr>
          <w:lang w:val="en-IN"/>
        </w:rPr>
      </w:pPr>
      <w:bookmarkStart w:id="5" w:name="_Toc230972672"/>
      <w:r>
        <w:rPr>
          <w:lang w:val="en-IN"/>
        </w:rPr>
        <w:t>1.4 Bar-On’s Emotional-Social Intelligence Model</w:t>
      </w:r>
      <w:bookmarkEnd w:id="5"/>
    </w:p>
    <w:p w14:paraId="1ECBB652" w14:textId="77777777" w:rsidR="0037012D" w:rsidRDefault="00000000">
      <w:r>
        <w:rPr>
          <w:lang w:val="en-IN"/>
        </w:rPr>
        <w:t xml:space="preserve">The </w:t>
      </w:r>
      <w:r>
        <w:t xml:space="preserve">Emotional-Social Intelligence model of Bar-On has expanded EI beyond mere emotional abilities through the incorporation of psychological and social competencies that influence well-being and workplace behaviour. This model includes interpersonal skills, intrapersonal skills, adaptability, stress management, along with general mood (García et al., 2022). The intrapersonal skills involve emotional expressions, self-awareness, and confidence. </w:t>
      </w:r>
    </w:p>
    <w:p w14:paraId="081E34F8" w14:textId="77777777" w:rsidR="0037012D" w:rsidRDefault="00000000">
      <w:pPr>
        <w:jc w:val="center"/>
      </w:pPr>
      <w:r>
        <w:rPr>
          <w:noProof/>
          <w:lang w:val="en-US"/>
        </w:rPr>
        <w:lastRenderedPageBreak/>
        <w:drawing>
          <wp:inline distT="0" distB="0" distL="0" distR="0" wp14:anchorId="69B4119C" wp14:editId="3C147D04">
            <wp:extent cx="5731510" cy="2689860"/>
            <wp:effectExtent l="0" t="0" r="2540" b="0"/>
            <wp:docPr id="1931475901" name="Picture 1" descr="Bar-On’s model of 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475901" name="Picture 1" descr="Bar-On’s model of emotional intelligence"/>
                    <pic:cNvPicPr>
                      <a:picLocks noChangeAspect="1" noChangeArrowheads="1"/>
                    </pic:cNvPicPr>
                  </pic:nvPicPr>
                  <pic:blipFill>
                    <a:blip r:embed="rId8" cstate="print">
                      <a:extLst>
                        <a:ext uri="{28A0092B-C50C-407E-A947-70E740481C1C}">
                          <a14:useLocalDpi xmlns:a14="http://schemas.microsoft.com/office/drawing/2010/main" val="0"/>
                        </a:ext>
                      </a:extLst>
                    </a:blip>
                    <a:srcRect t="21270" b="16159"/>
                    <a:stretch>
                      <a:fillRect/>
                    </a:stretch>
                  </pic:blipFill>
                  <pic:spPr>
                    <a:xfrm>
                      <a:off x="0" y="0"/>
                      <a:ext cx="5731510" cy="2689860"/>
                    </a:xfrm>
                    <a:prstGeom prst="rect">
                      <a:avLst/>
                    </a:prstGeom>
                    <a:noFill/>
                    <a:ln>
                      <a:noFill/>
                    </a:ln>
                  </pic:spPr>
                </pic:pic>
              </a:graphicData>
            </a:graphic>
          </wp:inline>
        </w:drawing>
      </w:r>
    </w:p>
    <w:p w14:paraId="09E2C505" w14:textId="77777777" w:rsidR="0037012D" w:rsidRDefault="00000000">
      <w:pPr>
        <w:jc w:val="center"/>
        <w:rPr>
          <w:b/>
          <w:bCs/>
        </w:rPr>
      </w:pPr>
      <w:r>
        <w:rPr>
          <w:b/>
          <w:bCs/>
        </w:rPr>
        <w:t>Figure: 1: Emotional-Social Intelligence Model</w:t>
      </w:r>
    </w:p>
    <w:p w14:paraId="5BAD09C3" w14:textId="77777777" w:rsidR="0037012D" w:rsidRDefault="00000000">
      <w:pPr>
        <w:jc w:val="center"/>
        <w:rPr>
          <w:i/>
          <w:iCs/>
        </w:rPr>
      </w:pPr>
      <w:r>
        <w:rPr>
          <w:i/>
          <w:iCs/>
        </w:rPr>
        <w:t>(Source: My Courses, 2025)</w:t>
      </w:r>
    </w:p>
    <w:p w14:paraId="185C597B" w14:textId="77777777" w:rsidR="0037012D" w:rsidRDefault="00000000">
      <w:pPr>
        <w:rPr>
          <w:lang w:val="en-IN"/>
        </w:rPr>
      </w:pPr>
      <w:r>
        <w:t>These enable workers to understand their personal weaknesses and strengths. Interpersonal</w:t>
      </w:r>
      <w:r>
        <w:rPr>
          <w:lang w:val="en-IN"/>
        </w:rPr>
        <w:t xml:space="preserve"> skills, on contrary, focus on social responsibility, empathy, and relationship building. These support collaboration and teamwork within different organisational settings. In contemporary workplaces, stress management is highly necessary. This is because modern workplaces are characterised by uncertainty and higher workloads. Workers having stress management abilities can maintain their productivity and be emotionally stable under pressure. Therefore, adaptability can enable employees to effectively respond to technological development, organisational change, and changing work demands. Positive attitudes and optimism are reflected by general mood. It contributes to workplace culture and employee morale. It is noticed that poor mental health costs nearly 51 billion GBP to UK employers in a year due to burnout, absenteeism, and lowered productivity (CIPD, 2024b). </w:t>
      </w:r>
    </w:p>
    <w:p w14:paraId="29E17CC8" w14:textId="77777777" w:rsidR="0037012D" w:rsidRDefault="00000000">
      <w:pPr>
        <w:jc w:val="center"/>
        <w:rPr>
          <w:lang w:val="en-IN"/>
        </w:rPr>
      </w:pPr>
      <w:r>
        <w:rPr>
          <w:noProof/>
          <w:lang w:val="en-US"/>
        </w:rPr>
        <w:drawing>
          <wp:inline distT="0" distB="0" distL="0" distR="0" wp14:anchorId="790CD924" wp14:editId="7CF34059">
            <wp:extent cx="5731510" cy="1165860"/>
            <wp:effectExtent l="0" t="0" r="2540" b="0"/>
            <wp:docPr id="467403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03155" name="Picture 1"/>
                    <pic:cNvPicPr>
                      <a:picLocks noChangeAspect="1"/>
                    </pic:cNvPicPr>
                  </pic:nvPicPr>
                  <pic:blipFill>
                    <a:blip r:embed="rId9" cstate="print"/>
                    <a:stretch>
                      <a:fillRect/>
                    </a:stretch>
                  </pic:blipFill>
                  <pic:spPr>
                    <a:xfrm>
                      <a:off x="0" y="0"/>
                      <a:ext cx="5731510" cy="1165860"/>
                    </a:xfrm>
                    <a:prstGeom prst="rect">
                      <a:avLst/>
                    </a:prstGeom>
                  </pic:spPr>
                </pic:pic>
              </a:graphicData>
            </a:graphic>
          </wp:inline>
        </w:drawing>
      </w:r>
    </w:p>
    <w:p w14:paraId="4A7CC7DE" w14:textId="77777777" w:rsidR="0037012D" w:rsidRDefault="00000000">
      <w:pPr>
        <w:jc w:val="center"/>
        <w:rPr>
          <w:b/>
          <w:bCs/>
          <w:lang w:val="en-IN"/>
        </w:rPr>
      </w:pPr>
      <w:r>
        <w:rPr>
          <w:b/>
          <w:bCs/>
          <w:lang w:val="en-IN"/>
        </w:rPr>
        <w:t>Figure 2: Key figures of employee wellbeing and business performance</w:t>
      </w:r>
    </w:p>
    <w:p w14:paraId="300C66DE" w14:textId="77777777" w:rsidR="0037012D" w:rsidRDefault="00000000">
      <w:pPr>
        <w:jc w:val="center"/>
        <w:rPr>
          <w:i/>
          <w:iCs/>
          <w:lang w:val="en-IN"/>
        </w:rPr>
      </w:pPr>
      <w:r>
        <w:rPr>
          <w:i/>
          <w:iCs/>
          <w:lang w:val="en-IN"/>
        </w:rPr>
        <w:t>(Source:</w:t>
      </w:r>
      <w:r>
        <w:rPr>
          <w:lang w:val="en-IN"/>
        </w:rPr>
        <w:t xml:space="preserve"> </w:t>
      </w:r>
      <w:r>
        <w:rPr>
          <w:i/>
          <w:iCs/>
          <w:lang w:val="en-IN"/>
        </w:rPr>
        <w:t>CIPD, 2024b)</w:t>
      </w:r>
    </w:p>
    <w:p w14:paraId="66D3169B" w14:textId="77777777" w:rsidR="0037012D" w:rsidRDefault="00000000">
      <w:pPr>
        <w:rPr>
          <w:lang w:val="en-IN"/>
        </w:rPr>
      </w:pPr>
      <w:r>
        <w:rPr>
          <w:lang w:val="en-IN"/>
        </w:rPr>
        <w:t xml:space="preserve">Thus, it is necessary for the case study organisation to implement the model of Bar-On to empower adaptability, well-being, and performance of their employees. </w:t>
      </w:r>
    </w:p>
    <w:p w14:paraId="4B172ED8" w14:textId="77777777" w:rsidR="0037012D" w:rsidRDefault="00000000">
      <w:pPr>
        <w:pStyle w:val="Heading2"/>
        <w:rPr>
          <w:lang w:val="en-IN"/>
        </w:rPr>
      </w:pPr>
      <w:bookmarkStart w:id="6" w:name="_Toc230972673"/>
      <w:r>
        <w:rPr>
          <w:lang w:val="en-IN"/>
        </w:rPr>
        <w:lastRenderedPageBreak/>
        <w:t>1.5 Emotional Intelligence and Workplace Communication</w:t>
      </w:r>
      <w:bookmarkEnd w:id="6"/>
    </w:p>
    <w:p w14:paraId="536CFBF2" w14:textId="77777777" w:rsidR="0037012D" w:rsidRDefault="00000000">
      <w:pPr>
        <w:rPr>
          <w:lang w:val="en-IN"/>
        </w:rPr>
      </w:pPr>
      <w:r>
        <w:rPr>
          <w:lang w:val="en-IN"/>
        </w:rPr>
        <w:t>Workplace communication can be improved significantly by EI as it strengthens empathy, active listening, and interpersonal relationships. Active listening refers to concentrate on the perspectives of employees completely, before responding (</w:t>
      </w:r>
      <w:r>
        <w:t>Younger</w:t>
      </w:r>
      <w:r>
        <w:rPr>
          <w:lang w:val="en-IN"/>
        </w:rPr>
        <w:t xml:space="preserve">, 2023). It is crucial to build trust and reduce misunderstandings among teams. In the organisation, employees who reflect emotional intelligence seem to communicate more respectfully, identify all the emotional cues, and properly respond during discussions. Empathy has a major role in the case of efficient communication. This is because it enables managers and employees to understand the emotional experiences of their colleagues. Communication that is empathetic, can promote intense psychological safety. Nearly 8 million employees in the UK experienced workplace conflict (CIPD, 2024). This included humiliation, verbal abuse, and heated arguments. This emphasises that the organisation must concentrate on placing supportive line management and communication training for reducing conflicts, besides improving organisational relationships. </w:t>
      </w:r>
    </w:p>
    <w:p w14:paraId="170A46D6" w14:textId="77777777" w:rsidR="0037012D" w:rsidRDefault="00000000">
      <w:pPr>
        <w:pStyle w:val="Heading2"/>
      </w:pPr>
      <w:bookmarkStart w:id="7" w:name="_Toc230972674"/>
      <w:r>
        <w:t>1.6 Emotional Intelligence and Leadership Effectiveness</w:t>
      </w:r>
      <w:bookmarkEnd w:id="7"/>
      <w:r>
        <w:t xml:space="preserve"> </w:t>
      </w:r>
    </w:p>
    <w:p w14:paraId="004C4402" w14:textId="77777777" w:rsidR="0037012D" w:rsidRDefault="00000000">
      <w:pPr>
        <w:pStyle w:val="Normal1"/>
        <w:spacing w:line="360" w:lineRule="auto"/>
        <w:jc w:val="both"/>
        <w:rPr>
          <w:szCs w:val="24"/>
          <w:lang w:val="en-GB"/>
        </w:rPr>
      </w:pPr>
      <w:r>
        <w:rPr>
          <w:szCs w:val="24"/>
          <w:lang w:val="en-GB"/>
        </w:rPr>
        <w:t xml:space="preserve">EI significantly improves leadership effectiveness because the emotionally intelligent leaders can relevantly manage relationships, motivate employees and create positive workplace culture. As per the Goleman framework, leaders with the strong EI demonstrate empathy, self awareness and social skills which helps in strengthening of trust and communication in the team (Sharipov and Jabbarova, 2024). Self-awareness allows leaders to understand how their emotions influence employees, while self-regulation helps them in remaining calm during workplace conflicts and organisational pressure. Empathy also improves the overall leadership as the leaders can understand the employee's concerns and also create a psychological safe work environment. Emotionally intelligent leaders are observed to be highly important in the modern organisations where teamwork and employee well-being strongly influences the overall performance of the organisation. For instance, supportive leadership practices in an organisation such as Tesco has improved the employees satisfaction and collaboration. However, EI cannot guarantee the leadership success as the leadership effectiveness majorly depends on the organisational culture, technical competence and the strategic decision making. </w:t>
      </w:r>
    </w:p>
    <w:p w14:paraId="08D9A00D" w14:textId="77777777" w:rsidR="0037012D" w:rsidRDefault="00000000">
      <w:pPr>
        <w:pStyle w:val="Heading2"/>
      </w:pPr>
      <w:bookmarkStart w:id="8" w:name="_Toc230972675"/>
      <w:r>
        <w:t>1.7 Role of Mindfulness in Emotional Intelligence</w:t>
      </w:r>
      <w:bookmarkEnd w:id="8"/>
      <w:r>
        <w:t xml:space="preserve"> </w:t>
      </w:r>
    </w:p>
    <w:p w14:paraId="1FDDC35B" w14:textId="77777777" w:rsidR="0037012D" w:rsidRDefault="00000000">
      <w:pPr>
        <w:pStyle w:val="Normal1"/>
        <w:spacing w:line="360" w:lineRule="auto"/>
        <w:jc w:val="both"/>
        <w:rPr>
          <w:szCs w:val="24"/>
          <w:lang w:val="en-GB"/>
        </w:rPr>
      </w:pPr>
      <w:r>
        <w:rPr>
          <w:szCs w:val="24"/>
          <w:lang w:val="en-GB"/>
        </w:rPr>
        <w:t xml:space="preserve">Mindfulness plays one of the significant roles for developing EI as it improves emotional awareness, self-regulation and psychological well-being. Mindfulness refers to the </w:t>
      </w:r>
      <w:r>
        <w:rPr>
          <w:szCs w:val="24"/>
          <w:lang w:val="en-GB"/>
        </w:rPr>
        <w:lastRenderedPageBreak/>
        <w:t xml:space="preserve">maintaining of awareness for the present experience while also responding calmly to the workplace situation (Chems-Maarif et al., 2025). Employees who practice mindfulness are also capable of recognising their emotions and controlling negative reactions during stressful circumstances. Within organisations, mindfulness improves the overall active listening, patience and respectful communication among the employees. This helps in improving collaboration and reduces workplace misunderstanding. Mindfulness practice improves the overall resilience, concentration and emotional stability (Oh et al., 2022). It additionally supports the leadership effectiveness as a mindful leader can balance decisions and also manage workplace relationships. However, mindfulness also has limitations as the workplace stress can continue if the organisation fails to address the structural problem such as the excessive workload or the poor management practices. Despite all these criticisms, mindfulness remains one of the valuable as it supports EI, employee well being and the positive workplace relationship in the modern organisation. </w:t>
      </w:r>
    </w:p>
    <w:p w14:paraId="199C377E" w14:textId="77777777" w:rsidR="0037012D" w:rsidRDefault="00000000">
      <w:pPr>
        <w:pStyle w:val="Heading2"/>
      </w:pPr>
      <w:bookmarkStart w:id="9" w:name="_Toc230972676"/>
      <w:r>
        <w:t>1.8 Critical Evaluation of Emotional Intelligence</w:t>
      </w:r>
      <w:bookmarkEnd w:id="9"/>
      <w:r>
        <w:t xml:space="preserve"> </w:t>
      </w:r>
    </w:p>
    <w:p w14:paraId="1909A545" w14:textId="77777777" w:rsidR="0037012D" w:rsidRDefault="00000000">
      <w:pPr>
        <w:pStyle w:val="Normal1"/>
        <w:spacing w:line="360" w:lineRule="auto"/>
        <w:jc w:val="both"/>
        <w:rPr>
          <w:szCs w:val="24"/>
          <w:lang w:val="en-GB"/>
        </w:rPr>
      </w:pPr>
      <w:r>
        <w:rPr>
          <w:szCs w:val="24"/>
          <w:lang w:val="en-GB"/>
        </w:rPr>
        <w:t xml:space="preserve">EI has become highly important in organisational behaviour as it improves communication, leadership, and collaboration and employee well-being. Employees with a strong EI are observed to be capable of resolving conflicts, adopting organisational changes and also maintaining a productive workplace relationship. EI contributes to the psychological safety and the employee engagement in the organisation. However, EI has received criticism from the researchers. One of the major criticisms of EI is that it overlaps with personality traits such as empathy, motivation and social skills (Gkintoni et al., 2025). Different models have also defined EI differently creating inconsistency in the measurement and its application. Another important limitation is that it cannot guarantee organisational success without the supportive leadership and the workplace culture. Despite all these, EI has remained one of the highly relevant as it focuses on strengthening interpersonal effectiveness and also promoting positive organisational behaviour in the modern workplace. </w:t>
      </w:r>
    </w:p>
    <w:p w14:paraId="221604A6" w14:textId="77777777" w:rsidR="0037012D" w:rsidRDefault="00000000">
      <w:pPr>
        <w:pStyle w:val="Heading1"/>
        <w:rPr>
          <w:rFonts w:cs="Arial"/>
          <w:bCs/>
        </w:rPr>
      </w:pPr>
      <w:bookmarkStart w:id="10" w:name="_Toc230972677"/>
      <w:r>
        <w:rPr>
          <w:rFonts w:cs="Arial"/>
          <w:bCs/>
        </w:rPr>
        <w:t>Task 2: Managing a Multigenerational Workforce</w:t>
      </w:r>
      <w:bookmarkEnd w:id="10"/>
    </w:p>
    <w:p w14:paraId="41BD1574" w14:textId="77777777" w:rsidR="0037012D" w:rsidRDefault="00000000">
      <w:pPr>
        <w:pStyle w:val="Heading2"/>
        <w:rPr>
          <w:rFonts w:cs="Arial"/>
          <w:bCs/>
        </w:rPr>
      </w:pPr>
      <w:bookmarkStart w:id="11" w:name="_Toc230972678"/>
      <w:r>
        <w:rPr>
          <w:rFonts w:cs="Arial"/>
          <w:bCs/>
        </w:rPr>
        <w:t>2.1 Introduction to Generational Groups</w:t>
      </w:r>
      <w:bookmarkEnd w:id="11"/>
    </w:p>
    <w:p w14:paraId="0DECEDBB" w14:textId="77777777" w:rsidR="0037012D" w:rsidRDefault="00000000">
      <w:pPr>
        <w:rPr>
          <w:rFonts w:cs="Arial"/>
          <w:szCs w:val="22"/>
        </w:rPr>
      </w:pPr>
      <w:r>
        <w:rPr>
          <w:rFonts w:cs="Arial"/>
          <w:szCs w:val="22"/>
        </w:rPr>
        <w:t xml:space="preserve">At present, companies increasingly operate within multi-generational workplaces where employees from different age groups work together to achieve shared organisational goals. Workforce diversity has become an important strategic issue because each generation processes different value expectations, communication preferences and attitude toward </w:t>
      </w:r>
      <w:r>
        <w:rPr>
          <w:rFonts w:cs="Arial"/>
          <w:szCs w:val="22"/>
        </w:rPr>
        <w:lastRenderedPageBreak/>
        <w:t>work. As per generational theory, employees are influenced by technology and social conditions (</w:t>
      </w:r>
      <w:r>
        <w:rPr>
          <w:rFonts w:cs="Arial"/>
          <w:color w:val="222222"/>
          <w:szCs w:val="22"/>
          <w:highlight w:val="white"/>
        </w:rPr>
        <w:t>Huyler et al., 2025</w:t>
      </w:r>
      <w:r>
        <w:rPr>
          <w:rFonts w:cs="Arial"/>
          <w:szCs w:val="22"/>
        </w:rPr>
        <w:t xml:space="preserve">). This shapes their workplace behaviour and expectations. On the other hand, companies must understand these differences to maintain employee engagement, collaboration and productivity. </w:t>
      </w:r>
    </w:p>
    <w:p w14:paraId="5568CDFD" w14:textId="77777777" w:rsidR="0037012D" w:rsidRDefault="00000000">
      <w:pPr>
        <w:rPr>
          <w:rFonts w:cs="Arial"/>
          <w:szCs w:val="22"/>
          <w:highlight w:val="white"/>
        </w:rPr>
      </w:pPr>
      <w:r>
        <w:rPr>
          <w:rFonts w:cs="Arial"/>
          <w:szCs w:val="22"/>
          <w:highlight w:val="white"/>
        </w:rPr>
        <w:t>The contemporary workforce is primarily composed of Generation X, Millennials and Generation Z. Employees who belong to Generation X, who are born between 1965 and 1980, generally associated with independent and practical work values. Millennials are born between 1981and 1996 (</w:t>
      </w:r>
      <w:r>
        <w:rPr>
          <w:rFonts w:cs="Arial"/>
          <w:szCs w:val="22"/>
        </w:rPr>
        <w:t>Beresford Research, 2025</w:t>
      </w:r>
      <w:r>
        <w:rPr>
          <w:rFonts w:cs="Arial"/>
          <w:szCs w:val="22"/>
          <w:highlight w:val="white"/>
        </w:rPr>
        <w:t xml:space="preserve">). They prefer collaboration, career development and flexibility. Generation Zs are born between 1997 and 2012. They are highly technology-oriented and value inclusion, diversity and rapid communication. Although this generation differences can contribute to creativity and innovation, they also create misunderstandings, communication barriers and workplace conflicts. </w:t>
      </w:r>
    </w:p>
    <w:p w14:paraId="30B33F73" w14:textId="77777777" w:rsidR="0037012D" w:rsidRDefault="00000000">
      <w:pPr>
        <w:jc w:val="center"/>
        <w:rPr>
          <w:rFonts w:cs="Arial"/>
          <w:szCs w:val="22"/>
        </w:rPr>
      </w:pPr>
      <w:r>
        <w:rPr>
          <w:rFonts w:cs="Arial"/>
          <w:noProof/>
          <w:szCs w:val="22"/>
          <w:lang w:val="en-US"/>
        </w:rPr>
        <w:drawing>
          <wp:inline distT="114300" distB="114300" distL="114300" distR="114300" wp14:anchorId="1AF8835B" wp14:editId="4AD3F8A0">
            <wp:extent cx="5867400" cy="2000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0" cstate="print"/>
                    <a:srcRect/>
                    <a:stretch>
                      <a:fillRect/>
                    </a:stretch>
                  </pic:blipFill>
                  <pic:spPr>
                    <a:xfrm>
                      <a:off x="0" y="0"/>
                      <a:ext cx="5867400" cy="2000250"/>
                    </a:xfrm>
                    <a:prstGeom prst="rect">
                      <a:avLst/>
                    </a:prstGeom>
                  </pic:spPr>
                </pic:pic>
              </a:graphicData>
            </a:graphic>
          </wp:inline>
        </w:drawing>
      </w:r>
    </w:p>
    <w:p w14:paraId="6795DEC4" w14:textId="77777777" w:rsidR="0037012D" w:rsidRDefault="00000000">
      <w:pPr>
        <w:jc w:val="center"/>
        <w:rPr>
          <w:rFonts w:cs="Arial"/>
          <w:b/>
          <w:bCs/>
          <w:szCs w:val="22"/>
        </w:rPr>
      </w:pPr>
      <w:r>
        <w:rPr>
          <w:rFonts w:cs="Arial"/>
          <w:b/>
          <w:bCs/>
          <w:szCs w:val="22"/>
        </w:rPr>
        <w:t>Figure: Timeline of Generation X, Millennials and Generation Z</w:t>
      </w:r>
    </w:p>
    <w:p w14:paraId="7B8FE3AF" w14:textId="77777777" w:rsidR="0037012D" w:rsidRDefault="00000000">
      <w:pPr>
        <w:jc w:val="center"/>
        <w:rPr>
          <w:rFonts w:cs="Arial"/>
          <w:b/>
          <w:bCs/>
          <w:szCs w:val="22"/>
        </w:rPr>
      </w:pPr>
      <w:r>
        <w:rPr>
          <w:rFonts w:cs="Arial"/>
          <w:szCs w:val="22"/>
        </w:rPr>
        <w:t>(Source: Beresford Research, 2025)</w:t>
      </w:r>
    </w:p>
    <w:p w14:paraId="5A1EB2A6" w14:textId="77777777" w:rsidR="0037012D" w:rsidRDefault="00000000">
      <w:pPr>
        <w:rPr>
          <w:rFonts w:cs="Arial"/>
          <w:b/>
          <w:bCs/>
          <w:sz w:val="24"/>
          <w:szCs w:val="24"/>
        </w:rPr>
      </w:pPr>
      <w:r>
        <w:rPr>
          <w:rFonts w:cs="Arial"/>
          <w:b/>
          <w:bCs/>
          <w:sz w:val="24"/>
          <w:szCs w:val="24"/>
        </w:rPr>
        <w:t>2.2 Characteristics of Different Generational Groups</w:t>
      </w:r>
    </w:p>
    <w:p w14:paraId="66B870BB" w14:textId="77777777" w:rsidR="0037012D" w:rsidRDefault="00000000">
      <w:pPr>
        <w:rPr>
          <w:rFonts w:cs="Arial"/>
          <w:szCs w:val="22"/>
        </w:rPr>
      </w:pPr>
      <w:r>
        <w:rPr>
          <w:rFonts w:cs="Arial"/>
          <w:b/>
          <w:bCs/>
          <w:i/>
          <w:iCs/>
          <w:szCs w:val="22"/>
        </w:rPr>
        <w:t xml:space="preserve">Generation X: </w:t>
      </w:r>
      <w:r>
        <w:rPr>
          <w:rFonts w:cs="Arial"/>
          <w:szCs w:val="22"/>
        </w:rPr>
        <w:t>Generation X is often characterised as resilient, adaptable and independent. This generation highly values autonomy, job stability and work-life balance (</w:t>
      </w:r>
      <w:r>
        <w:rPr>
          <w:rFonts w:cs="Arial"/>
          <w:color w:val="222222"/>
          <w:szCs w:val="22"/>
          <w:highlight w:val="white"/>
        </w:rPr>
        <w:t>Pasla et al., 2021</w:t>
      </w:r>
      <w:r>
        <w:rPr>
          <w:rFonts w:cs="Arial"/>
          <w:szCs w:val="22"/>
        </w:rPr>
        <w:t xml:space="preserve">).  The economic uncertainty and organisational restructuring during their early career shaped their characteristics. This generation generally prefers direct communication over excessive digital communication. But some researchers like </w:t>
      </w:r>
      <w:r>
        <w:rPr>
          <w:rFonts w:cs="Arial"/>
          <w:color w:val="222222"/>
          <w:szCs w:val="22"/>
          <w:highlight w:val="white"/>
        </w:rPr>
        <w:t xml:space="preserve">LIPINSKIENĖ et al. (2024), </w:t>
      </w:r>
      <w:r>
        <w:rPr>
          <w:rFonts w:cs="Arial"/>
          <w:szCs w:val="22"/>
        </w:rPr>
        <w:t xml:space="preserve">argue that Generation X employees may occasionally resist rapid organisational change. This highlights a drawback.  </w:t>
      </w:r>
    </w:p>
    <w:p w14:paraId="4CC99B63" w14:textId="77777777" w:rsidR="0037012D" w:rsidRDefault="00000000">
      <w:pPr>
        <w:rPr>
          <w:rFonts w:cs="Arial"/>
          <w:szCs w:val="22"/>
        </w:rPr>
      </w:pPr>
      <w:r>
        <w:rPr>
          <w:rFonts w:cs="Arial"/>
          <w:b/>
          <w:bCs/>
          <w:i/>
          <w:iCs/>
          <w:szCs w:val="22"/>
        </w:rPr>
        <w:t xml:space="preserve">Millennials: </w:t>
      </w:r>
      <w:r>
        <w:rPr>
          <w:rFonts w:cs="Arial"/>
          <w:szCs w:val="22"/>
        </w:rPr>
        <w:t>Millennials are frequently recognised for their collaborative nature and strong desire for meaningful work (</w:t>
      </w:r>
      <w:r>
        <w:rPr>
          <w:rFonts w:cs="Arial"/>
          <w:color w:val="222222"/>
          <w:szCs w:val="22"/>
          <w:highlight w:val="white"/>
        </w:rPr>
        <w:t>Mahmoud et al., 2021</w:t>
      </w:r>
      <w:r>
        <w:rPr>
          <w:rFonts w:cs="Arial"/>
          <w:szCs w:val="22"/>
        </w:rPr>
        <w:t xml:space="preserve">). This generation values continuous feedback, career progression and flexible work arrangements. They are highly comfortable with digital communication technology and prefer teamwork and participatory leadership styles. However, some critics have argued that millennials exhibit lower organisational loyalty due to higher expectations regarding career advancement and workplace flexibility. </w:t>
      </w:r>
    </w:p>
    <w:p w14:paraId="6D5AFC8E" w14:textId="77777777" w:rsidR="0037012D" w:rsidRDefault="00000000">
      <w:pPr>
        <w:rPr>
          <w:rFonts w:cs="Arial"/>
          <w:szCs w:val="22"/>
        </w:rPr>
      </w:pPr>
      <w:r>
        <w:rPr>
          <w:rFonts w:cs="Arial"/>
          <w:b/>
          <w:bCs/>
          <w:i/>
          <w:iCs/>
          <w:szCs w:val="22"/>
        </w:rPr>
        <w:lastRenderedPageBreak/>
        <w:t xml:space="preserve">Generation Z: </w:t>
      </w:r>
      <w:r>
        <w:rPr>
          <w:rFonts w:cs="Arial"/>
          <w:szCs w:val="22"/>
        </w:rPr>
        <w:t>Generation Z represents the first fully-digital generation. They are tech-savvy and prefer fast, concise and technology-based communication methods. Generation Z employees are value diversity, inclusion and mental health support within the workplace (</w:t>
      </w:r>
      <w:r>
        <w:rPr>
          <w:rFonts w:cs="Arial"/>
          <w:color w:val="222222"/>
          <w:szCs w:val="22"/>
          <w:highlight w:val="white"/>
        </w:rPr>
        <w:t>Winnicka-Wejs, 2025)</w:t>
      </w:r>
      <w:r>
        <w:rPr>
          <w:rFonts w:cs="Arial"/>
          <w:szCs w:val="22"/>
        </w:rPr>
        <w:t xml:space="preserve">. They want immediate feedback and rapid professional development opportunities. However, their preference for digital interaction may sometimes reduce interpersonal communication skills and increase depending on technology within the professional environment. </w:t>
      </w:r>
    </w:p>
    <w:p w14:paraId="5697BA63" w14:textId="77777777" w:rsidR="0037012D" w:rsidRDefault="00000000">
      <w:pPr>
        <w:pStyle w:val="Heading2"/>
        <w:rPr>
          <w:rFonts w:cs="Arial"/>
          <w:bCs/>
        </w:rPr>
      </w:pPr>
      <w:bookmarkStart w:id="12" w:name="_Toc230972679"/>
      <w:r>
        <w:rPr>
          <w:rFonts w:cs="Arial"/>
          <w:bCs/>
        </w:rPr>
        <w:t>2.3 Impacts of Generational Differences on Organisations</w:t>
      </w:r>
      <w:bookmarkEnd w:id="12"/>
    </w:p>
    <w:p w14:paraId="15D649E6" w14:textId="77777777" w:rsidR="0037012D" w:rsidRDefault="00000000">
      <w:pPr>
        <w:rPr>
          <w:rFonts w:cs="Arial"/>
          <w:szCs w:val="22"/>
        </w:rPr>
      </w:pPr>
      <w:r>
        <w:rPr>
          <w:rFonts w:cs="Arial"/>
          <w:szCs w:val="22"/>
        </w:rPr>
        <w:t xml:space="preserve">Generational differences significantly influence organisational effectiveness through their impact on communication, motivation and technology adaptability. Different communication styles create misunderstanding between employees. For example, Generation X employees prefer formal structured communication, while Generation Z and Millennials frequently prefer informal communication (MANOJ, 2025). Therefore, ineffectiveness and lack of diversity in communication style may reduce teamwork and increase workplace conflict. </w:t>
      </w:r>
    </w:p>
    <w:p w14:paraId="58DDBF8A" w14:textId="77777777" w:rsidR="0037012D" w:rsidRDefault="00000000">
      <w:pPr>
        <w:rPr>
          <w:rFonts w:cs="Arial"/>
          <w:szCs w:val="22"/>
        </w:rPr>
      </w:pPr>
      <w:r>
        <w:rPr>
          <w:rFonts w:cs="Arial"/>
          <w:szCs w:val="22"/>
        </w:rPr>
        <w:t xml:space="preserve">Differences in workplace values and motivational factors may also affect the overall employee engagement and retention. As per </w:t>
      </w:r>
      <w:r>
        <w:rPr>
          <w:rFonts w:cs="Arial"/>
          <w:color w:val="222222"/>
          <w:szCs w:val="22"/>
          <w:highlight w:val="white"/>
        </w:rPr>
        <w:t>Heyns and Kerr (2018)</w:t>
      </w:r>
      <w:r>
        <w:rPr>
          <w:rFonts w:cs="Arial"/>
          <w:szCs w:val="22"/>
        </w:rPr>
        <w:t xml:space="preserve">, Generation X employees are generally motivated by rewards and recognition. Millennials are motivated through career development and workplace flexibility. In contrast, Generation Z, employees frequently prioritised diversity, well-being and organisational purpose. If managers fail to recognise these different expectations, employee’s satisfaction and productivity will be reduced at scenario started organisation. </w:t>
      </w:r>
    </w:p>
    <w:p w14:paraId="4E09F9CF" w14:textId="77777777" w:rsidR="0037012D" w:rsidRDefault="00000000">
      <w:pPr>
        <w:rPr>
          <w:rFonts w:cs="Arial"/>
          <w:b/>
          <w:bCs/>
          <w:szCs w:val="22"/>
        </w:rPr>
      </w:pPr>
      <w:r>
        <w:rPr>
          <w:rFonts w:cs="Arial"/>
          <w:szCs w:val="22"/>
        </w:rPr>
        <w:t>Technological adaptability within the business also creates opportunity and challenges. Young generations are typically more comfortable with digital tools and remote working systems. This can improve innovation and organisational efficiency. Thus, modern businesses like Tesco, implemented several technology-based operations (Digital Data Design Institute at Harvard, 2019). However, generational gaps in technology may create training difficulties and resistance to organisational change among employees.</w:t>
      </w:r>
    </w:p>
    <w:p w14:paraId="6FC14A85" w14:textId="77777777" w:rsidR="0037012D" w:rsidRDefault="00000000">
      <w:pPr>
        <w:pStyle w:val="Heading2"/>
        <w:rPr>
          <w:rFonts w:cs="Arial"/>
          <w:bCs/>
        </w:rPr>
      </w:pPr>
      <w:bookmarkStart w:id="13" w:name="_Toc230972680"/>
      <w:r>
        <w:rPr>
          <w:rFonts w:cs="Arial"/>
          <w:bCs/>
        </w:rPr>
        <w:t>2.4 Use of Emotional Intelligence (EI) in Managing Generational Diversity</w:t>
      </w:r>
      <w:bookmarkEnd w:id="13"/>
      <w:r>
        <w:rPr>
          <w:rFonts w:cs="Arial"/>
          <w:bCs/>
        </w:rPr>
        <w:t xml:space="preserve"> </w:t>
      </w:r>
    </w:p>
    <w:p w14:paraId="6554C5BA" w14:textId="77777777" w:rsidR="0037012D" w:rsidRDefault="00000000">
      <w:pPr>
        <w:rPr>
          <w:rFonts w:cs="Arial"/>
          <w:szCs w:val="22"/>
        </w:rPr>
      </w:pPr>
      <w:r>
        <w:rPr>
          <w:rFonts w:cs="Arial"/>
          <w:szCs w:val="22"/>
        </w:rPr>
        <w:t>Emotional intelligence plays an important role in managing multigenerational workplaces because it allows managers to understand, regulate, and respond appropriately to employees' emotions and behaviour differences. As per Goleman's emotional intelligence framework, a leader who demonstrates self-awareness, empathy and social skills is better able to create positive work relationships (</w:t>
      </w:r>
      <w:r>
        <w:rPr>
          <w:rFonts w:cs="Arial"/>
          <w:color w:val="222222"/>
          <w:szCs w:val="22"/>
          <w:highlight w:val="white"/>
        </w:rPr>
        <w:t>Celestin and Vanitha, 2020</w:t>
      </w:r>
      <w:r>
        <w:rPr>
          <w:rFonts w:cs="Arial"/>
          <w:szCs w:val="22"/>
        </w:rPr>
        <w:t xml:space="preserve">). They also reduce interpersonal conflicts. Empathy is also important when managing generational diversity </w:t>
      </w:r>
      <w:r>
        <w:rPr>
          <w:rFonts w:cs="Arial"/>
          <w:szCs w:val="22"/>
        </w:rPr>
        <w:lastRenderedPageBreak/>
        <w:t>because employees from different generations have different expectations, communication preferences and attitudes towards authority. Emotionally intelligent managers can recognise these differences and adapt their leadership approaches accordingly. For example, Generation X employees may appreciate autonomy and trust, whereas millennial prefer collaborative leadership and regular feedback. Generation Z employees require great emotional support and technology flexibility within their workplace (</w:t>
      </w:r>
      <w:r>
        <w:rPr>
          <w:rFonts w:cs="Arial"/>
          <w:color w:val="222222"/>
          <w:szCs w:val="22"/>
          <w:highlight w:val="white"/>
        </w:rPr>
        <w:t>Shinde and Surve, 2025</w:t>
      </w:r>
      <w:r>
        <w:rPr>
          <w:rFonts w:cs="Arial"/>
          <w:szCs w:val="22"/>
        </w:rPr>
        <w:t xml:space="preserve">). Emotional intelligence also contributed to effective conflict management. Generational misunderstanding may emerge when employees interpret communication differently or have contrasting work values. Managers with strong emotional regulation skills are more capable of responding calmly and constructively during workplace disagreements. This will help to maintain psychological safety and encourage full communication among employees at the scenario stated organisation. Emotionally intelligent recruitment and retention strategies can improve workplace inclusivity. Managers who apply emotional intelligence during recruitment are more likely to recognise individual strength and reduce unconscious bias. Emotionally intelligent leadership can increase employee satisfaction and organisational commitment. The reason is that employees feel valued, respected and understood regardless of their generational background. On the other hand, a study by </w:t>
      </w:r>
      <w:r>
        <w:rPr>
          <w:rFonts w:cs="Arial"/>
          <w:color w:val="222222"/>
          <w:szCs w:val="22"/>
          <w:highlight w:val="white"/>
        </w:rPr>
        <w:t>Levitats et al. (2022</w:t>
      </w:r>
      <w:r>
        <w:rPr>
          <w:rFonts w:cs="Arial"/>
          <w:szCs w:val="22"/>
        </w:rPr>
        <w:t xml:space="preserve">), argues that emotional intelligence may not completely eliminate generational conflicts because an organisational culture influences employee behaviour. Thus, emotional intelligence remains an important leadership capability for improving collaboration and employee well-being within diverse workplaces. </w:t>
      </w:r>
    </w:p>
    <w:p w14:paraId="003262B1" w14:textId="77777777" w:rsidR="0037012D" w:rsidRDefault="00000000">
      <w:pPr>
        <w:pStyle w:val="Heading2"/>
        <w:rPr>
          <w:rFonts w:cs="Arial"/>
          <w:bCs/>
        </w:rPr>
      </w:pPr>
      <w:bookmarkStart w:id="14" w:name="_Toc230972681"/>
      <w:r>
        <w:rPr>
          <w:rFonts w:cs="Arial"/>
          <w:bCs/>
        </w:rPr>
        <w:t>2.5 Mindfulness and Inclusive Leadership</w:t>
      </w:r>
      <w:bookmarkEnd w:id="14"/>
    </w:p>
    <w:p w14:paraId="2800C5EB" w14:textId="77777777" w:rsidR="0037012D" w:rsidRDefault="00000000">
      <w:pPr>
        <w:rPr>
          <w:rFonts w:cs="Arial"/>
          <w:szCs w:val="22"/>
        </w:rPr>
      </w:pPr>
      <w:r>
        <w:rPr>
          <w:rFonts w:cs="Arial"/>
          <w:szCs w:val="22"/>
        </w:rPr>
        <w:t>Mindfulness refers to maintaining awareness of present experience as well as managing emotional reflection effectively. In modern organisations, mindfulness supports inclusive leadership by improving emotional regulation, communication and employees well-being. Mindful leaders are better able to listen actively, remain calm under pressure and respond thoughtfully to workplace challenges (</w:t>
      </w:r>
      <w:r>
        <w:rPr>
          <w:rFonts w:cs="Arial"/>
          <w:color w:val="222222"/>
          <w:szCs w:val="22"/>
          <w:highlight w:val="white"/>
        </w:rPr>
        <w:t>Hosseinzadeh, 2024)</w:t>
      </w:r>
      <w:r>
        <w:rPr>
          <w:rFonts w:cs="Arial"/>
          <w:szCs w:val="22"/>
        </w:rPr>
        <w:t xml:space="preserve">. Within the multigenerational workplace at the company, it is highly important as the employee poses different values, expectations and communication style. It will encourage managers to avoid stereotypes and demonstrate empathy toward employees from the diverse generation background. Companies that promote mindfulness through flexible working arrangement, inclusive communication strategies and mental health support are more likely to improve employee retention and satisfaction. In the context of the decision-making process, it also contributed by reducing emotional bias during workplace conflicts. </w:t>
      </w:r>
    </w:p>
    <w:p w14:paraId="40B582E4" w14:textId="77777777" w:rsidR="0037012D" w:rsidRDefault="0037012D">
      <w:pPr>
        <w:rPr>
          <w:lang w:val="en-IN"/>
        </w:rPr>
      </w:pPr>
    </w:p>
    <w:p w14:paraId="0E6B47BD" w14:textId="77777777" w:rsidR="0037012D" w:rsidRDefault="00000000">
      <w:pPr>
        <w:pStyle w:val="Heading1"/>
      </w:pPr>
      <w:bookmarkStart w:id="15" w:name="_Toc230972682"/>
      <w:r>
        <w:lastRenderedPageBreak/>
        <w:t>Conclusion</w:t>
      </w:r>
      <w:bookmarkEnd w:id="15"/>
      <w:r>
        <w:t xml:space="preserve"> </w:t>
      </w:r>
    </w:p>
    <w:p w14:paraId="44ABC825" w14:textId="77777777" w:rsidR="0037012D" w:rsidRDefault="00000000">
      <w:pPr>
        <w:pStyle w:val="Normal1"/>
        <w:spacing w:line="360" w:lineRule="auto"/>
        <w:jc w:val="both"/>
        <w:rPr>
          <w:szCs w:val="24"/>
          <w:lang w:val="en-GB"/>
        </w:rPr>
      </w:pPr>
      <w:r>
        <w:rPr>
          <w:szCs w:val="24"/>
          <w:lang w:val="en-GB"/>
        </w:rPr>
        <w:t xml:space="preserve">EI and mindfulness play an important role for improving organisational effectiveness, employee well-being and the leadership capability in the contemporary workplace. Modern organisation majorly operates in the highly diverse and stressful environment where the involvement of communication, emotional regulations and interpersonal relationship influences organisation performance. EI has enabled employees and the leaders to recognise, understand and manage emotions effectively which improves collaboration, conflict management and communication along with the decision making process. The EI theories demonstrate that emotional awareness and the social competencies influence workplace behaviour and the outcomes in the organisation. The report has identified that emotionally intelligent leadership strengthens trust, employee engagement and the psychological safety within an organisation. Leaders who demonstrate empathy, relevant self-awareness and emotional regulations are observed to be capable of motivating employees, and managing workplace challenges effectively. Similarly, mindfulness helps in supporting EI by improving emotional stability, resilience and self-awareness. Mindfulness practices help the employees to remain focused, reduce the workplace stress and also improves communication during the challenging situations. Although EI has some limitations that are related to measurement and practical application, it remains relevant for the case of modern organisations. Hence, organisations are required to integrate EI and mindfulness into the leadership development, employee training process and the workplace well-being strategies for improving long term organisational performance, employee satisfaction and the inclusive workplace culture. </w:t>
      </w:r>
    </w:p>
    <w:p w14:paraId="0D2A0CE9" w14:textId="77777777" w:rsidR="0037012D" w:rsidRDefault="00000000">
      <w:pPr>
        <w:spacing w:after="160" w:line="259" w:lineRule="auto"/>
        <w:jc w:val="left"/>
        <w:rPr>
          <w:lang w:val="en-IN"/>
        </w:rPr>
      </w:pPr>
      <w:r>
        <w:rPr>
          <w:lang w:val="en-IN"/>
        </w:rPr>
        <w:br w:type="page"/>
      </w:r>
    </w:p>
    <w:p w14:paraId="213DF57A" w14:textId="77777777" w:rsidR="0037012D" w:rsidRDefault="00000000">
      <w:pPr>
        <w:pStyle w:val="Heading1"/>
        <w:rPr>
          <w:lang w:val="en-IN"/>
        </w:rPr>
      </w:pPr>
      <w:bookmarkStart w:id="16" w:name="_Toc230972683"/>
      <w:r>
        <w:rPr>
          <w:lang w:val="en-IN"/>
        </w:rPr>
        <w:lastRenderedPageBreak/>
        <w:t>References</w:t>
      </w:r>
      <w:bookmarkEnd w:id="16"/>
    </w:p>
    <w:p w14:paraId="60FF10F3" w14:textId="77777777" w:rsidR="0037012D" w:rsidRDefault="00000000">
      <w:pPr>
        <w:pStyle w:val="NormalWeb"/>
        <w:rPr>
          <w:sz w:val="22"/>
          <w:szCs w:val="22"/>
        </w:rPr>
      </w:pPr>
      <w:r>
        <w:rPr>
          <w:sz w:val="22"/>
          <w:szCs w:val="22"/>
        </w:rPr>
        <w:t xml:space="preserve">Antonopoulou, H. (2024) ‘The value of emotional intelligence: Self-awareness, self-regulation, motivation, and empathy as key components’, </w:t>
      </w:r>
      <w:r>
        <w:rPr>
          <w:rStyle w:val="Emphasis"/>
          <w:sz w:val="22"/>
          <w:szCs w:val="22"/>
        </w:rPr>
        <w:t>Technium Education and Humanities</w:t>
      </w:r>
      <w:r>
        <w:rPr>
          <w:sz w:val="22"/>
          <w:szCs w:val="22"/>
        </w:rPr>
        <w:t>, 8, pp. 78–92.</w:t>
      </w:r>
    </w:p>
    <w:p w14:paraId="343A2CFE" w14:textId="77777777" w:rsidR="0037012D" w:rsidRDefault="00000000">
      <w:pPr>
        <w:pStyle w:val="NormalWeb"/>
        <w:rPr>
          <w:sz w:val="22"/>
          <w:szCs w:val="22"/>
        </w:rPr>
      </w:pPr>
      <w:r>
        <w:rPr>
          <w:sz w:val="22"/>
          <w:szCs w:val="22"/>
        </w:rPr>
        <w:t xml:space="preserve">Bella, K.M.J. (2023) ‘Exploring the impact of workplace relationships and employee job satisfaction’, </w:t>
      </w:r>
      <w:r>
        <w:rPr>
          <w:rStyle w:val="Emphasis"/>
          <w:sz w:val="22"/>
          <w:szCs w:val="22"/>
        </w:rPr>
        <w:t>International Journal of Scientific Research in Modern Science and Technology</w:t>
      </w:r>
      <w:r>
        <w:rPr>
          <w:sz w:val="22"/>
          <w:szCs w:val="22"/>
        </w:rPr>
        <w:t>, 2(8), pp. 55–62.</w:t>
      </w:r>
    </w:p>
    <w:p w14:paraId="36DCE9A3" w14:textId="77777777" w:rsidR="0037012D" w:rsidRDefault="00000000">
      <w:pPr>
        <w:pStyle w:val="NormalWeb"/>
        <w:rPr>
          <w:sz w:val="22"/>
          <w:szCs w:val="22"/>
        </w:rPr>
      </w:pPr>
      <w:r>
        <w:rPr>
          <w:sz w:val="22"/>
          <w:szCs w:val="22"/>
        </w:rPr>
        <w:t xml:space="preserve">Beresford Research (2025) </w:t>
      </w:r>
      <w:r>
        <w:rPr>
          <w:rStyle w:val="Emphasis"/>
          <w:sz w:val="22"/>
          <w:szCs w:val="22"/>
        </w:rPr>
        <w:t>Age range by generation</w:t>
      </w:r>
      <w:r>
        <w:rPr>
          <w:sz w:val="22"/>
          <w:szCs w:val="22"/>
        </w:rPr>
        <w:t xml:space="preserve">. Available at: </w:t>
      </w:r>
      <w:hyperlink r:id="rId11" w:history="1">
        <w:r>
          <w:rPr>
            <w:rStyle w:val="Hyperlink"/>
            <w:sz w:val="22"/>
            <w:szCs w:val="22"/>
          </w:rPr>
          <w:t>https://www.beresfordresearch.com/age-range-by-generation/</w:t>
        </w:r>
      </w:hyperlink>
      <w:r>
        <w:rPr>
          <w:sz w:val="22"/>
          <w:szCs w:val="22"/>
        </w:rPr>
        <w:t xml:space="preserve"> (Accessed: 23 May 2026).</w:t>
      </w:r>
    </w:p>
    <w:p w14:paraId="53FBD221" w14:textId="77777777" w:rsidR="0037012D" w:rsidRDefault="00000000">
      <w:pPr>
        <w:pStyle w:val="NormalWeb"/>
        <w:rPr>
          <w:sz w:val="22"/>
          <w:szCs w:val="22"/>
        </w:rPr>
      </w:pPr>
      <w:r>
        <w:rPr>
          <w:sz w:val="22"/>
          <w:szCs w:val="22"/>
        </w:rPr>
        <w:t xml:space="preserve">BSC (2022) </w:t>
      </w:r>
      <w:r>
        <w:rPr>
          <w:rStyle w:val="Emphasis"/>
          <w:sz w:val="22"/>
          <w:szCs w:val="22"/>
        </w:rPr>
        <w:t>Putting mental wellbeing at the heart of a business</w:t>
      </w:r>
      <w:r>
        <w:rPr>
          <w:sz w:val="22"/>
          <w:szCs w:val="22"/>
        </w:rPr>
        <w:t xml:space="preserve">. Available at: </w:t>
      </w:r>
      <w:hyperlink r:id="rId12" w:history="1">
        <w:r>
          <w:rPr>
            <w:rStyle w:val="Hyperlink"/>
            <w:sz w:val="22"/>
            <w:szCs w:val="22"/>
          </w:rPr>
          <w:t>https://www.britsafe.org/safety-management/2022/putting-mental-wellbeing-at-the-heart-of-a-business</w:t>
        </w:r>
      </w:hyperlink>
      <w:r>
        <w:rPr>
          <w:sz w:val="22"/>
          <w:szCs w:val="22"/>
        </w:rPr>
        <w:t xml:space="preserve"> (Accessed: 24 May 2026).</w:t>
      </w:r>
    </w:p>
    <w:p w14:paraId="7EB91380" w14:textId="77777777" w:rsidR="0037012D" w:rsidRDefault="00000000">
      <w:pPr>
        <w:pStyle w:val="NormalWeb"/>
        <w:rPr>
          <w:sz w:val="22"/>
          <w:szCs w:val="22"/>
        </w:rPr>
      </w:pPr>
      <w:r>
        <w:rPr>
          <w:sz w:val="22"/>
          <w:szCs w:val="22"/>
        </w:rPr>
        <w:t xml:space="preserve">Celestin, M. and Vanitha, N. (2020) ‘The rise of empathetic leadership: Why emotional intelligence is the new power skill’, </w:t>
      </w:r>
      <w:r>
        <w:rPr>
          <w:rStyle w:val="Emphasis"/>
          <w:sz w:val="22"/>
          <w:szCs w:val="22"/>
        </w:rPr>
        <w:t>International Journal of Interdisciplinary Research in Arts and Humanities</w:t>
      </w:r>
      <w:r>
        <w:rPr>
          <w:sz w:val="22"/>
          <w:szCs w:val="22"/>
        </w:rPr>
        <w:t>, 5(2), pp. 49–56.</w:t>
      </w:r>
    </w:p>
    <w:p w14:paraId="1D2E1BB3" w14:textId="77777777" w:rsidR="0037012D" w:rsidRDefault="00000000">
      <w:pPr>
        <w:pStyle w:val="NormalWeb"/>
        <w:rPr>
          <w:sz w:val="22"/>
          <w:szCs w:val="22"/>
        </w:rPr>
      </w:pPr>
      <w:r>
        <w:rPr>
          <w:sz w:val="22"/>
          <w:szCs w:val="22"/>
        </w:rPr>
        <w:t xml:space="preserve">Channawar, S.N. (2023) ‘Mindfulness practices for stress reduction and mental clarity’, </w:t>
      </w:r>
      <w:r>
        <w:rPr>
          <w:rStyle w:val="Emphasis"/>
          <w:sz w:val="22"/>
          <w:szCs w:val="22"/>
        </w:rPr>
        <w:t>International Journal of Futuristic Innovation in Arts, Humanities and Management</w:t>
      </w:r>
      <w:r>
        <w:rPr>
          <w:sz w:val="22"/>
          <w:szCs w:val="22"/>
        </w:rPr>
        <w:t>, 2(3), pp. 49–59.</w:t>
      </w:r>
    </w:p>
    <w:p w14:paraId="0CE961CB" w14:textId="77777777" w:rsidR="0037012D" w:rsidRDefault="00000000">
      <w:pPr>
        <w:pStyle w:val="NormalWeb"/>
        <w:rPr>
          <w:sz w:val="22"/>
          <w:szCs w:val="22"/>
        </w:rPr>
      </w:pPr>
      <w:r>
        <w:rPr>
          <w:sz w:val="22"/>
          <w:szCs w:val="22"/>
        </w:rPr>
        <w:t xml:space="preserve">Chems-Maarif, R., Cavanagh, K., Baer, R., Gu, J. and Strauss, C. (2025) ‘Defining mindfulness: A review of existing definitions and suggested refinements’, </w:t>
      </w:r>
      <w:r>
        <w:rPr>
          <w:rStyle w:val="Emphasis"/>
          <w:sz w:val="22"/>
          <w:szCs w:val="22"/>
        </w:rPr>
        <w:t>Mindfulness</w:t>
      </w:r>
      <w:r>
        <w:rPr>
          <w:sz w:val="22"/>
          <w:szCs w:val="22"/>
        </w:rPr>
        <w:t>, 16(1), pp. 1–20.</w:t>
      </w:r>
    </w:p>
    <w:p w14:paraId="70597253" w14:textId="77777777" w:rsidR="0037012D" w:rsidRDefault="00000000">
      <w:pPr>
        <w:pStyle w:val="NormalWeb"/>
        <w:rPr>
          <w:sz w:val="22"/>
          <w:szCs w:val="22"/>
        </w:rPr>
      </w:pPr>
      <w:r>
        <w:rPr>
          <w:sz w:val="22"/>
          <w:szCs w:val="22"/>
        </w:rPr>
        <w:t xml:space="preserve">CIPD (2020) </w:t>
      </w:r>
      <w:r>
        <w:rPr>
          <w:rStyle w:val="Emphasis"/>
          <w:sz w:val="22"/>
          <w:szCs w:val="22"/>
        </w:rPr>
        <w:t>Mindfulness at work – can it make a difference to performance and job satisfaction?</w:t>
      </w:r>
      <w:r>
        <w:rPr>
          <w:sz w:val="22"/>
          <w:szCs w:val="22"/>
        </w:rPr>
        <w:t xml:space="preserve"> Available at: </w:t>
      </w:r>
      <w:hyperlink r:id="rId13" w:history="1">
        <w:r>
          <w:rPr>
            <w:rStyle w:val="Hyperlink"/>
            <w:sz w:val="22"/>
            <w:szCs w:val="22"/>
          </w:rPr>
          <w:t>https://www.cipd.org/uk/views-and-insights/thought-leadership/the-world-of-work/mindfulness-work/</w:t>
        </w:r>
      </w:hyperlink>
      <w:r>
        <w:rPr>
          <w:sz w:val="22"/>
          <w:szCs w:val="22"/>
        </w:rPr>
        <w:t xml:space="preserve"> (Accessed: 24 May 2026).</w:t>
      </w:r>
    </w:p>
    <w:p w14:paraId="3283C23B" w14:textId="77777777" w:rsidR="0037012D" w:rsidRDefault="00000000">
      <w:pPr>
        <w:pStyle w:val="NormalWeb"/>
        <w:rPr>
          <w:sz w:val="22"/>
          <w:szCs w:val="22"/>
        </w:rPr>
      </w:pPr>
      <w:r>
        <w:rPr>
          <w:sz w:val="22"/>
          <w:szCs w:val="22"/>
        </w:rPr>
        <w:t xml:space="preserve">CIPD (2024a) </w:t>
      </w:r>
      <w:r>
        <w:rPr>
          <w:rStyle w:val="Emphasis"/>
          <w:sz w:val="22"/>
          <w:szCs w:val="22"/>
        </w:rPr>
        <w:t>CIPD Good Work Index 2024 shows that workplace conflict puts strain on job quality for estimated eight million UK workers</w:t>
      </w:r>
      <w:r>
        <w:rPr>
          <w:sz w:val="22"/>
          <w:szCs w:val="22"/>
        </w:rPr>
        <w:t xml:space="preserve">. Available at: </w:t>
      </w:r>
      <w:hyperlink r:id="rId14" w:history="1">
        <w:r>
          <w:rPr>
            <w:rStyle w:val="Hyperlink"/>
            <w:sz w:val="22"/>
            <w:szCs w:val="22"/>
          </w:rPr>
          <w:t>https://www.cipd.org/en/about/news/good-work-index-2024/</w:t>
        </w:r>
      </w:hyperlink>
      <w:r>
        <w:rPr>
          <w:sz w:val="22"/>
          <w:szCs w:val="22"/>
        </w:rPr>
        <w:t xml:space="preserve"> (Accessed: 24 May 2026).</w:t>
      </w:r>
    </w:p>
    <w:p w14:paraId="03BF1074" w14:textId="77777777" w:rsidR="0037012D" w:rsidRDefault="00000000">
      <w:pPr>
        <w:pStyle w:val="NormalWeb"/>
        <w:rPr>
          <w:sz w:val="22"/>
          <w:szCs w:val="22"/>
        </w:rPr>
      </w:pPr>
      <w:r>
        <w:rPr>
          <w:sz w:val="22"/>
          <w:szCs w:val="22"/>
        </w:rPr>
        <w:t xml:space="preserve">CIPD (2024b) </w:t>
      </w:r>
      <w:r>
        <w:rPr>
          <w:rStyle w:val="Emphasis"/>
          <w:sz w:val="22"/>
          <w:szCs w:val="22"/>
        </w:rPr>
        <w:t>Supporting mental health at work: Practical guidance</w:t>
      </w:r>
      <w:r>
        <w:rPr>
          <w:sz w:val="22"/>
          <w:szCs w:val="22"/>
        </w:rPr>
        <w:t xml:space="preserve">. Available at: </w:t>
      </w:r>
      <w:hyperlink r:id="rId15" w:history="1">
        <w:r>
          <w:rPr>
            <w:rStyle w:val="Hyperlink"/>
            <w:sz w:val="22"/>
            <w:szCs w:val="22"/>
          </w:rPr>
          <w:t>https://www.cipd.org/uk/knowledge/guides/mental-health-support-guide/</w:t>
        </w:r>
      </w:hyperlink>
      <w:r>
        <w:rPr>
          <w:sz w:val="22"/>
          <w:szCs w:val="22"/>
        </w:rPr>
        <w:t xml:space="preserve"> (Accessed: 24 May 2026).</w:t>
      </w:r>
    </w:p>
    <w:p w14:paraId="53E6DC66" w14:textId="77777777" w:rsidR="0037012D" w:rsidRDefault="00000000">
      <w:pPr>
        <w:pStyle w:val="NormalWeb"/>
        <w:rPr>
          <w:sz w:val="22"/>
          <w:szCs w:val="22"/>
        </w:rPr>
      </w:pPr>
      <w:r>
        <w:rPr>
          <w:sz w:val="22"/>
          <w:szCs w:val="22"/>
        </w:rPr>
        <w:t xml:space="preserve">Digital Data Design Institute at Harvard (2019) </w:t>
      </w:r>
      <w:r>
        <w:rPr>
          <w:rStyle w:val="Emphasis"/>
          <w:sz w:val="22"/>
          <w:szCs w:val="22"/>
        </w:rPr>
        <w:t>Tesco: A digital transformation</w:t>
      </w:r>
      <w:r>
        <w:rPr>
          <w:sz w:val="22"/>
          <w:szCs w:val="22"/>
        </w:rPr>
        <w:t xml:space="preserve">. Available at: </w:t>
      </w:r>
      <w:hyperlink r:id="rId16" w:history="1">
        <w:r>
          <w:rPr>
            <w:rStyle w:val="Hyperlink"/>
            <w:sz w:val="22"/>
            <w:szCs w:val="22"/>
          </w:rPr>
          <w:t>https://d3.harvard.edu/platform-rctom/submission/tesco-a-digital-transformation/</w:t>
        </w:r>
      </w:hyperlink>
      <w:r>
        <w:rPr>
          <w:sz w:val="22"/>
          <w:szCs w:val="22"/>
        </w:rPr>
        <w:t xml:space="preserve"> (Accessed: 26 May 2026).</w:t>
      </w:r>
    </w:p>
    <w:p w14:paraId="5AA21FFA" w14:textId="77777777" w:rsidR="0037012D" w:rsidRDefault="00000000">
      <w:pPr>
        <w:pStyle w:val="NormalWeb"/>
        <w:rPr>
          <w:sz w:val="22"/>
          <w:szCs w:val="22"/>
        </w:rPr>
      </w:pPr>
      <w:r>
        <w:rPr>
          <w:sz w:val="22"/>
          <w:szCs w:val="22"/>
        </w:rPr>
        <w:t xml:space="preserve">García, A., Rodríguez, M. and Fernández, D. (2022) ‘Transformative effects of stress management training based on Bar-On’s emotional intelligence model in nursing students: A qualitative study’, </w:t>
      </w:r>
      <w:r>
        <w:rPr>
          <w:rStyle w:val="Emphasis"/>
          <w:sz w:val="22"/>
          <w:szCs w:val="22"/>
        </w:rPr>
        <w:t>Journal of Integrative Nursing and Palliative Care</w:t>
      </w:r>
      <w:r>
        <w:rPr>
          <w:sz w:val="22"/>
          <w:szCs w:val="22"/>
        </w:rPr>
        <w:t>, 3(1), pp. 133–147.</w:t>
      </w:r>
    </w:p>
    <w:p w14:paraId="18B19B61" w14:textId="77777777" w:rsidR="0037012D" w:rsidRDefault="00000000">
      <w:pPr>
        <w:pStyle w:val="NormalWeb"/>
        <w:rPr>
          <w:sz w:val="22"/>
          <w:szCs w:val="22"/>
        </w:rPr>
      </w:pPr>
      <w:r>
        <w:rPr>
          <w:sz w:val="22"/>
          <w:szCs w:val="22"/>
        </w:rPr>
        <w:t xml:space="preserve">Gkintoni, E., Dimakos, I. and Nikolaou, G. (2025) ‘Cognitive insights from emotional intelligence: A systematic review of EI models in educational achievement’, </w:t>
      </w:r>
      <w:r>
        <w:rPr>
          <w:rStyle w:val="Emphasis"/>
          <w:sz w:val="22"/>
          <w:szCs w:val="22"/>
        </w:rPr>
        <w:t>Emerging Science Journal</w:t>
      </w:r>
      <w:r>
        <w:rPr>
          <w:sz w:val="22"/>
          <w:szCs w:val="22"/>
        </w:rPr>
        <w:t>, 8, pp. 262–297.</w:t>
      </w:r>
    </w:p>
    <w:p w14:paraId="70A29EBE" w14:textId="77777777" w:rsidR="0037012D" w:rsidRDefault="00000000">
      <w:pPr>
        <w:pStyle w:val="NormalWeb"/>
        <w:rPr>
          <w:sz w:val="22"/>
          <w:szCs w:val="22"/>
        </w:rPr>
      </w:pPr>
      <w:r>
        <w:rPr>
          <w:sz w:val="22"/>
          <w:szCs w:val="22"/>
        </w:rPr>
        <w:t xml:space="preserve">Heyns, M.M. and Kerr, M.D. (2018) ‘Generational differences in workplace motivation’, </w:t>
      </w:r>
      <w:r>
        <w:rPr>
          <w:rStyle w:val="Emphasis"/>
          <w:sz w:val="22"/>
          <w:szCs w:val="22"/>
        </w:rPr>
        <w:t>SA Journal of Human Resource Management</w:t>
      </w:r>
      <w:r>
        <w:rPr>
          <w:sz w:val="22"/>
          <w:szCs w:val="22"/>
        </w:rPr>
        <w:t>, 16(1), pp. 1–10.</w:t>
      </w:r>
    </w:p>
    <w:p w14:paraId="29B0DC4E" w14:textId="77777777" w:rsidR="0037012D" w:rsidRDefault="00000000">
      <w:pPr>
        <w:pStyle w:val="NormalWeb"/>
        <w:rPr>
          <w:sz w:val="22"/>
          <w:szCs w:val="22"/>
        </w:rPr>
      </w:pPr>
      <w:r>
        <w:rPr>
          <w:sz w:val="22"/>
          <w:szCs w:val="22"/>
        </w:rPr>
        <w:lastRenderedPageBreak/>
        <w:t xml:space="preserve">Hosseinzadeh, Z. (2024) ‘Harmony amidst turmoil: Navigating conflict with mindfulness’, in </w:t>
      </w:r>
      <w:r>
        <w:rPr>
          <w:rStyle w:val="Emphasis"/>
          <w:sz w:val="22"/>
          <w:szCs w:val="22"/>
        </w:rPr>
        <w:t>Mindfulness</w:t>
      </w:r>
      <w:r>
        <w:rPr>
          <w:sz w:val="22"/>
          <w:szCs w:val="22"/>
        </w:rPr>
        <w:t xml:space="preserve">. IntechOpen. Available at: </w:t>
      </w:r>
      <w:hyperlink r:id="rId17" w:history="1">
        <w:r>
          <w:rPr>
            <w:rStyle w:val="Hyperlink"/>
            <w:sz w:val="22"/>
            <w:szCs w:val="22"/>
          </w:rPr>
          <w:t>https://www.intechopen.com/chapters/1161283</w:t>
        </w:r>
      </w:hyperlink>
      <w:r>
        <w:rPr>
          <w:sz w:val="22"/>
          <w:szCs w:val="22"/>
        </w:rPr>
        <w:t xml:space="preserve"> (Accessed: 28 May 2026).</w:t>
      </w:r>
    </w:p>
    <w:p w14:paraId="01006ACA" w14:textId="77777777" w:rsidR="0037012D" w:rsidRDefault="00000000">
      <w:pPr>
        <w:pStyle w:val="NormalWeb"/>
        <w:rPr>
          <w:sz w:val="22"/>
          <w:szCs w:val="22"/>
        </w:rPr>
      </w:pPr>
      <w:r>
        <w:rPr>
          <w:sz w:val="22"/>
          <w:szCs w:val="22"/>
        </w:rPr>
        <w:t xml:space="preserve">Huyler, D., Gomez, L., Rocco, T.S. and Plakhotnik, M.S. (2025) ‘Leading different generational cohorts in the workplace: Focus on situational and inclusive leadership’, </w:t>
      </w:r>
      <w:r>
        <w:rPr>
          <w:rStyle w:val="Emphasis"/>
          <w:sz w:val="22"/>
          <w:szCs w:val="22"/>
        </w:rPr>
        <w:t>New Horizons in Adult Education and Human Resource Development</w:t>
      </w:r>
      <w:r>
        <w:rPr>
          <w:sz w:val="22"/>
          <w:szCs w:val="22"/>
        </w:rPr>
        <w:t>, 37(1), pp. 6–19.</w:t>
      </w:r>
    </w:p>
    <w:p w14:paraId="080D81AE" w14:textId="77777777" w:rsidR="0037012D" w:rsidRDefault="00000000">
      <w:pPr>
        <w:pStyle w:val="NormalWeb"/>
        <w:rPr>
          <w:sz w:val="22"/>
          <w:szCs w:val="22"/>
        </w:rPr>
      </w:pPr>
      <w:r>
        <w:rPr>
          <w:sz w:val="22"/>
          <w:szCs w:val="22"/>
        </w:rPr>
        <w:t xml:space="preserve">Levitats, Z., Ivcevic, Z. and Brackett, M. (2022) ‘A world of opportunity: A top-down influence of emotional intelligence-related contextual factors on employee engagement and exhaustion’, </w:t>
      </w:r>
      <w:r>
        <w:rPr>
          <w:rStyle w:val="Emphasis"/>
          <w:sz w:val="22"/>
          <w:szCs w:val="22"/>
        </w:rPr>
        <w:t>Frontiers in Psychology</w:t>
      </w:r>
      <w:r>
        <w:rPr>
          <w:sz w:val="22"/>
          <w:szCs w:val="22"/>
        </w:rPr>
        <w:t>, 13, p. 980339.</w:t>
      </w:r>
    </w:p>
    <w:p w14:paraId="0934AFD4" w14:textId="77777777" w:rsidR="0037012D" w:rsidRDefault="00000000">
      <w:pPr>
        <w:pStyle w:val="NormalWeb"/>
        <w:rPr>
          <w:sz w:val="22"/>
          <w:szCs w:val="22"/>
        </w:rPr>
      </w:pPr>
      <w:r>
        <w:rPr>
          <w:sz w:val="22"/>
          <w:szCs w:val="22"/>
        </w:rPr>
        <w:t xml:space="preserve">Lipinskienė, D., Žvirelienė, R. and Meškerienė, J. (2024) ‘The causes of resistance to change among the employees of different generations: Theoretical insights’, </w:t>
      </w:r>
      <w:r>
        <w:rPr>
          <w:rStyle w:val="Emphasis"/>
          <w:sz w:val="22"/>
          <w:szCs w:val="22"/>
        </w:rPr>
        <w:t>Taikomieji Tyrimai Studijose ir Praktikoje – Applied Research in Studies and Practice</w:t>
      </w:r>
      <w:r>
        <w:rPr>
          <w:sz w:val="22"/>
          <w:szCs w:val="22"/>
        </w:rPr>
        <w:t>, 20(1), pp. 232–238.</w:t>
      </w:r>
    </w:p>
    <w:p w14:paraId="454A1F29" w14:textId="77777777" w:rsidR="0037012D" w:rsidRDefault="00000000">
      <w:pPr>
        <w:pStyle w:val="NormalWeb"/>
        <w:rPr>
          <w:sz w:val="22"/>
          <w:szCs w:val="22"/>
        </w:rPr>
      </w:pPr>
      <w:r>
        <w:rPr>
          <w:sz w:val="22"/>
          <w:szCs w:val="22"/>
        </w:rPr>
        <w:t xml:space="preserve">Mahmoud, A.B., Reisel, W.D., Grigoriou, N., Fuxman, L. and Mohr, I. (2020) ‘The reincarnation of work motivation: Millennials vs older generations’, </w:t>
      </w:r>
      <w:r>
        <w:rPr>
          <w:rStyle w:val="Emphasis"/>
          <w:sz w:val="22"/>
          <w:szCs w:val="22"/>
        </w:rPr>
        <w:t>International Sociology</w:t>
      </w:r>
      <w:r>
        <w:rPr>
          <w:sz w:val="22"/>
          <w:szCs w:val="22"/>
        </w:rPr>
        <w:t>, 35(4), pp. 393–414.</w:t>
      </w:r>
    </w:p>
    <w:p w14:paraId="479A407F" w14:textId="77777777" w:rsidR="0037012D" w:rsidRDefault="00000000">
      <w:pPr>
        <w:pStyle w:val="NormalWeb"/>
        <w:rPr>
          <w:sz w:val="22"/>
          <w:szCs w:val="22"/>
        </w:rPr>
      </w:pPr>
      <w:r>
        <w:rPr>
          <w:sz w:val="22"/>
          <w:szCs w:val="22"/>
        </w:rPr>
        <w:t xml:space="preserve">Manoj, M. (2025) ‘Generational differences in communication preferences and their impact on employee engagement’, </w:t>
      </w:r>
      <w:r>
        <w:rPr>
          <w:rStyle w:val="Emphasis"/>
          <w:sz w:val="22"/>
          <w:szCs w:val="22"/>
        </w:rPr>
        <w:t>International Journal of Research Publication and Reviews</w:t>
      </w:r>
      <w:r>
        <w:rPr>
          <w:sz w:val="22"/>
          <w:szCs w:val="22"/>
        </w:rPr>
        <w:t xml:space="preserve">, pp. 8605–8616. Available at: </w:t>
      </w:r>
      <w:hyperlink r:id="rId18" w:history="1">
        <w:r>
          <w:rPr>
            <w:rStyle w:val="Hyperlink"/>
            <w:sz w:val="22"/>
            <w:szCs w:val="22"/>
          </w:rPr>
          <w:t>https://ijrpr.com/uploads/V6ISSUE3/IJRPR40909.pdf</w:t>
        </w:r>
      </w:hyperlink>
      <w:r>
        <w:rPr>
          <w:sz w:val="22"/>
          <w:szCs w:val="22"/>
        </w:rPr>
        <w:t xml:space="preserve"> (Accessed: 25 May 2026).</w:t>
      </w:r>
    </w:p>
    <w:p w14:paraId="03A92D25" w14:textId="77777777" w:rsidR="0037012D" w:rsidRDefault="00000000">
      <w:pPr>
        <w:pStyle w:val="NormalWeb"/>
        <w:rPr>
          <w:sz w:val="22"/>
          <w:szCs w:val="22"/>
        </w:rPr>
      </w:pPr>
      <w:r>
        <w:rPr>
          <w:sz w:val="22"/>
          <w:szCs w:val="22"/>
        </w:rPr>
        <w:t xml:space="preserve">Mayer, J.D., Caruso, D.R., Sitarenios, G. and Escobar, M.R. (2024) ‘How many emotional intelligence abilities are there? An examination of four measures of emotional intelligence’, </w:t>
      </w:r>
      <w:r>
        <w:rPr>
          <w:rStyle w:val="Emphasis"/>
          <w:sz w:val="22"/>
          <w:szCs w:val="22"/>
        </w:rPr>
        <w:t>Personality and Individual Differences</w:t>
      </w:r>
      <w:r>
        <w:rPr>
          <w:sz w:val="22"/>
          <w:szCs w:val="22"/>
        </w:rPr>
        <w:t>, 219, p. 112468.</w:t>
      </w:r>
    </w:p>
    <w:p w14:paraId="0C35923A" w14:textId="77777777" w:rsidR="0037012D" w:rsidRDefault="00000000">
      <w:pPr>
        <w:pStyle w:val="NormalWeb"/>
        <w:rPr>
          <w:sz w:val="22"/>
          <w:szCs w:val="22"/>
        </w:rPr>
      </w:pPr>
      <w:r>
        <w:rPr>
          <w:sz w:val="22"/>
          <w:szCs w:val="22"/>
        </w:rPr>
        <w:t xml:space="preserve">My Courses (2025) </w:t>
      </w:r>
      <w:r>
        <w:rPr>
          <w:rStyle w:val="Emphasis"/>
          <w:sz w:val="22"/>
          <w:szCs w:val="22"/>
        </w:rPr>
        <w:t>In Bar-On’s model, what does the domain of empathy refer to?</w:t>
      </w:r>
      <w:r>
        <w:rPr>
          <w:sz w:val="22"/>
          <w:szCs w:val="22"/>
        </w:rPr>
        <w:t xml:space="preserve"> Available at: </w:t>
      </w:r>
      <w:hyperlink r:id="rId19" w:history="1">
        <w:r>
          <w:rPr>
            <w:rStyle w:val="Hyperlink"/>
            <w:sz w:val="22"/>
            <w:szCs w:val="22"/>
          </w:rPr>
          <w:t>https://mycourses.co.za/in-bar-ons-model-what-does-the-domain-of-empathy-refer-to/</w:t>
        </w:r>
      </w:hyperlink>
      <w:r>
        <w:rPr>
          <w:sz w:val="22"/>
          <w:szCs w:val="22"/>
        </w:rPr>
        <w:t xml:space="preserve"> (Accessed: 24 May 2026).</w:t>
      </w:r>
    </w:p>
    <w:p w14:paraId="7E376DDE" w14:textId="77777777" w:rsidR="0037012D" w:rsidRDefault="00000000">
      <w:pPr>
        <w:pStyle w:val="NormalWeb"/>
        <w:rPr>
          <w:sz w:val="22"/>
          <w:szCs w:val="22"/>
        </w:rPr>
      </w:pPr>
      <w:r>
        <w:rPr>
          <w:sz w:val="22"/>
          <w:szCs w:val="22"/>
        </w:rPr>
        <w:t xml:space="preserve">Oh, V.K.S., Sarwar, A. and Pervez, N. (2022) ‘The study of mindfulness as an intervening factor for enhanced psychological well-being in building the level of resilience’, </w:t>
      </w:r>
      <w:r>
        <w:rPr>
          <w:rStyle w:val="Emphasis"/>
          <w:sz w:val="22"/>
          <w:szCs w:val="22"/>
        </w:rPr>
        <w:t>Frontiers in Psychology</w:t>
      </w:r>
      <w:r>
        <w:rPr>
          <w:sz w:val="22"/>
          <w:szCs w:val="22"/>
        </w:rPr>
        <w:t>, 13, p. 1056834.</w:t>
      </w:r>
    </w:p>
    <w:p w14:paraId="2F7EE3B2" w14:textId="77777777" w:rsidR="0037012D" w:rsidRDefault="00000000">
      <w:pPr>
        <w:pStyle w:val="NormalWeb"/>
        <w:rPr>
          <w:sz w:val="22"/>
          <w:szCs w:val="22"/>
        </w:rPr>
      </w:pPr>
      <w:r>
        <w:rPr>
          <w:sz w:val="22"/>
          <w:szCs w:val="22"/>
        </w:rPr>
        <w:t xml:space="preserve">Pasla, P., Asepta, U., Widyaningrum, S., Pramesti, M. and Wicaksono, S. (2021) ‘The effect of work from home and work load on work-life balance of generation X and generation Y employees’, </w:t>
      </w:r>
      <w:r>
        <w:rPr>
          <w:rStyle w:val="Emphasis"/>
          <w:sz w:val="22"/>
          <w:szCs w:val="22"/>
        </w:rPr>
        <w:t>Journal of Economics, Finance and Accounting Studies</w:t>
      </w:r>
      <w:r>
        <w:rPr>
          <w:sz w:val="22"/>
          <w:szCs w:val="22"/>
        </w:rPr>
        <w:t>, 3(2), pp. 220–224.</w:t>
      </w:r>
    </w:p>
    <w:p w14:paraId="31F1FBDB" w14:textId="77777777" w:rsidR="0037012D" w:rsidRDefault="00000000">
      <w:pPr>
        <w:pStyle w:val="NormalWeb"/>
        <w:rPr>
          <w:sz w:val="22"/>
          <w:szCs w:val="22"/>
        </w:rPr>
      </w:pPr>
      <w:r>
        <w:rPr>
          <w:sz w:val="22"/>
          <w:szCs w:val="22"/>
        </w:rPr>
        <w:t xml:space="preserve">Sharipov, S. and Jabbarova, A. (2024) ‘Enhancing soft skills (EI) in leadership and management’, </w:t>
      </w:r>
      <w:r>
        <w:rPr>
          <w:rStyle w:val="Emphasis"/>
          <w:sz w:val="22"/>
          <w:szCs w:val="22"/>
        </w:rPr>
        <w:t>Mental Enlightenment Scientific-Methodological Journal</w:t>
      </w:r>
      <w:r>
        <w:rPr>
          <w:sz w:val="22"/>
          <w:szCs w:val="22"/>
        </w:rPr>
        <w:t>, 5(09), pp. 224–229.</w:t>
      </w:r>
    </w:p>
    <w:p w14:paraId="2B57D262" w14:textId="77777777" w:rsidR="0037012D" w:rsidRDefault="00000000">
      <w:pPr>
        <w:pStyle w:val="NormalWeb"/>
        <w:rPr>
          <w:sz w:val="22"/>
          <w:szCs w:val="22"/>
        </w:rPr>
      </w:pPr>
      <w:r>
        <w:rPr>
          <w:sz w:val="22"/>
          <w:szCs w:val="22"/>
        </w:rPr>
        <w:t xml:space="preserve">Shinde, O. and Surve, M. (2025) ‘Understanding Generation Z in the workplace: Adapting organizational strategies for a new era of work’, </w:t>
      </w:r>
      <w:r>
        <w:rPr>
          <w:rStyle w:val="Emphasis"/>
          <w:sz w:val="22"/>
          <w:szCs w:val="22"/>
        </w:rPr>
        <w:t>International Journal of Scientific Research</w:t>
      </w:r>
      <w:r>
        <w:rPr>
          <w:sz w:val="22"/>
          <w:szCs w:val="22"/>
        </w:rPr>
        <w:t>, 14(3), pp. 1–15.</w:t>
      </w:r>
    </w:p>
    <w:p w14:paraId="632EBA90" w14:textId="77777777" w:rsidR="0037012D" w:rsidRDefault="00000000">
      <w:pPr>
        <w:pStyle w:val="NormalWeb"/>
        <w:rPr>
          <w:sz w:val="22"/>
          <w:szCs w:val="22"/>
        </w:rPr>
      </w:pPr>
      <w:r>
        <w:rPr>
          <w:sz w:val="22"/>
          <w:szCs w:val="22"/>
        </w:rPr>
        <w:t xml:space="preserve">Singh, A., Prabhakar, R. and Kiran, J.S. (2022) ‘Emotional intelligence: A literature review of its concept, models, and measures’, </w:t>
      </w:r>
      <w:r>
        <w:rPr>
          <w:rStyle w:val="Emphasis"/>
          <w:sz w:val="22"/>
          <w:szCs w:val="22"/>
        </w:rPr>
        <w:t>Journal of Positive School Psychology</w:t>
      </w:r>
      <w:r>
        <w:rPr>
          <w:sz w:val="22"/>
          <w:szCs w:val="22"/>
        </w:rPr>
        <w:t>, 6(10).</w:t>
      </w:r>
    </w:p>
    <w:p w14:paraId="12B812A9" w14:textId="77777777" w:rsidR="0037012D" w:rsidRDefault="00000000">
      <w:pPr>
        <w:pStyle w:val="NormalWeb"/>
        <w:rPr>
          <w:sz w:val="22"/>
          <w:szCs w:val="22"/>
        </w:rPr>
      </w:pPr>
      <w:r>
        <w:rPr>
          <w:sz w:val="22"/>
          <w:szCs w:val="22"/>
        </w:rPr>
        <w:t xml:space="preserve">Tesco plc (2024) </w:t>
      </w:r>
      <w:r>
        <w:rPr>
          <w:rStyle w:val="Emphasis"/>
          <w:sz w:val="22"/>
          <w:szCs w:val="22"/>
        </w:rPr>
        <w:t>Our colleagues</w:t>
      </w:r>
      <w:r>
        <w:rPr>
          <w:sz w:val="22"/>
          <w:szCs w:val="22"/>
        </w:rPr>
        <w:t xml:space="preserve">. Available at: </w:t>
      </w:r>
      <w:hyperlink r:id="rId20" w:history="1">
        <w:r>
          <w:rPr>
            <w:rStyle w:val="Hyperlink"/>
            <w:sz w:val="22"/>
            <w:szCs w:val="22"/>
          </w:rPr>
          <w:t>https://www.tescoplc.com/media/3zef0bvr/tesco_factsheets_colleagues.pdf</w:t>
        </w:r>
      </w:hyperlink>
      <w:r>
        <w:rPr>
          <w:sz w:val="22"/>
          <w:szCs w:val="22"/>
        </w:rPr>
        <w:t xml:space="preserve"> (Accessed: 24 May 2026).</w:t>
      </w:r>
    </w:p>
    <w:p w14:paraId="3AB0A9E6" w14:textId="77777777" w:rsidR="0037012D" w:rsidRDefault="00000000">
      <w:pPr>
        <w:pStyle w:val="NormalWeb"/>
        <w:rPr>
          <w:sz w:val="22"/>
          <w:szCs w:val="22"/>
        </w:rPr>
      </w:pPr>
      <w:r>
        <w:rPr>
          <w:sz w:val="22"/>
          <w:szCs w:val="22"/>
        </w:rPr>
        <w:lastRenderedPageBreak/>
        <w:t xml:space="preserve">Winnicka-Wejs, A. (2025) ‘Experiencing inclusion by Generation Z – opportunities and threats’, </w:t>
      </w:r>
      <w:r>
        <w:rPr>
          <w:rStyle w:val="Emphasis"/>
          <w:sz w:val="22"/>
          <w:szCs w:val="22"/>
        </w:rPr>
        <w:t>Scientific Papers of Silesian University of Technology. Organization and Management</w:t>
      </w:r>
      <w:r>
        <w:rPr>
          <w:sz w:val="22"/>
          <w:szCs w:val="22"/>
        </w:rPr>
        <w:t>, 227.</w:t>
      </w:r>
    </w:p>
    <w:p w14:paraId="2672A17E" w14:textId="77777777" w:rsidR="0037012D" w:rsidRDefault="00000000">
      <w:pPr>
        <w:pStyle w:val="NormalWeb"/>
        <w:rPr>
          <w:sz w:val="22"/>
          <w:szCs w:val="22"/>
        </w:rPr>
      </w:pPr>
      <w:r>
        <w:rPr>
          <w:sz w:val="22"/>
          <w:szCs w:val="22"/>
        </w:rPr>
        <w:t xml:space="preserve">Workplace Mindfulness (2025) </w:t>
      </w:r>
      <w:r>
        <w:rPr>
          <w:rStyle w:val="Emphasis"/>
          <w:sz w:val="22"/>
          <w:szCs w:val="22"/>
        </w:rPr>
        <w:t>Supporting your team’s mental wellbeing</w:t>
      </w:r>
      <w:r>
        <w:rPr>
          <w:sz w:val="22"/>
          <w:szCs w:val="22"/>
        </w:rPr>
        <w:t xml:space="preserve">. Available at: </w:t>
      </w:r>
      <w:hyperlink r:id="rId21" w:history="1">
        <w:r>
          <w:rPr>
            <w:rStyle w:val="Hyperlink"/>
            <w:sz w:val="22"/>
            <w:szCs w:val="22"/>
          </w:rPr>
          <w:t>https://workplacemindfulness.co.uk/</w:t>
        </w:r>
      </w:hyperlink>
      <w:r>
        <w:rPr>
          <w:sz w:val="22"/>
          <w:szCs w:val="22"/>
        </w:rPr>
        <w:t xml:space="preserve"> (Accessed: 24 May 2026).</w:t>
      </w:r>
    </w:p>
    <w:p w14:paraId="16AA1673" w14:textId="77777777" w:rsidR="0037012D" w:rsidRDefault="00000000">
      <w:pPr>
        <w:pStyle w:val="NormalWeb"/>
        <w:rPr>
          <w:sz w:val="22"/>
          <w:szCs w:val="22"/>
        </w:rPr>
      </w:pPr>
      <w:r>
        <w:rPr>
          <w:sz w:val="22"/>
          <w:szCs w:val="22"/>
        </w:rPr>
        <w:t xml:space="preserve">Younger, H. (2023) </w:t>
      </w:r>
      <w:r>
        <w:rPr>
          <w:rStyle w:val="Emphasis"/>
          <w:sz w:val="22"/>
          <w:szCs w:val="22"/>
        </w:rPr>
        <w:t>The Art of Active Listening: How People at Work Feel Heard, Valued, and Understood</w:t>
      </w:r>
      <w:r>
        <w:rPr>
          <w:sz w:val="22"/>
          <w:szCs w:val="22"/>
        </w:rPr>
        <w:t>. Oakland, CA: Berrett-Koehler Publishers.</w:t>
      </w:r>
    </w:p>
    <w:p w14:paraId="162BEBAF" w14:textId="77777777" w:rsidR="0037012D" w:rsidRDefault="0037012D">
      <w:pPr>
        <w:rPr>
          <w:szCs w:val="22"/>
        </w:rPr>
      </w:pPr>
    </w:p>
    <w:sectPr w:rsidR="0037012D">
      <w:footerReference w:type="default" r:id="rId2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61654" w14:textId="77777777" w:rsidR="00215F46" w:rsidRDefault="00215F46">
      <w:pPr>
        <w:spacing w:line="240" w:lineRule="auto"/>
      </w:pPr>
      <w:r>
        <w:separator/>
      </w:r>
    </w:p>
  </w:endnote>
  <w:endnote w:type="continuationSeparator" w:id="0">
    <w:p w14:paraId="7A118C04" w14:textId="77777777" w:rsidR="00215F46" w:rsidRDefault="00215F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variable"/>
    <w:sig w:usb0="E0002EFF" w:usb1="C000785B" w:usb2="00000009" w:usb3="00000000" w:csb0="000001FF" w:csb1="00000000"/>
  </w:font>
  <w:font w:name="等线 Light">
    <w:altName w:val="Up all night"/>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5133314"/>
      <w:docPartObj>
        <w:docPartGallery w:val="AutoText"/>
      </w:docPartObj>
    </w:sdtPr>
    <w:sdtContent>
      <w:p w14:paraId="22767AD8" w14:textId="77777777" w:rsidR="0037012D" w:rsidRDefault="00000000">
        <w:pPr>
          <w:pStyle w:val="Footer"/>
          <w:jc w:val="right"/>
        </w:pPr>
        <w:r>
          <w:fldChar w:fldCharType="begin"/>
        </w:r>
        <w:r>
          <w:instrText xml:space="preserve"> PAGE   \* MERGEFORMAT </w:instrText>
        </w:r>
        <w:r>
          <w:fldChar w:fldCharType="separate"/>
        </w:r>
        <w:r>
          <w:t>8</w:t>
        </w:r>
        <w:r>
          <w:fldChar w:fldCharType="end"/>
        </w:r>
      </w:p>
    </w:sdtContent>
  </w:sdt>
  <w:p w14:paraId="36538643" w14:textId="77777777" w:rsidR="0037012D" w:rsidRDefault="00370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C3B4C" w14:textId="77777777" w:rsidR="00215F46" w:rsidRDefault="00215F46">
      <w:r>
        <w:separator/>
      </w:r>
    </w:p>
  </w:footnote>
  <w:footnote w:type="continuationSeparator" w:id="0">
    <w:p w14:paraId="35C5DC63" w14:textId="77777777" w:rsidR="00215F46" w:rsidRDefault="00215F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Setting w:name="useWord2013TrackBottomHyphenation" w:uri="http://schemas.microsoft.com/office/word" w:val="1"/>
  </w:compat>
  <w:rsids>
    <w:rsidRoot w:val="009E6121"/>
    <w:rsid w:val="00013947"/>
    <w:rsid w:val="00015ADC"/>
    <w:rsid w:val="00056DB5"/>
    <w:rsid w:val="000572E1"/>
    <w:rsid w:val="000A7F7C"/>
    <w:rsid w:val="000B104E"/>
    <w:rsid w:val="000B1150"/>
    <w:rsid w:val="000B2608"/>
    <w:rsid w:val="000D54D2"/>
    <w:rsid w:val="00105B7E"/>
    <w:rsid w:val="0013407C"/>
    <w:rsid w:val="00150E16"/>
    <w:rsid w:val="00154950"/>
    <w:rsid w:val="00163A17"/>
    <w:rsid w:val="00164155"/>
    <w:rsid w:val="001707D3"/>
    <w:rsid w:val="001841F1"/>
    <w:rsid w:val="00187D0A"/>
    <w:rsid w:val="001D28B1"/>
    <w:rsid w:val="001F46C8"/>
    <w:rsid w:val="00215F46"/>
    <w:rsid w:val="002311E6"/>
    <w:rsid w:val="002502A6"/>
    <w:rsid w:val="00265C70"/>
    <w:rsid w:val="002679D6"/>
    <w:rsid w:val="00281EB5"/>
    <w:rsid w:val="00295B8D"/>
    <w:rsid w:val="002C3826"/>
    <w:rsid w:val="002D34C2"/>
    <w:rsid w:val="002F4A64"/>
    <w:rsid w:val="002F4F20"/>
    <w:rsid w:val="002F75A5"/>
    <w:rsid w:val="003502E7"/>
    <w:rsid w:val="00360400"/>
    <w:rsid w:val="0037012D"/>
    <w:rsid w:val="003706B5"/>
    <w:rsid w:val="00386DD5"/>
    <w:rsid w:val="00387764"/>
    <w:rsid w:val="003A128E"/>
    <w:rsid w:val="003A1976"/>
    <w:rsid w:val="003A7781"/>
    <w:rsid w:val="003E43D6"/>
    <w:rsid w:val="003F2930"/>
    <w:rsid w:val="003F38AD"/>
    <w:rsid w:val="004008D4"/>
    <w:rsid w:val="004159D0"/>
    <w:rsid w:val="00423551"/>
    <w:rsid w:val="004853B1"/>
    <w:rsid w:val="004975F2"/>
    <w:rsid w:val="004A1A45"/>
    <w:rsid w:val="004E5A0E"/>
    <w:rsid w:val="0052490E"/>
    <w:rsid w:val="005249CB"/>
    <w:rsid w:val="0053519C"/>
    <w:rsid w:val="00553AB4"/>
    <w:rsid w:val="00590CEE"/>
    <w:rsid w:val="005B543F"/>
    <w:rsid w:val="005B7D95"/>
    <w:rsid w:val="005B7F91"/>
    <w:rsid w:val="005E70B3"/>
    <w:rsid w:val="0060315F"/>
    <w:rsid w:val="00610285"/>
    <w:rsid w:val="0061319F"/>
    <w:rsid w:val="006258E1"/>
    <w:rsid w:val="00653586"/>
    <w:rsid w:val="00661021"/>
    <w:rsid w:val="00673E5F"/>
    <w:rsid w:val="006A1973"/>
    <w:rsid w:val="006E1A58"/>
    <w:rsid w:val="0071657E"/>
    <w:rsid w:val="00723793"/>
    <w:rsid w:val="00725FEA"/>
    <w:rsid w:val="0076020B"/>
    <w:rsid w:val="00771F1B"/>
    <w:rsid w:val="007A0CD3"/>
    <w:rsid w:val="007B1E53"/>
    <w:rsid w:val="007C5AA7"/>
    <w:rsid w:val="00814388"/>
    <w:rsid w:val="008912B9"/>
    <w:rsid w:val="008B5887"/>
    <w:rsid w:val="008E3143"/>
    <w:rsid w:val="009135D9"/>
    <w:rsid w:val="0093050D"/>
    <w:rsid w:val="00931238"/>
    <w:rsid w:val="009338EE"/>
    <w:rsid w:val="009A4792"/>
    <w:rsid w:val="009E6121"/>
    <w:rsid w:val="009F1F18"/>
    <w:rsid w:val="00A006BA"/>
    <w:rsid w:val="00A1502B"/>
    <w:rsid w:val="00A50C28"/>
    <w:rsid w:val="00A526BB"/>
    <w:rsid w:val="00A539EA"/>
    <w:rsid w:val="00A661B0"/>
    <w:rsid w:val="00A7698A"/>
    <w:rsid w:val="00AB5B0E"/>
    <w:rsid w:val="00AF6719"/>
    <w:rsid w:val="00B311B4"/>
    <w:rsid w:val="00B51AAB"/>
    <w:rsid w:val="00B555C7"/>
    <w:rsid w:val="00B95951"/>
    <w:rsid w:val="00B97AEA"/>
    <w:rsid w:val="00BC67CE"/>
    <w:rsid w:val="00C0666B"/>
    <w:rsid w:val="00C676E5"/>
    <w:rsid w:val="00C85ADE"/>
    <w:rsid w:val="00C91E4A"/>
    <w:rsid w:val="00C9312A"/>
    <w:rsid w:val="00CA404A"/>
    <w:rsid w:val="00CB1B00"/>
    <w:rsid w:val="00CB4E4B"/>
    <w:rsid w:val="00CF2272"/>
    <w:rsid w:val="00CF578B"/>
    <w:rsid w:val="00D029A5"/>
    <w:rsid w:val="00D07706"/>
    <w:rsid w:val="00D45E7C"/>
    <w:rsid w:val="00D56769"/>
    <w:rsid w:val="00D619DC"/>
    <w:rsid w:val="00D845E1"/>
    <w:rsid w:val="00D86828"/>
    <w:rsid w:val="00D964FD"/>
    <w:rsid w:val="00D96721"/>
    <w:rsid w:val="00DA0698"/>
    <w:rsid w:val="00DA2598"/>
    <w:rsid w:val="00DA54BD"/>
    <w:rsid w:val="00DB0779"/>
    <w:rsid w:val="00DB22D7"/>
    <w:rsid w:val="00DD1A9E"/>
    <w:rsid w:val="00DD55A9"/>
    <w:rsid w:val="00DF595C"/>
    <w:rsid w:val="00E14258"/>
    <w:rsid w:val="00E312D3"/>
    <w:rsid w:val="00E36220"/>
    <w:rsid w:val="00E377AC"/>
    <w:rsid w:val="00E60AE8"/>
    <w:rsid w:val="00E748C2"/>
    <w:rsid w:val="00E76001"/>
    <w:rsid w:val="00E827B9"/>
    <w:rsid w:val="00EA4FF7"/>
    <w:rsid w:val="00EB0AE1"/>
    <w:rsid w:val="00ED0BCB"/>
    <w:rsid w:val="00ED1A5D"/>
    <w:rsid w:val="00ED7AA0"/>
    <w:rsid w:val="00EE27E1"/>
    <w:rsid w:val="00F16DF7"/>
    <w:rsid w:val="00F32618"/>
    <w:rsid w:val="00F44CD7"/>
    <w:rsid w:val="00F52FFB"/>
    <w:rsid w:val="00FB3F98"/>
    <w:rsid w:val="00FF2EC0"/>
    <w:rsid w:val="790D41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09446"/>
  <w15:docId w15:val="{7FAA5EB8-0130-496E-94B5-54CF641DF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eastAsia="Times New Roman" w:hAnsi="Arial"/>
      <w:sz w:val="22"/>
      <w:lang w:eastAsia="en-US"/>
    </w:rPr>
  </w:style>
  <w:style w:type="paragraph" w:styleId="Heading1">
    <w:name w:val="heading 1"/>
    <w:basedOn w:val="Normal"/>
    <w:next w:val="Normal"/>
    <w:link w:val="Heading1Char"/>
    <w:qFormat/>
    <w:pPr>
      <w:keepNext/>
      <w:keepLines/>
      <w:spacing w:before="400" w:after="120"/>
      <w:outlineLvl w:val="0"/>
    </w:pPr>
    <w:rPr>
      <w:b/>
      <w:sz w:val="28"/>
      <w:szCs w:val="40"/>
    </w:rPr>
  </w:style>
  <w:style w:type="paragraph" w:styleId="Heading2">
    <w:name w:val="heading 2"/>
    <w:basedOn w:val="Normal"/>
    <w:next w:val="Normal"/>
    <w:link w:val="Heading2Char"/>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pPr>
      <w:keepNext/>
      <w:keepLines/>
      <w:spacing w:before="40"/>
      <w:jc w:val="left"/>
      <w:outlineLvl w:val="2"/>
    </w:pPr>
    <w:rPr>
      <w:rFonts w:eastAsiaTheme="majorEastAsia" w:cstheme="majorBidi"/>
      <w:b/>
      <w:color w:val="000000" w:themeColor="text1"/>
      <w:kern w:val="2"/>
      <w:szCs w:val="24"/>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uiPriority w:val="99"/>
    <w:semiHidden/>
    <w:unhideWhenUsed/>
    <w:pPr>
      <w:spacing w:beforeAutospacing="1" w:afterAutospacing="1"/>
    </w:pPr>
    <w:rPr>
      <w:sz w:val="24"/>
      <w:szCs w:val="24"/>
      <w:lang w:val="en-US" w:eastAsia="zh-CN"/>
    </w:rPr>
  </w:style>
  <w:style w:type="paragraph" w:styleId="Subtitle">
    <w:name w:val="Subtitle"/>
    <w:basedOn w:val="Normal"/>
    <w:next w:val="Normal"/>
    <w:link w:val="SubtitleChar"/>
    <w:uiPriority w:val="11"/>
    <w:qFormat/>
    <w:pPr>
      <w:spacing w:after="160"/>
    </w:pPr>
    <w:rPr>
      <w:rFonts w:asciiTheme="minorHAnsi" w:eastAsiaTheme="majorEastAsia" w:hAnsiTheme="minorHAnsi"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pPr>
      <w:spacing w:after="100"/>
      <w:ind w:left="240"/>
    </w:pPr>
  </w:style>
  <w:style w:type="character" w:customStyle="1" w:styleId="Heading1Char">
    <w:name w:val="Heading 1 Char"/>
    <w:basedOn w:val="DefaultParagraphFont"/>
    <w:link w:val="Heading1"/>
    <w:rPr>
      <w:rFonts w:ascii="Times New Roman" w:hAnsi="Times New Roman" w:cs="Arial"/>
      <w:b/>
      <w:color w:val="000000" w:themeColor="text1"/>
      <w:kern w:val="0"/>
      <w:sz w:val="28"/>
      <w:szCs w:val="40"/>
    </w:rPr>
  </w:style>
  <w:style w:type="character" w:customStyle="1" w:styleId="Heading2Char">
    <w:name w:val="Heading 2 Char"/>
    <w:basedOn w:val="DefaultParagraphFont"/>
    <w:link w:val="Heading2"/>
    <w:rPr>
      <w:rFonts w:ascii="Times New Roman" w:hAnsi="Times New Roman" w:cs="Arial"/>
      <w:b/>
      <w:color w:val="000000" w:themeColor="text1"/>
      <w:kern w:val="0"/>
      <w:sz w:val="26"/>
      <w:szCs w:val="32"/>
    </w:rPr>
  </w:style>
  <w:style w:type="character" w:customStyle="1" w:styleId="Heading3Char">
    <w:name w:val="Heading 3 Char"/>
    <w:basedOn w:val="DefaultParagraphFont"/>
    <w:link w:val="Heading3"/>
    <w:uiPriority w:val="9"/>
    <w:rPr>
      <w:rFonts w:ascii="Times New Roman" w:eastAsiaTheme="majorEastAsia" w:hAnsi="Times New Roman" w:cstheme="majorBidi"/>
      <w:b/>
      <w:color w:val="000000" w:themeColor="text1"/>
      <w:sz w:val="24"/>
      <w:szCs w:val="24"/>
      <w:lang w:val="en-GB"/>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kern w:val="0"/>
      <w:sz w:val="24"/>
      <w:szCs w:val="20"/>
      <w:lang w:val="en-GB"/>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kern w:val="0"/>
      <w:sz w:val="24"/>
      <w:szCs w:val="20"/>
      <w:lang w:val="en-GB"/>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kern w:val="0"/>
      <w:sz w:val="24"/>
      <w:szCs w:val="20"/>
      <w:lang w:val="en-GB"/>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kern w:val="0"/>
      <w:sz w:val="24"/>
      <w:szCs w:val="20"/>
      <w:lang w:val="en-GB"/>
    </w:rPr>
  </w:style>
  <w:style w:type="character" w:customStyle="1" w:styleId="Heading8Char">
    <w:name w:val="Heading 8 Char"/>
    <w:basedOn w:val="DefaultParagraphFont"/>
    <w:link w:val="Heading8"/>
    <w:uiPriority w:val="9"/>
    <w:semiHidden/>
    <w:rPr>
      <w:rFonts w:eastAsiaTheme="majorEastAsia" w:cstheme="majorBidi"/>
      <w:i/>
      <w:iCs/>
      <w:color w:val="272727" w:themeColor="text1" w:themeTint="D8"/>
      <w:kern w:val="0"/>
      <w:sz w:val="24"/>
      <w:szCs w:val="20"/>
      <w:lang w:val="en-GB"/>
    </w:rPr>
  </w:style>
  <w:style w:type="character" w:customStyle="1" w:styleId="Heading9Char">
    <w:name w:val="Heading 9 Char"/>
    <w:basedOn w:val="DefaultParagraphFont"/>
    <w:link w:val="Heading9"/>
    <w:uiPriority w:val="9"/>
    <w:semiHidden/>
    <w:rPr>
      <w:rFonts w:eastAsiaTheme="majorEastAsia" w:cstheme="majorBidi"/>
      <w:color w:val="272727" w:themeColor="text1" w:themeTint="D8"/>
      <w:kern w:val="0"/>
      <w:sz w:val="24"/>
      <w:szCs w:val="20"/>
      <w:lang w:val="en-GB"/>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rPr>
      <w:rFonts w:ascii="Times New Roman" w:hAnsi="Times New Roman" w:cs="Times New Roman"/>
      <w:i/>
      <w:iCs/>
      <w:color w:val="404040" w:themeColor="text1" w:themeTint="BF"/>
      <w:kern w:val="0"/>
      <w:sz w:val="24"/>
      <w:szCs w:val="20"/>
      <w:lang w:val="en-GB"/>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rFonts w:ascii="Times New Roman" w:hAnsi="Times New Roman" w:cs="Times New Roman"/>
      <w:i/>
      <w:iCs/>
      <w:color w:val="2F5496" w:themeColor="accent1" w:themeShade="BF"/>
      <w:kern w:val="0"/>
      <w:sz w:val="24"/>
      <w:szCs w:val="20"/>
      <w:lang w:val="en-GB"/>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table" w:customStyle="1" w:styleId="TableGrid">
    <w:name w:val="TableGrid"/>
    <w:qFormat/>
    <w:rPr>
      <w:rFonts w:eastAsiaTheme="minorEastAsia"/>
      <w:sz w:val="24"/>
      <w:szCs w:val="24"/>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pacing w:after="5" w:line="249" w:lineRule="auto"/>
      <w:ind w:left="730" w:hanging="10"/>
    </w:pPr>
    <w:rPr>
      <w:rFonts w:eastAsia="Arial" w:cs="Arial"/>
      <w:color w:val="000000"/>
      <w:kern w:val="2"/>
      <w:szCs w:val="24"/>
      <w:lang w:val="en-US"/>
    </w:rPr>
  </w:style>
  <w:style w:type="character" w:customStyle="1" w:styleId="HeaderChar">
    <w:name w:val="Header Char"/>
    <w:basedOn w:val="DefaultParagraphFont"/>
    <w:link w:val="Header"/>
    <w:uiPriority w:val="99"/>
    <w:rPr>
      <w:rFonts w:ascii="Times New Roman" w:hAnsi="Times New Roman" w:cs="Times New Roman"/>
      <w:kern w:val="0"/>
      <w:sz w:val="24"/>
      <w:szCs w:val="20"/>
      <w:lang w:val="en-GB"/>
    </w:rPr>
  </w:style>
  <w:style w:type="character" w:customStyle="1" w:styleId="FooterChar">
    <w:name w:val="Footer Char"/>
    <w:basedOn w:val="DefaultParagraphFont"/>
    <w:link w:val="Footer"/>
    <w:uiPriority w:val="99"/>
    <w:rPr>
      <w:rFonts w:ascii="Times New Roman" w:hAnsi="Times New Roman" w:cs="Times New Roman"/>
      <w:kern w:val="0"/>
      <w:sz w:val="24"/>
      <w:szCs w:val="20"/>
      <w:lang w:val="en-GB"/>
    </w:r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character" w:customStyle="1" w:styleId="BalloonTextChar">
    <w:name w:val="Balloon Text Char"/>
    <w:basedOn w:val="DefaultParagraphFont"/>
    <w:link w:val="BalloonText"/>
    <w:uiPriority w:val="99"/>
    <w:semiHidden/>
    <w:qFormat/>
    <w:rPr>
      <w:rFonts w:ascii="Tahoma" w:hAnsi="Tahoma" w:cs="Tahoma"/>
      <w:kern w:val="0"/>
      <w:sz w:val="16"/>
      <w:szCs w:val="16"/>
      <w:lang w:val="en-GB"/>
    </w:rPr>
  </w:style>
  <w:style w:type="paragraph" w:customStyle="1" w:styleId="Normal1">
    <w:name w:val="Normal1"/>
    <w:pPr>
      <w:spacing w:line="276" w:lineRule="auto"/>
    </w:pPr>
    <w:rPr>
      <w:rFonts w:ascii="Arial" w:eastAsia="Arial" w:hAnsi="Arial" w:cs="Arial"/>
      <w:sz w:val="22"/>
      <w:szCs w:val="22"/>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pd.org/uk/views-and-insights/thought-leadership/the-world-of-work/mindfulness-work/" TargetMode="External"/><Relationship Id="rId18" Type="http://schemas.openxmlformats.org/officeDocument/2006/relationships/hyperlink" Target="https://ijrpr.com/uploads/V6ISSUE3/IJRPR40909.pdf" TargetMode="External"/><Relationship Id="rId3" Type="http://schemas.openxmlformats.org/officeDocument/2006/relationships/settings" Target="settings.xml"/><Relationship Id="rId21" Type="http://schemas.openxmlformats.org/officeDocument/2006/relationships/hyperlink" Target="https://workplacemindfulness.co.uk/" TargetMode="External"/><Relationship Id="rId7" Type="http://schemas.openxmlformats.org/officeDocument/2006/relationships/image" Target="media/image1.png"/><Relationship Id="rId12" Type="http://schemas.openxmlformats.org/officeDocument/2006/relationships/hyperlink" Target="https://www.britsafe.org/safety-management/2022/putting-mental-wellbeing-at-the-heart-of-a-business" TargetMode="External"/><Relationship Id="rId17" Type="http://schemas.openxmlformats.org/officeDocument/2006/relationships/hyperlink" Target="https://www.intechopen.com/chapters/1161283" TargetMode="External"/><Relationship Id="rId2" Type="http://schemas.openxmlformats.org/officeDocument/2006/relationships/styles" Target="styles.xml"/><Relationship Id="rId16" Type="http://schemas.openxmlformats.org/officeDocument/2006/relationships/hyperlink" Target="https://d3.harvard.edu/platform-rctom/submission/tesco-a-digital-transformation/" TargetMode="External"/><Relationship Id="rId20" Type="http://schemas.openxmlformats.org/officeDocument/2006/relationships/hyperlink" Target="https://www.tescoplc.com/media/3zef0bvr/tesco_factsheets_colleague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eresfordresearch.com/age-range-by-generatio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pd.org/uk/knowledge/guides/mental-health-support-guide/"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mycourses.co.za/in-bar-ons-model-what-does-the-domain-of-empathy-refer-to/"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ipd.org/en/about/news/good-work-index-202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2D534-5EA0-4E69-B7FB-07256D7DB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4985</Words>
  <Characters>28416</Characters>
  <Application>Microsoft Office Word</Application>
  <DocSecurity>0</DocSecurity>
  <Lines>236</Lines>
  <Paragraphs>66</Paragraphs>
  <ScaleCrop>false</ScaleCrop>
  <Company/>
  <LinksUpToDate>false</LinksUpToDate>
  <CharactersWithSpaces>33335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Burlui</dc:creator>
  <cp:lastModifiedBy>George Burlui</cp:lastModifiedBy>
  <cp:revision>3</cp:revision>
  <dcterms:created xsi:type="dcterms:W3CDTF">2026-05-29T13:54:00Z</dcterms:created>
  <dcterms:modified xsi:type="dcterms:W3CDTF">2026-07-13T04:18:00Z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eyJoZGlkIjoiYjk5ODM0YmMxOWJiYWQyNDU4MGIzYWRmYTA0ZmI5NDciLCJ1c2VySWQiOiIzODY2MDY3MzMzMTM0In0=</vt:lpwstr>
  </property>
  <property fmtid="{D5CDD505-2E9C-101B-9397-08002B2CF9AE}" pid="3" name="KSOProductBuildVer">
    <vt:lpwstr>1033-12.1.0.26880</vt:lpwstr>
  </property>
  <property fmtid="{D5CDD505-2E9C-101B-9397-08002B2CF9AE}" pid="4" name="ICV">
    <vt:lpwstr>D1FBA64F61B647458F6FB7E0B890A2AE_12</vt:lpwstr>
  </property>
</Properties>
</file>