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F25E2" w14:textId="44F68E3E" w:rsidR="00B378DE" w:rsidRPr="00370360" w:rsidRDefault="008112B1" w:rsidP="008112B1">
      <w:pPr>
        <w:spacing w:before="240" w:after="240"/>
        <w:jc w:val="left"/>
        <w:rPr>
          <w:b/>
          <w:bCs/>
          <w:sz w:val="32"/>
          <w:szCs w:val="32"/>
        </w:rPr>
      </w:pPr>
      <w:r>
        <w:rPr>
          <w:noProof/>
          <w:color w:val="000000"/>
          <w:sz w:val="20"/>
          <w:szCs w:val="20"/>
          <w:bdr w:val="none" w:sz="0" w:space="0" w:color="auto" w:frame="1"/>
          <w:lang w:eastAsia="en-GB"/>
        </w:rPr>
        <w:drawing>
          <wp:anchor distT="0" distB="0" distL="114300" distR="114300" simplePos="0" relativeHeight="251658240" behindDoc="0" locked="0" layoutInCell="1" allowOverlap="1" wp14:anchorId="0F5974E3" wp14:editId="598A3707">
            <wp:simplePos x="914400" y="1066800"/>
            <wp:positionH relativeFrom="column">
              <wp:align>left</wp:align>
            </wp:positionH>
            <wp:positionV relativeFrom="paragraph">
              <wp:align>top</wp:align>
            </wp:positionV>
            <wp:extent cx="2000250" cy="649296"/>
            <wp:effectExtent l="0" t="0" r="0" b="0"/>
            <wp:wrapSquare wrapText="bothSides"/>
            <wp:docPr id="503611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0" cy="649296"/>
                    </a:xfrm>
                    <a:prstGeom prst="rect">
                      <a:avLst/>
                    </a:prstGeom>
                    <a:noFill/>
                    <a:ln>
                      <a:noFill/>
                    </a:ln>
                  </pic:spPr>
                </pic:pic>
              </a:graphicData>
            </a:graphic>
          </wp:anchor>
        </w:drawing>
      </w:r>
      <w:r>
        <w:rPr>
          <w:b/>
          <w:bCs/>
          <w:sz w:val="32"/>
          <w:szCs w:val="32"/>
        </w:rPr>
        <w:br w:type="textWrapping" w:clear="all"/>
      </w:r>
    </w:p>
    <w:p w14:paraId="1C2D366E" w14:textId="77777777" w:rsidR="00B378DE" w:rsidRPr="00370360" w:rsidRDefault="00B378DE" w:rsidP="00B378DE">
      <w:pPr>
        <w:spacing w:before="240" w:after="240"/>
        <w:jc w:val="center"/>
        <w:rPr>
          <w:b/>
          <w:bCs/>
          <w:sz w:val="32"/>
          <w:szCs w:val="32"/>
        </w:rPr>
      </w:pPr>
      <w:r w:rsidRPr="00370360">
        <w:rPr>
          <w:b/>
          <w:bCs/>
          <w:sz w:val="32"/>
          <w:szCs w:val="32"/>
        </w:rPr>
        <w:t xml:space="preserve">Certificate of Higher Education in Health and Social Care  </w:t>
      </w:r>
    </w:p>
    <w:p w14:paraId="0D8DE006" w14:textId="77777777" w:rsidR="00B378DE" w:rsidRPr="00370360" w:rsidRDefault="00B378DE" w:rsidP="00B378DE">
      <w:pPr>
        <w:spacing w:before="240" w:after="240"/>
        <w:jc w:val="center"/>
        <w:rPr>
          <w:b/>
          <w:bCs/>
          <w:sz w:val="32"/>
          <w:szCs w:val="32"/>
        </w:rPr>
      </w:pPr>
      <w:r w:rsidRPr="00370360">
        <w:rPr>
          <w:b/>
          <w:bCs/>
          <w:sz w:val="32"/>
          <w:szCs w:val="32"/>
        </w:rPr>
        <w:t xml:space="preserve">ASSESSMENT 2: BIBLIOGRAPHY &amp; REPORT </w:t>
      </w:r>
    </w:p>
    <w:p w14:paraId="16D7F34A" w14:textId="77777777" w:rsidR="00B378DE" w:rsidRPr="00370360" w:rsidRDefault="00B378DE" w:rsidP="00B378DE">
      <w:pPr>
        <w:spacing w:before="240" w:after="240"/>
        <w:jc w:val="center"/>
        <w:rPr>
          <w:b/>
          <w:bCs/>
          <w:sz w:val="32"/>
          <w:szCs w:val="32"/>
        </w:rPr>
      </w:pPr>
      <w:r w:rsidRPr="00370360">
        <w:rPr>
          <w:b/>
          <w:bCs/>
          <w:sz w:val="32"/>
          <w:szCs w:val="32"/>
        </w:rPr>
        <w:t xml:space="preserve"> </w:t>
      </w:r>
    </w:p>
    <w:p w14:paraId="759D1EB1" w14:textId="77777777" w:rsidR="00B378DE" w:rsidRPr="00370360" w:rsidRDefault="00B378DE" w:rsidP="00B378DE">
      <w:pPr>
        <w:spacing w:before="240" w:after="240"/>
        <w:jc w:val="center"/>
        <w:rPr>
          <w:b/>
          <w:bCs/>
          <w:sz w:val="32"/>
          <w:szCs w:val="32"/>
        </w:rPr>
      </w:pPr>
      <w:r w:rsidRPr="00370360">
        <w:rPr>
          <w:b/>
          <w:bCs/>
          <w:sz w:val="32"/>
          <w:szCs w:val="32"/>
        </w:rPr>
        <w:t>Psychology in Health and Social Care</w:t>
      </w:r>
    </w:p>
    <w:p w14:paraId="27AF7113" w14:textId="77777777" w:rsidR="00B378DE" w:rsidRPr="00370360" w:rsidRDefault="00B378DE" w:rsidP="00B378DE">
      <w:pPr>
        <w:spacing w:before="240" w:after="240"/>
        <w:jc w:val="center"/>
        <w:rPr>
          <w:b/>
          <w:bCs/>
          <w:sz w:val="32"/>
          <w:szCs w:val="32"/>
        </w:rPr>
      </w:pPr>
      <w:r w:rsidRPr="00370360">
        <w:rPr>
          <w:b/>
          <w:bCs/>
          <w:sz w:val="32"/>
          <w:szCs w:val="32"/>
        </w:rPr>
        <w:t>LCHS4010</w:t>
      </w:r>
    </w:p>
    <w:p w14:paraId="1091BAA6" w14:textId="77777777" w:rsidR="00B378DE" w:rsidRPr="00370360" w:rsidRDefault="00B378DE" w:rsidP="00B378DE">
      <w:pPr>
        <w:spacing w:before="240" w:after="240"/>
        <w:jc w:val="center"/>
        <w:rPr>
          <w:b/>
          <w:bCs/>
          <w:sz w:val="32"/>
          <w:szCs w:val="32"/>
        </w:rPr>
      </w:pPr>
      <w:r w:rsidRPr="00370360">
        <w:rPr>
          <w:b/>
          <w:bCs/>
          <w:sz w:val="32"/>
          <w:szCs w:val="32"/>
        </w:rPr>
        <w:t xml:space="preserve">  </w:t>
      </w:r>
    </w:p>
    <w:p w14:paraId="41B2367D" w14:textId="77777777" w:rsidR="00B378DE" w:rsidRPr="00370360" w:rsidRDefault="00B378DE" w:rsidP="00B378DE">
      <w:pPr>
        <w:spacing w:before="240" w:after="240"/>
        <w:jc w:val="center"/>
        <w:rPr>
          <w:b/>
          <w:bCs/>
          <w:sz w:val="32"/>
          <w:szCs w:val="32"/>
        </w:rPr>
      </w:pPr>
      <w:r w:rsidRPr="00370360">
        <w:rPr>
          <w:b/>
          <w:bCs/>
          <w:sz w:val="32"/>
          <w:szCs w:val="32"/>
        </w:rPr>
        <w:t>Module Lead – Neale Haddon</w:t>
      </w:r>
    </w:p>
    <w:p w14:paraId="18271C87" w14:textId="73A60D1A" w:rsidR="00B378DE" w:rsidRPr="00370360" w:rsidRDefault="00EC6D87" w:rsidP="00B378DE">
      <w:pPr>
        <w:spacing w:before="240" w:after="240"/>
        <w:jc w:val="center"/>
        <w:rPr>
          <w:b/>
          <w:bCs/>
          <w:sz w:val="32"/>
          <w:szCs w:val="32"/>
        </w:rPr>
      </w:pPr>
      <w:r>
        <w:rPr>
          <w:b/>
          <w:bCs/>
          <w:sz w:val="32"/>
          <w:szCs w:val="32"/>
        </w:rPr>
        <w:t>Lecturer N</w:t>
      </w:r>
      <w:r w:rsidRPr="00EC6D87">
        <w:rPr>
          <w:b/>
          <w:bCs/>
          <w:sz w:val="32"/>
          <w:szCs w:val="32"/>
        </w:rPr>
        <w:t>ame</w:t>
      </w:r>
      <w:r>
        <w:rPr>
          <w:b/>
          <w:bCs/>
          <w:sz w:val="32"/>
          <w:szCs w:val="32"/>
        </w:rPr>
        <w:t xml:space="preserve"> -</w:t>
      </w:r>
      <w:r w:rsidR="000E3A40">
        <w:rPr>
          <w:b/>
          <w:bCs/>
          <w:sz w:val="32"/>
          <w:szCs w:val="32"/>
        </w:rPr>
        <w:t xml:space="preserve"> </w:t>
      </w:r>
      <w:bookmarkStart w:id="0" w:name="_GoBack"/>
      <w:bookmarkEnd w:id="0"/>
      <w:r w:rsidRPr="00EC6D87">
        <w:rPr>
          <w:b/>
          <w:bCs/>
          <w:sz w:val="32"/>
          <w:szCs w:val="32"/>
        </w:rPr>
        <w:t>Helene Parson</w:t>
      </w:r>
    </w:p>
    <w:p w14:paraId="2F7E15BA" w14:textId="6437DF21" w:rsidR="00B378DE" w:rsidRPr="00370360" w:rsidRDefault="00B378DE" w:rsidP="00B378DE">
      <w:pPr>
        <w:spacing w:before="240" w:after="240"/>
        <w:jc w:val="center"/>
        <w:rPr>
          <w:b/>
          <w:bCs/>
          <w:sz w:val="32"/>
          <w:szCs w:val="32"/>
        </w:rPr>
      </w:pPr>
      <w:r w:rsidRPr="00370360">
        <w:rPr>
          <w:b/>
          <w:bCs/>
          <w:sz w:val="32"/>
          <w:szCs w:val="32"/>
        </w:rPr>
        <w:t>Student Name –</w:t>
      </w:r>
      <w:r w:rsidR="00FC1173">
        <w:rPr>
          <w:b/>
          <w:bCs/>
          <w:sz w:val="32"/>
          <w:szCs w:val="32"/>
        </w:rPr>
        <w:t xml:space="preserve"> Serge Saidi</w:t>
      </w:r>
    </w:p>
    <w:p w14:paraId="13143A45" w14:textId="0D694D0C" w:rsidR="00B378DE" w:rsidRPr="00370360" w:rsidRDefault="00B378DE" w:rsidP="00B378DE">
      <w:pPr>
        <w:spacing w:before="240" w:after="240"/>
        <w:jc w:val="center"/>
        <w:rPr>
          <w:b/>
          <w:bCs/>
          <w:sz w:val="32"/>
          <w:szCs w:val="32"/>
        </w:rPr>
      </w:pPr>
      <w:r w:rsidRPr="00370360">
        <w:rPr>
          <w:b/>
          <w:bCs/>
          <w:sz w:val="32"/>
          <w:szCs w:val="32"/>
        </w:rPr>
        <w:t xml:space="preserve">Student Number – </w:t>
      </w:r>
      <w:r w:rsidR="00FC1173">
        <w:rPr>
          <w:b/>
          <w:bCs/>
          <w:sz w:val="32"/>
          <w:szCs w:val="32"/>
        </w:rPr>
        <w:t>2423011</w:t>
      </w:r>
    </w:p>
    <w:p w14:paraId="0A0C174D" w14:textId="77777777" w:rsidR="00B378DE" w:rsidRPr="00370360" w:rsidRDefault="00B378DE" w:rsidP="00B378DE">
      <w:pPr>
        <w:spacing w:before="240" w:after="240"/>
        <w:jc w:val="center"/>
        <w:rPr>
          <w:b/>
          <w:bCs/>
          <w:sz w:val="32"/>
          <w:szCs w:val="32"/>
        </w:rPr>
      </w:pPr>
      <w:r w:rsidRPr="00370360">
        <w:rPr>
          <w:b/>
          <w:bCs/>
          <w:sz w:val="32"/>
          <w:szCs w:val="32"/>
        </w:rPr>
        <w:t xml:space="preserve"> </w:t>
      </w:r>
    </w:p>
    <w:p w14:paraId="0CE69B39" w14:textId="77777777" w:rsidR="00B378DE" w:rsidRPr="00370360" w:rsidRDefault="00B378DE" w:rsidP="00B378DE">
      <w:pPr>
        <w:spacing w:before="240" w:after="240"/>
        <w:jc w:val="center"/>
        <w:rPr>
          <w:b/>
          <w:bCs/>
          <w:sz w:val="32"/>
          <w:szCs w:val="32"/>
        </w:rPr>
      </w:pPr>
      <w:r w:rsidRPr="00370360">
        <w:rPr>
          <w:b/>
          <w:bCs/>
          <w:sz w:val="32"/>
          <w:szCs w:val="32"/>
        </w:rPr>
        <w:t>Submission Date – Tuesday, 24th March 2026</w:t>
      </w:r>
    </w:p>
    <w:p w14:paraId="22697420" w14:textId="77777777" w:rsidR="00B378DE" w:rsidRPr="00370360" w:rsidRDefault="00B378DE" w:rsidP="00967D48">
      <w:pPr>
        <w:rPr>
          <w:b/>
          <w:bCs/>
          <w:sz w:val="32"/>
          <w:szCs w:val="32"/>
        </w:rPr>
      </w:pPr>
      <w:r w:rsidRPr="00370360">
        <w:br w:type="page"/>
      </w:r>
    </w:p>
    <w:p w14:paraId="28493AC1" w14:textId="77777777" w:rsidR="00C5031A" w:rsidRPr="00B21D10" w:rsidRDefault="00B378DE" w:rsidP="00B378DE">
      <w:pPr>
        <w:jc w:val="center"/>
        <w:rPr>
          <w:noProof/>
          <w:sz w:val="22"/>
          <w:szCs w:val="22"/>
        </w:rPr>
      </w:pPr>
      <w:r w:rsidRPr="00B21D10">
        <w:rPr>
          <w:b/>
          <w:bCs/>
          <w:sz w:val="22"/>
          <w:szCs w:val="22"/>
        </w:rPr>
        <w:lastRenderedPageBreak/>
        <w:t>Table of contents</w:t>
      </w:r>
      <w:r w:rsidR="00967D48" w:rsidRPr="00B21D10">
        <w:rPr>
          <w:b/>
          <w:bCs/>
          <w:sz w:val="22"/>
          <w:szCs w:val="22"/>
        </w:rPr>
        <w:fldChar w:fldCharType="begin"/>
      </w:r>
      <w:r w:rsidR="00967D48" w:rsidRPr="00B21D10">
        <w:rPr>
          <w:b/>
          <w:bCs/>
          <w:sz w:val="22"/>
          <w:szCs w:val="22"/>
        </w:rPr>
        <w:instrText xml:space="preserve"> TOC \o "1-3" \h \z \u </w:instrText>
      </w:r>
      <w:r w:rsidR="00967D48" w:rsidRPr="00B21D10">
        <w:rPr>
          <w:b/>
          <w:bCs/>
          <w:sz w:val="22"/>
          <w:szCs w:val="22"/>
        </w:rPr>
        <w:fldChar w:fldCharType="separate"/>
      </w:r>
    </w:p>
    <w:p w14:paraId="1C5FD21C" w14:textId="4F29ACDB" w:rsidR="00C5031A" w:rsidRPr="00B21D10" w:rsidRDefault="00200DE7" w:rsidP="00C5031A">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54" w:history="1">
        <w:r w:rsidR="00C5031A" w:rsidRPr="00B21D10">
          <w:rPr>
            <w:rStyle w:val="Hyperlink"/>
            <w:noProof/>
            <w:sz w:val="22"/>
            <w:szCs w:val="22"/>
          </w:rPr>
          <w:t>Part A: Annotated Bibliography</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_Toc224264654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3</w:t>
        </w:r>
        <w:r w:rsidR="00C5031A" w:rsidRPr="00B21D10">
          <w:rPr>
            <w:noProof/>
            <w:webHidden/>
            <w:sz w:val="22"/>
            <w:szCs w:val="22"/>
          </w:rPr>
          <w:fldChar w:fldCharType="end"/>
        </w:r>
      </w:hyperlink>
    </w:p>
    <w:p w14:paraId="230C4767" w14:textId="0566DC16" w:rsidR="00C5031A" w:rsidRPr="00B21D10" w:rsidRDefault="00200DE7" w:rsidP="00C5031A">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55" w:history="1">
        <w:r w:rsidR="00C5031A" w:rsidRPr="00B21D10">
          <w:rPr>
            <w:rStyle w:val="Hyperlink"/>
            <w:noProof/>
            <w:sz w:val="22"/>
            <w:szCs w:val="22"/>
          </w:rPr>
          <w:t>1. Source 1</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_Toc224264655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3</w:t>
        </w:r>
        <w:r w:rsidR="00C5031A" w:rsidRPr="00B21D10">
          <w:rPr>
            <w:noProof/>
            <w:webHidden/>
            <w:sz w:val="22"/>
            <w:szCs w:val="22"/>
          </w:rPr>
          <w:fldChar w:fldCharType="end"/>
        </w:r>
      </w:hyperlink>
    </w:p>
    <w:p w14:paraId="291BFBFB" w14:textId="244191E3" w:rsidR="00C5031A" w:rsidRPr="00B21D10" w:rsidRDefault="00200DE7" w:rsidP="00C5031A">
      <w:pPr>
        <w:pStyle w:val="TOC3"/>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56" w:history="1">
        <w:r w:rsidR="00C5031A" w:rsidRPr="00B21D10">
          <w:rPr>
            <w:rStyle w:val="Hyperlink"/>
            <w:noProof/>
            <w:sz w:val="22"/>
            <w:szCs w:val="22"/>
          </w:rPr>
          <w:t>a) Full UWTSD Reference</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_Toc224264656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3</w:t>
        </w:r>
        <w:r w:rsidR="00C5031A" w:rsidRPr="00B21D10">
          <w:rPr>
            <w:noProof/>
            <w:webHidden/>
            <w:sz w:val="22"/>
            <w:szCs w:val="22"/>
          </w:rPr>
          <w:fldChar w:fldCharType="end"/>
        </w:r>
      </w:hyperlink>
    </w:p>
    <w:p w14:paraId="319EA38D" w14:textId="79487E4E" w:rsidR="00C5031A" w:rsidRPr="00B21D10" w:rsidRDefault="00200DE7" w:rsidP="00C5031A">
      <w:pPr>
        <w:pStyle w:val="TOC3"/>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57" w:history="1">
        <w:r w:rsidR="00C5031A" w:rsidRPr="00B21D10">
          <w:rPr>
            <w:rStyle w:val="Hyperlink"/>
            <w:noProof/>
            <w:sz w:val="22"/>
            <w:szCs w:val="22"/>
          </w:rPr>
          <w:t>b) Summary</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_Toc224264657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3</w:t>
        </w:r>
        <w:r w:rsidR="00C5031A" w:rsidRPr="00B21D10">
          <w:rPr>
            <w:noProof/>
            <w:webHidden/>
            <w:sz w:val="22"/>
            <w:szCs w:val="22"/>
          </w:rPr>
          <w:fldChar w:fldCharType="end"/>
        </w:r>
      </w:hyperlink>
    </w:p>
    <w:p w14:paraId="2DF52A1F" w14:textId="5DA07B04" w:rsidR="00C5031A" w:rsidRPr="00B21D10" w:rsidRDefault="00200DE7" w:rsidP="00C5031A">
      <w:pPr>
        <w:pStyle w:val="TOC3"/>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58" w:history="1">
        <w:r w:rsidR="00C5031A" w:rsidRPr="00B21D10">
          <w:rPr>
            <w:rStyle w:val="Hyperlink"/>
            <w:noProof/>
            <w:sz w:val="22"/>
            <w:szCs w:val="22"/>
          </w:rPr>
          <w:t>c) Critical comment</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_Toc224264658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3</w:t>
        </w:r>
        <w:r w:rsidR="00C5031A" w:rsidRPr="00B21D10">
          <w:rPr>
            <w:noProof/>
            <w:webHidden/>
            <w:sz w:val="22"/>
            <w:szCs w:val="22"/>
          </w:rPr>
          <w:fldChar w:fldCharType="end"/>
        </w:r>
      </w:hyperlink>
    </w:p>
    <w:p w14:paraId="315DAF32" w14:textId="30582EDE" w:rsidR="00C5031A" w:rsidRPr="00B21D10" w:rsidRDefault="00200DE7" w:rsidP="00C5031A">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59" w:history="1">
        <w:r w:rsidR="00C5031A" w:rsidRPr="00B21D10">
          <w:rPr>
            <w:rStyle w:val="Hyperlink"/>
            <w:noProof/>
            <w:sz w:val="22"/>
            <w:szCs w:val="22"/>
          </w:rPr>
          <w:t>2. Source 2</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_Toc224264659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3</w:t>
        </w:r>
        <w:r w:rsidR="00C5031A" w:rsidRPr="00B21D10">
          <w:rPr>
            <w:noProof/>
            <w:webHidden/>
            <w:sz w:val="22"/>
            <w:szCs w:val="22"/>
          </w:rPr>
          <w:fldChar w:fldCharType="end"/>
        </w:r>
      </w:hyperlink>
    </w:p>
    <w:p w14:paraId="7216D306" w14:textId="341F15BD" w:rsidR="00C5031A" w:rsidRPr="00B21D10" w:rsidRDefault="00200DE7" w:rsidP="00C5031A">
      <w:pPr>
        <w:pStyle w:val="TOC3"/>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60" w:history="1">
        <w:r w:rsidR="00C5031A" w:rsidRPr="00B21D10">
          <w:rPr>
            <w:rStyle w:val="Hyperlink"/>
            <w:noProof/>
            <w:sz w:val="22"/>
            <w:szCs w:val="22"/>
          </w:rPr>
          <w:t>a) Full UWTSD Reference</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_Toc224264660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3</w:t>
        </w:r>
        <w:r w:rsidR="00C5031A" w:rsidRPr="00B21D10">
          <w:rPr>
            <w:noProof/>
            <w:webHidden/>
            <w:sz w:val="22"/>
            <w:szCs w:val="22"/>
          </w:rPr>
          <w:fldChar w:fldCharType="end"/>
        </w:r>
      </w:hyperlink>
    </w:p>
    <w:p w14:paraId="70AA806B" w14:textId="1EB0C2BF" w:rsidR="00C5031A" w:rsidRPr="00B21D10" w:rsidRDefault="00200DE7" w:rsidP="00C5031A">
      <w:pPr>
        <w:pStyle w:val="TOC3"/>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61" w:history="1">
        <w:r w:rsidR="00C5031A" w:rsidRPr="00B21D10">
          <w:rPr>
            <w:rStyle w:val="Hyperlink"/>
            <w:noProof/>
            <w:sz w:val="22"/>
            <w:szCs w:val="22"/>
          </w:rPr>
          <w:t>b) Summary</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_Toc224264661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4</w:t>
        </w:r>
        <w:r w:rsidR="00C5031A" w:rsidRPr="00B21D10">
          <w:rPr>
            <w:noProof/>
            <w:webHidden/>
            <w:sz w:val="22"/>
            <w:szCs w:val="22"/>
          </w:rPr>
          <w:fldChar w:fldCharType="end"/>
        </w:r>
      </w:hyperlink>
    </w:p>
    <w:p w14:paraId="580D70CC" w14:textId="71031018" w:rsidR="00C5031A" w:rsidRPr="00B21D10" w:rsidRDefault="00200DE7" w:rsidP="00C5031A">
      <w:pPr>
        <w:pStyle w:val="TOC3"/>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62" w:history="1">
        <w:r w:rsidR="00C5031A" w:rsidRPr="00B21D10">
          <w:rPr>
            <w:rStyle w:val="Hyperlink"/>
            <w:noProof/>
            <w:sz w:val="22"/>
            <w:szCs w:val="22"/>
          </w:rPr>
          <w:t>c) Critical comment</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_Toc224264662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4</w:t>
        </w:r>
        <w:r w:rsidR="00C5031A" w:rsidRPr="00B21D10">
          <w:rPr>
            <w:noProof/>
            <w:webHidden/>
            <w:sz w:val="22"/>
            <w:szCs w:val="22"/>
          </w:rPr>
          <w:fldChar w:fldCharType="end"/>
        </w:r>
      </w:hyperlink>
    </w:p>
    <w:p w14:paraId="16AD198E" w14:textId="51B79D3E" w:rsidR="00C5031A" w:rsidRPr="00B21D10" w:rsidRDefault="00200DE7" w:rsidP="00C5031A">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63" w:history="1">
        <w:r w:rsidR="00C5031A" w:rsidRPr="00B21D10">
          <w:rPr>
            <w:rStyle w:val="Hyperlink"/>
            <w:noProof/>
            <w:sz w:val="22"/>
            <w:szCs w:val="22"/>
          </w:rPr>
          <w:t>3. Source 3</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_Toc224264663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4</w:t>
        </w:r>
        <w:r w:rsidR="00C5031A" w:rsidRPr="00B21D10">
          <w:rPr>
            <w:noProof/>
            <w:webHidden/>
            <w:sz w:val="22"/>
            <w:szCs w:val="22"/>
          </w:rPr>
          <w:fldChar w:fldCharType="end"/>
        </w:r>
      </w:hyperlink>
    </w:p>
    <w:p w14:paraId="09BA0F17" w14:textId="19A796E5" w:rsidR="00C5031A" w:rsidRPr="00B21D10" w:rsidRDefault="00200DE7" w:rsidP="00C5031A">
      <w:pPr>
        <w:pStyle w:val="TOC3"/>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64" w:history="1">
        <w:r w:rsidR="00C5031A" w:rsidRPr="00B21D10">
          <w:rPr>
            <w:rStyle w:val="Hyperlink"/>
            <w:noProof/>
            <w:sz w:val="22"/>
            <w:szCs w:val="22"/>
          </w:rPr>
          <w:t>a) Full UWTSD Reference</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_Toc224264664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4</w:t>
        </w:r>
        <w:r w:rsidR="00C5031A" w:rsidRPr="00B21D10">
          <w:rPr>
            <w:noProof/>
            <w:webHidden/>
            <w:sz w:val="22"/>
            <w:szCs w:val="22"/>
          </w:rPr>
          <w:fldChar w:fldCharType="end"/>
        </w:r>
      </w:hyperlink>
    </w:p>
    <w:p w14:paraId="41E1A92A" w14:textId="40B7EE2D" w:rsidR="00C5031A" w:rsidRPr="00B21D10" w:rsidRDefault="00200DE7" w:rsidP="00C5031A">
      <w:pPr>
        <w:pStyle w:val="TOC3"/>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65" w:history="1">
        <w:r w:rsidR="00C5031A" w:rsidRPr="00B21D10">
          <w:rPr>
            <w:rStyle w:val="Hyperlink"/>
            <w:noProof/>
            <w:sz w:val="22"/>
            <w:szCs w:val="22"/>
          </w:rPr>
          <w:t>b) Summary</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_Toc224264665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4</w:t>
        </w:r>
        <w:r w:rsidR="00C5031A" w:rsidRPr="00B21D10">
          <w:rPr>
            <w:noProof/>
            <w:webHidden/>
            <w:sz w:val="22"/>
            <w:szCs w:val="22"/>
          </w:rPr>
          <w:fldChar w:fldCharType="end"/>
        </w:r>
      </w:hyperlink>
    </w:p>
    <w:p w14:paraId="092398DD" w14:textId="091E1F61" w:rsidR="00C5031A" w:rsidRPr="00B21D10" w:rsidRDefault="00200DE7" w:rsidP="00C5031A">
      <w:pPr>
        <w:pStyle w:val="TOC3"/>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66" w:history="1">
        <w:r w:rsidR="00C5031A" w:rsidRPr="00B21D10">
          <w:rPr>
            <w:rStyle w:val="Hyperlink"/>
            <w:noProof/>
            <w:sz w:val="22"/>
            <w:szCs w:val="22"/>
          </w:rPr>
          <w:t>c) Critical comment</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_Toc224264666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5</w:t>
        </w:r>
        <w:r w:rsidR="00C5031A" w:rsidRPr="00B21D10">
          <w:rPr>
            <w:noProof/>
            <w:webHidden/>
            <w:sz w:val="22"/>
            <w:szCs w:val="22"/>
          </w:rPr>
          <w:fldChar w:fldCharType="end"/>
        </w:r>
      </w:hyperlink>
    </w:p>
    <w:p w14:paraId="35ABF947" w14:textId="03453AC3" w:rsidR="00C5031A" w:rsidRPr="00B21D10" w:rsidRDefault="00200DE7" w:rsidP="00C5031A">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67" w:history="1">
        <w:r w:rsidR="00C5031A" w:rsidRPr="00B21D10">
          <w:rPr>
            <w:rStyle w:val="Hyperlink"/>
            <w:noProof/>
            <w:sz w:val="22"/>
            <w:szCs w:val="22"/>
          </w:rPr>
          <w:t>4. Source 4</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_Toc224264667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5</w:t>
        </w:r>
        <w:r w:rsidR="00C5031A" w:rsidRPr="00B21D10">
          <w:rPr>
            <w:noProof/>
            <w:webHidden/>
            <w:sz w:val="22"/>
            <w:szCs w:val="22"/>
          </w:rPr>
          <w:fldChar w:fldCharType="end"/>
        </w:r>
      </w:hyperlink>
    </w:p>
    <w:p w14:paraId="2186EBF7" w14:textId="2703AA08" w:rsidR="00C5031A" w:rsidRPr="00B21D10" w:rsidRDefault="00200DE7" w:rsidP="00C5031A">
      <w:pPr>
        <w:pStyle w:val="TOC3"/>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68" w:history="1">
        <w:r w:rsidR="00C5031A" w:rsidRPr="00B21D10">
          <w:rPr>
            <w:rStyle w:val="Hyperlink"/>
            <w:noProof/>
            <w:sz w:val="22"/>
            <w:szCs w:val="22"/>
          </w:rPr>
          <w:t>a) Full UWTSD Reference</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_Toc224264668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5</w:t>
        </w:r>
        <w:r w:rsidR="00C5031A" w:rsidRPr="00B21D10">
          <w:rPr>
            <w:noProof/>
            <w:webHidden/>
            <w:sz w:val="22"/>
            <w:szCs w:val="22"/>
          </w:rPr>
          <w:fldChar w:fldCharType="end"/>
        </w:r>
      </w:hyperlink>
    </w:p>
    <w:p w14:paraId="50172E08" w14:textId="2E074E3F" w:rsidR="00C5031A" w:rsidRPr="00B21D10" w:rsidRDefault="00200DE7" w:rsidP="00C5031A">
      <w:pPr>
        <w:pStyle w:val="TOC3"/>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69" w:history="1">
        <w:r w:rsidR="00C5031A" w:rsidRPr="00B21D10">
          <w:rPr>
            <w:rStyle w:val="Hyperlink"/>
            <w:noProof/>
            <w:sz w:val="22"/>
            <w:szCs w:val="22"/>
          </w:rPr>
          <w:t>b) Summary</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_Toc224264669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5</w:t>
        </w:r>
        <w:r w:rsidR="00C5031A" w:rsidRPr="00B21D10">
          <w:rPr>
            <w:noProof/>
            <w:webHidden/>
            <w:sz w:val="22"/>
            <w:szCs w:val="22"/>
          </w:rPr>
          <w:fldChar w:fldCharType="end"/>
        </w:r>
      </w:hyperlink>
    </w:p>
    <w:p w14:paraId="244DD7CD" w14:textId="78E68FE4" w:rsidR="00C5031A" w:rsidRPr="00B21D10" w:rsidRDefault="00200DE7" w:rsidP="00C5031A">
      <w:pPr>
        <w:pStyle w:val="TOC3"/>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70" w:history="1">
        <w:r w:rsidR="00C5031A" w:rsidRPr="00B21D10">
          <w:rPr>
            <w:rStyle w:val="Hyperlink"/>
            <w:noProof/>
            <w:sz w:val="22"/>
            <w:szCs w:val="22"/>
          </w:rPr>
          <w:t>c) Critical comment</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_Toc224264670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5</w:t>
        </w:r>
        <w:r w:rsidR="00C5031A" w:rsidRPr="00B21D10">
          <w:rPr>
            <w:noProof/>
            <w:webHidden/>
            <w:sz w:val="22"/>
            <w:szCs w:val="22"/>
          </w:rPr>
          <w:fldChar w:fldCharType="end"/>
        </w:r>
      </w:hyperlink>
    </w:p>
    <w:p w14:paraId="595CA6B7" w14:textId="4DFE6F2D" w:rsidR="00C5031A" w:rsidRPr="00B21D10" w:rsidRDefault="00200DE7" w:rsidP="00C5031A">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71" w:history="1">
        <w:r w:rsidR="00C5031A" w:rsidRPr="00B21D10">
          <w:rPr>
            <w:rStyle w:val="Hyperlink"/>
            <w:noProof/>
            <w:sz w:val="22"/>
            <w:szCs w:val="22"/>
          </w:rPr>
          <w:t>Part B: Short Report</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_Toc224264671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6</w:t>
        </w:r>
        <w:r w:rsidR="00C5031A" w:rsidRPr="00B21D10">
          <w:rPr>
            <w:noProof/>
            <w:webHidden/>
            <w:sz w:val="22"/>
            <w:szCs w:val="22"/>
          </w:rPr>
          <w:fldChar w:fldCharType="end"/>
        </w:r>
      </w:hyperlink>
    </w:p>
    <w:p w14:paraId="5274B31D" w14:textId="41B66860" w:rsidR="00C5031A" w:rsidRPr="00B21D10" w:rsidRDefault="00200DE7" w:rsidP="00C5031A">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72" w:history="1">
        <w:r w:rsidR="00C5031A" w:rsidRPr="00B21D10">
          <w:rPr>
            <w:rStyle w:val="Hyperlink"/>
            <w:noProof/>
            <w:sz w:val="22"/>
            <w:szCs w:val="22"/>
          </w:rPr>
          <w:t>Assessment of the theory along with the application in well-being of older adults</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_Toc224264672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6</w:t>
        </w:r>
        <w:r w:rsidR="00C5031A" w:rsidRPr="00B21D10">
          <w:rPr>
            <w:noProof/>
            <w:webHidden/>
            <w:sz w:val="22"/>
            <w:szCs w:val="22"/>
          </w:rPr>
          <w:fldChar w:fldCharType="end"/>
        </w:r>
      </w:hyperlink>
    </w:p>
    <w:p w14:paraId="62084A4E" w14:textId="57B8ABE3" w:rsidR="00C5031A" w:rsidRPr="00B21D10" w:rsidRDefault="00200DE7" w:rsidP="00C5031A">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73" w:history="1">
        <w:r w:rsidR="00C5031A" w:rsidRPr="00B21D10">
          <w:rPr>
            <w:rStyle w:val="Hyperlink"/>
            <w:noProof/>
            <w:sz w:val="22"/>
            <w:szCs w:val="22"/>
          </w:rPr>
          <w:t>Evaluation of a case study</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_Toc224264673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7</w:t>
        </w:r>
        <w:r w:rsidR="00C5031A" w:rsidRPr="00B21D10">
          <w:rPr>
            <w:noProof/>
            <w:webHidden/>
            <w:sz w:val="22"/>
            <w:szCs w:val="22"/>
          </w:rPr>
          <w:fldChar w:fldCharType="end"/>
        </w:r>
      </w:hyperlink>
    </w:p>
    <w:p w14:paraId="73178C51" w14:textId="3D69F2D3" w:rsidR="00C5031A" w:rsidRPr="00B21D10" w:rsidRDefault="00200DE7" w:rsidP="00C5031A">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74" w:history="1">
        <w:r w:rsidR="00C5031A" w:rsidRPr="00B21D10">
          <w:rPr>
            <w:rStyle w:val="Hyperlink"/>
            <w:noProof/>
            <w:sz w:val="22"/>
            <w:szCs w:val="22"/>
          </w:rPr>
          <w:t>Identification of a challenge and strategy of resolving issue</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_Toc224264674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7</w:t>
        </w:r>
        <w:r w:rsidR="00C5031A" w:rsidRPr="00B21D10">
          <w:rPr>
            <w:noProof/>
            <w:webHidden/>
            <w:sz w:val="22"/>
            <w:szCs w:val="22"/>
          </w:rPr>
          <w:fldChar w:fldCharType="end"/>
        </w:r>
      </w:hyperlink>
    </w:p>
    <w:p w14:paraId="696EF489" w14:textId="115DB40B" w:rsidR="00C5031A" w:rsidRPr="00B21D10" w:rsidRDefault="00200DE7" w:rsidP="00C5031A">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224264675" w:history="1">
        <w:r w:rsidR="00C5031A" w:rsidRPr="00B21D10">
          <w:rPr>
            <w:rStyle w:val="Hyperlink"/>
            <w:noProof/>
            <w:sz w:val="22"/>
            <w:szCs w:val="22"/>
          </w:rPr>
          <w:t>Reference</w:t>
        </w:r>
        <w:r w:rsidR="00C5031A" w:rsidRPr="00B21D10">
          <w:rPr>
            <w:noProof/>
            <w:webHidden/>
            <w:sz w:val="22"/>
            <w:szCs w:val="22"/>
          </w:rPr>
          <w:tab/>
        </w:r>
        <w:r w:rsidR="00C5031A" w:rsidRPr="00B21D10">
          <w:rPr>
            <w:noProof/>
            <w:webHidden/>
            <w:sz w:val="22"/>
            <w:szCs w:val="22"/>
          </w:rPr>
          <w:fldChar w:fldCharType="begin"/>
        </w:r>
        <w:r w:rsidR="00C5031A" w:rsidRPr="00B21D10">
          <w:rPr>
            <w:noProof/>
            <w:webHidden/>
            <w:sz w:val="22"/>
            <w:szCs w:val="22"/>
          </w:rPr>
          <w:instrText xml:space="preserve"> PAGEREF _Toc224264675 \h </w:instrText>
        </w:r>
        <w:r w:rsidR="00C5031A" w:rsidRPr="00B21D10">
          <w:rPr>
            <w:noProof/>
            <w:webHidden/>
            <w:sz w:val="22"/>
            <w:szCs w:val="22"/>
          </w:rPr>
        </w:r>
        <w:r w:rsidR="00C5031A" w:rsidRPr="00B21D10">
          <w:rPr>
            <w:noProof/>
            <w:webHidden/>
            <w:sz w:val="22"/>
            <w:szCs w:val="22"/>
          </w:rPr>
          <w:fldChar w:fldCharType="separate"/>
        </w:r>
        <w:r w:rsidR="00C5031A" w:rsidRPr="00B21D10">
          <w:rPr>
            <w:noProof/>
            <w:webHidden/>
            <w:sz w:val="22"/>
            <w:szCs w:val="22"/>
          </w:rPr>
          <w:t>9</w:t>
        </w:r>
        <w:r w:rsidR="00C5031A" w:rsidRPr="00B21D10">
          <w:rPr>
            <w:noProof/>
            <w:webHidden/>
            <w:sz w:val="22"/>
            <w:szCs w:val="22"/>
          </w:rPr>
          <w:fldChar w:fldCharType="end"/>
        </w:r>
      </w:hyperlink>
    </w:p>
    <w:p w14:paraId="4298A559" w14:textId="6398D695" w:rsidR="00B378DE" w:rsidRPr="00370360" w:rsidRDefault="00967D48" w:rsidP="00B378DE">
      <w:pPr>
        <w:jc w:val="center"/>
        <w:rPr>
          <w:b/>
          <w:bCs/>
        </w:rPr>
      </w:pPr>
      <w:r w:rsidRPr="00B21D10">
        <w:rPr>
          <w:b/>
          <w:bCs/>
          <w:sz w:val="22"/>
          <w:szCs w:val="22"/>
        </w:rPr>
        <w:fldChar w:fldCharType="end"/>
      </w:r>
    </w:p>
    <w:p w14:paraId="750C2A3C" w14:textId="77777777" w:rsidR="00B378DE" w:rsidRPr="00370360" w:rsidRDefault="00B378DE" w:rsidP="00B378DE">
      <w:pPr>
        <w:rPr>
          <w:b/>
          <w:bCs/>
        </w:rPr>
      </w:pPr>
      <w:r w:rsidRPr="00370360">
        <w:br w:type="page"/>
      </w:r>
    </w:p>
    <w:p w14:paraId="6B56B24B" w14:textId="77777777" w:rsidR="00C91A8F" w:rsidRPr="00C6589E" w:rsidRDefault="00C91A8F" w:rsidP="00C40776">
      <w:pPr>
        <w:pStyle w:val="Heading1"/>
      </w:pPr>
      <w:bookmarkStart w:id="1" w:name="_Toc224264654"/>
      <w:r w:rsidRPr="00C6589E">
        <w:lastRenderedPageBreak/>
        <w:t>Part A: Annotated Bibliography</w:t>
      </w:r>
      <w:bookmarkEnd w:id="1"/>
    </w:p>
    <w:p w14:paraId="7802E114" w14:textId="77777777" w:rsidR="00C91A8F" w:rsidRPr="00C6589E" w:rsidRDefault="00C91A8F" w:rsidP="00C40776">
      <w:pPr>
        <w:pStyle w:val="Heading2"/>
      </w:pPr>
      <w:bookmarkStart w:id="2" w:name="_Toc224264655"/>
      <w:r w:rsidRPr="00C6589E">
        <w:t>1. Source 1</w:t>
      </w:r>
      <w:bookmarkEnd w:id="2"/>
    </w:p>
    <w:p w14:paraId="2181A398" w14:textId="77777777" w:rsidR="00C91A8F" w:rsidRPr="00C6589E" w:rsidRDefault="00C91A8F" w:rsidP="00C40776">
      <w:pPr>
        <w:pStyle w:val="Heading3"/>
      </w:pPr>
      <w:bookmarkStart w:id="3" w:name="_Toc224264656"/>
      <w:r w:rsidRPr="00C6589E">
        <w:t>a) Full UWTSD Reference</w:t>
      </w:r>
      <w:bookmarkEnd w:id="3"/>
    </w:p>
    <w:p w14:paraId="056DC448" w14:textId="77777777" w:rsidR="00C91A8F" w:rsidRPr="00C6589E" w:rsidRDefault="00C91A8F" w:rsidP="00C91A8F">
      <w:pPr>
        <w:rPr>
          <w:b/>
          <w:bCs/>
          <w:sz w:val="22"/>
          <w:szCs w:val="22"/>
        </w:rPr>
      </w:pPr>
      <w:r w:rsidRPr="00C6589E">
        <w:rPr>
          <w:sz w:val="22"/>
          <w:szCs w:val="22"/>
          <w:highlight w:val="white"/>
        </w:rPr>
        <w:t xml:space="preserve">Stelcer, B., Bendowska, A., Karkowska, D. and Baum, E., (2023). Supporting elderly patients in strengthening their personal and spiritual health resources. </w:t>
      </w:r>
      <w:r w:rsidRPr="00C6589E">
        <w:rPr>
          <w:i/>
          <w:iCs/>
          <w:sz w:val="22"/>
          <w:szCs w:val="22"/>
          <w:highlight w:val="white"/>
        </w:rPr>
        <w:t>Frontiers in psychology</w:t>
      </w:r>
      <w:r w:rsidRPr="00C6589E">
        <w:rPr>
          <w:sz w:val="22"/>
          <w:szCs w:val="22"/>
          <w:highlight w:val="white"/>
        </w:rPr>
        <w:t xml:space="preserve">, </w:t>
      </w:r>
      <w:r w:rsidRPr="00C6589E">
        <w:rPr>
          <w:i/>
          <w:iCs/>
          <w:sz w:val="22"/>
          <w:szCs w:val="22"/>
          <w:highlight w:val="white"/>
        </w:rPr>
        <w:t>14</w:t>
      </w:r>
      <w:r w:rsidRPr="00C6589E">
        <w:rPr>
          <w:sz w:val="22"/>
          <w:szCs w:val="22"/>
          <w:highlight w:val="white"/>
        </w:rPr>
        <w:t xml:space="preserve">, p.1237138. </w:t>
      </w:r>
      <w:hyperlink r:id="rId9">
        <w:r w:rsidRPr="00C6589E">
          <w:rPr>
            <w:color w:val="1155CC"/>
            <w:sz w:val="22"/>
            <w:szCs w:val="22"/>
            <w:highlight w:val="white"/>
            <w:u w:val="single"/>
          </w:rPr>
          <w:t>https://doi.org/10.3389/feduc.2023.1228905</w:t>
        </w:r>
      </w:hyperlink>
      <w:r w:rsidRPr="00C6589E">
        <w:rPr>
          <w:sz w:val="22"/>
          <w:szCs w:val="22"/>
          <w:highlight w:val="white"/>
        </w:rPr>
        <w:t xml:space="preserve"> </w:t>
      </w:r>
    </w:p>
    <w:p w14:paraId="5F0FAB43" w14:textId="77777777" w:rsidR="00C91A8F" w:rsidRPr="00C6589E" w:rsidRDefault="00C91A8F" w:rsidP="00C40776">
      <w:pPr>
        <w:pStyle w:val="Heading3"/>
      </w:pPr>
      <w:bookmarkStart w:id="4" w:name="_Toc224264657"/>
      <w:r w:rsidRPr="00C6589E">
        <w:t>b) Summary</w:t>
      </w:r>
      <w:bookmarkEnd w:id="4"/>
    </w:p>
    <w:p w14:paraId="772A1083" w14:textId="77777777" w:rsidR="00C91A8F" w:rsidRPr="00C6589E" w:rsidRDefault="00C91A8F" w:rsidP="00C91A8F">
      <w:pPr>
        <w:rPr>
          <w:sz w:val="22"/>
          <w:szCs w:val="22"/>
        </w:rPr>
      </w:pPr>
      <w:r w:rsidRPr="00C6589E">
        <w:rPr>
          <w:sz w:val="22"/>
          <w:szCs w:val="22"/>
        </w:rPr>
        <w:t xml:space="preserve">The research of </w:t>
      </w:r>
      <w:r w:rsidRPr="00C6589E">
        <w:rPr>
          <w:sz w:val="22"/>
          <w:szCs w:val="22"/>
          <w:highlight w:val="white"/>
        </w:rPr>
        <w:t xml:space="preserve">Stelcer </w:t>
      </w:r>
      <w:r w:rsidRPr="00C6589E">
        <w:rPr>
          <w:i/>
          <w:iCs/>
          <w:sz w:val="22"/>
          <w:szCs w:val="22"/>
          <w:highlight w:val="white"/>
        </w:rPr>
        <w:t>et al.</w:t>
      </w:r>
      <w:r w:rsidRPr="00C6589E">
        <w:rPr>
          <w:sz w:val="22"/>
          <w:szCs w:val="22"/>
          <w:highlight w:val="white"/>
        </w:rPr>
        <w:t xml:space="preserve"> </w:t>
      </w:r>
      <w:r w:rsidRPr="00C6589E">
        <w:rPr>
          <w:sz w:val="22"/>
          <w:szCs w:val="22"/>
        </w:rPr>
        <w:t>(2023), argues that the treatment plan of elderly patients needs to focus on physical symptoms, along with social, psychological as well as spiritual dimension. In addition, this research evaluates that the difference between spiritual practices like meditation helps in managing the anxiety, life-threatening diseases and reducing stress among elderly patients. Furthermore, the Psychosocial Model of Erikson has been used in this research that supports the integration of social, biological, spiritual and psychological aspects during the development of care plans.</w:t>
      </w:r>
    </w:p>
    <w:p w14:paraId="23C8765D" w14:textId="77777777" w:rsidR="00C91A8F" w:rsidRPr="00C6589E" w:rsidRDefault="00C91A8F" w:rsidP="00C40776">
      <w:pPr>
        <w:pStyle w:val="Heading3"/>
      </w:pPr>
      <w:bookmarkStart w:id="5" w:name="_Toc224264658"/>
      <w:r w:rsidRPr="00C6589E">
        <w:t>c) Critical comment</w:t>
      </w:r>
      <w:bookmarkEnd w:id="5"/>
    </w:p>
    <w:p w14:paraId="5C71A287" w14:textId="77777777" w:rsidR="00C91A8F" w:rsidRPr="00C6589E" w:rsidRDefault="00C91A8F" w:rsidP="00C91A8F">
      <w:pPr>
        <w:rPr>
          <w:sz w:val="22"/>
          <w:szCs w:val="22"/>
        </w:rPr>
      </w:pPr>
      <w:r w:rsidRPr="00C6589E">
        <w:rPr>
          <w:sz w:val="22"/>
          <w:szCs w:val="22"/>
        </w:rPr>
        <w:t>This article is beneficial for evaluating the older adult by using a proper holistic framework that focuses on developing a well-being plan by using spiritual, social, psychological and physical aspects. The practical recommendations for palliative and geriatric care for healthcare professionals in this article act as the strength. In contrast, over-emphasis on the spiritual perspective reduces the applicability of the findings for elderly patients with less belief in spirituality. Moreover, the professionals associated with social care can use this article to encourage the elderly patients for reflecting about values, beliefs and life experiences that are crucial to boosting confidence.</w:t>
      </w:r>
    </w:p>
    <w:p w14:paraId="0E74FF98" w14:textId="77777777" w:rsidR="00C91A8F" w:rsidRPr="00C6589E" w:rsidRDefault="00C91A8F" w:rsidP="00C40776">
      <w:pPr>
        <w:pStyle w:val="Heading2"/>
      </w:pPr>
      <w:bookmarkStart w:id="6" w:name="_Toc224264659"/>
      <w:r w:rsidRPr="00C6589E">
        <w:t>2. Source 2</w:t>
      </w:r>
      <w:bookmarkEnd w:id="6"/>
    </w:p>
    <w:p w14:paraId="397E28EF" w14:textId="77777777" w:rsidR="00C91A8F" w:rsidRPr="00C6589E" w:rsidRDefault="00C91A8F" w:rsidP="00C40776">
      <w:pPr>
        <w:pStyle w:val="Heading3"/>
      </w:pPr>
      <w:bookmarkStart w:id="7" w:name="_Toc224264660"/>
      <w:r w:rsidRPr="00C6589E">
        <w:t>a) Full UWTSD Reference</w:t>
      </w:r>
      <w:bookmarkEnd w:id="7"/>
    </w:p>
    <w:p w14:paraId="37F533F0" w14:textId="77777777" w:rsidR="00C91A8F" w:rsidRPr="00C6589E" w:rsidRDefault="00C91A8F" w:rsidP="00C91A8F">
      <w:pPr>
        <w:rPr>
          <w:b/>
          <w:bCs/>
          <w:sz w:val="22"/>
          <w:szCs w:val="22"/>
        </w:rPr>
      </w:pPr>
      <w:r w:rsidRPr="00C6589E">
        <w:rPr>
          <w:sz w:val="22"/>
          <w:szCs w:val="22"/>
          <w:highlight w:val="white"/>
        </w:rPr>
        <w:t xml:space="preserve">Meredith, S.J., Cox, N.J., Ibrahim, K., Higson, J., McNiff, J., Mitchell, S., Rutherford, M., Wijayendran, A., Shenkin, S.D., Kilgour, A.H. and Lim, S.E., (2023). Factors that influence older adults’ participation in physical activity: a systematic review of qualitative studies. </w:t>
      </w:r>
      <w:r w:rsidRPr="00C6589E">
        <w:rPr>
          <w:i/>
          <w:iCs/>
          <w:sz w:val="22"/>
          <w:szCs w:val="22"/>
          <w:highlight w:val="white"/>
        </w:rPr>
        <w:t>Age and ageing</w:t>
      </w:r>
      <w:r w:rsidRPr="00C6589E">
        <w:rPr>
          <w:sz w:val="22"/>
          <w:szCs w:val="22"/>
          <w:highlight w:val="white"/>
        </w:rPr>
        <w:t xml:space="preserve">, </w:t>
      </w:r>
      <w:r w:rsidRPr="00C6589E">
        <w:rPr>
          <w:i/>
          <w:iCs/>
          <w:sz w:val="22"/>
          <w:szCs w:val="22"/>
          <w:highlight w:val="white"/>
        </w:rPr>
        <w:t>52</w:t>
      </w:r>
      <w:r w:rsidRPr="00C6589E">
        <w:rPr>
          <w:sz w:val="22"/>
          <w:szCs w:val="22"/>
          <w:highlight w:val="white"/>
        </w:rPr>
        <w:t xml:space="preserve">(8), p.afad145. </w:t>
      </w:r>
      <w:hyperlink r:id="rId10">
        <w:r w:rsidRPr="00C6589E">
          <w:rPr>
            <w:color w:val="1155CC"/>
            <w:sz w:val="22"/>
            <w:szCs w:val="22"/>
            <w:highlight w:val="white"/>
            <w:u w:val="single"/>
          </w:rPr>
          <w:t>https://doi.org/10.1093/ageing/afad145</w:t>
        </w:r>
      </w:hyperlink>
      <w:r w:rsidRPr="00C6589E">
        <w:rPr>
          <w:color w:val="222222"/>
          <w:sz w:val="22"/>
          <w:szCs w:val="22"/>
          <w:highlight w:val="white"/>
        </w:rPr>
        <w:t xml:space="preserve"> </w:t>
      </w:r>
    </w:p>
    <w:p w14:paraId="54D6533B" w14:textId="77777777" w:rsidR="00C91A8F" w:rsidRPr="00C6589E" w:rsidRDefault="00C91A8F" w:rsidP="00C40776">
      <w:pPr>
        <w:pStyle w:val="Heading3"/>
      </w:pPr>
      <w:bookmarkStart w:id="8" w:name="_Toc224264661"/>
      <w:r w:rsidRPr="00C6589E">
        <w:lastRenderedPageBreak/>
        <w:t>b) Summary</w:t>
      </w:r>
      <w:bookmarkEnd w:id="8"/>
    </w:p>
    <w:p w14:paraId="3D43DE7E" w14:textId="77777777" w:rsidR="00C91A8F" w:rsidRPr="00C6589E" w:rsidRDefault="00C91A8F" w:rsidP="00C91A8F">
      <w:pPr>
        <w:rPr>
          <w:sz w:val="22"/>
          <w:szCs w:val="22"/>
        </w:rPr>
      </w:pPr>
      <w:r w:rsidRPr="00C6589E">
        <w:rPr>
          <w:sz w:val="22"/>
          <w:szCs w:val="22"/>
        </w:rPr>
        <w:t xml:space="preserve">In this research of </w:t>
      </w:r>
      <w:r w:rsidRPr="00C6589E">
        <w:rPr>
          <w:sz w:val="22"/>
          <w:szCs w:val="22"/>
          <w:highlight w:val="white"/>
        </w:rPr>
        <w:t xml:space="preserve">Meredith </w:t>
      </w:r>
      <w:r w:rsidRPr="00C6589E">
        <w:rPr>
          <w:i/>
          <w:iCs/>
          <w:sz w:val="22"/>
          <w:szCs w:val="22"/>
          <w:highlight w:val="white"/>
        </w:rPr>
        <w:t>et al.</w:t>
      </w:r>
      <w:r w:rsidRPr="00C6589E">
        <w:rPr>
          <w:sz w:val="22"/>
          <w:szCs w:val="22"/>
          <w:highlight w:val="white"/>
        </w:rPr>
        <w:t xml:space="preserve"> </w:t>
      </w:r>
      <w:r w:rsidRPr="00C6589E">
        <w:rPr>
          <w:sz w:val="22"/>
          <w:szCs w:val="22"/>
        </w:rPr>
        <w:t>(2023), argues about the effectiveness of physical activity for well-being of older adults and focuses on the environmental, social and personal factors that influence these activities. In this research, Positive Psychology along with Capability-Opportunity-Motivation-Behaviour (COM-B) theory have been utilised for illustrating the impact of motivation, opportunity and capability that influences behaviour of older adults. As per the findings of this research, fear associated with falling and pain can decrease the confidence level of older adults to participate in exercises. However, a safe neighbourhoods, favourable weather and accessibility of facilities can induce physical activities among older adults that is also important for reducing psychological issues.</w:t>
      </w:r>
    </w:p>
    <w:p w14:paraId="6FBB5C5D" w14:textId="77777777" w:rsidR="00C91A8F" w:rsidRPr="00C6589E" w:rsidRDefault="00C91A8F" w:rsidP="00C40776">
      <w:pPr>
        <w:pStyle w:val="Heading3"/>
      </w:pPr>
      <w:bookmarkStart w:id="9" w:name="_Toc224264662"/>
      <w:r w:rsidRPr="00C6589E">
        <w:t>c) Critical comment</w:t>
      </w:r>
      <w:bookmarkEnd w:id="9"/>
    </w:p>
    <w:p w14:paraId="01D35EC4" w14:textId="77777777" w:rsidR="00C91A8F" w:rsidRPr="00C6589E" w:rsidRDefault="00C91A8F" w:rsidP="00C91A8F">
      <w:pPr>
        <w:rPr>
          <w:sz w:val="22"/>
          <w:szCs w:val="22"/>
        </w:rPr>
      </w:pPr>
      <w:r w:rsidRPr="00C6589E">
        <w:rPr>
          <w:sz w:val="22"/>
          <w:szCs w:val="22"/>
        </w:rPr>
        <w:t>This study is effective for healthcare professionals to understand the health practices and behavioural aspects of older adults that influences participations related to physical activity. The application of multiple interconnected aspects related to physical activity act as the strength for this research but only focusing on developing countries increases limitations of the research. Despite the challenges, in the practice of social care, findings of the article can be useful for understanding policies to promote healthy aging along with independence of older adults.</w:t>
      </w:r>
    </w:p>
    <w:p w14:paraId="24E725CD" w14:textId="77777777" w:rsidR="00C91A8F" w:rsidRPr="00C6589E" w:rsidRDefault="00C91A8F" w:rsidP="00C40776">
      <w:pPr>
        <w:pStyle w:val="Heading2"/>
      </w:pPr>
      <w:bookmarkStart w:id="10" w:name="_Toc224264663"/>
      <w:r w:rsidRPr="00C6589E">
        <w:t>3. Source 3</w:t>
      </w:r>
      <w:bookmarkEnd w:id="10"/>
    </w:p>
    <w:p w14:paraId="52A1DD79" w14:textId="77777777" w:rsidR="00C91A8F" w:rsidRPr="00C6589E" w:rsidRDefault="00C91A8F" w:rsidP="00C40776">
      <w:pPr>
        <w:pStyle w:val="Heading3"/>
      </w:pPr>
      <w:bookmarkStart w:id="11" w:name="_Toc224264664"/>
      <w:r w:rsidRPr="00C6589E">
        <w:t xml:space="preserve">a) Full UWTSD </w:t>
      </w:r>
      <w:r w:rsidRPr="00C40776">
        <w:t>Reference</w:t>
      </w:r>
      <w:bookmarkEnd w:id="11"/>
    </w:p>
    <w:p w14:paraId="26BA5E0C" w14:textId="77777777" w:rsidR="00C91A8F" w:rsidRPr="00C6589E" w:rsidRDefault="00C91A8F" w:rsidP="00C91A8F">
      <w:pPr>
        <w:rPr>
          <w:b/>
          <w:bCs/>
          <w:sz w:val="22"/>
          <w:szCs w:val="22"/>
        </w:rPr>
      </w:pPr>
      <w:r w:rsidRPr="00C6589E">
        <w:rPr>
          <w:sz w:val="22"/>
          <w:szCs w:val="22"/>
          <w:highlight w:val="white"/>
        </w:rPr>
        <w:t xml:space="preserve">Jormand, H., Mohammadi, N., Khani Jeihooni, A. and Afzali Harsini, P., (2022). Self-care behaviors in older adults suffering from knee osteoarthritis: Application of theory of planned behavior. </w:t>
      </w:r>
      <w:r w:rsidRPr="00C6589E">
        <w:rPr>
          <w:i/>
          <w:iCs/>
          <w:sz w:val="22"/>
          <w:szCs w:val="22"/>
          <w:highlight w:val="white"/>
        </w:rPr>
        <w:t>Frontiers in public health</w:t>
      </w:r>
      <w:r w:rsidRPr="00C6589E">
        <w:rPr>
          <w:sz w:val="22"/>
          <w:szCs w:val="22"/>
          <w:highlight w:val="white"/>
        </w:rPr>
        <w:t xml:space="preserve">, </w:t>
      </w:r>
      <w:r w:rsidRPr="00C6589E">
        <w:rPr>
          <w:i/>
          <w:iCs/>
          <w:sz w:val="22"/>
          <w:szCs w:val="22"/>
          <w:highlight w:val="white"/>
        </w:rPr>
        <w:t>10</w:t>
      </w:r>
      <w:r w:rsidRPr="00C6589E">
        <w:rPr>
          <w:sz w:val="22"/>
          <w:szCs w:val="22"/>
          <w:highlight w:val="white"/>
        </w:rPr>
        <w:t xml:space="preserve">, p.958614. </w:t>
      </w:r>
      <w:hyperlink r:id="rId11">
        <w:r w:rsidRPr="00C6589E">
          <w:rPr>
            <w:color w:val="1155CC"/>
            <w:sz w:val="22"/>
            <w:szCs w:val="22"/>
            <w:highlight w:val="white"/>
            <w:u w:val="single"/>
          </w:rPr>
          <w:t>https://doi.org/10.3389/fpubh.2022.958614</w:t>
        </w:r>
      </w:hyperlink>
      <w:r w:rsidRPr="00C6589E">
        <w:rPr>
          <w:sz w:val="22"/>
          <w:szCs w:val="22"/>
          <w:highlight w:val="white"/>
        </w:rPr>
        <w:t xml:space="preserve"> </w:t>
      </w:r>
    </w:p>
    <w:p w14:paraId="56B6CC33" w14:textId="77777777" w:rsidR="00C91A8F" w:rsidRPr="00C6589E" w:rsidRDefault="00C91A8F" w:rsidP="00C40776">
      <w:pPr>
        <w:pStyle w:val="Heading3"/>
      </w:pPr>
      <w:bookmarkStart w:id="12" w:name="_Toc224264665"/>
      <w:r w:rsidRPr="00C6589E">
        <w:t>b) Summary</w:t>
      </w:r>
      <w:bookmarkEnd w:id="12"/>
    </w:p>
    <w:p w14:paraId="3DC49233" w14:textId="77777777" w:rsidR="00C91A8F" w:rsidRPr="00C6589E" w:rsidRDefault="00C91A8F" w:rsidP="00C91A8F">
      <w:pPr>
        <w:rPr>
          <w:sz w:val="22"/>
          <w:szCs w:val="22"/>
        </w:rPr>
      </w:pPr>
      <w:r w:rsidRPr="00C6589E">
        <w:rPr>
          <w:sz w:val="22"/>
          <w:szCs w:val="22"/>
        </w:rPr>
        <w:t xml:space="preserve">This research of </w:t>
      </w:r>
      <w:r w:rsidRPr="00C6589E">
        <w:rPr>
          <w:sz w:val="22"/>
          <w:szCs w:val="22"/>
          <w:highlight w:val="white"/>
        </w:rPr>
        <w:t xml:space="preserve">Jormand </w:t>
      </w:r>
      <w:r w:rsidRPr="00C6589E">
        <w:rPr>
          <w:i/>
          <w:iCs/>
          <w:sz w:val="22"/>
          <w:szCs w:val="22"/>
          <w:highlight w:val="white"/>
        </w:rPr>
        <w:t>et al.</w:t>
      </w:r>
      <w:r w:rsidRPr="00C6589E">
        <w:rPr>
          <w:sz w:val="22"/>
          <w:szCs w:val="22"/>
          <w:highlight w:val="white"/>
        </w:rPr>
        <w:t xml:space="preserve"> </w:t>
      </w:r>
      <w:r w:rsidRPr="00C6589E">
        <w:rPr>
          <w:sz w:val="22"/>
          <w:szCs w:val="22"/>
        </w:rPr>
        <w:t>(2022), evaluate about the effectiveness of encouragement from healthcare professionals and family members of older adults to perform behaviours that are related to self-care practice. The Theory of Planned Behaviour (TPB) has been utilised in this research for understanding the factors that influence behaviour or the actions of older adults regarding self-care. Furthermore, the findings of this research reveal that enhancement of confidence about self-ability of older adults helps in encouraging the practices of self-care.</w:t>
      </w:r>
    </w:p>
    <w:p w14:paraId="392987EB" w14:textId="77777777" w:rsidR="00C91A8F" w:rsidRPr="00C6589E" w:rsidRDefault="00C91A8F" w:rsidP="00C40776">
      <w:pPr>
        <w:pStyle w:val="Heading3"/>
      </w:pPr>
      <w:bookmarkStart w:id="13" w:name="_Toc224264666"/>
      <w:r w:rsidRPr="00C6589E">
        <w:lastRenderedPageBreak/>
        <w:t>c) Critical comment</w:t>
      </w:r>
      <w:bookmarkEnd w:id="13"/>
    </w:p>
    <w:p w14:paraId="0950109A" w14:textId="77777777" w:rsidR="00C91A8F" w:rsidRPr="00C6589E" w:rsidRDefault="00C91A8F" w:rsidP="00C91A8F">
      <w:pPr>
        <w:rPr>
          <w:sz w:val="22"/>
          <w:szCs w:val="22"/>
        </w:rPr>
      </w:pPr>
      <w:r w:rsidRPr="00C6589E">
        <w:rPr>
          <w:sz w:val="22"/>
          <w:szCs w:val="22"/>
        </w:rPr>
        <w:t>This particular research is useful for understanding the reference social as well as psychological factors that make an impact on the older adults for adopting different self-care practices. The application of TPB and illustration about the self-management programs along with health education can be considered as the strength of this research. Although, focuses only on knee osteoarthritis can create problems in application of this research on older adults with different chronic conditions. In spite of the issues, this research can be utilised by professionals associated with social care to take steps that can influence the behaviour of older adults for self-care practices.</w:t>
      </w:r>
    </w:p>
    <w:p w14:paraId="5F998955" w14:textId="77777777" w:rsidR="00C91A8F" w:rsidRPr="00C6589E" w:rsidRDefault="00C91A8F" w:rsidP="00C40776">
      <w:pPr>
        <w:pStyle w:val="Heading2"/>
      </w:pPr>
      <w:bookmarkStart w:id="14" w:name="_Toc224264667"/>
      <w:r w:rsidRPr="00C6589E">
        <w:t>4. Source 4</w:t>
      </w:r>
      <w:bookmarkEnd w:id="14"/>
    </w:p>
    <w:p w14:paraId="20367439" w14:textId="77777777" w:rsidR="00C91A8F" w:rsidRPr="00C6589E" w:rsidRDefault="00C91A8F" w:rsidP="00C40776">
      <w:pPr>
        <w:pStyle w:val="Heading3"/>
      </w:pPr>
      <w:bookmarkStart w:id="15" w:name="_Toc224264668"/>
      <w:r w:rsidRPr="00C6589E">
        <w:t>a) Full UWTSD Reference</w:t>
      </w:r>
      <w:bookmarkEnd w:id="15"/>
    </w:p>
    <w:p w14:paraId="64156939" w14:textId="77777777" w:rsidR="00C91A8F" w:rsidRPr="00C6589E" w:rsidRDefault="00C91A8F" w:rsidP="00C91A8F">
      <w:pPr>
        <w:rPr>
          <w:b/>
          <w:bCs/>
          <w:sz w:val="22"/>
          <w:szCs w:val="22"/>
        </w:rPr>
      </w:pPr>
      <w:r w:rsidRPr="00C6589E">
        <w:rPr>
          <w:sz w:val="22"/>
          <w:szCs w:val="22"/>
          <w:highlight w:val="white"/>
        </w:rPr>
        <w:t xml:space="preserve">Barman, P., Rahut, D.B. and Mishra, R., (2024). Mediating role of social disengagement and loneliness in the nexus between functional health and mental well-being in older individuals. </w:t>
      </w:r>
      <w:r w:rsidRPr="00C6589E">
        <w:rPr>
          <w:i/>
          <w:iCs/>
          <w:sz w:val="22"/>
          <w:szCs w:val="22"/>
          <w:highlight w:val="white"/>
        </w:rPr>
        <w:t>Scientific Reports</w:t>
      </w:r>
      <w:r w:rsidRPr="00C6589E">
        <w:rPr>
          <w:sz w:val="22"/>
          <w:szCs w:val="22"/>
          <w:highlight w:val="white"/>
        </w:rPr>
        <w:t xml:space="preserve">, </w:t>
      </w:r>
      <w:r w:rsidRPr="00C6589E">
        <w:rPr>
          <w:i/>
          <w:iCs/>
          <w:sz w:val="22"/>
          <w:szCs w:val="22"/>
          <w:highlight w:val="white"/>
        </w:rPr>
        <w:t>14</w:t>
      </w:r>
      <w:r w:rsidRPr="00C6589E">
        <w:rPr>
          <w:sz w:val="22"/>
          <w:szCs w:val="22"/>
          <w:highlight w:val="white"/>
        </w:rPr>
        <w:t xml:space="preserve">(1), p.16232. </w:t>
      </w:r>
      <w:hyperlink r:id="rId12">
        <w:r w:rsidRPr="00C6589E">
          <w:rPr>
            <w:color w:val="1155CC"/>
            <w:sz w:val="22"/>
            <w:szCs w:val="22"/>
            <w:highlight w:val="white"/>
            <w:u w:val="single"/>
          </w:rPr>
          <w:t>https://doi.org/10.1038/s41598-024-66919-9</w:t>
        </w:r>
      </w:hyperlink>
      <w:r w:rsidRPr="00C6589E">
        <w:rPr>
          <w:sz w:val="22"/>
          <w:szCs w:val="22"/>
          <w:highlight w:val="white"/>
        </w:rPr>
        <w:t xml:space="preserve"> </w:t>
      </w:r>
    </w:p>
    <w:p w14:paraId="2472AA97" w14:textId="77777777" w:rsidR="00C91A8F" w:rsidRPr="00C6589E" w:rsidRDefault="00C91A8F" w:rsidP="00C40776">
      <w:pPr>
        <w:pStyle w:val="Heading3"/>
      </w:pPr>
      <w:bookmarkStart w:id="16" w:name="_Toc224264669"/>
      <w:r w:rsidRPr="00C6589E">
        <w:t>b) Summary</w:t>
      </w:r>
      <w:bookmarkEnd w:id="16"/>
    </w:p>
    <w:p w14:paraId="5E07387F" w14:textId="77777777" w:rsidR="00C91A8F" w:rsidRPr="00C6589E" w:rsidRDefault="00C91A8F" w:rsidP="00C91A8F">
      <w:pPr>
        <w:rPr>
          <w:sz w:val="22"/>
          <w:szCs w:val="22"/>
        </w:rPr>
      </w:pPr>
      <w:r w:rsidRPr="00C6589E">
        <w:rPr>
          <w:sz w:val="22"/>
          <w:szCs w:val="22"/>
        </w:rPr>
        <w:t xml:space="preserve">The study of </w:t>
      </w:r>
      <w:r w:rsidRPr="00C6589E">
        <w:rPr>
          <w:sz w:val="22"/>
          <w:szCs w:val="22"/>
          <w:highlight w:val="white"/>
        </w:rPr>
        <w:t>Barman</w:t>
      </w:r>
      <w:r w:rsidRPr="00C6589E">
        <w:rPr>
          <w:i/>
          <w:iCs/>
          <w:sz w:val="22"/>
          <w:szCs w:val="22"/>
          <w:highlight w:val="white"/>
        </w:rPr>
        <w:t xml:space="preserve"> et al.</w:t>
      </w:r>
      <w:r w:rsidRPr="00C6589E">
        <w:rPr>
          <w:sz w:val="22"/>
          <w:szCs w:val="22"/>
          <w:highlight w:val="white"/>
        </w:rPr>
        <w:t xml:space="preserve"> </w:t>
      </w:r>
      <w:r w:rsidRPr="00C6589E">
        <w:rPr>
          <w:sz w:val="22"/>
          <w:szCs w:val="22"/>
        </w:rPr>
        <w:t xml:space="preserve">(2024), the functional health makes a significant negative impact on mental health related to older adults. This research focuses on using Dis-engagement Theory to illustrate the reduction of social participation among older adults with the increase in age. The findings of this research show that loneliness can enhance psychological distress among older adults and physical functioning is useful for ensuring mental well-being. </w:t>
      </w:r>
    </w:p>
    <w:p w14:paraId="560F5194" w14:textId="77777777" w:rsidR="00C91A8F" w:rsidRPr="00C6589E" w:rsidRDefault="00C91A8F" w:rsidP="00C40776">
      <w:pPr>
        <w:pStyle w:val="Heading3"/>
      </w:pPr>
      <w:bookmarkStart w:id="17" w:name="_Toc224264670"/>
      <w:r w:rsidRPr="00C6589E">
        <w:t>c) Critical comment</w:t>
      </w:r>
      <w:bookmarkEnd w:id="17"/>
    </w:p>
    <w:p w14:paraId="24B974C2" w14:textId="77777777" w:rsidR="00C91A8F" w:rsidRPr="00C6589E" w:rsidRDefault="00C91A8F" w:rsidP="00C91A8F">
      <w:pPr>
        <w:rPr>
          <w:b/>
          <w:bCs/>
          <w:sz w:val="22"/>
          <w:szCs w:val="22"/>
        </w:rPr>
      </w:pPr>
      <w:r w:rsidRPr="00C6589E">
        <w:rPr>
          <w:sz w:val="22"/>
          <w:szCs w:val="22"/>
        </w:rPr>
        <w:t>The findings of this research are beneficial for evaluating the relation between social engagement and physical activities with mental health of older adults. The deep insight about the relationship between mental and physical health can be considered as the strength for this research. In contrast, avoiding the factors like access associated with healthcare service and economics status in influencing mental health of older adults act as a limitation for the research. However, instead of issues, findings of this research can be used by healthcare professionals to take steps that can reduce social isolation and can address loneliness among older adults.</w:t>
      </w:r>
      <w:r w:rsidRPr="00C6589E">
        <w:rPr>
          <w:sz w:val="22"/>
          <w:szCs w:val="22"/>
        </w:rPr>
        <w:br w:type="page"/>
      </w:r>
    </w:p>
    <w:p w14:paraId="79C0EFB8" w14:textId="77777777" w:rsidR="00C91A8F" w:rsidRPr="00C6589E" w:rsidRDefault="00C91A8F" w:rsidP="00C40776">
      <w:pPr>
        <w:pStyle w:val="Heading1"/>
      </w:pPr>
      <w:bookmarkStart w:id="18" w:name="_Toc224264671"/>
      <w:r w:rsidRPr="00C6589E">
        <w:lastRenderedPageBreak/>
        <w:t>Part B: Short Report</w:t>
      </w:r>
      <w:bookmarkEnd w:id="18"/>
      <w:r w:rsidRPr="00C6589E">
        <w:t xml:space="preserve"> </w:t>
      </w:r>
    </w:p>
    <w:p w14:paraId="79B95D5A" w14:textId="77777777" w:rsidR="00C91A8F" w:rsidRPr="00C6589E" w:rsidRDefault="00C91A8F" w:rsidP="00C40776">
      <w:pPr>
        <w:pStyle w:val="Heading2"/>
      </w:pPr>
      <w:bookmarkStart w:id="19" w:name="_Toc224264672"/>
      <w:r w:rsidRPr="00C6589E">
        <w:t>Assessment of the theory along with the application in well-being of older adults</w:t>
      </w:r>
      <w:bookmarkEnd w:id="19"/>
    </w:p>
    <w:p w14:paraId="573F3B1B" w14:textId="77777777" w:rsidR="00C91A8F" w:rsidRPr="00C6589E" w:rsidRDefault="00C91A8F" w:rsidP="00C91A8F">
      <w:pPr>
        <w:rPr>
          <w:sz w:val="22"/>
          <w:szCs w:val="22"/>
        </w:rPr>
      </w:pPr>
      <w:r w:rsidRPr="00C6589E">
        <w:rPr>
          <w:sz w:val="22"/>
          <w:szCs w:val="22"/>
        </w:rPr>
        <w:t xml:space="preserve">The </w:t>
      </w:r>
      <w:r w:rsidRPr="00C6589E">
        <w:rPr>
          <w:b/>
          <w:bCs/>
          <w:i/>
          <w:iCs/>
          <w:sz w:val="22"/>
          <w:szCs w:val="22"/>
        </w:rPr>
        <w:t>Social Disengagement Theory</w:t>
      </w:r>
      <w:r w:rsidRPr="00C6589E">
        <w:rPr>
          <w:sz w:val="22"/>
          <w:szCs w:val="22"/>
        </w:rPr>
        <w:t xml:space="preserve"> (SDT) reveals that the responsibilities and enhancement of age of people reduces the social participation that can induce mental pressure. According to </w:t>
      </w:r>
      <w:r w:rsidRPr="00C6589E">
        <w:rPr>
          <w:sz w:val="22"/>
          <w:szCs w:val="22"/>
          <w:highlight w:val="white"/>
        </w:rPr>
        <w:t xml:space="preserve">Gonot-Schoupinsky </w:t>
      </w:r>
      <w:r w:rsidRPr="00C6589E">
        <w:rPr>
          <w:i/>
          <w:iCs/>
          <w:sz w:val="22"/>
          <w:szCs w:val="22"/>
          <w:highlight w:val="white"/>
        </w:rPr>
        <w:t>et al.</w:t>
      </w:r>
      <w:r w:rsidRPr="00C6589E">
        <w:rPr>
          <w:sz w:val="22"/>
          <w:szCs w:val="22"/>
          <w:highlight w:val="white"/>
        </w:rPr>
        <w:t xml:space="preserve"> </w:t>
      </w:r>
      <w:r w:rsidRPr="00C6589E">
        <w:rPr>
          <w:sz w:val="22"/>
          <w:szCs w:val="22"/>
        </w:rPr>
        <w:t xml:space="preserve">(2022), SDT is effective in understanding the reason associated with reduction of social participation and physical work among the older adults. In addition, this theory is beneficial for understanding physical issues such as limitations in mobility that decreases physical participation of older adults. However, the research of </w:t>
      </w:r>
      <w:r w:rsidRPr="00C6589E">
        <w:rPr>
          <w:sz w:val="22"/>
          <w:szCs w:val="22"/>
          <w:highlight w:val="white"/>
        </w:rPr>
        <w:t xml:space="preserve">Escourrou </w:t>
      </w:r>
      <w:r w:rsidRPr="00C6589E">
        <w:rPr>
          <w:i/>
          <w:iCs/>
          <w:sz w:val="22"/>
          <w:szCs w:val="22"/>
          <w:highlight w:val="white"/>
        </w:rPr>
        <w:t>et al.</w:t>
      </w:r>
      <w:r w:rsidRPr="00C6589E">
        <w:rPr>
          <w:sz w:val="22"/>
          <w:szCs w:val="22"/>
          <w:highlight w:val="white"/>
        </w:rPr>
        <w:t xml:space="preserve"> </w:t>
      </w:r>
      <w:r w:rsidRPr="00C6589E">
        <w:rPr>
          <w:sz w:val="22"/>
          <w:szCs w:val="22"/>
        </w:rPr>
        <w:t xml:space="preserve">(2022), evaluates that excessive generalisation regarding the factors of reducing social engagement of older adults in SDT act as the limitation of this theory. Additionally, ignoring the individual differences such as socio-economic status, personality, culture and health also act as the weakness of applying this theory. In spite of the challenges, health and social care professionals can use this theory to take steps for encouraging the older adults to improve social interaction that is useful for boosting mental health. </w:t>
      </w:r>
    </w:p>
    <w:p w14:paraId="2FCB6CED" w14:textId="77777777" w:rsidR="00C91A8F" w:rsidRPr="00C6589E" w:rsidRDefault="00C91A8F" w:rsidP="00C91A8F">
      <w:pPr>
        <w:jc w:val="center"/>
        <w:rPr>
          <w:sz w:val="22"/>
          <w:szCs w:val="22"/>
        </w:rPr>
      </w:pPr>
      <w:r w:rsidRPr="00C6589E">
        <w:rPr>
          <w:noProof/>
          <w:sz w:val="22"/>
          <w:szCs w:val="22"/>
          <w:lang w:eastAsia="en-GB"/>
        </w:rPr>
        <w:drawing>
          <wp:inline distT="114300" distB="114300" distL="114300" distR="114300" wp14:anchorId="01F21ACA" wp14:editId="3FFA5607">
            <wp:extent cx="4143375" cy="3190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4143375" cy="3190875"/>
                    </a:xfrm>
                    <a:prstGeom prst="rect">
                      <a:avLst/>
                    </a:prstGeom>
                    <a:ln/>
                  </pic:spPr>
                </pic:pic>
              </a:graphicData>
            </a:graphic>
          </wp:inline>
        </w:drawing>
      </w:r>
    </w:p>
    <w:p w14:paraId="2A1E8C14" w14:textId="77777777" w:rsidR="00C91A8F" w:rsidRPr="00C6589E" w:rsidRDefault="00C91A8F" w:rsidP="00C91A8F">
      <w:pPr>
        <w:jc w:val="center"/>
        <w:rPr>
          <w:b/>
          <w:bCs/>
          <w:sz w:val="22"/>
          <w:szCs w:val="22"/>
        </w:rPr>
      </w:pPr>
      <w:r w:rsidRPr="00C6589E">
        <w:rPr>
          <w:b/>
          <w:bCs/>
          <w:sz w:val="22"/>
          <w:szCs w:val="22"/>
        </w:rPr>
        <w:t>Figure 1: Factors of SDT</w:t>
      </w:r>
    </w:p>
    <w:p w14:paraId="70F095C8" w14:textId="77777777" w:rsidR="00C91A8F" w:rsidRPr="00C6589E" w:rsidRDefault="00C91A8F" w:rsidP="00C91A8F">
      <w:pPr>
        <w:jc w:val="center"/>
        <w:rPr>
          <w:sz w:val="22"/>
          <w:szCs w:val="22"/>
        </w:rPr>
      </w:pPr>
      <w:r w:rsidRPr="00C6589E">
        <w:rPr>
          <w:sz w:val="22"/>
          <w:szCs w:val="22"/>
        </w:rPr>
        <w:t>(Source: Self-Created)</w:t>
      </w:r>
    </w:p>
    <w:p w14:paraId="58AF148A" w14:textId="77777777" w:rsidR="00C91A8F" w:rsidRPr="00C6589E" w:rsidRDefault="00C91A8F" w:rsidP="00C91A8F">
      <w:pPr>
        <w:rPr>
          <w:sz w:val="22"/>
          <w:szCs w:val="22"/>
        </w:rPr>
      </w:pPr>
      <w:r w:rsidRPr="00C6589E">
        <w:rPr>
          <w:sz w:val="22"/>
          <w:szCs w:val="22"/>
        </w:rPr>
        <w:t xml:space="preserve">Evaluation of the aspects associated with SDT can be effective for health as well as social caregivers to support older adults in gradual adjustments with changing responsibilities. As per the research of </w:t>
      </w:r>
      <w:r w:rsidRPr="00C6589E">
        <w:rPr>
          <w:sz w:val="22"/>
          <w:szCs w:val="22"/>
          <w:highlight w:val="white"/>
        </w:rPr>
        <w:t xml:space="preserve">Nemati-Vakilabad </w:t>
      </w:r>
      <w:r w:rsidRPr="00C6589E">
        <w:rPr>
          <w:i/>
          <w:iCs/>
          <w:sz w:val="22"/>
          <w:szCs w:val="22"/>
          <w:highlight w:val="white"/>
        </w:rPr>
        <w:t>et al.</w:t>
      </w:r>
      <w:r w:rsidRPr="00C6589E">
        <w:rPr>
          <w:sz w:val="22"/>
          <w:szCs w:val="22"/>
          <w:highlight w:val="white"/>
        </w:rPr>
        <w:t xml:space="preserve"> </w:t>
      </w:r>
      <w:r w:rsidRPr="00C6589E">
        <w:rPr>
          <w:sz w:val="22"/>
          <w:szCs w:val="22"/>
        </w:rPr>
        <w:t xml:space="preserve">(2023), SDT is beneficial in encouraging the older adults </w:t>
      </w:r>
      <w:r w:rsidRPr="00C6589E">
        <w:rPr>
          <w:sz w:val="22"/>
          <w:szCs w:val="22"/>
        </w:rPr>
        <w:lastRenderedPageBreak/>
        <w:t xml:space="preserve">to increase social interactions and engage with group activities that are beneficial for avoiding mental health issues. In addition, the engagement with community programs, communication with support groups and participation in recreational activities can also help older adults to avoid issues of isolation and loneliness. According to </w:t>
      </w:r>
      <w:r w:rsidRPr="00C6589E">
        <w:rPr>
          <w:sz w:val="22"/>
          <w:szCs w:val="22"/>
          <w:highlight w:val="white"/>
        </w:rPr>
        <w:t xml:space="preserve">Dong </w:t>
      </w:r>
      <w:r w:rsidRPr="00C6589E">
        <w:rPr>
          <w:i/>
          <w:iCs/>
          <w:sz w:val="22"/>
          <w:szCs w:val="22"/>
          <w:highlight w:val="white"/>
        </w:rPr>
        <w:t>et al.</w:t>
      </w:r>
      <w:r w:rsidRPr="00C6589E">
        <w:rPr>
          <w:sz w:val="22"/>
          <w:szCs w:val="22"/>
          <w:highlight w:val="white"/>
        </w:rPr>
        <w:t xml:space="preserve"> </w:t>
      </w:r>
      <w:r w:rsidRPr="00C6589E">
        <w:rPr>
          <w:sz w:val="22"/>
          <w:szCs w:val="22"/>
        </w:rPr>
        <w:t>(2024), SDT plays an effective role for supporting care professionals to understand the difference requirement of individuals that need to be considered during care services. Thus, this identification of individual needs is necessary for professionals to develop policies of person-centred care that is important for improving care services. Moreover, this theory can also be utilised during care services for mental stimulation of older adults that is beneficial for improving quality of life.</w:t>
      </w:r>
    </w:p>
    <w:p w14:paraId="4FB3C7C6" w14:textId="77777777" w:rsidR="00C91A8F" w:rsidRPr="00C6589E" w:rsidRDefault="00C91A8F" w:rsidP="00C40776">
      <w:pPr>
        <w:pStyle w:val="Heading2"/>
      </w:pPr>
      <w:bookmarkStart w:id="20" w:name="_Toc224264673"/>
      <w:r w:rsidRPr="00C6589E">
        <w:t>Evaluation of a case study</w:t>
      </w:r>
      <w:bookmarkEnd w:id="20"/>
    </w:p>
    <w:p w14:paraId="3F03E85F" w14:textId="77777777" w:rsidR="00C91A8F" w:rsidRPr="00C6589E" w:rsidRDefault="00C91A8F" w:rsidP="00C91A8F">
      <w:pPr>
        <w:rPr>
          <w:sz w:val="22"/>
          <w:szCs w:val="22"/>
        </w:rPr>
      </w:pPr>
      <w:r w:rsidRPr="00C6589E">
        <w:rPr>
          <w:sz w:val="22"/>
          <w:szCs w:val="22"/>
        </w:rPr>
        <w:t>A study in 2022, a study has been conducted on the northern England to understand the strategies used by social care professionals to reduce the dis-engagement among older adults. The case study focuses on the policies used by the professionals related to care services for improving the access of community services that is important for mitigating issues of dis-engagement (</w:t>
      </w:r>
      <w:r w:rsidRPr="00C6589E">
        <w:rPr>
          <w:sz w:val="22"/>
          <w:szCs w:val="22"/>
          <w:highlight w:val="white"/>
        </w:rPr>
        <w:t xml:space="preserve">Wilberforce </w:t>
      </w:r>
      <w:r w:rsidRPr="00C6589E">
        <w:rPr>
          <w:i/>
          <w:iCs/>
          <w:sz w:val="22"/>
          <w:szCs w:val="22"/>
          <w:highlight w:val="white"/>
        </w:rPr>
        <w:t xml:space="preserve">et al. </w:t>
      </w:r>
      <w:r w:rsidRPr="00C6589E">
        <w:rPr>
          <w:sz w:val="22"/>
          <w:szCs w:val="22"/>
          <w:highlight w:val="white"/>
        </w:rPr>
        <w:t>2022)</w:t>
      </w:r>
      <w:r w:rsidRPr="00C6589E">
        <w:rPr>
          <w:sz w:val="22"/>
          <w:szCs w:val="22"/>
        </w:rPr>
        <w:t xml:space="preserve">. The SDT has been applied during this case study for identifying the impact of cognitive barriers, reluctance about losing independence, social stigma and other factors that influence engagement of older adults. </w:t>
      </w:r>
    </w:p>
    <w:p w14:paraId="13F65E81" w14:textId="77777777" w:rsidR="00C91A8F" w:rsidRPr="00C6589E" w:rsidRDefault="00C91A8F" w:rsidP="00C91A8F">
      <w:pPr>
        <w:rPr>
          <w:sz w:val="22"/>
          <w:szCs w:val="22"/>
        </w:rPr>
      </w:pPr>
      <w:r w:rsidRPr="00C6589E">
        <w:rPr>
          <w:sz w:val="22"/>
          <w:szCs w:val="22"/>
        </w:rPr>
        <w:t>This study also evaluates the policies of support workers to improve the trust of older adults that is crucial for enhancing motivation regarding community engagement. However, this case study reveals that the collaboration between third-sector agencies and home care services are important for ensuring implementation of the policy regarding dis-engagement (</w:t>
      </w:r>
      <w:r w:rsidRPr="00C6589E">
        <w:rPr>
          <w:sz w:val="22"/>
          <w:szCs w:val="22"/>
          <w:highlight w:val="white"/>
        </w:rPr>
        <w:t xml:space="preserve">Wilberforce </w:t>
      </w:r>
      <w:r w:rsidRPr="00C6589E">
        <w:rPr>
          <w:i/>
          <w:iCs/>
          <w:sz w:val="22"/>
          <w:szCs w:val="22"/>
          <w:highlight w:val="white"/>
        </w:rPr>
        <w:t xml:space="preserve">et al. </w:t>
      </w:r>
      <w:r w:rsidRPr="00C6589E">
        <w:rPr>
          <w:sz w:val="22"/>
          <w:szCs w:val="22"/>
          <w:highlight w:val="white"/>
        </w:rPr>
        <w:t>2022)</w:t>
      </w:r>
      <w:r w:rsidRPr="00C6589E">
        <w:rPr>
          <w:sz w:val="22"/>
          <w:szCs w:val="22"/>
        </w:rPr>
        <w:t>. Moreover, in spite of the challenges related to limited sampling in the research, this case study is beneficial for caregivers to identify different stages of support to older adults for avoiding dis-engagement.</w:t>
      </w:r>
    </w:p>
    <w:p w14:paraId="6D94341B" w14:textId="77777777" w:rsidR="00C91A8F" w:rsidRPr="00C6589E" w:rsidRDefault="00C91A8F" w:rsidP="00C40776">
      <w:pPr>
        <w:pStyle w:val="Heading2"/>
      </w:pPr>
      <w:bookmarkStart w:id="21" w:name="_Toc224264674"/>
      <w:r w:rsidRPr="00C6589E">
        <w:t>Identification of a challenge and strategy of resolving issue</w:t>
      </w:r>
      <w:bookmarkEnd w:id="21"/>
      <w:r w:rsidRPr="00C6589E">
        <w:t xml:space="preserve"> </w:t>
      </w:r>
    </w:p>
    <w:p w14:paraId="699FE751" w14:textId="77777777" w:rsidR="00C91A8F" w:rsidRPr="00C6589E" w:rsidRDefault="00C91A8F" w:rsidP="00C91A8F">
      <w:pPr>
        <w:rPr>
          <w:b/>
          <w:bCs/>
          <w:sz w:val="22"/>
          <w:szCs w:val="22"/>
        </w:rPr>
      </w:pPr>
      <w:r w:rsidRPr="00C6589E">
        <w:rPr>
          <w:sz w:val="22"/>
          <w:szCs w:val="22"/>
        </w:rPr>
        <w:t>The SDT evaluated that enhancement of age of people decreases the interactions with society along with social roles. Thus, application of this theory can encourage excessive dis-engagement of older adults in society. Additionally, inappropriate understanding of SDT can restrict the community involvement of older adults suffering from physical limitations that can induce the possibility of isolation (</w:t>
      </w:r>
      <w:r w:rsidRPr="00C6589E">
        <w:rPr>
          <w:sz w:val="22"/>
          <w:szCs w:val="22"/>
          <w:highlight w:val="white"/>
        </w:rPr>
        <w:t xml:space="preserve">de Paula Couto </w:t>
      </w:r>
      <w:r w:rsidRPr="00C6589E">
        <w:rPr>
          <w:i/>
          <w:iCs/>
          <w:sz w:val="22"/>
          <w:szCs w:val="22"/>
          <w:highlight w:val="white"/>
        </w:rPr>
        <w:t>et al.</w:t>
      </w:r>
      <w:r w:rsidRPr="00C6589E">
        <w:rPr>
          <w:sz w:val="22"/>
          <w:szCs w:val="22"/>
          <w:highlight w:val="white"/>
        </w:rPr>
        <w:t xml:space="preserve"> 2022</w:t>
      </w:r>
      <w:r w:rsidRPr="00C6589E">
        <w:rPr>
          <w:sz w:val="22"/>
          <w:szCs w:val="22"/>
        </w:rPr>
        <w:t xml:space="preserve">). In the case of the UK, loneliness associated with the older adults becomes a major concern of the government regarding public health. </w:t>
      </w:r>
      <w:r w:rsidRPr="00C6589E">
        <w:rPr>
          <w:sz w:val="22"/>
          <w:szCs w:val="22"/>
        </w:rPr>
        <w:lastRenderedPageBreak/>
        <w:t>Therefore, accepting the dis-engagement by older adults for ageing can affect the promotion of active and healthy ageing.</w:t>
      </w:r>
      <w:r w:rsidRPr="00C6589E">
        <w:rPr>
          <w:b/>
          <w:bCs/>
          <w:sz w:val="22"/>
          <w:szCs w:val="22"/>
        </w:rPr>
        <w:t xml:space="preserve">   </w:t>
      </w:r>
    </w:p>
    <w:p w14:paraId="367A03D7" w14:textId="77777777" w:rsidR="00C91A8F" w:rsidRPr="00C6589E" w:rsidRDefault="00C91A8F" w:rsidP="00C91A8F">
      <w:pPr>
        <w:rPr>
          <w:sz w:val="22"/>
          <w:szCs w:val="22"/>
        </w:rPr>
      </w:pPr>
      <w:r w:rsidRPr="00C6589E">
        <w:rPr>
          <w:sz w:val="22"/>
          <w:szCs w:val="22"/>
        </w:rPr>
        <w:t xml:space="preserve">Considering the challenge of applicability regarding SDT shows that integration of this theory with contemporary approaches like Active Theory is important for resolving issues. The research of </w:t>
      </w:r>
      <w:r w:rsidRPr="00C6589E">
        <w:rPr>
          <w:sz w:val="22"/>
          <w:szCs w:val="22"/>
          <w:highlight w:val="white"/>
        </w:rPr>
        <w:t xml:space="preserve">Polizzi </w:t>
      </w:r>
      <w:r w:rsidRPr="00C6589E">
        <w:rPr>
          <w:sz w:val="22"/>
          <w:szCs w:val="22"/>
        </w:rPr>
        <w:t>(2025), reveals that the encouragement of participation of older adults in social clubs, community programs and volunteering opportunities can also be beneficial to avoid dis-engagement. In addition, development of proper understanding about SDT can be effective to make different policies for distinct individuals as per particular requirements. The encouragement of the support from family along with the community is also crucial for avoiding the issues related to isolation of older adults as per SDT. Moreover, development of skills of social and healthcare professionals are beneficial for mitigating the probability of inappropriate application of SDT and boosting social engagement of older adults that can support mental health.</w:t>
      </w:r>
    </w:p>
    <w:p w14:paraId="1A8D6FB3" w14:textId="16BD0AF6" w:rsidR="00B378DE" w:rsidRPr="00370360" w:rsidRDefault="00B378DE" w:rsidP="00B378DE">
      <w:pPr>
        <w:rPr>
          <w:b/>
          <w:bCs/>
        </w:rPr>
      </w:pPr>
      <w:r w:rsidRPr="00370360">
        <w:t xml:space="preserve">      </w:t>
      </w:r>
      <w:r w:rsidRPr="00370360">
        <w:br w:type="page"/>
      </w:r>
    </w:p>
    <w:p w14:paraId="3F02DA67" w14:textId="77777777" w:rsidR="00B378DE" w:rsidRPr="00370360" w:rsidRDefault="00B378DE" w:rsidP="00C40776">
      <w:pPr>
        <w:pStyle w:val="Heading1"/>
      </w:pPr>
      <w:bookmarkStart w:id="22" w:name="_Toc224264675"/>
      <w:r w:rsidRPr="00C40776">
        <w:lastRenderedPageBreak/>
        <w:t>Reference</w:t>
      </w:r>
      <w:bookmarkEnd w:id="22"/>
      <w:r w:rsidRPr="00370360">
        <w:t xml:space="preserve"> </w:t>
      </w:r>
    </w:p>
    <w:p w14:paraId="1C9C1FE1" w14:textId="77777777" w:rsidR="00516A8C" w:rsidRPr="00516A8C" w:rsidRDefault="00516A8C" w:rsidP="00516A8C">
      <w:pPr>
        <w:rPr>
          <w:sz w:val="22"/>
          <w:szCs w:val="22"/>
          <w:highlight w:val="white"/>
        </w:rPr>
      </w:pPr>
      <w:r w:rsidRPr="00516A8C">
        <w:rPr>
          <w:sz w:val="22"/>
          <w:szCs w:val="22"/>
          <w:highlight w:val="white"/>
        </w:rPr>
        <w:t xml:space="preserve">Barman, P., Rahut, D.B. and Mishra, R., (2024). Mediating role of social disengagement and loneliness in the nexus between functional health and mental well-being in older individuals. </w:t>
      </w:r>
      <w:r w:rsidRPr="00516A8C">
        <w:rPr>
          <w:i/>
          <w:iCs/>
          <w:sz w:val="22"/>
          <w:szCs w:val="22"/>
          <w:highlight w:val="white"/>
        </w:rPr>
        <w:t>Scientific Reports</w:t>
      </w:r>
      <w:r w:rsidRPr="00516A8C">
        <w:rPr>
          <w:sz w:val="22"/>
          <w:szCs w:val="22"/>
          <w:highlight w:val="white"/>
        </w:rPr>
        <w:t xml:space="preserve">, </w:t>
      </w:r>
      <w:r w:rsidRPr="00516A8C">
        <w:rPr>
          <w:i/>
          <w:iCs/>
          <w:sz w:val="22"/>
          <w:szCs w:val="22"/>
          <w:highlight w:val="white"/>
        </w:rPr>
        <w:t>14</w:t>
      </w:r>
      <w:r w:rsidRPr="00516A8C">
        <w:rPr>
          <w:sz w:val="22"/>
          <w:szCs w:val="22"/>
          <w:highlight w:val="white"/>
        </w:rPr>
        <w:t xml:space="preserve">(1), p.16232. </w:t>
      </w:r>
      <w:hyperlink r:id="rId14">
        <w:r w:rsidRPr="00516A8C">
          <w:rPr>
            <w:color w:val="1155CC"/>
            <w:sz w:val="22"/>
            <w:szCs w:val="22"/>
            <w:highlight w:val="white"/>
            <w:u w:val="single"/>
          </w:rPr>
          <w:t>https://doi.org/10.1038/s41598-024-66919-9</w:t>
        </w:r>
      </w:hyperlink>
      <w:r w:rsidRPr="00516A8C">
        <w:rPr>
          <w:sz w:val="22"/>
          <w:szCs w:val="22"/>
          <w:highlight w:val="white"/>
        </w:rPr>
        <w:t xml:space="preserve"> </w:t>
      </w:r>
    </w:p>
    <w:p w14:paraId="2C7FBA5B" w14:textId="77777777" w:rsidR="00516A8C" w:rsidRPr="00516A8C" w:rsidRDefault="00516A8C" w:rsidP="00516A8C">
      <w:pPr>
        <w:rPr>
          <w:sz w:val="22"/>
          <w:szCs w:val="22"/>
          <w:highlight w:val="white"/>
        </w:rPr>
      </w:pPr>
      <w:r w:rsidRPr="00516A8C">
        <w:rPr>
          <w:sz w:val="22"/>
          <w:szCs w:val="22"/>
          <w:highlight w:val="white"/>
        </w:rPr>
        <w:t xml:space="preserve">de Paula Couto, M.C., Fung, H.H., Graf, S., Hess, T.M., Liou, S., Nikitin, J. and Rothermund, K., (2022). Antecedents and consequences of endorsing prescriptive views of active aging and altruistic disengagement. </w:t>
      </w:r>
      <w:r w:rsidRPr="00516A8C">
        <w:rPr>
          <w:i/>
          <w:iCs/>
          <w:sz w:val="22"/>
          <w:szCs w:val="22"/>
          <w:highlight w:val="white"/>
        </w:rPr>
        <w:t>Frontiers in Psychology</w:t>
      </w:r>
      <w:r w:rsidRPr="00516A8C">
        <w:rPr>
          <w:sz w:val="22"/>
          <w:szCs w:val="22"/>
          <w:highlight w:val="white"/>
        </w:rPr>
        <w:t xml:space="preserve">, </w:t>
      </w:r>
      <w:r w:rsidRPr="00516A8C">
        <w:rPr>
          <w:i/>
          <w:iCs/>
          <w:sz w:val="22"/>
          <w:szCs w:val="22"/>
          <w:highlight w:val="white"/>
        </w:rPr>
        <w:t>13</w:t>
      </w:r>
      <w:r w:rsidRPr="00516A8C">
        <w:rPr>
          <w:sz w:val="22"/>
          <w:szCs w:val="22"/>
          <w:highlight w:val="white"/>
        </w:rPr>
        <w:t xml:space="preserve">, p.807726. </w:t>
      </w:r>
      <w:hyperlink r:id="rId15">
        <w:r w:rsidRPr="00516A8C">
          <w:rPr>
            <w:color w:val="1155CC"/>
            <w:sz w:val="22"/>
            <w:szCs w:val="22"/>
            <w:highlight w:val="white"/>
            <w:u w:val="single"/>
          </w:rPr>
          <w:t>https://www.frontiersin.org/journals/psychology/articles/10.3389/fpsyg.2022.807726/pdf</w:t>
        </w:r>
      </w:hyperlink>
      <w:r w:rsidRPr="00516A8C">
        <w:rPr>
          <w:sz w:val="22"/>
          <w:szCs w:val="22"/>
          <w:highlight w:val="white"/>
        </w:rPr>
        <w:t xml:space="preserve"> </w:t>
      </w:r>
    </w:p>
    <w:p w14:paraId="3B1CF0B4" w14:textId="77777777" w:rsidR="00516A8C" w:rsidRPr="00516A8C" w:rsidRDefault="00516A8C" w:rsidP="00516A8C">
      <w:pPr>
        <w:rPr>
          <w:sz w:val="22"/>
          <w:szCs w:val="22"/>
          <w:highlight w:val="white"/>
        </w:rPr>
      </w:pPr>
      <w:r w:rsidRPr="00516A8C">
        <w:rPr>
          <w:sz w:val="22"/>
          <w:szCs w:val="22"/>
          <w:highlight w:val="white"/>
        </w:rPr>
        <w:t xml:space="preserve">Dong, Y., Cheng, L. and Cao, H., (2024). Impact of informal social support on the mental health of older adults. </w:t>
      </w:r>
      <w:r w:rsidRPr="00516A8C">
        <w:rPr>
          <w:i/>
          <w:iCs/>
          <w:sz w:val="22"/>
          <w:szCs w:val="22"/>
          <w:highlight w:val="white"/>
        </w:rPr>
        <w:t>Frontiers in Public Health</w:t>
      </w:r>
      <w:r w:rsidRPr="00516A8C">
        <w:rPr>
          <w:sz w:val="22"/>
          <w:szCs w:val="22"/>
          <w:highlight w:val="white"/>
        </w:rPr>
        <w:t xml:space="preserve">, </w:t>
      </w:r>
      <w:r w:rsidRPr="00516A8C">
        <w:rPr>
          <w:i/>
          <w:iCs/>
          <w:sz w:val="22"/>
          <w:szCs w:val="22"/>
          <w:highlight w:val="white"/>
        </w:rPr>
        <w:t>12</w:t>
      </w:r>
      <w:r w:rsidRPr="00516A8C">
        <w:rPr>
          <w:sz w:val="22"/>
          <w:szCs w:val="22"/>
          <w:highlight w:val="white"/>
        </w:rPr>
        <w:t xml:space="preserve">, p.1446246. </w:t>
      </w:r>
      <w:hyperlink r:id="rId16">
        <w:r w:rsidRPr="00516A8C">
          <w:rPr>
            <w:color w:val="1155CC"/>
            <w:sz w:val="22"/>
            <w:szCs w:val="22"/>
            <w:highlight w:val="white"/>
            <w:u w:val="single"/>
          </w:rPr>
          <w:t>https://www.frontiersin.org/journals/public-health/articles/10.3389/fpubh.2024.1446246/pdf</w:t>
        </w:r>
      </w:hyperlink>
      <w:r w:rsidRPr="00516A8C">
        <w:rPr>
          <w:sz w:val="22"/>
          <w:szCs w:val="22"/>
          <w:highlight w:val="white"/>
        </w:rPr>
        <w:t xml:space="preserve"> </w:t>
      </w:r>
    </w:p>
    <w:p w14:paraId="604AF358" w14:textId="77777777" w:rsidR="00516A8C" w:rsidRPr="00516A8C" w:rsidRDefault="00516A8C" w:rsidP="00516A8C">
      <w:pPr>
        <w:rPr>
          <w:sz w:val="22"/>
          <w:szCs w:val="22"/>
          <w:highlight w:val="white"/>
        </w:rPr>
      </w:pPr>
      <w:r w:rsidRPr="00516A8C">
        <w:rPr>
          <w:sz w:val="22"/>
          <w:szCs w:val="22"/>
          <w:highlight w:val="white"/>
        </w:rPr>
        <w:t xml:space="preserve">Escourrou, E., Laurent, S., Leroux, J., Oustric, S. and Gardette, V., (2022). The shift from old age to very old age: an analysis of the perception of aging among older people. </w:t>
      </w:r>
      <w:r w:rsidRPr="00516A8C">
        <w:rPr>
          <w:i/>
          <w:iCs/>
          <w:sz w:val="22"/>
          <w:szCs w:val="22"/>
          <w:highlight w:val="white"/>
        </w:rPr>
        <w:t>BMC primary care</w:t>
      </w:r>
      <w:r w:rsidRPr="00516A8C">
        <w:rPr>
          <w:sz w:val="22"/>
          <w:szCs w:val="22"/>
          <w:highlight w:val="white"/>
        </w:rPr>
        <w:t xml:space="preserve">, </w:t>
      </w:r>
      <w:r w:rsidRPr="00516A8C">
        <w:rPr>
          <w:i/>
          <w:iCs/>
          <w:sz w:val="22"/>
          <w:szCs w:val="22"/>
          <w:highlight w:val="white"/>
        </w:rPr>
        <w:t>23</w:t>
      </w:r>
      <w:r w:rsidRPr="00516A8C">
        <w:rPr>
          <w:sz w:val="22"/>
          <w:szCs w:val="22"/>
          <w:highlight w:val="white"/>
        </w:rPr>
        <w:t xml:space="preserve">(1), p.3. </w:t>
      </w:r>
      <w:hyperlink r:id="rId17">
        <w:r w:rsidRPr="00516A8C">
          <w:rPr>
            <w:color w:val="1155CC"/>
            <w:sz w:val="22"/>
            <w:szCs w:val="22"/>
            <w:highlight w:val="white"/>
            <w:u w:val="single"/>
          </w:rPr>
          <w:t>https://link.springer.com/content/pdf/10.1186/s12875-021-01616-4.pdf</w:t>
        </w:r>
      </w:hyperlink>
      <w:r w:rsidRPr="00516A8C">
        <w:rPr>
          <w:sz w:val="22"/>
          <w:szCs w:val="22"/>
          <w:highlight w:val="white"/>
        </w:rPr>
        <w:t xml:space="preserve"> </w:t>
      </w:r>
    </w:p>
    <w:p w14:paraId="36665B86" w14:textId="77777777" w:rsidR="00516A8C" w:rsidRPr="00516A8C" w:rsidRDefault="00516A8C" w:rsidP="00516A8C">
      <w:pPr>
        <w:rPr>
          <w:sz w:val="22"/>
          <w:szCs w:val="22"/>
          <w:highlight w:val="white"/>
        </w:rPr>
      </w:pPr>
      <w:r w:rsidRPr="00516A8C">
        <w:rPr>
          <w:sz w:val="22"/>
          <w:szCs w:val="22"/>
          <w:highlight w:val="white"/>
        </w:rPr>
        <w:t xml:space="preserve">Gonot-Schoupinsky, F., Garip, G. and Sheffield, D., (2022). The engage-disengage model as an inclusive model for the promotion of healthy and successful aging in the oldest-old. </w:t>
      </w:r>
      <w:r w:rsidRPr="00516A8C">
        <w:rPr>
          <w:i/>
          <w:iCs/>
          <w:sz w:val="22"/>
          <w:szCs w:val="22"/>
          <w:highlight w:val="white"/>
        </w:rPr>
        <w:t>Activities, Adaptation &amp; Aging</w:t>
      </w:r>
      <w:r w:rsidRPr="00516A8C">
        <w:rPr>
          <w:sz w:val="22"/>
          <w:szCs w:val="22"/>
          <w:highlight w:val="white"/>
        </w:rPr>
        <w:t xml:space="preserve">, </w:t>
      </w:r>
      <w:r w:rsidRPr="00516A8C">
        <w:rPr>
          <w:i/>
          <w:iCs/>
          <w:sz w:val="22"/>
          <w:szCs w:val="22"/>
          <w:highlight w:val="white"/>
        </w:rPr>
        <w:t>46</w:t>
      </w:r>
      <w:r w:rsidRPr="00516A8C">
        <w:rPr>
          <w:sz w:val="22"/>
          <w:szCs w:val="22"/>
          <w:highlight w:val="white"/>
        </w:rPr>
        <w:t xml:space="preserve">(2), pp.159-181. </w:t>
      </w:r>
      <w:hyperlink r:id="rId18">
        <w:r w:rsidRPr="00516A8C">
          <w:rPr>
            <w:color w:val="1155CC"/>
            <w:sz w:val="22"/>
            <w:szCs w:val="22"/>
            <w:highlight w:val="white"/>
            <w:u w:val="single"/>
          </w:rPr>
          <w:t>https://www.tandfonline.com/doi/pdf/10.1080/01924788.2021.1970892</w:t>
        </w:r>
      </w:hyperlink>
      <w:r w:rsidRPr="00516A8C">
        <w:rPr>
          <w:sz w:val="22"/>
          <w:szCs w:val="22"/>
          <w:highlight w:val="white"/>
        </w:rPr>
        <w:t xml:space="preserve"> </w:t>
      </w:r>
    </w:p>
    <w:p w14:paraId="0FD1F461" w14:textId="77777777" w:rsidR="00516A8C" w:rsidRPr="00516A8C" w:rsidRDefault="00516A8C" w:rsidP="00516A8C">
      <w:pPr>
        <w:rPr>
          <w:sz w:val="22"/>
          <w:szCs w:val="22"/>
          <w:highlight w:val="white"/>
        </w:rPr>
      </w:pPr>
      <w:r w:rsidRPr="00516A8C">
        <w:rPr>
          <w:sz w:val="22"/>
          <w:szCs w:val="22"/>
          <w:highlight w:val="white"/>
        </w:rPr>
        <w:t xml:space="preserve">Jormand, H., Mohammadi, N., Khani Jeihooni, A. and Afzali Harsini, P., (2022). Self-care behaviors in older adults suffering from knee osteoarthritis: Application of theory of planned behavior. </w:t>
      </w:r>
      <w:r w:rsidRPr="00516A8C">
        <w:rPr>
          <w:i/>
          <w:iCs/>
          <w:sz w:val="22"/>
          <w:szCs w:val="22"/>
          <w:highlight w:val="white"/>
        </w:rPr>
        <w:t>Frontiers in public health</w:t>
      </w:r>
      <w:r w:rsidRPr="00516A8C">
        <w:rPr>
          <w:sz w:val="22"/>
          <w:szCs w:val="22"/>
          <w:highlight w:val="white"/>
        </w:rPr>
        <w:t xml:space="preserve">, </w:t>
      </w:r>
      <w:r w:rsidRPr="00516A8C">
        <w:rPr>
          <w:i/>
          <w:iCs/>
          <w:sz w:val="22"/>
          <w:szCs w:val="22"/>
          <w:highlight w:val="white"/>
        </w:rPr>
        <w:t>10</w:t>
      </w:r>
      <w:r w:rsidRPr="00516A8C">
        <w:rPr>
          <w:sz w:val="22"/>
          <w:szCs w:val="22"/>
          <w:highlight w:val="white"/>
        </w:rPr>
        <w:t xml:space="preserve">, p.958614. </w:t>
      </w:r>
      <w:hyperlink r:id="rId19">
        <w:r w:rsidRPr="00516A8C">
          <w:rPr>
            <w:color w:val="1155CC"/>
            <w:sz w:val="22"/>
            <w:szCs w:val="22"/>
            <w:highlight w:val="white"/>
            <w:u w:val="single"/>
          </w:rPr>
          <w:t>https://doi.org/10.3389/fpubh.2022.958614</w:t>
        </w:r>
      </w:hyperlink>
      <w:r w:rsidRPr="00516A8C">
        <w:rPr>
          <w:sz w:val="22"/>
          <w:szCs w:val="22"/>
          <w:highlight w:val="white"/>
        </w:rPr>
        <w:t xml:space="preserve"> </w:t>
      </w:r>
    </w:p>
    <w:p w14:paraId="0498F8C5" w14:textId="77777777" w:rsidR="00516A8C" w:rsidRPr="00516A8C" w:rsidRDefault="00516A8C" w:rsidP="00516A8C">
      <w:pPr>
        <w:rPr>
          <w:sz w:val="22"/>
          <w:szCs w:val="22"/>
          <w:highlight w:val="white"/>
        </w:rPr>
      </w:pPr>
      <w:r w:rsidRPr="00516A8C">
        <w:rPr>
          <w:sz w:val="22"/>
          <w:szCs w:val="22"/>
          <w:highlight w:val="white"/>
        </w:rPr>
        <w:t xml:space="preserve">Meredith, S.J., Cox, N.J., Ibrahim, K., Higson, J., McNiff, J., Mitchell, S., Rutherford, M., Wijayendran, A., Shenkin, S.D., Kilgour, A.H. and Lim, S.E., (2023). Factors that influence older adults’ participation in physical activity: a systematic review of qualitative studies. </w:t>
      </w:r>
      <w:r w:rsidRPr="00516A8C">
        <w:rPr>
          <w:i/>
          <w:iCs/>
          <w:sz w:val="22"/>
          <w:szCs w:val="22"/>
          <w:highlight w:val="white"/>
        </w:rPr>
        <w:t>Age and ageing</w:t>
      </w:r>
      <w:r w:rsidRPr="00516A8C">
        <w:rPr>
          <w:sz w:val="22"/>
          <w:szCs w:val="22"/>
          <w:highlight w:val="white"/>
        </w:rPr>
        <w:t xml:space="preserve">, </w:t>
      </w:r>
      <w:r w:rsidRPr="00516A8C">
        <w:rPr>
          <w:i/>
          <w:iCs/>
          <w:sz w:val="22"/>
          <w:szCs w:val="22"/>
          <w:highlight w:val="white"/>
        </w:rPr>
        <w:t>52</w:t>
      </w:r>
      <w:r w:rsidRPr="00516A8C">
        <w:rPr>
          <w:sz w:val="22"/>
          <w:szCs w:val="22"/>
          <w:highlight w:val="white"/>
        </w:rPr>
        <w:t xml:space="preserve">(8), p.afad145. </w:t>
      </w:r>
      <w:hyperlink r:id="rId20">
        <w:r w:rsidRPr="00516A8C">
          <w:rPr>
            <w:color w:val="1155CC"/>
            <w:sz w:val="22"/>
            <w:szCs w:val="22"/>
            <w:highlight w:val="white"/>
            <w:u w:val="single"/>
          </w:rPr>
          <w:t>https://doi.org/10.1093/ageing/afad145</w:t>
        </w:r>
      </w:hyperlink>
      <w:r w:rsidRPr="00516A8C">
        <w:rPr>
          <w:color w:val="222222"/>
          <w:sz w:val="22"/>
          <w:szCs w:val="22"/>
          <w:highlight w:val="white"/>
        </w:rPr>
        <w:t xml:space="preserve"> </w:t>
      </w:r>
    </w:p>
    <w:p w14:paraId="7B8C54A3" w14:textId="77777777" w:rsidR="00516A8C" w:rsidRPr="00516A8C" w:rsidRDefault="00516A8C" w:rsidP="00516A8C">
      <w:pPr>
        <w:rPr>
          <w:sz w:val="22"/>
          <w:szCs w:val="22"/>
          <w:highlight w:val="white"/>
        </w:rPr>
      </w:pPr>
      <w:r w:rsidRPr="00516A8C">
        <w:rPr>
          <w:sz w:val="22"/>
          <w:szCs w:val="22"/>
          <w:highlight w:val="white"/>
        </w:rPr>
        <w:t xml:space="preserve">Nemati-Vakilabad, R., Khalili, Z., Ghanbari-Afra, L. and Mirzaei, A., (2023). The prevalence of elder abuse and risk factors: a cross-sectional study of community older adults. </w:t>
      </w:r>
      <w:r w:rsidRPr="00516A8C">
        <w:rPr>
          <w:i/>
          <w:iCs/>
          <w:sz w:val="22"/>
          <w:szCs w:val="22"/>
          <w:highlight w:val="white"/>
        </w:rPr>
        <w:t>BMC geriatrics</w:t>
      </w:r>
      <w:r w:rsidRPr="00516A8C">
        <w:rPr>
          <w:sz w:val="22"/>
          <w:szCs w:val="22"/>
          <w:highlight w:val="white"/>
        </w:rPr>
        <w:t xml:space="preserve">, </w:t>
      </w:r>
      <w:r w:rsidRPr="00516A8C">
        <w:rPr>
          <w:i/>
          <w:iCs/>
          <w:sz w:val="22"/>
          <w:szCs w:val="22"/>
          <w:highlight w:val="white"/>
        </w:rPr>
        <w:t>23</w:t>
      </w:r>
      <w:r w:rsidRPr="00516A8C">
        <w:rPr>
          <w:sz w:val="22"/>
          <w:szCs w:val="22"/>
          <w:highlight w:val="white"/>
        </w:rPr>
        <w:t xml:space="preserve">(1), p.616. </w:t>
      </w:r>
      <w:hyperlink r:id="rId21">
        <w:r w:rsidRPr="00516A8C">
          <w:rPr>
            <w:color w:val="1155CC"/>
            <w:sz w:val="22"/>
            <w:szCs w:val="22"/>
            <w:highlight w:val="white"/>
            <w:u w:val="single"/>
          </w:rPr>
          <w:t>https://link.springer.com/content/pdf/10.1186/s12877-023-04307-0.pdf</w:t>
        </w:r>
      </w:hyperlink>
      <w:r w:rsidRPr="00516A8C">
        <w:rPr>
          <w:sz w:val="22"/>
          <w:szCs w:val="22"/>
          <w:highlight w:val="white"/>
        </w:rPr>
        <w:t xml:space="preserve"> </w:t>
      </w:r>
    </w:p>
    <w:p w14:paraId="5197DE76" w14:textId="77777777" w:rsidR="00516A8C" w:rsidRPr="00516A8C" w:rsidRDefault="00516A8C" w:rsidP="00516A8C">
      <w:pPr>
        <w:rPr>
          <w:sz w:val="22"/>
          <w:szCs w:val="22"/>
          <w:highlight w:val="white"/>
        </w:rPr>
      </w:pPr>
      <w:r w:rsidRPr="00516A8C">
        <w:rPr>
          <w:sz w:val="22"/>
          <w:szCs w:val="22"/>
          <w:highlight w:val="white"/>
        </w:rPr>
        <w:t xml:space="preserve">Polizzi, G., (2025). Digital literacy and strategic (dis) engagement: examining how functional and critical digital literacy shapes participation. </w:t>
      </w:r>
      <w:r w:rsidRPr="00516A8C">
        <w:rPr>
          <w:i/>
          <w:iCs/>
          <w:sz w:val="22"/>
          <w:szCs w:val="22"/>
          <w:highlight w:val="white"/>
        </w:rPr>
        <w:t>Information, Communication &amp; Society</w:t>
      </w:r>
      <w:r w:rsidRPr="00516A8C">
        <w:rPr>
          <w:sz w:val="22"/>
          <w:szCs w:val="22"/>
          <w:highlight w:val="white"/>
        </w:rPr>
        <w:t xml:space="preserve">, </w:t>
      </w:r>
      <w:r w:rsidRPr="00516A8C">
        <w:rPr>
          <w:i/>
          <w:iCs/>
          <w:sz w:val="22"/>
          <w:szCs w:val="22"/>
          <w:highlight w:val="white"/>
        </w:rPr>
        <w:t>28</w:t>
      </w:r>
      <w:r w:rsidRPr="00516A8C">
        <w:rPr>
          <w:sz w:val="22"/>
          <w:szCs w:val="22"/>
          <w:highlight w:val="white"/>
        </w:rPr>
        <w:t xml:space="preserve">(14), pp.2483-2502. </w:t>
      </w:r>
      <w:hyperlink r:id="rId22">
        <w:r w:rsidRPr="00516A8C">
          <w:rPr>
            <w:color w:val="1155CC"/>
            <w:sz w:val="22"/>
            <w:szCs w:val="22"/>
            <w:highlight w:val="white"/>
            <w:u w:val="single"/>
          </w:rPr>
          <w:t>https://www.tandfonline.com/doi/pdf/10.1080/1369118X.2025.2452282</w:t>
        </w:r>
      </w:hyperlink>
      <w:r w:rsidRPr="00516A8C">
        <w:rPr>
          <w:sz w:val="22"/>
          <w:szCs w:val="22"/>
          <w:highlight w:val="white"/>
        </w:rPr>
        <w:t xml:space="preserve"> </w:t>
      </w:r>
    </w:p>
    <w:p w14:paraId="4A3E2869" w14:textId="77777777" w:rsidR="00516A8C" w:rsidRPr="00516A8C" w:rsidRDefault="00516A8C" w:rsidP="00516A8C">
      <w:pPr>
        <w:rPr>
          <w:sz w:val="22"/>
          <w:szCs w:val="22"/>
          <w:highlight w:val="white"/>
        </w:rPr>
      </w:pPr>
      <w:r w:rsidRPr="00516A8C">
        <w:rPr>
          <w:sz w:val="22"/>
          <w:szCs w:val="22"/>
          <w:highlight w:val="white"/>
        </w:rPr>
        <w:lastRenderedPageBreak/>
        <w:t xml:space="preserve">Stelcer, B., Bendowska, A., Karkowska, D. and Baum, E., (2023). Supporting elderly patients in strengthening their personal and spiritual health resources. </w:t>
      </w:r>
      <w:r w:rsidRPr="00516A8C">
        <w:rPr>
          <w:i/>
          <w:iCs/>
          <w:sz w:val="22"/>
          <w:szCs w:val="22"/>
          <w:highlight w:val="white"/>
        </w:rPr>
        <w:t>Frontiers in psychology</w:t>
      </w:r>
      <w:r w:rsidRPr="00516A8C">
        <w:rPr>
          <w:sz w:val="22"/>
          <w:szCs w:val="22"/>
          <w:highlight w:val="white"/>
        </w:rPr>
        <w:t xml:space="preserve">, </w:t>
      </w:r>
      <w:r w:rsidRPr="00516A8C">
        <w:rPr>
          <w:i/>
          <w:iCs/>
          <w:sz w:val="22"/>
          <w:szCs w:val="22"/>
          <w:highlight w:val="white"/>
        </w:rPr>
        <w:t>14</w:t>
      </w:r>
      <w:r w:rsidRPr="00516A8C">
        <w:rPr>
          <w:sz w:val="22"/>
          <w:szCs w:val="22"/>
          <w:highlight w:val="white"/>
        </w:rPr>
        <w:t xml:space="preserve">, p.1237138. </w:t>
      </w:r>
      <w:hyperlink r:id="rId23">
        <w:r w:rsidRPr="00516A8C">
          <w:rPr>
            <w:color w:val="1155CC"/>
            <w:sz w:val="22"/>
            <w:szCs w:val="22"/>
            <w:highlight w:val="white"/>
            <w:u w:val="single"/>
          </w:rPr>
          <w:t>https://doi.org/10.3389/feduc.2023.1228905</w:t>
        </w:r>
      </w:hyperlink>
      <w:r w:rsidRPr="00516A8C">
        <w:rPr>
          <w:sz w:val="22"/>
          <w:szCs w:val="22"/>
          <w:highlight w:val="white"/>
        </w:rPr>
        <w:t xml:space="preserve"> </w:t>
      </w:r>
    </w:p>
    <w:p w14:paraId="4DA1324A" w14:textId="77777777" w:rsidR="00516A8C" w:rsidRPr="00516A8C" w:rsidRDefault="00516A8C" w:rsidP="00516A8C">
      <w:pPr>
        <w:rPr>
          <w:sz w:val="22"/>
          <w:szCs w:val="22"/>
          <w:highlight w:val="white"/>
        </w:rPr>
      </w:pPr>
      <w:r w:rsidRPr="00516A8C">
        <w:rPr>
          <w:sz w:val="22"/>
          <w:szCs w:val="22"/>
          <w:highlight w:val="white"/>
        </w:rPr>
        <w:t xml:space="preserve">Wilberforce, M., Newbould, L., Tucker, S., Mitchell, W. and Niman, D., (2022). Maximising the engagement of older people with mental health needs and dementia with social care. </w:t>
      </w:r>
      <w:r w:rsidRPr="00516A8C">
        <w:rPr>
          <w:i/>
          <w:iCs/>
          <w:sz w:val="22"/>
          <w:szCs w:val="22"/>
          <w:highlight w:val="white"/>
        </w:rPr>
        <w:t>Health &amp; Social Care in the Community</w:t>
      </w:r>
      <w:r w:rsidRPr="00516A8C">
        <w:rPr>
          <w:sz w:val="22"/>
          <w:szCs w:val="22"/>
          <w:highlight w:val="white"/>
        </w:rPr>
        <w:t xml:space="preserve">, </w:t>
      </w:r>
      <w:r w:rsidRPr="00516A8C">
        <w:rPr>
          <w:i/>
          <w:iCs/>
          <w:sz w:val="22"/>
          <w:szCs w:val="22"/>
          <w:highlight w:val="white"/>
        </w:rPr>
        <w:t>30</w:t>
      </w:r>
      <w:r w:rsidRPr="00516A8C">
        <w:rPr>
          <w:sz w:val="22"/>
          <w:szCs w:val="22"/>
          <w:highlight w:val="white"/>
        </w:rPr>
        <w:t xml:space="preserve">(6), pp.e6467-e6474. </w:t>
      </w:r>
      <w:hyperlink r:id="rId24">
        <w:r w:rsidRPr="00516A8C">
          <w:rPr>
            <w:color w:val="1155CC"/>
            <w:sz w:val="22"/>
            <w:szCs w:val="22"/>
            <w:highlight w:val="white"/>
            <w:u w:val="single"/>
          </w:rPr>
          <w:t>https://onlinelibrary.wiley.com/doi/pdfdirect/10.1111/hsc.14091</w:t>
        </w:r>
      </w:hyperlink>
      <w:r w:rsidRPr="00516A8C">
        <w:rPr>
          <w:sz w:val="22"/>
          <w:szCs w:val="22"/>
          <w:highlight w:val="white"/>
        </w:rPr>
        <w:t xml:space="preserve"> </w:t>
      </w:r>
    </w:p>
    <w:p w14:paraId="57782378" w14:textId="77777777" w:rsidR="000C42F8" w:rsidRPr="00B378DE" w:rsidRDefault="000C42F8" w:rsidP="00B378DE"/>
    <w:sectPr w:rsidR="000C42F8" w:rsidRPr="00B378DE" w:rsidSect="00EF7850">
      <w:footerReference w:type="default" r:id="rId2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5C5B2" w14:textId="77777777" w:rsidR="00200DE7" w:rsidRPr="00370360" w:rsidRDefault="00200DE7">
      <w:pPr>
        <w:spacing w:line="240" w:lineRule="auto"/>
      </w:pPr>
      <w:r w:rsidRPr="00370360">
        <w:separator/>
      </w:r>
    </w:p>
  </w:endnote>
  <w:endnote w:type="continuationSeparator" w:id="0">
    <w:p w14:paraId="4803656E" w14:textId="77777777" w:rsidR="00200DE7" w:rsidRPr="00370360" w:rsidRDefault="00200DE7">
      <w:pPr>
        <w:spacing w:line="240" w:lineRule="auto"/>
      </w:pPr>
      <w:r w:rsidRPr="0037036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960136A4-CD91-4933-995F-12F8E4BC0BCF}"/>
  </w:font>
  <w:font w:name="Cambria">
    <w:panose1 w:val="02040503050406030204"/>
    <w:charset w:val="00"/>
    <w:family w:val="roman"/>
    <w:pitch w:val="variable"/>
    <w:sig w:usb0="E00006FF" w:usb1="420024FF" w:usb2="02000000" w:usb3="00000000" w:csb0="0000019F" w:csb1="00000000"/>
    <w:embedRegular r:id="rId2" w:fontKey="{40D84FEC-FA77-41E7-9D55-62F05EE24ACC}"/>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1160586279"/>
      <w:docPartObj>
        <w:docPartGallery w:val="Page Numbers (Bottom of Page)"/>
        <w:docPartUnique/>
      </w:docPartObj>
    </w:sdtPr>
    <w:sdtEndPr/>
    <w:sdtContent>
      <w:p w14:paraId="6DB03CC3" w14:textId="09D4093F" w:rsidR="00EF7850" w:rsidRPr="00370360" w:rsidRDefault="00EF7850">
        <w:pPr>
          <w:pStyle w:val="Footer"/>
          <w:jc w:val="right"/>
          <w:rPr>
            <w:rFonts w:ascii="Times New Roman" w:hAnsi="Times New Roman" w:cs="Times New Roman"/>
            <w:sz w:val="20"/>
            <w:szCs w:val="20"/>
          </w:rPr>
        </w:pPr>
        <w:r w:rsidRPr="00370360">
          <w:rPr>
            <w:rFonts w:ascii="Times New Roman" w:hAnsi="Times New Roman" w:cs="Times New Roman"/>
            <w:sz w:val="20"/>
            <w:szCs w:val="20"/>
          </w:rPr>
          <w:fldChar w:fldCharType="begin"/>
        </w:r>
        <w:r w:rsidRPr="00370360">
          <w:rPr>
            <w:rFonts w:ascii="Times New Roman" w:hAnsi="Times New Roman" w:cs="Times New Roman"/>
            <w:sz w:val="20"/>
            <w:szCs w:val="20"/>
          </w:rPr>
          <w:instrText xml:space="preserve"> PAGE   \* MERGEFORMAT </w:instrText>
        </w:r>
        <w:r w:rsidRPr="00370360">
          <w:rPr>
            <w:rFonts w:ascii="Times New Roman" w:hAnsi="Times New Roman" w:cs="Times New Roman"/>
            <w:sz w:val="20"/>
            <w:szCs w:val="20"/>
          </w:rPr>
          <w:fldChar w:fldCharType="separate"/>
        </w:r>
        <w:r w:rsidR="000E3A40">
          <w:rPr>
            <w:rFonts w:ascii="Times New Roman" w:hAnsi="Times New Roman" w:cs="Times New Roman"/>
            <w:noProof/>
            <w:sz w:val="20"/>
            <w:szCs w:val="20"/>
          </w:rPr>
          <w:t>10</w:t>
        </w:r>
        <w:r w:rsidRPr="00370360">
          <w:rPr>
            <w:rFonts w:ascii="Times New Roman" w:hAnsi="Times New Roman" w:cs="Times New Roman"/>
            <w:sz w:val="20"/>
            <w:szCs w:val="20"/>
          </w:rPr>
          <w:fldChar w:fldCharType="end"/>
        </w:r>
      </w:p>
    </w:sdtContent>
  </w:sdt>
  <w:p w14:paraId="06DECA2E" w14:textId="5307CF80" w:rsidR="004E3425" w:rsidRPr="00370360" w:rsidRDefault="004E3425" w:rsidP="00F8010D">
    <w:pP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FF41E5" w14:textId="77777777" w:rsidR="00200DE7" w:rsidRPr="00370360" w:rsidRDefault="00200DE7">
      <w:pPr>
        <w:spacing w:line="240" w:lineRule="auto"/>
      </w:pPr>
      <w:r w:rsidRPr="00370360">
        <w:separator/>
      </w:r>
    </w:p>
  </w:footnote>
  <w:footnote w:type="continuationSeparator" w:id="0">
    <w:p w14:paraId="65A6FE5E" w14:textId="77777777" w:rsidR="00200DE7" w:rsidRPr="00370360" w:rsidRDefault="00200DE7">
      <w:pPr>
        <w:spacing w:line="240" w:lineRule="auto"/>
      </w:pPr>
      <w:r w:rsidRPr="0037036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46162"/>
    <w:multiLevelType w:val="multilevel"/>
    <w:tmpl w:val="0706AA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523D93"/>
    <w:multiLevelType w:val="hybridMultilevel"/>
    <w:tmpl w:val="52B0A6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0CE2D85"/>
    <w:multiLevelType w:val="multilevel"/>
    <w:tmpl w:val="00843A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6094081"/>
    <w:multiLevelType w:val="multilevel"/>
    <w:tmpl w:val="908010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D996186"/>
    <w:multiLevelType w:val="multilevel"/>
    <w:tmpl w:val="2A9AC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DD84F40"/>
    <w:multiLevelType w:val="multilevel"/>
    <w:tmpl w:val="1D7C8B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02041B3"/>
    <w:multiLevelType w:val="multilevel"/>
    <w:tmpl w:val="4746BD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73600A1"/>
    <w:multiLevelType w:val="multilevel"/>
    <w:tmpl w:val="BA803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9D8039F"/>
    <w:multiLevelType w:val="multilevel"/>
    <w:tmpl w:val="3EBE7A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E1D1738"/>
    <w:multiLevelType w:val="multilevel"/>
    <w:tmpl w:val="E18083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13B2A30"/>
    <w:multiLevelType w:val="multilevel"/>
    <w:tmpl w:val="5FF83C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9E16E1A"/>
    <w:multiLevelType w:val="hybridMultilevel"/>
    <w:tmpl w:val="641880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C767C15"/>
    <w:multiLevelType w:val="multilevel"/>
    <w:tmpl w:val="0B2049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6"/>
  </w:num>
  <w:num w:numId="3">
    <w:abstractNumId w:val="7"/>
  </w:num>
  <w:num w:numId="4">
    <w:abstractNumId w:val="4"/>
  </w:num>
  <w:num w:numId="5">
    <w:abstractNumId w:val="12"/>
  </w:num>
  <w:num w:numId="6">
    <w:abstractNumId w:val="10"/>
  </w:num>
  <w:num w:numId="7">
    <w:abstractNumId w:val="3"/>
  </w:num>
  <w:num w:numId="8">
    <w:abstractNumId w:val="2"/>
  </w:num>
  <w:num w:numId="9">
    <w:abstractNumId w:val="8"/>
  </w:num>
  <w:num w:numId="10">
    <w:abstractNumId w:val="9"/>
  </w:num>
  <w:num w:numId="11">
    <w:abstractNumId w:val="1"/>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425"/>
    <w:rsid w:val="000050E9"/>
    <w:rsid w:val="000C42F8"/>
    <w:rsid w:val="000C6C61"/>
    <w:rsid w:val="000D0445"/>
    <w:rsid w:val="000D1B99"/>
    <w:rsid w:val="000E3A40"/>
    <w:rsid w:val="001E7901"/>
    <w:rsid w:val="001F3554"/>
    <w:rsid w:val="00200DE7"/>
    <w:rsid w:val="00204D7D"/>
    <w:rsid w:val="00231D75"/>
    <w:rsid w:val="00232EF9"/>
    <w:rsid w:val="002C43DE"/>
    <w:rsid w:val="00345C53"/>
    <w:rsid w:val="00370360"/>
    <w:rsid w:val="00375DCD"/>
    <w:rsid w:val="00396BAE"/>
    <w:rsid w:val="003B584B"/>
    <w:rsid w:val="003F4846"/>
    <w:rsid w:val="00417891"/>
    <w:rsid w:val="0045348C"/>
    <w:rsid w:val="004D6C43"/>
    <w:rsid w:val="004E3425"/>
    <w:rsid w:val="00516A8C"/>
    <w:rsid w:val="00526726"/>
    <w:rsid w:val="005B3C8F"/>
    <w:rsid w:val="005B6271"/>
    <w:rsid w:val="00692C2F"/>
    <w:rsid w:val="006C3902"/>
    <w:rsid w:val="00720174"/>
    <w:rsid w:val="00770275"/>
    <w:rsid w:val="00773336"/>
    <w:rsid w:val="00776D5A"/>
    <w:rsid w:val="00782509"/>
    <w:rsid w:val="00785431"/>
    <w:rsid w:val="00795005"/>
    <w:rsid w:val="007B2D44"/>
    <w:rsid w:val="007E0BD4"/>
    <w:rsid w:val="007F0A04"/>
    <w:rsid w:val="008112B1"/>
    <w:rsid w:val="008B272D"/>
    <w:rsid w:val="008C18F0"/>
    <w:rsid w:val="008C1DAA"/>
    <w:rsid w:val="009157E9"/>
    <w:rsid w:val="00967D48"/>
    <w:rsid w:val="00984F36"/>
    <w:rsid w:val="00A14EBB"/>
    <w:rsid w:val="00A61C50"/>
    <w:rsid w:val="00AB7303"/>
    <w:rsid w:val="00B015B1"/>
    <w:rsid w:val="00B21D10"/>
    <w:rsid w:val="00B378DE"/>
    <w:rsid w:val="00B60F62"/>
    <w:rsid w:val="00B63E68"/>
    <w:rsid w:val="00B84710"/>
    <w:rsid w:val="00C03867"/>
    <w:rsid w:val="00C40776"/>
    <w:rsid w:val="00C5031A"/>
    <w:rsid w:val="00C6589E"/>
    <w:rsid w:val="00C80116"/>
    <w:rsid w:val="00C91A8F"/>
    <w:rsid w:val="00CC6425"/>
    <w:rsid w:val="00D938CE"/>
    <w:rsid w:val="00D963FE"/>
    <w:rsid w:val="00DA428D"/>
    <w:rsid w:val="00DD5742"/>
    <w:rsid w:val="00DF72C8"/>
    <w:rsid w:val="00E614B8"/>
    <w:rsid w:val="00E87F3C"/>
    <w:rsid w:val="00EA663F"/>
    <w:rsid w:val="00EC6D87"/>
    <w:rsid w:val="00EE6143"/>
    <w:rsid w:val="00EF7850"/>
    <w:rsid w:val="00F31AC2"/>
    <w:rsid w:val="00F8010D"/>
    <w:rsid w:val="00FC117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CA46C"/>
  <w15:docId w15:val="{E0CF70E1-2113-4D4F-8B23-E4BEF6899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uiPriority w:val="9"/>
    <w:qFormat/>
    <w:rsid w:val="00773336"/>
    <w:pPr>
      <w:keepNext/>
      <w:keepLines/>
      <w:spacing w:before="200" w:after="240"/>
      <w:outlineLvl w:val="0"/>
    </w:pPr>
    <w:rPr>
      <w:rFonts w:cs="Times New Roman"/>
      <w:b/>
      <w:bCs/>
      <w:noProof/>
      <w:sz w:val="22"/>
    </w:rPr>
  </w:style>
  <w:style w:type="paragraph" w:styleId="Heading2">
    <w:name w:val="heading 2"/>
    <w:basedOn w:val="Normal"/>
    <w:next w:val="Normal"/>
    <w:uiPriority w:val="9"/>
    <w:unhideWhenUsed/>
    <w:qFormat/>
    <w:rsid w:val="00773336"/>
    <w:pPr>
      <w:keepNext/>
      <w:keepLines/>
      <w:spacing w:before="200" w:after="240"/>
      <w:outlineLvl w:val="1"/>
    </w:pPr>
    <w:rPr>
      <w:rFonts w:cs="Times New Roman"/>
      <w:b/>
      <w:bCs/>
      <w:noProof/>
      <w:sz w:val="22"/>
    </w:rPr>
  </w:style>
  <w:style w:type="paragraph" w:styleId="Heading3">
    <w:name w:val="heading 3"/>
    <w:basedOn w:val="Normal"/>
    <w:next w:val="Normal"/>
    <w:uiPriority w:val="9"/>
    <w:unhideWhenUsed/>
    <w:qFormat/>
    <w:rsid w:val="00967D48"/>
    <w:pPr>
      <w:keepNext/>
      <w:keepLines/>
      <w:spacing w:before="200"/>
      <w:outlineLvl w:val="2"/>
    </w:pPr>
    <w:rPr>
      <w:b/>
      <w:bCs/>
      <w:sz w:val="22"/>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200"/>
      <w:jc w:val="center"/>
    </w:pPr>
    <w:rPr>
      <w:b/>
      <w:bCs/>
      <w:sz w:val="32"/>
      <w:szCs w:val="3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C80116"/>
    <w:pPr>
      <w:tabs>
        <w:tab w:val="center" w:pos="4513"/>
        <w:tab w:val="right" w:pos="9026"/>
      </w:tabs>
      <w:spacing w:line="240" w:lineRule="auto"/>
    </w:pPr>
  </w:style>
  <w:style w:type="character" w:customStyle="1" w:styleId="HeaderChar">
    <w:name w:val="Header Char"/>
    <w:basedOn w:val="DefaultParagraphFont"/>
    <w:link w:val="Header"/>
    <w:uiPriority w:val="99"/>
    <w:rsid w:val="00C80116"/>
  </w:style>
  <w:style w:type="paragraph" w:styleId="Footer">
    <w:name w:val="footer"/>
    <w:basedOn w:val="Normal"/>
    <w:link w:val="FooterChar"/>
    <w:uiPriority w:val="99"/>
    <w:unhideWhenUsed/>
    <w:rsid w:val="00C80116"/>
    <w:pPr>
      <w:tabs>
        <w:tab w:val="center" w:pos="4513"/>
        <w:tab w:val="right" w:pos="9026"/>
      </w:tabs>
      <w:spacing w:line="240" w:lineRule="auto"/>
    </w:pPr>
  </w:style>
  <w:style w:type="character" w:customStyle="1" w:styleId="FooterChar">
    <w:name w:val="Footer Char"/>
    <w:basedOn w:val="DefaultParagraphFont"/>
    <w:link w:val="Footer"/>
    <w:uiPriority w:val="99"/>
    <w:rsid w:val="00C80116"/>
  </w:style>
  <w:style w:type="paragraph" w:styleId="TOCHeading">
    <w:name w:val="TOC Heading"/>
    <w:basedOn w:val="Heading1"/>
    <w:next w:val="Normal"/>
    <w:uiPriority w:val="39"/>
    <w:unhideWhenUsed/>
    <w:qFormat/>
    <w:rsid w:val="00417891"/>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417891"/>
    <w:pPr>
      <w:spacing w:after="100"/>
    </w:pPr>
  </w:style>
  <w:style w:type="paragraph" w:styleId="TOC2">
    <w:name w:val="toc 2"/>
    <w:basedOn w:val="Normal"/>
    <w:next w:val="Normal"/>
    <w:autoRedefine/>
    <w:uiPriority w:val="39"/>
    <w:unhideWhenUsed/>
    <w:rsid w:val="00417891"/>
    <w:pPr>
      <w:spacing w:after="100"/>
      <w:ind w:left="240"/>
    </w:pPr>
  </w:style>
  <w:style w:type="paragraph" w:styleId="TOC3">
    <w:name w:val="toc 3"/>
    <w:basedOn w:val="Normal"/>
    <w:next w:val="Normal"/>
    <w:autoRedefine/>
    <w:uiPriority w:val="39"/>
    <w:unhideWhenUsed/>
    <w:rsid w:val="00417891"/>
    <w:pPr>
      <w:spacing w:after="100"/>
      <w:ind w:left="480"/>
    </w:pPr>
  </w:style>
  <w:style w:type="character" w:styleId="Hyperlink">
    <w:name w:val="Hyperlink"/>
    <w:basedOn w:val="DefaultParagraphFont"/>
    <w:uiPriority w:val="99"/>
    <w:unhideWhenUsed/>
    <w:rsid w:val="00417891"/>
    <w:rPr>
      <w:color w:val="0000FF" w:themeColor="hyperlink"/>
      <w:u w:val="single"/>
    </w:rPr>
  </w:style>
  <w:style w:type="paragraph" w:styleId="BodyText">
    <w:name w:val="Body Text"/>
    <w:basedOn w:val="Normal"/>
    <w:link w:val="BodyTextChar"/>
    <w:uiPriority w:val="1"/>
    <w:qFormat/>
    <w:rsid w:val="00984F36"/>
    <w:pPr>
      <w:widowControl w:val="0"/>
      <w:autoSpaceDE w:val="0"/>
      <w:autoSpaceDN w:val="0"/>
      <w:spacing w:line="240" w:lineRule="auto"/>
      <w:jc w:val="left"/>
    </w:pPr>
    <w:rPr>
      <w:i/>
      <w:iCs/>
      <w:lang w:val="en-US" w:eastAsia="en-US"/>
    </w:rPr>
  </w:style>
  <w:style w:type="character" w:customStyle="1" w:styleId="BodyTextChar">
    <w:name w:val="Body Text Char"/>
    <w:basedOn w:val="DefaultParagraphFont"/>
    <w:link w:val="BodyText"/>
    <w:uiPriority w:val="1"/>
    <w:rsid w:val="00984F36"/>
    <w:rPr>
      <w:i/>
      <w:iCs/>
      <w:lang w:val="en-US" w:eastAsia="en-US"/>
    </w:rPr>
  </w:style>
  <w:style w:type="paragraph" w:styleId="ListParagraph">
    <w:name w:val="List Paragraph"/>
    <w:basedOn w:val="Normal"/>
    <w:uiPriority w:val="34"/>
    <w:qFormat/>
    <w:rsid w:val="00984F36"/>
    <w:pPr>
      <w:ind w:left="720"/>
      <w:contextualSpacing/>
    </w:pPr>
  </w:style>
  <w:style w:type="table" w:styleId="TableGrid">
    <w:name w:val="Table Grid"/>
    <w:basedOn w:val="TableNormal"/>
    <w:uiPriority w:val="39"/>
    <w:rsid w:val="002C43DE"/>
    <w:pPr>
      <w:spacing w:line="240" w:lineRule="auto"/>
      <w:jc w:val="left"/>
    </w:pPr>
    <w:rPr>
      <w:rFonts w:asciiTheme="minorHAnsi" w:eastAsiaTheme="minorHAnsi" w:hAnsiTheme="minorHAnsi" w:cstheme="minorBidi"/>
      <w:kern w:val="2"/>
      <w:sz w:val="22"/>
      <w:szCs w:val="22"/>
      <w:lang w:val="en-IN"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3F4846"/>
    <w:rPr>
      <w:color w:val="605E5C"/>
      <w:shd w:val="clear" w:color="auto" w:fill="E1DFDD"/>
    </w:rPr>
  </w:style>
  <w:style w:type="paragraph" w:customStyle="1" w:styleId="Normal2">
    <w:name w:val="Normal2"/>
    <w:rsid w:val="00231D75"/>
    <w:pPr>
      <w:spacing w:line="276" w:lineRule="auto"/>
      <w:jc w:val="left"/>
    </w:pPr>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www.tandfonline.com/doi/pdf/10.1080/01924788.2021.197089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ink.springer.com/content/pdf/10.1186/s12877-023-04307-0.pdf" TargetMode="External"/><Relationship Id="rId7" Type="http://schemas.openxmlformats.org/officeDocument/2006/relationships/endnotes" Target="endnotes.xml"/><Relationship Id="rId12" Type="http://schemas.openxmlformats.org/officeDocument/2006/relationships/hyperlink" Target="https://doi.org/10.1038/s41598-024-66919-9" TargetMode="External"/><Relationship Id="rId17" Type="http://schemas.openxmlformats.org/officeDocument/2006/relationships/hyperlink" Target="https://link.springer.com/content/pdf/10.1186/s12875-021-01616-4.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frontiersin.org/journals/public-health/articles/10.3389/fpubh.2024.1446246/pdf" TargetMode="External"/><Relationship Id="rId20" Type="http://schemas.openxmlformats.org/officeDocument/2006/relationships/hyperlink" Target="https://doi.org/10.1093/ageing/afad1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89/fpubh.2022.958614" TargetMode="External"/><Relationship Id="rId24" Type="http://schemas.openxmlformats.org/officeDocument/2006/relationships/hyperlink" Target="https://onlinelibrary.wiley.com/doi/pdfdirect/10.1111/hsc.14091" TargetMode="External"/><Relationship Id="rId5" Type="http://schemas.openxmlformats.org/officeDocument/2006/relationships/webSettings" Target="webSettings.xml"/><Relationship Id="rId15" Type="http://schemas.openxmlformats.org/officeDocument/2006/relationships/hyperlink" Target="https://www.frontiersin.org/journals/psychology/articles/10.3389/fpsyg.2022.807726/pdf" TargetMode="External"/><Relationship Id="rId23" Type="http://schemas.openxmlformats.org/officeDocument/2006/relationships/hyperlink" Target="https://doi.org/10.3389/feduc.2023.1228905" TargetMode="External"/><Relationship Id="rId10" Type="http://schemas.openxmlformats.org/officeDocument/2006/relationships/hyperlink" Target="https://doi.org/10.1093/ageing/afad145" TargetMode="External"/><Relationship Id="rId19" Type="http://schemas.openxmlformats.org/officeDocument/2006/relationships/hyperlink" Target="https://doi.org/10.3389/fpubh.2022.958614" TargetMode="External"/><Relationship Id="rId4" Type="http://schemas.openxmlformats.org/officeDocument/2006/relationships/settings" Target="settings.xml"/><Relationship Id="rId9" Type="http://schemas.openxmlformats.org/officeDocument/2006/relationships/hyperlink" Target="https://doi.org/10.3389/feduc.2023.1228905" TargetMode="External"/><Relationship Id="rId14" Type="http://schemas.openxmlformats.org/officeDocument/2006/relationships/hyperlink" Target="https://doi.org/10.1038/s41598-024-66919-9" TargetMode="External"/><Relationship Id="rId22" Type="http://schemas.openxmlformats.org/officeDocument/2006/relationships/hyperlink" Target="https://www.tandfonline.com/doi/pdf/10.1080/1369118X.2025.2452282"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6B669-4669-48E0-8F6D-176450419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10</Pages>
  <Words>2742</Words>
  <Characters>15630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4</cp:revision>
  <dcterms:created xsi:type="dcterms:W3CDTF">2026-03-02T14:02:00Z</dcterms:created>
  <dcterms:modified xsi:type="dcterms:W3CDTF">2026-03-18T12:44:00Z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04d53f10-0646-45af-b514-2f36091b88e6</vt:lpwstr>
  </property>
</Properties>
</file>