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334" w:type="dxa"/>
        <w:tblLook w:val="04A0" w:firstRow="1" w:lastRow="0" w:firstColumn="1" w:lastColumn="0" w:noHBand="0" w:noVBand="1"/>
      </w:tblPr>
      <w:tblGrid>
        <w:gridCol w:w="4666"/>
        <w:gridCol w:w="4668"/>
      </w:tblGrid>
      <w:tr w:rsidR="00360F6B" w:rsidRPr="00DC242C" w14:paraId="348A2923" w14:textId="77777777" w:rsidTr="00360F6B">
        <w:trPr>
          <w:trHeight w:val="760"/>
        </w:trPr>
        <w:tc>
          <w:tcPr>
            <w:tcW w:w="4666" w:type="dxa"/>
          </w:tcPr>
          <w:p w14:paraId="66A470A9" w14:textId="7F92D4E0" w:rsidR="00360F6B" w:rsidRPr="00DC242C" w:rsidRDefault="00C1372D" w:rsidP="0021658A">
            <w:pPr>
              <w:rPr>
                <w:rStyle w:val="Hyperlink"/>
                <w:rFonts w:ascii="Times New Roman" w:eastAsia="Times New Roman" w:hAnsi="Times New Roman" w:cs="Times New Roman"/>
                <w:b/>
                <w:bCs/>
                <w:color w:val="000000"/>
                <w:shd w:val="clear" w:color="auto" w:fill="FFFFFF"/>
              </w:rPr>
            </w:pPr>
            <w:proofErr w:type="spellStart"/>
            <w:r w:rsidRPr="00DC242C">
              <w:rPr>
                <w:rStyle w:val="Hyperlink"/>
                <w:rFonts w:ascii="Times New Roman" w:eastAsia="Times New Roman" w:hAnsi="Times New Roman" w:cs="Times New Roman"/>
                <w:b/>
                <w:bCs/>
                <w:color w:val="000000"/>
                <w:shd w:val="clear" w:color="auto" w:fill="FFFFFF"/>
              </w:rPr>
              <w:t>Targed</w:t>
            </w:r>
            <w:proofErr w:type="spellEnd"/>
            <w:r w:rsidRPr="00DC242C">
              <w:rPr>
                <w:rStyle w:val="Hyperlink"/>
                <w:rFonts w:ascii="Times New Roman" w:eastAsia="Times New Roman" w:hAnsi="Times New Roman" w:cs="Times New Roman"/>
                <w:b/>
                <w:bCs/>
                <w:color w:val="000000"/>
                <w:shd w:val="clear" w:color="auto" w:fill="FFFFFF"/>
              </w:rPr>
              <w:t xml:space="preserve"> Un/ Target 1</w:t>
            </w:r>
          </w:p>
        </w:tc>
        <w:tc>
          <w:tcPr>
            <w:tcW w:w="4668" w:type="dxa"/>
          </w:tcPr>
          <w:p w14:paraId="4D82F8A8" w14:textId="67AABFBD" w:rsidR="00360F6B" w:rsidRPr="00DC242C" w:rsidRDefault="00C1372D" w:rsidP="0021658A">
            <w:pPr>
              <w:rPr>
                <w:rStyle w:val="Hyperlink"/>
                <w:rFonts w:ascii="Times New Roman" w:eastAsia="Times New Roman" w:hAnsi="Times New Roman" w:cs="Times New Roman"/>
                <w:color w:val="000000"/>
                <w:u w:val="none"/>
                <w:shd w:val="clear" w:color="auto" w:fill="FFFFFF"/>
              </w:rPr>
            </w:pPr>
            <w:r w:rsidRPr="00DC242C">
              <w:rPr>
                <w:rStyle w:val="Hyperlink"/>
                <w:rFonts w:ascii="Times New Roman" w:eastAsia="Times New Roman" w:hAnsi="Times New Roman" w:cs="Times New Roman"/>
                <w:color w:val="000000"/>
                <w:u w:val="none"/>
                <w:shd w:val="clear" w:color="auto" w:fill="FFFFFF"/>
              </w:rPr>
              <w:t>Engage with the recommended literature</w:t>
            </w:r>
          </w:p>
        </w:tc>
      </w:tr>
      <w:tr w:rsidR="00360F6B" w:rsidRPr="00DC242C" w14:paraId="56F67D62" w14:textId="77777777" w:rsidTr="00360F6B">
        <w:trPr>
          <w:trHeight w:val="697"/>
        </w:trPr>
        <w:tc>
          <w:tcPr>
            <w:tcW w:w="4666" w:type="dxa"/>
          </w:tcPr>
          <w:p w14:paraId="762117FB" w14:textId="3CBDD9D7" w:rsidR="00360F6B" w:rsidRPr="00DC242C" w:rsidRDefault="00C1372D" w:rsidP="0021658A">
            <w:pPr>
              <w:rPr>
                <w:rStyle w:val="Hyperlink"/>
                <w:rFonts w:ascii="Times New Roman" w:eastAsia="Times New Roman" w:hAnsi="Times New Roman" w:cs="Times New Roman"/>
                <w:b/>
                <w:bCs/>
                <w:color w:val="000000"/>
                <w:shd w:val="clear" w:color="auto" w:fill="FFFFFF"/>
              </w:rPr>
            </w:pPr>
            <w:proofErr w:type="spellStart"/>
            <w:r w:rsidRPr="00DC242C">
              <w:rPr>
                <w:rStyle w:val="Hyperlink"/>
                <w:rFonts w:ascii="Times New Roman" w:eastAsia="Times New Roman" w:hAnsi="Times New Roman" w:cs="Times New Roman"/>
                <w:b/>
                <w:bCs/>
                <w:color w:val="000000"/>
                <w:shd w:val="clear" w:color="auto" w:fill="FFFFFF"/>
              </w:rPr>
              <w:t>Targed</w:t>
            </w:r>
            <w:proofErr w:type="spellEnd"/>
            <w:r w:rsidRPr="00DC242C">
              <w:rPr>
                <w:rStyle w:val="Hyperlink"/>
                <w:rFonts w:ascii="Times New Roman" w:eastAsia="Times New Roman" w:hAnsi="Times New Roman" w:cs="Times New Roman"/>
                <w:b/>
                <w:bCs/>
                <w:color w:val="000000"/>
                <w:shd w:val="clear" w:color="auto" w:fill="FFFFFF"/>
              </w:rPr>
              <w:t xml:space="preserve"> </w:t>
            </w:r>
            <w:proofErr w:type="spellStart"/>
            <w:r w:rsidRPr="00DC242C">
              <w:rPr>
                <w:rStyle w:val="Hyperlink"/>
                <w:rFonts w:ascii="Times New Roman" w:eastAsia="Times New Roman" w:hAnsi="Times New Roman" w:cs="Times New Roman"/>
                <w:b/>
                <w:bCs/>
                <w:color w:val="000000"/>
                <w:shd w:val="clear" w:color="auto" w:fill="FFFFFF"/>
              </w:rPr>
              <w:t>Dau</w:t>
            </w:r>
            <w:proofErr w:type="spellEnd"/>
            <w:r w:rsidRPr="00DC242C">
              <w:rPr>
                <w:rStyle w:val="Hyperlink"/>
                <w:rFonts w:ascii="Times New Roman" w:eastAsia="Times New Roman" w:hAnsi="Times New Roman" w:cs="Times New Roman"/>
                <w:b/>
                <w:bCs/>
                <w:color w:val="000000"/>
                <w:shd w:val="clear" w:color="auto" w:fill="FFFFFF"/>
              </w:rPr>
              <w:t>/ Target 2</w:t>
            </w:r>
          </w:p>
        </w:tc>
        <w:tc>
          <w:tcPr>
            <w:tcW w:w="4668" w:type="dxa"/>
          </w:tcPr>
          <w:p w14:paraId="6EA1F9BB" w14:textId="64AD4FA2" w:rsidR="00360F6B" w:rsidRPr="00DC242C" w:rsidRDefault="00DD5FD6" w:rsidP="0021658A">
            <w:pPr>
              <w:rPr>
                <w:rStyle w:val="Hyperlink"/>
                <w:rFonts w:ascii="Times New Roman" w:eastAsia="Times New Roman" w:hAnsi="Times New Roman" w:cs="Times New Roman"/>
                <w:color w:val="000000"/>
                <w:u w:val="none"/>
                <w:shd w:val="clear" w:color="auto" w:fill="FFFFFF"/>
              </w:rPr>
            </w:pPr>
            <w:r w:rsidRPr="00DC242C">
              <w:rPr>
                <w:rStyle w:val="Hyperlink"/>
                <w:rFonts w:ascii="Times New Roman" w:eastAsia="Times New Roman" w:hAnsi="Times New Roman" w:cs="Times New Roman"/>
                <w:color w:val="000000"/>
                <w:u w:val="none"/>
                <w:shd w:val="clear" w:color="auto" w:fill="FFFFFF"/>
              </w:rPr>
              <w:t>Reference correctly</w:t>
            </w:r>
          </w:p>
        </w:tc>
      </w:tr>
    </w:tbl>
    <w:p w14:paraId="1EE06A4D" w14:textId="6798A3C7" w:rsidR="00FC1695" w:rsidRPr="00DC242C" w:rsidRDefault="00FC1695" w:rsidP="0021658A">
      <w:pPr>
        <w:rPr>
          <w:rStyle w:val="Hyperlink"/>
          <w:rFonts w:ascii="Times New Roman" w:eastAsia="Times New Roman" w:hAnsi="Times New Roman" w:cs="Times New Roman"/>
          <w:b/>
          <w:bCs/>
          <w:color w:val="000000"/>
          <w:shd w:val="clear" w:color="auto" w:fill="FFFFFF"/>
        </w:rPr>
      </w:pPr>
    </w:p>
    <w:p w14:paraId="77397365" w14:textId="79A3F117" w:rsidR="00E13597" w:rsidRPr="00E13597" w:rsidRDefault="00DC242C" w:rsidP="0021658A">
      <w:pPr>
        <w:rPr>
          <w:rStyle w:val="Hyperlink"/>
          <w:rFonts w:ascii="Times New Roman" w:eastAsia="Times New Roman" w:hAnsi="Times New Roman" w:cs="Times New Roman"/>
          <w:b/>
          <w:bCs/>
          <w:color w:val="000000"/>
          <w:sz w:val="28"/>
          <w:szCs w:val="28"/>
          <w:u w:val="none"/>
          <w:shd w:val="clear" w:color="auto" w:fill="FFFFFF"/>
        </w:rPr>
      </w:pPr>
      <w:r w:rsidRPr="00DC242C">
        <w:rPr>
          <w:rFonts w:ascii="Times New Roman" w:eastAsia="Times New Roman" w:hAnsi="Times New Roman" w:cs="Times New Roman"/>
          <w:b/>
          <w:bCs/>
          <w:color w:val="000000"/>
          <w:sz w:val="28"/>
          <w:szCs w:val="28"/>
          <w:shd w:val="clear" w:color="auto" w:fill="FFFFFF"/>
        </w:rPr>
        <w:t>Professional and Pedagogic Studies: Leading the Learning: what, how and why am I teaching?</w:t>
      </w:r>
    </w:p>
    <w:p w14:paraId="14621DAB" w14:textId="77777777" w:rsidR="00CF0A20" w:rsidRDefault="00CF0A20" w:rsidP="0015110A">
      <w:pPr>
        <w:spacing w:line="360" w:lineRule="auto"/>
        <w:rPr>
          <w:rStyle w:val="Hyperlink"/>
          <w:rFonts w:ascii="Times New Roman" w:eastAsia="Times New Roman" w:hAnsi="Times New Roman" w:cs="Times New Roman"/>
          <w:b/>
          <w:bCs/>
          <w:color w:val="000000"/>
          <w:shd w:val="clear" w:color="auto" w:fill="FFFFFF"/>
        </w:rPr>
      </w:pPr>
    </w:p>
    <w:p w14:paraId="793BF96C" w14:textId="2164EB2E" w:rsidR="00B046EF" w:rsidRDefault="00B046EF" w:rsidP="0015110A">
      <w:pPr>
        <w:spacing w:line="360" w:lineRule="auto"/>
        <w:rPr>
          <w:rStyle w:val="Hyperlink"/>
          <w:rFonts w:ascii="Times New Roman" w:eastAsia="Times New Roman" w:hAnsi="Times New Roman" w:cs="Times New Roman"/>
          <w:b/>
          <w:bCs/>
          <w:color w:val="000000"/>
          <w:shd w:val="clear" w:color="auto" w:fill="FFFFFF"/>
        </w:rPr>
      </w:pPr>
      <w:r w:rsidRPr="00B00DC5">
        <w:rPr>
          <w:rStyle w:val="Hyperlink"/>
          <w:rFonts w:ascii="Times New Roman" w:eastAsia="Times New Roman" w:hAnsi="Times New Roman" w:cs="Times New Roman"/>
          <w:b/>
          <w:bCs/>
          <w:color w:val="000000"/>
          <w:shd w:val="clear" w:color="auto" w:fill="FFFFFF"/>
        </w:rPr>
        <w:t xml:space="preserve">REFLECTION ON SUBJECT KNOWLEDGE DEVELOPMENT </w:t>
      </w:r>
    </w:p>
    <w:p w14:paraId="379F05E0" w14:textId="428FE38D" w:rsidR="00E13597" w:rsidRPr="00E13597" w:rsidRDefault="00E13597" w:rsidP="0015110A">
      <w:pPr>
        <w:spacing w:line="360" w:lineRule="auto"/>
        <w:rPr>
          <w:rStyle w:val="Hyperlink"/>
          <w:rFonts w:ascii="Times New Roman" w:eastAsia="Times New Roman" w:hAnsi="Times New Roman" w:cs="Times New Roman"/>
          <w:b/>
          <w:bCs/>
          <w:color w:val="000000"/>
          <w:u w:val="none"/>
          <w:shd w:val="clear" w:color="auto" w:fill="FFFFFF"/>
        </w:rPr>
      </w:pPr>
      <w:r>
        <w:rPr>
          <w:rStyle w:val="Hyperlink"/>
          <w:rFonts w:ascii="Times New Roman" w:eastAsia="Times New Roman" w:hAnsi="Times New Roman" w:cs="Times New Roman"/>
          <w:b/>
          <w:bCs/>
          <w:color w:val="000000"/>
          <w:u w:val="none"/>
          <w:shd w:val="clear" w:color="auto" w:fill="FFFFFF"/>
        </w:rPr>
        <w:t xml:space="preserve">Link to Pebble Pad- </w:t>
      </w:r>
      <w:r w:rsidRPr="00E13597">
        <w:rPr>
          <w:rStyle w:val="Hyperlink"/>
          <w:rFonts w:ascii="Times New Roman" w:eastAsia="Times New Roman" w:hAnsi="Times New Roman" w:cs="Times New Roman"/>
          <w:color w:val="000000"/>
          <w:u w:val="none"/>
          <w:shd w:val="clear" w:color="auto" w:fill="FFFFFF"/>
        </w:rPr>
        <w:t>https://v3.pebblepad.co.uk/spa/#/public/kwhG4Zq7qwngZwHd96WWk8bGqW</w:t>
      </w:r>
      <w:r>
        <w:rPr>
          <w:rStyle w:val="Hyperlink"/>
          <w:rFonts w:ascii="Times New Roman" w:eastAsia="Times New Roman" w:hAnsi="Times New Roman" w:cs="Times New Roman"/>
          <w:b/>
          <w:bCs/>
          <w:color w:val="000000"/>
          <w:u w:val="none"/>
          <w:shd w:val="clear" w:color="auto" w:fill="FFFFFF"/>
        </w:rPr>
        <w:t xml:space="preserve">  </w:t>
      </w:r>
    </w:p>
    <w:p w14:paraId="391DBA59" w14:textId="22F3DDA5" w:rsidR="00DC0A3D" w:rsidRPr="00B00DC5" w:rsidRDefault="00DC0A3D" w:rsidP="0015110A">
      <w:pPr>
        <w:spacing w:line="360" w:lineRule="auto"/>
        <w:rPr>
          <w:rStyle w:val="Hyperlink"/>
          <w:rFonts w:ascii="Times New Roman" w:eastAsia="Times New Roman" w:hAnsi="Times New Roman" w:cs="Times New Roman"/>
          <w:b/>
          <w:bCs/>
          <w:color w:val="000000"/>
          <w:shd w:val="clear" w:color="auto" w:fill="FFFFFF"/>
        </w:rPr>
      </w:pPr>
      <w:r w:rsidRPr="00B00DC5">
        <w:rPr>
          <w:rStyle w:val="Hyperlink"/>
          <w:rFonts w:ascii="Times New Roman" w:eastAsia="Times New Roman" w:hAnsi="Times New Roman" w:cs="Times New Roman"/>
          <w:b/>
          <w:bCs/>
          <w:color w:val="000000"/>
          <w:shd w:val="clear" w:color="auto" w:fill="FFFFFF"/>
        </w:rPr>
        <w:t>Asset 1</w:t>
      </w:r>
    </w:p>
    <w:p w14:paraId="1CB4A8C3" w14:textId="072F3555" w:rsidR="0021658A" w:rsidRPr="00B00DC5" w:rsidRDefault="0021658A" w:rsidP="0015110A">
      <w:pPr>
        <w:spacing w:line="360" w:lineRule="auto"/>
        <w:rPr>
          <w:rFonts w:ascii="Times New Roman" w:hAnsi="Times New Roman" w:cs="Times New Roman"/>
          <w:lang w:val="en-US"/>
        </w:rPr>
      </w:pPr>
      <w:r w:rsidRPr="00B00DC5">
        <w:rPr>
          <w:rFonts w:ascii="Times New Roman" w:hAnsi="Times New Roman" w:cs="Times New Roman"/>
          <w:lang w:val="en-US"/>
        </w:rPr>
        <w:t xml:space="preserve">Throughout this essay, the writer’s personal development will be reflected upon and evaluate in accordance with child progression and the incorporation of the Four Purposes. Following this, readings by Donaldson, and other professionals, will be </w:t>
      </w:r>
      <w:proofErr w:type="spellStart"/>
      <w:r w:rsidRPr="00B00DC5">
        <w:rPr>
          <w:rFonts w:ascii="Times New Roman" w:hAnsi="Times New Roman" w:cs="Times New Roman"/>
          <w:lang w:val="en-US"/>
        </w:rPr>
        <w:t>analysed</w:t>
      </w:r>
      <w:proofErr w:type="spellEnd"/>
      <w:r w:rsidRPr="00B00DC5">
        <w:rPr>
          <w:rFonts w:ascii="Times New Roman" w:hAnsi="Times New Roman" w:cs="Times New Roman"/>
          <w:lang w:val="en-US"/>
        </w:rPr>
        <w:t xml:space="preserve"> and </w:t>
      </w:r>
      <w:proofErr w:type="spellStart"/>
      <w:r w:rsidRPr="00B00DC5">
        <w:rPr>
          <w:rFonts w:ascii="Times New Roman" w:hAnsi="Times New Roman" w:cs="Times New Roman"/>
          <w:lang w:val="en-US"/>
        </w:rPr>
        <w:t>synthesised</w:t>
      </w:r>
      <w:proofErr w:type="spellEnd"/>
      <w:r w:rsidRPr="00B00DC5">
        <w:rPr>
          <w:rFonts w:ascii="Times New Roman" w:hAnsi="Times New Roman" w:cs="Times New Roman"/>
          <w:lang w:val="en-US"/>
        </w:rPr>
        <w:t xml:space="preserve"> to pass judgment on further personal progression.</w:t>
      </w:r>
    </w:p>
    <w:p w14:paraId="73DF9D3C" w14:textId="77777777" w:rsidR="0021658A" w:rsidRPr="00B00DC5" w:rsidRDefault="0021658A" w:rsidP="0015110A">
      <w:pPr>
        <w:spacing w:line="360" w:lineRule="auto"/>
        <w:rPr>
          <w:rFonts w:ascii="Times New Roman" w:hAnsi="Times New Roman" w:cs="Times New Roman"/>
          <w:lang w:val="en-US"/>
        </w:rPr>
      </w:pPr>
      <w:r w:rsidRPr="00B00DC5">
        <w:rPr>
          <w:rFonts w:ascii="Times New Roman" w:hAnsi="Times New Roman" w:cs="Times New Roman"/>
          <w:lang w:val="en-US"/>
        </w:rPr>
        <w:t xml:space="preserve">During my experience in PTE 3, the school registered 43% ALN according to </w:t>
      </w:r>
      <w:proofErr w:type="spellStart"/>
      <w:r w:rsidRPr="00B00DC5">
        <w:rPr>
          <w:rFonts w:ascii="Times New Roman" w:hAnsi="Times New Roman" w:cs="Times New Roman"/>
          <w:lang w:val="en-US"/>
        </w:rPr>
        <w:t>Estyn</w:t>
      </w:r>
      <w:proofErr w:type="spellEnd"/>
      <w:r w:rsidRPr="00B00DC5">
        <w:rPr>
          <w:rFonts w:ascii="Times New Roman" w:hAnsi="Times New Roman" w:cs="Times New Roman"/>
          <w:lang w:val="en-US"/>
        </w:rPr>
        <w:t xml:space="preserve"> (in 2016, but it is thought to have stayed at a similar level). As a result of this, the school has a foundation phase and KS2 ALN class. The school felt it was important to address that language can be difficult affecting communication between pupils, and as a result, the school used Makaton universally across the school, as an additional language. In the year one class, I was in, we used it as an aid to complete the register, sing the songs in the morning, and address what will be completed in the day.</w:t>
      </w:r>
    </w:p>
    <w:p w14:paraId="649FF0F8" w14:textId="77777777" w:rsidR="0021658A" w:rsidRPr="00B00DC5" w:rsidRDefault="0021658A" w:rsidP="0015110A">
      <w:pPr>
        <w:spacing w:line="360" w:lineRule="auto"/>
        <w:rPr>
          <w:rFonts w:ascii="Times New Roman" w:hAnsi="Times New Roman" w:cs="Times New Roman"/>
          <w:lang w:val="en-US"/>
        </w:rPr>
      </w:pPr>
      <w:r w:rsidRPr="00B00DC5">
        <w:rPr>
          <w:rFonts w:ascii="Times New Roman" w:hAnsi="Times New Roman" w:cs="Times New Roman"/>
          <w:lang w:val="en-US"/>
        </w:rPr>
        <w:t xml:space="preserve">To aid my personal development in a language I was unfamiliar with within four weeks of live teaching, was a challenge. Speaking with the Year One teacher, who when started the job, was the same ability as Me, she suggested integrating it through social media accounts. </w:t>
      </w:r>
    </w:p>
    <w:p w14:paraId="66EC42C4" w14:textId="77777777" w:rsidR="0021658A" w:rsidRPr="00B00DC5" w:rsidRDefault="0021658A" w:rsidP="0015110A">
      <w:pPr>
        <w:spacing w:line="360" w:lineRule="auto"/>
        <w:rPr>
          <w:rFonts w:ascii="Times New Roman" w:hAnsi="Times New Roman" w:cs="Times New Roman"/>
          <w:lang w:val="en-US"/>
        </w:rPr>
      </w:pPr>
      <w:r w:rsidRPr="00B00DC5">
        <w:rPr>
          <w:rFonts w:ascii="Times New Roman" w:hAnsi="Times New Roman" w:cs="Times New Roman"/>
          <w:lang w:val="en-US"/>
        </w:rPr>
        <w:t>The three social media accounts that have been attached was the way I developed my language in Makaton, in a more relaxed manner. These accounts captivated me, and as a result, I have continued this development. So far, songs have been the main source of learning, with mainly new modern pop songs. This however has the skills that can be transferable to other sentences.</w:t>
      </w:r>
    </w:p>
    <w:p w14:paraId="3C67ACE1" w14:textId="70F504A4" w:rsidR="0021658A" w:rsidRPr="00B00DC5" w:rsidRDefault="0021658A" w:rsidP="0015110A">
      <w:pPr>
        <w:spacing w:line="360" w:lineRule="auto"/>
        <w:rPr>
          <w:rFonts w:ascii="Times New Roman" w:hAnsi="Times New Roman" w:cs="Times New Roman"/>
          <w:lang w:val="en-US"/>
        </w:rPr>
      </w:pPr>
      <w:r w:rsidRPr="00B00DC5">
        <w:rPr>
          <w:rFonts w:ascii="Times New Roman" w:hAnsi="Times New Roman" w:cs="Times New Roman"/>
          <w:lang w:val="en-US"/>
        </w:rPr>
        <w:t>Alongside watching videos of fluent sign speakers, I have chosen to look at the alphabet, as currently, this is a skill the pupils were developing in school. The pupils in school could sing the song, but were now focusing on letter formation and writing them in the correct order. As a result of this, I wanted to be able to sign the letters to help when pupils got stuck. So far this has been helping</w:t>
      </w:r>
    </w:p>
    <w:p w14:paraId="705FFF6A" w14:textId="2A285EB0" w:rsidR="0021658A" w:rsidRPr="00B00DC5" w:rsidRDefault="00DC0A3D" w:rsidP="0015110A">
      <w:pPr>
        <w:spacing w:line="360" w:lineRule="auto"/>
        <w:rPr>
          <w:rFonts w:ascii="Times New Roman" w:hAnsi="Times New Roman" w:cs="Times New Roman"/>
          <w:b/>
          <w:bCs/>
          <w:u w:val="single"/>
          <w:lang w:val="en-US"/>
        </w:rPr>
      </w:pPr>
      <w:r w:rsidRPr="00B00DC5">
        <w:rPr>
          <w:rFonts w:ascii="Times New Roman" w:hAnsi="Times New Roman" w:cs="Times New Roman"/>
          <w:b/>
          <w:bCs/>
          <w:u w:val="single"/>
          <w:lang w:val="en-US"/>
        </w:rPr>
        <w:t>Asset 2</w:t>
      </w:r>
    </w:p>
    <w:p w14:paraId="2DD670E2" w14:textId="77777777" w:rsidR="0021658A" w:rsidRPr="00B00DC5" w:rsidRDefault="0021658A" w:rsidP="0015110A">
      <w:pPr>
        <w:spacing w:line="360" w:lineRule="auto"/>
        <w:rPr>
          <w:rFonts w:ascii="Times New Roman" w:hAnsi="Times New Roman" w:cs="Times New Roman"/>
          <w:lang w:val="en-US"/>
        </w:rPr>
      </w:pPr>
      <w:r w:rsidRPr="00B00DC5">
        <w:rPr>
          <w:rFonts w:ascii="Times New Roman" w:hAnsi="Times New Roman" w:cs="Times New Roman"/>
          <w:lang w:val="en-US"/>
        </w:rPr>
        <w:lastRenderedPageBreak/>
        <w:t>During completion of my GCSEs, one subject that took my interest was computer science, and at the time not being known to me I could use this skill in primary schools, in my particular experience, an after-school club. To me this was already a subject I provided a high level of knowledge in, however, it was now about refining it and applying it to the requirements to teach.</w:t>
      </w:r>
    </w:p>
    <w:p w14:paraId="16B54CD2" w14:textId="77777777" w:rsidR="0021658A" w:rsidRPr="00B00DC5" w:rsidRDefault="0021658A" w:rsidP="0015110A">
      <w:pPr>
        <w:spacing w:line="360" w:lineRule="auto"/>
        <w:rPr>
          <w:rFonts w:ascii="Times New Roman" w:hAnsi="Times New Roman" w:cs="Times New Roman"/>
          <w:lang w:val="en-US"/>
        </w:rPr>
      </w:pPr>
      <w:r w:rsidRPr="00B00DC5">
        <w:rPr>
          <w:rFonts w:ascii="Times New Roman" w:hAnsi="Times New Roman" w:cs="Times New Roman"/>
          <w:lang w:val="en-US"/>
        </w:rPr>
        <w:t>The school already had a Scratch afterschool club, which is a program I became familiar with when I was in school. This program is a child-friendly programming software, that allows the creations of games. This being said, it became apparent to me after the first session, that firstly I needed to recap my subject knowledge, and secondly, it was important for me to check the skills required in the DCF.</w:t>
      </w:r>
    </w:p>
    <w:p w14:paraId="4450C90A" w14:textId="77777777" w:rsidR="0021658A" w:rsidRPr="00B00DC5" w:rsidRDefault="0021658A" w:rsidP="0015110A">
      <w:pPr>
        <w:spacing w:line="360" w:lineRule="auto"/>
        <w:rPr>
          <w:rFonts w:ascii="Times New Roman" w:hAnsi="Times New Roman" w:cs="Times New Roman"/>
          <w:lang w:val="en-US"/>
        </w:rPr>
      </w:pPr>
      <w:r w:rsidRPr="00B00DC5">
        <w:rPr>
          <w:rFonts w:ascii="Times New Roman" w:hAnsi="Times New Roman" w:cs="Times New Roman"/>
          <w:lang w:val="en-US"/>
        </w:rPr>
        <w:t>To complete my personal development in the subject, I attended an online course that allowed me to work my way through not only the world of computing but also gave me insights on how to apply it to other subjects. The initial course has been completed and evidence, and it is within my interest to continue this development using the courses. This course refreshed what I had experience in but this time focusing on the knowledge of the creation of the activity for others (as a teacher’s role) as well as the type of activities that would be relevant for the age group of primary school pupils.</w:t>
      </w:r>
    </w:p>
    <w:p w14:paraId="6A3D59AD" w14:textId="77777777" w:rsidR="0021658A" w:rsidRPr="00B00DC5" w:rsidRDefault="0021658A" w:rsidP="0015110A">
      <w:pPr>
        <w:spacing w:line="360" w:lineRule="auto"/>
        <w:rPr>
          <w:rFonts w:ascii="Times New Roman" w:hAnsi="Times New Roman" w:cs="Times New Roman"/>
          <w:lang w:val="en-US"/>
        </w:rPr>
      </w:pPr>
      <w:r w:rsidRPr="00B00DC5">
        <w:rPr>
          <w:rFonts w:ascii="Times New Roman" w:hAnsi="Times New Roman" w:cs="Times New Roman"/>
          <w:lang w:val="en-US"/>
        </w:rPr>
        <w:t>In addition to completing this course, I took my time reading over the relevant sections of the Digital Competency Framework (DCF). This allowed me to study which skills were best suited for different ability groups, as well as seeing how coding could be used to develop the pupils' digital competence.</w:t>
      </w:r>
    </w:p>
    <w:p w14:paraId="4EA621E8" w14:textId="77777777" w:rsidR="0021658A" w:rsidRPr="00B00DC5" w:rsidRDefault="0021658A" w:rsidP="0015110A">
      <w:pPr>
        <w:spacing w:line="360" w:lineRule="auto"/>
        <w:rPr>
          <w:rFonts w:ascii="Times New Roman" w:hAnsi="Times New Roman" w:cs="Times New Roman"/>
          <w:lang w:val="en-US"/>
        </w:rPr>
      </w:pPr>
    </w:p>
    <w:p w14:paraId="566F95E0" w14:textId="4090A4F0" w:rsidR="0021658A" w:rsidRPr="00B00DC5" w:rsidRDefault="00DC0A3D" w:rsidP="0015110A">
      <w:pPr>
        <w:spacing w:line="360" w:lineRule="auto"/>
        <w:rPr>
          <w:rFonts w:ascii="Times New Roman" w:hAnsi="Times New Roman" w:cs="Times New Roman"/>
          <w:b/>
          <w:bCs/>
          <w:u w:val="single"/>
          <w:lang w:val="en-US"/>
        </w:rPr>
      </w:pPr>
      <w:r w:rsidRPr="00B00DC5">
        <w:rPr>
          <w:rFonts w:ascii="Times New Roman" w:hAnsi="Times New Roman" w:cs="Times New Roman"/>
          <w:b/>
          <w:bCs/>
          <w:u w:val="single"/>
          <w:lang w:val="en-US"/>
        </w:rPr>
        <w:t>Asset 3</w:t>
      </w:r>
    </w:p>
    <w:p w14:paraId="11D58EFD" w14:textId="77777777" w:rsidR="0021658A" w:rsidRPr="00B00DC5" w:rsidRDefault="0021658A" w:rsidP="0015110A">
      <w:pPr>
        <w:spacing w:line="360" w:lineRule="auto"/>
        <w:rPr>
          <w:rFonts w:ascii="Times New Roman" w:hAnsi="Times New Roman" w:cs="Times New Roman"/>
          <w:lang w:val="en-US"/>
        </w:rPr>
      </w:pPr>
      <w:r w:rsidRPr="00B00DC5">
        <w:rPr>
          <w:rFonts w:ascii="Times New Roman" w:hAnsi="Times New Roman" w:cs="Times New Roman"/>
          <w:lang w:val="en-US"/>
        </w:rPr>
        <w:t>It was unplanned to me that during my final placement, in a year one class, I would be caught off the guard not knowing how to answers proposed by the pupils in the guided reading group that I was working with.</w:t>
      </w:r>
    </w:p>
    <w:p w14:paraId="48DB46DE" w14:textId="77777777" w:rsidR="0021658A" w:rsidRPr="00B00DC5" w:rsidRDefault="0021658A" w:rsidP="0015110A">
      <w:pPr>
        <w:spacing w:line="360" w:lineRule="auto"/>
        <w:rPr>
          <w:rFonts w:ascii="Times New Roman" w:hAnsi="Times New Roman" w:cs="Times New Roman"/>
          <w:lang w:val="en-US"/>
        </w:rPr>
      </w:pPr>
      <w:r w:rsidRPr="00B00DC5">
        <w:rPr>
          <w:rFonts w:ascii="Times New Roman" w:hAnsi="Times New Roman" w:cs="Times New Roman"/>
          <w:lang w:val="en-US"/>
        </w:rPr>
        <w:t>The book that the pupils were reading was a fictional story of a child's life during the Chinese New Year. Prior to this lesson, I was aware of the main themes such as the colours of red, dragons, fireworks, and each year is represented by an animal, however when one pupil turned to ask the question of, 'why do they have animals?', It became apparent to me that I was unequipped to answer the question. It is as a result of this that I took to completing research to develop my subject knowledge online.</w:t>
      </w:r>
    </w:p>
    <w:p w14:paraId="1F3A8D04" w14:textId="77777777" w:rsidR="0021658A" w:rsidRPr="00B00DC5" w:rsidRDefault="0021658A" w:rsidP="0015110A">
      <w:pPr>
        <w:spacing w:line="360" w:lineRule="auto"/>
        <w:rPr>
          <w:rFonts w:ascii="Times New Roman" w:hAnsi="Times New Roman" w:cs="Times New Roman"/>
          <w:lang w:val="en-US"/>
        </w:rPr>
      </w:pPr>
      <w:r w:rsidRPr="00B00DC5">
        <w:rPr>
          <w:rFonts w:ascii="Times New Roman" w:hAnsi="Times New Roman" w:cs="Times New Roman"/>
          <w:lang w:val="en-US"/>
        </w:rPr>
        <w:t xml:space="preserve">The first website that was used was </w:t>
      </w:r>
      <w:proofErr w:type="spellStart"/>
      <w:r w:rsidRPr="00B00DC5">
        <w:rPr>
          <w:rFonts w:ascii="Times New Roman" w:hAnsi="Times New Roman" w:cs="Times New Roman"/>
          <w:lang w:val="en-US"/>
        </w:rPr>
        <w:t>Newsround</w:t>
      </w:r>
      <w:proofErr w:type="spellEnd"/>
      <w:r w:rsidRPr="00B00DC5">
        <w:rPr>
          <w:rFonts w:ascii="Times New Roman" w:hAnsi="Times New Roman" w:cs="Times New Roman"/>
          <w:lang w:val="en-US"/>
        </w:rPr>
        <w:t xml:space="preserve">. </w:t>
      </w:r>
      <w:proofErr w:type="spellStart"/>
      <w:r w:rsidRPr="00B00DC5">
        <w:rPr>
          <w:rFonts w:ascii="Times New Roman" w:hAnsi="Times New Roman" w:cs="Times New Roman"/>
          <w:lang w:val="en-US"/>
        </w:rPr>
        <w:t>Newsround</w:t>
      </w:r>
      <w:proofErr w:type="spellEnd"/>
      <w:r w:rsidRPr="00B00DC5">
        <w:rPr>
          <w:rFonts w:ascii="Times New Roman" w:hAnsi="Times New Roman" w:cs="Times New Roman"/>
          <w:lang w:val="en-US"/>
        </w:rPr>
        <w:t xml:space="preserve"> has been a part of my childhood as a resource of information, as well as a teaching resource I have seen and used whilst in placement with other year groups. I was of the belief that the information that was on the website was useful and factual, however, I chose to consult another website to fact check as well as get as much information that the pupils would want to know about. After this, I used a website I was unfamiliar with but the information matched and developed my knowledge to share with the pupils.</w:t>
      </w:r>
    </w:p>
    <w:p w14:paraId="2440882E" w14:textId="77777777" w:rsidR="0021658A" w:rsidRPr="00B00DC5" w:rsidRDefault="0021658A" w:rsidP="0015110A">
      <w:pPr>
        <w:spacing w:line="360" w:lineRule="auto"/>
        <w:rPr>
          <w:rFonts w:ascii="Times New Roman" w:hAnsi="Times New Roman" w:cs="Times New Roman"/>
          <w:lang w:val="en-US"/>
        </w:rPr>
      </w:pPr>
      <w:r w:rsidRPr="00B00DC5">
        <w:rPr>
          <w:rFonts w:ascii="Times New Roman" w:hAnsi="Times New Roman" w:cs="Times New Roman"/>
          <w:lang w:val="en-US"/>
        </w:rPr>
        <w:lastRenderedPageBreak/>
        <w:t>The second website used was USA Today Life. This website became very helpful to me as it answered a lot of the why questions, the questions the pupils cared most about, after what animal they were based on their birth year. This website also explained to me that it was important during the Chinese New Year that people avoid negative expressions towards one another. This became even more useful as a resource as after coming back due to the long period of online learning the pupils' well-being had become even more important. In addition to this, I can see links with this in the new curriculum, and when Donaldson explains in Successful futures</w:t>
      </w:r>
    </w:p>
    <w:p w14:paraId="6B61B153" w14:textId="2EBB0ED3" w:rsidR="0024349C" w:rsidRPr="00B00DC5" w:rsidRDefault="0024349C" w:rsidP="0015110A">
      <w:pPr>
        <w:spacing w:line="360" w:lineRule="auto"/>
        <w:rPr>
          <w:rFonts w:ascii="Times New Roman" w:eastAsia="Times New Roman" w:hAnsi="Times New Roman" w:cs="Times New Roman"/>
          <w:b/>
          <w:bCs/>
          <w:color w:val="000000"/>
          <w:u w:val="single"/>
          <w:shd w:val="clear" w:color="auto" w:fill="FFFFFF"/>
        </w:rPr>
      </w:pPr>
      <w:r w:rsidRPr="00B00DC5">
        <w:rPr>
          <w:rFonts w:ascii="Times New Roman" w:eastAsia="Times New Roman" w:hAnsi="Times New Roman" w:cs="Times New Roman"/>
          <w:b/>
          <w:bCs/>
          <w:color w:val="000000"/>
          <w:u w:val="single"/>
          <w:shd w:val="clear" w:color="auto" w:fill="FFFFFF"/>
        </w:rPr>
        <w:t>Reflection on Planning for Progression</w:t>
      </w:r>
    </w:p>
    <w:p w14:paraId="5F23E129" w14:textId="51EDF1E0" w:rsidR="0024349C" w:rsidRPr="00B00DC5" w:rsidRDefault="0024349C" w:rsidP="0015110A">
      <w:pPr>
        <w:spacing w:line="360" w:lineRule="auto"/>
        <w:rPr>
          <w:rFonts w:ascii="Times New Roman" w:eastAsia="Times New Roman" w:hAnsi="Times New Roman" w:cs="Times New Roman"/>
          <w:b/>
          <w:bCs/>
          <w:color w:val="000000"/>
          <w:u w:val="single"/>
          <w:shd w:val="clear" w:color="auto" w:fill="FFFFFF"/>
        </w:rPr>
      </w:pPr>
      <w:r w:rsidRPr="00B00DC5">
        <w:rPr>
          <w:rFonts w:ascii="Times New Roman" w:eastAsia="Times New Roman" w:hAnsi="Times New Roman" w:cs="Times New Roman"/>
          <w:b/>
          <w:bCs/>
          <w:color w:val="000000"/>
          <w:u w:val="single"/>
          <w:shd w:val="clear" w:color="auto" w:fill="FFFFFF"/>
        </w:rPr>
        <w:t>Professional Learning Template 1</w:t>
      </w:r>
    </w:p>
    <w:p w14:paraId="6E30D375" w14:textId="3535C8B6" w:rsidR="0021658A" w:rsidRPr="00B00DC5" w:rsidRDefault="0021658A" w:rsidP="0015110A">
      <w:pPr>
        <w:spacing w:line="360" w:lineRule="auto"/>
        <w:rPr>
          <w:rFonts w:ascii="Times New Roman" w:hAnsi="Times New Roman" w:cs="Times New Roman"/>
          <w:lang w:val="en-US"/>
        </w:rPr>
      </w:pPr>
      <w:r w:rsidRPr="00B00DC5">
        <w:rPr>
          <w:rFonts w:ascii="Times New Roman" w:hAnsi="Times New Roman" w:cs="Times New Roman"/>
          <w:lang w:val="en-US"/>
        </w:rPr>
        <w:t xml:space="preserve">In one of the enhanced provision activity stations the water station, the pupils were set the challenge of seeing which cup is the hulks. This activity was not initially given to the pupils, whilst the other enhanced provision activities were explained. The reasoning behind this was, I believed that the pupils would not be able to complete the activity in a way that would allow maximum development for the pupils. The activity was only unlocked for the pupils, after completing the 'turning the hulk green' lesson, as the correct terminology was established for the topic of measuring. The lesson on measuring that was completed with the teacher, allowed a modelled approach of using the correct terminology, as well as scaffolding as Wood et al. (1976, p. 90) defines scaffolding as a process "that enables a child or novice to solve a task or achieve a goal that would be beyond his unassisted efforts." Once they had completed this, the pupils could attempt the water challenge, which was to choose the cup that holds the most amount of water that would be suitable to be The Hulk’s cup. Completing the lesson first before allowing the pupils to progress on to the enhanced provision activity, has not been chosen due to the idea of teaching the skill at a concrete level for them to transfer the skills to the new function as the theorists </w:t>
      </w:r>
      <w:proofErr w:type="spellStart"/>
      <w:r w:rsidRPr="00B00DC5">
        <w:rPr>
          <w:rFonts w:ascii="Times New Roman" w:hAnsi="Times New Roman" w:cs="Times New Roman"/>
          <w:lang w:val="en-US"/>
        </w:rPr>
        <w:t>Sulzby</w:t>
      </w:r>
      <w:proofErr w:type="spellEnd"/>
      <w:r w:rsidRPr="00B00DC5">
        <w:rPr>
          <w:rFonts w:ascii="Times New Roman" w:hAnsi="Times New Roman" w:cs="Times New Roman"/>
          <w:lang w:val="en-US"/>
        </w:rPr>
        <w:t xml:space="preserve"> (1983) would suggest in her description of children’s progression in story concept. Instead, the work by Martin Hughes in Progression in Learning which is supported by longitudinal data has been used as the main </w:t>
      </w:r>
      <w:proofErr w:type="gramStart"/>
      <w:r w:rsidRPr="00B00DC5">
        <w:rPr>
          <w:rFonts w:ascii="Times New Roman" w:hAnsi="Times New Roman" w:cs="Times New Roman"/>
          <w:lang w:val="en-US"/>
        </w:rPr>
        <w:t>principle</w:t>
      </w:r>
      <w:proofErr w:type="gramEnd"/>
      <w:r w:rsidRPr="00B00DC5">
        <w:rPr>
          <w:rFonts w:ascii="Times New Roman" w:hAnsi="Times New Roman" w:cs="Times New Roman"/>
          <w:lang w:val="en-US"/>
        </w:rPr>
        <w:t xml:space="preserve"> theory of progression. Hughes (1996) presents that the concrete function/skill is developed alongside the symbol-manipulation function, and they develop together. Incorporating this activity for the pupils to complete, allowed the pupils to progress in the subject-specific skills, whilst in an imaginative and investigated approach. </w:t>
      </w:r>
    </w:p>
    <w:p w14:paraId="622D2F54" w14:textId="77777777" w:rsidR="0021658A" w:rsidRPr="00B00DC5" w:rsidRDefault="0021658A" w:rsidP="0015110A">
      <w:pPr>
        <w:spacing w:line="360" w:lineRule="auto"/>
        <w:rPr>
          <w:rFonts w:ascii="Times New Roman" w:hAnsi="Times New Roman" w:cs="Times New Roman"/>
          <w:lang w:val="en-US"/>
        </w:rPr>
      </w:pPr>
      <w:r w:rsidRPr="00B00DC5">
        <w:rPr>
          <w:rFonts w:ascii="Times New Roman" w:hAnsi="Times New Roman" w:cs="Times New Roman"/>
          <w:lang w:val="en-US"/>
        </w:rPr>
        <w:t xml:space="preserve">The idea to unlock the activities, created a greater drive for the pupils, wanting to complete the lesson. This approach did present both positives and negatives, however, as some pupils wanted to rush the activity if not appropriately controlled, minimalizing the opportunity of skills to be lost.  On the other hand, for some, it increased their drive to learn in the activity, improving engagement and results. I am of the belief that if this set of activities was not to be completed in this order, or if the enhanced provision was given to the pupils right away, the green cup would have been the </w:t>
      </w:r>
      <w:proofErr w:type="spellStart"/>
      <w:r w:rsidRPr="00B00DC5">
        <w:rPr>
          <w:rFonts w:ascii="Times New Roman" w:hAnsi="Times New Roman" w:cs="Times New Roman"/>
          <w:lang w:val="en-US"/>
        </w:rPr>
        <w:t>favoured</w:t>
      </w:r>
      <w:proofErr w:type="spellEnd"/>
      <w:r w:rsidRPr="00B00DC5">
        <w:rPr>
          <w:rFonts w:ascii="Times New Roman" w:hAnsi="Times New Roman" w:cs="Times New Roman"/>
          <w:lang w:val="en-US"/>
        </w:rPr>
        <w:t xml:space="preserve"> option as it was the same </w:t>
      </w:r>
      <w:proofErr w:type="spellStart"/>
      <w:r w:rsidRPr="00B00DC5">
        <w:rPr>
          <w:rFonts w:ascii="Times New Roman" w:hAnsi="Times New Roman" w:cs="Times New Roman"/>
          <w:lang w:val="en-US"/>
        </w:rPr>
        <w:t>colour</w:t>
      </w:r>
      <w:proofErr w:type="spellEnd"/>
      <w:r w:rsidRPr="00B00DC5">
        <w:rPr>
          <w:rFonts w:ascii="Times New Roman" w:hAnsi="Times New Roman" w:cs="Times New Roman"/>
          <w:lang w:val="en-US"/>
        </w:rPr>
        <w:t xml:space="preserve"> as The Hulk. Giving the pupils a progressive selection of activities that unlocked </w:t>
      </w:r>
      <w:r w:rsidRPr="00B00DC5">
        <w:rPr>
          <w:rFonts w:ascii="Times New Roman" w:hAnsi="Times New Roman" w:cs="Times New Roman"/>
          <w:lang w:val="en-US"/>
        </w:rPr>
        <w:lastRenderedPageBreak/>
        <w:t>in completion of the prior activity also saw teamwork and communication improve, with many pupils wanting to complete the task with their friends. This meant that despite the pupil’s ability groups for the teacher task, they could help one another in the enhanced provision measuring activity.</w:t>
      </w:r>
    </w:p>
    <w:p w14:paraId="25D40F94" w14:textId="17DFFE84" w:rsidR="0024349C" w:rsidRPr="00B00DC5" w:rsidRDefault="0024349C" w:rsidP="0015110A">
      <w:pPr>
        <w:spacing w:line="360" w:lineRule="auto"/>
        <w:rPr>
          <w:rFonts w:ascii="Times New Roman" w:eastAsia="Times New Roman" w:hAnsi="Times New Roman" w:cs="Times New Roman"/>
          <w:b/>
          <w:bCs/>
          <w:color w:val="000000"/>
          <w:u w:val="single"/>
          <w:shd w:val="clear" w:color="auto" w:fill="FFFFFF"/>
        </w:rPr>
      </w:pPr>
      <w:r w:rsidRPr="00B00DC5">
        <w:rPr>
          <w:rFonts w:ascii="Times New Roman" w:eastAsia="Times New Roman" w:hAnsi="Times New Roman" w:cs="Times New Roman"/>
          <w:b/>
          <w:bCs/>
          <w:color w:val="000000"/>
          <w:u w:val="single"/>
          <w:shd w:val="clear" w:color="auto" w:fill="FFFFFF"/>
        </w:rPr>
        <w:t xml:space="preserve">Professional Learning Template </w:t>
      </w:r>
      <w:r w:rsidRPr="00B00DC5">
        <w:rPr>
          <w:rFonts w:ascii="Times New Roman" w:eastAsia="Times New Roman" w:hAnsi="Times New Roman" w:cs="Times New Roman"/>
          <w:b/>
          <w:bCs/>
          <w:color w:val="000000"/>
          <w:u w:val="single"/>
          <w:shd w:val="clear" w:color="auto" w:fill="FFFFFF"/>
        </w:rPr>
        <w:t>2</w:t>
      </w:r>
    </w:p>
    <w:p w14:paraId="24043FC5" w14:textId="77777777" w:rsidR="0021658A" w:rsidRPr="00B00DC5" w:rsidRDefault="0021658A" w:rsidP="0015110A">
      <w:pPr>
        <w:spacing w:line="360" w:lineRule="auto"/>
        <w:rPr>
          <w:rFonts w:ascii="Times New Roman" w:hAnsi="Times New Roman" w:cs="Times New Roman"/>
          <w:lang w:val="en-US"/>
        </w:rPr>
      </w:pPr>
      <w:r w:rsidRPr="00B00DC5">
        <w:rPr>
          <w:rFonts w:ascii="Times New Roman" w:hAnsi="Times New Roman" w:cs="Times New Roman"/>
          <w:lang w:val="en-US"/>
        </w:rPr>
        <w:t>During the first half of PTE 3, whilst learning was restricted to an online environment, the topic my class were working on was Superheroes. This worked perfectly for me as they were coming to the end of the topic and focusing on real-life heroes such as doctors and nurses. During PTE 2, I had completed two-thirds of the topic of heroes and had just missed out on real-life heroes, so now I have experience with the whole topic. In my first experience teaching this class, the pupils and I worked on a miniature project. The miniature project set the tasks for the pupils to design a story, using a real-life hero, who has been given a superpower to aid them in their job.</w:t>
      </w:r>
    </w:p>
    <w:p w14:paraId="520F3F8F" w14:textId="77777777" w:rsidR="0021658A" w:rsidRPr="00B00DC5" w:rsidRDefault="0021658A" w:rsidP="0015110A">
      <w:pPr>
        <w:spacing w:line="360" w:lineRule="auto"/>
        <w:rPr>
          <w:rFonts w:ascii="Times New Roman" w:hAnsi="Times New Roman" w:cs="Times New Roman"/>
          <w:lang w:val="en-US"/>
        </w:rPr>
      </w:pPr>
      <w:r w:rsidRPr="00B00DC5">
        <w:rPr>
          <w:rFonts w:ascii="Times New Roman" w:hAnsi="Times New Roman" w:cs="Times New Roman"/>
          <w:lang w:val="en-US"/>
        </w:rPr>
        <w:t>The lesson was divided into four activities: planning a hero and power, making a story mountain, creating the characters and backdrop and then finally film their projects. The first activity in the series, choosing a real-life hero and giving them the power to aid them, was completed before me being involved with the class. I was shown their examples and I was able to plan off that. Following this, I was involved in the planning of a story mountain. To do this I showed a digital story, to the one I was going to make, and planned on a video of my story mountain. The pupils were able to do this, using their character that is already made, then choosing the scene and the problem that will go wrong. Following this, the pupils then created their scenes and characters, with any art resources they had at home. The flexibility was key due to the pupils have different resources at hand. The final activity gave the pupils a chance to use all their work in this project to film and act out their story. The continues progression allowed the pupils to gain a greater sense of accomplishment as they could see each activity was needed to create this finished product.</w:t>
      </w:r>
    </w:p>
    <w:p w14:paraId="2E06265E" w14:textId="77777777" w:rsidR="0021658A" w:rsidRPr="00B00DC5" w:rsidRDefault="0021658A" w:rsidP="0015110A">
      <w:pPr>
        <w:spacing w:line="360" w:lineRule="auto"/>
        <w:rPr>
          <w:rFonts w:ascii="Times New Roman" w:hAnsi="Times New Roman" w:cs="Times New Roman"/>
          <w:lang w:val="en-US"/>
        </w:rPr>
      </w:pPr>
      <w:r w:rsidRPr="00B00DC5">
        <w:rPr>
          <w:rFonts w:ascii="Times New Roman" w:hAnsi="Times New Roman" w:cs="Times New Roman"/>
          <w:lang w:val="en-US"/>
        </w:rPr>
        <w:t>The pupils have shown continued development throughout and were a great first experience online. It was beneficial to see that although the lessons were completed online, with less support than if the lessons were to take place face to face, the pupils still developed progression through cross-curricular activities, an aspect of teaching that I would like to focus on when face to face teaching returns. The pupils that completed every activity showed great results, and it is defiantly worth recapping or showing this work when face to face teaching returns as it would allow an even greater sense of pride in their work. The series of lessons became a massive learning curve for me, with online teaching, due to the acknowledgement that not all pupils had the support to complete everything, and therefore, resources needed to be given at all stages for the pupils that had not completed it so far, allowing all to show progression.</w:t>
      </w:r>
    </w:p>
    <w:p w14:paraId="3CFAC0AF" w14:textId="77777777" w:rsidR="0021658A" w:rsidRPr="00B00DC5" w:rsidRDefault="0021658A" w:rsidP="0015110A">
      <w:pPr>
        <w:spacing w:line="360" w:lineRule="auto"/>
        <w:rPr>
          <w:rFonts w:ascii="Times New Roman" w:hAnsi="Times New Roman" w:cs="Times New Roman"/>
          <w:lang w:val="en-US"/>
        </w:rPr>
      </w:pPr>
    </w:p>
    <w:p w14:paraId="528F63D0" w14:textId="77777777" w:rsidR="0086221F" w:rsidRPr="00B00DC5" w:rsidRDefault="0086221F" w:rsidP="0015110A">
      <w:pPr>
        <w:spacing w:line="360" w:lineRule="auto"/>
        <w:rPr>
          <w:rFonts w:ascii="Times New Roman" w:eastAsia="Times New Roman" w:hAnsi="Times New Roman" w:cs="Times New Roman"/>
          <w:b/>
          <w:bCs/>
          <w:color w:val="000000"/>
          <w:u w:val="single"/>
          <w:shd w:val="clear" w:color="auto" w:fill="FFFFFF"/>
        </w:rPr>
      </w:pPr>
      <w:r w:rsidRPr="00B00DC5">
        <w:rPr>
          <w:rFonts w:ascii="Times New Roman" w:eastAsia="Times New Roman" w:hAnsi="Times New Roman" w:cs="Times New Roman"/>
          <w:b/>
          <w:bCs/>
          <w:color w:val="000000"/>
          <w:u w:val="single"/>
          <w:shd w:val="clear" w:color="auto" w:fill="FFFFFF"/>
        </w:rPr>
        <w:t>Reflection on Planning for Progression</w:t>
      </w:r>
    </w:p>
    <w:p w14:paraId="61F51161" w14:textId="4FC4A525" w:rsidR="0086221F" w:rsidRPr="00B00DC5" w:rsidRDefault="0086221F" w:rsidP="0015110A">
      <w:pPr>
        <w:spacing w:line="360" w:lineRule="auto"/>
        <w:rPr>
          <w:rFonts w:ascii="Times New Roman" w:eastAsia="Times New Roman" w:hAnsi="Times New Roman" w:cs="Times New Roman"/>
          <w:b/>
          <w:bCs/>
          <w:color w:val="000000"/>
          <w:u w:val="single"/>
          <w:shd w:val="clear" w:color="auto" w:fill="FFFFFF"/>
        </w:rPr>
      </w:pPr>
      <w:r w:rsidRPr="00B00DC5">
        <w:rPr>
          <w:rFonts w:ascii="Times New Roman" w:eastAsia="Times New Roman" w:hAnsi="Times New Roman" w:cs="Times New Roman"/>
          <w:b/>
          <w:bCs/>
          <w:color w:val="000000"/>
          <w:u w:val="single"/>
          <w:shd w:val="clear" w:color="auto" w:fill="FFFFFF"/>
        </w:rPr>
        <w:lastRenderedPageBreak/>
        <w:t>Professional Learning</w:t>
      </w:r>
      <w:r w:rsidRPr="00B00DC5">
        <w:rPr>
          <w:rFonts w:ascii="Times New Roman" w:eastAsia="Times New Roman" w:hAnsi="Times New Roman" w:cs="Times New Roman"/>
          <w:b/>
          <w:bCs/>
          <w:color w:val="000000"/>
          <w:u w:val="single"/>
          <w:shd w:val="clear" w:color="auto" w:fill="FFFFFF"/>
        </w:rPr>
        <w:t xml:space="preserve"> Experience</w:t>
      </w:r>
      <w:r w:rsidRPr="00B00DC5">
        <w:rPr>
          <w:rFonts w:ascii="Times New Roman" w:eastAsia="Times New Roman" w:hAnsi="Times New Roman" w:cs="Times New Roman"/>
          <w:b/>
          <w:bCs/>
          <w:color w:val="000000"/>
          <w:u w:val="single"/>
          <w:shd w:val="clear" w:color="auto" w:fill="FFFFFF"/>
        </w:rPr>
        <w:t xml:space="preserve"> Template 1</w:t>
      </w:r>
    </w:p>
    <w:p w14:paraId="303B5E68" w14:textId="4EFAFCA3" w:rsidR="0021658A" w:rsidRPr="00B00DC5" w:rsidRDefault="0021658A" w:rsidP="0015110A">
      <w:pPr>
        <w:spacing w:line="360" w:lineRule="auto"/>
        <w:rPr>
          <w:rFonts w:ascii="Times New Roman" w:hAnsi="Times New Roman" w:cs="Times New Roman"/>
          <w:lang w:val="en-US"/>
        </w:rPr>
      </w:pPr>
      <w:r w:rsidRPr="00B00DC5">
        <w:rPr>
          <w:rFonts w:ascii="Times New Roman" w:hAnsi="Times New Roman" w:cs="Times New Roman"/>
          <w:lang w:val="en-US"/>
        </w:rPr>
        <w:t xml:space="preserve">The four purposes were embedded in this lesson of mathematics. The lesson was divided into four groups, keeping to the current theme that the teacher used already. Having four groups allowed the teacher to work individually with two groups, with them swapping halfway to complete an activity independent activity based on the topic (money). The other two groups were split between math games on the computer and completing enhanced provision activities placed around the outside of the classroom. Both groups were regularly monitored, as well as having a representative within the group to make sure the other pupils were on task and focused. The Four Purposes was intertwined throughout the lesson. The most effective use of the lesson to display the four purposes was the time spent on role play for the shop, buying and selling equipment to one another. Take a few points taken from Successful Futures, (2015) that were addressed within this activity include, “Connect and apply their knowledge and skills to create ideas and products, think creatively to reframe and solve problems, lead and play different roles in teams effectively and responsibly” </w:t>
      </w:r>
    </w:p>
    <w:p w14:paraId="70A176BF" w14:textId="77777777" w:rsidR="0021658A" w:rsidRPr="00B00DC5" w:rsidRDefault="0021658A" w:rsidP="0015110A">
      <w:pPr>
        <w:spacing w:line="360" w:lineRule="auto"/>
        <w:rPr>
          <w:rFonts w:ascii="Times New Roman" w:hAnsi="Times New Roman" w:cs="Times New Roman"/>
          <w:lang w:val="en-US"/>
        </w:rPr>
      </w:pPr>
      <w:r w:rsidRPr="00B00DC5">
        <w:rPr>
          <w:rFonts w:ascii="Times New Roman" w:hAnsi="Times New Roman" w:cs="Times New Roman"/>
          <w:lang w:val="en-US"/>
        </w:rPr>
        <w:t>The pupils’ that completed the independent task, worked towards becoming, ‘ambitious capable learners. To achieve this, again it is best to look at Donaldson’s points in Successful Futures where Donaldson (2015) addresses, “ambitious, capable learners who: set themselves high standards and seek and enjoy a challenge, are building up a body of knowledge and have the skills to connect and, apply that knowledge in different contexts”</w:t>
      </w:r>
    </w:p>
    <w:p w14:paraId="5377FEE9" w14:textId="77777777" w:rsidR="0021658A" w:rsidRPr="00B00DC5" w:rsidRDefault="0021658A" w:rsidP="0015110A">
      <w:pPr>
        <w:spacing w:line="360" w:lineRule="auto"/>
        <w:rPr>
          <w:rFonts w:ascii="Times New Roman" w:hAnsi="Times New Roman" w:cs="Times New Roman"/>
          <w:lang w:val="en-US"/>
        </w:rPr>
      </w:pPr>
      <w:r w:rsidRPr="00B00DC5">
        <w:rPr>
          <w:rFonts w:ascii="Times New Roman" w:hAnsi="Times New Roman" w:cs="Times New Roman"/>
          <w:lang w:val="en-US"/>
        </w:rPr>
        <w:t>The knowledge gained from this real-life, authentic context, mirrors what is said in the four purposes, developing the child far greater than just on pen and paper. The pupils understood that to complete this activity mannerism and professionalism also come into play when both shopping and working. The real-life, authentic experience, allowed the pupils to also gain experience in the importance of math, and why these skills are needed. IT was great to hear feedback at the end when a pupil complimented another for "being polite in my shop". Providing the pupils with the opportunity to become ambitious capable learners, also showed me the maturity and independence the pupils can show when called upon. The theory of scaffolding is often mistaken for just the teacher to the pupil. During this session, the pupils were able to grow together, helping one another reach the goal. The skills shown by helping each other, resonates through the aims of The Four Purposes, by setting challenges for the pupils to seek and enjoy.</w:t>
      </w:r>
    </w:p>
    <w:p w14:paraId="240A067F" w14:textId="7ADC6075" w:rsidR="0086221F" w:rsidRPr="00B00DC5" w:rsidRDefault="0086221F" w:rsidP="0015110A">
      <w:pPr>
        <w:spacing w:line="360" w:lineRule="auto"/>
        <w:rPr>
          <w:rFonts w:ascii="Times New Roman" w:eastAsia="Times New Roman" w:hAnsi="Times New Roman" w:cs="Times New Roman"/>
          <w:b/>
          <w:bCs/>
          <w:color w:val="000000"/>
          <w:u w:val="single"/>
          <w:shd w:val="clear" w:color="auto" w:fill="FFFFFF"/>
        </w:rPr>
      </w:pPr>
      <w:r w:rsidRPr="00B00DC5">
        <w:rPr>
          <w:rFonts w:ascii="Times New Roman" w:eastAsia="Times New Roman" w:hAnsi="Times New Roman" w:cs="Times New Roman"/>
          <w:b/>
          <w:bCs/>
          <w:color w:val="000000"/>
          <w:u w:val="single"/>
          <w:shd w:val="clear" w:color="auto" w:fill="FFFFFF"/>
        </w:rPr>
        <w:t xml:space="preserve">Professional Learning Experience Template </w:t>
      </w:r>
      <w:r w:rsidRPr="00B00DC5">
        <w:rPr>
          <w:rFonts w:ascii="Times New Roman" w:eastAsia="Times New Roman" w:hAnsi="Times New Roman" w:cs="Times New Roman"/>
          <w:b/>
          <w:bCs/>
          <w:color w:val="000000"/>
          <w:u w:val="single"/>
          <w:shd w:val="clear" w:color="auto" w:fill="FFFFFF"/>
        </w:rPr>
        <w:t>2</w:t>
      </w:r>
    </w:p>
    <w:p w14:paraId="5FEF9413" w14:textId="2FA807F6" w:rsidR="0021658A" w:rsidRPr="00B00DC5" w:rsidRDefault="0021658A" w:rsidP="0015110A">
      <w:pPr>
        <w:spacing w:line="360" w:lineRule="auto"/>
        <w:rPr>
          <w:rFonts w:ascii="Times New Roman" w:hAnsi="Times New Roman" w:cs="Times New Roman"/>
          <w:lang w:val="en-US"/>
        </w:rPr>
      </w:pPr>
      <w:r w:rsidRPr="00B00DC5">
        <w:rPr>
          <w:rFonts w:ascii="Times New Roman" w:hAnsi="Times New Roman" w:cs="Times New Roman"/>
          <w:lang w:val="en-US"/>
        </w:rPr>
        <w:t xml:space="preserve">During PTE 3 placement experience was split into almost two equal segments for foundation phase teachers. The initial few weeks took place on an online experience, one the pupils were semi-familiar with, where three activities were set for the pupils to complete a day. The second phase of PTE 3, was fortunately back inside the classroom, which allowed the sense of normality, friendships and care to be given universally to all students. Preparation for teaching to be implemented back into the classroom, emotional and social support for children was placed as one of the main priorities. This </w:t>
      </w:r>
      <w:r w:rsidRPr="00B00DC5">
        <w:rPr>
          <w:rFonts w:ascii="Times New Roman" w:hAnsi="Times New Roman" w:cs="Times New Roman"/>
          <w:lang w:val="en-US"/>
        </w:rPr>
        <w:lastRenderedPageBreak/>
        <w:t xml:space="preserve">action was taken by the whole school and was one that I had full support for. During weekly meetings, it was advised to create Covid-19 friendly measures to show the pupils and for them to show one another, that the care is ever-present in and around the classroom. To achieve the four purposes of education, the pupils needed to become ‘healthy, confident, individuals.’ It is was thought that for many pupils’ confidence was not present, with the anxiety of re-entering a classroom, a classroom deemed not safe just a few weeks earlier. Many worries were also passed on to pupils, from parents and guardians worries, which again is understandable but it became our job to show our safe we could make school. </w:t>
      </w:r>
    </w:p>
    <w:p w14:paraId="05109551" w14:textId="77777777" w:rsidR="0021658A" w:rsidRPr="00B00DC5" w:rsidRDefault="0021658A" w:rsidP="0015110A">
      <w:pPr>
        <w:spacing w:line="360" w:lineRule="auto"/>
        <w:rPr>
          <w:rFonts w:ascii="Times New Roman" w:hAnsi="Times New Roman" w:cs="Times New Roman"/>
          <w:lang w:val="en-US"/>
        </w:rPr>
      </w:pPr>
      <w:r w:rsidRPr="00B00DC5">
        <w:rPr>
          <w:rFonts w:ascii="Times New Roman" w:hAnsi="Times New Roman" w:cs="Times New Roman"/>
          <w:lang w:val="en-US"/>
        </w:rPr>
        <w:t>On the first day back, the pupils were already aware of the current measures the class were taking to prevent the spread of the virus. This had all been discussed during the last term, so it was just a matter of reminding the pupils. Once the pupils had been welcomed back, on the carpet, we dedicated a lesson to methods of coping for well-being and discussing how we could show one another we still cared without touching. During this time, the pupils provided strategies to use, that would be hands-free. Bubble gum hugs replaced normal hugs, air high fives instead of regular ones, and even curtsy and bowing were addressed. All of these strategies were provided by the pupils, showing signs of “building their mental and emotional well-being by developing confidence, resilience and empathy” (Donaldson, 2015)</w:t>
      </w:r>
    </w:p>
    <w:p w14:paraId="424FCAB9" w14:textId="4DFC2AF5" w:rsidR="0001112C" w:rsidRDefault="0021658A" w:rsidP="0015110A">
      <w:pPr>
        <w:shd w:val="clear" w:color="auto" w:fill="FFFFFF"/>
        <w:spacing w:after="0" w:line="360" w:lineRule="auto"/>
        <w:divId w:val="1788961805"/>
        <w:rPr>
          <w:rFonts w:ascii="Times New Roman" w:hAnsi="Times New Roman" w:cs="Times New Roman"/>
          <w:lang w:val="en-US"/>
        </w:rPr>
      </w:pPr>
      <w:r w:rsidRPr="00B00DC5">
        <w:rPr>
          <w:rFonts w:ascii="Times New Roman" w:hAnsi="Times New Roman" w:cs="Times New Roman"/>
          <w:lang w:val="en-US"/>
        </w:rPr>
        <w:t>The pupils showed a great understanding and understood that these new amendments to our usual greetings, and signs of care, were there for a reason, and by acting this way they served a purpose. The purpose showed by the pupils relates to Erik Erikson’s stages of development, where the pupils are going through the stage of initiative vs Guilt. Psychology Notes HQ explains that the pupils develop the skill of purpose when they learn to cooperate with peers to achieve a common goal, often asking more ‘why’ questions throughout</w:t>
      </w:r>
      <w:r w:rsidR="0001112C">
        <w:rPr>
          <w:rFonts w:ascii="Times New Roman" w:hAnsi="Times New Roman" w:cs="Times New Roman"/>
          <w:lang w:val="en-US"/>
        </w:rPr>
        <w:t>.</w:t>
      </w:r>
    </w:p>
    <w:p w14:paraId="5E08EAF8" w14:textId="172B1080" w:rsidR="0015110A" w:rsidRDefault="0015110A" w:rsidP="0015110A">
      <w:pPr>
        <w:shd w:val="clear" w:color="auto" w:fill="FFFFFF"/>
        <w:spacing w:after="0" w:line="360" w:lineRule="auto"/>
        <w:divId w:val="1788961805"/>
        <w:rPr>
          <w:rFonts w:ascii="Times New Roman" w:hAnsi="Times New Roman" w:cs="Times New Roman"/>
          <w:lang w:val="en-US"/>
        </w:rPr>
      </w:pPr>
    </w:p>
    <w:p w14:paraId="6A24C142" w14:textId="1F16FB1D" w:rsidR="0015110A" w:rsidRDefault="0015110A" w:rsidP="0015110A">
      <w:pPr>
        <w:shd w:val="clear" w:color="auto" w:fill="FFFFFF"/>
        <w:spacing w:after="0" w:line="360" w:lineRule="auto"/>
        <w:divId w:val="1788961805"/>
        <w:rPr>
          <w:rFonts w:ascii="Times New Roman" w:hAnsi="Times New Roman" w:cs="Times New Roman"/>
          <w:lang w:val="en-US"/>
        </w:rPr>
      </w:pPr>
    </w:p>
    <w:p w14:paraId="4FAC3DDC" w14:textId="1DCDEEDA" w:rsidR="0015110A" w:rsidRDefault="0015110A" w:rsidP="0015110A">
      <w:pPr>
        <w:shd w:val="clear" w:color="auto" w:fill="FFFFFF"/>
        <w:spacing w:after="0" w:line="360" w:lineRule="auto"/>
        <w:divId w:val="1788961805"/>
        <w:rPr>
          <w:rFonts w:ascii="Times New Roman" w:hAnsi="Times New Roman" w:cs="Times New Roman"/>
          <w:lang w:val="en-US"/>
        </w:rPr>
      </w:pPr>
    </w:p>
    <w:p w14:paraId="0050D114" w14:textId="3771A25D" w:rsidR="0015110A" w:rsidRDefault="0015110A" w:rsidP="0015110A">
      <w:pPr>
        <w:shd w:val="clear" w:color="auto" w:fill="FFFFFF"/>
        <w:spacing w:after="0" w:line="360" w:lineRule="auto"/>
        <w:divId w:val="1788961805"/>
        <w:rPr>
          <w:rFonts w:ascii="Times New Roman" w:hAnsi="Times New Roman" w:cs="Times New Roman"/>
          <w:lang w:val="en-US"/>
        </w:rPr>
      </w:pPr>
    </w:p>
    <w:p w14:paraId="1D6EA92C" w14:textId="395CC79D" w:rsidR="0015110A" w:rsidRDefault="0015110A" w:rsidP="0015110A">
      <w:pPr>
        <w:shd w:val="clear" w:color="auto" w:fill="FFFFFF"/>
        <w:spacing w:after="0" w:line="360" w:lineRule="auto"/>
        <w:divId w:val="1788961805"/>
        <w:rPr>
          <w:rFonts w:ascii="Times New Roman" w:hAnsi="Times New Roman" w:cs="Times New Roman"/>
          <w:lang w:val="en-US"/>
        </w:rPr>
      </w:pPr>
    </w:p>
    <w:p w14:paraId="3762A894" w14:textId="5EEA07BC" w:rsidR="0015110A" w:rsidRDefault="0015110A" w:rsidP="0015110A">
      <w:pPr>
        <w:shd w:val="clear" w:color="auto" w:fill="FFFFFF"/>
        <w:spacing w:after="0" w:line="360" w:lineRule="auto"/>
        <w:divId w:val="1788961805"/>
        <w:rPr>
          <w:rFonts w:ascii="Times New Roman" w:hAnsi="Times New Roman" w:cs="Times New Roman"/>
          <w:lang w:val="en-US"/>
        </w:rPr>
      </w:pPr>
    </w:p>
    <w:p w14:paraId="5337AC8F" w14:textId="19E3CE0E" w:rsidR="0015110A" w:rsidRDefault="0015110A" w:rsidP="0015110A">
      <w:pPr>
        <w:shd w:val="clear" w:color="auto" w:fill="FFFFFF"/>
        <w:spacing w:after="0" w:line="360" w:lineRule="auto"/>
        <w:divId w:val="1788961805"/>
        <w:rPr>
          <w:rFonts w:ascii="Times New Roman" w:hAnsi="Times New Roman" w:cs="Times New Roman"/>
          <w:lang w:val="en-US"/>
        </w:rPr>
      </w:pPr>
    </w:p>
    <w:p w14:paraId="3334398A" w14:textId="00C2F230" w:rsidR="0015110A" w:rsidRDefault="0015110A" w:rsidP="0015110A">
      <w:pPr>
        <w:shd w:val="clear" w:color="auto" w:fill="FFFFFF"/>
        <w:spacing w:after="0" w:line="360" w:lineRule="auto"/>
        <w:divId w:val="1788961805"/>
        <w:rPr>
          <w:rFonts w:ascii="Times New Roman" w:hAnsi="Times New Roman" w:cs="Times New Roman"/>
          <w:lang w:val="en-US"/>
        </w:rPr>
      </w:pPr>
    </w:p>
    <w:p w14:paraId="51D1D25C" w14:textId="77777777" w:rsidR="00E264E8" w:rsidRDefault="00E264E8" w:rsidP="0015110A">
      <w:pPr>
        <w:shd w:val="clear" w:color="auto" w:fill="FFFFFF"/>
        <w:spacing w:after="0" w:line="360" w:lineRule="auto"/>
        <w:divId w:val="1788961805"/>
        <w:rPr>
          <w:rFonts w:ascii="Times New Roman" w:hAnsi="Times New Roman" w:cs="Times New Roman"/>
          <w:lang w:val="en-US"/>
        </w:rPr>
      </w:pPr>
    </w:p>
    <w:p w14:paraId="37B122F4" w14:textId="2196A90F" w:rsidR="0015110A" w:rsidRDefault="0015110A" w:rsidP="0015110A">
      <w:pPr>
        <w:shd w:val="clear" w:color="auto" w:fill="FFFFFF"/>
        <w:spacing w:after="0" w:line="360" w:lineRule="auto"/>
        <w:divId w:val="1788961805"/>
        <w:rPr>
          <w:rFonts w:ascii="Times New Roman" w:hAnsi="Times New Roman" w:cs="Times New Roman"/>
          <w:lang w:val="en-US"/>
        </w:rPr>
      </w:pPr>
    </w:p>
    <w:p w14:paraId="2BE063B1" w14:textId="5A5D3C77" w:rsidR="0015110A" w:rsidRDefault="0015110A" w:rsidP="0015110A">
      <w:pPr>
        <w:shd w:val="clear" w:color="auto" w:fill="FFFFFF"/>
        <w:spacing w:after="0" w:line="360" w:lineRule="auto"/>
        <w:divId w:val="1788961805"/>
        <w:rPr>
          <w:rFonts w:ascii="Times New Roman" w:hAnsi="Times New Roman" w:cs="Times New Roman"/>
          <w:lang w:val="en-US"/>
        </w:rPr>
      </w:pPr>
    </w:p>
    <w:p w14:paraId="45E57FCA" w14:textId="10644B11" w:rsidR="0015110A" w:rsidRDefault="0015110A" w:rsidP="0015110A">
      <w:pPr>
        <w:shd w:val="clear" w:color="auto" w:fill="FFFFFF"/>
        <w:spacing w:after="0" w:line="360" w:lineRule="auto"/>
        <w:divId w:val="1788961805"/>
        <w:rPr>
          <w:rFonts w:ascii="Times New Roman" w:hAnsi="Times New Roman" w:cs="Times New Roman"/>
          <w:lang w:val="en-US"/>
        </w:rPr>
      </w:pPr>
    </w:p>
    <w:p w14:paraId="72A0871E" w14:textId="136C6FBB" w:rsidR="0015110A" w:rsidRDefault="0015110A" w:rsidP="0015110A">
      <w:pPr>
        <w:shd w:val="clear" w:color="auto" w:fill="FFFFFF"/>
        <w:spacing w:after="0" w:line="360" w:lineRule="auto"/>
        <w:divId w:val="1788961805"/>
        <w:rPr>
          <w:rFonts w:ascii="Times New Roman" w:hAnsi="Times New Roman" w:cs="Times New Roman"/>
          <w:lang w:val="en-US"/>
        </w:rPr>
      </w:pPr>
    </w:p>
    <w:p w14:paraId="73F6609F" w14:textId="77777777" w:rsidR="0015110A" w:rsidRDefault="0015110A" w:rsidP="0015110A">
      <w:pPr>
        <w:shd w:val="clear" w:color="auto" w:fill="FFFFFF"/>
        <w:spacing w:after="0" w:line="360" w:lineRule="auto"/>
        <w:divId w:val="1788961805"/>
        <w:rPr>
          <w:rFonts w:ascii="Times New Roman" w:hAnsi="Times New Roman" w:cs="Times New Roman"/>
          <w:lang w:val="en-US"/>
        </w:rPr>
      </w:pPr>
    </w:p>
    <w:p w14:paraId="78685F3D" w14:textId="0F29668C" w:rsidR="001419AB" w:rsidRPr="0001112C" w:rsidRDefault="00A92222" w:rsidP="0015110A">
      <w:pPr>
        <w:shd w:val="clear" w:color="auto" w:fill="FFFFFF"/>
        <w:spacing w:after="0" w:line="360" w:lineRule="auto"/>
        <w:divId w:val="1788961805"/>
        <w:rPr>
          <w:rFonts w:ascii="Times New Roman" w:hAnsi="Times New Roman" w:cs="Times New Roman"/>
          <w:lang w:val="en-US"/>
        </w:rPr>
      </w:pPr>
      <w:r w:rsidRPr="00B00DC5">
        <w:rPr>
          <w:rFonts w:ascii="Times New Roman" w:hAnsi="Times New Roman" w:cs="Times New Roman"/>
          <w:b/>
          <w:bCs/>
          <w:color w:val="161616"/>
          <w:u w:val="single"/>
        </w:rPr>
        <w:lastRenderedPageBreak/>
        <w:t>Part 2</w:t>
      </w:r>
    </w:p>
    <w:p w14:paraId="5F60D985" w14:textId="77777777" w:rsidR="0011706A" w:rsidRPr="00B00DC5" w:rsidRDefault="0011706A" w:rsidP="0015110A">
      <w:pPr>
        <w:shd w:val="clear" w:color="auto" w:fill="FFFFFF"/>
        <w:spacing w:after="0" w:line="360" w:lineRule="auto"/>
        <w:rPr>
          <w:rFonts w:ascii="Times New Roman" w:hAnsi="Times New Roman" w:cs="Times New Roman"/>
          <w:color w:val="FF0000"/>
        </w:rPr>
      </w:pPr>
    </w:p>
    <w:p w14:paraId="218B0221" w14:textId="77777777" w:rsidR="005D1ABB" w:rsidRPr="00B00DC5" w:rsidRDefault="005D1ABB" w:rsidP="0015110A">
      <w:pPr>
        <w:shd w:val="clear" w:color="auto" w:fill="FFFFFF"/>
        <w:spacing w:after="0" w:line="360" w:lineRule="auto"/>
        <w:ind w:left="360"/>
        <w:rPr>
          <w:rFonts w:ascii="Times New Roman" w:hAnsi="Times New Roman" w:cs="Times New Roman"/>
          <w:color w:val="161616"/>
        </w:rPr>
      </w:pPr>
      <w:r w:rsidRPr="00B00DC5">
        <w:rPr>
          <w:rFonts w:ascii="Times New Roman" w:hAnsi="Times New Roman" w:cs="Times New Roman"/>
          <w:color w:val="161616"/>
        </w:rPr>
        <w:t xml:space="preserve">The value of cross-curricular teaching is becoming ever more present within education, examples can be seen within the reforms of Donaldson’s new curriculum. Donaldson (2015), expresses that, “Children and young people should have their learning developed across the curriculum through three Cross-curriculum Responsibilities that should be the responsibility of all teachers: literacy; numeracy; and digital competence.” With a cross-curriculum approach to teaching being one of the core principles of the new curriculum, the skill is one, that should be prioritised when looking at development for the intention of aiding pupil progression. As a result of this, the focus of the essay will be looking at the improvements that can be made in relation to the teaching in Part 1, whilst also weighing the negative debates around the concept of cross-curricular teaching. </w:t>
      </w:r>
    </w:p>
    <w:p w14:paraId="6CDD7362" w14:textId="77777777" w:rsidR="005D1ABB" w:rsidRPr="00B00DC5" w:rsidRDefault="005D1ABB" w:rsidP="0015110A">
      <w:pPr>
        <w:shd w:val="clear" w:color="auto" w:fill="FFFFFF"/>
        <w:spacing w:after="0" w:line="360" w:lineRule="auto"/>
        <w:ind w:left="360"/>
        <w:rPr>
          <w:rFonts w:ascii="Times New Roman" w:hAnsi="Times New Roman" w:cs="Times New Roman"/>
          <w:color w:val="161616"/>
        </w:rPr>
      </w:pPr>
      <w:r w:rsidRPr="00B00DC5">
        <w:rPr>
          <w:rFonts w:ascii="Times New Roman" w:hAnsi="Times New Roman" w:cs="Times New Roman"/>
          <w:color w:val="161616"/>
        </w:rPr>
        <w:t>In the writer’s personal experience taken from part 1, where they described two lessons in relation to pupil development, one lesson was delivered in a cross-curricular style of teaching whilst the other one was not. The lesson that was delivered in a non-cross-curricular style of the teacher was completed in maths, whilst the lessons that were cross-curricular, span across literacy, art, and ICT. After reading opinions and studying debates on the idea that whether incorporating cross-curricular teaching will develop the pupil’s progression best, a judgment will be formulated to conclude whether the writer was correct to deliver the lessons inset styles.</w:t>
      </w:r>
    </w:p>
    <w:p w14:paraId="06A06B88" w14:textId="77777777" w:rsidR="005D1ABB" w:rsidRPr="00B00DC5" w:rsidRDefault="005D1ABB" w:rsidP="0015110A">
      <w:pPr>
        <w:shd w:val="clear" w:color="auto" w:fill="FFFFFF"/>
        <w:spacing w:after="0" w:line="360" w:lineRule="auto"/>
        <w:ind w:left="360"/>
        <w:rPr>
          <w:rFonts w:ascii="Times New Roman" w:hAnsi="Times New Roman" w:cs="Times New Roman"/>
          <w:color w:val="161616"/>
        </w:rPr>
      </w:pPr>
      <w:r w:rsidRPr="00B00DC5">
        <w:rPr>
          <w:rFonts w:ascii="Times New Roman" w:hAnsi="Times New Roman" w:cs="Times New Roman"/>
          <w:color w:val="161616"/>
        </w:rPr>
        <w:t>Ultimately, to examine whether cross-curricular teaching is the most effective method of teaching, it must first be distinguished, how is the most effective method of teaching decided and what the decision is based off. To answer this, the writing from Coe, R, et al (2014) on their explanation of high-quality teaching being, “We define effective teaching as that which leads to improved student achievement using outcomes that matter to their future success”. In addition to the statement provided, part of Donaldson’s (2015), Successful Futures, explains that one of the principles of the curriculum is to be, “empowering: developing competences which will allow young people to engage confidently with the challenges of their future lives”. It becomes apparent throughout the beliefs of Coe, et al in addition to Donaldson, that teaching/the curriculum must allow the pupil to develop by preparing themselves for future life. It is the result of this, that any argument that is provided, as either a positive or negative to cross-curricular teaching, the fundamental goal will be measured on the impact it has on pupil progression and preparing pupils for future life.</w:t>
      </w:r>
    </w:p>
    <w:p w14:paraId="5349F215" w14:textId="77777777" w:rsidR="005D1ABB" w:rsidRPr="00B00DC5" w:rsidRDefault="005D1ABB" w:rsidP="0015110A">
      <w:pPr>
        <w:shd w:val="clear" w:color="auto" w:fill="FFFFFF"/>
        <w:spacing w:after="0" w:line="360" w:lineRule="auto"/>
        <w:ind w:left="360"/>
        <w:rPr>
          <w:rFonts w:ascii="Times New Roman" w:hAnsi="Times New Roman" w:cs="Times New Roman"/>
          <w:color w:val="161616"/>
        </w:rPr>
      </w:pPr>
      <w:r w:rsidRPr="00B00DC5">
        <w:rPr>
          <w:rFonts w:ascii="Times New Roman" w:hAnsi="Times New Roman" w:cs="Times New Roman"/>
          <w:color w:val="161616"/>
        </w:rPr>
        <w:t xml:space="preserve">It is easy to agree with Professor Graham Donaldson, that cross-curriculum teaching is beneficial in improving pupil progression and therefore should be implemented across teaching and education. This being said, Donaldson presents a challenge to the concept of cross-curricular teaching, aimed towards the teachers, and their style of teaching. Within Donaldson’s (2015), Successful Futures, it is addressed that “The challenge for teaching posed by the Cross-curriculum Responsibilities will be to maintain the focus on these responsibilities within teaching and learning so that their application becomes natural and authentic rather than an add-on.” It is </w:t>
      </w:r>
      <w:r w:rsidRPr="00B00DC5">
        <w:rPr>
          <w:rFonts w:ascii="Times New Roman" w:hAnsi="Times New Roman" w:cs="Times New Roman"/>
          <w:color w:val="161616"/>
        </w:rPr>
        <w:lastRenderedPageBreak/>
        <w:t>explained here, that the problems that can arise from cross-curricular teaching will be from within the teacher’s ability to deliver it in a natural environment. This thought is echoed from a blog shared by the Teacher Development Trust, conducted with one teacher on their accounts of trying to include cross-curricular teaching through continuing professional development (CPD), into their lessons. Tessa provides two strands for her argument as to why cross-curricular is ineffective. The first is provided as the thought that for her if her CPD sessions where they are introducing methods of cross-curricular teaching to other teachers, “if CPD sessions are laced with ideas that are not evidence-based, we run the risk of embedding bad ideas further into our teaching methods.” (Tessa, 2013). The issue raised here by Tessa addresses the lack of evidence-based ideas, that could withdraw teaching from the key principles that the curriculum is there to address.  In addition to this, Tessa goes on to express, “By using ideas from other subjects, we are focusing too much on how to make the teacher more of an ‘enabler’ than an ‘instructor’, meaning that less time is spent trying to ascertain what deep understanding of a particular topic looks like.” The idea here is addressed by Donaldson previously, explaining that the skill should be taught and cross-curricular should not be used as just a tick box activity, and instead should enhance the lesson. Links can be made between the two, as both Donaldson and Tessa have expressed the importance of focussing on the main responsibility, the skill being developed by the pupils.</w:t>
      </w:r>
    </w:p>
    <w:p w14:paraId="56D8F9E0" w14:textId="77777777" w:rsidR="005D1ABB" w:rsidRPr="00B00DC5" w:rsidRDefault="005D1ABB" w:rsidP="0015110A">
      <w:pPr>
        <w:shd w:val="clear" w:color="auto" w:fill="FFFFFF"/>
        <w:spacing w:after="0" w:line="360" w:lineRule="auto"/>
        <w:ind w:left="360"/>
        <w:rPr>
          <w:rFonts w:ascii="Times New Roman" w:hAnsi="Times New Roman" w:cs="Times New Roman"/>
          <w:color w:val="161616"/>
        </w:rPr>
      </w:pPr>
      <w:r w:rsidRPr="00B00DC5">
        <w:rPr>
          <w:rFonts w:ascii="Times New Roman" w:hAnsi="Times New Roman" w:cs="Times New Roman"/>
          <w:color w:val="161616"/>
        </w:rPr>
        <w:t xml:space="preserve">In contrast to the argument provided by Tessa, using words from Donaldson to support, the readings of </w:t>
      </w:r>
      <w:proofErr w:type="spellStart"/>
      <w:r w:rsidRPr="00B00DC5">
        <w:rPr>
          <w:rFonts w:ascii="Times New Roman" w:hAnsi="Times New Roman" w:cs="Times New Roman"/>
          <w:color w:val="161616"/>
        </w:rPr>
        <w:t>Estyn</w:t>
      </w:r>
      <w:proofErr w:type="spellEnd"/>
      <w:r w:rsidRPr="00B00DC5">
        <w:rPr>
          <w:rFonts w:ascii="Times New Roman" w:hAnsi="Times New Roman" w:cs="Times New Roman"/>
          <w:color w:val="161616"/>
        </w:rPr>
        <w:t xml:space="preserve"> best practice, have provided detailed explanations of model examples, using cross-curricular teaching to develop pupil progression. The evidence provided, displays, the effective manner in which cross-curricular can be taught and delivered, showing the importance of teaching in this style. The school in the discussion were praised By </w:t>
      </w:r>
      <w:proofErr w:type="spellStart"/>
      <w:r w:rsidRPr="00B00DC5">
        <w:rPr>
          <w:rFonts w:ascii="Times New Roman" w:hAnsi="Times New Roman" w:cs="Times New Roman"/>
          <w:color w:val="161616"/>
        </w:rPr>
        <w:t>Estyn</w:t>
      </w:r>
      <w:proofErr w:type="spellEnd"/>
      <w:r w:rsidRPr="00B00DC5">
        <w:rPr>
          <w:rFonts w:ascii="Times New Roman" w:hAnsi="Times New Roman" w:cs="Times New Roman"/>
          <w:color w:val="161616"/>
        </w:rPr>
        <w:t xml:space="preserve"> (2018), “Through a thematic method of learning, the school ensures that pupils are given regular opportunities to develop their literacy, numeracy, ICT and digital skills.” The project the school completed was to create a weather station, developing numeracy skills to analysing data, digital skills with using the electronic weather station and the pupil’s literacy skills were developed when creating weather forecast. Teaching in a creative and responsive style of cross-curricular, “By ensuring that teaching is creative and responsive, pupils make links with real-life situations, and therefore it is meaningful and purposeful” (</w:t>
      </w:r>
      <w:proofErr w:type="spellStart"/>
      <w:r w:rsidRPr="00B00DC5">
        <w:rPr>
          <w:rFonts w:ascii="Times New Roman" w:hAnsi="Times New Roman" w:cs="Times New Roman"/>
          <w:color w:val="161616"/>
        </w:rPr>
        <w:t>Estyn</w:t>
      </w:r>
      <w:proofErr w:type="spellEnd"/>
      <w:r w:rsidRPr="00B00DC5">
        <w:rPr>
          <w:rFonts w:ascii="Times New Roman" w:hAnsi="Times New Roman" w:cs="Times New Roman"/>
          <w:color w:val="161616"/>
        </w:rPr>
        <w:t xml:space="preserve">, 2018). In relation to Coe, et </w:t>
      </w:r>
      <w:proofErr w:type="spellStart"/>
      <w:r w:rsidRPr="00B00DC5">
        <w:rPr>
          <w:rFonts w:ascii="Times New Roman" w:hAnsi="Times New Roman" w:cs="Times New Roman"/>
          <w:color w:val="161616"/>
        </w:rPr>
        <w:t>al’s</w:t>
      </w:r>
      <w:proofErr w:type="spellEnd"/>
      <w:r w:rsidRPr="00B00DC5">
        <w:rPr>
          <w:rFonts w:ascii="Times New Roman" w:hAnsi="Times New Roman" w:cs="Times New Roman"/>
          <w:color w:val="161616"/>
        </w:rPr>
        <w:t>, explaining effective teaching as having a good effect on student achievement in relation to real-life authentic skills, it can be argued that there for cross-curricular teaching, if done correctly, is an effective method of teaching, and therefore, would provide further purpose to include it.</w:t>
      </w:r>
    </w:p>
    <w:p w14:paraId="5CF6F5F1" w14:textId="77777777" w:rsidR="005D1ABB" w:rsidRPr="00B00DC5" w:rsidRDefault="005D1ABB" w:rsidP="0015110A">
      <w:pPr>
        <w:shd w:val="clear" w:color="auto" w:fill="FFFFFF"/>
        <w:spacing w:after="0" w:line="360" w:lineRule="auto"/>
        <w:ind w:left="360"/>
        <w:rPr>
          <w:rFonts w:ascii="Times New Roman" w:hAnsi="Times New Roman" w:cs="Times New Roman"/>
          <w:color w:val="161616"/>
        </w:rPr>
      </w:pPr>
      <w:r w:rsidRPr="00B00DC5">
        <w:rPr>
          <w:rFonts w:ascii="Times New Roman" w:hAnsi="Times New Roman" w:cs="Times New Roman"/>
          <w:color w:val="161616"/>
        </w:rPr>
        <w:t xml:space="preserve">Teaching in a cross-curricular style is one like any other technique; it is greeted by opinions in support and opinions that are against the method. Barnes (2015) explains, “in the context of human variability it would be foolish to suggest there could be a finite range of answers to the question ‘what does good cross-curricular practise look like?’” and that it is “likely to be as diverse as any other aspect of human organization”. The point made here by Barnes, proposing that the diversity of cross-curricular practice would measure greater impacts for different </w:t>
      </w:r>
      <w:r w:rsidRPr="00B00DC5">
        <w:rPr>
          <w:rFonts w:ascii="Times New Roman" w:hAnsi="Times New Roman" w:cs="Times New Roman"/>
          <w:color w:val="161616"/>
        </w:rPr>
        <w:lastRenderedPageBreak/>
        <w:t>individuals in different contexts. When studying the impact cross-curricular teaching has on the pupil, it is measuring the impact it has on the individual who is not accountable for the may human variability they provide to the results. This, therefore, already suggests that the ability to measure the success is forever going to be a difficult measurement, due to the lack of continuity for all pupils. However, despite explaining the hazards around measuring the success, Barnes continues, explaining that when looking at individuals as a majority when he explains, claims that “cross-curricular methods are highly motivating and for most children and provide a learning context that can be made relevant” (Barnes, 2015)</w:t>
      </w:r>
    </w:p>
    <w:p w14:paraId="09460A27" w14:textId="77777777" w:rsidR="005D1ABB" w:rsidRPr="00B00DC5" w:rsidRDefault="005D1ABB" w:rsidP="0015110A">
      <w:pPr>
        <w:shd w:val="clear" w:color="auto" w:fill="FFFFFF"/>
        <w:spacing w:after="0" w:line="360" w:lineRule="auto"/>
        <w:ind w:left="360"/>
        <w:rPr>
          <w:rFonts w:ascii="Times New Roman" w:hAnsi="Times New Roman" w:cs="Times New Roman"/>
          <w:color w:val="161616"/>
        </w:rPr>
      </w:pPr>
      <w:r w:rsidRPr="00B00DC5">
        <w:rPr>
          <w:rFonts w:ascii="Times New Roman" w:hAnsi="Times New Roman" w:cs="Times New Roman"/>
          <w:color w:val="161616"/>
        </w:rPr>
        <w:t>In reflection to Successful Futures, and the Four Purposes, explaining the aims of the new curriculum and that it should include good teaching, described by Donaldson (2015) as, “Good teaching and learning creates authentic contexts for learning” (Donaldson, 2015), Barnes continues to address the opportunities that teaching in a cross-curricular style provides. Barnes (2015) explains, “Cross-curricular learning is also predisposed to the application and promotion of fundamental values because of its inherent need for connection-making.” In the opportunities provided by Barnes in his book, Cross-curricular Learning 3-14, clear parallels can be seen between what can be provided by cross-curricular learning, and what is wanted from the new curriculum. With cross-curricular teaching allowing these opportunities, it adds to the argument for it being an effective method of teaching in relation to pupil progression.</w:t>
      </w:r>
    </w:p>
    <w:p w14:paraId="5F002759" w14:textId="77777777" w:rsidR="005D1ABB" w:rsidRPr="00B00DC5" w:rsidRDefault="005D1ABB" w:rsidP="0015110A">
      <w:pPr>
        <w:shd w:val="clear" w:color="auto" w:fill="FFFFFF"/>
        <w:spacing w:after="0" w:line="360" w:lineRule="auto"/>
        <w:ind w:left="360"/>
        <w:rPr>
          <w:rFonts w:ascii="Times New Roman" w:hAnsi="Times New Roman" w:cs="Times New Roman"/>
          <w:color w:val="161616"/>
        </w:rPr>
      </w:pPr>
      <w:r w:rsidRPr="00B00DC5">
        <w:rPr>
          <w:rFonts w:ascii="Times New Roman" w:hAnsi="Times New Roman" w:cs="Times New Roman"/>
          <w:color w:val="161616"/>
        </w:rPr>
        <w:t>To conclude, after researching into opinions, facts and debates on the topic of whether cross-curricular teaching is an effective style of teaching in relation to pupil progression and therefore will be included more the results did not come back as definitive. A conclusion has been made, however, that it is within the best interest of the writer, to use cross-curricular teaching in the lesson where possible, and it believes that it is an effective method of teaching. It is Barnes (2015) that explains “curricular are bound to vary in their effectiveness”, and that therefore, the choice of teaching will vary on the level of progression gained for the pupil. It must be reminded that the writings from Barnes that was provided earlier states, that the individual’s variability, both teacher and student, will play a part in the success of the teaching, and therefore cross-curricular, like any method of teaching, will not always be the most effective.</w:t>
      </w:r>
    </w:p>
    <w:p w14:paraId="23F26F7B" w14:textId="77777777" w:rsidR="005D1ABB" w:rsidRPr="00B00DC5" w:rsidRDefault="005D1ABB" w:rsidP="0015110A">
      <w:pPr>
        <w:shd w:val="clear" w:color="auto" w:fill="FFFFFF"/>
        <w:spacing w:after="0" w:line="360" w:lineRule="auto"/>
        <w:ind w:left="360"/>
        <w:rPr>
          <w:rFonts w:ascii="Times New Roman" w:hAnsi="Times New Roman" w:cs="Times New Roman"/>
          <w:color w:val="161616"/>
        </w:rPr>
      </w:pPr>
      <w:r w:rsidRPr="00B00DC5">
        <w:rPr>
          <w:rFonts w:ascii="Times New Roman" w:hAnsi="Times New Roman" w:cs="Times New Roman"/>
          <w:color w:val="161616"/>
        </w:rPr>
        <w:t xml:space="preserve">The issue has been raised, however, that the idea to include cross-curricular teaching all the time, can take away from the focus for example the specific skill to develop, and that can hinder pupil progression. The concept of cross-curricular teaching works well with pupil led learning and can be integrated into easily, unlike teacher-based learning which is often just concentrating on skills. On the whole, if teaching can be delivered in the style of cross-curricular teaching where the skill is still the main focus of the lesson, then this is the best solution, however, if this is not done effectively, which would come down to the ability of the teacher, then it was lack effectivity. </w:t>
      </w:r>
    </w:p>
    <w:p w14:paraId="1AAC0A04" w14:textId="26AB759C" w:rsidR="00DF1DBA" w:rsidRPr="00B00DC5" w:rsidRDefault="005D1ABB" w:rsidP="0015110A">
      <w:pPr>
        <w:shd w:val="clear" w:color="auto" w:fill="FFFFFF"/>
        <w:spacing w:after="0" w:line="360" w:lineRule="auto"/>
        <w:ind w:left="360"/>
        <w:rPr>
          <w:rFonts w:ascii="Times New Roman" w:hAnsi="Times New Roman" w:cs="Times New Roman"/>
          <w:color w:val="000000" w:themeColor="text1"/>
        </w:rPr>
      </w:pPr>
      <w:r w:rsidRPr="00B00DC5">
        <w:rPr>
          <w:rFonts w:ascii="Times New Roman" w:hAnsi="Times New Roman" w:cs="Times New Roman"/>
          <w:color w:val="161616"/>
        </w:rPr>
        <w:t xml:space="preserve">In relation to part 1, where cross-curriculum has been used by the writer in one of the two sessions, a conclusion to whether this would be the best approach can be formulated. Overall, it can be concluded that the use of cross-curricular on the whole is beneficial when delivered in an </w:t>
      </w:r>
      <w:r w:rsidRPr="00B00DC5">
        <w:rPr>
          <w:rFonts w:ascii="Times New Roman" w:hAnsi="Times New Roman" w:cs="Times New Roman"/>
          <w:color w:val="161616"/>
        </w:rPr>
        <w:lastRenderedPageBreak/>
        <w:t>integrated style, rather than just an “add on” (Donaldson, 2015). It can be seen in part 1 that one of the two lessons focussing on the development for pupils was delivered in a cross-curricular approach, and was completed with a high level of success. The argument presented by Tessa, suggests that this may have been successful as a result of good teaching be taught rather than implementing the bad. In future, it is within the writer’s belief, that cross-curricular is a valuable method of teaching in order to progress pupil development, however, still needs to be delivered in a fun, engaging and real-life/authentic context for the pupils to develop the most from it.</w:t>
      </w:r>
    </w:p>
    <w:p w14:paraId="1F448176" w14:textId="22275C44" w:rsidR="007C7170" w:rsidRPr="00B00DC5" w:rsidRDefault="007C7170" w:rsidP="0015110A">
      <w:pPr>
        <w:shd w:val="clear" w:color="auto" w:fill="FFFFFF"/>
        <w:spacing w:after="0" w:line="360" w:lineRule="auto"/>
        <w:ind w:left="360"/>
        <w:rPr>
          <w:rFonts w:ascii="Times New Roman" w:hAnsi="Times New Roman" w:cs="Times New Roman"/>
          <w:color w:val="000000" w:themeColor="text1"/>
        </w:rPr>
      </w:pPr>
    </w:p>
    <w:p w14:paraId="5B0B72B8" w14:textId="525C1869" w:rsidR="007C7170" w:rsidRPr="00B00DC5" w:rsidRDefault="007C7170" w:rsidP="0015110A">
      <w:pPr>
        <w:shd w:val="clear" w:color="auto" w:fill="FFFFFF"/>
        <w:spacing w:after="0" w:line="360" w:lineRule="auto"/>
        <w:rPr>
          <w:rFonts w:ascii="Times New Roman" w:hAnsi="Times New Roman" w:cs="Times New Roman"/>
          <w:color w:val="000000" w:themeColor="text1"/>
        </w:rPr>
      </w:pPr>
    </w:p>
    <w:p w14:paraId="0425B510" w14:textId="522CA78B" w:rsidR="00D24AC6" w:rsidRPr="00B00DC5" w:rsidRDefault="00D24AC6" w:rsidP="0015110A">
      <w:pPr>
        <w:pStyle w:val="ListParagraph"/>
        <w:numPr>
          <w:ilvl w:val="0"/>
          <w:numId w:val="5"/>
        </w:numPr>
        <w:shd w:val="clear" w:color="auto" w:fill="FFFFFF"/>
        <w:spacing w:after="0" w:line="360" w:lineRule="auto"/>
        <w:rPr>
          <w:rFonts w:ascii="Times New Roman" w:hAnsi="Times New Roman" w:cs="Times New Roman"/>
          <w:color w:val="000000" w:themeColor="text1"/>
        </w:rPr>
      </w:pPr>
      <w:r w:rsidRPr="00B00DC5">
        <w:rPr>
          <w:rFonts w:ascii="Times New Roman" w:eastAsia="Times New Roman" w:hAnsi="Times New Roman" w:cs="Times New Roman"/>
          <w:color w:val="000000"/>
        </w:rPr>
        <w:t>Barnes, J (2015). </w:t>
      </w:r>
      <w:r w:rsidRPr="00B00DC5">
        <w:rPr>
          <w:rFonts w:ascii="Times New Roman" w:eastAsia="Times New Roman" w:hAnsi="Times New Roman" w:cs="Times New Roman"/>
          <w:i/>
          <w:iCs/>
          <w:color w:val="000000"/>
        </w:rPr>
        <w:t>Cross-curricular Learning 3-14</w:t>
      </w:r>
      <w:r w:rsidRPr="00B00DC5">
        <w:rPr>
          <w:rFonts w:ascii="Times New Roman" w:eastAsia="Times New Roman" w:hAnsi="Times New Roman" w:cs="Times New Roman"/>
          <w:color w:val="000000"/>
        </w:rPr>
        <w:t>. 3rd ed. New York: Sage. 84</w:t>
      </w:r>
      <w:r w:rsidRPr="00B00DC5">
        <w:rPr>
          <w:rFonts w:ascii="Times New Roman" w:eastAsia="Times New Roman" w:hAnsi="Times New Roman" w:cs="Times New Roman"/>
          <w:color w:val="000000"/>
        </w:rPr>
        <w:t>.</w:t>
      </w:r>
    </w:p>
    <w:p w14:paraId="2A3D99E6" w14:textId="08321393" w:rsidR="005E57B6" w:rsidRPr="00B00DC5" w:rsidRDefault="005E57B6" w:rsidP="0015110A">
      <w:pPr>
        <w:pStyle w:val="ListParagraph"/>
        <w:numPr>
          <w:ilvl w:val="0"/>
          <w:numId w:val="5"/>
        </w:numPr>
        <w:shd w:val="clear" w:color="auto" w:fill="FFFFFF"/>
        <w:spacing w:after="0" w:line="360" w:lineRule="auto"/>
        <w:rPr>
          <w:rFonts w:ascii="Times New Roman" w:hAnsi="Times New Roman" w:cs="Times New Roman"/>
          <w:color w:val="000000" w:themeColor="text1"/>
        </w:rPr>
      </w:pPr>
      <w:r w:rsidRPr="00B00DC5">
        <w:rPr>
          <w:rFonts w:ascii="Times New Roman" w:eastAsia="Times New Roman" w:hAnsi="Times New Roman" w:cs="Times New Roman"/>
          <w:color w:val="000000"/>
        </w:rPr>
        <w:t xml:space="preserve">Coe, R. </w:t>
      </w:r>
      <w:proofErr w:type="spellStart"/>
      <w:r w:rsidRPr="00B00DC5">
        <w:rPr>
          <w:rFonts w:ascii="Times New Roman" w:eastAsia="Times New Roman" w:hAnsi="Times New Roman" w:cs="Times New Roman"/>
          <w:color w:val="000000"/>
        </w:rPr>
        <w:t>Aliosi</w:t>
      </w:r>
      <w:proofErr w:type="spellEnd"/>
      <w:r w:rsidRPr="00B00DC5">
        <w:rPr>
          <w:rFonts w:ascii="Times New Roman" w:eastAsia="Times New Roman" w:hAnsi="Times New Roman" w:cs="Times New Roman"/>
          <w:color w:val="000000"/>
        </w:rPr>
        <w:t xml:space="preserve">, C. Higgins, s. Elliot Major, </w:t>
      </w:r>
      <w:proofErr w:type="gramStart"/>
      <w:r w:rsidRPr="00B00DC5">
        <w:rPr>
          <w:rFonts w:ascii="Times New Roman" w:eastAsia="Times New Roman" w:hAnsi="Times New Roman" w:cs="Times New Roman"/>
          <w:color w:val="000000"/>
        </w:rPr>
        <w:t>L..</w:t>
      </w:r>
      <w:proofErr w:type="gramEnd"/>
      <w:r w:rsidRPr="00B00DC5">
        <w:rPr>
          <w:rFonts w:ascii="Times New Roman" w:eastAsia="Times New Roman" w:hAnsi="Times New Roman" w:cs="Times New Roman"/>
          <w:color w:val="000000"/>
        </w:rPr>
        <w:t xml:space="preserve"> (2014). </w:t>
      </w:r>
      <w:r w:rsidRPr="00B00DC5">
        <w:rPr>
          <w:rFonts w:ascii="Times New Roman" w:eastAsia="Times New Roman" w:hAnsi="Times New Roman" w:cs="Times New Roman"/>
          <w:i/>
          <w:iCs/>
          <w:color w:val="000000"/>
        </w:rPr>
        <w:t>What makes great teaching? Review of the underpinning research.</w:t>
      </w:r>
      <w:r w:rsidRPr="00B00DC5">
        <w:rPr>
          <w:rFonts w:ascii="Times New Roman" w:eastAsia="Times New Roman" w:hAnsi="Times New Roman" w:cs="Times New Roman"/>
          <w:color w:val="000000"/>
        </w:rPr>
        <w:t> Available: https://www.suttontrust.com/wp-content/uploads/2014/10/What-Makes-Great-Teaching-REPORT.pdf. Last accessed 1st May 2021.</w:t>
      </w:r>
    </w:p>
    <w:p w14:paraId="7D6E8662" w14:textId="189E33B3" w:rsidR="00DD5C43" w:rsidRPr="00B00DC5" w:rsidRDefault="00DD5C43" w:rsidP="0015110A">
      <w:pPr>
        <w:pStyle w:val="ListParagraph"/>
        <w:numPr>
          <w:ilvl w:val="0"/>
          <w:numId w:val="5"/>
        </w:numPr>
        <w:spacing w:line="360" w:lineRule="auto"/>
        <w:rPr>
          <w:rFonts w:ascii="Times New Roman" w:hAnsi="Times New Roman" w:cs="Times New Roman"/>
          <w:color w:val="000000"/>
        </w:rPr>
      </w:pPr>
      <w:r w:rsidRPr="00B00DC5">
        <w:rPr>
          <w:rFonts w:ascii="Times New Roman" w:hAnsi="Times New Roman" w:cs="Times New Roman"/>
          <w:color w:val="000000"/>
        </w:rPr>
        <w:t>Donaldson, G</w:t>
      </w:r>
      <w:hyperlink r:id="rId5" w:history="1">
        <w:r w:rsidRPr="00B00DC5">
          <w:rPr>
            <w:rStyle w:val="Hyperlink"/>
            <w:rFonts w:ascii="Times New Roman" w:hAnsi="Times New Roman" w:cs="Times New Roman"/>
            <w:color w:val="000000" w:themeColor="text1"/>
            <w:u w:val="none"/>
          </w:rPr>
          <w:t>. (2015).</w:t>
        </w:r>
      </w:hyperlink>
      <w:r w:rsidRPr="00B00DC5">
        <w:rPr>
          <w:rFonts w:ascii="Times New Roman" w:hAnsi="Times New Roman" w:cs="Times New Roman"/>
          <w:color w:val="000000" w:themeColor="text1"/>
        </w:rPr>
        <w:t> </w:t>
      </w:r>
      <w:r w:rsidRPr="00B00DC5">
        <w:rPr>
          <w:rFonts w:ascii="Times New Roman" w:hAnsi="Times New Roman" w:cs="Times New Roman"/>
          <w:i/>
          <w:iCs/>
          <w:color w:val="000000"/>
        </w:rPr>
        <w:t>Successful Futures.</w:t>
      </w:r>
      <w:r w:rsidRPr="00B00DC5">
        <w:rPr>
          <w:rFonts w:ascii="Times New Roman" w:hAnsi="Times New Roman" w:cs="Times New Roman"/>
          <w:color w:val="000000"/>
        </w:rPr>
        <w:t> Available: </w:t>
      </w:r>
      <w:hyperlink r:id="rId6" w:history="1">
        <w:r w:rsidRPr="00B00DC5">
          <w:rPr>
            <w:rStyle w:val="Hyperlink"/>
            <w:rFonts w:ascii="Times New Roman" w:hAnsi="Times New Roman" w:cs="Times New Roman"/>
            <w:color w:val="0078D7"/>
          </w:rPr>
          <w:t>https://gov.wales/sites/default/files/publications/2018-03/successful-futures.pdf</w:t>
        </w:r>
      </w:hyperlink>
      <w:r w:rsidRPr="00B00DC5">
        <w:rPr>
          <w:rFonts w:ascii="Times New Roman" w:hAnsi="Times New Roman" w:cs="Times New Roman"/>
          <w:color w:val="000000"/>
        </w:rPr>
        <w:t>.  Last accessed 21st Apri</w:t>
      </w:r>
      <w:r w:rsidRPr="00B00DC5">
        <w:rPr>
          <w:rFonts w:ascii="Times New Roman" w:hAnsi="Times New Roman" w:cs="Times New Roman"/>
          <w:color w:val="000000" w:themeColor="text1"/>
        </w:rPr>
        <w:t>l </w:t>
      </w:r>
      <w:hyperlink r:id="rId7" w:history="1">
        <w:r w:rsidRPr="00B00DC5">
          <w:rPr>
            <w:rStyle w:val="Hyperlink"/>
            <w:rFonts w:ascii="Times New Roman" w:hAnsi="Times New Roman" w:cs="Times New Roman"/>
            <w:color w:val="000000" w:themeColor="text1"/>
            <w:u w:val="none"/>
          </w:rPr>
          <w:t>2021.</w:t>
        </w:r>
      </w:hyperlink>
    </w:p>
    <w:p w14:paraId="4DCB2098" w14:textId="5727D02D" w:rsidR="00FA0904" w:rsidRPr="00B00DC5" w:rsidRDefault="00FA0904" w:rsidP="0015110A">
      <w:pPr>
        <w:pStyle w:val="ListParagraph"/>
        <w:numPr>
          <w:ilvl w:val="0"/>
          <w:numId w:val="5"/>
        </w:numPr>
        <w:shd w:val="clear" w:color="auto" w:fill="FFFFFF"/>
        <w:spacing w:after="0" w:line="360" w:lineRule="auto"/>
        <w:rPr>
          <w:rFonts w:ascii="Times New Roman" w:hAnsi="Times New Roman" w:cs="Times New Roman"/>
          <w:color w:val="000000" w:themeColor="text1"/>
        </w:rPr>
      </w:pPr>
      <w:proofErr w:type="spellStart"/>
      <w:r w:rsidRPr="00B00DC5">
        <w:rPr>
          <w:rFonts w:ascii="Times New Roman" w:eastAsia="Times New Roman" w:hAnsi="Times New Roman" w:cs="Times New Roman"/>
          <w:color w:val="000000"/>
        </w:rPr>
        <w:t>Estyn</w:t>
      </w:r>
      <w:proofErr w:type="spellEnd"/>
      <w:r w:rsidRPr="00B00DC5">
        <w:rPr>
          <w:rFonts w:ascii="Times New Roman" w:eastAsia="Times New Roman" w:hAnsi="Times New Roman" w:cs="Times New Roman"/>
          <w:color w:val="000000"/>
        </w:rPr>
        <w:t>. (2018). </w:t>
      </w:r>
      <w:r w:rsidRPr="00B00DC5">
        <w:rPr>
          <w:rFonts w:ascii="Times New Roman" w:eastAsia="Times New Roman" w:hAnsi="Times New Roman" w:cs="Times New Roman"/>
          <w:i/>
          <w:iCs/>
          <w:color w:val="000000"/>
        </w:rPr>
        <w:t>Providing enriched experiences to develop skills.</w:t>
      </w:r>
      <w:r w:rsidRPr="00B00DC5">
        <w:rPr>
          <w:rFonts w:ascii="Times New Roman" w:eastAsia="Times New Roman" w:hAnsi="Times New Roman" w:cs="Times New Roman"/>
          <w:color w:val="000000"/>
        </w:rPr>
        <w:t> Available: https://www.estyn.gov.wales/effective-practice/providing-enriched-experiences-develop-skills. Last accessed 1st May 2021.</w:t>
      </w:r>
    </w:p>
    <w:p w14:paraId="5ED3713E" w14:textId="77777777" w:rsidR="00D24AC6" w:rsidRPr="00B00DC5" w:rsidRDefault="00D24AC6" w:rsidP="0015110A">
      <w:pPr>
        <w:pStyle w:val="ListParagraph"/>
        <w:numPr>
          <w:ilvl w:val="0"/>
          <w:numId w:val="5"/>
        </w:numPr>
        <w:shd w:val="clear" w:color="auto" w:fill="FFFFFF"/>
        <w:spacing w:after="0" w:line="360" w:lineRule="auto"/>
        <w:rPr>
          <w:rFonts w:ascii="Times New Roman" w:hAnsi="Times New Roman" w:cs="Times New Roman"/>
          <w:color w:val="161616"/>
        </w:rPr>
      </w:pPr>
      <w:r w:rsidRPr="00B00DC5">
        <w:rPr>
          <w:rFonts w:ascii="Times New Roman" w:eastAsia="Times New Roman" w:hAnsi="Times New Roman" w:cs="Times New Roman"/>
          <w:color w:val="000000"/>
        </w:rPr>
        <w:t>Hughes, M (1996). </w:t>
      </w:r>
      <w:r w:rsidRPr="00B00DC5">
        <w:rPr>
          <w:rFonts w:ascii="Times New Roman" w:eastAsia="Times New Roman" w:hAnsi="Times New Roman" w:cs="Times New Roman"/>
          <w:i/>
          <w:iCs/>
          <w:color w:val="000000"/>
        </w:rPr>
        <w:t>Progression in Learning</w:t>
      </w:r>
      <w:r w:rsidRPr="00B00DC5">
        <w:rPr>
          <w:rFonts w:ascii="Times New Roman" w:eastAsia="Times New Roman" w:hAnsi="Times New Roman" w:cs="Times New Roman"/>
          <w:color w:val="000000"/>
        </w:rPr>
        <w:t>. Bristol: Multilingual Matters. 21.</w:t>
      </w:r>
    </w:p>
    <w:p w14:paraId="2D6A372C" w14:textId="4FA4E8C9" w:rsidR="00D24AC6" w:rsidRPr="00B00DC5" w:rsidRDefault="00D24AC6" w:rsidP="0015110A">
      <w:pPr>
        <w:pStyle w:val="ListParagraph"/>
        <w:numPr>
          <w:ilvl w:val="0"/>
          <w:numId w:val="5"/>
        </w:numPr>
        <w:shd w:val="clear" w:color="auto" w:fill="FFFFFF"/>
        <w:spacing w:after="0" w:line="360" w:lineRule="auto"/>
        <w:rPr>
          <w:rFonts w:ascii="Times New Roman" w:hAnsi="Times New Roman" w:cs="Times New Roman"/>
          <w:color w:val="161616"/>
        </w:rPr>
      </w:pPr>
      <w:r w:rsidRPr="00B00DC5">
        <w:rPr>
          <w:rFonts w:ascii="Times New Roman" w:eastAsia="Times New Roman" w:hAnsi="Times New Roman" w:cs="Times New Roman"/>
          <w:color w:val="000000"/>
        </w:rPr>
        <w:t>Psychology Notes HQ. (2019). </w:t>
      </w:r>
      <w:r w:rsidRPr="00B00DC5">
        <w:rPr>
          <w:rFonts w:ascii="Times New Roman" w:eastAsia="Times New Roman" w:hAnsi="Times New Roman" w:cs="Times New Roman"/>
          <w:i/>
          <w:iCs/>
          <w:color w:val="000000"/>
        </w:rPr>
        <w:t>Erik Erikson’s Theory of Psychosocial Development.</w:t>
      </w:r>
      <w:r w:rsidRPr="00B00DC5">
        <w:rPr>
          <w:rFonts w:ascii="Times New Roman" w:eastAsia="Times New Roman" w:hAnsi="Times New Roman" w:cs="Times New Roman"/>
          <w:color w:val="000000"/>
        </w:rPr>
        <w:t> Available: https://www.psychologynoteshq.com/erikson-stages/. Last accessed 24 April 2021.</w:t>
      </w:r>
    </w:p>
    <w:p w14:paraId="57ABBAFE" w14:textId="518F40CA" w:rsidR="00527198" w:rsidRPr="00B00DC5" w:rsidRDefault="00527198" w:rsidP="0015110A">
      <w:pPr>
        <w:pStyle w:val="ListParagraph"/>
        <w:numPr>
          <w:ilvl w:val="0"/>
          <w:numId w:val="4"/>
        </w:numPr>
        <w:shd w:val="clear" w:color="auto" w:fill="FFFFFF"/>
        <w:spacing w:after="0" w:line="360" w:lineRule="auto"/>
        <w:rPr>
          <w:rFonts w:ascii="Times New Roman" w:hAnsi="Times New Roman" w:cs="Times New Roman"/>
          <w:color w:val="161616"/>
        </w:rPr>
      </w:pPr>
      <w:proofErr w:type="spellStart"/>
      <w:r w:rsidRPr="00B00DC5">
        <w:rPr>
          <w:rFonts w:ascii="Times New Roman" w:eastAsia="Times New Roman" w:hAnsi="Times New Roman" w:cs="Times New Roman"/>
          <w:color w:val="000000"/>
        </w:rPr>
        <w:t>Sulzby</w:t>
      </w:r>
      <w:proofErr w:type="spellEnd"/>
      <w:r w:rsidRPr="00B00DC5">
        <w:rPr>
          <w:rFonts w:ascii="Times New Roman" w:eastAsia="Times New Roman" w:hAnsi="Times New Roman" w:cs="Times New Roman"/>
          <w:color w:val="000000"/>
        </w:rPr>
        <w:t xml:space="preserve">, E. (1988). A Study of Children's Early Reading Development. In: </w:t>
      </w:r>
      <w:proofErr w:type="spellStart"/>
      <w:r w:rsidRPr="00B00DC5">
        <w:rPr>
          <w:rFonts w:ascii="Times New Roman" w:eastAsia="Times New Roman" w:hAnsi="Times New Roman" w:cs="Times New Roman"/>
          <w:color w:val="000000"/>
        </w:rPr>
        <w:t>Pellegrini</w:t>
      </w:r>
      <w:proofErr w:type="spellEnd"/>
      <w:r w:rsidRPr="00B00DC5">
        <w:rPr>
          <w:rFonts w:ascii="Times New Roman" w:eastAsia="Times New Roman" w:hAnsi="Times New Roman" w:cs="Times New Roman"/>
          <w:color w:val="000000"/>
        </w:rPr>
        <w:t>, A.D </w:t>
      </w:r>
      <w:r w:rsidRPr="00B00DC5">
        <w:rPr>
          <w:rFonts w:ascii="Times New Roman" w:eastAsia="Times New Roman" w:hAnsi="Times New Roman" w:cs="Times New Roman"/>
          <w:i/>
          <w:iCs/>
          <w:color w:val="000000"/>
        </w:rPr>
        <w:t>Psychological Bases for Early Education</w:t>
      </w:r>
      <w:r w:rsidRPr="00B00DC5">
        <w:rPr>
          <w:rFonts w:ascii="Times New Roman" w:eastAsia="Times New Roman" w:hAnsi="Times New Roman" w:cs="Times New Roman"/>
          <w:color w:val="000000"/>
        </w:rPr>
        <w:t>. New York: Wiley. 39.</w:t>
      </w:r>
    </w:p>
    <w:p w14:paraId="7FB5546E" w14:textId="4EAD676B" w:rsidR="005E57B6" w:rsidRPr="00B00DC5" w:rsidRDefault="005E57B6" w:rsidP="0015110A">
      <w:pPr>
        <w:pStyle w:val="ListParagraph"/>
        <w:numPr>
          <w:ilvl w:val="0"/>
          <w:numId w:val="4"/>
        </w:numPr>
        <w:shd w:val="clear" w:color="auto" w:fill="FFFFFF"/>
        <w:spacing w:after="0" w:line="360" w:lineRule="auto"/>
        <w:rPr>
          <w:rFonts w:ascii="Times New Roman" w:hAnsi="Times New Roman" w:cs="Times New Roman"/>
          <w:color w:val="000000" w:themeColor="text1"/>
        </w:rPr>
      </w:pPr>
      <w:r w:rsidRPr="00B00DC5">
        <w:rPr>
          <w:rFonts w:ascii="Times New Roman" w:eastAsia="Times New Roman" w:hAnsi="Times New Roman" w:cs="Times New Roman"/>
          <w:color w:val="000000"/>
        </w:rPr>
        <w:t>Tessa. (2013). </w:t>
      </w:r>
      <w:r w:rsidRPr="00B00DC5">
        <w:rPr>
          <w:rFonts w:ascii="Times New Roman" w:eastAsia="Times New Roman" w:hAnsi="Times New Roman" w:cs="Times New Roman"/>
          <w:i/>
          <w:iCs/>
          <w:color w:val="000000"/>
        </w:rPr>
        <w:t>Point of view: We should have less cross-curricular CPD.</w:t>
      </w:r>
      <w:r w:rsidRPr="00B00DC5">
        <w:rPr>
          <w:rFonts w:ascii="Times New Roman" w:eastAsia="Times New Roman" w:hAnsi="Times New Roman" w:cs="Times New Roman"/>
          <w:color w:val="000000"/>
        </w:rPr>
        <w:t> Available: https://tdtrust.org/2013/03/24/point-of-view-we-should-have-less-cross-curricular-cpd/. Last accessed 29th April 2021.</w:t>
      </w:r>
    </w:p>
    <w:p w14:paraId="1C8FE75E" w14:textId="57B9ED70" w:rsidR="00527198" w:rsidRPr="00B00DC5" w:rsidRDefault="00527198" w:rsidP="0015110A">
      <w:pPr>
        <w:pStyle w:val="ListParagraph"/>
        <w:numPr>
          <w:ilvl w:val="0"/>
          <w:numId w:val="3"/>
        </w:numPr>
        <w:shd w:val="clear" w:color="auto" w:fill="FFFFFF"/>
        <w:spacing w:after="0" w:line="360" w:lineRule="auto"/>
        <w:rPr>
          <w:rFonts w:ascii="Times New Roman" w:eastAsia="Times New Roman" w:hAnsi="Times New Roman" w:cs="Times New Roman"/>
          <w:color w:val="000000"/>
          <w:shd w:val="clear" w:color="auto" w:fill="FFFFFF"/>
        </w:rPr>
      </w:pPr>
      <w:r w:rsidRPr="00B00DC5">
        <w:rPr>
          <w:rFonts w:ascii="Times New Roman" w:eastAsia="Times New Roman" w:hAnsi="Times New Roman" w:cs="Times New Roman"/>
          <w:color w:val="000000"/>
          <w:shd w:val="clear" w:color="auto" w:fill="FFFFFF"/>
        </w:rPr>
        <w:t>Wood, D., Bruner, J., &amp; Ross, G. (1976). The role of tutoring in problem solving. </w:t>
      </w:r>
      <w:r w:rsidRPr="00B00DC5">
        <w:rPr>
          <w:rStyle w:val="Hyperlink"/>
          <w:rFonts w:ascii="Times New Roman" w:eastAsia="Times New Roman" w:hAnsi="Times New Roman" w:cs="Times New Roman"/>
          <w:color w:val="000000"/>
          <w:shd w:val="clear" w:color="auto" w:fill="FFFFFF"/>
        </w:rPr>
        <w:t>Journal of Child Psychology and Child Psychiatry</w:t>
      </w:r>
      <w:r w:rsidRPr="00B00DC5">
        <w:rPr>
          <w:rFonts w:ascii="Times New Roman" w:eastAsia="Times New Roman" w:hAnsi="Times New Roman" w:cs="Times New Roman"/>
          <w:color w:val="000000"/>
          <w:shd w:val="clear" w:color="auto" w:fill="FFFFFF"/>
        </w:rPr>
        <w:t>, 17, 89−100.</w:t>
      </w:r>
    </w:p>
    <w:sectPr w:rsidR="00527198" w:rsidRPr="00B00D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4D8C"/>
    <w:multiLevelType w:val="hybridMultilevel"/>
    <w:tmpl w:val="9070BFAC"/>
    <w:lvl w:ilvl="0" w:tplc="FFFFFFFF">
      <w:numFmt w:val="bullet"/>
      <w:lvlText w:val=""/>
      <w:lvlJc w:val="left"/>
      <w:pPr>
        <w:ind w:left="720" w:hanging="360"/>
      </w:pPr>
      <w:rPr>
        <w:rFonts w:ascii="Wingdings" w:eastAsiaTheme="minorEastAsia"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4474FA"/>
    <w:multiLevelType w:val="hybridMultilevel"/>
    <w:tmpl w:val="E2EC3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6E2936"/>
    <w:multiLevelType w:val="hybridMultilevel"/>
    <w:tmpl w:val="70C25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9B451A"/>
    <w:multiLevelType w:val="hybridMultilevel"/>
    <w:tmpl w:val="7F7C1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061D04"/>
    <w:multiLevelType w:val="hybridMultilevel"/>
    <w:tmpl w:val="A5B6A65E"/>
    <w:lvl w:ilvl="0" w:tplc="FFFFFFFF">
      <w:numFmt w:val="bullet"/>
      <w:lvlText w:val="-"/>
      <w:lvlJc w:val="left"/>
      <w:pPr>
        <w:ind w:left="414" w:hanging="360"/>
      </w:pPr>
      <w:rPr>
        <w:rFonts w:ascii="Calibri" w:eastAsiaTheme="minorEastAsia" w:hAnsi="Calibri" w:cstheme="minorBidi"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146"/>
    <w:rsid w:val="00007BF6"/>
    <w:rsid w:val="0001112C"/>
    <w:rsid w:val="00013303"/>
    <w:rsid w:val="0001393E"/>
    <w:rsid w:val="000248EC"/>
    <w:rsid w:val="00030317"/>
    <w:rsid w:val="00030BD0"/>
    <w:rsid w:val="00040C63"/>
    <w:rsid w:val="000439D5"/>
    <w:rsid w:val="000522AB"/>
    <w:rsid w:val="000523CC"/>
    <w:rsid w:val="000612BE"/>
    <w:rsid w:val="000615A0"/>
    <w:rsid w:val="00061B3E"/>
    <w:rsid w:val="0006451B"/>
    <w:rsid w:val="000764F5"/>
    <w:rsid w:val="00077AF1"/>
    <w:rsid w:val="000836F2"/>
    <w:rsid w:val="000A0BAA"/>
    <w:rsid w:val="000A6160"/>
    <w:rsid w:val="000B35EB"/>
    <w:rsid w:val="000B5B13"/>
    <w:rsid w:val="000C1AEE"/>
    <w:rsid w:val="000C2178"/>
    <w:rsid w:val="000C485F"/>
    <w:rsid w:val="000C4FAA"/>
    <w:rsid w:val="000C7BC1"/>
    <w:rsid w:val="000D3068"/>
    <w:rsid w:val="000D5E02"/>
    <w:rsid w:val="000D6B23"/>
    <w:rsid w:val="00103A50"/>
    <w:rsid w:val="00103B5D"/>
    <w:rsid w:val="00103FB7"/>
    <w:rsid w:val="00105025"/>
    <w:rsid w:val="00105FDD"/>
    <w:rsid w:val="0011706A"/>
    <w:rsid w:val="00122BB4"/>
    <w:rsid w:val="00125146"/>
    <w:rsid w:val="00134C49"/>
    <w:rsid w:val="0013697A"/>
    <w:rsid w:val="00136D80"/>
    <w:rsid w:val="001419AB"/>
    <w:rsid w:val="001429BD"/>
    <w:rsid w:val="0015110A"/>
    <w:rsid w:val="00154916"/>
    <w:rsid w:val="0015622B"/>
    <w:rsid w:val="00167079"/>
    <w:rsid w:val="00167344"/>
    <w:rsid w:val="001729FC"/>
    <w:rsid w:val="0017458E"/>
    <w:rsid w:val="0017679E"/>
    <w:rsid w:val="00176E04"/>
    <w:rsid w:val="001820A7"/>
    <w:rsid w:val="0018592B"/>
    <w:rsid w:val="001874E1"/>
    <w:rsid w:val="00190FDF"/>
    <w:rsid w:val="00195DC7"/>
    <w:rsid w:val="001A7F15"/>
    <w:rsid w:val="001B0134"/>
    <w:rsid w:val="001B0756"/>
    <w:rsid w:val="001B3312"/>
    <w:rsid w:val="001C45D7"/>
    <w:rsid w:val="001D7313"/>
    <w:rsid w:val="001E7784"/>
    <w:rsid w:val="001F04B6"/>
    <w:rsid w:val="002046F1"/>
    <w:rsid w:val="002152CF"/>
    <w:rsid w:val="0021658A"/>
    <w:rsid w:val="00220D72"/>
    <w:rsid w:val="00236169"/>
    <w:rsid w:val="002416B3"/>
    <w:rsid w:val="0024349C"/>
    <w:rsid w:val="0024419A"/>
    <w:rsid w:val="00251150"/>
    <w:rsid w:val="002531D7"/>
    <w:rsid w:val="00256954"/>
    <w:rsid w:val="0027021E"/>
    <w:rsid w:val="00271DFB"/>
    <w:rsid w:val="00272750"/>
    <w:rsid w:val="00273086"/>
    <w:rsid w:val="0028013E"/>
    <w:rsid w:val="002906D2"/>
    <w:rsid w:val="002919E2"/>
    <w:rsid w:val="00297490"/>
    <w:rsid w:val="002A1062"/>
    <w:rsid w:val="002B0CF4"/>
    <w:rsid w:val="002B116A"/>
    <w:rsid w:val="002C4F9E"/>
    <w:rsid w:val="002C55CC"/>
    <w:rsid w:val="002C710E"/>
    <w:rsid w:val="002D0830"/>
    <w:rsid w:val="002D0933"/>
    <w:rsid w:val="002D70FC"/>
    <w:rsid w:val="002D734C"/>
    <w:rsid w:val="002E30FF"/>
    <w:rsid w:val="00302FBA"/>
    <w:rsid w:val="00314006"/>
    <w:rsid w:val="00317676"/>
    <w:rsid w:val="0032556F"/>
    <w:rsid w:val="00326ECD"/>
    <w:rsid w:val="0033512D"/>
    <w:rsid w:val="003423D7"/>
    <w:rsid w:val="00350827"/>
    <w:rsid w:val="00360F6B"/>
    <w:rsid w:val="00365A1B"/>
    <w:rsid w:val="0036675D"/>
    <w:rsid w:val="00375D3B"/>
    <w:rsid w:val="003801DE"/>
    <w:rsid w:val="00383182"/>
    <w:rsid w:val="003B0D07"/>
    <w:rsid w:val="003B36CF"/>
    <w:rsid w:val="003B3BEB"/>
    <w:rsid w:val="003C2610"/>
    <w:rsid w:val="003D0A7D"/>
    <w:rsid w:val="003D42EA"/>
    <w:rsid w:val="003E144F"/>
    <w:rsid w:val="003E524D"/>
    <w:rsid w:val="003E622D"/>
    <w:rsid w:val="003F50C9"/>
    <w:rsid w:val="003F5A25"/>
    <w:rsid w:val="003F5D50"/>
    <w:rsid w:val="003F60B9"/>
    <w:rsid w:val="004000A6"/>
    <w:rsid w:val="004038DB"/>
    <w:rsid w:val="004042D2"/>
    <w:rsid w:val="00405365"/>
    <w:rsid w:val="00407578"/>
    <w:rsid w:val="0041050F"/>
    <w:rsid w:val="00422781"/>
    <w:rsid w:val="004260B8"/>
    <w:rsid w:val="004344B1"/>
    <w:rsid w:val="0044533B"/>
    <w:rsid w:val="004469D7"/>
    <w:rsid w:val="0045202F"/>
    <w:rsid w:val="004526CB"/>
    <w:rsid w:val="00453002"/>
    <w:rsid w:val="00455DF2"/>
    <w:rsid w:val="00455FAF"/>
    <w:rsid w:val="004617D0"/>
    <w:rsid w:val="00464207"/>
    <w:rsid w:val="00470A32"/>
    <w:rsid w:val="0047319C"/>
    <w:rsid w:val="0047521D"/>
    <w:rsid w:val="00480148"/>
    <w:rsid w:val="00481CA9"/>
    <w:rsid w:val="00486BC5"/>
    <w:rsid w:val="00491662"/>
    <w:rsid w:val="00493398"/>
    <w:rsid w:val="00493BF3"/>
    <w:rsid w:val="0049756F"/>
    <w:rsid w:val="004A081A"/>
    <w:rsid w:val="004A0C2D"/>
    <w:rsid w:val="004B0312"/>
    <w:rsid w:val="004B6663"/>
    <w:rsid w:val="004B75A4"/>
    <w:rsid w:val="004C6C11"/>
    <w:rsid w:val="004D40B1"/>
    <w:rsid w:val="004E130B"/>
    <w:rsid w:val="004E2409"/>
    <w:rsid w:val="004E269E"/>
    <w:rsid w:val="004E434E"/>
    <w:rsid w:val="004E6950"/>
    <w:rsid w:val="004F07D6"/>
    <w:rsid w:val="00504AB2"/>
    <w:rsid w:val="005100D0"/>
    <w:rsid w:val="00510EE9"/>
    <w:rsid w:val="005124AE"/>
    <w:rsid w:val="00527198"/>
    <w:rsid w:val="005305CD"/>
    <w:rsid w:val="005330A9"/>
    <w:rsid w:val="00533C8D"/>
    <w:rsid w:val="00535778"/>
    <w:rsid w:val="00535CE4"/>
    <w:rsid w:val="00546A64"/>
    <w:rsid w:val="00546B41"/>
    <w:rsid w:val="0055113D"/>
    <w:rsid w:val="00553D66"/>
    <w:rsid w:val="00553F32"/>
    <w:rsid w:val="00560525"/>
    <w:rsid w:val="005621FB"/>
    <w:rsid w:val="00573816"/>
    <w:rsid w:val="005751B9"/>
    <w:rsid w:val="00590662"/>
    <w:rsid w:val="00590DCD"/>
    <w:rsid w:val="005A2C58"/>
    <w:rsid w:val="005A5C5F"/>
    <w:rsid w:val="005A7B2D"/>
    <w:rsid w:val="005B5C2A"/>
    <w:rsid w:val="005C13D7"/>
    <w:rsid w:val="005C4113"/>
    <w:rsid w:val="005D1ABB"/>
    <w:rsid w:val="005D2660"/>
    <w:rsid w:val="005D4BEB"/>
    <w:rsid w:val="005E20B4"/>
    <w:rsid w:val="005E57B6"/>
    <w:rsid w:val="005F313D"/>
    <w:rsid w:val="006010EF"/>
    <w:rsid w:val="00602D61"/>
    <w:rsid w:val="006103DB"/>
    <w:rsid w:val="006137BA"/>
    <w:rsid w:val="00620F96"/>
    <w:rsid w:val="00643E7F"/>
    <w:rsid w:val="006534F9"/>
    <w:rsid w:val="00654C45"/>
    <w:rsid w:val="006563AC"/>
    <w:rsid w:val="00661941"/>
    <w:rsid w:val="00671EED"/>
    <w:rsid w:val="006773F5"/>
    <w:rsid w:val="006B0516"/>
    <w:rsid w:val="006B0BDF"/>
    <w:rsid w:val="006B19A4"/>
    <w:rsid w:val="006B774B"/>
    <w:rsid w:val="006C0044"/>
    <w:rsid w:val="006C3794"/>
    <w:rsid w:val="006C3CD3"/>
    <w:rsid w:val="006C5D12"/>
    <w:rsid w:val="006D1C65"/>
    <w:rsid w:val="006D55C4"/>
    <w:rsid w:val="006D77B9"/>
    <w:rsid w:val="006E19FE"/>
    <w:rsid w:val="006E624C"/>
    <w:rsid w:val="006F337E"/>
    <w:rsid w:val="007020EE"/>
    <w:rsid w:val="007025B5"/>
    <w:rsid w:val="00713457"/>
    <w:rsid w:val="0072075B"/>
    <w:rsid w:val="00720F71"/>
    <w:rsid w:val="007317B6"/>
    <w:rsid w:val="007419C5"/>
    <w:rsid w:val="00743922"/>
    <w:rsid w:val="007678EB"/>
    <w:rsid w:val="00772844"/>
    <w:rsid w:val="007816AC"/>
    <w:rsid w:val="007833E0"/>
    <w:rsid w:val="00787366"/>
    <w:rsid w:val="00790D80"/>
    <w:rsid w:val="00791ECC"/>
    <w:rsid w:val="0079281E"/>
    <w:rsid w:val="0079334E"/>
    <w:rsid w:val="007A5F7B"/>
    <w:rsid w:val="007A68B4"/>
    <w:rsid w:val="007B2032"/>
    <w:rsid w:val="007B22E3"/>
    <w:rsid w:val="007B273D"/>
    <w:rsid w:val="007B31D6"/>
    <w:rsid w:val="007C49B4"/>
    <w:rsid w:val="007C5332"/>
    <w:rsid w:val="007C7170"/>
    <w:rsid w:val="007D27AA"/>
    <w:rsid w:val="008028EF"/>
    <w:rsid w:val="00802954"/>
    <w:rsid w:val="00802FA7"/>
    <w:rsid w:val="00806019"/>
    <w:rsid w:val="0080608E"/>
    <w:rsid w:val="00823593"/>
    <w:rsid w:val="00830556"/>
    <w:rsid w:val="00830E43"/>
    <w:rsid w:val="008329AF"/>
    <w:rsid w:val="00840FEA"/>
    <w:rsid w:val="00841941"/>
    <w:rsid w:val="00842976"/>
    <w:rsid w:val="00844F3C"/>
    <w:rsid w:val="0084512D"/>
    <w:rsid w:val="00845763"/>
    <w:rsid w:val="00852B65"/>
    <w:rsid w:val="008572FF"/>
    <w:rsid w:val="0086221F"/>
    <w:rsid w:val="00867665"/>
    <w:rsid w:val="00890D17"/>
    <w:rsid w:val="00892B05"/>
    <w:rsid w:val="00895213"/>
    <w:rsid w:val="00895FC7"/>
    <w:rsid w:val="008A127A"/>
    <w:rsid w:val="008A5846"/>
    <w:rsid w:val="008B0A05"/>
    <w:rsid w:val="008B2305"/>
    <w:rsid w:val="008B5114"/>
    <w:rsid w:val="008B5705"/>
    <w:rsid w:val="008D12A6"/>
    <w:rsid w:val="008E0B9D"/>
    <w:rsid w:val="008E6426"/>
    <w:rsid w:val="00906F79"/>
    <w:rsid w:val="00906FEA"/>
    <w:rsid w:val="00910699"/>
    <w:rsid w:val="0091328E"/>
    <w:rsid w:val="00917440"/>
    <w:rsid w:val="009174BA"/>
    <w:rsid w:val="00923BAE"/>
    <w:rsid w:val="00937058"/>
    <w:rsid w:val="0094482C"/>
    <w:rsid w:val="00946BDE"/>
    <w:rsid w:val="0095001D"/>
    <w:rsid w:val="00952735"/>
    <w:rsid w:val="009546FE"/>
    <w:rsid w:val="0095545E"/>
    <w:rsid w:val="00963E17"/>
    <w:rsid w:val="00970F55"/>
    <w:rsid w:val="00973528"/>
    <w:rsid w:val="00974E77"/>
    <w:rsid w:val="009755E7"/>
    <w:rsid w:val="009817EA"/>
    <w:rsid w:val="0098762B"/>
    <w:rsid w:val="00990F78"/>
    <w:rsid w:val="00991429"/>
    <w:rsid w:val="00991C0B"/>
    <w:rsid w:val="0099290C"/>
    <w:rsid w:val="009A0239"/>
    <w:rsid w:val="009A5684"/>
    <w:rsid w:val="009B18A0"/>
    <w:rsid w:val="009B662B"/>
    <w:rsid w:val="009B6ACB"/>
    <w:rsid w:val="009C1E13"/>
    <w:rsid w:val="009C7569"/>
    <w:rsid w:val="009E03BB"/>
    <w:rsid w:val="009E0D3F"/>
    <w:rsid w:val="009E3D49"/>
    <w:rsid w:val="009E48EB"/>
    <w:rsid w:val="009E74C6"/>
    <w:rsid w:val="009F1F85"/>
    <w:rsid w:val="00A000CE"/>
    <w:rsid w:val="00A023CC"/>
    <w:rsid w:val="00A02F1E"/>
    <w:rsid w:val="00A10F4B"/>
    <w:rsid w:val="00A13741"/>
    <w:rsid w:val="00A2543D"/>
    <w:rsid w:val="00A27FB2"/>
    <w:rsid w:val="00A331DD"/>
    <w:rsid w:val="00A44B81"/>
    <w:rsid w:val="00A61968"/>
    <w:rsid w:val="00A742BE"/>
    <w:rsid w:val="00A756AD"/>
    <w:rsid w:val="00A8366B"/>
    <w:rsid w:val="00A855B6"/>
    <w:rsid w:val="00A8595A"/>
    <w:rsid w:val="00A9027F"/>
    <w:rsid w:val="00A92222"/>
    <w:rsid w:val="00AA13A5"/>
    <w:rsid w:val="00AA5A2A"/>
    <w:rsid w:val="00AA6212"/>
    <w:rsid w:val="00AB4DF7"/>
    <w:rsid w:val="00AC2C8D"/>
    <w:rsid w:val="00AC6073"/>
    <w:rsid w:val="00AD2721"/>
    <w:rsid w:val="00AE0A84"/>
    <w:rsid w:val="00AE4C3D"/>
    <w:rsid w:val="00AE5431"/>
    <w:rsid w:val="00AF171D"/>
    <w:rsid w:val="00AF5C42"/>
    <w:rsid w:val="00AF5C70"/>
    <w:rsid w:val="00B00DC5"/>
    <w:rsid w:val="00B031C4"/>
    <w:rsid w:val="00B03DC2"/>
    <w:rsid w:val="00B046EF"/>
    <w:rsid w:val="00B2644C"/>
    <w:rsid w:val="00B3397C"/>
    <w:rsid w:val="00B41A7D"/>
    <w:rsid w:val="00B55E79"/>
    <w:rsid w:val="00B568D9"/>
    <w:rsid w:val="00B61926"/>
    <w:rsid w:val="00B622EC"/>
    <w:rsid w:val="00B65435"/>
    <w:rsid w:val="00B6674C"/>
    <w:rsid w:val="00B67F13"/>
    <w:rsid w:val="00B85487"/>
    <w:rsid w:val="00B91818"/>
    <w:rsid w:val="00B968A8"/>
    <w:rsid w:val="00BC314C"/>
    <w:rsid w:val="00BD3993"/>
    <w:rsid w:val="00BD5E85"/>
    <w:rsid w:val="00BE06EF"/>
    <w:rsid w:val="00BE4EF8"/>
    <w:rsid w:val="00BE6EE1"/>
    <w:rsid w:val="00BF1F81"/>
    <w:rsid w:val="00BF6A14"/>
    <w:rsid w:val="00C06172"/>
    <w:rsid w:val="00C11626"/>
    <w:rsid w:val="00C1372D"/>
    <w:rsid w:val="00C21148"/>
    <w:rsid w:val="00C23D94"/>
    <w:rsid w:val="00C24B2A"/>
    <w:rsid w:val="00C24D13"/>
    <w:rsid w:val="00C27308"/>
    <w:rsid w:val="00C30B63"/>
    <w:rsid w:val="00C368BE"/>
    <w:rsid w:val="00C41D3D"/>
    <w:rsid w:val="00C44D68"/>
    <w:rsid w:val="00C46E1E"/>
    <w:rsid w:val="00C471D5"/>
    <w:rsid w:val="00C5779B"/>
    <w:rsid w:val="00C60DFB"/>
    <w:rsid w:val="00C62515"/>
    <w:rsid w:val="00C7547B"/>
    <w:rsid w:val="00C9290B"/>
    <w:rsid w:val="00CA626A"/>
    <w:rsid w:val="00CA66B1"/>
    <w:rsid w:val="00CB1935"/>
    <w:rsid w:val="00CB3B5B"/>
    <w:rsid w:val="00CB6F35"/>
    <w:rsid w:val="00CC128F"/>
    <w:rsid w:val="00CC5BC1"/>
    <w:rsid w:val="00CC5D82"/>
    <w:rsid w:val="00CD23EC"/>
    <w:rsid w:val="00CD2ECE"/>
    <w:rsid w:val="00CE772A"/>
    <w:rsid w:val="00CF0A20"/>
    <w:rsid w:val="00CF6821"/>
    <w:rsid w:val="00D11D42"/>
    <w:rsid w:val="00D22B16"/>
    <w:rsid w:val="00D24AC6"/>
    <w:rsid w:val="00D31661"/>
    <w:rsid w:val="00D41A41"/>
    <w:rsid w:val="00D4223A"/>
    <w:rsid w:val="00D45900"/>
    <w:rsid w:val="00D52424"/>
    <w:rsid w:val="00D56195"/>
    <w:rsid w:val="00D57A6D"/>
    <w:rsid w:val="00D66824"/>
    <w:rsid w:val="00D76230"/>
    <w:rsid w:val="00D76E65"/>
    <w:rsid w:val="00D83EB5"/>
    <w:rsid w:val="00D92013"/>
    <w:rsid w:val="00D965F0"/>
    <w:rsid w:val="00D97D18"/>
    <w:rsid w:val="00DA12D2"/>
    <w:rsid w:val="00DA2860"/>
    <w:rsid w:val="00DA3249"/>
    <w:rsid w:val="00DA36F2"/>
    <w:rsid w:val="00DB0966"/>
    <w:rsid w:val="00DB5314"/>
    <w:rsid w:val="00DB57B5"/>
    <w:rsid w:val="00DC0A3D"/>
    <w:rsid w:val="00DC242C"/>
    <w:rsid w:val="00DC65C4"/>
    <w:rsid w:val="00DD1A9E"/>
    <w:rsid w:val="00DD5C43"/>
    <w:rsid w:val="00DD5FD6"/>
    <w:rsid w:val="00DE2942"/>
    <w:rsid w:val="00DF1DBA"/>
    <w:rsid w:val="00DF50D4"/>
    <w:rsid w:val="00DF5DC8"/>
    <w:rsid w:val="00DF6395"/>
    <w:rsid w:val="00E02E17"/>
    <w:rsid w:val="00E05493"/>
    <w:rsid w:val="00E102BA"/>
    <w:rsid w:val="00E11976"/>
    <w:rsid w:val="00E1344E"/>
    <w:rsid w:val="00E13597"/>
    <w:rsid w:val="00E20673"/>
    <w:rsid w:val="00E21520"/>
    <w:rsid w:val="00E21D7D"/>
    <w:rsid w:val="00E264E8"/>
    <w:rsid w:val="00E26570"/>
    <w:rsid w:val="00E356EF"/>
    <w:rsid w:val="00E419BB"/>
    <w:rsid w:val="00E46638"/>
    <w:rsid w:val="00E5211B"/>
    <w:rsid w:val="00E52BAA"/>
    <w:rsid w:val="00E53395"/>
    <w:rsid w:val="00E53F48"/>
    <w:rsid w:val="00E55B9A"/>
    <w:rsid w:val="00E757F6"/>
    <w:rsid w:val="00E82CC4"/>
    <w:rsid w:val="00E97B32"/>
    <w:rsid w:val="00EA43D6"/>
    <w:rsid w:val="00EA4C69"/>
    <w:rsid w:val="00EA4D0E"/>
    <w:rsid w:val="00EC19AD"/>
    <w:rsid w:val="00EC4DB1"/>
    <w:rsid w:val="00ED0E6A"/>
    <w:rsid w:val="00ED1F00"/>
    <w:rsid w:val="00ED3A58"/>
    <w:rsid w:val="00EF52FE"/>
    <w:rsid w:val="00F011E0"/>
    <w:rsid w:val="00F02C4C"/>
    <w:rsid w:val="00F03BA9"/>
    <w:rsid w:val="00F12016"/>
    <w:rsid w:val="00F22815"/>
    <w:rsid w:val="00F40407"/>
    <w:rsid w:val="00F41ABA"/>
    <w:rsid w:val="00F50868"/>
    <w:rsid w:val="00F52D6E"/>
    <w:rsid w:val="00F52FCA"/>
    <w:rsid w:val="00F53709"/>
    <w:rsid w:val="00F54A64"/>
    <w:rsid w:val="00F60E7F"/>
    <w:rsid w:val="00F6459F"/>
    <w:rsid w:val="00F772E4"/>
    <w:rsid w:val="00F80206"/>
    <w:rsid w:val="00F856F5"/>
    <w:rsid w:val="00F8597C"/>
    <w:rsid w:val="00F87DC7"/>
    <w:rsid w:val="00F90107"/>
    <w:rsid w:val="00F9068A"/>
    <w:rsid w:val="00F91B11"/>
    <w:rsid w:val="00F94269"/>
    <w:rsid w:val="00F96061"/>
    <w:rsid w:val="00F963CF"/>
    <w:rsid w:val="00FA0904"/>
    <w:rsid w:val="00FA0A31"/>
    <w:rsid w:val="00FA486C"/>
    <w:rsid w:val="00FA7DC5"/>
    <w:rsid w:val="00FB009F"/>
    <w:rsid w:val="00FB0955"/>
    <w:rsid w:val="00FB0997"/>
    <w:rsid w:val="00FB30FF"/>
    <w:rsid w:val="00FB7713"/>
    <w:rsid w:val="00FC1695"/>
    <w:rsid w:val="00FC4188"/>
    <w:rsid w:val="00FC46C5"/>
    <w:rsid w:val="00FC4B29"/>
    <w:rsid w:val="00FF1AF2"/>
    <w:rsid w:val="00FF4627"/>
    <w:rsid w:val="00FF5D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5F0202"/>
  <w15:chartTrackingRefBased/>
  <w15:docId w15:val="{565705C4-A007-43FA-B047-08C653148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97D18"/>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unhideWhenUsed/>
    <w:rsid w:val="00013303"/>
    <w:rPr>
      <w:color w:val="0563C1" w:themeColor="hyperlink"/>
      <w:u w:val="single"/>
    </w:rPr>
  </w:style>
  <w:style w:type="character" w:styleId="UnresolvedMention">
    <w:name w:val="Unresolved Mention"/>
    <w:basedOn w:val="DefaultParagraphFont"/>
    <w:uiPriority w:val="99"/>
    <w:semiHidden/>
    <w:unhideWhenUsed/>
    <w:rsid w:val="00013303"/>
    <w:rPr>
      <w:color w:val="605E5C"/>
      <w:shd w:val="clear" w:color="auto" w:fill="E1DFDD"/>
    </w:rPr>
  </w:style>
  <w:style w:type="paragraph" w:styleId="ListParagraph">
    <w:name w:val="List Paragraph"/>
    <w:basedOn w:val="Normal"/>
    <w:uiPriority w:val="34"/>
    <w:qFormat/>
    <w:rsid w:val="008572FF"/>
    <w:pPr>
      <w:ind w:left="720"/>
      <w:contextualSpacing/>
    </w:pPr>
  </w:style>
  <w:style w:type="character" w:styleId="FollowedHyperlink">
    <w:name w:val="FollowedHyperlink"/>
    <w:basedOn w:val="DefaultParagraphFont"/>
    <w:uiPriority w:val="99"/>
    <w:semiHidden/>
    <w:unhideWhenUsed/>
    <w:rsid w:val="007025B5"/>
    <w:rPr>
      <w:color w:val="954F72" w:themeColor="followedHyperlink"/>
      <w:u w:val="single"/>
    </w:rPr>
  </w:style>
  <w:style w:type="table" w:styleId="TableGrid">
    <w:name w:val="Table Grid"/>
    <w:basedOn w:val="TableNormal"/>
    <w:uiPriority w:val="39"/>
    <w:rsid w:val="00360F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049334">
      <w:bodyDiv w:val="1"/>
      <w:marLeft w:val="0"/>
      <w:marRight w:val="0"/>
      <w:marTop w:val="0"/>
      <w:marBottom w:val="0"/>
      <w:divBdr>
        <w:top w:val="none" w:sz="0" w:space="0" w:color="auto"/>
        <w:left w:val="none" w:sz="0" w:space="0" w:color="auto"/>
        <w:bottom w:val="none" w:sz="0" w:space="0" w:color="auto"/>
        <w:right w:val="none" w:sz="0" w:space="0" w:color="auto"/>
      </w:divBdr>
    </w:div>
    <w:div w:id="211381289">
      <w:bodyDiv w:val="1"/>
      <w:marLeft w:val="0"/>
      <w:marRight w:val="0"/>
      <w:marTop w:val="0"/>
      <w:marBottom w:val="0"/>
      <w:divBdr>
        <w:top w:val="none" w:sz="0" w:space="0" w:color="auto"/>
        <w:left w:val="none" w:sz="0" w:space="0" w:color="auto"/>
        <w:bottom w:val="none" w:sz="0" w:space="0" w:color="auto"/>
        <w:right w:val="none" w:sz="0" w:space="0" w:color="auto"/>
      </w:divBdr>
    </w:div>
    <w:div w:id="687103591">
      <w:bodyDiv w:val="1"/>
      <w:marLeft w:val="0"/>
      <w:marRight w:val="0"/>
      <w:marTop w:val="0"/>
      <w:marBottom w:val="0"/>
      <w:divBdr>
        <w:top w:val="none" w:sz="0" w:space="0" w:color="auto"/>
        <w:left w:val="none" w:sz="0" w:space="0" w:color="auto"/>
        <w:bottom w:val="none" w:sz="0" w:space="0" w:color="auto"/>
        <w:right w:val="none" w:sz="0" w:space="0" w:color="auto"/>
      </w:divBdr>
    </w:div>
    <w:div w:id="932475592">
      <w:bodyDiv w:val="1"/>
      <w:marLeft w:val="0"/>
      <w:marRight w:val="0"/>
      <w:marTop w:val="0"/>
      <w:marBottom w:val="0"/>
      <w:divBdr>
        <w:top w:val="none" w:sz="0" w:space="0" w:color="auto"/>
        <w:left w:val="none" w:sz="0" w:space="0" w:color="auto"/>
        <w:bottom w:val="none" w:sz="0" w:space="0" w:color="auto"/>
        <w:right w:val="none" w:sz="0" w:space="0" w:color="auto"/>
      </w:divBdr>
    </w:div>
    <w:div w:id="1034118918">
      <w:bodyDiv w:val="1"/>
      <w:marLeft w:val="0"/>
      <w:marRight w:val="0"/>
      <w:marTop w:val="0"/>
      <w:marBottom w:val="0"/>
      <w:divBdr>
        <w:top w:val="none" w:sz="0" w:space="0" w:color="auto"/>
        <w:left w:val="none" w:sz="0" w:space="0" w:color="auto"/>
        <w:bottom w:val="none" w:sz="0" w:space="0" w:color="auto"/>
        <w:right w:val="none" w:sz="0" w:space="0" w:color="auto"/>
      </w:divBdr>
      <w:divsChild>
        <w:div w:id="17889618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tel:+442021"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eur01.safelinks.protection.outlook.com/?url=https%3A%2F%2Fgov.wales%2Fsites%2Fdefault%2Ffiles%2Fpublications%2F2018-03%2Fsuccessful-futures.pdf&amp;data=04%7C01%7C%7Ce8acf593a8a34b73ca3908d9072c2ca7%7C4e0f11f9046e45059cb8db2152311e21%7C0%7C0%7C637548708568521754%7CUnknown%7CTWFpbGZsb3d8eyJWIjoiMC4wLjAwMDAiLCJQIjoiV2luMzIiLCJBTiI6Ik1haWwiLCJXVCI6Mn0%3D%7C1000&amp;sdata=ZjCzzYOD09usTtqQEHqe4Y7IPT258HE5ZddcetKm4BE%3D&amp;reserved=0" TargetMode="External" /><Relationship Id="rId5" Type="http://schemas.openxmlformats.org/officeDocument/2006/relationships/hyperlink" Target="tel:+442015" TargetMode="Externa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4225</TotalTime>
  <Pages>10</Pages>
  <Words>4533</Words>
  <Characters>25843</Characters>
  <Application>Microsoft Office Word</Application>
  <DocSecurity>0</DocSecurity>
  <Lines>215</Lines>
  <Paragraphs>60</Paragraphs>
  <ScaleCrop>false</ScaleCrop>
  <Company/>
  <LinksUpToDate>false</LinksUpToDate>
  <CharactersWithSpaces>30316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Dunt</dc:creator>
  <cp:keywords/>
  <dc:description/>
  <cp:lastModifiedBy>William Dunt</cp:lastModifiedBy>
  <cp:revision>508</cp:revision>
  <dcterms:created xsi:type="dcterms:W3CDTF">2021-04-22T13:06:00Z</dcterms:created>
  <dcterms:modified xsi:type="dcterms:W3CDTF">2021-05-03T11:07:00Z</dcterms:modified>
</cp:coreProperties>
</file>