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22429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433A5672" w14:textId="13A82E34"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For this task I will be discussing a serious and complex investigation in which I played a significant role with a victim. I will reflect on my role within the investigation while discussing social and legislative contexts and any cultural, ethnicity and language issues. I will critically evaluate the appropriateness of different approaches in supporting or managing vulnerable people at risk of harm during the investigative process. I will also explore what works in relation to tackling repeat victimisation and repeat offending during this investigation whilst considering evidence-based policing.</w:t>
      </w:r>
    </w:p>
    <w:p w14:paraId="6A8DEA5A" w14:textId="48FFAD4D"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The incident I will be discussing is one which encompassed three separate offences of common assault, racially aggravated public order, and assault on an emergency worker. At the time of the incident, I was allocated as the officer in case whilst based in the Investigative Hub department. When I started my tour of duty, the suspect had already been arrested and was in police custody. With the custody clock in mind, it was essential to conduct the golden hour enquiries which included contacting the victim to arrange a statement and implement any safeguarding measures, as well as gathering best possible evidence from passive data generators. “The golden hour </w:t>
      </w:r>
      <w:r w:rsidRPr="00224295">
        <w:rPr>
          <w:rFonts w:eastAsiaTheme="minorHAnsi"/>
          <w:color w:val="auto"/>
          <w:kern w:val="2"/>
          <w:sz w:val="24"/>
          <w:szCs w:val="24"/>
          <w:lang w:eastAsia="en-US"/>
          <w14:ligatures w14:val="standardContextual"/>
        </w:rPr>
        <w:lastRenderedPageBreak/>
        <w:t>principles refer to preservation of evidence. In the initial stages, you should concentrate on accumulating as much relevant material as possible.” (Stainton, R. 2022 p.28). Ensuring that the ‘Golden hour principles’ were followed enabled myself to obtain and capture all the relevant evidence at the earliest opportunity ensuring the best possible evidence was recovered.</w:t>
      </w:r>
    </w:p>
    <w:p w14:paraId="65B5E2A0" w14:textId="67CAB50B"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As a result of the incident two separate victims were identified. The first victim was a female who was a victim of common assault, and the second victim was a male Police officer who was the victim of an assault on an emergency worker and racially aggravated public order. During the incident the defendant has been involved in an altercation within a public house which has given the door staff cause to eject the male from the venue. Whilst door staff were ejecting the defendant from the venue, he has assaulted a female member of bar staff by punching her to the side of the head causing her to fall to the floor. Door staff have then detained the male until the Police have arrived to arrest the male. While being transported to the police vehicle the defendant has become verbally abusive to staff and has bit the right forearm of the Police officer. The behaviour of the defendant has become more aggressive, and he has started shouting racial abuse to the police officer. During the investigation there were no language barriers identified as all persons involved in the offence and the persons investigating could all converse in the same language without any issues. If a language barrier had been identified I would have utilised ‘Language Line’ a translation service to ensure that the victims and defendant were treated fairly.</w:t>
      </w:r>
    </w:p>
    <w:p w14:paraId="312267AE" w14:textId="66904DA5"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Due to the location of the incident, I considered what passive data generators were available to capture the incident. “Passive data generators are automated systems that gather and collate information for purposes unconnected with criminal investigation but can be accessed by investigators.” (College of Policing, 2013). Examples of these are CCTV cameras and Dash Cam footage. CCTV enquiries were conducted at the venue and with the local council authority.  It was essential in the early stages of the investigation to gather as much evidence as possible </w:t>
      </w:r>
      <w:proofErr w:type="gramStart"/>
      <w:r w:rsidRPr="00224295">
        <w:rPr>
          <w:rFonts w:eastAsiaTheme="minorHAnsi"/>
          <w:color w:val="auto"/>
          <w:kern w:val="2"/>
          <w:sz w:val="24"/>
          <w:szCs w:val="24"/>
          <w:lang w:eastAsia="en-US"/>
          <w14:ligatures w14:val="standardContextual"/>
        </w:rPr>
        <w:t>in order to</w:t>
      </w:r>
      <w:proofErr w:type="gramEnd"/>
      <w:r w:rsidRPr="00224295">
        <w:rPr>
          <w:rFonts w:eastAsiaTheme="minorHAnsi"/>
          <w:color w:val="auto"/>
          <w:kern w:val="2"/>
          <w:sz w:val="24"/>
          <w:szCs w:val="24"/>
          <w:lang w:eastAsia="en-US"/>
          <w14:ligatures w14:val="standardContextual"/>
        </w:rPr>
        <w:t xml:space="preserve"> present the evidence to the defendant and his solicitor in interview under caution. By doing this it would enable us to have the best prospect of achieving a conviction for the offences committed. By achieving this I believed I was able to provide the victim with the best possible outcome whilst ensuring she was safeguarded and </w:t>
      </w:r>
      <w:r w:rsidRPr="00224295">
        <w:rPr>
          <w:rFonts w:eastAsiaTheme="minorHAnsi"/>
          <w:color w:val="auto"/>
          <w:kern w:val="2"/>
          <w:sz w:val="24"/>
          <w:szCs w:val="24"/>
          <w:lang w:eastAsia="en-US"/>
          <w14:ligatures w14:val="standardContextual"/>
        </w:rPr>
        <w:lastRenderedPageBreak/>
        <w:t xml:space="preserve">mitigating the potential of becoming a repeat victim if bail conditions were not imposed.  “Once someone has become a victim, their risk of </w:t>
      </w:r>
      <w:proofErr w:type="spellStart"/>
      <w:r w:rsidRPr="00224295">
        <w:rPr>
          <w:rFonts w:eastAsiaTheme="minorHAnsi"/>
          <w:color w:val="auto"/>
          <w:kern w:val="2"/>
          <w:sz w:val="24"/>
          <w:szCs w:val="24"/>
          <w:lang w:eastAsia="en-US"/>
          <w14:ligatures w14:val="standardContextual"/>
        </w:rPr>
        <w:t>revictimisation</w:t>
      </w:r>
      <w:proofErr w:type="spellEnd"/>
      <w:r w:rsidRPr="00224295">
        <w:rPr>
          <w:rFonts w:eastAsiaTheme="minorHAnsi"/>
          <w:color w:val="auto"/>
          <w:kern w:val="2"/>
          <w:sz w:val="24"/>
          <w:szCs w:val="24"/>
          <w:lang w:eastAsia="en-US"/>
          <w14:ligatures w14:val="standardContextual"/>
        </w:rPr>
        <w:t xml:space="preserve"> increases. In other words, they become much more likely to be a victim of crime again </w:t>
      </w:r>
      <w:proofErr w:type="gramStart"/>
      <w:r w:rsidRPr="00224295">
        <w:rPr>
          <w:rFonts w:eastAsiaTheme="minorHAnsi"/>
          <w:color w:val="auto"/>
          <w:kern w:val="2"/>
          <w:sz w:val="24"/>
          <w:szCs w:val="24"/>
          <w:lang w:eastAsia="en-US"/>
          <w14:ligatures w14:val="standardContextual"/>
        </w:rPr>
        <w:t>in the near future</w:t>
      </w:r>
      <w:proofErr w:type="gramEnd"/>
      <w:r w:rsidRPr="00224295">
        <w:rPr>
          <w:rFonts w:eastAsiaTheme="minorHAnsi"/>
          <w:color w:val="auto"/>
          <w:kern w:val="2"/>
          <w:sz w:val="24"/>
          <w:szCs w:val="24"/>
          <w:lang w:eastAsia="en-US"/>
          <w14:ligatures w14:val="standardContextual"/>
        </w:rPr>
        <w:t>.” (College of Policing, 2021). Research conducted by College of Policing showed that: “In 2019/20, the Crime Survey for England and Wales showed that 34% of domestic violence victims, 27% of acquaintance violence victims and 14% of stranger violence victims were repeat victims.” (College of Policing, 2021). As per the key entitlements of the Victims Code (Ministry of Justice, 2013) the victim is entitled to make a Victim Personal statement to explain how the crime has affected them. In keeping with the Victims code, the victim was offered the chance to explain via a victim personal statement how the incident had affected her and enables to tailor the most appropriate support to their needs. “The VPS also helps criminal justice agencies make decisions on the support and services that victims and their families may need.” (Joint Agency Guide to the Victim Personal Statement A guide for all criminal justice practitioners, n.d.)</w:t>
      </w:r>
    </w:p>
    <w:p w14:paraId="0FF04120"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Keeping the victim of the common assault at the heart of the investigation it was essential to take on board her needs and concerns ensuring the correct support was put in place. Part of this support was to gain consent to share information with partner agencies via a Public Protection Notification Report which would assist in partner agencies providing support. Obtaining the victims consent to submit a victim focus referral was also sought and gained which ensured the victim could access support from professionals. According to the research by </w:t>
      </w:r>
      <w:proofErr w:type="spellStart"/>
      <w:r w:rsidRPr="00224295">
        <w:rPr>
          <w:rFonts w:eastAsiaTheme="minorHAnsi"/>
          <w:color w:val="auto"/>
          <w:kern w:val="2"/>
          <w:sz w:val="24"/>
          <w:szCs w:val="24"/>
          <w:lang w:eastAsia="en-US"/>
          <w14:ligatures w14:val="standardContextual"/>
        </w:rPr>
        <w:t>Simmonds.L</w:t>
      </w:r>
      <w:proofErr w:type="spellEnd"/>
      <w:r w:rsidRPr="00224295">
        <w:rPr>
          <w:rFonts w:eastAsiaTheme="minorHAnsi"/>
          <w:color w:val="auto"/>
          <w:kern w:val="2"/>
          <w:sz w:val="24"/>
          <w:szCs w:val="24"/>
          <w:lang w:eastAsia="en-US"/>
          <w14:ligatures w14:val="standardContextual"/>
        </w:rPr>
        <w:t xml:space="preserve">, (2013), victim support services have become more centrally managed and professionalised transitioning to a targeted service where there is a greater emphasis on the role of professional staff in assessing victim’s needs. </w:t>
      </w:r>
    </w:p>
    <w:p w14:paraId="0EFF23F9"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I also considered ‘special measures’ for the victim to encourage her to support prosecution of the defendant and empowering her to give evidence in court. “At court special measures may be available for the protection of eligible witnesses such as screens, evidence given by live video link or in private, removal of wigs and gowns.” (Pritchard, J. 2009. P.26) With the victim supporting a prosecution it provides further opportunities to safeguard and protect them from further offences by having the potential for a prison sentence to be imposed, a restraining order granted or to issue a curfew to the perpetrator. According to Pritchard (2009) assaults that leave no </w:t>
      </w:r>
      <w:r w:rsidRPr="00224295">
        <w:rPr>
          <w:rFonts w:eastAsiaTheme="minorHAnsi"/>
          <w:color w:val="auto"/>
          <w:kern w:val="2"/>
          <w:sz w:val="24"/>
          <w:szCs w:val="24"/>
          <w:lang w:eastAsia="en-US"/>
          <w14:ligatures w14:val="standardContextual"/>
        </w:rPr>
        <w:lastRenderedPageBreak/>
        <w:t>physical evidence are rarely prosecuted unless there are witnesses besides the alleged victim. I felt due to there being no further witnesses to the assault it was imperative that the victim was given the best support possible to ensure best evidence was produced at court.</w:t>
      </w:r>
    </w:p>
    <w:p w14:paraId="6D13B589"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The Police officer who was assaulted as part of the same incident and racially abused by the defendant, was conducting his duties in sight of the public. It was essential to ensure the investigation was conducted thoroughly due to the nature of the offences to ensure that a conviction was obtained to highlight to the public that this behaviour is unacceptable and has no place in society. Alarmingly assaults on police has increased in recent years. “In the year ending March 2022, 29,491 offences of “assault without injury on a constable” were recorded by the police, an 11% increase compared with the previous year”. (Home Office 2022) In line with the National Police Chief’s Council (2022) police race action plan, part of the framework outcome goals is to ensure black Police officers feel valued and want to stay in the police. Ensuring the matter was investigated thoroughly and achieving the best evidence was essential to ensure my colleague felt valued and treated as a victim. Police officers should be afforded the same level of protection from abusive behaviour as members of the public and should be treated equally as victims.</w:t>
      </w:r>
    </w:p>
    <w:p w14:paraId="28283DCF"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To ensure that the was no risk of reoffending, an application to remand the defendant in custody was sought, this further safeguarding both victims for potential further offences. Unfortunately, the remand application was rejected, so it was imperative that the victim was contacted, and bail conditions were discussed with her, again keeping the victim at the heart of the investigation. “If the court decides to put you on remand it means you’ll go to prison until your trial begins.” (Government Digital Services, 2012). Therefore, this would have mitigated any risk of reoffending by placing the offender into custody which would safeguard both victims from further harm from the defendant. The police officer who was the victim of the assault and racial abuse worked in a different sector to where the defendant was living, therefore the risk of the officer dealing with the defendant in the future was low, although not impossible. </w:t>
      </w:r>
    </w:p>
    <w:p w14:paraId="2AD7FD8D"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The College of Policing (2023) state Evidence-based policing (EBP) means that the best available evidence is used to inform and challenge policing policies, </w:t>
      </w:r>
      <w:proofErr w:type="gramStart"/>
      <w:r w:rsidRPr="00224295">
        <w:rPr>
          <w:rFonts w:eastAsiaTheme="minorHAnsi"/>
          <w:color w:val="auto"/>
          <w:kern w:val="2"/>
          <w:sz w:val="24"/>
          <w:szCs w:val="24"/>
          <w:lang w:eastAsia="en-US"/>
          <w14:ligatures w14:val="standardContextual"/>
        </w:rPr>
        <w:t>practices</w:t>
      </w:r>
      <w:proofErr w:type="gramEnd"/>
      <w:r w:rsidRPr="00224295">
        <w:rPr>
          <w:rFonts w:eastAsiaTheme="minorHAnsi"/>
          <w:color w:val="auto"/>
          <w:kern w:val="2"/>
          <w:sz w:val="24"/>
          <w:szCs w:val="24"/>
          <w:lang w:eastAsia="en-US"/>
          <w14:ligatures w14:val="standardContextual"/>
        </w:rPr>
        <w:t xml:space="preserve"> </w:t>
      </w:r>
      <w:r w:rsidRPr="00224295">
        <w:rPr>
          <w:rFonts w:eastAsiaTheme="minorHAnsi"/>
          <w:color w:val="auto"/>
          <w:kern w:val="2"/>
          <w:sz w:val="24"/>
          <w:szCs w:val="24"/>
          <w:lang w:eastAsia="en-US"/>
          <w14:ligatures w14:val="standardContextual"/>
        </w:rPr>
        <w:lastRenderedPageBreak/>
        <w:t xml:space="preserve">and decisions. </w:t>
      </w:r>
      <w:proofErr w:type="gramStart"/>
      <w:r w:rsidRPr="00224295">
        <w:rPr>
          <w:rFonts w:eastAsiaTheme="minorHAnsi"/>
          <w:color w:val="auto"/>
          <w:kern w:val="2"/>
          <w:sz w:val="24"/>
          <w:szCs w:val="24"/>
          <w:lang w:eastAsia="en-US"/>
          <w14:ligatures w14:val="standardContextual"/>
        </w:rPr>
        <w:t>With this in mind it</w:t>
      </w:r>
      <w:proofErr w:type="gramEnd"/>
      <w:r w:rsidRPr="00224295">
        <w:rPr>
          <w:rFonts w:eastAsiaTheme="minorHAnsi"/>
          <w:color w:val="auto"/>
          <w:kern w:val="2"/>
          <w:sz w:val="24"/>
          <w:szCs w:val="24"/>
          <w:lang w:eastAsia="en-US"/>
          <w14:ligatures w14:val="standardContextual"/>
        </w:rPr>
        <w:t xml:space="preserve"> was important to reflect back on previous experiences in dealing with similar occurrences and identifying what worked well, and what will give the victims the best service possible through the investigation. “Evidence-based policing is not just about the process of understanding and evaluating police practices. It is also about translating and using that knowledge in daily police activities.” (Lum and Koper, 2017)</w:t>
      </w:r>
    </w:p>
    <w:p w14:paraId="3D2F5769" w14:textId="36014274"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Due to the racial element of the incident, it was important to ensure that the appropriate safeguarding was put in place, therefore a Hate Crime action plan was implemented and tasked to the local hate crime officer for their awareness and any follow up action. A crime becomes a hate crime if the offence is based on or perceived race or ethnicity, religion, sexual orientation, disability, or transgender identity. According to (Home Office, 2023) there were 101,906 hate crimes recorded based on a person’s race in the year ending Mach 2023. Again, even though the victim of the racial abuse was a police officer it was still important to </w:t>
      </w:r>
      <w:proofErr w:type="spellStart"/>
      <w:r w:rsidRPr="00224295">
        <w:rPr>
          <w:rFonts w:eastAsiaTheme="minorHAnsi"/>
          <w:color w:val="auto"/>
          <w:kern w:val="2"/>
          <w:sz w:val="24"/>
          <w:szCs w:val="24"/>
          <w:lang w:eastAsia="en-US"/>
          <w14:ligatures w14:val="standardContextual"/>
        </w:rPr>
        <w:t>teat</w:t>
      </w:r>
      <w:proofErr w:type="spellEnd"/>
      <w:r w:rsidRPr="00224295">
        <w:rPr>
          <w:rFonts w:eastAsiaTheme="minorHAnsi"/>
          <w:color w:val="auto"/>
          <w:kern w:val="2"/>
          <w:sz w:val="24"/>
          <w:szCs w:val="24"/>
          <w:lang w:eastAsia="en-US"/>
          <w14:ligatures w14:val="standardContextual"/>
        </w:rPr>
        <w:t xml:space="preserve"> him as a victim and offer the same level of support as a member of the public would receive. By treating the police officer fairly and in line with the </w:t>
      </w:r>
      <w:proofErr w:type="gramStart"/>
      <w:r w:rsidRPr="00224295">
        <w:rPr>
          <w:rFonts w:eastAsiaTheme="minorHAnsi"/>
          <w:color w:val="auto"/>
          <w:kern w:val="2"/>
          <w:sz w:val="24"/>
          <w:szCs w:val="24"/>
          <w:lang w:eastAsia="en-US"/>
          <w14:ligatures w14:val="standardContextual"/>
        </w:rPr>
        <w:t>victims</w:t>
      </w:r>
      <w:proofErr w:type="gramEnd"/>
      <w:r w:rsidRPr="00224295">
        <w:rPr>
          <w:rFonts w:eastAsiaTheme="minorHAnsi"/>
          <w:color w:val="auto"/>
          <w:kern w:val="2"/>
          <w:sz w:val="24"/>
          <w:szCs w:val="24"/>
          <w:lang w:eastAsia="en-US"/>
          <w14:ligatures w14:val="standardContextual"/>
        </w:rPr>
        <w:t xml:space="preserve"> code of practice and following the hate crime action plan then this would increase confidence to report any further racial issues whether that be by a member of the public or even by a colleague in work, knowing that the police will investigate the matter thoroughly. Considering evidence-based policing, the hate crime action plan was introduced to ensure that victims of hate crimes are receiving a standardised service to ensuring a high and consistent level of service to the victim. “Evidence-based policing is the use of the best available research on the outcomes of police work to implement guidelines and evaluate agencies, units, and officers. Put more simply ... It uses the best evidence to shape the best practice.” (Sherman, 1998, pp. 3–4).</w:t>
      </w:r>
    </w:p>
    <w:p w14:paraId="5C391D33"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In conclusion a positive outcome was achieved </w:t>
      </w:r>
      <w:proofErr w:type="gramStart"/>
      <w:r w:rsidRPr="00224295">
        <w:rPr>
          <w:rFonts w:eastAsiaTheme="minorHAnsi"/>
          <w:color w:val="auto"/>
          <w:kern w:val="2"/>
          <w:sz w:val="24"/>
          <w:szCs w:val="24"/>
          <w:lang w:eastAsia="en-US"/>
          <w14:ligatures w14:val="standardContextual"/>
        </w:rPr>
        <w:t>as a result of</w:t>
      </w:r>
      <w:proofErr w:type="gramEnd"/>
      <w:r w:rsidRPr="00224295">
        <w:rPr>
          <w:rFonts w:eastAsiaTheme="minorHAnsi"/>
          <w:color w:val="auto"/>
          <w:kern w:val="2"/>
          <w:sz w:val="24"/>
          <w:szCs w:val="24"/>
          <w:lang w:eastAsia="en-US"/>
          <w14:ligatures w14:val="standardContextual"/>
        </w:rPr>
        <w:t xml:space="preserve"> the investigation and both victims were satisfied with the outcome and the service that was provided to them throughout the investigation and trial. The defendant was handed a custodial sentence which is testament to the strength and courage of both victims providing evidence to police including a victim personal statement detailing the impact of the crime. Both victims were safeguarded from becoming repeat victims by the measures implemented and the defendant receiving a custodial sentence. The female victim received follow up support from partner agencies with the police officer </w:t>
      </w:r>
      <w:r w:rsidRPr="00224295">
        <w:rPr>
          <w:rFonts w:eastAsiaTheme="minorHAnsi"/>
          <w:color w:val="auto"/>
          <w:kern w:val="2"/>
          <w:sz w:val="24"/>
          <w:szCs w:val="24"/>
          <w:lang w:eastAsia="en-US"/>
          <w14:ligatures w14:val="standardContextual"/>
        </w:rPr>
        <w:lastRenderedPageBreak/>
        <w:t xml:space="preserve">receiving support from the hate crime officer. As a </w:t>
      </w:r>
      <w:proofErr w:type="gramStart"/>
      <w:r w:rsidRPr="00224295">
        <w:rPr>
          <w:rFonts w:eastAsiaTheme="minorHAnsi"/>
          <w:color w:val="auto"/>
          <w:kern w:val="2"/>
          <w:sz w:val="24"/>
          <w:szCs w:val="24"/>
          <w:lang w:eastAsia="en-US"/>
          <w14:ligatures w14:val="standardContextual"/>
        </w:rPr>
        <w:t>result</w:t>
      </w:r>
      <w:proofErr w:type="gramEnd"/>
      <w:r w:rsidRPr="00224295">
        <w:rPr>
          <w:rFonts w:eastAsiaTheme="minorHAnsi"/>
          <w:color w:val="auto"/>
          <w:kern w:val="2"/>
          <w:sz w:val="24"/>
          <w:szCs w:val="24"/>
          <w:lang w:eastAsia="en-US"/>
          <w14:ligatures w14:val="standardContextual"/>
        </w:rPr>
        <w:t xml:space="preserve"> and reflecting on the investigation I have identified that evidence based policing has a key role to play in both the investigative process and the treatment of victims and the level of service provided to them, with the safeguarding measures put in place to minimise the risk of revictimization. </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0447D421" w14:textId="77777777" w:rsidR="00224295" w:rsidRDefault="00224295" w:rsidP="5CE196A1">
      <w:pPr>
        <w:ind w:right="237"/>
        <w:jc w:val="both"/>
        <w:rPr>
          <w:b/>
          <w:bCs/>
          <w:color w:val="000000" w:themeColor="text1"/>
          <w:sz w:val="24"/>
          <w:szCs w:val="24"/>
        </w:rPr>
      </w:pPr>
    </w:p>
    <w:p w14:paraId="1C400AD0" w14:textId="77777777" w:rsidR="00224295" w:rsidRDefault="00224295" w:rsidP="5CE196A1">
      <w:pPr>
        <w:ind w:right="237"/>
        <w:jc w:val="both"/>
        <w:rPr>
          <w:b/>
          <w:bCs/>
          <w:color w:val="000000" w:themeColor="text1"/>
          <w:sz w:val="24"/>
          <w:szCs w:val="24"/>
        </w:rPr>
      </w:pPr>
    </w:p>
    <w:p w14:paraId="6C90A276" w14:textId="77777777" w:rsidR="00224295" w:rsidRDefault="00224295" w:rsidP="5CE196A1">
      <w:pPr>
        <w:ind w:right="237"/>
        <w:jc w:val="both"/>
        <w:rPr>
          <w:b/>
          <w:bCs/>
          <w:color w:val="000000" w:themeColor="text1"/>
          <w:sz w:val="24"/>
          <w:szCs w:val="24"/>
        </w:rPr>
      </w:pPr>
    </w:p>
    <w:p w14:paraId="63E2C588" w14:textId="77777777" w:rsidR="00224295" w:rsidRDefault="00224295" w:rsidP="5CE196A1">
      <w:pPr>
        <w:ind w:right="237"/>
        <w:jc w:val="both"/>
        <w:rPr>
          <w:b/>
          <w:bCs/>
          <w:color w:val="000000" w:themeColor="text1"/>
          <w:sz w:val="24"/>
          <w:szCs w:val="24"/>
        </w:rPr>
      </w:pPr>
    </w:p>
    <w:p w14:paraId="3B5C5C8C" w14:textId="77777777" w:rsidR="00224295" w:rsidRDefault="00224295" w:rsidP="5CE196A1">
      <w:pPr>
        <w:ind w:right="237"/>
        <w:jc w:val="both"/>
        <w:rPr>
          <w:b/>
          <w:bCs/>
          <w:color w:val="000000" w:themeColor="text1"/>
          <w:sz w:val="24"/>
          <w:szCs w:val="24"/>
        </w:rPr>
      </w:pPr>
    </w:p>
    <w:p w14:paraId="69D5D628" w14:textId="77777777" w:rsidR="00224295" w:rsidRDefault="00224295" w:rsidP="5CE196A1">
      <w:pPr>
        <w:ind w:right="237"/>
        <w:jc w:val="both"/>
        <w:rPr>
          <w:b/>
          <w:bCs/>
          <w:color w:val="000000" w:themeColor="text1"/>
          <w:sz w:val="24"/>
          <w:szCs w:val="24"/>
        </w:rPr>
      </w:pPr>
    </w:p>
    <w:p w14:paraId="61B80BB9" w14:textId="77777777" w:rsidR="00224295" w:rsidRDefault="00224295" w:rsidP="5CE196A1">
      <w:pPr>
        <w:ind w:right="237"/>
        <w:jc w:val="both"/>
        <w:rPr>
          <w:b/>
          <w:bCs/>
          <w:color w:val="000000" w:themeColor="text1"/>
          <w:sz w:val="24"/>
          <w:szCs w:val="24"/>
        </w:rPr>
      </w:pPr>
    </w:p>
    <w:p w14:paraId="4D630659" w14:textId="77777777" w:rsidR="00224295" w:rsidRDefault="00224295" w:rsidP="5CE196A1">
      <w:pPr>
        <w:ind w:right="237"/>
        <w:jc w:val="both"/>
        <w:rPr>
          <w:b/>
          <w:bCs/>
          <w:color w:val="000000" w:themeColor="text1"/>
          <w:sz w:val="24"/>
          <w:szCs w:val="24"/>
        </w:rPr>
      </w:pPr>
    </w:p>
    <w:p w14:paraId="324E6858" w14:textId="77777777" w:rsidR="00224295" w:rsidRDefault="00224295" w:rsidP="5CE196A1">
      <w:pPr>
        <w:ind w:right="237"/>
        <w:jc w:val="both"/>
        <w:rPr>
          <w:b/>
          <w:bCs/>
          <w:color w:val="000000" w:themeColor="text1"/>
          <w:sz w:val="24"/>
          <w:szCs w:val="24"/>
        </w:rPr>
      </w:pPr>
    </w:p>
    <w:p w14:paraId="477D6FD7" w14:textId="77777777" w:rsidR="00224295" w:rsidRDefault="00224295" w:rsidP="5CE196A1">
      <w:pPr>
        <w:ind w:right="237"/>
        <w:jc w:val="both"/>
        <w:rPr>
          <w:b/>
          <w:bCs/>
          <w:color w:val="000000" w:themeColor="text1"/>
          <w:sz w:val="24"/>
          <w:szCs w:val="24"/>
        </w:rPr>
      </w:pPr>
    </w:p>
    <w:p w14:paraId="3B7687B4" w14:textId="77777777" w:rsidR="00224295" w:rsidRDefault="00224295" w:rsidP="5CE196A1">
      <w:pPr>
        <w:ind w:right="237"/>
        <w:jc w:val="both"/>
        <w:rPr>
          <w:b/>
          <w:bCs/>
          <w:color w:val="000000" w:themeColor="text1"/>
          <w:sz w:val="24"/>
          <w:szCs w:val="24"/>
        </w:rPr>
      </w:pPr>
    </w:p>
    <w:p w14:paraId="4BB45973" w14:textId="77777777" w:rsidR="00224295" w:rsidRDefault="00224295" w:rsidP="5CE196A1">
      <w:pPr>
        <w:ind w:right="237"/>
        <w:jc w:val="both"/>
        <w:rPr>
          <w:b/>
          <w:bCs/>
          <w:color w:val="000000" w:themeColor="text1"/>
          <w:sz w:val="24"/>
          <w:szCs w:val="24"/>
        </w:rPr>
      </w:pPr>
    </w:p>
    <w:p w14:paraId="6CD79A87" w14:textId="77777777" w:rsidR="00224295" w:rsidRDefault="00224295" w:rsidP="5CE196A1">
      <w:pPr>
        <w:ind w:right="237"/>
        <w:jc w:val="both"/>
        <w:rPr>
          <w:b/>
          <w:bCs/>
          <w:color w:val="000000" w:themeColor="text1"/>
          <w:sz w:val="24"/>
          <w:szCs w:val="24"/>
        </w:rPr>
      </w:pPr>
    </w:p>
    <w:p w14:paraId="6CC21D2F" w14:textId="77777777" w:rsidR="00224295" w:rsidRDefault="00224295" w:rsidP="5CE196A1">
      <w:pPr>
        <w:ind w:right="237"/>
        <w:jc w:val="both"/>
        <w:rPr>
          <w:b/>
          <w:bCs/>
          <w:color w:val="000000" w:themeColor="text1"/>
          <w:sz w:val="24"/>
          <w:szCs w:val="24"/>
        </w:rPr>
      </w:pPr>
    </w:p>
    <w:p w14:paraId="3EB6FD70" w14:textId="77777777" w:rsidR="00224295" w:rsidRDefault="00224295" w:rsidP="5CE196A1">
      <w:pPr>
        <w:ind w:right="237"/>
        <w:jc w:val="both"/>
        <w:rPr>
          <w:b/>
          <w:bCs/>
          <w:color w:val="000000" w:themeColor="text1"/>
          <w:sz w:val="24"/>
          <w:szCs w:val="24"/>
        </w:rPr>
      </w:pPr>
    </w:p>
    <w:p w14:paraId="75078478" w14:textId="77777777" w:rsidR="00224295" w:rsidRDefault="00224295" w:rsidP="5CE196A1">
      <w:pPr>
        <w:ind w:right="237"/>
        <w:jc w:val="both"/>
        <w:rPr>
          <w:b/>
          <w:bCs/>
          <w:color w:val="000000" w:themeColor="text1"/>
          <w:sz w:val="24"/>
          <w:szCs w:val="24"/>
        </w:rPr>
      </w:pPr>
    </w:p>
    <w:p w14:paraId="79E0F8AA" w14:textId="77777777" w:rsidR="00224295" w:rsidRDefault="00224295" w:rsidP="5CE196A1">
      <w:pPr>
        <w:ind w:right="237"/>
        <w:jc w:val="both"/>
        <w:rPr>
          <w:b/>
          <w:bCs/>
          <w:color w:val="000000" w:themeColor="text1"/>
          <w:sz w:val="24"/>
          <w:szCs w:val="24"/>
        </w:rPr>
      </w:pPr>
    </w:p>
    <w:p w14:paraId="7CFC51A2" w14:textId="77777777" w:rsidR="00224295" w:rsidRDefault="00224295"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20E6B0FC"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During this assignment I will discuss a serious and complex investigation in which I have played a significant role in. I will critically evaluate the process employed and the fast-track actions that were utilised in the process. I will evaluate the support that I provided to victims and witnesses and the offender where appropriate, referring to the management of my own personal values and attitudes in relation to this.</w:t>
      </w:r>
    </w:p>
    <w:p w14:paraId="4D208525"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I am currently attached to the Major Crime Investigations team and part of my role is to investigate serious and complex crime. The investigation that I will discuss is a current and ongoing missing person investigation. Due to the nature in which the male has gone missing and potential involvement from a third-party, Major Crime investigation team have been asked to assist in managing the investigation. </w:t>
      </w:r>
    </w:p>
    <w:p w14:paraId="73A0AEDC"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“Going missing is not an easy phenomenon to define. It may at first appear to be a question of intention – did the person intend to go missing, is there a deliberate break of contact with partners, parents, </w:t>
      </w:r>
      <w:proofErr w:type="gramStart"/>
      <w:r w:rsidRPr="00224295">
        <w:rPr>
          <w:rFonts w:eastAsiaTheme="minorHAnsi"/>
          <w:color w:val="auto"/>
          <w:kern w:val="2"/>
          <w:sz w:val="24"/>
          <w:szCs w:val="24"/>
          <w:lang w:eastAsia="en-US"/>
          <w14:ligatures w14:val="standardContextual"/>
        </w:rPr>
        <w:t>children</w:t>
      </w:r>
      <w:proofErr w:type="gramEnd"/>
      <w:r w:rsidRPr="00224295">
        <w:rPr>
          <w:rFonts w:eastAsiaTheme="minorHAnsi"/>
          <w:color w:val="auto"/>
          <w:kern w:val="2"/>
          <w:sz w:val="24"/>
          <w:szCs w:val="24"/>
          <w:lang w:eastAsia="en-US"/>
          <w14:ligatures w14:val="standardContextual"/>
        </w:rPr>
        <w:t xml:space="preserve"> or siblings?” </w:t>
      </w:r>
      <w:r w:rsidRPr="00224295">
        <w:rPr>
          <w:color w:val="auto"/>
          <w:sz w:val="24"/>
          <w:szCs w:val="24"/>
        </w:rPr>
        <w:t>(</w:t>
      </w:r>
      <w:proofErr w:type="spellStart"/>
      <w:r w:rsidRPr="00224295">
        <w:rPr>
          <w:color w:val="auto"/>
          <w:sz w:val="24"/>
          <w:szCs w:val="24"/>
        </w:rPr>
        <w:t>Biehal</w:t>
      </w:r>
      <w:proofErr w:type="spellEnd"/>
      <w:r w:rsidRPr="00224295">
        <w:rPr>
          <w:color w:val="auto"/>
          <w:sz w:val="24"/>
          <w:szCs w:val="24"/>
        </w:rPr>
        <w:t xml:space="preserve"> et al.) Although a</w:t>
      </w:r>
      <w:r w:rsidRPr="00224295">
        <w:rPr>
          <w:rFonts w:eastAsiaTheme="minorHAnsi"/>
          <w:color w:val="auto"/>
          <w:kern w:val="2"/>
          <w:sz w:val="24"/>
          <w:szCs w:val="24"/>
          <w:lang w:eastAsia="en-US"/>
          <w14:ligatures w14:val="standardContextual"/>
        </w:rPr>
        <w:t xml:space="preserve">ccording to ACPO (2005b: 8) a missing person is ‘anyone whose whereabouts is </w:t>
      </w:r>
      <w:r w:rsidRPr="00224295">
        <w:rPr>
          <w:rFonts w:eastAsiaTheme="minorHAnsi"/>
          <w:color w:val="auto"/>
          <w:kern w:val="2"/>
          <w:sz w:val="24"/>
          <w:szCs w:val="24"/>
          <w:lang w:eastAsia="en-US"/>
          <w14:ligatures w14:val="standardContextual"/>
        </w:rPr>
        <w:lastRenderedPageBreak/>
        <w:t xml:space="preserve">unknown whatever the circumstances of disappearance. They will be considered missing until located and their well-being or otherwise established.” This was an early key consideration for investigators, whether the missing person had chosen to go missing or whether there was a genuine concern for his welfare. </w:t>
      </w:r>
      <w:r w:rsidRPr="00224295">
        <w:rPr>
          <w:rFonts w:eastAsiaTheme="minorHAnsi"/>
          <w:color w:val="1F1F1F"/>
          <w:kern w:val="2"/>
          <w:sz w:val="24"/>
          <w:szCs w:val="24"/>
          <w:shd w:val="clear" w:color="auto" w:fill="FFFFFF"/>
          <w:lang w:eastAsia="en-US"/>
          <w14:ligatures w14:val="standardContextual"/>
        </w:rPr>
        <w:t> </w:t>
      </w:r>
    </w:p>
    <w:p w14:paraId="766126A1" w14:textId="77777777" w:rsidR="00224295" w:rsidRPr="00224295" w:rsidRDefault="00224295" w:rsidP="00224295">
      <w:pPr>
        <w:overflowPunct/>
        <w:autoSpaceDE/>
        <w:autoSpaceDN/>
        <w:adjustRightInd/>
        <w:spacing w:after="160" w:line="360" w:lineRule="auto"/>
        <w:textAlignment w:val="auto"/>
        <w:rPr>
          <w:rFonts w:eastAsiaTheme="minorHAnsi"/>
          <w:color w:val="1F2025"/>
          <w:kern w:val="2"/>
          <w:sz w:val="24"/>
          <w:szCs w:val="24"/>
          <w:shd w:val="clear" w:color="auto" w:fill="FFFFFF"/>
          <w:lang w:eastAsia="en-US"/>
          <w14:ligatures w14:val="standardContextual"/>
        </w:rPr>
      </w:pPr>
      <w:r w:rsidRPr="00224295">
        <w:rPr>
          <w:rFonts w:eastAsiaTheme="minorHAnsi"/>
          <w:color w:val="1F2025"/>
          <w:kern w:val="2"/>
          <w:sz w:val="24"/>
          <w:szCs w:val="24"/>
          <w:shd w:val="clear" w:color="auto" w:fill="FFFFFF"/>
          <w:lang w:eastAsia="en-US"/>
          <w14:ligatures w14:val="standardContextual"/>
        </w:rPr>
        <w:t xml:space="preserve">According to (South Wales Police, no date) people go missing for a variety of reasons, often leaving behind distraught loved </w:t>
      </w:r>
      <w:proofErr w:type="gramStart"/>
      <w:r w:rsidRPr="00224295">
        <w:rPr>
          <w:rFonts w:eastAsiaTheme="minorHAnsi"/>
          <w:color w:val="1F2025"/>
          <w:kern w:val="2"/>
          <w:sz w:val="24"/>
          <w:szCs w:val="24"/>
          <w:shd w:val="clear" w:color="auto" w:fill="FFFFFF"/>
          <w:lang w:eastAsia="en-US"/>
          <w14:ligatures w14:val="standardContextual"/>
        </w:rPr>
        <w:t>ones</w:t>
      </w:r>
      <w:proofErr w:type="gramEnd"/>
      <w:r w:rsidRPr="00224295">
        <w:rPr>
          <w:rFonts w:eastAsiaTheme="minorHAnsi"/>
          <w:color w:val="1F2025"/>
          <w:kern w:val="2"/>
          <w:sz w:val="24"/>
          <w:szCs w:val="24"/>
          <w:shd w:val="clear" w:color="auto" w:fill="FFFFFF"/>
          <w:lang w:eastAsia="en-US"/>
          <w14:ligatures w14:val="standardContextual"/>
        </w:rPr>
        <w:t xml:space="preserve"> and concerned associates who desperate for answers and their safe return. The perception that people ‘choose’ to go missing may cause others to overlook a myriad of external factors, which may affect a person’s ability to make rational decisions or force them to make decisions they are not mature enough to make. </w:t>
      </w:r>
      <w:r w:rsidRPr="00224295">
        <w:rPr>
          <w:rFonts w:eastAsiaTheme="minorHAnsi"/>
          <w:color w:val="1F1F1F"/>
          <w:kern w:val="2"/>
          <w:sz w:val="24"/>
          <w:szCs w:val="24"/>
          <w:shd w:val="clear" w:color="auto" w:fill="FFFFFF"/>
          <w:lang w:eastAsia="en-US"/>
          <w14:ligatures w14:val="standardContextual"/>
        </w:rPr>
        <w:t>Research by Alys ad Shalev (2017) indicate around 250,000 people are reported missing every year, with the majority being children under the age of 18. The male missing did not fit into that category and was in his early 30’s.</w:t>
      </w:r>
    </w:p>
    <w:p w14:paraId="0813E04F"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Due to this being a missing person investigation and not a murder enquiry at this stage, there was a discussion with senior management on what would be the best option to record all the investigative updates. Due to Major Crime using the HOMES system and divisional colleagues using NICHE, it was decided that NICHE would be the best option to record all the actions and investigative updates for ease of access to all those part-taking in the investigation. Both systems have their benefits with the HOLMES system being a national system for major investigations where only </w:t>
      </w:r>
      <w:proofErr w:type="gramStart"/>
      <w:r w:rsidRPr="00224295">
        <w:rPr>
          <w:rFonts w:eastAsiaTheme="minorHAnsi"/>
          <w:color w:val="auto"/>
          <w:kern w:val="2"/>
          <w:sz w:val="24"/>
          <w:szCs w:val="24"/>
          <w:lang w:eastAsia="en-US"/>
          <w14:ligatures w14:val="standardContextual"/>
        </w:rPr>
        <w:t>a number of</w:t>
      </w:r>
      <w:proofErr w:type="gramEnd"/>
      <w:r w:rsidRPr="00224295">
        <w:rPr>
          <w:rFonts w:eastAsiaTheme="minorHAnsi"/>
          <w:color w:val="auto"/>
          <w:kern w:val="2"/>
          <w:sz w:val="24"/>
          <w:szCs w:val="24"/>
          <w:lang w:eastAsia="en-US"/>
          <w14:ligatures w14:val="standardContextual"/>
        </w:rPr>
        <w:t xml:space="preserve"> officers are trained and are able to access the system, whereas NICHE is a localised system where all Police officers working for South Wales Police would have access to monitor and update the occurrence accordingly.</w:t>
      </w:r>
    </w:p>
    <w:p w14:paraId="7D90E6E0"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“The importance of structured approach in the initial stages of an investigation is represented by the golden hour principles.” (Stainton, Ewin &amp; Blockley, 2022) Stainton (2022) goes on to describe the golden hour principles as the preservation of evidence and the accumulation of as much relevant material as possible. In order to obtain the best change of securing evidence a number of fast </w:t>
      </w:r>
      <w:proofErr w:type="gramStart"/>
      <w:r w:rsidRPr="00224295">
        <w:rPr>
          <w:rFonts w:eastAsiaTheme="minorHAnsi"/>
          <w:color w:val="auto"/>
          <w:kern w:val="2"/>
          <w:sz w:val="24"/>
          <w:szCs w:val="24"/>
          <w:lang w:eastAsia="en-US"/>
          <w14:ligatures w14:val="standardContextual"/>
        </w:rPr>
        <w:t>track</w:t>
      </w:r>
      <w:proofErr w:type="gramEnd"/>
      <w:r w:rsidRPr="00224295">
        <w:rPr>
          <w:rFonts w:eastAsiaTheme="minorHAnsi"/>
          <w:color w:val="auto"/>
          <w:kern w:val="2"/>
          <w:sz w:val="24"/>
          <w:szCs w:val="24"/>
          <w:lang w:eastAsia="en-US"/>
          <w14:ligatures w14:val="standardContextual"/>
        </w:rPr>
        <w:t xml:space="preserve"> ‘golden hour’ actions were conducted. One of these actions was to visit the scene of the last sighting of the male and conducted house to house enquiries while conducting a CCTV scope in the area to see if a direction of travel could be identified which would produce further lines of enquiries. Further ‘golden hour’ actions included financial </w:t>
      </w:r>
      <w:r w:rsidRPr="00224295">
        <w:rPr>
          <w:rFonts w:eastAsiaTheme="minorHAnsi"/>
          <w:color w:val="auto"/>
          <w:kern w:val="2"/>
          <w:sz w:val="24"/>
          <w:szCs w:val="24"/>
          <w:lang w:eastAsia="en-US"/>
          <w14:ligatures w14:val="standardContextual"/>
        </w:rPr>
        <w:lastRenderedPageBreak/>
        <w:t xml:space="preserve">checks on the male to see if he had used any bank cards that were believed to be in his possession at the time of the last sighting. Again, this would provide us with further investigative opportunities if it had been identified that the bank cards had been used. </w:t>
      </w:r>
    </w:p>
    <w:p w14:paraId="3AF617B6"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Further fast track actions were conducted in relation to the </w:t>
      </w:r>
      <w:proofErr w:type="gramStart"/>
      <w:r w:rsidRPr="00224295">
        <w:rPr>
          <w:rFonts w:eastAsiaTheme="minorHAnsi"/>
          <w:color w:val="auto"/>
          <w:kern w:val="2"/>
          <w:sz w:val="24"/>
          <w:szCs w:val="24"/>
          <w:lang w:eastAsia="en-US"/>
          <w14:ligatures w14:val="standardContextual"/>
        </w:rPr>
        <w:t>males</w:t>
      </w:r>
      <w:proofErr w:type="gramEnd"/>
      <w:r w:rsidRPr="00224295">
        <w:rPr>
          <w:rFonts w:eastAsiaTheme="minorHAnsi"/>
          <w:color w:val="auto"/>
          <w:kern w:val="2"/>
          <w:sz w:val="24"/>
          <w:szCs w:val="24"/>
          <w:lang w:eastAsia="en-US"/>
          <w14:ligatures w14:val="standardContextual"/>
        </w:rPr>
        <w:t xml:space="preserve"> vehicle. ANPR checks were conducted as a matter of urgency to establish whether the vehicle had been captured on any cameras, thus providing us with a potential direction of travel. These checks proved </w:t>
      </w:r>
      <w:proofErr w:type="gramStart"/>
      <w:r w:rsidRPr="00224295">
        <w:rPr>
          <w:rFonts w:eastAsiaTheme="minorHAnsi"/>
          <w:color w:val="auto"/>
          <w:kern w:val="2"/>
          <w:sz w:val="24"/>
          <w:szCs w:val="24"/>
          <w:lang w:eastAsia="en-US"/>
          <w14:ligatures w14:val="standardContextual"/>
        </w:rPr>
        <w:t>negative</w:t>
      </w:r>
      <w:proofErr w:type="gramEnd"/>
      <w:r w:rsidRPr="00224295">
        <w:rPr>
          <w:rFonts w:eastAsiaTheme="minorHAnsi"/>
          <w:color w:val="auto"/>
          <w:kern w:val="2"/>
          <w:sz w:val="24"/>
          <w:szCs w:val="24"/>
          <w:lang w:eastAsia="en-US"/>
          <w14:ligatures w14:val="standardContextual"/>
        </w:rPr>
        <w:t xml:space="preserve"> and it was identified the vehicle had been left at the males place of work. A missing person report was conducted with the family members of the male and permission was granted to release an image of the male on social media appealing to the public for any information. Social media account details along with mobile phone details were obtained to establish if this could provide us with information to possibly locate the male.</w:t>
      </w:r>
    </w:p>
    <w:p w14:paraId="0DF8702B"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As the investigation progressed my role was to review all material that had been received including house to house results, CCTV enquiries and statements obtained from witnesses. Once these had been reviewed my role was to document and identify any actions that needed to be raised </w:t>
      </w:r>
      <w:proofErr w:type="gramStart"/>
      <w:r w:rsidRPr="00224295">
        <w:rPr>
          <w:rFonts w:eastAsiaTheme="minorHAnsi"/>
          <w:color w:val="auto"/>
          <w:kern w:val="2"/>
          <w:sz w:val="24"/>
          <w:szCs w:val="24"/>
          <w:lang w:eastAsia="en-US"/>
          <w14:ligatures w14:val="standardContextual"/>
        </w:rPr>
        <w:t>in order to</w:t>
      </w:r>
      <w:proofErr w:type="gramEnd"/>
      <w:r w:rsidRPr="00224295">
        <w:rPr>
          <w:rFonts w:eastAsiaTheme="minorHAnsi"/>
          <w:color w:val="auto"/>
          <w:kern w:val="2"/>
          <w:sz w:val="24"/>
          <w:szCs w:val="24"/>
          <w:lang w:eastAsia="en-US"/>
          <w14:ligatures w14:val="standardContextual"/>
        </w:rPr>
        <w:t xml:space="preserve"> expedite them to officers to conduct these enquiries as a matter of urgency.</w:t>
      </w:r>
    </w:p>
    <w:p w14:paraId="0EF3ED4D"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The circumstances surrounding the disappearance of the male needed to be established as a matter of urgency </w:t>
      </w:r>
      <w:proofErr w:type="gramStart"/>
      <w:r w:rsidRPr="00224295">
        <w:rPr>
          <w:rFonts w:eastAsiaTheme="minorHAnsi"/>
          <w:color w:val="auto"/>
          <w:kern w:val="2"/>
          <w:sz w:val="24"/>
          <w:szCs w:val="24"/>
          <w:lang w:eastAsia="en-US"/>
          <w14:ligatures w14:val="standardContextual"/>
        </w:rPr>
        <w:t>in order to</w:t>
      </w:r>
      <w:proofErr w:type="gramEnd"/>
      <w:r w:rsidRPr="00224295">
        <w:rPr>
          <w:rFonts w:eastAsiaTheme="minorHAnsi"/>
          <w:color w:val="auto"/>
          <w:kern w:val="2"/>
          <w:sz w:val="24"/>
          <w:szCs w:val="24"/>
          <w:lang w:eastAsia="en-US"/>
          <w14:ligatures w14:val="standardContextual"/>
        </w:rPr>
        <w:t xml:space="preserve"> achieve the best possible chance of locating the missing person safe and well. “It is essential that those classified as absent are monitored within agreed timescales to ensure that risk is managed </w:t>
      </w:r>
      <w:proofErr w:type="gramStart"/>
      <w:r w:rsidRPr="00224295">
        <w:rPr>
          <w:rFonts w:eastAsiaTheme="minorHAnsi"/>
          <w:color w:val="auto"/>
          <w:kern w:val="2"/>
          <w:sz w:val="24"/>
          <w:szCs w:val="24"/>
          <w:lang w:eastAsia="en-US"/>
          <w14:ligatures w14:val="standardContextual"/>
        </w:rPr>
        <w:t>properly</w:t>
      </w:r>
      <w:proofErr w:type="gramEnd"/>
      <w:r w:rsidRPr="00224295">
        <w:rPr>
          <w:rFonts w:eastAsiaTheme="minorHAnsi"/>
          <w:color w:val="auto"/>
          <w:kern w:val="2"/>
          <w:sz w:val="24"/>
          <w:szCs w:val="24"/>
          <w:lang w:eastAsia="en-US"/>
          <w14:ligatures w14:val="standardContextual"/>
        </w:rPr>
        <w:t xml:space="preserve"> and appropriate actions are taken to recover or safeguard the missing person.” (ACPO, 2013). </w:t>
      </w:r>
      <w:proofErr w:type="gramStart"/>
      <w:r w:rsidRPr="00224295">
        <w:rPr>
          <w:rFonts w:eastAsiaTheme="minorHAnsi"/>
          <w:color w:val="auto"/>
          <w:kern w:val="2"/>
          <w:sz w:val="24"/>
          <w:szCs w:val="24"/>
          <w:lang w:eastAsia="en-US"/>
          <w14:ligatures w14:val="standardContextual"/>
        </w:rPr>
        <w:t>With this in mind, it</w:t>
      </w:r>
      <w:proofErr w:type="gramEnd"/>
      <w:r w:rsidRPr="00224295">
        <w:rPr>
          <w:rFonts w:eastAsiaTheme="minorHAnsi"/>
          <w:color w:val="auto"/>
          <w:kern w:val="2"/>
          <w:sz w:val="24"/>
          <w:szCs w:val="24"/>
          <w:lang w:eastAsia="en-US"/>
          <w14:ligatures w14:val="standardContextual"/>
        </w:rPr>
        <w:t xml:space="preserve"> was imperative that the fast actions that were raised were allocated for officers to carry out as soon as practicable. Due to there being a </w:t>
      </w:r>
      <w:proofErr w:type="gramStart"/>
      <w:r w:rsidRPr="00224295">
        <w:rPr>
          <w:rFonts w:eastAsiaTheme="minorHAnsi"/>
          <w:color w:val="auto"/>
          <w:kern w:val="2"/>
          <w:sz w:val="24"/>
          <w:szCs w:val="24"/>
          <w:lang w:eastAsia="en-US"/>
          <w14:ligatures w14:val="standardContextual"/>
        </w:rPr>
        <w:t>fast flowing</w:t>
      </w:r>
      <w:proofErr w:type="gramEnd"/>
      <w:r w:rsidRPr="00224295">
        <w:rPr>
          <w:rFonts w:eastAsiaTheme="minorHAnsi"/>
          <w:color w:val="auto"/>
          <w:kern w:val="2"/>
          <w:sz w:val="24"/>
          <w:szCs w:val="24"/>
          <w:lang w:eastAsia="en-US"/>
          <w14:ligatures w14:val="standardContextual"/>
        </w:rPr>
        <w:t xml:space="preserve"> river close to where the male was last sighted a specialist search team were utilised to carry out extensive search both in the river and along the river bank for any sign of the missing person or anything that could help us identify whether the male had entered the water at all.</w:t>
      </w:r>
    </w:p>
    <w:p w14:paraId="3EE367FB"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During the early stages of the investigation, it was identified that two males had assaulted the missing person the week prior to his disappearance. The two males were subsequently arrested on suspicion of Actual Bodily Harm and were </w:t>
      </w:r>
      <w:r w:rsidRPr="00224295">
        <w:rPr>
          <w:rFonts w:eastAsiaTheme="minorHAnsi"/>
          <w:color w:val="auto"/>
          <w:kern w:val="2"/>
          <w:sz w:val="24"/>
          <w:szCs w:val="24"/>
          <w:lang w:eastAsia="en-US"/>
          <w14:ligatures w14:val="standardContextual"/>
        </w:rPr>
        <w:lastRenderedPageBreak/>
        <w:t xml:space="preserve">interviewed and bailed for the offence. The following day one of the suspects for the assault attended at the police station and wished to speak to officers as he believed he had information in relation to the missing person. It was important to consider whether the male had information to assist police or that he was using this as a bargaining tool to obtain his vehicle back after it was seized for forensics by the police. As GREENE and ALYS (2016) state, understanding the position and perspective of the informant will indicate whether or they are able to supply </w:t>
      </w:r>
      <w:proofErr w:type="gramStart"/>
      <w:r w:rsidRPr="00224295">
        <w:rPr>
          <w:rFonts w:eastAsiaTheme="minorHAnsi"/>
          <w:color w:val="auto"/>
          <w:kern w:val="2"/>
          <w:sz w:val="24"/>
          <w:szCs w:val="24"/>
          <w:lang w:eastAsia="en-US"/>
          <w14:ligatures w14:val="standardContextual"/>
        </w:rPr>
        <w:t>all of</w:t>
      </w:r>
      <w:proofErr w:type="gramEnd"/>
      <w:r w:rsidRPr="00224295">
        <w:rPr>
          <w:rFonts w:eastAsiaTheme="minorHAnsi"/>
          <w:color w:val="auto"/>
          <w:kern w:val="2"/>
          <w:sz w:val="24"/>
          <w:szCs w:val="24"/>
          <w:lang w:eastAsia="en-US"/>
          <w14:ligatures w14:val="standardContextual"/>
        </w:rPr>
        <w:t xml:space="preserve"> the information required and any bias they may have. They go on to say, their information may not be complete because they are not aware of everything </w:t>
      </w:r>
      <w:proofErr w:type="gramStart"/>
      <w:r w:rsidRPr="00224295">
        <w:rPr>
          <w:rFonts w:eastAsiaTheme="minorHAnsi"/>
          <w:color w:val="auto"/>
          <w:kern w:val="2"/>
          <w:sz w:val="24"/>
          <w:szCs w:val="24"/>
          <w:lang w:eastAsia="en-US"/>
          <w14:ligatures w14:val="standardContextual"/>
        </w:rPr>
        <w:t>or  because</w:t>
      </w:r>
      <w:proofErr w:type="gramEnd"/>
      <w:r w:rsidRPr="00224295">
        <w:rPr>
          <w:rFonts w:eastAsiaTheme="minorHAnsi"/>
          <w:color w:val="auto"/>
          <w:kern w:val="2"/>
          <w:sz w:val="24"/>
          <w:szCs w:val="24"/>
          <w:lang w:eastAsia="en-US"/>
          <w14:ligatures w14:val="standardContextual"/>
        </w:rPr>
        <w:t xml:space="preserve"> they have a reason to withhold it.</w:t>
      </w:r>
    </w:p>
    <w:p w14:paraId="3518ED30"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According to GREENE and ALYS (2016) during an investigation into a missing person there are six key elements which are: early actions, interview, search, use of publicity, the return of the missing person and responding to the information gathered during the investigation. To ensure the </w:t>
      </w:r>
      <w:proofErr w:type="gramStart"/>
      <w:r w:rsidRPr="00224295">
        <w:rPr>
          <w:rFonts w:eastAsiaTheme="minorHAnsi"/>
          <w:color w:val="auto"/>
          <w:kern w:val="2"/>
          <w:sz w:val="24"/>
          <w:szCs w:val="24"/>
          <w:lang w:eastAsia="en-US"/>
          <w14:ligatures w14:val="standardContextual"/>
        </w:rPr>
        <w:t>general public</w:t>
      </w:r>
      <w:proofErr w:type="gramEnd"/>
      <w:r w:rsidRPr="00224295">
        <w:rPr>
          <w:rFonts w:eastAsiaTheme="minorHAnsi"/>
          <w:color w:val="auto"/>
          <w:kern w:val="2"/>
          <w:sz w:val="24"/>
          <w:szCs w:val="24"/>
          <w:lang w:eastAsia="en-US"/>
          <w14:ligatures w14:val="standardContextual"/>
        </w:rPr>
        <w:t xml:space="preserve"> were aware of the missing person, a social media appeal was put out to the public in order to gain more information to be able to collate any new information. As (ACPO, 2010) state, the police recognise that using a media strategy with a </w:t>
      </w:r>
      <w:proofErr w:type="gramStart"/>
      <w:r w:rsidRPr="00224295">
        <w:rPr>
          <w:rFonts w:eastAsiaTheme="minorHAnsi"/>
          <w:color w:val="auto"/>
          <w:kern w:val="2"/>
          <w:sz w:val="24"/>
          <w:szCs w:val="24"/>
          <w:lang w:eastAsia="en-US"/>
          <w14:ligatures w14:val="standardContextual"/>
        </w:rPr>
        <w:t>missing person investigations</w:t>
      </w:r>
      <w:proofErr w:type="gramEnd"/>
      <w:r w:rsidRPr="00224295">
        <w:rPr>
          <w:rFonts w:eastAsiaTheme="minorHAnsi"/>
          <w:color w:val="auto"/>
          <w:kern w:val="2"/>
          <w:sz w:val="24"/>
          <w:szCs w:val="24"/>
          <w:lang w:eastAsia="en-US"/>
          <w14:ligatures w14:val="standardContextual"/>
        </w:rPr>
        <w:t xml:space="preserve"> has the following objective: to generate information and public awareness to assist the enquiry and to control speculation. It was important that the information on the appeal was accurate as once it was put out onto social media it is extremely hard to retract. “Once the appeals have been made public, there is limited scope for them to be withdrawn completely. It is important that the people issuing the appeal consider carefully what information to include.” (</w:t>
      </w:r>
      <w:proofErr w:type="spellStart"/>
      <w:r w:rsidRPr="00224295">
        <w:rPr>
          <w:rFonts w:eastAsiaTheme="minorHAnsi"/>
          <w:color w:val="auto"/>
          <w:kern w:val="2"/>
          <w:sz w:val="24"/>
          <w:szCs w:val="24"/>
          <w:lang w:eastAsia="en-US"/>
          <w14:ligatures w14:val="standardContextual"/>
        </w:rPr>
        <w:t>Morewitz</w:t>
      </w:r>
      <w:proofErr w:type="spellEnd"/>
      <w:r w:rsidRPr="00224295">
        <w:rPr>
          <w:rFonts w:eastAsiaTheme="minorHAnsi"/>
          <w:color w:val="auto"/>
          <w:kern w:val="2"/>
          <w:sz w:val="24"/>
          <w:szCs w:val="24"/>
          <w:lang w:eastAsia="en-US"/>
          <w14:ligatures w14:val="standardContextual"/>
        </w:rPr>
        <w:t xml:space="preserve"> and Colls, 2016).</w:t>
      </w:r>
    </w:p>
    <w:p w14:paraId="18501E96"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Considering my own personal values and attitudes, it was important to empathise with the family and friends of the missing person, trying to imagine the pain and worry they must be experiencing wishing for the safe return of their loved one. There is a danger in policing to fall into a trap of being complacent and becoming negative towards investigating missing persons (South Wales Police, 2024) report that they on average, receive 8,000 missing persons reports each year. This places a high demand on front line police officers who investigate a high volume of these reports, with many being young adults who run away from care settings or stay out longer than the agreed upon time before being returned to their care settings by police. Considering my own personal values and attitude towards a missing person report, I </w:t>
      </w:r>
      <w:r w:rsidRPr="00224295">
        <w:rPr>
          <w:rFonts w:eastAsiaTheme="minorHAnsi"/>
          <w:color w:val="auto"/>
          <w:kern w:val="2"/>
          <w:sz w:val="24"/>
          <w:szCs w:val="24"/>
          <w:lang w:eastAsia="en-US"/>
          <w14:ligatures w14:val="standardContextual"/>
        </w:rPr>
        <w:lastRenderedPageBreak/>
        <w:t>strongly believe in treating each report with the same interest and fairness giving myself the best opportunity to gather and collate all the relevant information to establish the whereabouts of the individual to ensure their safe return. According to research carried out by (National Crime Agency, 2019) adults appear to be more likely to come to harm or remain missing (8.7%) compared to children (4.0%) and accounted for 94 per cent of the fatal outcomes (321; in 15 cases the age of the individual is not known).  This highlights and demonstrates the serious nature of the investigation and the requirement to identify lines of enquiries to establish the whereabouts of the male.</w:t>
      </w:r>
    </w:p>
    <w:p w14:paraId="54B2134B"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According to (Harris, D. 2019) in the early days of missing, some family members may be able to be more proactive in searching than others. Whilst considering the families desire to help and assist in the search for the missing person there is a possibility of members of the family unintentionally frustrating the search which could possibly interfere with any possible forensic opportunities that may be identified by police. Whilst showing empathy to the family it was essential that communication with them was maintained during the investigation to ensure they were fully updated with the progress of the investigation and what actions had been undertaken and what actions were due to be undertaken.</w:t>
      </w:r>
    </w:p>
    <w:p w14:paraId="4E9B03EE"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“Family members report that the feelings do not ease or fade with time as can happen with losses that are less ambiguous. Indicators of trauma, including anxiety, difficulty concentrating, disturbed sleep, hypervigilance, intrusive </w:t>
      </w:r>
      <w:proofErr w:type="gramStart"/>
      <w:r w:rsidRPr="00224295">
        <w:rPr>
          <w:rFonts w:eastAsiaTheme="minorHAnsi"/>
          <w:color w:val="auto"/>
          <w:kern w:val="2"/>
          <w:sz w:val="24"/>
          <w:szCs w:val="24"/>
          <w:lang w:eastAsia="en-US"/>
          <w14:ligatures w14:val="standardContextual"/>
        </w:rPr>
        <w:t>thoughts</w:t>
      </w:r>
      <w:proofErr w:type="gramEnd"/>
      <w:r w:rsidRPr="00224295">
        <w:rPr>
          <w:rFonts w:eastAsiaTheme="minorHAnsi"/>
          <w:color w:val="auto"/>
          <w:kern w:val="2"/>
          <w:sz w:val="24"/>
          <w:szCs w:val="24"/>
          <w:lang w:eastAsia="en-US"/>
          <w14:ligatures w14:val="standardContextual"/>
        </w:rPr>
        <w:t xml:space="preserve"> and images.” (FFMPU, 2014 cited in Harris, D. 2019). As the days passed and the investigation progressed there was a real concern from family members that the police were not taking the missing person report serious. This was a challenging period but showing the family empathy and maintaining the level communication throughout was essential to build and maintain a positive relationship, demonstrating that the police were using all the relevant departments and counting on the expertise of specialist departments to investigate and conduct thorough searches of identified areas of interest.</w:t>
      </w:r>
    </w:p>
    <w:p w14:paraId="2BF29994"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Due to the missing person case gaining media and social media attention it was essential that the communications department were liaised with ensuring that the communication with the public was clear and transparent whilst extending an appeal </w:t>
      </w:r>
      <w:r w:rsidRPr="00224295">
        <w:rPr>
          <w:rFonts w:eastAsiaTheme="minorHAnsi"/>
          <w:color w:val="auto"/>
          <w:kern w:val="2"/>
          <w:sz w:val="24"/>
          <w:szCs w:val="24"/>
          <w:lang w:eastAsia="en-US"/>
          <w14:ligatures w14:val="standardContextual"/>
        </w:rPr>
        <w:lastRenderedPageBreak/>
        <w:t>to the public for any information. Utilising the media demonstrated to the family and friends that the Police were taking the investigation seriously and were doing all they could for the safe return of the individual.</w:t>
      </w:r>
    </w:p>
    <w:p w14:paraId="14FA8D9F" w14:textId="77777777" w:rsidR="00224295" w:rsidRPr="00224295" w:rsidRDefault="00224295" w:rsidP="0022429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224295">
        <w:rPr>
          <w:rFonts w:eastAsiaTheme="minorHAnsi"/>
          <w:color w:val="auto"/>
          <w:kern w:val="2"/>
          <w:sz w:val="24"/>
          <w:szCs w:val="24"/>
          <w:lang w:eastAsia="en-US"/>
          <w14:ligatures w14:val="standardContextual"/>
        </w:rPr>
        <w:t xml:space="preserve">In conclusion, I believe that the fast track and golden hour opportunities were identified at the earliest opportunities. The family were kept informed through the investigation and made aware of any developments. I believe that approaching this incident with an open mind and being empathetic with the family and the situation they were in enabled me </w:t>
      </w:r>
      <w:proofErr w:type="gramStart"/>
      <w:r w:rsidRPr="00224295">
        <w:rPr>
          <w:rFonts w:eastAsiaTheme="minorHAnsi"/>
          <w:color w:val="auto"/>
          <w:kern w:val="2"/>
          <w:sz w:val="24"/>
          <w:szCs w:val="24"/>
          <w:lang w:eastAsia="en-US"/>
          <w14:ligatures w14:val="standardContextual"/>
        </w:rPr>
        <w:t>build</w:t>
      </w:r>
      <w:proofErr w:type="gramEnd"/>
      <w:r w:rsidRPr="00224295">
        <w:rPr>
          <w:rFonts w:eastAsiaTheme="minorHAnsi"/>
          <w:color w:val="auto"/>
          <w:kern w:val="2"/>
          <w:sz w:val="24"/>
          <w:szCs w:val="24"/>
          <w:lang w:eastAsia="en-US"/>
          <w14:ligatures w14:val="standardContextual"/>
        </w:rPr>
        <w:t xml:space="preserve"> their trust which in turn meant they were able to start opening up and providing information that could have assisted in the investigation regarding associates and regular haunts of the missing person. The investigation is ongoing to establish the </w:t>
      </w:r>
      <w:proofErr w:type="gramStart"/>
      <w:r w:rsidRPr="00224295">
        <w:rPr>
          <w:rFonts w:eastAsiaTheme="minorHAnsi"/>
          <w:color w:val="auto"/>
          <w:kern w:val="2"/>
          <w:sz w:val="24"/>
          <w:szCs w:val="24"/>
          <w:lang w:eastAsia="en-US"/>
          <w14:ligatures w14:val="standardContextual"/>
        </w:rPr>
        <w:t>males</w:t>
      </w:r>
      <w:proofErr w:type="gramEnd"/>
      <w:r w:rsidRPr="00224295">
        <w:rPr>
          <w:rFonts w:eastAsiaTheme="minorHAnsi"/>
          <w:color w:val="auto"/>
          <w:kern w:val="2"/>
          <w:sz w:val="24"/>
          <w:szCs w:val="24"/>
          <w:lang w:eastAsia="en-US"/>
          <w14:ligatures w14:val="standardContextual"/>
        </w:rPr>
        <w:t xml:space="preserve"> whereabouts, however the ‘golden hour’ fast track actions were identified at the earliest opportunity and carried out increasing the chance of locating the male unharmed.</w:t>
      </w:r>
    </w:p>
    <w:p w14:paraId="58A1F3B1" w14:textId="77777777" w:rsidR="00224295" w:rsidRDefault="00224295" w:rsidP="009370AE">
      <w:pPr>
        <w:ind w:right="237"/>
        <w:jc w:val="both"/>
        <w:rPr>
          <w:b/>
          <w:bCs/>
          <w:color w:val="000000" w:themeColor="text1"/>
          <w:sz w:val="28"/>
          <w:szCs w:val="28"/>
        </w:rPr>
      </w:pPr>
    </w:p>
    <w:p w14:paraId="4711CC06" w14:textId="77777777" w:rsidR="00224295" w:rsidRDefault="00224295" w:rsidP="009370AE">
      <w:pPr>
        <w:ind w:right="237"/>
        <w:jc w:val="both"/>
        <w:rPr>
          <w:b/>
          <w:bCs/>
          <w:color w:val="000000" w:themeColor="text1"/>
          <w:sz w:val="28"/>
          <w:szCs w:val="28"/>
        </w:rPr>
      </w:pPr>
    </w:p>
    <w:p w14:paraId="1DCB415F" w14:textId="77777777" w:rsidR="00224295" w:rsidRDefault="00224295" w:rsidP="009370AE">
      <w:pPr>
        <w:ind w:right="237"/>
        <w:jc w:val="both"/>
        <w:rPr>
          <w:b/>
          <w:bCs/>
          <w:color w:val="000000" w:themeColor="text1"/>
          <w:sz w:val="28"/>
          <w:szCs w:val="28"/>
        </w:rPr>
      </w:pPr>
    </w:p>
    <w:p w14:paraId="673F099D" w14:textId="77777777" w:rsidR="00224295" w:rsidRDefault="00224295" w:rsidP="009370AE">
      <w:pPr>
        <w:ind w:right="237"/>
        <w:jc w:val="both"/>
        <w:rPr>
          <w:b/>
          <w:bCs/>
          <w:color w:val="000000" w:themeColor="text1"/>
          <w:sz w:val="28"/>
          <w:szCs w:val="28"/>
        </w:rPr>
      </w:pPr>
    </w:p>
    <w:p w14:paraId="31017A71" w14:textId="77777777" w:rsidR="00224295" w:rsidRDefault="00224295" w:rsidP="009370AE">
      <w:pPr>
        <w:ind w:right="237"/>
        <w:jc w:val="both"/>
        <w:rPr>
          <w:b/>
          <w:bCs/>
          <w:color w:val="000000" w:themeColor="text1"/>
          <w:sz w:val="28"/>
          <w:szCs w:val="28"/>
        </w:rPr>
      </w:pPr>
    </w:p>
    <w:p w14:paraId="49989C09" w14:textId="7811A472" w:rsidR="009370AE" w:rsidRPr="009370AE" w:rsidRDefault="009370AE" w:rsidP="009370AE">
      <w:pPr>
        <w:ind w:right="237"/>
        <w:jc w:val="both"/>
        <w:rPr>
          <w:b/>
          <w:bCs/>
          <w:color w:val="000000" w:themeColor="text1"/>
          <w:sz w:val="28"/>
          <w:szCs w:val="28"/>
        </w:rPr>
      </w:pPr>
    </w:p>
    <w:p w14:paraId="1ADEFAE5" w14:textId="6653AB94" w:rsidR="0FF883D4" w:rsidRDefault="00224295" w:rsidP="5CE196A1">
      <w:r>
        <w:rPr>
          <w:rFonts w:eastAsia="Arial"/>
          <w:b/>
          <w:bCs/>
          <w:noProof/>
          <w:color w:val="000000" w:themeColor="text1"/>
          <w:sz w:val="24"/>
          <w:szCs w:val="24"/>
        </w:rPr>
        <mc:AlternateContent>
          <mc:Choice Requires="wpi">
            <w:drawing>
              <wp:anchor distT="0" distB="0" distL="114300" distR="114300" simplePos="0" relativeHeight="251669504" behindDoc="0" locked="0" layoutInCell="1" allowOverlap="1" wp14:anchorId="00C739BE" wp14:editId="17FC527E">
                <wp:simplePos x="0" y="0"/>
                <wp:positionH relativeFrom="column">
                  <wp:posOffset>1976120</wp:posOffset>
                </wp:positionH>
                <wp:positionV relativeFrom="paragraph">
                  <wp:posOffset>-103505</wp:posOffset>
                </wp:positionV>
                <wp:extent cx="481370" cy="401955"/>
                <wp:effectExtent l="38100" t="38100" r="52070" b="55245"/>
                <wp:wrapNone/>
                <wp:docPr id="1659448653"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481370" cy="401955"/>
                      </w14:xfrm>
                    </w14:contentPart>
                  </a:graphicData>
                </a:graphic>
              </wp:anchor>
            </w:drawing>
          </mc:Choice>
          <mc:Fallback>
            <w:pict>
              <v:shapetype w14:anchorId="10AEC0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54.9pt;margin-top:-8.85pt;width:39.3pt;height:33.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E1V3AQAACQMAAA4AAABkcnMvZTJvRG9jLnhtbJxSXU/CMBR9N/E/&#10;NH2XbTgQFgYPEhMeVB70B9SuZY1r73JbGPx77wYIaIwJL0vvPdnp+ehktrUV2yj0BlzOk17MmXIS&#10;CuNWOX9/e7obceaDcIWowKmc75Tns+ntzaSpM9WHEqpCISMS57OmznkZQp1FkZelssL3oFaOQA1o&#10;RaARV1GBoiF2W0X9OB5GDWBRI0jlPW3ne5BPO36tlQyvWnsVWJXzcRwnnIWcj4Zpyhm2hxFtPjpo&#10;wKPpRGQrFHVp5EGSuEKRFcaRgG+quQiCrdH8orJGInjQoSfBRqC1karzQ86S+IezhftsXSWpXGMm&#10;wQXlwlJgOGbXAddcYStKoHmGgtoR6wD8wEjx/F/GXvQc5NqSnn0jqCoR6Dn40tSeYs5MkXNcFMlJ&#10;v9s8nhws8eTr5RKgRqKD5b9+2Wq0bdikhG1zTu9v1367LtU2MEnLdJTcPxAiCUrjZDzouj4y7xmO&#10;01m0dPlFiedzK+zsBU+/AAAA//8DAFBLAwQUAAYACAAAACEAuvnMdrUDAAA4CgAAEAAAAGRycy9p&#10;bmsvaW5rMS54bWy0VUtvGzcQvhfofyDYgy/iiu9dCZFyqoECLRo0KZAcFYm2FtHuGruUZf/7zgy5&#10;Kzlx0h5U2OaSw3l+8w395u1Tc2CPoR/qrl1xVUjOQrvtdnV7v+J/f7gVFWdD3LS7zaFrw4o/h4G/&#10;Xf/805u6/dIclrAy8NAOuGsOK76P8WE5n59Op+Jkiq6/n2spzfy39ssfv/N1ttqFu7qtI4QcRtG2&#10;a2N4iuhsWe9WfBuf5KQPvt93x34bpmuU9NuzRuw323Db9c0mTh73m7YNB9ZuGsj7I2fx+QE2NcS5&#10;Dz1nTQ0FC10oW9rq1wUINk8rfnE+QooDZNLw+es+P/0PPm+/9YlpGV36krOc0i48Yk5zwnz5/drf&#10;9d1D6GMdzjAnUPLFM9umM+GTgOrD0B2O2BvOHjeHI0CmpARa5Nhq/gog3/oDbK7qD3D5rr/L5F5C&#10;k8u7xCGDNlFqbG2smwBEbx4mjsUBHKP4fexpHLTUVkj4rT7IxdJUSwvzouxFKzKLR5+f++Own/x9&#10;7s98pZsJtVTZqd7F/QS6LKSbQL+E/DXTfajv9/FHtrlsMp6Y88ocEplYruOvcLfiv9AoMrJMAipE&#10;aWZtybR1pZvdSPyZcaG45HKmmGRyBn+winRI64vDv96jNtrj5wf2pJa0XrqkC0nmuEUvF6KkK0kC&#10;yzlIEo12dF8K5dB8IZSFr5FigUfphMOzUFIzjwG8Fho9Ce+YoY2xTBnSERo+xghNR+MYaSqG4pSM&#10;rgTACtZaM2WFMt7NBGhDFK9ejPvIsP/aLuLxn3d3Q4gwz7ayRaX42iqIDpnmJrobpbGLkkMbx8Zh&#10;/VOCCRRYK8xSsYq+RniCQ+gSxAlKLBZ1LDNYrhEWVUZQk0uC9iv/ZJRDpvuKQZaALIDMFOCRO01o&#10;TgfUSBiK1GOhSgYGcqY19AwbRAUJRWoqMwEjTKIzFUCEXkAXvVHWtAd32SJfE2uSEoSAVilQsKIU&#10;vjSL6zVMV74stObrknjmx4bh1IlKLa7IDWuVLZzn64WHMBeRfGXyhAO3PdcIBYIBZB1RSIfUQc/g&#10;ccD+Iy6lN8BjyzwC5IxQCigjK3s9hFylTErbVMy5C0rTu+ToWYKEICUYWFiBlLB6gWOd9o6qgWbS&#10;BCpgLqbPkL1wQyfDUF1AbVdGvVTWF6bka2WMBzjzQAKXbrRzaSaNxZdVwfNBCKekhfKsxBQlzQOS&#10;Hf5HwcMxEhV0iZREZBwdZGgiPXzpgBTPrXQMpiY9Od4v5Ff9Of/rXP8DAAD//wMAUEsDBBQABgAI&#10;AAAAIQAVcFRO3gAAAAoBAAAPAAAAZHJzL2Rvd25yZXYueG1sTI/BTsMwEETvSPyDtUhcUOuEVm0I&#10;2VQI6J2GfIATmyRqvI5sNw1/z3KC02q0o5k3xWGxo5iND4MjhHSdgDDUOj1Qh1B/HlcZiBAVaTU6&#10;MgjfJsChvL0pVK7dlU5mrmInOIRCrhD6GKdcytD2xqqwdpMh/n05b1Vk6TupvbpyuB3lY5LspFUD&#10;cUOvJvPam/ZcXSxCo/1HrWza+uHtoW6r3Xmej++I93fLyzOIaJb4Z4ZffEaHkpkadyEdxIiwSZ4Y&#10;PSKs0v0eBDs2WbYF0SBs+cqykP8nl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6ATVXcBAAAJAwAADgAAAAAAAAAAAAAAAAA8AgAAZHJzL2Uyb0RvYy54&#10;bWxQSwECLQAUAAYACAAAACEAuvnMdrUDAAA4CgAAEAAAAAAAAAAAAAAAAADfAwAAZHJzL2luay9p&#10;bmsxLnhtbFBLAQItABQABgAIAAAAIQAVcFRO3gAAAAoBAAAPAAAAAAAAAAAAAAAAAMIHAABkcnMv&#10;ZG93bnJldi54bWxQSwECLQAUAAYACAAAACEAeRi8nb8AAAAhAQAAGQAAAAAAAAAAAAAAAADNCAAA&#10;ZHJzL19yZWxzL2Uyb0RvYy54bWwucmVsc1BLBQYAAAAABgAGAHgBAADDCQ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434AEF32" w14:textId="77777777" w:rsidR="00224295" w:rsidRDefault="00224295" w:rsidP="5CE196A1">
      <w:pPr>
        <w:rPr>
          <w:rFonts w:eastAsia="Arial"/>
          <w:b/>
          <w:bCs/>
          <w:color w:val="000000" w:themeColor="text1"/>
          <w:sz w:val="24"/>
          <w:szCs w:val="24"/>
        </w:rPr>
      </w:pPr>
    </w:p>
    <w:p w14:paraId="701A1369" w14:textId="2CB468B1" w:rsidR="00224295" w:rsidRDefault="00224295"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76672" behindDoc="0" locked="0" layoutInCell="1" allowOverlap="1" wp14:anchorId="3B8D5862" wp14:editId="2F6C44F5">
                <wp:simplePos x="0" y="0"/>
                <wp:positionH relativeFrom="column">
                  <wp:posOffset>618490</wp:posOffset>
                </wp:positionH>
                <wp:positionV relativeFrom="paragraph">
                  <wp:posOffset>-174625</wp:posOffset>
                </wp:positionV>
                <wp:extent cx="850265" cy="621030"/>
                <wp:effectExtent l="57150" t="57150" r="45085" b="45720"/>
                <wp:wrapNone/>
                <wp:docPr id="8147763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850265" cy="621030"/>
                      </w14:xfrm>
                    </w14:contentPart>
                  </a:graphicData>
                </a:graphic>
              </wp:anchor>
            </w:drawing>
          </mc:Choice>
          <mc:Fallback>
            <w:pict>
              <v:shape w14:anchorId="2B3CE9F5" id="Ink 18" o:spid="_x0000_s1026" type="#_x0000_t75" style="position:absolute;margin-left:48pt;margin-top:-14.45pt;width:68.35pt;height:50.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poLR5AQAACQMAAA4AAABkcnMvZTJvRG9jLnhtbJxSy27CMBC8V+o/&#10;WL6XJDwiiAgciipxaMuh/QDXsYnV2ButDYG/7yZAgVZVJS6Rd0cZz8PT+c5WbKvQG3A5T3oxZ8pJ&#10;KIxb5/z97elhzJkPwhWiAqdyvleez2f3d9OmzlQfSqgKhYxInM+aOudlCHUWRV6Wygrfg1o5AjWg&#10;FYFGXEcFiobYbRX14ziNGsCiRpDKe9ouDiCfdfxaKxletfYqsCrn43Q44CzQYTIZcYY5n8QxbT5a&#10;aJDyaDYV2RpFXRp5lCRuUGSFcSTgm2ohgmAbNL+orJEIHnToSbARaG2k6vyQsyT+4WzpPltXyVBu&#10;MJPggnJhJTCcsuuAW66wFSXQPENB7YhNAH5kpHj+L+MgegFyY0nPoRFUlQj0HHxpak8xZ6bIOS6L&#10;5KzfbR/PDlZ49vVyDVAj0dHyX7/sNNo2bFLCdjmn97dvv12XaheYpOV4FPdTalwSlPaTeNDhJ+YD&#10;w2m6iJYuvyrxcm6FXbzg2RcAAAD//wMAUEsDBBQABgAIAAAAIQCzX0rl3wMAAOUKAAAQAAAAZHJz&#10;L2luay9pbmsxLnhtbLRVTW/jNhC9F+h/INiDL6HMT0k01t5TAxRo0UV3C7RHr63EwlpyIMlx8u87&#10;MyQVaddb9OACCb+G8zTz5nH87v1Lc2TPVdfXp3bNVSY5q9rdaV+3j2v+56d7UXLWD9t2vz2e2mrN&#10;X6uev9/8+MO7uv3SHFcwMkBoe1w1xzU/DMPTarm8XC7ZxWSn7nGppTTLX9ovv/3KN9FrXz3UbT3A&#10;J/t0tDu1Q/UyINiq3q/5bniR433A/ng6d7tqNONJt3u7MXTbXXV/6prtMCIetm1bHVm7bSDuvzgb&#10;Xp9gUcN3HquOs6aGhIXOlC1s+bOHg+3Lmk/2Zwixh0gavryO+ff/gHn/LSaGZXSRF5zFkPbVM8a0&#10;JM5X38/9Q3d6qrqhrt5oDqREwyvbhT3xE4jqqv50PGNtOHveHs9AmZISZBG/rZZXCPkWD7i5KR7w&#10;8l28aXBzamJ6Ux4iaaOkUmmHuqlA6M3TqLGhB2A8/jh09By01FZI+Cs/Sb8y5cr5rJD5pBRRxQnz&#10;c3fuDyPe5+5Nr2QZWQuZXer9cBhJl5l0I+lTyq+5Hqr68TD8m29Mm5xH5Vx5hyQmFvP4o3pY85/o&#10;KTLyDAeUiGLOSKatK9zdQi6EWcg7rrhQXN5JphiMAkdFa1zSBkehJhY4wLuTMXnES8GDUALI9O50&#10;HawmuCnhRlhjhIeNLqTwhKa9YR7tthC6gFkpkcPkwBlvijxnGhfKOGHRIkrP4LIyubsTXjGdC2dz&#10;NXuCqer/lULS1u8PD301wBsD5MwpvsmlZ8baxKxdOCRWaC6B2JAiZAiLyG9iAE9mxCIPeIthIoYp&#10;A5NyUDWYrQd8ytSVQucajoQm4oA2CAX3TqiSDLN6CKWZRVylRUCYFjOCxJgCYAoDnYQCMARVudCE&#10;QjHGuINsZkkEDQW8mNAcj/xDCGBHEmabpMHw8XB5+smU2xwmRIZgYzB4lMKgvIJnOEpRokdaTxy0&#10;QM5FKVBqkeaQRdpAzCQ3KD1RbqxIalMlSPHWYvO5zgyITSmvWQH/9I5vp2btfZ4ZCx8oNBBlTJKz&#10;XMCTKlHREloFLEnUhqgOZEQRJGYsc/RAC1E6eIREr82hLlAxhe9BKKoLjV+tZ5dmm1RJAgEIcMR6&#10;KsKlDaKjC0LCjPDhVjCQCyzJ8PWl5EDnERYdbsev8QX89GABi8KwAp5UbMQeWjGQC7QCsV5YEJyS&#10;pDuQIKqTRhGaJMoSzgqG8lSSJmGpE0K4SDsMWpTK3zB0J73NpOEbbRz0mRS4XmhJuoCfkAJih67E&#10;NPVgaBRCFditIR1SivLQx0MvRlt+tRe//c5v/gEAAP//AwBQSwMEFAAGAAgAAAAhAFYM5CHeAAAA&#10;CQEAAA8AAABkcnMvZG93bnJldi54bWxMj8FugzAQRO+V+g/WRuotMZAWCMFEUVouvSXtBzh4Awi8&#10;RraTkL+ve2qPoxnNvCl3sx7ZDa3rDQmIVxEwpMaonloB31/1MgfmvCQlR0Mo4IEOdtXzUykLZe50&#10;xNvJtyyUkCukgM77qeDcNR1q6VZmQgrexVgtfZC25crKeyjXI0+iKOVa9hQWOjnhocNmOF21gDpe&#10;v32kw1zXzfvFDa/7w6fNH0K8LOb9FpjH2f+F4Rc/oEMVmM7mSsqxUcAmDVe8gGWSb4CFQLJOMmBn&#10;AVmcAa9K/v9B9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h6aC0eQEAAAkDAAAOAAAAAAAAAAAAAAAAADwCAABkcnMvZTJvRG9jLnhtbFBLAQItABQABgAI&#10;AAAAIQCzX0rl3wMAAOUKAAAQAAAAAAAAAAAAAAAAAOEDAABkcnMvaW5rL2luazEueG1sUEsBAi0A&#10;FAAGAAgAAAAhAFYM5CHeAAAACQEAAA8AAAAAAAAAAAAAAAAA7gcAAGRycy9kb3ducmV2LnhtbFBL&#10;AQItABQABgAIAAAAIQB5GLydvwAAACEBAAAZAAAAAAAAAAAAAAAAAPkIAABkcnMvX3JlbHMvZTJv&#10;RG9jLnhtbC5yZWxzUEsFBgAAAAAGAAYAeAEAAO8JAAAAAA==&#10;">
                <v:imagedata r:id="rId18" o:title=""/>
              </v:shape>
            </w:pict>
          </mc:Fallback>
        </mc:AlternateContent>
      </w:r>
    </w:p>
    <w:p w14:paraId="6CBAEEA0" w14:textId="7B2A9C20" w:rsidR="0FF883D4" w:rsidRDefault="5CE196A1" w:rsidP="5CE196A1">
      <w:r w:rsidRPr="5CE196A1">
        <w:rPr>
          <w:rFonts w:eastAsia="Arial"/>
          <w:b/>
          <w:bCs/>
          <w:color w:val="000000" w:themeColor="text1"/>
          <w:sz w:val="24"/>
          <w:szCs w:val="24"/>
        </w:rPr>
        <w:t xml:space="preserve">Signed: </w:t>
      </w:r>
    </w:p>
    <w:p w14:paraId="563192E7" w14:textId="18CCEFBF" w:rsidR="0FF883D4" w:rsidRDefault="5CE196A1" w:rsidP="5CE196A1">
      <w:r w:rsidRPr="5CE196A1">
        <w:rPr>
          <w:rFonts w:eastAsia="Arial"/>
          <w:b/>
          <w:bCs/>
          <w:color w:val="000000" w:themeColor="text1"/>
          <w:sz w:val="24"/>
          <w:szCs w:val="24"/>
        </w:rPr>
        <w:t xml:space="preserve"> </w:t>
      </w:r>
    </w:p>
    <w:p w14:paraId="661C0F8C" w14:textId="77777777" w:rsidR="00224295" w:rsidRDefault="00224295" w:rsidP="5CE196A1">
      <w:pPr>
        <w:rPr>
          <w:rFonts w:eastAsia="Arial"/>
          <w:b/>
          <w:bCs/>
          <w:color w:val="000000" w:themeColor="text1"/>
          <w:sz w:val="24"/>
          <w:szCs w:val="24"/>
        </w:rPr>
      </w:pPr>
    </w:p>
    <w:p w14:paraId="482B2B3A" w14:textId="737A6CCB" w:rsidR="0FF883D4" w:rsidRPr="00224295" w:rsidRDefault="5CE196A1" w:rsidP="00224295">
      <w:pPr>
        <w:sectPr w:rsidR="0FF883D4" w:rsidRPr="00224295"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224295">
        <w:t xml:space="preserve"> </w:t>
      </w:r>
      <w:r w:rsidR="00224295">
        <w:rPr>
          <w:b/>
          <w:bCs/>
          <w:sz w:val="24"/>
          <w:szCs w:val="24"/>
          <w:lang w:eastAsia="zh-TW"/>
        </w:rPr>
        <w:t>08/04/24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BE32E32" w14:textId="77777777" w:rsidR="00224295" w:rsidRDefault="00224295" w:rsidP="00224295">
      <w:pPr>
        <w:overflowPunct/>
        <w:autoSpaceDE/>
        <w:autoSpaceDN/>
        <w:adjustRightInd/>
        <w:spacing w:line="480" w:lineRule="auto"/>
        <w:ind w:left="720" w:hanging="720"/>
        <w:textAlignment w:val="auto"/>
        <w:rPr>
          <w:color w:val="auto"/>
          <w:sz w:val="24"/>
          <w:szCs w:val="24"/>
        </w:rPr>
      </w:pPr>
    </w:p>
    <w:p w14:paraId="3DE4F9DF" w14:textId="7BA10900" w:rsidR="00224295" w:rsidRPr="00224295" w:rsidRDefault="00224295" w:rsidP="00224295">
      <w:pPr>
        <w:overflowPunct/>
        <w:autoSpaceDE/>
        <w:autoSpaceDN/>
        <w:adjustRightInd/>
        <w:spacing w:line="480" w:lineRule="auto"/>
        <w:ind w:left="720" w:hanging="720"/>
        <w:textAlignment w:val="auto"/>
        <w:rPr>
          <w:color w:val="auto"/>
          <w:sz w:val="24"/>
          <w:szCs w:val="24"/>
        </w:rPr>
      </w:pPr>
      <w:proofErr w:type="spellStart"/>
      <w:r w:rsidRPr="00224295">
        <w:rPr>
          <w:color w:val="auto"/>
          <w:sz w:val="24"/>
          <w:szCs w:val="24"/>
        </w:rPr>
        <w:t>Biehal</w:t>
      </w:r>
      <w:proofErr w:type="spellEnd"/>
      <w:r w:rsidRPr="00224295">
        <w:rPr>
          <w:color w:val="auto"/>
          <w:sz w:val="24"/>
          <w:szCs w:val="24"/>
        </w:rPr>
        <w:t xml:space="preserve">, Nina, et al. </w:t>
      </w:r>
      <w:r w:rsidRPr="00224295">
        <w:rPr>
          <w:i/>
          <w:iCs/>
          <w:color w:val="auto"/>
          <w:sz w:val="24"/>
          <w:szCs w:val="24"/>
        </w:rPr>
        <w:t xml:space="preserve">Lost from </w:t>
      </w:r>
      <w:proofErr w:type="gramStart"/>
      <w:r w:rsidRPr="00224295">
        <w:rPr>
          <w:i/>
          <w:iCs/>
          <w:color w:val="auto"/>
          <w:sz w:val="24"/>
          <w:szCs w:val="24"/>
        </w:rPr>
        <w:t>View :</w:t>
      </w:r>
      <w:proofErr w:type="gramEnd"/>
      <w:r w:rsidRPr="00224295">
        <w:rPr>
          <w:i/>
          <w:iCs/>
          <w:color w:val="auto"/>
          <w:sz w:val="24"/>
          <w:szCs w:val="24"/>
        </w:rPr>
        <w:t xml:space="preserve"> Missing Persons in the UK</w:t>
      </w:r>
      <w:r w:rsidRPr="00224295">
        <w:rPr>
          <w:color w:val="auto"/>
          <w:sz w:val="24"/>
          <w:szCs w:val="24"/>
        </w:rPr>
        <w:t xml:space="preserve">. Bristol, </w:t>
      </w:r>
      <w:proofErr w:type="spellStart"/>
      <w:r w:rsidRPr="00224295">
        <w:rPr>
          <w:color w:val="auto"/>
          <w:sz w:val="24"/>
          <w:szCs w:val="24"/>
        </w:rPr>
        <w:t>Uk</w:t>
      </w:r>
      <w:proofErr w:type="spellEnd"/>
      <w:r w:rsidRPr="00224295">
        <w:rPr>
          <w:color w:val="auto"/>
          <w:sz w:val="24"/>
          <w:szCs w:val="24"/>
        </w:rPr>
        <w:t>, The Policy Press, 2003.</w:t>
      </w:r>
    </w:p>
    <w:p w14:paraId="1452AC84"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College of Policing (2013). </w:t>
      </w:r>
      <w:r w:rsidRPr="00224295">
        <w:rPr>
          <w:i/>
          <w:iCs/>
          <w:color w:val="auto"/>
          <w:sz w:val="24"/>
          <w:szCs w:val="24"/>
        </w:rPr>
        <w:t>Passive data generators</w:t>
      </w:r>
      <w:r w:rsidRPr="00224295">
        <w:rPr>
          <w:color w:val="auto"/>
          <w:sz w:val="24"/>
          <w:szCs w:val="24"/>
        </w:rPr>
        <w:t>. [online] College of Policing. Available at: https://www.college.police.uk/app/investigation/investigative-strategies/passive-data-generators.</w:t>
      </w:r>
    </w:p>
    <w:p w14:paraId="42B108E3"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College of policing (2021). </w:t>
      </w:r>
      <w:r w:rsidRPr="00224295">
        <w:rPr>
          <w:i/>
          <w:iCs/>
          <w:color w:val="auto"/>
          <w:sz w:val="24"/>
          <w:szCs w:val="24"/>
        </w:rPr>
        <w:t>People and places – how resources can be targeted</w:t>
      </w:r>
      <w:r w:rsidRPr="00224295">
        <w:rPr>
          <w:color w:val="auto"/>
          <w:sz w:val="24"/>
          <w:szCs w:val="24"/>
        </w:rPr>
        <w:t xml:space="preserve">. [online] College of Policing. Available at: </w:t>
      </w:r>
      <w:hyperlink r:id="rId25" w:anchor=":~:text=In%202019%2F20%20for%20example" w:history="1">
        <w:r w:rsidRPr="00224295">
          <w:rPr>
            <w:color w:val="0563C1" w:themeColor="hyperlink"/>
            <w:sz w:val="24"/>
            <w:szCs w:val="24"/>
            <w:u w:val="single"/>
          </w:rPr>
          <w:t>https://www.college.police.uk/research/what-works-policing-reduce-crime/people-and-places#:~:text=In%202019%2F20%20for%20example</w:t>
        </w:r>
      </w:hyperlink>
      <w:r w:rsidRPr="00224295">
        <w:rPr>
          <w:color w:val="auto"/>
          <w:sz w:val="24"/>
          <w:szCs w:val="24"/>
        </w:rPr>
        <w:t>.</w:t>
      </w:r>
    </w:p>
    <w:p w14:paraId="1CAECA81"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College of Policing (2023). </w:t>
      </w:r>
      <w:r w:rsidRPr="00224295">
        <w:rPr>
          <w:i/>
          <w:iCs/>
          <w:color w:val="auto"/>
          <w:sz w:val="24"/>
          <w:szCs w:val="24"/>
        </w:rPr>
        <w:t>Evidence-based policing</w:t>
      </w:r>
      <w:r w:rsidRPr="00224295">
        <w:rPr>
          <w:color w:val="auto"/>
          <w:sz w:val="24"/>
          <w:szCs w:val="24"/>
        </w:rPr>
        <w:t xml:space="preserve">. [online] College of Policing. Available at: </w:t>
      </w:r>
      <w:hyperlink r:id="rId26" w:history="1">
        <w:r w:rsidRPr="00224295">
          <w:rPr>
            <w:color w:val="0563C1" w:themeColor="hyperlink"/>
            <w:sz w:val="24"/>
            <w:szCs w:val="24"/>
            <w:u w:val="single"/>
          </w:rPr>
          <w:t>https://www.college.police.uk/research/evidence-based-policing-EBP</w:t>
        </w:r>
      </w:hyperlink>
      <w:r w:rsidRPr="00224295">
        <w:rPr>
          <w:color w:val="auto"/>
          <w:sz w:val="24"/>
          <w:szCs w:val="24"/>
        </w:rPr>
        <w:t>.</w:t>
      </w:r>
    </w:p>
    <w:p w14:paraId="789B68C3"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Government Digital Service (2012). </w:t>
      </w:r>
      <w:r w:rsidRPr="00224295">
        <w:rPr>
          <w:i/>
          <w:iCs/>
          <w:color w:val="auto"/>
          <w:sz w:val="24"/>
          <w:szCs w:val="24"/>
        </w:rPr>
        <w:t>Being charged with a crime</w:t>
      </w:r>
      <w:r w:rsidRPr="00224295">
        <w:rPr>
          <w:color w:val="auto"/>
          <w:sz w:val="24"/>
          <w:szCs w:val="24"/>
        </w:rPr>
        <w:t xml:space="preserve">. [online] GOV.UK. Available at: </w:t>
      </w:r>
      <w:hyperlink r:id="rId27" w:history="1">
        <w:r w:rsidRPr="00224295">
          <w:rPr>
            <w:color w:val="0563C1" w:themeColor="hyperlink"/>
            <w:sz w:val="24"/>
            <w:szCs w:val="24"/>
            <w:u w:val="single"/>
          </w:rPr>
          <w:t>https://www.gov.uk/charged-crime/remand</w:t>
        </w:r>
      </w:hyperlink>
      <w:r w:rsidRPr="00224295">
        <w:rPr>
          <w:color w:val="auto"/>
          <w:sz w:val="24"/>
          <w:szCs w:val="24"/>
        </w:rPr>
        <w:t>.</w:t>
      </w:r>
    </w:p>
    <w:p w14:paraId="7D0EFFFD"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Great Britain. Ministry Of Justice. Victim And Criminal Proceedings Policy Team (2013). </w:t>
      </w:r>
      <w:r w:rsidRPr="00224295">
        <w:rPr>
          <w:i/>
          <w:iCs/>
          <w:color w:val="auto"/>
          <w:sz w:val="24"/>
          <w:szCs w:val="24"/>
        </w:rPr>
        <w:t>Code of practice for victims of crime</w:t>
      </w:r>
      <w:r w:rsidRPr="00224295">
        <w:rPr>
          <w:color w:val="auto"/>
          <w:sz w:val="24"/>
          <w:szCs w:val="24"/>
        </w:rPr>
        <w:t>. London: The Stationery Office.</w:t>
      </w:r>
    </w:p>
    <w:p w14:paraId="437F968E"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Greene, </w:t>
      </w:r>
      <w:proofErr w:type="spellStart"/>
      <w:r w:rsidRPr="00224295">
        <w:rPr>
          <w:color w:val="auto"/>
          <w:sz w:val="24"/>
          <w:szCs w:val="24"/>
        </w:rPr>
        <w:t>karen</w:t>
      </w:r>
      <w:proofErr w:type="spellEnd"/>
      <w:r w:rsidRPr="00224295">
        <w:rPr>
          <w:color w:val="auto"/>
          <w:sz w:val="24"/>
          <w:szCs w:val="24"/>
        </w:rPr>
        <w:t xml:space="preserve"> </w:t>
      </w:r>
      <w:proofErr w:type="spellStart"/>
      <w:proofErr w:type="gramStart"/>
      <w:r w:rsidRPr="00224295">
        <w:rPr>
          <w:color w:val="auto"/>
          <w:sz w:val="24"/>
          <w:szCs w:val="24"/>
        </w:rPr>
        <w:t>shalev</w:t>
      </w:r>
      <w:proofErr w:type="spellEnd"/>
      <w:r w:rsidRPr="00224295">
        <w:rPr>
          <w:color w:val="auto"/>
          <w:sz w:val="24"/>
          <w:szCs w:val="24"/>
        </w:rPr>
        <w:t xml:space="preserve"> ,</w:t>
      </w:r>
      <w:proofErr w:type="gramEnd"/>
      <w:r w:rsidRPr="00224295">
        <w:rPr>
          <w:color w:val="auto"/>
          <w:sz w:val="24"/>
          <w:szCs w:val="24"/>
        </w:rPr>
        <w:t xml:space="preserve"> and </w:t>
      </w:r>
      <w:proofErr w:type="spellStart"/>
      <w:r w:rsidRPr="00224295">
        <w:rPr>
          <w:color w:val="auto"/>
          <w:sz w:val="24"/>
          <w:szCs w:val="24"/>
        </w:rPr>
        <w:t>Llian</w:t>
      </w:r>
      <w:proofErr w:type="spellEnd"/>
      <w:r w:rsidRPr="00224295">
        <w:rPr>
          <w:color w:val="auto"/>
          <w:sz w:val="24"/>
          <w:szCs w:val="24"/>
        </w:rPr>
        <w:t xml:space="preserve"> Alys. </w:t>
      </w:r>
      <w:r w:rsidRPr="00224295">
        <w:rPr>
          <w:i/>
          <w:iCs/>
          <w:color w:val="auto"/>
          <w:sz w:val="24"/>
          <w:szCs w:val="24"/>
        </w:rPr>
        <w:t xml:space="preserve">MISSING </w:t>
      </w:r>
      <w:proofErr w:type="gramStart"/>
      <w:r w:rsidRPr="00224295">
        <w:rPr>
          <w:i/>
          <w:iCs/>
          <w:color w:val="auto"/>
          <w:sz w:val="24"/>
          <w:szCs w:val="24"/>
        </w:rPr>
        <w:t>PERSONS :</w:t>
      </w:r>
      <w:proofErr w:type="gramEnd"/>
      <w:r w:rsidRPr="00224295">
        <w:rPr>
          <w:i/>
          <w:iCs/>
          <w:color w:val="auto"/>
          <w:sz w:val="24"/>
          <w:szCs w:val="24"/>
        </w:rPr>
        <w:t xml:space="preserve"> A Handbook of Research.</w:t>
      </w:r>
      <w:r w:rsidRPr="00224295">
        <w:rPr>
          <w:color w:val="auto"/>
          <w:sz w:val="24"/>
          <w:szCs w:val="24"/>
        </w:rPr>
        <w:t xml:space="preserve"> S.L., Routledge, 2017.</w:t>
      </w:r>
    </w:p>
    <w:p w14:paraId="10BF92FD"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Harris, Darcy. L. </w:t>
      </w:r>
      <w:r w:rsidRPr="00224295">
        <w:rPr>
          <w:i/>
          <w:iCs/>
          <w:color w:val="auto"/>
          <w:sz w:val="24"/>
          <w:szCs w:val="24"/>
        </w:rPr>
        <w:t xml:space="preserve">Non-Death Loss and </w:t>
      </w:r>
      <w:proofErr w:type="gramStart"/>
      <w:r w:rsidRPr="00224295">
        <w:rPr>
          <w:i/>
          <w:iCs/>
          <w:color w:val="auto"/>
          <w:sz w:val="24"/>
          <w:szCs w:val="24"/>
        </w:rPr>
        <w:t>Grief :</w:t>
      </w:r>
      <w:proofErr w:type="gramEnd"/>
      <w:r w:rsidRPr="00224295">
        <w:rPr>
          <w:i/>
          <w:iCs/>
          <w:color w:val="auto"/>
          <w:sz w:val="24"/>
          <w:szCs w:val="24"/>
        </w:rPr>
        <w:t xml:space="preserve"> Context and Clinical Implications.</w:t>
      </w:r>
      <w:r w:rsidRPr="00224295">
        <w:rPr>
          <w:color w:val="auto"/>
          <w:sz w:val="24"/>
          <w:szCs w:val="24"/>
        </w:rPr>
        <w:t xml:space="preserve"> Taylor &amp; Francis, 2019.</w:t>
      </w:r>
    </w:p>
    <w:p w14:paraId="2076BFBD"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Home Office (2022). </w:t>
      </w:r>
      <w:r w:rsidRPr="00224295">
        <w:rPr>
          <w:i/>
          <w:iCs/>
          <w:color w:val="auto"/>
          <w:sz w:val="24"/>
          <w:szCs w:val="24"/>
        </w:rPr>
        <w:t xml:space="preserve">Annex: Statistics on the number of police officers assaulted in the year ending March 2022, </w:t>
      </w:r>
      <w:proofErr w:type="gramStart"/>
      <w:r w:rsidRPr="00224295">
        <w:rPr>
          <w:i/>
          <w:iCs/>
          <w:color w:val="auto"/>
          <w:sz w:val="24"/>
          <w:szCs w:val="24"/>
        </w:rPr>
        <w:t>England</w:t>
      </w:r>
      <w:proofErr w:type="gramEnd"/>
      <w:r w:rsidRPr="00224295">
        <w:rPr>
          <w:i/>
          <w:iCs/>
          <w:color w:val="auto"/>
          <w:sz w:val="24"/>
          <w:szCs w:val="24"/>
        </w:rPr>
        <w:t xml:space="preserve"> and Wales</w:t>
      </w:r>
      <w:r w:rsidRPr="00224295">
        <w:rPr>
          <w:color w:val="auto"/>
          <w:sz w:val="24"/>
          <w:szCs w:val="24"/>
        </w:rPr>
        <w:t xml:space="preserve">. [online] GOV.UK. Available at: </w:t>
      </w:r>
      <w:hyperlink r:id="rId28" w:anchor=":~:text=In%20the%20year%20ending%20March%202022%2C%2029%2C491%20offences%20of%20%E2%80%9Cassault" w:history="1">
        <w:r w:rsidRPr="00224295">
          <w:rPr>
            <w:color w:val="0563C1" w:themeColor="hyperlink"/>
            <w:sz w:val="24"/>
            <w:szCs w:val="24"/>
            <w:u w:val="single"/>
          </w:rPr>
          <w:t>https://www.gov.uk/government/statistics/police-workforce-england-and-wales-31-</w:t>
        </w:r>
        <w:r w:rsidRPr="00224295">
          <w:rPr>
            <w:color w:val="0563C1" w:themeColor="hyperlink"/>
            <w:sz w:val="24"/>
            <w:szCs w:val="24"/>
            <w:u w:val="single"/>
          </w:rPr>
          <w:lastRenderedPageBreak/>
          <w:t>march-2022/annex-statistics-on-the-number-of-police-officers-assaulted-in-the-year-ending-march-2022-england-and-wales#:~:text=In%20the%20year%20ending%20March%202022%2C%2029%2C491%20offences%20of%20%E2%80%9Cassault</w:t>
        </w:r>
      </w:hyperlink>
      <w:r w:rsidRPr="00224295">
        <w:rPr>
          <w:color w:val="auto"/>
          <w:sz w:val="24"/>
          <w:szCs w:val="24"/>
        </w:rPr>
        <w:t>.</w:t>
      </w:r>
    </w:p>
    <w:p w14:paraId="06A6889C"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Home Office (2023). </w:t>
      </w:r>
      <w:r w:rsidRPr="00224295">
        <w:rPr>
          <w:i/>
          <w:iCs/>
          <w:color w:val="auto"/>
          <w:sz w:val="24"/>
          <w:szCs w:val="24"/>
        </w:rPr>
        <w:t xml:space="preserve">Hate crime, </w:t>
      </w:r>
      <w:proofErr w:type="gramStart"/>
      <w:r w:rsidRPr="00224295">
        <w:rPr>
          <w:i/>
          <w:iCs/>
          <w:color w:val="auto"/>
          <w:sz w:val="24"/>
          <w:szCs w:val="24"/>
        </w:rPr>
        <w:t>England</w:t>
      </w:r>
      <w:proofErr w:type="gramEnd"/>
      <w:r w:rsidRPr="00224295">
        <w:rPr>
          <w:i/>
          <w:iCs/>
          <w:color w:val="auto"/>
          <w:sz w:val="24"/>
          <w:szCs w:val="24"/>
        </w:rPr>
        <w:t xml:space="preserve"> and Wales, 2022 to 2023</w:t>
      </w:r>
      <w:r w:rsidRPr="00224295">
        <w:rPr>
          <w:color w:val="auto"/>
          <w:sz w:val="24"/>
          <w:szCs w:val="24"/>
        </w:rPr>
        <w:t xml:space="preserve">. [online] GOV.UK. Available at: </w:t>
      </w:r>
      <w:hyperlink r:id="rId29" w:history="1">
        <w:r w:rsidRPr="00224295">
          <w:rPr>
            <w:color w:val="0563C1" w:themeColor="hyperlink"/>
            <w:sz w:val="24"/>
            <w:szCs w:val="24"/>
            <w:u w:val="single"/>
          </w:rPr>
          <w:t>https://www.gov.uk/government/statistics/hate-crime-england-and-wales-2022-to-2023/hate-crime-england-and-wales-2022-to-2023</w:t>
        </w:r>
      </w:hyperlink>
      <w:r w:rsidRPr="00224295">
        <w:rPr>
          <w:color w:val="auto"/>
          <w:sz w:val="24"/>
          <w:szCs w:val="24"/>
        </w:rPr>
        <w:t>.</w:t>
      </w:r>
    </w:p>
    <w:p w14:paraId="3DD37F12"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John, T. et al. </w:t>
      </w:r>
      <w:r w:rsidRPr="00224295">
        <w:rPr>
          <w:i/>
          <w:iCs/>
          <w:color w:val="auto"/>
          <w:sz w:val="24"/>
          <w:szCs w:val="24"/>
        </w:rPr>
        <w:t xml:space="preserve">Police </w:t>
      </w:r>
      <w:proofErr w:type="gramStart"/>
      <w:r w:rsidRPr="00224295">
        <w:rPr>
          <w:i/>
          <w:iCs/>
          <w:color w:val="auto"/>
          <w:sz w:val="24"/>
          <w:szCs w:val="24"/>
        </w:rPr>
        <w:t>Work :</w:t>
      </w:r>
      <w:proofErr w:type="gramEnd"/>
      <w:r w:rsidRPr="00224295">
        <w:rPr>
          <w:i/>
          <w:iCs/>
          <w:color w:val="auto"/>
          <w:sz w:val="24"/>
          <w:szCs w:val="24"/>
        </w:rPr>
        <w:t xml:space="preserve"> Principles and Practice</w:t>
      </w:r>
      <w:r w:rsidRPr="00224295">
        <w:rPr>
          <w:color w:val="auto"/>
          <w:sz w:val="24"/>
          <w:szCs w:val="24"/>
        </w:rPr>
        <w:t>. Editorial: Hoboken, Taylor &amp; Francis, 2011.</w:t>
      </w:r>
    </w:p>
    <w:p w14:paraId="75BEAA6E"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Joint Agency Guide to the Victim Personal Statement A guide for all criminal justice practitioners. (n.d.). Available at: </w:t>
      </w:r>
      <w:hyperlink r:id="rId30" w:history="1">
        <w:r w:rsidRPr="00224295">
          <w:rPr>
            <w:color w:val="0563C1" w:themeColor="hyperlink"/>
            <w:sz w:val="24"/>
            <w:szCs w:val="24"/>
            <w:u w:val="single"/>
          </w:rPr>
          <w:t>https://www.cps.gov.uk/sites/default/files/documents/legal_guidance/joint-agency-guide-victim-personal-statement_0.pdf</w:t>
        </w:r>
      </w:hyperlink>
      <w:r w:rsidRPr="00224295">
        <w:rPr>
          <w:color w:val="auto"/>
          <w:sz w:val="24"/>
          <w:szCs w:val="24"/>
        </w:rPr>
        <w:t>.</w:t>
      </w:r>
    </w:p>
    <w:p w14:paraId="2E9D3672"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Karen Shalev Greene and </w:t>
      </w:r>
      <w:proofErr w:type="spellStart"/>
      <w:r w:rsidRPr="00224295">
        <w:rPr>
          <w:color w:val="auto"/>
          <w:sz w:val="24"/>
          <w:szCs w:val="24"/>
        </w:rPr>
        <w:t>Llian</w:t>
      </w:r>
      <w:proofErr w:type="spellEnd"/>
      <w:r w:rsidRPr="00224295">
        <w:rPr>
          <w:color w:val="auto"/>
          <w:sz w:val="24"/>
          <w:szCs w:val="24"/>
        </w:rPr>
        <w:t xml:space="preserve"> Alys (2016). </w:t>
      </w:r>
      <w:r w:rsidRPr="00224295">
        <w:rPr>
          <w:i/>
          <w:iCs/>
          <w:color w:val="auto"/>
          <w:sz w:val="24"/>
          <w:szCs w:val="24"/>
        </w:rPr>
        <w:t>Missing Persons</w:t>
      </w:r>
      <w:r w:rsidRPr="00224295">
        <w:rPr>
          <w:color w:val="auto"/>
          <w:sz w:val="24"/>
          <w:szCs w:val="24"/>
        </w:rPr>
        <w:t>. Taylor &amp; Francis.</w:t>
      </w:r>
    </w:p>
    <w:p w14:paraId="603E9040"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Lum, C.M. and Koper, C.S. (2017). </w:t>
      </w:r>
      <w:r w:rsidRPr="00224295">
        <w:rPr>
          <w:i/>
          <w:iCs/>
          <w:color w:val="auto"/>
          <w:sz w:val="24"/>
          <w:szCs w:val="24"/>
        </w:rPr>
        <w:t xml:space="preserve">Evidence-based </w:t>
      </w:r>
      <w:proofErr w:type="gramStart"/>
      <w:r w:rsidRPr="00224295">
        <w:rPr>
          <w:i/>
          <w:iCs/>
          <w:color w:val="auto"/>
          <w:sz w:val="24"/>
          <w:szCs w:val="24"/>
        </w:rPr>
        <w:t>policing :</w:t>
      </w:r>
      <w:proofErr w:type="gramEnd"/>
      <w:r w:rsidRPr="00224295">
        <w:rPr>
          <w:i/>
          <w:iCs/>
          <w:color w:val="auto"/>
          <w:sz w:val="24"/>
          <w:szCs w:val="24"/>
        </w:rPr>
        <w:t xml:space="preserve"> translating research into practice</w:t>
      </w:r>
      <w:r w:rsidRPr="00224295">
        <w:rPr>
          <w:color w:val="auto"/>
          <w:sz w:val="24"/>
          <w:szCs w:val="24"/>
        </w:rPr>
        <w:t>. Oxford, United Kingdom: Oxford University Press.</w:t>
      </w:r>
    </w:p>
    <w:p w14:paraId="5B30C31C" w14:textId="77777777" w:rsidR="00224295" w:rsidRPr="00224295" w:rsidRDefault="00224295" w:rsidP="00224295">
      <w:pPr>
        <w:overflowPunct/>
        <w:autoSpaceDE/>
        <w:autoSpaceDN/>
        <w:adjustRightInd/>
        <w:spacing w:after="240" w:line="360" w:lineRule="auto"/>
        <w:textAlignment w:val="auto"/>
        <w:rPr>
          <w:color w:val="auto"/>
          <w:sz w:val="24"/>
          <w:szCs w:val="24"/>
        </w:rPr>
      </w:pPr>
      <w:proofErr w:type="spellStart"/>
      <w:r w:rsidRPr="00224295">
        <w:rPr>
          <w:color w:val="auto"/>
          <w:sz w:val="24"/>
          <w:szCs w:val="24"/>
        </w:rPr>
        <w:t>Morewitz</w:t>
      </w:r>
      <w:proofErr w:type="spellEnd"/>
      <w:r w:rsidRPr="00224295">
        <w:rPr>
          <w:color w:val="auto"/>
          <w:sz w:val="24"/>
          <w:szCs w:val="24"/>
        </w:rPr>
        <w:t xml:space="preserve">, S. and Colls, C.S. (2016). </w:t>
      </w:r>
      <w:r w:rsidRPr="00224295">
        <w:rPr>
          <w:i/>
          <w:iCs/>
          <w:color w:val="auto"/>
          <w:sz w:val="24"/>
          <w:szCs w:val="24"/>
        </w:rPr>
        <w:t>Handbook Of Missing Persons.</w:t>
      </w:r>
      <w:r w:rsidRPr="00224295">
        <w:rPr>
          <w:color w:val="auto"/>
          <w:sz w:val="24"/>
          <w:szCs w:val="24"/>
        </w:rPr>
        <w:t xml:space="preserve"> Springer.</w:t>
      </w:r>
    </w:p>
    <w:p w14:paraId="78B9FD88"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National Crime Agency, and UK Missing persons unit. “Missing Persons Data Report.” 2019.</w:t>
      </w:r>
    </w:p>
    <w:p w14:paraId="12404DFC"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Pritchard, J. (2009). </w:t>
      </w:r>
      <w:r w:rsidRPr="00224295">
        <w:rPr>
          <w:i/>
          <w:iCs/>
          <w:color w:val="auto"/>
          <w:sz w:val="24"/>
          <w:szCs w:val="24"/>
        </w:rPr>
        <w:t>Good practice in the law and safeguarding adults.</w:t>
      </w:r>
      <w:r w:rsidRPr="00224295">
        <w:rPr>
          <w:color w:val="auto"/>
          <w:sz w:val="24"/>
          <w:szCs w:val="24"/>
        </w:rPr>
        <w:t xml:space="preserve"> London: Jessica Kingsley.</w:t>
      </w:r>
    </w:p>
    <w:p w14:paraId="47FC6E86"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Sherman, L. (1998). </w:t>
      </w:r>
      <w:r w:rsidRPr="00224295">
        <w:rPr>
          <w:i/>
          <w:iCs/>
          <w:color w:val="auto"/>
          <w:sz w:val="24"/>
          <w:szCs w:val="24"/>
        </w:rPr>
        <w:t>Ideas in American Policing Evidence-Based Policing</w:t>
      </w:r>
      <w:r w:rsidRPr="00224295">
        <w:rPr>
          <w:color w:val="auto"/>
          <w:sz w:val="24"/>
          <w:szCs w:val="24"/>
        </w:rPr>
        <w:t xml:space="preserve">. [online] p.2. Available at: </w:t>
      </w:r>
      <w:hyperlink r:id="rId31" w:history="1">
        <w:r w:rsidRPr="00224295">
          <w:rPr>
            <w:color w:val="0563C1" w:themeColor="hyperlink"/>
            <w:sz w:val="24"/>
            <w:szCs w:val="24"/>
            <w:u w:val="single"/>
          </w:rPr>
          <w:t>https://www.policinginstitute.org/wp-content/uploads/2015/06/Sherman-1998-Evidence-Based-Policing.pdf</w:t>
        </w:r>
      </w:hyperlink>
      <w:r w:rsidRPr="00224295">
        <w:rPr>
          <w:color w:val="auto"/>
          <w:sz w:val="24"/>
          <w:szCs w:val="24"/>
        </w:rPr>
        <w:t>.</w:t>
      </w:r>
    </w:p>
    <w:p w14:paraId="3A28EA70" w14:textId="77777777" w:rsidR="00224295" w:rsidRPr="00224295" w:rsidRDefault="00224295"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Simmonds, L. (2013). Lost in transition? The changing face of Victim Support. </w:t>
      </w:r>
      <w:r w:rsidRPr="00224295">
        <w:rPr>
          <w:i/>
          <w:iCs/>
          <w:color w:val="auto"/>
          <w:sz w:val="24"/>
          <w:szCs w:val="24"/>
        </w:rPr>
        <w:t>International Review of Victimology</w:t>
      </w:r>
      <w:r w:rsidRPr="00224295">
        <w:rPr>
          <w:color w:val="auto"/>
          <w:sz w:val="24"/>
          <w:szCs w:val="24"/>
        </w:rPr>
        <w:t xml:space="preserve">, 19(2), pp.201–217. </w:t>
      </w:r>
      <w:proofErr w:type="spellStart"/>
      <w:proofErr w:type="gramStart"/>
      <w:r w:rsidRPr="00224295">
        <w:rPr>
          <w:color w:val="auto"/>
          <w:sz w:val="24"/>
          <w:szCs w:val="24"/>
        </w:rPr>
        <w:t>doi:https</w:t>
      </w:r>
      <w:proofErr w:type="spellEnd"/>
      <w:r w:rsidRPr="00224295">
        <w:rPr>
          <w:color w:val="auto"/>
          <w:sz w:val="24"/>
          <w:szCs w:val="24"/>
        </w:rPr>
        <w:t>://doi.org/10.1177/0269758012472776</w:t>
      </w:r>
      <w:proofErr w:type="gramEnd"/>
      <w:r w:rsidRPr="00224295">
        <w:rPr>
          <w:color w:val="auto"/>
          <w:sz w:val="24"/>
          <w:szCs w:val="24"/>
        </w:rPr>
        <w:t>.</w:t>
      </w:r>
    </w:p>
    <w:p w14:paraId="4EB6A9C5"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lastRenderedPageBreak/>
        <w:t xml:space="preserve">South Wales Police. “Missing Matters.” [Online] Available at: </w:t>
      </w:r>
      <w:r w:rsidRPr="00224295">
        <w:rPr>
          <w:i/>
          <w:iCs/>
          <w:color w:val="auto"/>
          <w:sz w:val="24"/>
          <w:szCs w:val="24"/>
        </w:rPr>
        <w:t>Https://Www.heddlu-De-Cymru.police.uk/</w:t>
      </w:r>
      <w:r w:rsidRPr="00224295">
        <w:rPr>
          <w:color w:val="auto"/>
          <w:sz w:val="24"/>
          <w:szCs w:val="24"/>
        </w:rPr>
        <w:t xml:space="preserve">, </w:t>
      </w:r>
      <w:hyperlink r:id="rId32" w:history="1">
        <w:r w:rsidRPr="00224295">
          <w:rPr>
            <w:color w:val="0563C1" w:themeColor="hyperlink"/>
            <w:sz w:val="24"/>
            <w:szCs w:val="24"/>
            <w:u w:val="single"/>
          </w:rPr>
          <w:t>www.heddlu-de-cymru.police.uk/police-forces/south-wales-police/areas/campaigns/campaigns/missing-matters/</w:t>
        </w:r>
      </w:hyperlink>
      <w:r w:rsidRPr="00224295">
        <w:rPr>
          <w:color w:val="auto"/>
          <w:sz w:val="24"/>
          <w:szCs w:val="24"/>
        </w:rPr>
        <w:t>.</w:t>
      </w:r>
    </w:p>
    <w:p w14:paraId="509BD7A9" w14:textId="77777777" w:rsidR="00224295" w:rsidRPr="00224295" w:rsidRDefault="00224295"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Stainton, Iain, and Robert Ewin. </w:t>
      </w:r>
      <w:r w:rsidRPr="00224295">
        <w:rPr>
          <w:i/>
          <w:iCs/>
          <w:color w:val="auto"/>
          <w:sz w:val="24"/>
          <w:szCs w:val="24"/>
        </w:rPr>
        <w:t>Criminal Investigation the Professional Policing Curriculum in Practice</w:t>
      </w:r>
      <w:r w:rsidRPr="00224295">
        <w:rPr>
          <w:color w:val="auto"/>
          <w:sz w:val="24"/>
          <w:szCs w:val="24"/>
        </w:rPr>
        <w:t>. Edited by Tony Blockley, 2022.</w:t>
      </w:r>
    </w:p>
    <w:p w14:paraId="0C550B5F" w14:textId="05AD5A38" w:rsidR="00224295" w:rsidRDefault="00224295" w:rsidP="00224295">
      <w:pPr>
        <w:keepNext/>
        <w:spacing w:before="240" w:after="60"/>
        <w:ind w:right="237"/>
        <w:jc w:val="both"/>
      </w:pPr>
      <w:r w:rsidRPr="00224295">
        <w:rPr>
          <w:rFonts w:eastAsiaTheme="minorHAnsi"/>
          <w:color w:val="auto"/>
          <w:kern w:val="2"/>
          <w:sz w:val="22"/>
          <w:szCs w:val="22"/>
          <w:lang w:eastAsia="en-US"/>
          <w14:ligatures w14:val="standardContextual"/>
        </w:rPr>
        <w:t xml:space="preserve">Stainton, R. (2022). </w:t>
      </w:r>
      <w:r w:rsidRPr="00224295">
        <w:rPr>
          <w:rFonts w:eastAsiaTheme="minorHAnsi"/>
          <w:i/>
          <w:iCs/>
          <w:color w:val="auto"/>
          <w:kern w:val="2"/>
          <w:sz w:val="22"/>
          <w:szCs w:val="22"/>
          <w:lang w:eastAsia="en-US"/>
          <w14:ligatures w14:val="standardContextual"/>
        </w:rPr>
        <w:t>Criminal Investigation.</w:t>
      </w:r>
      <w:r w:rsidRPr="00224295">
        <w:rPr>
          <w:rFonts w:eastAsiaTheme="minorHAnsi"/>
          <w:color w:val="auto"/>
          <w:kern w:val="2"/>
          <w:sz w:val="22"/>
          <w:szCs w:val="22"/>
          <w:lang w:eastAsia="en-US"/>
          <w14:ligatures w14:val="standardContextual"/>
        </w:rPr>
        <w:t xml:space="preserve"> S.L.: Critical Publishing Ltd.</w:t>
      </w:r>
    </w:p>
    <w:sectPr w:rsidR="0022429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295"/>
    <w:rsid w:val="002246A0"/>
    <w:rsid w:val="00224AF9"/>
    <w:rsid w:val="00230439"/>
    <w:rsid w:val="00235176"/>
    <w:rsid w:val="00236061"/>
    <w:rsid w:val="0024100E"/>
    <w:rsid w:val="00241C1B"/>
    <w:rsid w:val="002423B2"/>
    <w:rsid w:val="0024288B"/>
    <w:rsid w:val="00255D8E"/>
    <w:rsid w:val="0026227B"/>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www.college.police.uk/research/evidence-based-policing-EBP"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www.college.police.uk/research/what-works-policing-reduce-crime/people-and-plac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29" Type="http://schemas.openxmlformats.org/officeDocument/2006/relationships/hyperlink" Target="https://www.gov.uk/government/statistics/hate-crime-england-and-wales-2022-to-2023/hate-crime-england-and-wales-2022-to-20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www.heddlu-de-cymru.police.uk/police-forces/south-wales-police/areas/campaigns/campaigns/missing-matters/" TargetMode="Externa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3.xml"/><Relationship Id="rId28"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policinginstitute.org/wp-content/uploads/2015/06/Sherman-1998-Evidence-Based-Polic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2.xml"/><Relationship Id="rId27" Type="http://schemas.openxmlformats.org/officeDocument/2006/relationships/hyperlink" Target="https://www.gov.uk/charged-crime/remand" TargetMode="External"/><Relationship Id="rId30" Type="http://schemas.openxmlformats.org/officeDocument/2006/relationships/hyperlink" Target="https://www.cps.gov.uk/sites/default/files/documents/legal_guidance/joint-agency-guide-victim-personal-statement_0.pdf" TargetMode="External"/><Relationship Id="rId35" Type="http://schemas.microsoft.com/office/2020/10/relationships/intelligence" Target="intelligence2.xm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8T09:38:41.014"/>
    </inkml:context>
    <inkml:brush xml:id="br0">
      <inkml:brushProperty name="width" value="0.05" units="cm"/>
      <inkml:brushProperty name="height" value="0.05" units="cm"/>
    </inkml:brush>
  </inkml:definitions>
  <inkml:trace contextRef="#ctx0" brushRef="#br0">12 447 24575,'0'0'0,"-1"0"0,1 0 0,0 0 0,-1 0 0,1 0 0,-1 0 0,1 0 0,0 0 0,-1 0 0,1 0 0,-1 0 0,1 0 0,0-1 0,-1 1 0,1 0 0,-1 0 0,1 0 0,0 0 0,-1-1 0,1 1 0,0 0 0,-1 0 0,1-1 0,0 1 0,-1 0 0,1-1 0,0 1 0,0 0 0,0-1 0,-1 1 0,1 0 0,0-1 0,0 1 0,-1-1 0,7-15 0,19-14 0,30-9 0,105-54 0,-102 60 0,62-21 0,-65 31 0,-34 13 0,-1-2 0,33-23 0,-35 21 0,1 2 0,0 0 0,28-12 0,-22 14-1365,-3 0-5461</inkml:trace>
  <inkml:trace contextRef="#ctx0" brushRef="#br0" timeOffset="1484.81">411 265 24575,'5'12'0,"0"1"0,-1 0 0,-1 0 0,0 0 0,0 1 0,0 18 0,-1 88 0,-3-69 0,1-27 0,1 1 0,-2 0 0,-4 33 0,3-49 0,0 1 0,-1 0 0,0-1 0,-1 0 0,0 0 0,0 0 0,-1 0 0,0-1 0,-8 11 0,6-10 15,-1 1 0,0-2 0,-1 1 0,0-1 0,0 0 0,-1-1 0,-17 10 0,22-14-102,-1 0-1,0 0 1,1-1 0,-1 0-1,0 0 1,0-1 0,-1 1-1,1-1 1,0-1-1,0 1 1,0-1 0,-1 0-1,1-1 1,0 1 0,0-1-1,-10-3 1,-14-7-6739</inkml:trace>
  <inkml:trace contextRef="#ctx0" brushRef="#br0" timeOffset="2867.22">702 606 24575,'0'0'-8191</inkml:trace>
  <inkml:trace contextRef="#ctx0" brushRef="#br0" timeOffset="4414.56">966 26 24575,'0'683'0,"-1"-656"20,-1-1 0,-2 1 0,0-1 0,-2 0 0,-16 47 0,-4-10-763,-34 63 1,53-113-6084</inkml:trace>
  <inkml:trace contextRef="#ctx0" brushRef="#br0" timeOffset="5813.56">938 555 24575,'5'0'0,"5"0"0,7 0 0,4 0 0,3 0 0,6-5 0,3 0 0,5-1 0,0-12 0,-1-4 0,-4 3 0,-1 4 0,-3 5 0,-6 4-8191</inkml:trace>
  <inkml:trace contextRef="#ctx0" brushRef="#br0" timeOffset="7146.37">1336 1 24575,'-14'255'0,"0"34"0,11-230 0,-3 0 0,-16 73 0,0-2 0,22-124-136,-1 0-1,0 0 1,-1-1-1,1 1 1,-1 0-1,0-1 1,-1 1-1,1-1 0,-5 7 1,-3 0-6690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8T09:38:59.706"/>
    </inkml:context>
    <inkml:brush xml:id="br0">
      <inkml:brushProperty name="width" value="0.05" units="cm"/>
      <inkml:brushProperty name="height" value="0.05" units="cm"/>
    </inkml:brush>
  </inkml:definitions>
  <inkml:trace contextRef="#ctx0" brushRef="#br0">1 530 24575,'0'-3'0,"1"-1"0,0 1 0,0-1 0,1 1 0,-1 0 0,1 0 0,-1-1 0,1 1 0,0 0 0,0 0 0,0 0 0,1 1 0,-1-1 0,1 0 0,-1 1 0,1 0 0,0 0 0,0 0 0,0 0 0,0 0 0,1 0 0,3-1 0,11-5 0,0 0 0,33-9 0,270-90 0,-293 95 0,47-27 0,11-6 0,53-19 0,-66 29 0,135-46 0,-89 47-1365,-91 26-5461</inkml:trace>
  <inkml:trace contextRef="#ctx0" brushRef="#br0" timeOffset="1365.51">609 344 24575,'4'5'0,"-2"0"0,1 0 0,-1 1 0,0-1 0,0 0 0,0 1 0,-1-1 0,1 1 0,-1 0 0,0 9 0,3 13 0,15 53 0,49 249 0,-58-262 0,-2-1 0,-5 136 0,-5-182 0,-1 1 0,-1-1 0,-12 40 0,12-49 0,-1-1 0,1 1 0,-2-1 0,0 0 0,0-1 0,-1 0 0,0 0 0,-11 12 0,16-20 0,1 0 0,-1-1 0,0 1 0,-1-1 0,1 1 0,0-1 0,0 0 0,-1 0 0,1 0 0,0 0 0,-1 0 0,1-1 0,-1 1 0,1-1 0,-1 1 0,0-1 0,1 0 0,-1 0 0,1 0 0,-1-1 0,1 1 0,-1 0 0,1-1 0,-1 0 0,1 1 0,-1-1 0,1 0 0,0 0 0,-1-1 0,1 1 0,0 0 0,0-1 0,0 1 0,0-1 0,0 0 0,0 0 0,-2-3 0,-8-7 0,2-1 0,-1 0 0,2-1 0,-11-19 0,19 32 0,-34-47-1365,18 29-5461</inkml:trace>
  <inkml:trace contextRef="#ctx0" brushRef="#br0" timeOffset="1962.31">1192 792 24575</inkml:trace>
  <inkml:trace contextRef="#ctx0" brushRef="#br0" timeOffset="2996.34">1721 133 24575,'0'1358'0,"0"-1358"0,1 31 0,-2-1 0,0 1 0,-2-1 0,-14 57 0,17-85-89,0-1 46,-1 0 1,1 0-1,0 0 1,0 0-1,0 0 1,0 0-1,-1 0 1,1 0-1,-1 0 1,1 0-1,0 0 0,-1 0 1,0-1-1,1 1 1,-1 0-1,1 0 1,-1 0-1,0-1 1,0 1-1,1 0 1,-1-1-1,0 1 1,0 0-1,0-1 1,0 1-1,0-1 1,0 0-1,0 1 1,-1-1-1</inkml:trace>
  <inkml:trace contextRef="#ctx0" brushRef="#br0" timeOffset="3979.71">1773 712 24575,'9'0'0,"8"0"0,9-4 0,10-7 0,3 0 0,0 0 0,-3-1 0,-3 0 0,7 3 0,10 3 0,-4-6 0,-1-7 0,-7 2-8191</inkml:trace>
  <inkml:trace contextRef="#ctx0" brushRef="#br0" timeOffset="5094.03">2356 0 24575,'2'208'0,"1"-7"0,-26 229 0,-20-175 0,-4 31 0,19-90-1365,20-166-5461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5426</Words>
  <Characters>31865</Characters>
  <Application>Microsoft Office Word</Application>
  <DocSecurity>0</DocSecurity>
  <Lines>265</Lines>
  <Paragraphs>74</Paragraphs>
  <ScaleCrop>false</ScaleCrop>
  <Company>Powys County Council</Company>
  <LinksUpToDate>false</LinksUpToDate>
  <CharactersWithSpaces>37217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Hopkins,Joel swp8475</cp:lastModifiedBy>
  <cp:revision>2</cp:revision>
  <cp:lastPrinted>2014-08-26T08:55:00Z</cp:lastPrinted>
  <dcterms:created xsi:type="dcterms:W3CDTF">2024-04-08T09:41:00Z</dcterms:created>
  <dcterms:modified xsi:type="dcterms:W3CDTF">2024-04-08T09:41:00Z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