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Method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3.1 Data</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Data for this analysis were obtained from the 2022 Programme for International Student Assessment (PISA), administered by the Organisation for Economic Co-operation and Development (OECD). PISA 2022 is a large-scale international survey concentrating on the competencies of 15-year-olds in mathematics, reading, science, and creative thinking, with a particular research focus on mathematics. The sample included 12,972 students (6,575 boys and 6,397 girls) from 451 schools.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bCs/>
          <w:sz w:val="24"/>
          <w:szCs w:val="24"/>
          <w:lang w:val="en-US" w:eastAsia="zh-CN"/>
        </w:rPr>
        <w:t>3</w:t>
      </w: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 xml:space="preserve">.2 Variables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b/>
          <w:bCs/>
          <w:color w:val="FF0000"/>
          <w:sz w:val="24"/>
          <w:szCs w:val="24"/>
          <w:lang w:val="en-US" w:eastAsia="zh-CN"/>
        </w:rPr>
      </w:pP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3.2.1 Student Individual Characteristics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In this study, student individual characteristics primarily encompass gender and socioeconomic status.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Gender was considered as a variable, utilizing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0</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for Female and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1</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for Male within the PISA 2022 database before Mplus 8.5 (Muthén &amp; Muthén, 1998-2017) analysis.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Regarding socioeconomic status in PISA 2022, it was assessed using the Economic, Social, and Cultural Status (ESCS) index (OECD, 2023), derived from  highest parental occupation status, highest education of parents in years, and home possessions (OECD, 2023, p. 407). To acquire the results, students completed comprehensive questionnaires in the Student Questionnaire covering these three dimensions.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See Table A1 in Appendix A for details.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b/>
          <w:bCs/>
          <w:color w:val="FF0000"/>
          <w:sz w:val="24"/>
          <w:szCs w:val="24"/>
          <w:lang w:val="en-US" w:eastAsia="zh-CN"/>
        </w:rPr>
      </w:pP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3.2.2 Student Learning Process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In this study, student learning process encompass mathematics teacher support, mathematics anxiety, and growth mindset.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PISA 2022 defines mathematics teacher support as in-class assistance from educators, excluding extracurricular activities, measured by scale ST270, which employs 4-point Likert-Scale ranging from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1 = every lesson</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to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4 = never or almost never</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Mathematics anxiety is assessed in PISA 2022 by evaluating students' agreement with statements on mathematical attitudes, represented by scale ST292, which utilizes 4-point Likert-Scale ranging from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1 = strongly agree</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to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4 = strongly disagree</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PISA 2022 focuses on growth mindset, the belief that intelligence can improve through effort, measured by students' agreement with statements on attitudes towards intelligence and effort, using scale ST263, which applies 4-point Likert-Scale ranging from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1 = strongly disagree</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to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4 = strongly agree</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Refer to </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Table A1 in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Appendix A for detailed information.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bCs/>
          <w:color w:val="000000" w:themeColor="text1"/>
          <w:sz w:val="24"/>
          <w:szCs w:val="24"/>
          <w:lang w:val="en-US" w:eastAsia="zh-CN"/>
          <w14:textFill>
            <w14:solidFill>
              <w14:schemeClr w14:val="tx1"/>
            </w14:solidFill>
          </w14:textFill>
        </w:rPr>
        <w:t>3.2.3 Mathematics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Plausible values are employed to assess mathematics achievement in PISA 2022. According to the PISA 2022 Technical Report (OECD, 2023), these values are derived from normal approximations to posterior distributions, estimated using multivariate latent regression models. Specifically, ten plausible values (PV1MATH to PV10MATH) were generated. The estimation process was conducted using Mplus 8.5 (Muthén &amp; Muthén, 1998-2017), with the TYPE=IMPUTATION command averaging across ten datasets to obtain accurate estimates and standard deviations.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Statistical descriptive analysis is shown in Table A2 in Appendix 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3.3 Statistical Analytical Procedure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Mediational analyses are prevalent for addressing the fundamental research question</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In this study, three variables meet David's (2024) criteria for multiple regression, consistent cases, and shared covariates across equations. Hence, they are suitable for mediation analysis. </w:t>
      </w:r>
    </w:p>
    <w:p>
      <w:pPr>
        <w:keepNext w:val="0"/>
        <w:keepLines w:val="0"/>
        <w:pageBreakBefore w:val="0"/>
        <w:widowControl w:val="0"/>
        <w:kinsoku/>
        <w:wordWrap/>
        <w:overflowPunct/>
        <w:topLinePunct w:val="0"/>
        <w:autoSpaceDE/>
        <w:autoSpaceDN/>
        <w:bidi w:val="0"/>
        <w:adjustRightInd/>
        <w:snapToGrid/>
        <w:spacing w:line="480" w:lineRule="auto"/>
        <w:ind w:left="964" w:hanging="961" w:hangingChars="40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Figure 1.</w:t>
      </w:r>
      <w:r>
        <w:rPr>
          <w:rFonts w:hint="default" w:ascii="Times New Roman" w:hAnsi="Times New Roman" w:eastAsia="宋体" w:cs="Times New Roman"/>
          <w:sz w:val="24"/>
          <w:szCs w:val="24"/>
          <w:lang w:val="en-US" w:eastAsia="zh-CN"/>
        </w:rPr>
        <w:t xml:space="preserve"> The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 xml:space="preserve">otal </w:t>
      </w:r>
      <w:r>
        <w:rPr>
          <w:rFonts w:hint="eastAsia" w:ascii="Times New Roman" w:hAnsi="Times New Roman" w:eastAsia="宋体" w:cs="Times New Roman"/>
          <w:sz w:val="24"/>
          <w:szCs w:val="24"/>
          <w:lang w:val="en-US" w:eastAsia="zh-CN"/>
        </w:rPr>
        <w:t>E</w:t>
      </w:r>
      <w:r>
        <w:rPr>
          <w:rFonts w:hint="default" w:ascii="Times New Roman" w:hAnsi="Times New Roman" w:eastAsia="宋体" w:cs="Times New Roman"/>
          <w:sz w:val="24"/>
          <w:szCs w:val="24"/>
          <w:lang w:val="en-US" w:eastAsia="zh-CN"/>
        </w:rPr>
        <w:t xml:space="preserve">ffect of </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lang w:val="en-US" w:eastAsia="zh-CN"/>
        </w:rPr>
        <w:t xml:space="preserve">tudent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 xml:space="preserve">ndividual </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val="en-US" w:eastAsia="zh-CN"/>
        </w:rPr>
        <w:t xml:space="preserve">haracteristics on </w:t>
      </w:r>
      <w:r>
        <w:rPr>
          <w:rFonts w:hint="eastAsia" w:ascii="Times New Roman" w:hAnsi="Times New Roman" w:eastAsia="宋体" w:cs="Times New Roman"/>
          <w:sz w:val="24"/>
          <w:szCs w:val="24"/>
          <w:lang w:val="en-US" w:eastAsia="zh-CN"/>
        </w:rPr>
        <w:t>M</w:t>
      </w:r>
      <w:r>
        <w:rPr>
          <w:rFonts w:hint="default" w:ascii="Times New Roman" w:hAnsi="Times New Roman" w:eastAsia="宋体" w:cs="Times New Roman"/>
          <w:sz w:val="24"/>
          <w:szCs w:val="24"/>
          <w:lang w:val="en-US" w:eastAsia="zh-CN"/>
        </w:rPr>
        <w:t xml:space="preserve">athematics </w:t>
      </w:r>
      <w:r>
        <w:rPr>
          <w:rFonts w:hint="eastAsia" w:ascii="Times New Roman" w:hAnsi="Times New Roman" w:eastAsia="宋体" w:cs="Times New Roman"/>
          <w:sz w:val="24"/>
          <w:szCs w:val="24"/>
          <w:lang w:val="en-US" w:eastAsia="zh-CN"/>
        </w:rPr>
        <w:t>A</w:t>
      </w:r>
      <w:r>
        <w:rPr>
          <w:rFonts w:hint="default" w:ascii="Times New Roman" w:hAnsi="Times New Roman" w:eastAsia="宋体" w:cs="Times New Roman"/>
          <w:sz w:val="24"/>
          <w:szCs w:val="24"/>
          <w:lang w:val="en-US" w:eastAsia="zh-CN"/>
        </w:rPr>
        <w:t>chievement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sz w:val="24"/>
          <w:szCs w:val="24"/>
          <w:lang w:val="en-US" w:eastAsia="zh-CN"/>
        </w:rPr>
      </w:pPr>
      <w:r>
        <w:rPr>
          <w:sz w:val="24"/>
          <w:szCs w:val="24"/>
        </w:rPr>
        <w:drawing>
          <wp:inline distT="0" distB="0" distL="114300" distR="114300">
            <wp:extent cx="5273040" cy="41148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5273040" cy="41148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ind w:left="964" w:hanging="961" w:hangingChars="40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Figure 2.</w:t>
      </w:r>
      <w:r>
        <w:rPr>
          <w:rFonts w:hint="default" w:ascii="Times New Roman" w:hAnsi="Times New Roman" w:eastAsia="宋体" w:cs="Times New Roman"/>
          <w:sz w:val="24"/>
          <w:szCs w:val="24"/>
          <w:lang w:val="en-US" w:eastAsia="zh-CN"/>
        </w:rPr>
        <w:t xml:space="preserve"> Hypothesis </w:t>
      </w:r>
      <w:r>
        <w:rPr>
          <w:rFonts w:hint="eastAsia" w:ascii="Times New Roman" w:hAnsi="Times New Roman" w:eastAsia="宋体" w:cs="Times New Roman"/>
          <w:sz w:val="24"/>
          <w:szCs w:val="24"/>
          <w:lang w:val="en-US" w:eastAsia="zh-CN"/>
        </w:rPr>
        <w:t>D</w:t>
      </w:r>
      <w:r>
        <w:rPr>
          <w:rFonts w:hint="default" w:ascii="Times New Roman" w:hAnsi="Times New Roman" w:eastAsia="宋体" w:cs="Times New Roman"/>
          <w:sz w:val="24"/>
          <w:szCs w:val="24"/>
          <w:lang w:val="en-US" w:eastAsia="zh-CN"/>
        </w:rPr>
        <w:t xml:space="preserve">iagram of </w:t>
      </w:r>
      <w:r>
        <w:rPr>
          <w:rFonts w:hint="eastAsia" w:ascii="Times New Roman" w:hAnsi="Times New Roman" w:eastAsia="宋体" w:cs="Times New Roman"/>
          <w:sz w:val="24"/>
          <w:szCs w:val="24"/>
          <w:lang w:val="en-US" w:eastAsia="zh-CN"/>
        </w:rPr>
        <w:t>M</w:t>
      </w:r>
      <w:r>
        <w:rPr>
          <w:rFonts w:hint="default" w:ascii="Times New Roman" w:hAnsi="Times New Roman" w:eastAsia="宋体" w:cs="Times New Roman"/>
          <w:sz w:val="24"/>
          <w:szCs w:val="24"/>
          <w:lang w:val="en-US" w:eastAsia="zh-CN"/>
        </w:rPr>
        <w:t xml:space="preserve">ediational </w:t>
      </w:r>
      <w:r>
        <w:rPr>
          <w:rFonts w:hint="eastAsia" w:ascii="Times New Roman" w:hAnsi="Times New Roman" w:eastAsia="宋体" w:cs="Times New Roman"/>
          <w:sz w:val="24"/>
          <w:szCs w:val="24"/>
          <w:lang w:val="en-US" w:eastAsia="zh-CN"/>
        </w:rPr>
        <w:t>A</w:t>
      </w:r>
      <w:r>
        <w:rPr>
          <w:rFonts w:hint="default" w:ascii="Times New Roman" w:hAnsi="Times New Roman" w:eastAsia="宋体" w:cs="Times New Roman"/>
          <w:sz w:val="24"/>
          <w:szCs w:val="24"/>
          <w:lang w:val="en-US" w:eastAsia="zh-CN"/>
        </w:rPr>
        <w:t xml:space="preserve">nalyses among </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lang w:val="en-US" w:eastAsia="zh-CN"/>
        </w:rPr>
        <w:t xml:space="preserve">tudent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 xml:space="preserve">ndividual </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val="en-US" w:eastAsia="zh-CN"/>
        </w:rPr>
        <w:t xml:space="preserve">haracteristics, </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lang w:val="en-US" w:eastAsia="zh-CN"/>
        </w:rPr>
        <w:t xml:space="preserve">tudent </w:t>
      </w:r>
      <w:r>
        <w:rPr>
          <w:rFonts w:hint="eastAsia" w:ascii="Times New Roman" w:hAnsi="Times New Roman" w:eastAsia="宋体" w:cs="Times New Roman"/>
          <w:sz w:val="24"/>
          <w:szCs w:val="24"/>
          <w:lang w:val="en-US" w:eastAsia="zh-CN"/>
        </w:rPr>
        <w:t>L</w:t>
      </w:r>
      <w:r>
        <w:rPr>
          <w:rFonts w:hint="default" w:ascii="Times New Roman" w:hAnsi="Times New Roman" w:eastAsia="宋体" w:cs="Times New Roman"/>
          <w:sz w:val="24"/>
          <w:szCs w:val="24"/>
          <w:lang w:val="en-US" w:eastAsia="zh-CN"/>
        </w:rPr>
        <w:t xml:space="preserve">earning </w:t>
      </w:r>
      <w:r>
        <w:rPr>
          <w:rFonts w:hint="eastAsia" w:ascii="Times New Roman" w:hAnsi="Times New Roman" w:eastAsia="宋体" w:cs="Times New Roman"/>
          <w:sz w:val="24"/>
          <w:szCs w:val="24"/>
          <w:lang w:val="en-US" w:eastAsia="zh-CN"/>
        </w:rPr>
        <w:t>P</w:t>
      </w:r>
      <w:r>
        <w:rPr>
          <w:rFonts w:hint="default" w:ascii="Times New Roman" w:hAnsi="Times New Roman" w:eastAsia="宋体" w:cs="Times New Roman"/>
          <w:sz w:val="24"/>
          <w:szCs w:val="24"/>
          <w:lang w:val="en-US" w:eastAsia="zh-CN"/>
        </w:rPr>
        <w:t xml:space="preserve">rocess and </w:t>
      </w:r>
      <w:r>
        <w:rPr>
          <w:rFonts w:hint="eastAsia" w:ascii="Times New Roman" w:hAnsi="Times New Roman" w:eastAsia="宋体" w:cs="Times New Roman"/>
          <w:sz w:val="24"/>
          <w:szCs w:val="24"/>
          <w:lang w:val="en-US" w:eastAsia="zh-CN"/>
        </w:rPr>
        <w:t>M</w:t>
      </w:r>
      <w:r>
        <w:rPr>
          <w:rFonts w:hint="default" w:ascii="Times New Roman" w:hAnsi="Times New Roman" w:eastAsia="宋体" w:cs="Times New Roman"/>
          <w:sz w:val="24"/>
          <w:szCs w:val="24"/>
          <w:lang w:val="en-US" w:eastAsia="zh-CN"/>
        </w:rPr>
        <w:t xml:space="preserve">athematics </w:t>
      </w:r>
      <w:r>
        <w:rPr>
          <w:rFonts w:hint="eastAsia" w:ascii="Times New Roman" w:hAnsi="Times New Roman" w:eastAsia="宋体" w:cs="Times New Roman"/>
          <w:sz w:val="24"/>
          <w:szCs w:val="24"/>
          <w:lang w:val="en-US" w:eastAsia="zh-CN"/>
        </w:rPr>
        <w:t>A</w:t>
      </w:r>
      <w:r>
        <w:rPr>
          <w:rFonts w:hint="default" w:ascii="Times New Roman" w:hAnsi="Times New Roman" w:eastAsia="宋体" w:cs="Times New Roman"/>
          <w:sz w:val="24"/>
          <w:szCs w:val="24"/>
          <w:lang w:val="en-US" w:eastAsia="zh-CN"/>
        </w:rPr>
        <w:t>chievement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sz w:val="24"/>
          <w:szCs w:val="24"/>
          <w:lang w:val="en-US" w:eastAsia="zh-CN"/>
        </w:rPr>
      </w:pPr>
      <w:r>
        <w:rPr>
          <w:sz w:val="24"/>
          <w:szCs w:val="24"/>
        </w:rPr>
        <w:drawing>
          <wp:inline distT="0" distB="0" distL="114300" distR="114300">
            <wp:extent cx="5273040" cy="1242060"/>
            <wp:effectExtent l="0" t="0" r="0" b="76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5"/>
                    <a:stretch>
                      <a:fillRect/>
                    </a:stretch>
                  </pic:blipFill>
                  <pic:spPr>
                    <a:xfrm>
                      <a:off x="0" y="0"/>
                      <a:ext cx="5273040" cy="12420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w:t>
      </w:r>
      <w:r>
        <w:rPr>
          <w:rFonts w:hint="eastAsia" w:ascii="Times New Roman" w:hAnsi="Times New Roman" w:eastAsia="宋体" w:cs="Times New Roman"/>
          <w:sz w:val="24"/>
          <w:szCs w:val="24"/>
          <w:lang w:val="en-US" w:eastAsia="zh-CN"/>
        </w:rPr>
        <w:t xml:space="preserve">ure 1 </w:t>
      </w:r>
      <w:r>
        <w:rPr>
          <w:rFonts w:hint="default" w:ascii="Times New Roman" w:hAnsi="Times New Roman" w:eastAsia="宋体" w:cs="Times New Roman"/>
          <w:sz w:val="24"/>
          <w:szCs w:val="24"/>
          <w:lang w:val="en-US" w:eastAsia="zh-CN"/>
        </w:rPr>
        <w:t>illustrates the direct impact of student individual characteristics (causal variable) on mathematics achievement (outcome), termed the total effect (path c). Fig</w:t>
      </w:r>
      <w:r>
        <w:rPr>
          <w:rFonts w:hint="eastAsia" w:ascii="Times New Roman" w:hAnsi="Times New Roman" w:eastAsia="宋体" w:cs="Times New Roman"/>
          <w:sz w:val="24"/>
          <w:szCs w:val="24"/>
          <w:lang w:val="en-US" w:eastAsia="zh-CN"/>
        </w:rPr>
        <w:t xml:space="preserve">ure </w:t>
      </w:r>
      <w:r>
        <w:rPr>
          <w:rFonts w:hint="default" w:ascii="Times New Roman" w:hAnsi="Times New Roman" w:eastAsia="宋体" w:cs="Times New Roman"/>
          <w:sz w:val="24"/>
          <w:szCs w:val="24"/>
          <w:lang w:val="en-US" w:eastAsia="zh-CN"/>
        </w:rPr>
        <w:t xml:space="preserve">2 depicts the study's mediation analysis hypothesis model, with path a representing the influence of </w:t>
      </w:r>
      <w:r>
        <w:rPr>
          <w:rFonts w:hint="eastAsia" w:ascii="Times New Roman" w:hAnsi="Times New Roman" w:eastAsia="宋体" w:cs="Times New Roman"/>
          <w:sz w:val="24"/>
          <w:szCs w:val="24"/>
          <w:lang w:val="en-US" w:eastAsia="zh-CN"/>
        </w:rPr>
        <w:t xml:space="preserve">student </w:t>
      </w:r>
      <w:r>
        <w:rPr>
          <w:rFonts w:hint="default" w:ascii="Times New Roman" w:hAnsi="Times New Roman" w:eastAsia="宋体" w:cs="Times New Roman"/>
          <w:sz w:val="24"/>
          <w:szCs w:val="24"/>
          <w:lang w:val="en-US" w:eastAsia="zh-CN"/>
        </w:rPr>
        <w:t xml:space="preserve">individual characteristics on the </w:t>
      </w:r>
      <w:r>
        <w:rPr>
          <w:rFonts w:hint="eastAsia" w:ascii="Times New Roman" w:hAnsi="Times New Roman" w:eastAsia="宋体" w:cs="Times New Roman"/>
          <w:sz w:val="24"/>
          <w:szCs w:val="24"/>
          <w:lang w:val="en-US" w:eastAsia="zh-CN"/>
        </w:rPr>
        <w:t xml:space="preserve">student </w:t>
      </w:r>
      <w:r>
        <w:rPr>
          <w:rFonts w:hint="default" w:ascii="Times New Roman" w:hAnsi="Times New Roman" w:eastAsia="宋体" w:cs="Times New Roman"/>
          <w:sz w:val="24"/>
          <w:szCs w:val="24"/>
          <w:lang w:val="en-US" w:eastAsia="zh-CN"/>
        </w:rPr>
        <w:t xml:space="preserve">learning process and path b representing the impact of </w:t>
      </w:r>
      <w:r>
        <w:rPr>
          <w:rFonts w:hint="eastAsia" w:ascii="Times New Roman" w:hAnsi="Times New Roman" w:eastAsia="宋体" w:cs="Times New Roman"/>
          <w:sz w:val="24"/>
          <w:szCs w:val="24"/>
          <w:lang w:val="en-US" w:eastAsia="zh-CN"/>
        </w:rPr>
        <w:t xml:space="preserve">student </w:t>
      </w:r>
      <w:r>
        <w:rPr>
          <w:rFonts w:hint="default" w:ascii="Times New Roman" w:hAnsi="Times New Roman" w:eastAsia="宋体" w:cs="Times New Roman"/>
          <w:sz w:val="24"/>
          <w:szCs w:val="24"/>
          <w:lang w:val="en-US" w:eastAsia="zh-CN"/>
        </w:rPr>
        <w:t>learning process on mathematics achievement. Together, paths a and b constitute indirect effects, while path c' denotes the direct effect. According to David (2024), paths c, a, b, and c' satisfy the equation c = c' + ab</w:t>
      </w:r>
      <w:r>
        <w:rPr>
          <w:rFonts w:hint="eastAsia" w:ascii="Times New Roman" w:hAnsi="Times New Roman" w:eastAsia="宋体" w:cs="Times New Roman"/>
          <w:sz w:val="24"/>
          <w:szCs w:val="24"/>
          <w:lang w:val="en-US" w:eastAsia="zh-CN"/>
        </w:rPr>
        <w:t>, the research will be conducted based on this model</w: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Reference</w:t>
      </w: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OECD 2023 PISA 2022 </w:t>
      </w:r>
      <w:r>
        <w:rPr>
          <w:rFonts w:hint="default" w:ascii="Times New Roman" w:hAnsi="Times New Roman" w:eastAsia="宋体" w:cs="Times New Roman"/>
          <w:i/>
          <w:iCs/>
          <w:sz w:val="24"/>
          <w:szCs w:val="24"/>
        </w:rPr>
        <w:t>technical report</w:t>
      </w:r>
      <w:r>
        <w:rPr>
          <w:rFonts w:hint="default" w:ascii="Times New Roman" w:hAnsi="Times New Roman" w:eastAsia="宋体" w:cs="Times New Roman"/>
          <w:sz w:val="24"/>
          <w:szCs w:val="24"/>
        </w:rPr>
        <w:t>. OECD Publishing. Retrieved May 21, 2024, https:// www. oecd. org/ pisa/ data/ pisa2 022technic alreport.</w:t>
      </w: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Dweck, C. (2016). What having a “growth mindset” actually means. </w:t>
      </w:r>
      <w:r>
        <w:rPr>
          <w:rFonts w:hint="default" w:ascii="Times New Roman" w:hAnsi="Times New Roman" w:eastAsia="宋体" w:cs="Times New Roman"/>
          <w:i/>
          <w:iCs/>
          <w:caps w:val="0"/>
          <w:color w:val="222222"/>
          <w:spacing w:val="0"/>
          <w:sz w:val="24"/>
          <w:szCs w:val="24"/>
          <w:shd w:val="clear" w:fill="FFFFFF"/>
        </w:rPr>
        <w:t>Harvard business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(2), 2-5.</w:t>
      </w: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sz w:val="24"/>
          <w:szCs w:val="24"/>
        </w:rPr>
        <w:t xml:space="preserve">Muthén, L. K., &amp; Muthén, B. (2017). </w:t>
      </w:r>
      <w:r>
        <w:rPr>
          <w:rFonts w:hint="default" w:ascii="Times New Roman" w:hAnsi="Times New Roman" w:eastAsia="宋体" w:cs="Times New Roman"/>
          <w:i/>
          <w:iCs/>
          <w:sz w:val="24"/>
          <w:szCs w:val="24"/>
        </w:rPr>
        <w:t>Mplus user’s guide Statistical analysis with latent variables</w:t>
      </w:r>
      <w:r>
        <w:rPr>
          <w:rFonts w:hint="default" w:ascii="Times New Roman" w:hAnsi="Times New Roman" w:eastAsia="宋体" w:cs="Times New Roman"/>
          <w:sz w:val="24"/>
          <w:szCs w:val="24"/>
        </w:rPr>
        <w:t>. Wiley.</w:t>
      </w: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David, A. K. (2024) </w:t>
      </w:r>
      <w:r>
        <w:rPr>
          <w:rFonts w:hint="eastAsia" w:ascii="Times New Roman" w:hAnsi="Times New Roman" w:eastAsia="宋体" w:cs="Times New Roman"/>
          <w:i/>
          <w:iCs/>
          <w:caps w:val="0"/>
          <w:color w:val="222222"/>
          <w:spacing w:val="0"/>
          <w:sz w:val="24"/>
          <w:szCs w:val="24"/>
          <w:shd w:val="clear" w:fill="FFFFFF"/>
          <w:lang w:val="en-US" w:eastAsia="zh-CN"/>
        </w:rPr>
        <w:t>SEM: Mediation</w:t>
      </w:r>
      <w:r>
        <w:rPr>
          <w:rFonts w:hint="eastAsia" w:ascii="Times New Roman" w:hAnsi="Times New Roman" w:eastAsia="宋体" w:cs="Times New Roman"/>
          <w:i w:val="0"/>
          <w:iCs w:val="0"/>
          <w:caps w:val="0"/>
          <w:color w:val="222222"/>
          <w:spacing w:val="0"/>
          <w:sz w:val="24"/>
          <w:szCs w:val="24"/>
          <w:shd w:val="clear" w:fill="FFFFFF"/>
          <w:lang w:val="en-US" w:eastAsia="zh-CN"/>
        </w:rPr>
        <w:t>. Available at: https://davidakenny.net/cm/mediate.htm</w:t>
      </w:r>
    </w:p>
    <w:p>
      <w:pPr>
        <w:rPr>
          <w:rFonts w:hint="eastAsia" w:ascii="Times New Roman" w:hAnsi="Times New Roman" w:eastAsia="宋体" w:cs="Times New Roman"/>
          <w:i w:val="0"/>
          <w:iCs w:val="0"/>
          <w:color w:val="222222"/>
          <w:spacing w:val="0"/>
          <w:sz w:val="24"/>
          <w:szCs w:val="24"/>
          <w:shd w:val="clear" w:fill="FFFFFF"/>
          <w:lang w:val="en-US" w:eastAsia="zh-CN"/>
        </w:rPr>
      </w:pPr>
      <w:r>
        <w:rPr>
          <w:rFonts w:hint="eastAsia" w:ascii="Times New Roman" w:hAnsi="Times New Roman" w:eastAsia="宋体" w:cs="Times New Roman"/>
          <w:i w:val="0"/>
          <w:iCs w:val="0"/>
          <w:color w:val="222222"/>
          <w:spacing w:val="0"/>
          <w:sz w:val="24"/>
          <w:szCs w:val="24"/>
          <w:shd w:val="clear" w:fill="FFFFFF"/>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 w:val="0"/>
          <w:iCs w:val="0"/>
          <w:color w:val="222222"/>
          <w:spacing w:val="0"/>
          <w:sz w:val="24"/>
          <w:szCs w:val="24"/>
          <w:shd w:val="clear" w:fill="FFFFFF"/>
          <w:vertAlign w:val="baseline"/>
          <w:lang w:val="en-US" w:eastAsia="zh-CN"/>
        </w:rPr>
      </w:pPr>
      <w:r>
        <w:rPr>
          <w:rFonts w:hint="default" w:ascii="Times New Roman" w:hAnsi="Times New Roman" w:eastAsia="宋体" w:cs="Times New Roman"/>
          <w:b/>
          <w:bCs/>
          <w:i w:val="0"/>
          <w:iCs w:val="0"/>
          <w:color w:val="222222"/>
          <w:spacing w:val="0"/>
          <w:sz w:val="24"/>
          <w:szCs w:val="24"/>
          <w:shd w:val="clear" w:fill="FFFFFF"/>
          <w:vertAlign w:val="baseline"/>
          <w:lang w:val="en-US" w:eastAsia="zh-CN"/>
        </w:rPr>
        <w:t>Appendix A</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b/>
          <w:bCs/>
          <w:i w:val="0"/>
          <w:iCs w:val="0"/>
          <w:color w:val="222222"/>
          <w:spacing w:val="0"/>
          <w:sz w:val="24"/>
          <w:szCs w:val="24"/>
          <w:shd w:val="clear" w:fill="FFFFFF"/>
          <w:vertAlign w:val="baseline"/>
          <w:lang w:val="en-US" w:eastAsia="zh-CN"/>
        </w:rPr>
        <w:t xml:space="preserve">Table </w:t>
      </w:r>
      <w:r>
        <w:rPr>
          <w:rFonts w:hint="eastAsia" w:ascii="Times New Roman" w:hAnsi="Times New Roman" w:eastAsia="宋体" w:cs="Times New Roman"/>
          <w:b/>
          <w:bCs/>
          <w:i w:val="0"/>
          <w:iCs w:val="0"/>
          <w:color w:val="222222"/>
          <w:spacing w:val="0"/>
          <w:sz w:val="24"/>
          <w:szCs w:val="24"/>
          <w:shd w:val="clear" w:fill="FFFFFF"/>
          <w:vertAlign w:val="baseline"/>
          <w:lang w:val="en-US" w:eastAsia="zh-CN"/>
        </w:rPr>
        <w:t>A</w:t>
      </w:r>
      <w:r>
        <w:rPr>
          <w:rFonts w:hint="default" w:ascii="Times New Roman" w:hAnsi="Times New Roman" w:eastAsia="宋体" w:cs="Times New Roman"/>
          <w:b/>
          <w:bCs/>
          <w:i w:val="0"/>
          <w:iCs w:val="0"/>
          <w:color w:val="222222"/>
          <w:spacing w:val="0"/>
          <w:sz w:val="24"/>
          <w:szCs w:val="24"/>
          <w:shd w:val="clear" w:fill="FFFFFF"/>
          <w:vertAlign w:val="baseline"/>
          <w:lang w:val="en-US" w:eastAsia="zh-CN"/>
        </w:rPr>
        <w:t>1</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  Item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I</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nformation of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S</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tudent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I</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ndividual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C</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haracteristics and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S</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tudent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L</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earning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P</w:t>
      </w: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rocess for PISA 2022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D</w:t>
      </w:r>
      <w:r>
        <w:rPr>
          <w:rFonts w:hint="default" w:ascii="Times New Roman" w:hAnsi="Times New Roman" w:eastAsia="宋体" w:cs="Times New Roman"/>
          <w:i w:val="0"/>
          <w:iCs w:val="0"/>
          <w:color w:val="222222"/>
          <w:spacing w:val="0"/>
          <w:sz w:val="24"/>
          <w:szCs w:val="24"/>
          <w:shd w:val="clear" w:fill="FFFFFF"/>
          <w:vertAlign w:val="baseline"/>
          <w:lang w:val="en-US" w:eastAsia="zh-CN"/>
        </w:rPr>
        <w:t>ata</w:t>
      </w:r>
    </w:p>
    <w:tbl>
      <w:tblPr>
        <w:tblStyle w:val="5"/>
        <w:tblW w:w="0" w:type="auto"/>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537"/>
        <w:gridCol w:w="4638"/>
        <w:gridCol w:w="2347"/>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bottom w:val="single" w:color="auto" w:sz="4" w:space="0"/>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Item</w:t>
            </w:r>
          </w:p>
        </w:tc>
        <w:tc>
          <w:tcPr>
            <w:tcW w:w="4638" w:type="dxa"/>
            <w:tcBorders>
              <w:bottom w:val="single" w:color="auto" w:sz="4" w:space="0"/>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Item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W</w:t>
            </w:r>
            <w:r>
              <w:rPr>
                <w:rFonts w:hint="default" w:ascii="Times New Roman" w:hAnsi="Times New Roman" w:eastAsia="宋体" w:cs="Times New Roman"/>
                <w:i w:val="0"/>
                <w:iCs w:val="0"/>
                <w:color w:val="222222"/>
                <w:spacing w:val="0"/>
                <w:sz w:val="24"/>
                <w:szCs w:val="24"/>
                <w:shd w:val="clear" w:fill="FFFFFF"/>
                <w:vertAlign w:val="baseline"/>
                <w:lang w:val="en-US" w:eastAsia="zh-CN"/>
              </w:rPr>
              <w:t>ording</w:t>
            </w:r>
          </w:p>
        </w:tc>
        <w:tc>
          <w:tcPr>
            <w:tcW w:w="2347" w:type="dxa"/>
            <w:tcBorders>
              <w:bottom w:val="single" w:color="auto" w:sz="4" w:space="0"/>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 xml:space="preserve">Variable </w:t>
            </w:r>
            <w:r>
              <w:rPr>
                <w:rFonts w:hint="eastAsia" w:ascii="Times New Roman" w:hAnsi="Times New Roman" w:eastAsia="宋体" w:cs="Times New Roman"/>
                <w:i w:val="0"/>
                <w:iCs w:val="0"/>
                <w:color w:val="222222"/>
                <w:spacing w:val="0"/>
                <w:sz w:val="24"/>
                <w:szCs w:val="24"/>
                <w:shd w:val="clear" w:fill="FFFFFF"/>
                <w:vertAlign w:val="baseline"/>
                <w:lang w:val="en-US" w:eastAsia="zh-CN"/>
              </w:rPr>
              <w:t>C</w:t>
            </w:r>
            <w:r>
              <w:rPr>
                <w:rFonts w:hint="default" w:ascii="Times New Roman" w:hAnsi="Times New Roman" w:eastAsia="宋体" w:cs="Times New Roman"/>
                <w:i w:val="0"/>
                <w:iCs w:val="0"/>
                <w:color w:val="222222"/>
                <w:spacing w:val="0"/>
                <w:sz w:val="24"/>
                <w:szCs w:val="24"/>
                <w:shd w:val="clear" w:fill="FFFFFF"/>
                <w:vertAlign w:val="baseline"/>
                <w:lang w:val="en-US" w:eastAsia="zh-CN"/>
              </w:rPr>
              <w:t>oding</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op w:val="single" w:color="auto" w:sz="4" w:space="0"/>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c>
          <w:tcPr>
            <w:tcW w:w="4638" w:type="dxa"/>
            <w:tcBorders>
              <w:top w:val="single" w:color="auto" w:sz="4" w:space="0"/>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iCs/>
                <w:color w:val="222222"/>
                <w:spacing w:val="0"/>
                <w:sz w:val="24"/>
                <w:szCs w:val="24"/>
                <w:shd w:val="clear" w:fill="FFFFFF"/>
                <w:vertAlign w:val="baseline"/>
                <w:lang w:val="en-US" w:eastAsia="zh-CN"/>
              </w:rPr>
              <w:t>Student (Standardized) Gender</w:t>
            </w:r>
          </w:p>
        </w:tc>
        <w:tc>
          <w:tcPr>
            <w:tcW w:w="2347" w:type="dxa"/>
            <w:tcBorders>
              <w:top w:val="single" w:color="auto" w:sz="4" w:space="0"/>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ST004D01T</w:t>
            </w: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Student (Standardized) Gender</w:t>
            </w:r>
          </w:p>
        </w:tc>
        <w:tc>
          <w:tcPr>
            <w:tcW w:w="234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0 Female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Male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iCs/>
                <w:color w:val="222222"/>
                <w:spacing w:val="0"/>
                <w:sz w:val="24"/>
                <w:szCs w:val="24"/>
                <w:shd w:val="clear" w:fill="FFFFFF"/>
                <w:vertAlign w:val="baseline"/>
                <w:lang w:val="en-US" w:eastAsia="zh-CN"/>
              </w:rPr>
              <w:t xml:space="preserve">Index of </w:t>
            </w:r>
            <w:r>
              <w:rPr>
                <w:rFonts w:hint="eastAsia" w:ascii="Times New Roman" w:hAnsi="Times New Roman" w:eastAsia="宋体" w:cs="Times New Roman"/>
                <w:i/>
                <w:iCs/>
                <w:color w:val="222222"/>
                <w:spacing w:val="0"/>
                <w:sz w:val="24"/>
                <w:szCs w:val="24"/>
                <w:shd w:val="clear" w:fill="FFFFFF"/>
                <w:vertAlign w:val="baseline"/>
                <w:lang w:val="en-US" w:eastAsia="zh-CN"/>
              </w:rPr>
              <w:t>E</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conomic, </w:t>
            </w:r>
            <w:r>
              <w:rPr>
                <w:rFonts w:hint="eastAsia" w:ascii="Times New Roman" w:hAnsi="Times New Roman" w:eastAsia="宋体" w:cs="Times New Roman"/>
                <w:i/>
                <w:iCs/>
                <w:color w:val="222222"/>
                <w:spacing w:val="0"/>
                <w:sz w:val="24"/>
                <w:szCs w:val="24"/>
                <w:shd w:val="clear" w:fill="FFFFFF"/>
                <w:vertAlign w:val="baseline"/>
                <w:lang w:val="en-US" w:eastAsia="zh-CN"/>
              </w:rPr>
              <w:t>S</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ocial and </w:t>
            </w:r>
            <w:r>
              <w:rPr>
                <w:rFonts w:hint="eastAsia" w:ascii="Times New Roman" w:hAnsi="Times New Roman" w:eastAsia="宋体" w:cs="Times New Roman"/>
                <w:i/>
                <w:iCs/>
                <w:color w:val="222222"/>
                <w:spacing w:val="0"/>
                <w:sz w:val="24"/>
                <w:szCs w:val="24"/>
                <w:shd w:val="clear" w:fill="FFFFFF"/>
                <w:vertAlign w:val="baseline"/>
                <w:lang w:val="en-US" w:eastAsia="zh-CN"/>
              </w:rPr>
              <w:t>C</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ultural </w:t>
            </w:r>
            <w:r>
              <w:rPr>
                <w:rFonts w:hint="eastAsia" w:ascii="Times New Roman" w:hAnsi="Times New Roman" w:eastAsia="宋体" w:cs="Times New Roman"/>
                <w:i/>
                <w:iCs/>
                <w:color w:val="222222"/>
                <w:spacing w:val="0"/>
                <w:sz w:val="24"/>
                <w:szCs w:val="24"/>
                <w:shd w:val="clear" w:fill="FFFFFF"/>
                <w:vertAlign w:val="baseline"/>
                <w:lang w:val="en-US" w:eastAsia="zh-CN"/>
              </w:rPr>
              <w:t>S</w:t>
            </w:r>
            <w:r>
              <w:rPr>
                <w:rFonts w:hint="default" w:ascii="Times New Roman" w:hAnsi="Times New Roman" w:eastAsia="宋体" w:cs="Times New Roman"/>
                <w:i/>
                <w:iCs/>
                <w:color w:val="222222"/>
                <w:spacing w:val="0"/>
                <w:sz w:val="24"/>
                <w:szCs w:val="24"/>
                <w:shd w:val="clear" w:fill="FFFFFF"/>
                <w:vertAlign w:val="baseline"/>
                <w:lang w:val="en-US" w:eastAsia="zh-CN"/>
              </w:rPr>
              <w:t>tatus (ESCS)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eastAsia" w:ascii="Times New Roman" w:hAnsi="Times New Roman" w:eastAsia="宋体" w:cs="Times New Roman"/>
                <w:i/>
                <w:iCs/>
                <w:color w:val="222222"/>
                <w:spacing w:val="0"/>
                <w:sz w:val="24"/>
                <w:szCs w:val="24"/>
                <w:shd w:val="clear" w:fill="FFFFFF"/>
                <w:vertAlign w:val="baseline"/>
                <w:lang w:val="en-US" w:eastAsia="zh-CN"/>
              </w:rPr>
              <w:t>H</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ome </w:t>
            </w:r>
            <w:r>
              <w:rPr>
                <w:rFonts w:hint="eastAsia" w:ascii="Times New Roman" w:hAnsi="Times New Roman" w:eastAsia="宋体" w:cs="Times New Roman"/>
                <w:i/>
                <w:iCs/>
                <w:color w:val="222222"/>
                <w:spacing w:val="0"/>
                <w:sz w:val="24"/>
                <w:szCs w:val="24"/>
                <w:shd w:val="clear" w:fill="FFFFFF"/>
                <w:vertAlign w:val="baseline"/>
                <w:lang w:val="en-US" w:eastAsia="zh-CN"/>
              </w:rPr>
              <w:t>P</w:t>
            </w:r>
            <w:r>
              <w:rPr>
                <w:rFonts w:hint="default" w:ascii="Times New Roman" w:hAnsi="Times New Roman" w:eastAsia="宋体" w:cs="Times New Roman"/>
                <w:i/>
                <w:iCs/>
                <w:color w:val="222222"/>
                <w:spacing w:val="0"/>
                <w:sz w:val="24"/>
                <w:szCs w:val="24"/>
                <w:shd w:val="clear" w:fill="FFFFFF"/>
                <w:vertAlign w:val="baseline"/>
                <w:lang w:val="en-US" w:eastAsia="zh-CN"/>
              </w:rPr>
              <w:t>ossessions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A room of your own.</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Yes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No</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A computer (laptop, desktop, or tablet) that you can use for school work.</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Educational Software or Apps.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Your own [cell phone] with Internet access (e.g. smartphone).</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rPr>
          <w:trHeight w:val="23" w:hRule="atLeast"/>
        </w:trPr>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ST250Q05JA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Internet access (e.g. Wi-fi) (excluding through smartphones).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ST250D06JA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United Kingdom (Excl. Scotland) :A games console such as a PlayStation 4 or Nintendo Switch.</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ST250D07JA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Which of the following are in your home? United Kingdom (Excl. Scotland) :A smart speaker such as Amazon Echo or Google Home.</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Cars, vans, or trucks.</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None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One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Two</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Three or more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Mopeds or motorcycles.</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Rooms with a bath or shower.</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Rooms with a [flush toilet].</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ST251Q06JA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Musical instruments (e.g. guitar, piano, [country-specific example]).</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ST251Q07JA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items are there at your [home]: Works of art (e.g. paintings, sculptures, [country-specific example]).</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ST253Q01JA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[digital devices] with screens are there in your [home]?</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There are no &lt;digital devices&gt; with screens.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One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Two</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Three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Four</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6 Five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7 6 to 10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8 More than 10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Televisions.</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None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1 or 2</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3 - 5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More than 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I don’t know.</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Desktop computers.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Laptop computers or notebooks.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Tablets (e.g. [iPad®], [BlackBerry® Playbook™]).</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ST254Q05JA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E-book readers (e.g. [Kindle™], [Kobo], [Bookeen]).</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ST254Q06JA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 following [digital devices] are in your [home]: [Cell phones] with Internet access (i.e. smartphones).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ST255Q01JA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books are there in your [home]?</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There are no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1 - 10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11 - 25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26 - 100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5 101 - 200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6 201 - 500 books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7 More than 500 books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Religious books (e.g. [Bible], [Example 2]).</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None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1 or 2</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3 - 5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More than 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I don’t know.</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Classical literature (e.g. [Shakespeare], [Example 2]),</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Contemporary literature.</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ST256Q06JA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Books on science.</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ST256Q07JA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Books on art, music, or design.</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ST256Q08JA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[Technical reference books].</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ST256Q09JA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many of these books at [home]: Dictionaries.</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default" w:ascii="Times New Roman" w:hAnsi="Times New Roman" w:eastAsia="宋体" w:cs="Times New Roman"/>
                <w:i/>
                <w:iCs/>
                <w:color w:val="222222"/>
                <w:spacing w:val="0"/>
                <w:sz w:val="24"/>
                <w:szCs w:val="24"/>
                <w:shd w:val="clear" w:fill="FFFFFF"/>
                <w:vertAlign w:val="baseline"/>
                <w:lang w:val="en-US" w:eastAsia="zh-CN"/>
              </w:rPr>
              <w:t>Index of Economic, Social and Cultural Status (ESCS)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eastAsia" w:ascii="Times New Roman" w:hAnsi="Times New Roman" w:eastAsia="宋体" w:cs="Times New Roman"/>
                <w:i/>
                <w:iCs/>
                <w:color w:val="222222"/>
                <w:spacing w:val="0"/>
                <w:sz w:val="24"/>
                <w:szCs w:val="24"/>
                <w:shd w:val="clear" w:fill="FFFFFF"/>
                <w:vertAlign w:val="baseline"/>
                <w:lang w:val="en-US" w:eastAsia="zh-CN"/>
              </w:rPr>
              <w:t>H</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ighest </w:t>
            </w:r>
            <w:r>
              <w:rPr>
                <w:rFonts w:hint="eastAsia" w:ascii="Times New Roman" w:hAnsi="Times New Roman" w:eastAsia="宋体" w:cs="Times New Roman"/>
                <w:i/>
                <w:iCs/>
                <w:color w:val="222222"/>
                <w:spacing w:val="0"/>
                <w:sz w:val="24"/>
                <w:szCs w:val="24"/>
                <w:shd w:val="clear" w:fill="FFFFFF"/>
                <w:vertAlign w:val="baseline"/>
                <w:lang w:val="en-US" w:eastAsia="zh-CN"/>
              </w:rPr>
              <w:t>E</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ducation of </w:t>
            </w:r>
            <w:r>
              <w:rPr>
                <w:rFonts w:hint="eastAsia" w:ascii="Times New Roman" w:hAnsi="Times New Roman" w:eastAsia="宋体" w:cs="Times New Roman"/>
                <w:i/>
                <w:iCs/>
                <w:color w:val="222222"/>
                <w:spacing w:val="0"/>
                <w:sz w:val="24"/>
                <w:szCs w:val="24"/>
                <w:shd w:val="clear" w:fill="FFFFFF"/>
                <w:vertAlign w:val="baseline"/>
                <w:lang w:val="en-US" w:eastAsia="zh-CN"/>
              </w:rPr>
              <w:t>P</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arents in </w:t>
            </w:r>
            <w:r>
              <w:rPr>
                <w:rFonts w:hint="eastAsia" w:ascii="Times New Roman" w:hAnsi="Times New Roman" w:eastAsia="宋体" w:cs="Times New Roman"/>
                <w:i/>
                <w:iCs/>
                <w:color w:val="222222"/>
                <w:spacing w:val="0"/>
                <w:sz w:val="24"/>
                <w:szCs w:val="24"/>
                <w:shd w:val="clear" w:fill="FFFFFF"/>
                <w:vertAlign w:val="baseline"/>
                <w:lang w:val="en-US" w:eastAsia="zh-CN"/>
              </w:rPr>
              <w:t>Y</w:t>
            </w:r>
            <w:r>
              <w:rPr>
                <w:rFonts w:hint="default" w:ascii="Times New Roman" w:hAnsi="Times New Roman" w:eastAsia="宋体" w:cs="Times New Roman"/>
                <w:i/>
                <w:iCs/>
                <w:color w:val="222222"/>
                <w:spacing w:val="0"/>
                <w:sz w:val="24"/>
                <w:szCs w:val="24"/>
                <w:shd w:val="clear" w:fill="FFFFFF"/>
                <w:vertAlign w:val="baseline"/>
                <w:lang w:val="en-US" w:eastAsia="zh-CN"/>
              </w:rPr>
              <w:t>ears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ST005Q01JA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What is the [highest level of schooling] completed by your mother?</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&lt;ISCED level 3.4&gt;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&lt;ISCED level 3.3&gt;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&lt;ISCED level 2&gt;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&lt;ISCED level 1&gt;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She did not complete &lt;ISCED level 1&gt;.</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ST006Q01JA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mother have any of the following qualifications: [ISCED level 8].</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Yes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No</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ST006Q02JA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mother have any of the following qualifications: [ISCED level 7].</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ST006Q03JA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mother have any of the following qualifications: [ISCED level 6].</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ST006Q04JA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mother have any of the following qualifications: [ISCED level 5].</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ST006Q05JA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mother have any of the following qualifications: [ISCED level 4].</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ST007Q01JA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What is the [highest level of schooling] completed by your father?</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&lt;ISCED level 3.4&gt;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&lt;ISCED level 3.3&gt;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&lt;ISCED level 2&gt;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&lt;ISCED level 1&gt;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5 He did not complete &lt;ISCED level 1&gt;.</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ST008Q01JA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father have any of the following qualifications: [ISCED level 8].</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Yes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No</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ST008Q02JA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father have any of the following qualifications: [ISCED level 7].</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ST008Q03JA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father have any of the following qualifications: [ISCED level 6].</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ST008Q04JA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father have any of the following qualifications: [ISCED level 5].</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ST008Q05JA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Does your father have any of the following qualifications: [ISCED level 4].</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default" w:ascii="Times New Roman" w:hAnsi="Times New Roman" w:eastAsia="宋体" w:cs="Times New Roman"/>
                <w:i/>
                <w:iCs/>
                <w:color w:val="222222"/>
                <w:spacing w:val="0"/>
                <w:sz w:val="24"/>
                <w:szCs w:val="24"/>
                <w:shd w:val="clear" w:fill="FFFFFF"/>
                <w:vertAlign w:val="baseline"/>
                <w:lang w:val="en-US" w:eastAsia="zh-CN"/>
              </w:rPr>
              <w:t>Index of Economic, Social and Cultural Status (ESCS)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eastAsia" w:ascii="Times New Roman" w:hAnsi="Times New Roman" w:eastAsia="宋体" w:cs="Times New Roman"/>
                <w:i/>
                <w:iCs/>
                <w:color w:val="222222"/>
                <w:spacing w:val="0"/>
                <w:sz w:val="24"/>
                <w:szCs w:val="24"/>
                <w:shd w:val="clear" w:fill="FFFFFF"/>
                <w:vertAlign w:val="baseline"/>
                <w:lang w:val="en-US" w:eastAsia="zh-CN"/>
              </w:rPr>
              <w:t>H</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ighest </w:t>
            </w:r>
            <w:r>
              <w:rPr>
                <w:rFonts w:hint="eastAsia" w:ascii="Times New Roman" w:hAnsi="Times New Roman" w:eastAsia="宋体" w:cs="Times New Roman"/>
                <w:i/>
                <w:iCs/>
                <w:color w:val="222222"/>
                <w:spacing w:val="0"/>
                <w:sz w:val="24"/>
                <w:szCs w:val="24"/>
                <w:shd w:val="clear" w:fill="FFFFFF"/>
                <w:vertAlign w:val="baseline"/>
                <w:lang w:val="en-US" w:eastAsia="zh-CN"/>
              </w:rPr>
              <w:t>P</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arental </w:t>
            </w:r>
            <w:r>
              <w:rPr>
                <w:rFonts w:hint="eastAsia" w:ascii="Times New Roman" w:hAnsi="Times New Roman" w:eastAsia="宋体" w:cs="Times New Roman"/>
                <w:i/>
                <w:iCs/>
                <w:color w:val="222222"/>
                <w:spacing w:val="0"/>
                <w:sz w:val="24"/>
                <w:szCs w:val="24"/>
                <w:shd w:val="clear" w:fill="FFFFFF"/>
                <w:vertAlign w:val="baseline"/>
                <w:lang w:val="en-US" w:eastAsia="zh-CN"/>
              </w:rPr>
              <w:t>O</w:t>
            </w:r>
            <w:r>
              <w:rPr>
                <w:rFonts w:hint="default" w:ascii="Times New Roman" w:hAnsi="Times New Roman" w:eastAsia="宋体" w:cs="Times New Roman"/>
                <w:i/>
                <w:iCs/>
                <w:color w:val="222222"/>
                <w:spacing w:val="0"/>
                <w:sz w:val="24"/>
                <w:szCs w:val="24"/>
                <w:shd w:val="clear" w:fill="FFFFFF"/>
                <w:vertAlign w:val="baseline"/>
                <w:lang w:val="en-US" w:eastAsia="zh-CN"/>
              </w:rPr>
              <w:t xml:space="preserve">ccupation </w:t>
            </w:r>
            <w:r>
              <w:rPr>
                <w:rFonts w:hint="eastAsia" w:ascii="Times New Roman" w:hAnsi="Times New Roman" w:eastAsia="宋体" w:cs="Times New Roman"/>
                <w:i/>
                <w:iCs/>
                <w:color w:val="222222"/>
                <w:spacing w:val="0"/>
                <w:sz w:val="24"/>
                <w:szCs w:val="24"/>
                <w:shd w:val="clear" w:fill="FFFFFF"/>
                <w:vertAlign w:val="baseline"/>
                <w:lang w:val="en-US" w:eastAsia="zh-CN"/>
              </w:rPr>
              <w:t>S</w:t>
            </w:r>
            <w:r>
              <w:rPr>
                <w:rFonts w:hint="default" w:ascii="Times New Roman" w:hAnsi="Times New Roman" w:eastAsia="宋体" w:cs="Times New Roman"/>
                <w:i/>
                <w:iCs/>
                <w:color w:val="222222"/>
                <w:spacing w:val="0"/>
                <w:sz w:val="24"/>
                <w:szCs w:val="24"/>
                <w:shd w:val="clear" w:fill="FFFFFF"/>
                <w:vertAlign w:val="baseline"/>
                <w:lang w:val="en-US" w:eastAsia="zh-CN"/>
              </w:rPr>
              <w:t>tatus</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eastAsia" w:ascii="Times New Roman" w:hAnsi="Times New Roman" w:eastAsia="宋体" w:cs="Times New Roman"/>
                <w:i w:val="0"/>
                <w:iCs w:val="0"/>
                <w:color w:val="222222"/>
                <w:spacing w:val="0"/>
                <w:sz w:val="24"/>
                <w:szCs w:val="24"/>
                <w:shd w:val="clear" w:fill="FFFFFF"/>
                <w:vertAlign w:val="baseline"/>
                <w:lang w:val="en-US" w:eastAsia="zh-CN"/>
              </w:rPr>
              <w:t>OCOD1</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eastAsia="宋体" w:cs="Times New Roman"/>
                <w:i/>
                <w:iCs/>
                <w:color w:val="222222"/>
                <w:spacing w:val="0"/>
                <w:sz w:val="24"/>
                <w:szCs w:val="24"/>
                <w:shd w:val="clear" w:fill="FFFFFF"/>
                <w:vertAlign w:val="baseline"/>
                <w:lang w:val="en-US" w:eastAsia="zh-CN"/>
              </w:rPr>
            </w:pPr>
            <w:r>
              <w:rPr>
                <w:rFonts w:hint="eastAsia" w:ascii="Times New Roman" w:hAnsi="Times New Roman" w:eastAsia="宋体" w:cs="Times New Roman"/>
                <w:i w:val="0"/>
                <w:iCs w:val="0"/>
                <w:color w:val="222222"/>
                <w:spacing w:val="0"/>
                <w:sz w:val="24"/>
                <w:szCs w:val="24"/>
                <w:shd w:val="clear" w:fill="FFFFFF"/>
                <w:vertAlign w:val="baseline"/>
                <w:lang w:val="en-US" w:eastAsia="zh-CN"/>
              </w:rPr>
              <w:t>ISCO-08 Occupation code - Mother</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eastAsia" w:ascii="Times New Roman" w:hAnsi="Times New Roman" w:eastAsia="宋体" w:cs="Times New Roman"/>
                <w:i w:val="0"/>
                <w:iCs w:val="0"/>
                <w:color w:val="222222"/>
                <w:spacing w:val="0"/>
                <w:sz w:val="24"/>
                <w:szCs w:val="24"/>
                <w:shd w:val="clear" w:fill="FFFFFF"/>
                <w:vertAlign w:val="baseline"/>
                <w:lang w:val="en-US" w:eastAsia="zh-CN"/>
              </w:rPr>
              <w:t xml:space="preserve">From 0 to 9999 represents different occupations </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eastAsia="宋体" w:cs="Times New Roman"/>
                <w:i w:val="0"/>
                <w:iCs w:val="0"/>
                <w:color w:val="222222"/>
                <w:spacing w:val="0"/>
                <w:sz w:val="24"/>
                <w:szCs w:val="24"/>
                <w:shd w:val="clear" w:fill="FFFFFF"/>
                <w:vertAlign w:val="baseline"/>
                <w:lang w:val="en-US" w:eastAsia="zh-CN"/>
              </w:rPr>
            </w:pPr>
            <w:r>
              <w:rPr>
                <w:rFonts w:hint="eastAsia" w:ascii="Times New Roman" w:hAnsi="Times New Roman" w:eastAsia="宋体" w:cs="Times New Roman"/>
                <w:i w:val="0"/>
                <w:iCs w:val="0"/>
                <w:color w:val="222222"/>
                <w:spacing w:val="0"/>
                <w:sz w:val="24"/>
                <w:szCs w:val="24"/>
                <w:shd w:val="clear" w:fill="FFFFFF"/>
                <w:vertAlign w:val="baseline"/>
                <w:lang w:val="en-US" w:eastAsia="zh-CN"/>
              </w:rPr>
              <w:t>OCOD2</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eastAsia="宋体" w:cs="Times New Roman"/>
                <w:i w:val="0"/>
                <w:iCs w:val="0"/>
                <w:color w:val="222222"/>
                <w:spacing w:val="0"/>
                <w:sz w:val="24"/>
                <w:szCs w:val="24"/>
                <w:shd w:val="clear" w:fill="FFFFFF"/>
                <w:vertAlign w:val="baseline"/>
                <w:lang w:val="en-US" w:eastAsia="zh-CN"/>
              </w:rPr>
            </w:pPr>
            <w:r>
              <w:rPr>
                <w:rFonts w:hint="eastAsia" w:ascii="Times New Roman" w:hAnsi="Times New Roman" w:eastAsia="宋体" w:cs="Times New Roman"/>
                <w:i w:val="0"/>
                <w:iCs w:val="0"/>
                <w:color w:val="222222"/>
                <w:spacing w:val="0"/>
                <w:sz w:val="24"/>
                <w:szCs w:val="24"/>
                <w:shd w:val="clear" w:fill="FFFFFF"/>
                <w:vertAlign w:val="baseline"/>
                <w:lang w:val="en-US" w:eastAsia="zh-CN"/>
              </w:rPr>
              <w:t>ISCO-08 Occupation code - Father</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iCs/>
                <w:color w:val="222222"/>
                <w:spacing w:val="0"/>
                <w:sz w:val="24"/>
                <w:szCs w:val="24"/>
                <w:shd w:val="clear" w:fill="FFFFFF"/>
                <w:vertAlign w:val="baseline"/>
                <w:lang w:val="en-US" w:eastAsia="zh-CN"/>
              </w:rPr>
            </w:pPr>
            <w:r>
              <w:rPr>
                <w:rFonts w:hint="eastAsia" w:ascii="Times New Roman" w:hAnsi="Times New Roman" w:eastAsia="宋体" w:cs="Times New Roman"/>
                <w:i/>
                <w:iCs/>
                <w:color w:val="222222"/>
                <w:spacing w:val="0"/>
                <w:sz w:val="24"/>
                <w:szCs w:val="24"/>
                <w:shd w:val="clear" w:fill="FFFFFF"/>
                <w:vertAlign w:val="baseline"/>
                <w:lang w:val="en-US" w:eastAsia="zh-CN"/>
              </w:rPr>
              <w:t>Mathematics Teacher Support</w:t>
            </w:r>
          </w:p>
        </w:tc>
        <w:tc>
          <w:tcPr>
            <w:tcW w:w="234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ST270Q01JA</w:t>
            </w: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often: The teacher shows an interest in every student's learning.</w:t>
            </w:r>
          </w:p>
        </w:tc>
        <w:tc>
          <w:tcPr>
            <w:tcW w:w="2347" w:type="dxa"/>
            <w:vMerge w:val="restart"/>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Every lesson</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Most lessons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Some lessons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Never or almost never</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ST270Q02JA</w:t>
            </w: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often: The teacher gives extra help when students need it.</w:t>
            </w:r>
          </w:p>
        </w:tc>
        <w:tc>
          <w:tcPr>
            <w:tcW w:w="2347" w:type="dxa"/>
            <w:vMerge w:val="continue"/>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ST270Q03JA</w:t>
            </w: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often: The teacher helps students with their learning.</w:t>
            </w:r>
          </w:p>
        </w:tc>
        <w:tc>
          <w:tcPr>
            <w:tcW w:w="2347" w:type="dxa"/>
            <w:vMerge w:val="continue"/>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ST270Q04JA</w:t>
            </w:r>
          </w:p>
        </w:tc>
        <w:tc>
          <w:tcPr>
            <w:tcW w:w="4638" w:type="dxa"/>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How often: The teacher continues teaching until the students understand.</w:t>
            </w:r>
          </w:p>
        </w:tc>
        <w:tc>
          <w:tcPr>
            <w:tcW w:w="2347" w:type="dxa"/>
            <w:vMerge w:val="continue"/>
            <w:tcBorders>
              <w:tl2br w:val="nil"/>
              <w:tr2bl w:val="nil"/>
            </w:tcBorders>
            <w:shd w:val="clear" w:color="auto" w:fill="auto"/>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eastAsia" w:ascii="Times New Roman" w:hAnsi="Times New Roman" w:eastAsia="宋体" w:cs="Times New Roman"/>
                <w:i/>
                <w:iCs/>
                <w:color w:val="222222"/>
                <w:spacing w:val="0"/>
                <w:sz w:val="24"/>
                <w:szCs w:val="24"/>
                <w:shd w:val="clear" w:fill="FFFFFF"/>
                <w:vertAlign w:val="baseline"/>
                <w:lang w:val="en-US" w:eastAsia="zh-CN"/>
              </w:rPr>
              <w:t>Mathematics Anxiety</w:t>
            </w:r>
          </w:p>
        </w:tc>
        <w:tc>
          <w:tcPr>
            <w:tcW w:w="234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ST292Q01JA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often worry that it will be difficult for me in mathematics classes.</w:t>
            </w:r>
          </w:p>
        </w:tc>
        <w:tc>
          <w:tcPr>
            <w:tcW w:w="2347" w:type="dxa"/>
            <w:vMerge w:val="restart"/>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Strongly 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Disagree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Strongly disagree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ST292Q02JA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get very tense when I have to do mathematics homework.</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ST292Q03JA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get very nervous doing mathematics problems.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ST292Q04JA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feel helpless when doing a mathematics problem.</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ST292Q05JA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worry that I will get poor [marks] in mathematics.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ST292Q06JA</w:t>
            </w:r>
          </w:p>
        </w:tc>
        <w:tc>
          <w:tcPr>
            <w:tcW w:w="4638" w:type="dxa"/>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I feel anxious about failing in mathematics.</w:t>
            </w:r>
          </w:p>
        </w:tc>
        <w:tc>
          <w:tcPr>
            <w:tcW w:w="2347" w:type="dxa"/>
            <w:vMerge w:val="continue"/>
            <w:tcBorders>
              <w:tl2br w:val="nil"/>
              <w:tr2bl w:val="nil"/>
            </w:tcBorders>
            <w:shd w:val="clear" w:color="auto" w:fill="F1F1F1" w:themeFill="background1" w:themeFillShade="F2"/>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c>
          <w:tcPr>
            <w:tcW w:w="4638"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iCs/>
                <w:color w:val="222222"/>
                <w:spacing w:val="0"/>
                <w:sz w:val="24"/>
                <w:szCs w:val="24"/>
                <w:shd w:val="clear" w:fill="FFFFFF"/>
                <w:vertAlign w:val="baseline"/>
                <w:lang w:val="en-US" w:eastAsia="zh-CN"/>
              </w:rPr>
              <w:t>Growth mindset</w:t>
            </w:r>
          </w:p>
        </w:tc>
        <w:tc>
          <w:tcPr>
            <w:tcW w:w="234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ST263Q02JA</w:t>
            </w:r>
          </w:p>
        </w:tc>
        <w:tc>
          <w:tcPr>
            <w:tcW w:w="4638"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Your intelligence is something about you that you cannot change very much.</w:t>
            </w:r>
          </w:p>
        </w:tc>
        <w:tc>
          <w:tcPr>
            <w:tcW w:w="2347" w:type="dxa"/>
            <w:vMerge w:val="restart"/>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1 Strongly disagree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2 Disagree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3 Agree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4 Strongly agree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ST263Q04JA</w:t>
            </w:r>
          </w:p>
        </w:tc>
        <w:tc>
          <w:tcPr>
            <w:tcW w:w="4638"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Some people are just not good at mathematics, no matter how hard they study.</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ST263Q06JA</w:t>
            </w:r>
          </w:p>
        </w:tc>
        <w:tc>
          <w:tcPr>
            <w:tcW w:w="4638"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Some people are just not good in [test language], no matter how hard they study.</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PrEx>
        <w:tc>
          <w:tcPr>
            <w:tcW w:w="1537"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ST263Q08JA</w:t>
            </w:r>
          </w:p>
        </w:tc>
        <w:tc>
          <w:tcPr>
            <w:tcW w:w="4638" w:type="dxa"/>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Agree/disagree: Your creativity is something about you that you cannot change very much.</w:t>
            </w:r>
          </w:p>
        </w:tc>
        <w:tc>
          <w:tcPr>
            <w:tcW w:w="2347" w:type="dxa"/>
            <w:vMerge w:val="continue"/>
            <w:tcBorders>
              <w:tl2br w:val="nil"/>
              <w:tr2bl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p>
        </w:tc>
      </w:tr>
    </w:tbl>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i w:val="0"/>
          <w:iCs w:val="0"/>
          <w:color w:val="222222"/>
          <w:spacing w:val="0"/>
          <w:sz w:val="24"/>
          <w:szCs w:val="24"/>
          <w:shd w:val="clear" w:fill="FFFFFF"/>
          <w:lang w:val="en-US" w:eastAsia="zh-CN"/>
        </w:rPr>
      </w:pPr>
      <w:r>
        <w:rPr>
          <w:rFonts w:hint="default" w:ascii="Times New Roman" w:hAnsi="Times New Roman" w:eastAsia="宋体" w:cs="Times New Roman"/>
          <w:i w:val="0"/>
          <w:iCs w:val="0"/>
          <w:color w:val="222222"/>
          <w:spacing w:val="0"/>
          <w:sz w:val="24"/>
          <w:szCs w:val="24"/>
          <w:shd w:val="clear" w:fill="FFFFFF"/>
          <w:lang w:val="en-US" w:eastAsia="zh-CN"/>
        </w:rPr>
        <w:br w:type="page"/>
      </w:r>
    </w:p>
    <w:p>
      <w:pPr>
        <w:keepNext w:val="0"/>
        <w:keepLines w:val="0"/>
        <w:pageBreakBefore w:val="0"/>
        <w:widowControl w:val="0"/>
        <w:tabs>
          <w:tab w:val="left" w:pos="7009"/>
        </w:tabs>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黑体" w:cs="Times New Roman"/>
          <w:b/>
          <w:bCs/>
          <w:i w:val="0"/>
          <w:iCs w:val="0"/>
          <w:color w:val="222222"/>
          <w:spacing w:val="0"/>
          <w:sz w:val="24"/>
          <w:szCs w:val="24"/>
          <w:shd w:val="clear" w:fill="FFFFFF"/>
          <w:lang w:val="en-US" w:eastAsia="zh-CN"/>
        </w:rPr>
        <w:t xml:space="preserve">Table </w:t>
      </w:r>
      <w:r>
        <w:rPr>
          <w:rFonts w:hint="eastAsia" w:ascii="Times New Roman" w:hAnsi="Times New Roman" w:eastAsia="黑体" w:cs="Times New Roman"/>
          <w:b/>
          <w:bCs/>
          <w:i w:val="0"/>
          <w:iCs w:val="0"/>
          <w:color w:val="222222"/>
          <w:spacing w:val="0"/>
          <w:sz w:val="24"/>
          <w:szCs w:val="24"/>
          <w:shd w:val="clear" w:fill="FFFFFF"/>
          <w:lang w:val="en-US" w:eastAsia="zh-CN"/>
        </w:rPr>
        <w:t>A</w:t>
      </w:r>
      <w:r>
        <w:rPr>
          <w:rFonts w:hint="default" w:ascii="Times New Roman" w:hAnsi="Times New Roman" w:eastAsia="黑体" w:cs="Times New Roman"/>
          <w:b/>
          <w:bCs/>
          <w:i w:val="0"/>
          <w:iCs w:val="0"/>
          <w:color w:val="222222"/>
          <w:spacing w:val="0"/>
          <w:sz w:val="24"/>
          <w:szCs w:val="24"/>
          <w:shd w:val="clear" w:fill="FFFFFF"/>
          <w:lang w:val="en-US" w:eastAsia="zh-CN"/>
        </w:rPr>
        <w:t>2</w:t>
      </w:r>
      <w:r>
        <w:rPr>
          <w:rFonts w:hint="default" w:ascii="Times New Roman" w:hAnsi="Times New Roman" w:eastAsia="宋体" w:cs="Times New Roman"/>
          <w:i w:val="0"/>
          <w:iCs w:val="0"/>
          <w:color w:val="222222"/>
          <w:spacing w:val="0"/>
          <w:sz w:val="24"/>
          <w:szCs w:val="24"/>
          <w:shd w:val="clear" w:fill="FFFFFF"/>
          <w:lang w:val="en-US" w:eastAsia="zh-CN"/>
        </w:rPr>
        <w:t xml:space="preserve"> PISA2022 </w:t>
      </w:r>
      <w:r>
        <w:rPr>
          <w:rFonts w:hint="eastAsia" w:ascii="Times New Roman" w:hAnsi="Times New Roman" w:eastAsia="宋体" w:cs="Times New Roman"/>
          <w:i w:val="0"/>
          <w:iCs w:val="0"/>
          <w:color w:val="222222"/>
          <w:spacing w:val="0"/>
          <w:sz w:val="24"/>
          <w:szCs w:val="24"/>
          <w:shd w:val="clear" w:fill="FFFFFF"/>
          <w:lang w:val="en-US" w:eastAsia="zh-CN"/>
        </w:rPr>
        <w:t>D</w:t>
      </w:r>
      <w:r>
        <w:rPr>
          <w:rFonts w:hint="default" w:ascii="Times New Roman" w:hAnsi="Times New Roman" w:eastAsia="宋体" w:cs="Times New Roman"/>
          <w:i w:val="0"/>
          <w:iCs w:val="0"/>
          <w:color w:val="222222"/>
          <w:spacing w:val="0"/>
          <w:sz w:val="24"/>
          <w:szCs w:val="24"/>
          <w:shd w:val="clear" w:fill="FFFFFF"/>
          <w:lang w:val="en-US" w:eastAsia="zh-CN"/>
        </w:rPr>
        <w:t xml:space="preserve">escriptive </w:t>
      </w:r>
      <w:r>
        <w:rPr>
          <w:rFonts w:hint="eastAsia" w:ascii="Times New Roman" w:hAnsi="Times New Roman" w:eastAsia="宋体" w:cs="Times New Roman"/>
          <w:i w:val="0"/>
          <w:iCs w:val="0"/>
          <w:color w:val="222222"/>
          <w:spacing w:val="0"/>
          <w:sz w:val="24"/>
          <w:szCs w:val="24"/>
          <w:shd w:val="clear" w:fill="FFFFFF"/>
          <w:lang w:val="en-US" w:eastAsia="zh-CN"/>
        </w:rPr>
        <w:t>S</w:t>
      </w:r>
      <w:r>
        <w:rPr>
          <w:rFonts w:hint="default" w:ascii="Times New Roman" w:hAnsi="Times New Roman" w:eastAsia="宋体" w:cs="Times New Roman"/>
          <w:i w:val="0"/>
          <w:iCs w:val="0"/>
          <w:color w:val="222222"/>
          <w:spacing w:val="0"/>
          <w:sz w:val="24"/>
          <w:szCs w:val="24"/>
          <w:shd w:val="clear" w:fill="FFFFFF"/>
          <w:lang w:val="en-US" w:eastAsia="zh-CN"/>
        </w:rPr>
        <w:t xml:space="preserve">tatistics of </w:t>
      </w:r>
      <w:r>
        <w:rPr>
          <w:rFonts w:hint="eastAsia" w:ascii="Times New Roman" w:hAnsi="Times New Roman" w:eastAsia="宋体" w:cs="Times New Roman"/>
          <w:i w:val="0"/>
          <w:iCs w:val="0"/>
          <w:color w:val="222222"/>
          <w:spacing w:val="0"/>
          <w:sz w:val="24"/>
          <w:szCs w:val="24"/>
          <w:shd w:val="clear" w:fill="FFFFFF"/>
          <w:lang w:val="en-US" w:eastAsia="zh-CN"/>
        </w:rPr>
        <w:t>S</w:t>
      </w:r>
      <w:r>
        <w:rPr>
          <w:rFonts w:hint="default" w:ascii="Times New Roman" w:hAnsi="Times New Roman" w:eastAsia="宋体" w:cs="Times New Roman"/>
          <w:i w:val="0"/>
          <w:iCs w:val="0"/>
          <w:color w:val="222222"/>
          <w:spacing w:val="0"/>
          <w:sz w:val="24"/>
          <w:szCs w:val="24"/>
          <w:shd w:val="clear" w:fill="FFFFFF"/>
          <w:lang w:val="en-US" w:eastAsia="zh-CN"/>
        </w:rPr>
        <w:t xml:space="preserve">tudent </w:t>
      </w:r>
      <w:r>
        <w:rPr>
          <w:rFonts w:hint="eastAsia" w:ascii="Times New Roman" w:hAnsi="Times New Roman" w:eastAsia="宋体" w:cs="Times New Roman"/>
          <w:i w:val="0"/>
          <w:iCs w:val="0"/>
          <w:color w:val="222222"/>
          <w:spacing w:val="0"/>
          <w:sz w:val="24"/>
          <w:szCs w:val="24"/>
          <w:shd w:val="clear" w:fill="FFFFFF"/>
          <w:lang w:val="en-US" w:eastAsia="zh-CN"/>
        </w:rPr>
        <w:t>I</w:t>
      </w:r>
      <w:r>
        <w:rPr>
          <w:rFonts w:hint="default" w:ascii="Times New Roman" w:hAnsi="Times New Roman" w:eastAsia="宋体" w:cs="Times New Roman"/>
          <w:i w:val="0"/>
          <w:iCs w:val="0"/>
          <w:color w:val="222222"/>
          <w:spacing w:val="0"/>
          <w:sz w:val="24"/>
          <w:szCs w:val="24"/>
          <w:shd w:val="clear" w:fill="FFFFFF"/>
          <w:lang w:val="en-US" w:eastAsia="zh-CN"/>
        </w:rPr>
        <w:t xml:space="preserve">ndividual </w:t>
      </w:r>
      <w:r>
        <w:rPr>
          <w:rFonts w:hint="eastAsia" w:ascii="Times New Roman" w:hAnsi="Times New Roman" w:eastAsia="宋体" w:cs="Times New Roman"/>
          <w:i w:val="0"/>
          <w:iCs w:val="0"/>
          <w:color w:val="222222"/>
          <w:spacing w:val="0"/>
          <w:sz w:val="24"/>
          <w:szCs w:val="24"/>
          <w:shd w:val="clear" w:fill="FFFFFF"/>
          <w:lang w:val="en-US" w:eastAsia="zh-CN"/>
        </w:rPr>
        <w:t>C</w:t>
      </w:r>
      <w:r>
        <w:rPr>
          <w:rFonts w:hint="default" w:ascii="Times New Roman" w:hAnsi="Times New Roman" w:eastAsia="宋体" w:cs="Times New Roman"/>
          <w:i w:val="0"/>
          <w:iCs w:val="0"/>
          <w:color w:val="222222"/>
          <w:spacing w:val="0"/>
          <w:sz w:val="24"/>
          <w:szCs w:val="24"/>
          <w:shd w:val="clear" w:fill="FFFFFF"/>
          <w:lang w:val="en-US" w:eastAsia="zh-CN"/>
        </w:rPr>
        <w:t xml:space="preserve">haracteristics, </w:t>
      </w:r>
      <w:r>
        <w:rPr>
          <w:rFonts w:hint="eastAsia" w:ascii="Times New Roman" w:hAnsi="Times New Roman" w:eastAsia="宋体" w:cs="Times New Roman"/>
          <w:i w:val="0"/>
          <w:iCs w:val="0"/>
          <w:color w:val="222222"/>
          <w:spacing w:val="0"/>
          <w:sz w:val="24"/>
          <w:szCs w:val="24"/>
          <w:shd w:val="clear" w:fill="FFFFFF"/>
          <w:lang w:val="en-US" w:eastAsia="zh-CN"/>
        </w:rPr>
        <w:t>S</w:t>
      </w:r>
      <w:r>
        <w:rPr>
          <w:rFonts w:hint="default" w:ascii="Times New Roman" w:hAnsi="Times New Roman" w:eastAsia="宋体" w:cs="Times New Roman"/>
          <w:i w:val="0"/>
          <w:iCs w:val="0"/>
          <w:color w:val="222222"/>
          <w:spacing w:val="0"/>
          <w:sz w:val="24"/>
          <w:szCs w:val="24"/>
          <w:shd w:val="clear" w:fill="FFFFFF"/>
          <w:lang w:val="en-US" w:eastAsia="zh-CN"/>
        </w:rPr>
        <w:t xml:space="preserve">tudent </w:t>
      </w:r>
      <w:r>
        <w:rPr>
          <w:rFonts w:hint="eastAsia" w:ascii="Times New Roman" w:hAnsi="Times New Roman" w:eastAsia="宋体" w:cs="Times New Roman"/>
          <w:i w:val="0"/>
          <w:iCs w:val="0"/>
          <w:color w:val="222222"/>
          <w:spacing w:val="0"/>
          <w:sz w:val="24"/>
          <w:szCs w:val="24"/>
          <w:shd w:val="clear" w:fill="FFFFFF"/>
          <w:lang w:val="en-US" w:eastAsia="zh-CN"/>
        </w:rPr>
        <w:t>L</w:t>
      </w:r>
      <w:r>
        <w:rPr>
          <w:rFonts w:hint="default" w:ascii="Times New Roman" w:hAnsi="Times New Roman" w:eastAsia="宋体" w:cs="Times New Roman"/>
          <w:i w:val="0"/>
          <w:iCs w:val="0"/>
          <w:color w:val="222222"/>
          <w:spacing w:val="0"/>
          <w:sz w:val="24"/>
          <w:szCs w:val="24"/>
          <w:shd w:val="clear" w:fill="FFFFFF"/>
          <w:lang w:val="en-US" w:eastAsia="zh-CN"/>
        </w:rPr>
        <w:t xml:space="preserve">earning </w:t>
      </w:r>
      <w:r>
        <w:rPr>
          <w:rFonts w:hint="eastAsia" w:ascii="Times New Roman" w:hAnsi="Times New Roman" w:eastAsia="宋体" w:cs="Times New Roman"/>
          <w:i w:val="0"/>
          <w:iCs w:val="0"/>
          <w:color w:val="222222"/>
          <w:spacing w:val="0"/>
          <w:sz w:val="24"/>
          <w:szCs w:val="24"/>
          <w:shd w:val="clear" w:fill="FFFFFF"/>
          <w:lang w:val="en-US" w:eastAsia="zh-CN"/>
        </w:rPr>
        <w:t>P</w:t>
      </w:r>
      <w:r>
        <w:rPr>
          <w:rFonts w:hint="default" w:ascii="Times New Roman" w:hAnsi="Times New Roman" w:eastAsia="宋体" w:cs="Times New Roman"/>
          <w:i w:val="0"/>
          <w:iCs w:val="0"/>
          <w:color w:val="222222"/>
          <w:spacing w:val="0"/>
          <w:sz w:val="24"/>
          <w:szCs w:val="24"/>
          <w:shd w:val="clear" w:fill="FFFFFF"/>
          <w:lang w:val="en-US" w:eastAsia="zh-CN"/>
        </w:rPr>
        <w:t xml:space="preserve">rocess and </w:t>
      </w:r>
      <w:r>
        <w:rPr>
          <w:rFonts w:hint="eastAsia" w:ascii="Times New Roman" w:hAnsi="Times New Roman" w:eastAsia="宋体" w:cs="Times New Roman"/>
          <w:i w:val="0"/>
          <w:iCs w:val="0"/>
          <w:color w:val="222222"/>
          <w:spacing w:val="0"/>
          <w:sz w:val="24"/>
          <w:szCs w:val="24"/>
          <w:shd w:val="clear" w:fill="FFFFFF"/>
          <w:lang w:val="en-US" w:eastAsia="zh-CN"/>
        </w:rPr>
        <w:t>M</w:t>
      </w:r>
      <w:r>
        <w:rPr>
          <w:rFonts w:hint="default" w:ascii="Times New Roman" w:hAnsi="Times New Roman" w:eastAsia="宋体" w:cs="Times New Roman"/>
          <w:i w:val="0"/>
          <w:iCs w:val="0"/>
          <w:color w:val="222222"/>
          <w:spacing w:val="0"/>
          <w:sz w:val="24"/>
          <w:szCs w:val="24"/>
          <w:shd w:val="clear" w:fill="FFFFFF"/>
          <w:lang w:val="en-US" w:eastAsia="zh-CN"/>
        </w:rPr>
        <w:t xml:space="preserve">athematics </w:t>
      </w:r>
      <w:r>
        <w:rPr>
          <w:rFonts w:hint="eastAsia" w:ascii="Times New Roman" w:hAnsi="Times New Roman" w:eastAsia="宋体" w:cs="Times New Roman"/>
          <w:i w:val="0"/>
          <w:iCs w:val="0"/>
          <w:color w:val="222222"/>
          <w:spacing w:val="0"/>
          <w:sz w:val="24"/>
          <w:szCs w:val="24"/>
          <w:shd w:val="clear" w:fill="FFFFFF"/>
          <w:lang w:val="en-US" w:eastAsia="zh-CN"/>
        </w:rPr>
        <w:t>A</w:t>
      </w:r>
      <w:r>
        <w:rPr>
          <w:rFonts w:hint="default" w:ascii="Times New Roman" w:hAnsi="Times New Roman" w:eastAsia="宋体" w:cs="Times New Roman"/>
          <w:i w:val="0"/>
          <w:iCs w:val="0"/>
          <w:color w:val="222222"/>
          <w:spacing w:val="0"/>
          <w:sz w:val="24"/>
          <w:szCs w:val="24"/>
          <w:shd w:val="clear" w:fill="FFFFFF"/>
          <w:lang w:val="en-US" w:eastAsia="zh-CN"/>
        </w:rPr>
        <w:t>chievements in the UK</w:t>
      </w:r>
    </w:p>
    <w:tbl>
      <w:tblPr>
        <w:tblStyle w:val="5"/>
        <w:tblW w:w="865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19"/>
        <w:gridCol w:w="852"/>
        <w:gridCol w:w="1236"/>
        <w:gridCol w:w="1284"/>
        <w:gridCol w:w="912"/>
        <w:gridCol w:w="7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Label</w:t>
            </w:r>
          </w:p>
        </w:tc>
        <w:tc>
          <w:tcPr>
            <w:tcW w:w="852"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N</w:t>
            </w:r>
          </w:p>
        </w:tc>
        <w:tc>
          <w:tcPr>
            <w:tcW w:w="1236"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Minimum</w:t>
            </w:r>
          </w:p>
        </w:tc>
        <w:tc>
          <w:tcPr>
            <w:tcW w:w="1284"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Maximum</w:t>
            </w:r>
          </w:p>
        </w:tc>
        <w:tc>
          <w:tcPr>
            <w:tcW w:w="912"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M</w:t>
            </w:r>
          </w:p>
        </w:tc>
        <w:tc>
          <w:tcPr>
            <w:tcW w:w="756" w:type="dxa"/>
            <w:tcBorders>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eastAsia="宋体" w:cs="Times New Roman"/>
                <w:i w:val="0"/>
                <w:iCs w:val="0"/>
                <w:color w:val="222222"/>
                <w:spacing w:val="0"/>
                <w:sz w:val="24"/>
                <w:szCs w:val="24"/>
                <w:shd w:val="clear" w:fill="FFFFFF"/>
                <w:vertAlign w:val="baseline"/>
                <w:lang w:val="en-US" w:eastAsia="zh-CN"/>
              </w:rPr>
              <w:t>SD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Student Standardized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Gender</w:t>
            </w:r>
          </w:p>
        </w:tc>
        <w:tc>
          <w:tcPr>
            <w:tcW w:w="852"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0</w:t>
            </w:r>
          </w:p>
        </w:tc>
        <w:tc>
          <w:tcPr>
            <w:tcW w:w="1284"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w:t>
            </w:r>
          </w:p>
        </w:tc>
        <w:tc>
          <w:tcPr>
            <w:tcW w:w="912"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.51</w:t>
            </w:r>
          </w:p>
        </w:tc>
        <w:tc>
          <w:tcPr>
            <w:tcW w:w="756" w:type="dxa"/>
            <w:tcBorders>
              <w:top w:val="single" w:color="auto" w:sz="4" w:space="0"/>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Index of economic, social and cultural status</w:t>
            </w:r>
            <w:r>
              <w:rPr>
                <w:rFonts w:hint="eastAsia" w:ascii="Times New Roman" w:hAnsi="Times New Roman" w:cs="Times New Roman"/>
                <w:sz w:val="24"/>
                <w:szCs w:val="24"/>
                <w:lang w:val="en-US" w:eastAsia="zh-CN"/>
              </w:rPr>
              <w:t xml:space="preserve"> (ESCS)</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11084</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rPr>
              <w:t>-5.9</w:t>
            </w:r>
            <w:r>
              <w:rPr>
                <w:rFonts w:hint="eastAsia" w:ascii="Times New Roman" w:hAnsi="Times New Roman" w:cs="Times New Roman"/>
                <w:sz w:val="24"/>
                <w:szCs w:val="24"/>
                <w:lang w:val="en-US" w:eastAsia="zh-CN"/>
              </w:rPr>
              <w:t>1</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3.50</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rPr>
              <w:t>.1</w:t>
            </w:r>
            <w:r>
              <w:rPr>
                <w:rFonts w:hint="eastAsia" w:ascii="Times New Roman" w:hAnsi="Times New Roman" w:cs="Times New Roman"/>
                <w:sz w:val="24"/>
                <w:szCs w:val="24"/>
                <w:lang w:val="en-US" w:eastAsia="zh-CN"/>
              </w:rPr>
              <w:t>2</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rPr>
              <w:t>.8</w:t>
            </w:r>
            <w:r>
              <w:rPr>
                <w:rFonts w:hint="eastAsia" w:ascii="Times New Roman" w:hAnsi="Times New Roman" w:cs="Times New Roman"/>
                <w:sz w:val="24"/>
                <w:szCs w:val="24"/>
                <w:lang w:val="en-US"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Mathematics Teacher Support (</w:t>
            </w:r>
            <w:r>
              <w:rPr>
                <w:rFonts w:hint="eastAsia" w:ascii="Times New Roman" w:hAnsi="Times New Roman" w:cs="Times New Roman"/>
                <w:sz w:val="24"/>
                <w:szCs w:val="24"/>
                <w:lang w:val="en-US" w:eastAsia="zh-CN"/>
              </w:rPr>
              <w:t>TEACHSUP</w:t>
            </w:r>
            <w:r>
              <w:rPr>
                <w:rFonts w:hint="default" w:ascii="Times New Roman" w:hAnsi="Times New Roman" w:cs="Times New Roman"/>
                <w:sz w:val="24"/>
                <w:szCs w:val="24"/>
              </w:rPr>
              <w:t>)</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10600</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-2.9</w:t>
            </w:r>
            <w:r>
              <w:rPr>
                <w:rFonts w:hint="eastAsia" w:ascii="Times New Roman" w:hAnsi="Times New Roman" w:cs="Times New Roman"/>
                <w:sz w:val="24"/>
                <w:szCs w:val="24"/>
                <w:lang w:val="en-US" w:eastAsia="zh-CN"/>
              </w:rPr>
              <w:t>1</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1.5</w:t>
            </w:r>
            <w:r>
              <w:rPr>
                <w:rFonts w:hint="eastAsia" w:ascii="Times New Roman" w:hAnsi="Times New Roman" w:cs="Times New Roman"/>
                <w:sz w:val="24"/>
                <w:szCs w:val="24"/>
                <w:lang w:val="en-US" w:eastAsia="zh-CN"/>
              </w:rPr>
              <w:t>6</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3</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w:t>
            </w:r>
            <w:r>
              <w:rPr>
                <w:rFonts w:hint="eastAsia" w:ascii="Times New Roman" w:hAnsi="Times New Roman" w:cs="Times New Roman"/>
                <w:sz w:val="24"/>
                <w:szCs w:val="24"/>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Mathematics Anxiety (</w:t>
            </w:r>
            <w:r>
              <w:rPr>
                <w:rFonts w:hint="eastAsia" w:ascii="Times New Roman" w:hAnsi="Times New Roman" w:cs="Times New Roman"/>
                <w:sz w:val="24"/>
                <w:szCs w:val="24"/>
                <w:lang w:val="en-US" w:eastAsia="zh-CN"/>
              </w:rPr>
              <w:t>ANXMAT</w:t>
            </w:r>
            <w:r>
              <w:rPr>
                <w:rFonts w:hint="default" w:ascii="Times New Roman" w:hAnsi="Times New Roman" w:cs="Times New Roman"/>
                <w:sz w:val="24"/>
                <w:szCs w:val="24"/>
              </w:rPr>
              <w:t>)</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10072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-2.39</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2.6</w:t>
            </w:r>
            <w:r>
              <w:rPr>
                <w:rFonts w:hint="eastAsia" w:ascii="Times New Roman" w:hAnsi="Times New Roman" w:cs="Times New Roman"/>
                <w:sz w:val="24"/>
                <w:szCs w:val="24"/>
                <w:lang w:val="en-US" w:eastAsia="zh-CN"/>
              </w:rPr>
              <w:t>4</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.09</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Growth Mindset (</w:t>
            </w:r>
            <w:r>
              <w:rPr>
                <w:rFonts w:hint="eastAsia" w:ascii="Times New Roman" w:hAnsi="Times New Roman" w:cs="Times New Roman"/>
                <w:sz w:val="24"/>
                <w:szCs w:val="24"/>
                <w:lang w:val="en-US" w:eastAsia="zh-CN"/>
              </w:rPr>
              <w:t>GROSAGR</w:t>
            </w:r>
            <w:r>
              <w:rPr>
                <w:rFonts w:hint="default" w:ascii="Times New Roman" w:hAnsi="Times New Roman" w:cs="Times New Roman"/>
                <w:sz w:val="24"/>
                <w:szCs w:val="24"/>
              </w:rPr>
              <w:t>)</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10752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-3.</w:t>
            </w:r>
            <w:r>
              <w:rPr>
                <w:rFonts w:hint="eastAsia" w:ascii="Times New Roman" w:hAnsi="Times New Roman" w:cs="Times New Roman"/>
                <w:sz w:val="24"/>
                <w:szCs w:val="24"/>
                <w:lang w:val="en-US" w:eastAsia="zh-CN"/>
              </w:rPr>
              <w:t>60</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rPr>
              <w:t>3.3</w:t>
            </w:r>
            <w:r>
              <w:rPr>
                <w:rFonts w:hint="eastAsia" w:ascii="Times New Roman" w:hAnsi="Times New Roman" w:cs="Times New Roman"/>
                <w:sz w:val="24"/>
                <w:szCs w:val="24"/>
                <w:lang w:val="en-US" w:eastAsia="zh-CN"/>
              </w:rPr>
              <w:t>6</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10</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rPr>
              <w:t>.9</w:t>
            </w:r>
            <w:r>
              <w:rPr>
                <w:rFonts w:hint="eastAsia" w:ascii="Times New Roman" w:hAnsi="Times New Roman" w:cs="Times New Roman"/>
                <w:sz w:val="24"/>
                <w:szCs w:val="24"/>
                <w:lang w:val="en-US" w:eastAsia="zh-CN"/>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1 in Mathematics</w:t>
            </w:r>
            <w:r>
              <w:rPr>
                <w:rFonts w:hint="eastAsia" w:ascii="Times New Roman" w:hAnsi="Times New Roman" w:cs="Times New Roman"/>
                <w:sz w:val="24"/>
                <w:szCs w:val="24"/>
                <w:lang w:val="en-US" w:eastAsia="zh-CN"/>
              </w:rPr>
              <w:t xml:space="preserve"> (PV1MATH)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154.8</w:t>
            </w:r>
            <w:r>
              <w:rPr>
                <w:rFonts w:hint="eastAsia" w:ascii="Times New Roman" w:hAnsi="Times New Roman" w:cs="Times New Roman"/>
                <w:sz w:val="24"/>
                <w:szCs w:val="24"/>
                <w:lang w:val="en-US" w:eastAsia="zh-CN"/>
              </w:rPr>
              <w:t>6</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853.1</w:t>
            </w:r>
            <w:r>
              <w:rPr>
                <w:rFonts w:hint="eastAsia" w:ascii="Times New Roman" w:hAnsi="Times New Roman" w:cs="Times New Roman"/>
                <w:sz w:val="24"/>
                <w:szCs w:val="24"/>
                <w:lang w:val="en-US" w:eastAsia="zh-CN"/>
              </w:rPr>
              <w:t>7</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482.54</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95.0</w:t>
            </w:r>
            <w:r>
              <w:rPr>
                <w:rFonts w:hint="eastAsia" w:ascii="Times New Roman" w:hAnsi="Times New Roman" w:cs="Times New Roman"/>
                <w:sz w:val="24"/>
                <w:szCs w:val="24"/>
                <w:lang w:val="en-US"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2 in Mathematics</w:t>
            </w:r>
            <w:r>
              <w:rPr>
                <w:rFonts w:hint="eastAsia" w:ascii="Times New Roman" w:hAnsi="Times New Roman" w:cs="Times New Roman"/>
                <w:sz w:val="24"/>
                <w:szCs w:val="24"/>
                <w:lang w:val="en-US" w:eastAsia="zh-CN"/>
              </w:rPr>
              <w:t xml:space="preserve"> (PV2MATH)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147.1</w:t>
            </w:r>
            <w:r>
              <w:rPr>
                <w:rFonts w:hint="eastAsia" w:ascii="Times New Roman" w:hAnsi="Times New Roman" w:cs="Times New Roman"/>
                <w:sz w:val="24"/>
                <w:szCs w:val="24"/>
                <w:lang w:val="en-US" w:eastAsia="zh-CN"/>
              </w:rPr>
              <w:t>5</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865.5</w:t>
            </w:r>
            <w:r>
              <w:rPr>
                <w:rFonts w:hint="eastAsia" w:ascii="Times New Roman" w:hAnsi="Times New Roman" w:cs="Times New Roman"/>
                <w:sz w:val="24"/>
                <w:szCs w:val="24"/>
                <w:lang w:val="en-US" w:eastAsia="zh-CN"/>
              </w:rPr>
              <w:t>0</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481.35</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95.3</w:t>
            </w:r>
            <w:r>
              <w:rPr>
                <w:rFonts w:hint="eastAsia" w:ascii="Times New Roman" w:hAnsi="Times New Roman" w:cs="Times New Roman"/>
                <w:sz w:val="24"/>
                <w:szCs w:val="24"/>
                <w:lang w:val="en-US" w:eastAsia="zh-CN"/>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3 in Mathematics</w:t>
            </w:r>
            <w:r>
              <w:rPr>
                <w:rFonts w:hint="eastAsia" w:ascii="Times New Roman" w:hAnsi="Times New Roman" w:cs="Times New Roman"/>
                <w:sz w:val="24"/>
                <w:szCs w:val="24"/>
                <w:lang w:val="en-US" w:eastAsia="zh-CN"/>
              </w:rPr>
              <w:t xml:space="preserve"> (PV3MATH)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128.59</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832.72</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482.0</w:t>
            </w:r>
            <w:r>
              <w:rPr>
                <w:rFonts w:hint="eastAsia" w:ascii="Times New Roman" w:hAnsi="Times New Roman" w:cs="Times New Roman"/>
                <w:sz w:val="24"/>
                <w:szCs w:val="24"/>
                <w:lang w:val="en-US" w:eastAsia="zh-CN"/>
              </w:rPr>
              <w:t>4</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95.0</w:t>
            </w:r>
            <w:r>
              <w:rPr>
                <w:rFonts w:hint="eastAsia" w:ascii="Times New Roman" w:hAnsi="Times New Roman" w:cs="Times New Roman"/>
                <w:sz w:val="24"/>
                <w:szCs w:val="24"/>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4 in Mathematics</w:t>
            </w:r>
            <w:r>
              <w:rPr>
                <w:rFonts w:hint="eastAsia" w:ascii="Times New Roman" w:hAnsi="Times New Roman" w:cs="Times New Roman"/>
                <w:sz w:val="24"/>
                <w:szCs w:val="24"/>
                <w:lang w:val="en-US" w:eastAsia="zh-CN"/>
              </w:rPr>
              <w:t xml:space="preserve"> (PV4MATH)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133.7</w:t>
            </w:r>
            <w:r>
              <w:rPr>
                <w:rFonts w:hint="eastAsia" w:ascii="Times New Roman" w:hAnsi="Times New Roman" w:cs="Times New Roman"/>
                <w:sz w:val="24"/>
                <w:szCs w:val="24"/>
                <w:lang w:val="en-US" w:eastAsia="zh-CN"/>
              </w:rPr>
              <w:t>7</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868.1</w:t>
            </w:r>
            <w:r>
              <w:rPr>
                <w:rFonts w:hint="eastAsia" w:ascii="Times New Roman" w:hAnsi="Times New Roman" w:cs="Times New Roman"/>
                <w:sz w:val="24"/>
                <w:szCs w:val="24"/>
                <w:lang w:val="en-US" w:eastAsia="zh-CN"/>
              </w:rPr>
              <w:t>4</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481.5</w:t>
            </w:r>
            <w:r>
              <w:rPr>
                <w:rFonts w:hint="eastAsia" w:ascii="Times New Roman" w:hAnsi="Times New Roman" w:cs="Times New Roman"/>
                <w:sz w:val="24"/>
                <w:szCs w:val="24"/>
                <w:lang w:val="en-US" w:eastAsia="zh-CN"/>
              </w:rPr>
              <w:t>7</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5 in Mathematics</w:t>
            </w:r>
            <w:r>
              <w:rPr>
                <w:rFonts w:hint="eastAsia" w:ascii="Times New Roman" w:hAnsi="Times New Roman" w:cs="Times New Roman"/>
                <w:sz w:val="24"/>
                <w:szCs w:val="24"/>
                <w:lang w:val="en-US" w:eastAsia="zh-CN"/>
              </w:rPr>
              <w:t xml:space="preserve"> (PV5MATH)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124.00</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857.15</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482.1</w:t>
            </w:r>
            <w:r>
              <w:rPr>
                <w:rFonts w:hint="eastAsia" w:ascii="Times New Roman" w:hAnsi="Times New Roman" w:cs="Times New Roman"/>
                <w:sz w:val="24"/>
                <w:szCs w:val="24"/>
                <w:lang w:val="en-US" w:eastAsia="zh-CN"/>
              </w:rPr>
              <w:t>1</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95.6</w:t>
            </w:r>
            <w:r>
              <w:rPr>
                <w:rFonts w:hint="eastAsia" w:ascii="Times New Roman" w:hAnsi="Times New Roman" w:cs="Times New Roman"/>
                <w:sz w:val="24"/>
                <w:szCs w:val="24"/>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6 in Mathematics</w:t>
            </w:r>
            <w:r>
              <w:rPr>
                <w:rFonts w:hint="eastAsia" w:ascii="Times New Roman" w:hAnsi="Times New Roman" w:cs="Times New Roman"/>
                <w:sz w:val="24"/>
                <w:szCs w:val="24"/>
                <w:lang w:val="en-US" w:eastAsia="zh-CN"/>
              </w:rPr>
              <w:t xml:space="preserve"> (PV6MATH)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140.9</w:t>
            </w:r>
            <w:r>
              <w:rPr>
                <w:rFonts w:hint="eastAsia" w:ascii="Times New Roman" w:hAnsi="Times New Roman" w:cs="Times New Roman"/>
                <w:sz w:val="24"/>
                <w:szCs w:val="24"/>
                <w:lang w:val="en-US" w:eastAsia="zh-CN"/>
              </w:rPr>
              <w:t>1</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856.01</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481.8</w:t>
            </w:r>
            <w:r>
              <w:rPr>
                <w:rFonts w:hint="eastAsia" w:ascii="Times New Roman" w:hAnsi="Times New Roman" w:cs="Times New Roman"/>
                <w:sz w:val="24"/>
                <w:szCs w:val="24"/>
                <w:lang w:val="en-US" w:eastAsia="zh-CN"/>
              </w:rPr>
              <w:t>2</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95.3</w:t>
            </w:r>
            <w:r>
              <w:rPr>
                <w:rFonts w:hint="eastAsia" w:ascii="Times New Roman" w:hAnsi="Times New Roman" w:cs="Times New Roman"/>
                <w:sz w:val="24"/>
                <w:szCs w:val="24"/>
                <w:lang w:val="en-US" w:eastAsia="zh-CN"/>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7 in Mathematics</w:t>
            </w:r>
            <w:r>
              <w:rPr>
                <w:rFonts w:hint="eastAsia" w:ascii="Times New Roman" w:hAnsi="Times New Roman" w:cs="Times New Roman"/>
                <w:sz w:val="24"/>
                <w:szCs w:val="24"/>
                <w:lang w:val="en-US" w:eastAsia="zh-CN"/>
              </w:rPr>
              <w:t xml:space="preserve"> (PV7MATH)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172.1</w:t>
            </w:r>
            <w:r>
              <w:rPr>
                <w:rFonts w:hint="eastAsia" w:ascii="Times New Roman" w:hAnsi="Times New Roman" w:cs="Times New Roman"/>
                <w:sz w:val="24"/>
                <w:szCs w:val="24"/>
                <w:lang w:val="en-US" w:eastAsia="zh-CN"/>
              </w:rPr>
              <w:t>8</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872.40</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481.3</w:t>
            </w:r>
            <w:r>
              <w:rPr>
                <w:rFonts w:hint="eastAsia" w:ascii="Times New Roman" w:hAnsi="Times New Roman" w:cs="Times New Roman"/>
                <w:sz w:val="24"/>
                <w:szCs w:val="24"/>
                <w:lang w:val="en-US" w:eastAsia="zh-CN"/>
              </w:rPr>
              <w:t>7</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95.8</w:t>
            </w:r>
            <w:r>
              <w:rPr>
                <w:rFonts w:hint="eastAsia" w:ascii="Times New Roman" w:hAnsi="Times New Roman" w:cs="Times New Roman"/>
                <w:sz w:val="24"/>
                <w:szCs w:val="24"/>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8 in Mathematics</w:t>
            </w:r>
            <w:r>
              <w:rPr>
                <w:rFonts w:hint="eastAsia" w:ascii="Times New Roman" w:hAnsi="Times New Roman" w:cs="Times New Roman"/>
                <w:sz w:val="24"/>
                <w:szCs w:val="24"/>
                <w:lang w:val="en-US" w:eastAsia="zh-CN"/>
              </w:rPr>
              <w:t xml:space="preserve"> (PV8MATH)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119.38</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847.1</w:t>
            </w:r>
            <w:r>
              <w:rPr>
                <w:rFonts w:hint="eastAsia" w:ascii="Times New Roman" w:hAnsi="Times New Roman" w:cs="Times New Roman"/>
                <w:sz w:val="24"/>
                <w:szCs w:val="24"/>
                <w:lang w:val="en-US" w:eastAsia="zh-CN"/>
              </w:rPr>
              <w:t>1</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482.4</w:t>
            </w:r>
            <w:r>
              <w:rPr>
                <w:rFonts w:hint="eastAsia" w:ascii="Times New Roman" w:hAnsi="Times New Roman" w:cs="Times New Roman"/>
                <w:sz w:val="24"/>
                <w:szCs w:val="24"/>
                <w:lang w:val="en-US" w:eastAsia="zh-CN"/>
              </w:rPr>
              <w:t>6</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9 in Mathematics</w:t>
            </w:r>
            <w:r>
              <w:rPr>
                <w:rFonts w:hint="eastAsia" w:ascii="Times New Roman" w:hAnsi="Times New Roman" w:cs="Times New Roman"/>
                <w:sz w:val="24"/>
                <w:szCs w:val="24"/>
                <w:lang w:val="en-US" w:eastAsia="zh-CN"/>
              </w:rPr>
              <w:t xml:space="preserve"> (PV9MATH)</w:t>
            </w:r>
          </w:p>
        </w:tc>
        <w:tc>
          <w:tcPr>
            <w:tcW w:w="85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176.5</w:t>
            </w:r>
            <w:r>
              <w:rPr>
                <w:rFonts w:hint="eastAsia" w:ascii="Times New Roman" w:hAnsi="Times New Roman" w:cs="Times New Roman"/>
                <w:sz w:val="24"/>
                <w:szCs w:val="24"/>
                <w:lang w:val="en-US" w:eastAsia="zh-CN"/>
              </w:rPr>
              <w:t>6</w:t>
            </w:r>
          </w:p>
        </w:tc>
        <w:tc>
          <w:tcPr>
            <w:tcW w:w="128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842.6</w:t>
            </w:r>
            <w:r>
              <w:rPr>
                <w:rFonts w:hint="eastAsia" w:ascii="Times New Roman" w:hAnsi="Times New Roman" w:cs="Times New Roman"/>
                <w:sz w:val="24"/>
                <w:szCs w:val="24"/>
                <w:lang w:val="en-US" w:eastAsia="zh-CN"/>
              </w:rPr>
              <w:t>7</w:t>
            </w:r>
          </w:p>
        </w:tc>
        <w:tc>
          <w:tcPr>
            <w:tcW w:w="912"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481.36</w:t>
            </w:r>
          </w:p>
        </w:tc>
        <w:tc>
          <w:tcPr>
            <w:tcW w:w="75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94.5</w:t>
            </w:r>
            <w:r>
              <w:rPr>
                <w:rFonts w:hint="eastAsia" w:ascii="Times New Roman" w:hAnsi="Times New Roman" w:cs="Times New Roman"/>
                <w:sz w:val="24"/>
                <w:szCs w:val="24"/>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 w:hRule="atLeast"/>
        </w:trPr>
        <w:tc>
          <w:tcPr>
            <w:tcW w:w="3619"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Plausible Value 10 in Mathematics</w:t>
            </w:r>
            <w:r>
              <w:rPr>
                <w:rFonts w:hint="eastAsia" w:ascii="Times New Roman" w:hAnsi="Times New Roman" w:cs="Times New Roman"/>
                <w:sz w:val="24"/>
                <w:szCs w:val="24"/>
                <w:lang w:val="en-US" w:eastAsia="zh-CN"/>
              </w:rPr>
              <w:t xml:space="preserve"> (PV10MATH)</w:t>
            </w:r>
          </w:p>
        </w:tc>
        <w:tc>
          <w:tcPr>
            <w:tcW w:w="852"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12972</w:t>
            </w:r>
          </w:p>
        </w:tc>
        <w:tc>
          <w:tcPr>
            <w:tcW w:w="1236"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128.</w:t>
            </w:r>
            <w:r>
              <w:rPr>
                <w:rFonts w:hint="eastAsia" w:ascii="Times New Roman" w:hAnsi="Times New Roman" w:cs="Times New Roman"/>
                <w:sz w:val="24"/>
                <w:szCs w:val="24"/>
                <w:lang w:val="en-US" w:eastAsia="zh-CN"/>
              </w:rPr>
              <w:t>30</w:t>
            </w:r>
          </w:p>
        </w:tc>
        <w:tc>
          <w:tcPr>
            <w:tcW w:w="1284"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915.23</w:t>
            </w:r>
          </w:p>
        </w:tc>
        <w:tc>
          <w:tcPr>
            <w:tcW w:w="912"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481.6</w:t>
            </w:r>
            <w:r>
              <w:rPr>
                <w:rFonts w:hint="eastAsia" w:ascii="Times New Roman" w:hAnsi="Times New Roman" w:cs="Times New Roman"/>
                <w:sz w:val="24"/>
                <w:szCs w:val="24"/>
                <w:lang w:val="en-US" w:eastAsia="zh-CN"/>
              </w:rPr>
              <w:t>1</w:t>
            </w:r>
          </w:p>
        </w:tc>
        <w:tc>
          <w:tcPr>
            <w:tcW w:w="756"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i w:val="0"/>
                <w:iCs w:val="0"/>
                <w:color w:val="222222"/>
                <w:spacing w:val="0"/>
                <w:sz w:val="24"/>
                <w:szCs w:val="24"/>
                <w:shd w:val="clear" w:fill="FFFFFF"/>
                <w:vertAlign w:val="baseline"/>
                <w:lang w:val="en-US" w:eastAsia="zh-CN"/>
              </w:rPr>
            </w:pPr>
            <w:r>
              <w:rPr>
                <w:rFonts w:hint="default" w:ascii="Times New Roman" w:hAnsi="Times New Roman" w:cs="Times New Roman"/>
                <w:sz w:val="24"/>
                <w:szCs w:val="24"/>
              </w:rPr>
              <w:t>95.57</w:t>
            </w:r>
          </w:p>
        </w:tc>
      </w:tr>
    </w:tbl>
    <w:p>
      <w:pPr>
        <w:tabs>
          <w:tab w:val="left" w:pos="7009"/>
        </w:tabs>
        <w:bidi w:val="0"/>
        <w:jc w:val="center"/>
        <w:rPr>
          <w:rFonts w:hint="eastAsia" w:ascii="Times New Roman" w:hAnsi="Times New Roman" w:eastAsia="宋体" w:cs="Times New Roman"/>
          <w:i w:val="0"/>
          <w:iCs w:val="0"/>
          <w:color w:val="222222"/>
          <w:spacing w:val="0"/>
          <w:sz w:val="24"/>
          <w:szCs w:val="24"/>
          <w:shd w:val="clear" w:fill="FFFFFF"/>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Literature Review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2.1 Growth Mindset and Mathematics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Dweck </w:t>
      </w:r>
      <w:r>
        <w:rPr>
          <w:rFonts w:hint="default" w:ascii="Times New Roman" w:hAnsi="Times New Roman" w:cs="Times New Roman"/>
          <w:sz w:val="24"/>
          <w:szCs w:val="24"/>
          <w:lang w:val="en-US" w:eastAsia="zh-CN"/>
        </w:rPr>
        <w:t xml:space="preserve">(2015) </w:t>
      </w:r>
      <w:r>
        <w:rPr>
          <w:rFonts w:hint="default" w:ascii="Times New Roman" w:hAnsi="Times New Roman" w:cs="Times New Roman"/>
          <w:sz w:val="24"/>
          <w:szCs w:val="24"/>
        </w:rPr>
        <w:t>propose</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a categorization of mindsets into fixed and growth orientations, with individuals possessing a fixed mindset perceiving their intelligence as immutable, whereas those with a growth mindset, who view their intelligence as malleable, tend to exhibit superior learning outcomes.</w:t>
      </w:r>
      <w:r>
        <w:rPr>
          <w:rFonts w:hint="eastAsia" w:ascii="Times New Roman" w:hAnsi="Times New Roman" w:cs="Times New Roman"/>
          <w:sz w:val="24"/>
          <w:szCs w:val="24"/>
          <w:lang w:val="en-US" w:eastAsia="zh-CN"/>
        </w:rPr>
        <w:t xml:space="preserve"> In mathematics learning, growth mindset has a great impact on students' learning achievement.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mathematics learning, growth mindset has a great impact on students' learning achievement. Dweck (2014) shows that mindset can predict math achievement and emphasizes the role of teachers in shaping students' mindset in mathematics learning. This suggests that students can enhance their mathematical learning outcomes by meticulously constructing a growth-oriented mindset and facilitating their progression from a fixed mindset to a growth mindset.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Some scholars </w:t>
      </w:r>
      <w:r>
        <w:rPr>
          <w:rFonts w:hint="eastAsia" w:ascii="Times New Roman" w:hAnsi="Times New Roman" w:cs="Times New Roman"/>
          <w:sz w:val="24"/>
          <w:szCs w:val="24"/>
          <w:lang w:val="en-US" w:eastAsia="zh-CN"/>
        </w:rPr>
        <w:t>think</w:t>
      </w:r>
      <w:r>
        <w:rPr>
          <w:rFonts w:hint="default" w:ascii="Times New Roman" w:hAnsi="Times New Roman" w:cs="Times New Roman"/>
          <w:sz w:val="24"/>
          <w:szCs w:val="24"/>
          <w:lang w:val="en-US" w:eastAsia="zh-CN"/>
        </w:rPr>
        <w:t xml:space="preserve"> that the </w:t>
      </w:r>
      <w:r>
        <w:rPr>
          <w:rFonts w:hint="eastAsia" w:ascii="Times New Roman" w:hAnsi="Times New Roman" w:cs="Times New Roman"/>
          <w:sz w:val="24"/>
          <w:szCs w:val="24"/>
          <w:lang w:val="en-US" w:eastAsia="zh-CN"/>
        </w:rPr>
        <w:t>influence</w:t>
      </w:r>
      <w:r>
        <w:rPr>
          <w:rFonts w:hint="default" w:ascii="Times New Roman" w:hAnsi="Times New Roman" w:cs="Times New Roman"/>
          <w:sz w:val="24"/>
          <w:szCs w:val="24"/>
          <w:lang w:val="en-US" w:eastAsia="zh-CN"/>
        </w:rPr>
        <w:t xml:space="preserve"> of growth mindset on mathematical achievement is not direct</w:t>
      </w:r>
      <w:r>
        <w:rPr>
          <w:rFonts w:hint="eastAsia" w:ascii="Times New Roman" w:hAnsi="Times New Roman" w:cs="Times New Roman"/>
          <w:sz w:val="24"/>
          <w:szCs w:val="24"/>
          <w:lang w:val="en-US" w:eastAsia="zh-CN"/>
        </w:rPr>
        <w:t xml:space="preserve"> but indirect. Dong, L. C., Jia, X. Y. and Fei, Y. X. (2023) finds that growth mindset indirectly affects math performance through influencing failure attribution, self-efficacy and math anxiety by conducting a study on 266 Chinese middle school students. This study provides a more profound insight into the correlation between a growth mindset and mathematics achievement. Merely intervening in students' mindsets is ineffective; rather, it is imperative to give greater attention to the mediating effects and to consider other factors, including attributions of failure and mathematics anxiety.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Control-Value Theory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Control-Value Theory is a theoretical model used to explain individual academic emotions, and the math anxiety involved in this study is based on this theoretical framework. Pekrun (2006) argues that academic emotions are influenced by control </w:t>
      </w:r>
      <w:r>
        <w:rPr>
          <w:rFonts w:hint="eastAsia" w:ascii="Times New Roman" w:hAnsi="Times New Roman" w:cs="Times New Roman"/>
          <w:b w:val="0"/>
          <w:bCs w:val="0"/>
          <w:sz w:val="24"/>
          <w:szCs w:val="24"/>
          <w:lang w:val="en-US" w:eastAsia="zh-CN"/>
        </w:rPr>
        <w:t xml:space="preserve">and </w:t>
      </w:r>
      <w:r>
        <w:rPr>
          <w:rFonts w:hint="default" w:ascii="Times New Roman" w:hAnsi="Times New Roman" w:cs="Times New Roman"/>
          <w:b w:val="0"/>
          <w:bCs w:val="0"/>
          <w:sz w:val="24"/>
          <w:szCs w:val="24"/>
          <w:lang w:val="en-US" w:eastAsia="zh-CN"/>
        </w:rPr>
        <w:t xml:space="preserve">value </w:t>
      </w:r>
      <w:r>
        <w:rPr>
          <w:rFonts w:hint="eastAsia" w:ascii="Times New Roman" w:hAnsi="Times New Roman" w:cs="Times New Roman"/>
          <w:b w:val="0"/>
          <w:bCs w:val="0"/>
          <w:sz w:val="24"/>
          <w:szCs w:val="24"/>
          <w:lang w:val="en-US" w:eastAsia="zh-CN"/>
        </w:rPr>
        <w:t>appraisals, t</w:t>
      </w:r>
      <w:r>
        <w:rPr>
          <w:rFonts w:hint="default" w:ascii="Times New Roman" w:hAnsi="Times New Roman" w:cs="Times New Roman"/>
          <w:b w:val="0"/>
          <w:bCs w:val="0"/>
          <w:sz w:val="24"/>
          <w:szCs w:val="24"/>
          <w:lang w:val="en-US" w:eastAsia="zh-CN"/>
        </w:rPr>
        <w:t xml:space="preserve">he former refers to learners' evaluations of the controllability of the learning process and outcomes, while the latter refers to learners' </w:t>
      </w:r>
      <w:r>
        <w:rPr>
          <w:rFonts w:hint="eastAsia" w:ascii="Times New Roman" w:hAnsi="Times New Roman" w:cs="Times New Roman"/>
          <w:b w:val="0"/>
          <w:bCs w:val="0"/>
          <w:sz w:val="24"/>
          <w:szCs w:val="24"/>
          <w:lang w:val="en-US" w:eastAsia="zh-CN"/>
        </w:rPr>
        <w:t>appraisals</w:t>
      </w:r>
      <w:r>
        <w:rPr>
          <w:rFonts w:hint="default" w:ascii="Times New Roman" w:hAnsi="Times New Roman" w:cs="Times New Roman"/>
          <w:b w:val="0"/>
          <w:bCs w:val="0"/>
          <w:sz w:val="24"/>
          <w:szCs w:val="24"/>
          <w:lang w:val="en-US" w:eastAsia="zh-CN"/>
        </w:rPr>
        <w:t xml:space="preserve"> of the intrinsic and instrumental value brought by the learning process and outcomes. Therefore, cultivating students' ability to control the learning process and outcomes, as well as generating positive value evaluations, can have a positive impact on learning. The proposal of Control-Value Theory has also brought useful suggestions for education and</w:t>
      </w:r>
      <w:r>
        <w:rPr>
          <w:rFonts w:hint="eastAsia" w:ascii="Times New Roman" w:hAnsi="Times New Roman" w:cs="Times New Roman"/>
          <w:b w:val="0"/>
          <w:bCs w:val="0"/>
          <w:sz w:val="24"/>
          <w:szCs w:val="24"/>
          <w:lang w:val="en-US" w:eastAsia="zh-CN"/>
        </w:rPr>
        <w:t xml:space="preserve"> instruction</w:t>
      </w:r>
      <w:r>
        <w:rPr>
          <w:rFonts w:hint="default" w:ascii="Times New Roman" w:hAnsi="Times New Roman" w:cs="Times New Roman"/>
          <w:b w:val="0"/>
          <w:bCs w:val="0"/>
          <w:sz w:val="24"/>
          <w:szCs w:val="24"/>
          <w:lang w:val="en-US" w:eastAsia="zh-CN"/>
        </w:rPr>
        <w:t xml:space="preserve">. Pekrun (2006) suggests that aligning the difficulty of learning tasks with students' abilities, encouraging teaching, creating an environment for autonomous and collaborative learning, and cultivating students' self-regulation of emotions are all effective recommendations for the field of education and teaching based on Control-Value Theory.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based on the definition of Control-Value Theory, it can be used to explain the relationship between math anxiety and academic achievement. During the process of learning mathematics, students may perceive the learning content as uncertain in difficulty and fear failure in the learning outcomes, leading to feelings of uncontrollability over the process and negative value evaluations of the results, which in turn induce math anxiety. Barroso et al</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(2021) point out that there is a negative correlation between math anxiety and math performance, and the anxiety index is higher among students in grade levels other than Grades 3 to 5 and those in further education institutions.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pPr>
      <w:r>
        <w:rPr>
          <w:rFonts w:hint="default" w:ascii="Times New Roman" w:hAnsi="Times New Roman" w:cs="Times New Roman"/>
          <w:b w:val="0"/>
          <w:bCs w:val="0"/>
          <w:sz w:val="24"/>
          <w:szCs w:val="24"/>
          <w:lang w:val="en-US" w:eastAsia="zh-CN"/>
        </w:rPr>
        <w:t>In the realm of mathematics education, several scholars have advanced approaches grounded in Control-Value Theory to mitigate the math avoidance behavior and anxiety often triggered by boredom during the learning process and feelings of frustration stemming from learning outcomes. According to Klee, Buehl, and Miller (2022), students experiencing math anxiety tend to prioritize the avoidance of failure in their learning outcomes over engaging with the learning material. Consequently, educators can employ strategies to redirect students' focus towards the intrinsic aspects of the learning process rather than solely on their performance, ultimately aiding them in progressively overcoming their fears.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 Gender, Socioeconomic Status, and Mathematics Learning Disparities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Gender disparities in the learning process and achievement of mathematics can be attributed to a variety of biological and psychological factors. From a biological perspective, </w:t>
      </w:r>
      <w:r>
        <w:rPr>
          <w:rFonts w:hint="eastAsia" w:ascii="Times New Roman" w:hAnsi="Times New Roman" w:cs="Times New Roman"/>
          <w:sz w:val="24"/>
          <w:szCs w:val="24"/>
          <w:lang w:val="en-US" w:eastAsia="zh-CN"/>
        </w:rPr>
        <w:t>males</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females</w:t>
      </w:r>
      <w:r>
        <w:rPr>
          <w:rFonts w:hint="default" w:ascii="Times New Roman" w:hAnsi="Times New Roman" w:cs="Times New Roman"/>
          <w:sz w:val="24"/>
          <w:szCs w:val="24"/>
          <w:lang w:val="en-US" w:eastAsia="zh-CN"/>
        </w:rPr>
        <w:t xml:space="preserve"> possess distinct brain structures and physiological characteristics. Zaidi (2010) highlights that gender-specific differences in brain utilization are evident in memory encoding, emotional perception, face recognition, and problem-solving processes. Consequently, these variations result in differing approaches to data processing during mathematics learning, leading to varied </w:t>
      </w:r>
      <w:r>
        <w:rPr>
          <w:rFonts w:hint="eastAsia" w:ascii="Times New Roman" w:hAnsi="Times New Roman" w:cs="Times New Roman"/>
          <w:sz w:val="24"/>
          <w:szCs w:val="24"/>
          <w:lang w:val="en-US" w:eastAsia="zh-CN"/>
        </w:rPr>
        <w:t>achievements</w:t>
      </w:r>
      <w:r>
        <w:rPr>
          <w:rFonts w:hint="default" w:ascii="Times New Roman" w:hAnsi="Times New Roman" w:cs="Times New Roman"/>
          <w:sz w:val="24"/>
          <w:szCs w:val="24"/>
          <w:lang w:val="en-US" w:eastAsia="zh-CN"/>
        </w:rPr>
        <w:t xml:space="preserve"> among males and females in certain mathematical contexts.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Furthermore, psychological factors also play a pivotal role in influencing gender performance in mathematics learning. Brebner (2003) reveals that women are more inclined to experience affection and sadness compared to men, whereas men are more prone to feeling pride</w:t>
      </w:r>
      <w:r>
        <w:rPr>
          <w:rFonts w:hint="eastAsia" w:ascii="Times New Roman" w:hAnsi="Times New Roman" w:cs="Times New Roman"/>
          <w:sz w:val="24"/>
          <w:szCs w:val="24"/>
          <w:lang w:val="en-US" w:eastAsia="zh-CN"/>
        </w:rPr>
        <w:t xml:space="preserve"> according to a </w:t>
      </w:r>
      <w:r>
        <w:rPr>
          <w:rFonts w:hint="default" w:ascii="Times New Roman" w:hAnsi="Times New Roman" w:cs="Times New Roman"/>
          <w:sz w:val="24"/>
          <w:szCs w:val="24"/>
          <w:lang w:val="en-US" w:eastAsia="zh-CN"/>
        </w:rPr>
        <w:t xml:space="preserve">study on gender and emotion in Australia. During the process of mathematics learning, these emotional differences can contribute to varying levels of learning anxiety, ultimately impacting their academic </w:t>
      </w:r>
      <w:r>
        <w:rPr>
          <w:rFonts w:hint="eastAsia" w:ascii="Times New Roman" w:hAnsi="Times New Roman" w:cs="Times New Roman"/>
          <w:sz w:val="24"/>
          <w:szCs w:val="24"/>
          <w:lang w:val="en-US" w:eastAsia="zh-CN"/>
        </w:rPr>
        <w:t>achievements</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gender, individual socioeconomic status (SES) should be taken into account as a significant factor influencing mathematics learning. Students' family positions in the socioeconomic structure significantly impact their math</w:t>
      </w:r>
      <w:r>
        <w:rPr>
          <w:rFonts w:hint="eastAsia" w:ascii="Times New Roman" w:hAnsi="Times New Roman" w:cs="Times New Roman"/>
          <w:sz w:val="24"/>
          <w:szCs w:val="24"/>
          <w:lang w:val="en-US" w:eastAsia="zh-CN"/>
        </w:rPr>
        <w:t>ematics</w:t>
      </w:r>
      <w:r>
        <w:rPr>
          <w:rFonts w:hint="default" w:ascii="Times New Roman" w:hAnsi="Times New Roman" w:cs="Times New Roman"/>
          <w:sz w:val="24"/>
          <w:szCs w:val="24"/>
          <w:lang w:val="en-US" w:eastAsia="zh-CN"/>
        </w:rPr>
        <w:t xml:space="preserve"> engagement and achievement. Liu, J., et al. (2022) </w:t>
      </w:r>
      <w:r>
        <w:rPr>
          <w:rFonts w:hint="eastAsia" w:ascii="Times New Roman" w:hAnsi="Times New Roman" w:cs="Times New Roman"/>
          <w:sz w:val="24"/>
          <w:szCs w:val="24"/>
          <w:lang w:val="en-US" w:eastAsia="zh-CN"/>
        </w:rPr>
        <w:t>observe</w:t>
      </w:r>
      <w:r>
        <w:rPr>
          <w:rFonts w:hint="default" w:ascii="Times New Roman" w:hAnsi="Times New Roman" w:cs="Times New Roman"/>
          <w:sz w:val="24"/>
          <w:szCs w:val="24"/>
          <w:lang w:val="en-US" w:eastAsia="zh-CN"/>
        </w:rPr>
        <w:t xml:space="preserve"> a positive correlation between students' socioeconomic status and their academic performance, with this relationship becoming increasingly pronounced since the 1990s.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individuals occupying different socioeconomic st</w:t>
      </w:r>
      <w:r>
        <w:rPr>
          <w:rFonts w:hint="eastAsia" w:ascii="Times New Roman" w:hAnsi="Times New Roman" w:cs="Times New Roman"/>
          <w:sz w:val="24"/>
          <w:szCs w:val="24"/>
          <w:lang w:val="en-US" w:eastAsia="zh-CN"/>
        </w:rPr>
        <w:t>atus</w:t>
      </w:r>
      <w:r>
        <w:rPr>
          <w:rFonts w:hint="default" w:ascii="Times New Roman" w:hAnsi="Times New Roman" w:cs="Times New Roman"/>
          <w:sz w:val="24"/>
          <w:szCs w:val="24"/>
          <w:lang w:val="en-US" w:eastAsia="zh-CN"/>
        </w:rPr>
        <w:t xml:space="preserve"> exhibit disparities in self-efficacy</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lang w:val="en-US" w:eastAsia="zh-CN"/>
        </w:rPr>
        <w:t xml:space="preserve"> anxiety</w:t>
      </w:r>
      <w:r>
        <w:rPr>
          <w:rFonts w:hint="eastAsia" w:ascii="Times New Roman" w:hAnsi="Times New Roman" w:cs="Times New Roman"/>
          <w:sz w:val="24"/>
          <w:szCs w:val="24"/>
          <w:lang w:val="en-US" w:eastAsia="zh-CN"/>
        </w:rPr>
        <w:t xml:space="preserve"> in </w:t>
      </w:r>
      <w:r>
        <w:rPr>
          <w:rFonts w:hint="default" w:ascii="Times New Roman" w:hAnsi="Times New Roman" w:cs="Times New Roman"/>
          <w:sz w:val="24"/>
          <w:szCs w:val="24"/>
          <w:lang w:val="en-US" w:eastAsia="zh-CN"/>
        </w:rPr>
        <w:t>mathematics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 H., et al. (2021) elucidat</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that cognitive activation influences mathematics scores indirectly through its impact on self-efficacy, with this entire process being moderated by socioeconomic status. Similarly, Adimora et al. (2015) emphasi</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e the significant influence of socioeconomic status on students' mathematics anxiety, which further affects their learning outcomes in </w:t>
      </w:r>
      <w:r>
        <w:rPr>
          <w:rFonts w:hint="eastAsia" w:ascii="Times New Roman" w:hAnsi="Times New Roman" w:cs="Times New Roman"/>
          <w:sz w:val="24"/>
          <w:szCs w:val="24"/>
          <w:lang w:val="en-US" w:eastAsia="zh-CN"/>
        </w:rPr>
        <w:t>mathematics</w:t>
      </w:r>
      <w:r>
        <w:rPr>
          <w:rFonts w:hint="default" w:ascii="Times New Roman" w:hAnsi="Times New Roman" w:cs="Times New Roman"/>
          <w:sz w:val="24"/>
          <w:szCs w:val="24"/>
          <w:lang w:val="en-US" w:eastAsia="zh-CN"/>
        </w:rPr>
        <w:t>. Thus, it is imperative to consider the multifaceted nature of socioeconomic status when analyzing factors that contribute to students' mathematics learning experiences and achievements.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 Mathematics Teacher Support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Teacher support plays an indispensable role in guiding students' thinking processes, offering personalized assistance, and fostering positive attitudes towards learning. Alrajeh and Shindel (2020) emphasize that the support provided by mathematics teachers significantly influences students' engagement within the classroom setting. Furthermore, Chen, H., et al. (2024) highlight that students' perceived support from their mathematics teachers is positively and significantly correlated with their mathematical literacy, particularly in the realms of emotional and autonomous support. While numerous researchers have affirmed the positive impact of mathematics teacher support on mathematical learning, the relationship between such support and individual students' gender as well as their socioeconomic status remains an area requiring further investigation.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2.5 Student Learning Process and Mathematics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study, the student learning process is composed of teacher support, growth mindset and mathematics anxiety. This section mainly reviews the relationship between these three and how they affect mathematical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present study suggests that teacher support can influence students' growth mindset in mathematics learning. Vestad and Bru (2024) propose that by fostering a growth mindset, teachers' support can enhance students' mindset development and engagement, ultimately improving their academic performance. This emotional shaping of the learning process constitutes a component of overall teacher support. Furthermore, growth mindset acts as a mediator, through which teacher support indirectly influences learning outcomes. Brandisaukiene et al. (2024) also highlight the moderating role of growth mindset between teacher support and learning achievement. However, the specific mechanisms and extent to which teacher support positively impacts mathematics achievement remain an area of ongoing exploration within the field of mathematics education.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Regarding the relationship between mathematics teacher support and mathematics anxiety, there exists a body of mature research that establishes a negative correlation between the two variables. Wang, C., Xu, Q., and Fei, W. Q. (2024) </w:t>
      </w:r>
      <w:r>
        <w:rPr>
          <w:rFonts w:hint="eastAsia" w:ascii="Times New Roman" w:hAnsi="Times New Roman" w:cs="Times New Roman"/>
          <w:sz w:val="24"/>
          <w:szCs w:val="24"/>
          <w:lang w:val="en-US" w:eastAsia="zh-CN"/>
        </w:rPr>
        <w:t xml:space="preserve">note </w:t>
      </w:r>
      <w:r>
        <w:rPr>
          <w:rFonts w:hint="default" w:ascii="Times New Roman" w:hAnsi="Times New Roman" w:cs="Times New Roman"/>
          <w:sz w:val="24"/>
          <w:szCs w:val="24"/>
          <w:lang w:val="en-US" w:eastAsia="zh-CN"/>
        </w:rPr>
        <w:t>that students' perceived support from their mathematics teachers is inversely related to their mathematics anxiety, with this relationship being mediated by the teacher-student relationship and mathematics self-efficacy. It is evident that the connection between mathematics teacher support and mathematics anxiety is not a simple, direct one. Ramirez (2016) previously highlight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the negative correlation between mathematics anxiety and mathematics achievement. Consequently, it is plausible to hypothesize that mathematics anxiety serves as a mediator in regulating the relationship between mathematics teacher support and mathematics achievement, </w:t>
      </w:r>
      <w:r>
        <w:rPr>
          <w:rFonts w:hint="eastAsia" w:ascii="Times New Roman" w:hAnsi="Times New Roman" w:cs="Times New Roman"/>
          <w:sz w:val="24"/>
          <w:szCs w:val="24"/>
          <w:lang w:val="en-US" w:eastAsia="zh-CN"/>
        </w:rPr>
        <w:t xml:space="preserve">but </w:t>
      </w:r>
      <w:r>
        <w:rPr>
          <w:rFonts w:hint="default" w:ascii="Times New Roman" w:hAnsi="Times New Roman" w:cs="Times New Roman"/>
          <w:sz w:val="24"/>
          <w:szCs w:val="24"/>
          <w:lang w:val="en-US" w:eastAsia="zh-CN"/>
        </w:rPr>
        <w:t>the specific nature</w:t>
      </w:r>
      <w:r>
        <w:rPr>
          <w:rFonts w:hint="eastAsia" w:ascii="Times New Roman" w:hAnsi="Times New Roman" w:cs="Times New Roman"/>
          <w:sz w:val="24"/>
          <w:szCs w:val="24"/>
          <w:lang w:val="en-US" w:eastAsia="zh-CN"/>
        </w:rPr>
        <w:t xml:space="preserve"> needs </w:t>
      </w:r>
      <w:r>
        <w:rPr>
          <w:rFonts w:hint="default" w:ascii="Times New Roman" w:hAnsi="Times New Roman" w:cs="Times New Roman"/>
          <w:sz w:val="24"/>
          <w:szCs w:val="24"/>
          <w:lang w:val="en-US" w:eastAsia="zh-CN"/>
        </w:rPr>
        <w:t>further investigation.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relationship between growth mindset and mathematics anxiety has been found to be negatively correlated, as evidenced by scholarly studies. Samuel, Buttet and Warner (2023) </w:t>
      </w:r>
      <w:r>
        <w:rPr>
          <w:rFonts w:hint="eastAsia" w:ascii="Times New Roman" w:hAnsi="Times New Roman" w:cs="Times New Roman"/>
          <w:sz w:val="24"/>
          <w:szCs w:val="24"/>
          <w:lang w:val="en-US" w:eastAsia="zh-CN"/>
        </w:rPr>
        <w:t>find</w:t>
      </w:r>
      <w:r>
        <w:rPr>
          <w:rFonts w:hint="default" w:ascii="Times New Roman" w:hAnsi="Times New Roman" w:cs="Times New Roman"/>
          <w:sz w:val="24"/>
          <w:szCs w:val="24"/>
          <w:lang w:val="en-US" w:eastAsia="zh-CN"/>
        </w:rPr>
        <w:t xml:space="preserve"> that incorporating a growth mindset cultivation approach into mathematics instruction can significantly reduce students' mathematics anxiety over time. Therefore, it can be assumed that students with growth mindset have lower math</w:t>
      </w:r>
      <w:r>
        <w:rPr>
          <w:rFonts w:hint="eastAsia" w:ascii="Times New Roman" w:hAnsi="Times New Roman" w:cs="Times New Roman"/>
          <w:sz w:val="24"/>
          <w:szCs w:val="24"/>
          <w:lang w:val="en-US" w:eastAsia="zh-CN"/>
        </w:rPr>
        <w:t>ematics</w:t>
      </w:r>
      <w:r>
        <w:rPr>
          <w:rFonts w:hint="default" w:ascii="Times New Roman" w:hAnsi="Times New Roman" w:cs="Times New Roman"/>
          <w:sz w:val="24"/>
          <w:szCs w:val="24"/>
          <w:lang w:val="en-US" w:eastAsia="zh-CN"/>
        </w:rPr>
        <w:t xml:space="preserve"> anxiety to </w:t>
      </w:r>
      <w:r>
        <w:rPr>
          <w:rFonts w:hint="eastAsia" w:ascii="Times New Roman" w:hAnsi="Times New Roman" w:cs="Times New Roman"/>
          <w:sz w:val="24"/>
          <w:szCs w:val="24"/>
          <w:lang w:val="en-US" w:eastAsia="zh-CN"/>
        </w:rPr>
        <w:t>do</w:t>
      </w:r>
      <w:r>
        <w:rPr>
          <w:rFonts w:hint="default" w:ascii="Times New Roman" w:hAnsi="Times New Roman" w:cs="Times New Roman"/>
          <w:sz w:val="24"/>
          <w:szCs w:val="24"/>
          <w:lang w:val="en-US" w:eastAsia="zh-CN"/>
        </w:rPr>
        <w:t xml:space="preserve"> better math achievement, but the specific </w:t>
      </w:r>
      <w:r>
        <w:rPr>
          <w:rFonts w:hint="eastAsia" w:ascii="Times New Roman" w:hAnsi="Times New Roman" w:cs="Times New Roman"/>
          <w:sz w:val="24"/>
          <w:szCs w:val="24"/>
          <w:lang w:val="en-US" w:eastAsia="zh-CN"/>
        </w:rPr>
        <w:t>mediation</w:t>
      </w:r>
      <w:r>
        <w:rPr>
          <w:rFonts w:hint="default" w:ascii="Times New Roman" w:hAnsi="Times New Roman" w:cs="Times New Roman"/>
          <w:sz w:val="24"/>
          <w:szCs w:val="24"/>
          <w:lang w:val="en-US" w:eastAsia="zh-CN"/>
        </w:rPr>
        <w:t xml:space="preserve"> model still needs to be studied.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2.6 The Present Study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sum, the present research conceptualizes the relationship between </w:t>
      </w:r>
      <w:r>
        <w:rPr>
          <w:rFonts w:hint="eastAsia" w:ascii="Times New Roman" w:hAnsi="Times New Roman" w:cs="Times New Roman"/>
          <w:sz w:val="24"/>
          <w:szCs w:val="24"/>
          <w:lang w:val="en-US" w:eastAsia="zh-CN"/>
        </w:rPr>
        <w:t xml:space="preserve">gender, socioeconomic status, mathematics teacher support, growth mindset, mathematics anxiety </w:t>
      </w:r>
      <w:r>
        <w:rPr>
          <w:rFonts w:hint="default" w:ascii="Times New Roman" w:hAnsi="Times New Roman" w:cs="Times New Roman"/>
          <w:sz w:val="24"/>
          <w:szCs w:val="24"/>
          <w:lang w:val="en-US" w:eastAsia="zh-CN"/>
        </w:rPr>
        <w:t>and mathematics achievement</w:t>
      </w:r>
      <w:r>
        <w:rPr>
          <w:rFonts w:hint="eastAsia" w:ascii="Times New Roman" w:hAnsi="Times New Roman" w:cs="Times New Roman"/>
          <w:sz w:val="24"/>
          <w:szCs w:val="24"/>
          <w:lang w:val="en-US" w:eastAsia="zh-CN"/>
        </w:rPr>
        <w:t xml:space="preserve"> (see Figure 1). Based on the Control-Value Theory, Growth Mindset theory and previous studies, this paper hypothesizes that  gender and socioeconomic status, as student individual characteristics can influence mathematics achievement, and that mathematics teacher support, growth mindset and mathematics anxiety, as student learning process serve mediators in this relationship. To be precise, the current research will focus on addressing the following three key research questions: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RQ1: How do gender and socioeconomic status directly influence mathematics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RQ2: To what extent do mathematics teacher support,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growth mindset, and mathematics anxiety mediate the relationship between gender, socioeconomic status and mathematics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RQ3: How does mathematics teacher support contribute to the mechanisms linking gender, socioeconomic status, and mathematics achievement, particularly through its influence on growth mindset and mathematics anxiety?</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color w:val="000000" w:themeColor="text1"/>
          <w:sz w:val="24"/>
          <w:szCs w:val="24"/>
          <w:lang w:val="en-US" w:eastAsia="zh-CN"/>
          <w14:textFill>
            <w14:solidFill>
              <w14:schemeClr w14:val="tx1"/>
            </w14:solidFill>
          </w14:textFill>
        </w:rPr>
      </w:pPr>
      <w:r>
        <w:rPr>
          <w:rFonts w:hint="default" w:ascii="Times New Roman" w:hAnsi="Times New Roman" w:cs="Times New Roman"/>
          <w:b/>
          <w:bCs/>
          <w:color w:val="000000" w:themeColor="text1"/>
          <w:sz w:val="24"/>
          <w:szCs w:val="24"/>
          <w:lang w:val="en-US" w:eastAsia="zh-CN"/>
          <w14:textFill>
            <w14:solidFill>
              <w14:schemeClr w14:val="tx1"/>
            </w14:solidFill>
          </w14:textFill>
        </w:rPr>
        <w:t>Results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This chapter mainly answers three questions of the research by analyzing the data. the following are the model-fit indices of the </w:t>
      </w:r>
      <w:r>
        <w:rPr>
          <w:rFonts w:hint="eastAsia" w:ascii="Times New Roman" w:hAnsi="Times New Roman" w:cs="Times New Roman"/>
          <w:color w:val="000000" w:themeColor="text1"/>
          <w:sz w:val="24"/>
          <w:szCs w:val="24"/>
          <w:lang w:val="en-US" w:eastAsia="zh-CN"/>
          <w14:textFill>
            <w14:solidFill>
              <w14:schemeClr w14:val="tx1"/>
            </w14:solidFill>
          </w14:textFill>
        </w:rPr>
        <w:t>path analysis</w:t>
      </w:r>
      <w:r>
        <w:rPr>
          <w:rFonts w:hint="default" w:ascii="Times New Roman" w:hAnsi="Times New Roman" w:cs="Times New Roman"/>
          <w:color w:val="000000" w:themeColor="text1"/>
          <w:sz w:val="24"/>
          <w:szCs w:val="24"/>
          <w14:textFill>
            <w14:solidFill>
              <w14:schemeClr w14:val="tx1"/>
            </w14:solidFill>
          </w14:textFill>
        </w:rPr>
        <w:t>, the mediat</w:t>
      </w:r>
      <w:r>
        <w:rPr>
          <w:rFonts w:hint="eastAsia" w:ascii="Times New Roman" w:hAnsi="Times New Roman" w:cs="Times New Roman"/>
          <w:color w:val="000000" w:themeColor="text1"/>
          <w:sz w:val="24"/>
          <w:szCs w:val="24"/>
          <w:lang w:val="en-US" w:eastAsia="zh-CN"/>
          <w14:textFill>
            <w14:solidFill>
              <w14:schemeClr w14:val="tx1"/>
            </w14:solidFill>
          </w14:textFill>
        </w:rPr>
        <w:t>or</w:t>
      </w:r>
      <w:r>
        <w:rPr>
          <w:rFonts w:hint="default" w:ascii="Times New Roman" w:hAnsi="Times New Roman" w:cs="Times New Roman"/>
          <w:color w:val="000000" w:themeColor="text1"/>
          <w:sz w:val="24"/>
          <w:szCs w:val="24"/>
          <w14:textFill>
            <w14:solidFill>
              <w14:schemeClr w14:val="tx1"/>
            </w14:solidFill>
          </w14:textFill>
        </w:rPr>
        <w:t xml:space="preserve"> model diagram and the indirect relation STDYX Standardization involved in data analysis.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Table1</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Model fit test on gender, ESCS, math teacher support, growth mindset, math anxiety, and math achievement</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38"/>
        <w:gridCol w:w="1173"/>
        <w:gridCol w:w="944"/>
        <w:gridCol w:w="787"/>
        <w:gridCol w:w="7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738"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CFI</w:t>
            </w:r>
          </w:p>
        </w:tc>
        <w:tc>
          <w:tcPr>
            <w:tcW w:w="1173"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RMSEA</w:t>
            </w:r>
          </w:p>
        </w:tc>
        <w:tc>
          <w:tcPr>
            <w:tcW w:w="944"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SRMR</w:t>
            </w:r>
          </w:p>
        </w:tc>
        <w:tc>
          <w:tcPr>
            <w:tcW w:w="787"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t>χ</w:t>
            </w: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2</w:t>
            </w:r>
          </w:p>
        </w:tc>
        <w:tc>
          <w:tcPr>
            <w:tcW w:w="787"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df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738"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1.00</w:t>
            </w:r>
          </w:p>
        </w:tc>
        <w:tc>
          <w:tcPr>
            <w:tcW w:w="1173"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0.00</w:t>
            </w:r>
          </w:p>
        </w:tc>
        <w:tc>
          <w:tcPr>
            <w:tcW w:w="944"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0.00</w:t>
            </w:r>
          </w:p>
        </w:tc>
        <w:tc>
          <w:tcPr>
            <w:tcW w:w="787"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0.00</w:t>
            </w:r>
          </w:p>
        </w:tc>
        <w:tc>
          <w:tcPr>
            <w:tcW w:w="787" w:type="dxa"/>
            <w:tcBorders>
              <w:left w:val="nil"/>
              <w:right w:val="nil"/>
            </w:tcBorders>
            <w:vAlign w:val="top"/>
          </w:tcPr>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color w:val="000000" w:themeColor="text1"/>
                <w:sz w:val="24"/>
                <w:szCs w:val="24"/>
                <w:vertAlign w:val="baseline"/>
                <w:lang w:val="en-US" w:eastAsia="zh-CN"/>
                <w14:textFill>
                  <w14:solidFill>
                    <w14:schemeClr w14:val="tx1"/>
                  </w14:solidFill>
                </w14:textFill>
              </w:rPr>
            </w:pPr>
            <w:r>
              <w:rPr>
                <w:rFonts w:hint="eastAsia" w:ascii="Times New Roman" w:hAnsi="Times New Roman" w:cs="Times New Roman"/>
                <w:color w:val="000000" w:themeColor="text1"/>
                <w:sz w:val="24"/>
                <w:szCs w:val="24"/>
                <w:vertAlign w:val="baseline"/>
                <w:lang w:val="en-US" w:eastAsia="zh-CN"/>
                <w14:textFill>
                  <w14:solidFill>
                    <w14:schemeClr w14:val="tx1"/>
                  </w14:solidFill>
                </w14:textFill>
              </w:rPr>
              <w:t>0.00</w:t>
            </w:r>
          </w:p>
        </w:tc>
      </w:tr>
    </w:tbl>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Table2</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The mediator model diagram on gender, ESCS, math teacher support, growth mindset, math anxiety, and math achievement</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drawing>
          <wp:inline distT="0" distB="0" distL="114300" distR="114300">
            <wp:extent cx="5855970" cy="2689225"/>
            <wp:effectExtent l="0" t="0" r="11430" b="3175"/>
            <wp:docPr id="4" name="图片 4" descr="webwxgetmsg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webwxgetmsgimg"/>
                    <pic:cNvPicPr>
                      <a:picLocks noChangeAspect="1"/>
                    </pic:cNvPicPr>
                  </pic:nvPicPr>
                  <pic:blipFill>
                    <a:blip r:embed="rId6"/>
                    <a:stretch>
                      <a:fillRect/>
                    </a:stretch>
                  </pic:blipFill>
                  <pic:spPr>
                    <a:xfrm>
                      <a:off x="0" y="0"/>
                      <a:ext cx="5855970" cy="268922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Table3</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The indirect relation standardized model results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color w:val="000000" w:themeColor="text1"/>
          <w:sz w:val="24"/>
          <w:szCs w:val="24"/>
          <w:lang w:val="en-US" w:eastAsia="zh-CN"/>
          <w14:textFill>
            <w14:solidFill>
              <w14:schemeClr w14:val="tx1"/>
            </w14:solidFill>
          </w14:textFill>
        </w:rPr>
      </w:pPr>
      <w:r>
        <w:rPr>
          <w:rFonts w:hint="default" w:ascii="Times New Roman" w:hAnsi="Times New Roman" w:cs="Times New Roman"/>
          <w:b/>
          <w:bCs/>
          <w:color w:val="000000" w:themeColor="text1"/>
          <w:sz w:val="24"/>
          <w:szCs w:val="24"/>
          <w:lang w:val="en-US" w:eastAsia="zh-CN"/>
          <w14:textFill>
            <w14:solidFill>
              <w14:schemeClr w14:val="tx1"/>
            </w14:solidFill>
          </w14:textFill>
        </w:rPr>
        <w:t>4.1 The Direct Impacts of Gender and Socioeconomic Status on Mathematics Anxiety and Achievement(RQ1)</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Addresses RQ1, which explores how gender and socioeconomic status directly affect math anxiety and achievement. Statistically speaking, if combined with Two-Tailed p-value, only gender has no significant direct impact on mathematics performance (p=0.927 &gt; 0.05). The direct effects of gender on math anxiety and ESCS on math anxiety and math achievement were significant (p &lt; 0.05).</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The estimate of the direct impact of gender on math anxiety is -0.24 (p &lt; 0.05), which indicates that gender has a strong negative correlation with math anxiety, and girls' math anxiety is more likely to be higher than boys'. The difference of gender had no effect on mathematics scores (p &gt; 0.05). The estimate of the direct impact of ESCS on math anxiety is -0.08 (p &lt; 0.05), which means that ESCS has a certain negative impact on math anxiety, that is, the lower the math anxiety of students with higher socioeconomic statu</w:t>
      </w:r>
      <w:r>
        <w:rPr>
          <w:rFonts w:hint="default" w:ascii="Times New Roman" w:hAnsi="Times New Roman" w:cs="Times New Roman"/>
          <w:color w:val="000000" w:themeColor="text1"/>
          <w:sz w:val="24"/>
          <w:szCs w:val="24"/>
          <w:lang w:val="en-US" w:eastAsia="zh-CN"/>
          <w14:textFill>
            <w14:solidFill>
              <w14:schemeClr w14:val="tx1"/>
            </w14:solidFill>
          </w14:textFill>
        </w:rPr>
        <w:t>s and the higher the math anxiety of students with lower socioeconomic status</w:t>
      </w:r>
      <w:r>
        <w:rPr>
          <w:rFonts w:hint="default" w:ascii="Times New Roman" w:hAnsi="Times New Roman" w:cs="Times New Roman"/>
          <w:color w:val="000000" w:themeColor="text1"/>
          <w:sz w:val="24"/>
          <w:szCs w:val="24"/>
          <w14:textFill>
            <w14:solidFill>
              <w14:schemeClr w14:val="tx1"/>
            </w14:solidFill>
          </w14:textFill>
        </w:rPr>
        <w:t>. The estimate of the direct impact of ESCS on mathematics achievement is 0.30 (p &lt; 0.05), which indicates that there is a strong direct positive relationship between ESCS and mathematics achievement, that is, students with higher socioeconomic status can achieve better results in mathematics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and students with lower socioeconomic status have lower mathematics achievements</w:t>
      </w:r>
      <w:r>
        <w:rPr>
          <w:rFonts w:hint="default" w:ascii="Times New Roman" w:hAnsi="Times New Roman" w:cs="Times New Roman"/>
          <w:color w:val="000000" w:themeColor="text1"/>
          <w:sz w:val="24"/>
          <w:szCs w:val="24"/>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color w:val="000000" w:themeColor="text1"/>
          <w:sz w:val="24"/>
          <w:szCs w:val="24"/>
          <w:lang w:val="en-US" w:eastAsia="zh-CN"/>
          <w14:textFill>
            <w14:solidFill>
              <w14:schemeClr w14:val="tx1"/>
            </w14:solidFill>
          </w14:textFill>
        </w:rPr>
      </w:pPr>
      <w:r>
        <w:rPr>
          <w:rFonts w:hint="default" w:ascii="Times New Roman" w:hAnsi="Times New Roman" w:cs="Times New Roman"/>
          <w:b/>
          <w:bCs/>
          <w:color w:val="000000" w:themeColor="text1"/>
          <w:sz w:val="24"/>
          <w:szCs w:val="24"/>
          <w:lang w:val="en-US" w:eastAsia="zh-CN"/>
          <w14:textFill>
            <w14:solidFill>
              <w14:schemeClr w14:val="tx1"/>
            </w14:solidFill>
          </w14:textFill>
        </w:rPr>
        <w:t>4.2 The Mediating Effect of Growth Mindset, Math Anxiety, and Teacher Support on Gender and ESCS on Mathematics Achievement</w:t>
      </w:r>
      <w:r>
        <w:rPr>
          <w:rFonts w:hint="eastAsia" w:ascii="Times New Roman" w:hAnsi="Times New Roman" w:cs="Times New Roman"/>
          <w:b/>
          <w:bCs/>
          <w:color w:val="000000" w:themeColor="text1"/>
          <w:sz w:val="24"/>
          <w:szCs w:val="24"/>
          <w:lang w:val="en-US" w:eastAsia="zh-CN"/>
          <w14:textFill>
            <w14:solidFill>
              <w14:schemeClr w14:val="tx1"/>
            </w14:solidFill>
          </w14:textFill>
        </w:rPr>
        <w:t>(RQ2)</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Addresses RQ2, which explores to what extent students’ growth mindset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 xml:space="preserve">mathematics anxiety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and mathematics teacher support </w:t>
      </w:r>
      <w:r>
        <w:rPr>
          <w:rFonts w:hint="default" w:ascii="Times New Roman" w:hAnsi="Times New Roman" w:cs="Times New Roman"/>
          <w:color w:val="000000" w:themeColor="text1"/>
          <w:sz w:val="24"/>
          <w:szCs w:val="24"/>
          <w14:textFill>
            <w14:solidFill>
              <w14:schemeClr w14:val="tx1"/>
            </w14:solidFill>
          </w14:textFill>
        </w:rPr>
        <w:t>mediate the relationship between gender, socioeconomic status and mathematics achievement.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Therefore, this section is divided into two parts for analysis: growth mindset, math anxiety and teacher support in mediating role in gender and math achievement, and growth mindset, math anxiety and teacher support in mediating role in ESCS and math achievement.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 xml:space="preserve">According to David (2024), if </w:t>
      </w:r>
      <w:r>
        <w:rPr>
          <w:rFonts w:hint="default" w:ascii="Times New Roman" w:hAnsi="Times New Roman" w:cs="Times New Roman"/>
          <w:color w:val="000000" w:themeColor="text1"/>
          <w:sz w:val="24"/>
          <w:szCs w:val="24"/>
          <w14:textFill>
            <w14:solidFill>
              <w14:schemeClr w14:val="tx1"/>
            </w14:solidFill>
          </w14:textFill>
        </w:rPr>
        <w:t>a has an indirect influence on b, and c acts as an intermediary, thus constituting a's influence on c and then on b. The estimated mediating effect of c is the multiplication of a's estimate of c and c's estimate of b.</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The mediating effect of growth mindset in the relationship between gender and math achievem</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default" w:ascii="Times New Roman" w:hAnsi="Times New Roman" w:cs="Times New Roman"/>
          <w:color w:val="000000" w:themeColor="text1"/>
          <w:sz w:val="24"/>
          <w:szCs w:val="24"/>
          <w14:textFill>
            <w14:solidFill>
              <w14:schemeClr w14:val="tx1"/>
            </w14:solidFill>
          </w14:textFill>
        </w:rPr>
        <w:t>ent is 0.007 (p &lt; 0.05), indicating that growth mindset has a positive and partial mediating effect between gender and math achievement. The estimated impact of gender on growth mindset is 0.058 (p &lt; 0.05), and the estimated impact of growth mindset on math achievement is 0.121 (p &lt; 0.05). Therefore, the relationship between male students and female students is that male students with a more growth mindset can achieve better math scores, while female students with a less growth mindset can achieve unsatisfactory math scores.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The mediating effect of mathematics anxiety on the relationship between gender and mathematics achievement is 0.056 (p &lt; 0.05), indicating that mathematics anxiety has a positive and partial mediating effect on gender and mathematics achievement. The estimated effect of gender on math anxiety is -0.240 (p &lt; 0.05), and the estimated effect of math anxiety on math achievement is -0.236 (p &lt; 0.05). Therefore, the relationship is that boys have less math anxiety and thus achieve better math achievement, while girls have more math anxiety and thus lower math achievement.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 xml:space="preserve">The mediating effect of teacher support on the relationship between gender and math achievement was not significant (β=0.001, p &gt; 0.05), indicating that there was no mediating effect between gender and math achievement. However, </w:t>
      </w:r>
      <w:r>
        <w:rPr>
          <w:rFonts w:hint="default" w:ascii="Times New Roman" w:hAnsi="Times New Roman" w:cs="Times New Roman"/>
          <w:color w:val="000000" w:themeColor="text1"/>
          <w:sz w:val="24"/>
          <w:szCs w:val="24"/>
          <w:lang w:val="en-US" w:eastAsia="zh-CN"/>
          <w14:textFill>
            <w14:solidFill>
              <w14:schemeClr w14:val="tx1"/>
            </w14:solidFill>
          </w14:textFill>
        </w:rPr>
        <w:t>there</w:t>
      </w:r>
      <w:r>
        <w:rPr>
          <w:rFonts w:hint="default" w:ascii="Times New Roman" w:hAnsi="Times New Roman" w:cs="Times New Roman"/>
          <w:color w:val="000000" w:themeColor="text1"/>
          <w:sz w:val="24"/>
          <w:szCs w:val="24"/>
          <w14:textFill>
            <w14:solidFill>
              <w14:schemeClr w14:val="tx1"/>
            </w14:solidFill>
          </w14:textFill>
        </w:rPr>
        <w:t xml:space="preserve"> was a positive correlation between teacher </w:t>
      </w:r>
      <w:r>
        <w:rPr>
          <w:rFonts w:hint="default" w:ascii="Times New Roman" w:hAnsi="Times New Roman" w:cs="Times New Roman"/>
          <w:color w:val="000000" w:themeColor="text1"/>
          <w:sz w:val="24"/>
          <w:szCs w:val="24"/>
          <w:lang w:val="en-US" w:eastAsia="zh-CN"/>
          <w14:textFill>
            <w14:solidFill>
              <w14:schemeClr w14:val="tx1"/>
            </w14:solidFill>
          </w14:textFill>
        </w:rPr>
        <w:t>support</w:t>
      </w:r>
      <w:r>
        <w:rPr>
          <w:rFonts w:hint="default" w:ascii="Times New Roman" w:hAnsi="Times New Roman" w:cs="Times New Roman"/>
          <w:color w:val="000000" w:themeColor="text1"/>
          <w:sz w:val="24"/>
          <w:szCs w:val="24"/>
          <w14:textFill>
            <w14:solidFill>
              <w14:schemeClr w14:val="tx1"/>
            </w14:solidFill>
          </w14:textFill>
        </w:rPr>
        <w:t xml:space="preserve"> and gender (β=0.041, p &lt; 0.05), that is, teachers gave more </w:t>
      </w:r>
      <w:r>
        <w:rPr>
          <w:rFonts w:hint="default" w:ascii="Times New Roman" w:hAnsi="Times New Roman" w:cs="Times New Roman"/>
          <w:color w:val="000000" w:themeColor="text1"/>
          <w:sz w:val="24"/>
          <w:szCs w:val="24"/>
          <w:lang w:val="en-US" w:eastAsia="zh-CN"/>
          <w14:textFill>
            <w14:solidFill>
              <w14:schemeClr w14:val="tx1"/>
            </w14:solidFill>
          </w14:textFill>
        </w:rPr>
        <w:t>support</w:t>
      </w:r>
      <w:r>
        <w:rPr>
          <w:rFonts w:hint="default" w:ascii="Times New Roman" w:hAnsi="Times New Roman" w:cs="Times New Roman"/>
          <w:color w:val="000000" w:themeColor="text1"/>
          <w:sz w:val="24"/>
          <w:szCs w:val="24"/>
          <w14:textFill>
            <w14:solidFill>
              <w14:schemeClr w14:val="tx1"/>
            </w14:solidFill>
          </w14:textFill>
        </w:rPr>
        <w:t xml:space="preserve"> to male students and less </w:t>
      </w:r>
      <w:r>
        <w:rPr>
          <w:rFonts w:hint="default" w:ascii="Times New Roman" w:hAnsi="Times New Roman" w:cs="Times New Roman"/>
          <w:color w:val="000000" w:themeColor="text1"/>
          <w:sz w:val="24"/>
          <w:szCs w:val="24"/>
          <w:lang w:val="en-US" w:eastAsia="zh-CN"/>
          <w14:textFill>
            <w14:solidFill>
              <w14:schemeClr w14:val="tx1"/>
            </w14:solidFill>
          </w14:textFill>
        </w:rPr>
        <w:t>support</w:t>
      </w:r>
      <w:r>
        <w:rPr>
          <w:rFonts w:hint="default" w:ascii="Times New Roman" w:hAnsi="Times New Roman" w:cs="Times New Roman"/>
          <w:color w:val="000000" w:themeColor="text1"/>
          <w:sz w:val="24"/>
          <w:szCs w:val="24"/>
          <w14:textFill>
            <w14:solidFill>
              <w14:schemeClr w14:val="tx1"/>
            </w14:solidFill>
          </w14:textFill>
        </w:rPr>
        <w:t xml:space="preserve"> to female students. There was also a positive correlation between math achievement and teacher support (β=0.033, p &lt; 0.05), that is, students who received teacher support could achieve better math achievement.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Therefore, the mediating effect of mathematics anxiety on the relationship between gender and mathematics achievement is stronger than that of growth mindset and teacher support.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The mediating effect of growth mindset in the relationship between ESCS and math achievement is 0.008 (p &lt; 0.05), indicating that growth mindset has a positive and partial mediating effect between ESCS and math achievement. The estimated impact of ESCS on growth mindset is 0.058 (p &lt; 0.05), and the estimated impact of growth mindset on math achievement is 0.121 (p &lt; 0.05). Therefore, the relationship between them is that students with a higher socioeconomic status have more growth mindset and thus achieve higher mathematical achievements, while students with a lower socioeconomic status are not easy to have a growth mindset and thus achieve lower mathematical achievements.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The mediating effect of mathematics anxiety in the relationship between ESCS and mathematics achievement is 0.018 (p &lt; 0.05), indicating that mathemat</w:t>
      </w:r>
      <w:r>
        <w:rPr>
          <w:rFonts w:hint="default" w:ascii="Times New Roman" w:hAnsi="Times New Roman" w:cs="Times New Roman"/>
          <w:color w:val="000000" w:themeColor="text1"/>
          <w:sz w:val="24"/>
          <w:szCs w:val="24"/>
          <w:lang w:val="en-US" w:eastAsia="zh-CN"/>
          <w14:textFill>
            <w14:solidFill>
              <w14:schemeClr w14:val="tx1"/>
            </w14:solidFill>
          </w14:textFill>
        </w:rPr>
        <w:t>i</w:t>
      </w:r>
      <w:r>
        <w:rPr>
          <w:rFonts w:hint="default" w:ascii="Times New Roman" w:hAnsi="Times New Roman" w:cs="Times New Roman"/>
          <w:color w:val="000000" w:themeColor="text1"/>
          <w:sz w:val="24"/>
          <w:szCs w:val="24"/>
          <w14:textFill>
            <w14:solidFill>
              <w14:schemeClr w14:val="tx1"/>
            </w14:solidFill>
          </w14:textFill>
        </w:rPr>
        <w:t>cs anxiety has a positive and partial mediating effect between ESCS and mathematics achievement. The estimated impact of ESCS on math anxiety is -0.078 (p &lt; 0.05), and the estimated impact of math anxiety on math achievement is -0.236 (p &lt; 0.05). Therefore, the relationship between ESCS and math anxiety is that students with higher socioeconomic status have less learning anxiety and thus achieve higher achievement in math. Students in lower socioeconomic status tend to have learning anxiety and thus achieve lower math achievement.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The mediating effect of teacher support on the relationship between ESCS and mathematics achievement was not significant (β=0.001, p &gt; 0.05), indicating that there was no mediating effect between teacher support and ESCS and mathematics achievement. There was no significant relationship between teacher support and ESCS (β=0.019, p &gt; 0.05), indicating that teachers did not discriminate between students from different socioeconomic status.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14:textFill>
            <w14:solidFill>
              <w14:schemeClr w14:val="tx1"/>
            </w14:solidFill>
          </w14:textFill>
        </w:rPr>
        <w:t>It can be seen that the mediating effect of mathematics anxiety in the relationship between ESCS and mathematics achievement is stronger than that of growth mindset and teacher support.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color w:val="000000" w:themeColor="text1"/>
          <w:sz w:val="24"/>
          <w:szCs w:val="24"/>
          <w:lang w:val="en-US" w:eastAsia="zh-CN"/>
          <w14:textFill>
            <w14:solidFill>
              <w14:schemeClr w14:val="tx1"/>
            </w14:solidFill>
          </w14:textFill>
        </w:rPr>
      </w:pPr>
      <w:r>
        <w:rPr>
          <w:rFonts w:hint="default" w:ascii="Times New Roman" w:hAnsi="Times New Roman" w:cs="Times New Roman"/>
          <w:b/>
          <w:bCs/>
          <w:color w:val="000000" w:themeColor="text1"/>
          <w:sz w:val="24"/>
          <w:szCs w:val="24"/>
          <w:lang w:val="en-US" w:eastAsia="zh-CN"/>
          <w14:textFill>
            <w14:solidFill>
              <w14:schemeClr w14:val="tx1"/>
            </w14:solidFill>
          </w14:textFill>
        </w:rPr>
        <w:t>4.3 The Mediating Mechanisms of Teacher Support in Gender and ESCS Indirectly Influencing Math Achievement through Growth Mindset and Math Anxiety</w:t>
      </w:r>
      <w:r>
        <w:rPr>
          <w:rFonts w:hint="eastAsia" w:ascii="Times New Roman" w:hAnsi="Times New Roman" w:cs="Times New Roman"/>
          <w:b/>
          <w:bCs/>
          <w:color w:val="000000" w:themeColor="text1"/>
          <w:sz w:val="24"/>
          <w:szCs w:val="24"/>
          <w:lang w:val="en-US" w:eastAsia="zh-CN"/>
          <w14:textFill>
            <w14:solidFill>
              <w14:schemeClr w14:val="tx1"/>
            </w14:solidFill>
          </w14:textFill>
        </w:rPr>
        <w:t>(RQ3)</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Addressing RQ3, it primarily explores how mathematics teacher support promotes mechanisms of the link between gender, socioeconomic status, and mathematics achievement, particularly through its impact on growth mindset and math anxiety. Therefore, this section analyzes how teacher support promotes gender to indirectly affect math achievement through growth mindset and math anxiety, and how teacher support promotes ESCS to indirectly affect math achievement through growth mindset and math anxiety.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Teacher support plays a small mediating role in the indirect effect of gender on math achievement through growth mindset (β=0.000, p &lt; 0.05). There is a positive correlation between gender and teacher support (β=0.041, p &lt; 0.05), there is a positive correlation between teacher support and growth mindset (β= 0.099, p &lt; 0.05), and there is a positive correlation between growth mindset and math achievement (β= 0.121, p &lt; 0.05). Therefore, in this process, male students can get more support from teachers than female students, thus creating a growth mindset and achieving more mathematical achievements is easier than female students.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Teacher support played a mediating role in the indirect effect of gender on math achievement through math anxiety (β=0.002, p &lt; 0.05). There was a positive correlation between gender and teacher support (β=0.041, p &lt; 0.05), a negative correlation between teacher support and math anxiety (β= -0.157, p &lt; 0.05), and a negative correlation between math anxiety and math achievement (β= -0.236, p &lt; 0.05). Therefore, in this process, male students receive more teacher support than female students, thus producing less math anxiety and achieving higher math achievement than female students.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Moreover, teacher support also plays a mediating effect in the process of gender influencing math achievement through growth mindset and math anxiety (β=0.000, p &lt; 0.05). There is a positive correlation between gender and teacher support (β=0.041, p &lt; 0.05), there is a positive correlation between teacher support and growth mindset (β= 0.099, p &lt; 0.05), and there is a negative correlation between growth mindset and math anxiety (β= -0.128, p &lt; 0.05). There is a negative correlation between math anxiety and math achievement (β=-0.236, p &lt; 0.05). Therefore, the whole mechanism should provide that compared with girls, boys can get more support from teachers, which is conducive to forming a growth mindset, resulting in less math anxiety, and finally achieving higher math achievement more easily than girls.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Teacher support did not play a mediating role in the indirect influence of ESCS on mathematics achievement through growth mindset (β=0.000, p &gt; 0.05).Teacher support did not mediate the indirect effect of ESCS on math achievement through math anxiety (β=0.001, p &gt; 0.05).Moreover, teacher support had no mediating effect in the process of ESCS influencing math achievement through growth mindset and math anxiety (β=0.000, p &gt; 0.05).</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However, growth mindset plays a mediating role in the process of ESCS indirectly affecting math achievement through math anxiety (β=0.002, p &lt; 0.05). There is a positive correlation between ESCS and growth mindset (β=0.065, p &lt; 0.05), a negative correlation between growth mindset and math anxiety (β=-0.128, p &lt; 0.05), and a negative correlation between math anxiety and math achievement (β=-0.236, p &lt; 0.05). Therefore, compared with students with lower socioeconomic status, students with higher socioeconomic status are more likely to form a growth mindset, thus having less math anxiety and achieving higher math achievements.</w:t>
      </w:r>
    </w:p>
    <w:p>
      <w:pPr>
        <w:rPr>
          <w:rFonts w:hint="eastAsia"/>
        </w:rPr>
      </w:pPr>
    </w:p>
    <w:p>
      <w:pPr>
        <w:tabs>
          <w:tab w:val="left" w:pos="7009"/>
        </w:tabs>
        <w:bidi w:val="0"/>
        <w:jc w:val="both"/>
        <w:rPr>
          <w:rFonts w:hint="eastAsia" w:ascii="Times New Roman" w:hAnsi="Times New Roman" w:eastAsia="宋体" w:cs="Times New Roman"/>
          <w:i w:val="0"/>
          <w:iCs w:val="0"/>
          <w:color w:val="222222"/>
          <w:spacing w:val="0"/>
          <w:sz w:val="24"/>
          <w:szCs w:val="24"/>
          <w:shd w:val="clear" w:fill="FFFFFF"/>
          <w:lang w:val="en-US" w:eastAsia="zh-CN"/>
        </w:rPr>
      </w:pPr>
      <w:bookmarkStart w:id="0" w:name="_GoBack"/>
      <w:bookmarkEnd w:id="0"/>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44B9211"/>
    <w:multiLevelType w:val="singleLevel"/>
    <w:tmpl w:val="B44B9211"/>
    <w:lvl w:ilvl="0" w:tentative="0">
      <w:start w:val="4"/>
      <w:numFmt w:val="decimal"/>
      <w:suff w:val="space"/>
      <w:lvlText w:val="%1."/>
      <w:lvlJc w:val="left"/>
    </w:lvl>
  </w:abstractNum>
  <w:abstractNum w:abstractNumId="1">
    <w:nsid w:val="CEBDD81F"/>
    <w:multiLevelType w:val="singleLevel"/>
    <w:tmpl w:val="CEBDD81F"/>
    <w:lvl w:ilvl="0" w:tentative="0">
      <w:start w:val="2"/>
      <w:numFmt w:val="decimal"/>
      <w:suff w:val="space"/>
      <w:lvlText w:val="%1."/>
      <w:lvlJc w:val="left"/>
    </w:lvl>
  </w:abstractNum>
  <w:abstractNum w:abstractNumId="2">
    <w:nsid w:val="2C0566B1"/>
    <w:multiLevelType w:val="singleLevel"/>
    <w:tmpl w:val="2C0566B1"/>
    <w:lvl w:ilvl="0" w:tentative="0">
      <w:start w:val="3"/>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15740AB1"/>
    <w:rsid w:val="19905EEA"/>
    <w:rsid w:val="216D1B64"/>
    <w:rsid w:val="21F40E28"/>
    <w:rsid w:val="225A4F19"/>
    <w:rsid w:val="356D23E6"/>
    <w:rsid w:val="49514C15"/>
    <w:rsid w:val="534B7800"/>
    <w:rsid w:val="5682621A"/>
    <w:rsid w:val="59747C53"/>
    <w:rsid w:val="5F4531D4"/>
    <w:rsid w:val="63D12808"/>
    <w:rsid w:val="6AD92A96"/>
    <w:rsid w:val="A7762F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1817</Words>
  <Characters>10092</Characters>
  <Lines>1</Lines>
  <Paragraphs>1</Paragraphs>
  <TotalTime>0</TotalTime>
  <ScaleCrop>false</ScaleCrop>
  <LinksUpToDate>false</LinksUpToDate>
  <CharactersWithSpaces>11633</CharactersWithSpaces>
  <Application>WPS Office_6.5.1.8687_F1E327BC-269C-435d-A152-05C5408002CA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2024-11-25T17:49:00Z</dcterms:created>
  <dc:creator>　　南方酒馆</dc:creator>
  <cp:lastModifiedBy>黄梦莹</cp:lastModifiedBy>
  <dcterms:modified xsi:type="dcterms:W3CDTF">2025-01-02T14:32:03Z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2052-6.5.1.8687</vt:lpwstr>
  </property>
  <property fmtid="{D5CDD505-2E9C-101B-9397-08002B2CF9AE}" pid="3" name="ICV">
    <vt:lpwstr>73113869C3CC83DD63A37667E0F462B5_43</vt:lpwstr>
  </property>
</Properties>
</file>