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C5E60" w14:textId="6BD0287B" w:rsidR="00C83963" w:rsidRDefault="00C83963" w:rsidP="00C83963">
      <w:pPr>
        <w:rPr>
          <w:rFonts w:ascii="Arial" w:hAnsi="Arial" w:cs="Arial"/>
          <w:szCs w:val="22"/>
        </w:rPr>
      </w:pPr>
      <w:r>
        <w:rPr>
          <w:noProof/>
          <w:szCs w:val="22"/>
          <w14:ligatures w14:val="none"/>
        </w:rPr>
        <w:drawing>
          <wp:anchor distT="0" distB="0" distL="114300" distR="114300" simplePos="0" relativeHeight="251659264" behindDoc="0" locked="0" layoutInCell="1" allowOverlap="1" wp14:anchorId="2D5A585B" wp14:editId="3C24D36F">
            <wp:simplePos x="0" y="0"/>
            <wp:positionH relativeFrom="margin">
              <wp:align>center</wp:align>
            </wp:positionH>
            <wp:positionV relativeFrom="paragraph">
              <wp:posOffset>76200</wp:posOffset>
            </wp:positionV>
            <wp:extent cx="4160520" cy="195580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60520" cy="19558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br w:type="textWrapping" w:clear="all"/>
      </w:r>
    </w:p>
    <w:p w14:paraId="55BD7615" w14:textId="08F219E2" w:rsidR="00C83963" w:rsidRDefault="00C83963" w:rsidP="00C83963">
      <w:pPr>
        <w:pStyle w:val="Header"/>
        <w:spacing w:line="480" w:lineRule="auto"/>
        <w:jc w:val="center"/>
        <w:rPr>
          <w:rFonts w:ascii="Arial" w:hAnsi="Arial" w:cs="Arial"/>
          <w:sz w:val="36"/>
          <w:szCs w:val="36"/>
        </w:rPr>
      </w:pPr>
      <w:r>
        <w:rPr>
          <w:sz w:val="36"/>
          <w:szCs w:val="36"/>
        </w:rPr>
        <w:t>Assessment 2: Community Engagement</w:t>
      </w:r>
    </w:p>
    <w:p w14:paraId="6067E6C2" w14:textId="77777777" w:rsidR="00C83963" w:rsidRDefault="00C83963" w:rsidP="00C83963">
      <w:pPr>
        <w:pStyle w:val="Default"/>
        <w:spacing w:line="360" w:lineRule="auto"/>
        <w:jc w:val="center"/>
      </w:pPr>
    </w:p>
    <w:p w14:paraId="0D0C863C" w14:textId="77777777" w:rsidR="00C83963" w:rsidRDefault="00C83963" w:rsidP="00C83963">
      <w:pPr>
        <w:pStyle w:val="Default"/>
        <w:spacing w:line="360" w:lineRule="auto"/>
        <w:jc w:val="center"/>
      </w:pPr>
      <w:r>
        <w:t>Course: BA Business Management</w:t>
      </w:r>
    </w:p>
    <w:p w14:paraId="34865289" w14:textId="77777777" w:rsidR="00C83963" w:rsidRDefault="00C83963" w:rsidP="00C83963">
      <w:pPr>
        <w:pStyle w:val="Default"/>
        <w:spacing w:line="360" w:lineRule="auto"/>
        <w:jc w:val="center"/>
      </w:pPr>
    </w:p>
    <w:p w14:paraId="20192817" w14:textId="77777777" w:rsidR="00C83963" w:rsidRDefault="00C83963" w:rsidP="00C83963">
      <w:pPr>
        <w:pStyle w:val="Default"/>
        <w:spacing w:line="360" w:lineRule="auto"/>
        <w:jc w:val="center"/>
      </w:pPr>
      <w:r>
        <w:t>Module name: Community Engagement</w:t>
      </w:r>
    </w:p>
    <w:p w14:paraId="0023B76D" w14:textId="77777777" w:rsidR="00C83963" w:rsidRDefault="00C83963" w:rsidP="00C83963">
      <w:pPr>
        <w:pStyle w:val="Default"/>
        <w:spacing w:line="360" w:lineRule="auto"/>
        <w:jc w:val="center"/>
      </w:pPr>
    </w:p>
    <w:p w14:paraId="7540857E" w14:textId="77777777" w:rsidR="00C83963" w:rsidRDefault="00C83963" w:rsidP="00C83963">
      <w:pPr>
        <w:pStyle w:val="Default"/>
        <w:spacing w:line="360" w:lineRule="auto"/>
        <w:jc w:val="center"/>
      </w:pPr>
      <w:r>
        <w:t>Module Code: LCBB4002</w:t>
      </w:r>
    </w:p>
    <w:p w14:paraId="474E3C1E" w14:textId="77777777" w:rsidR="00C83963" w:rsidRDefault="00C83963" w:rsidP="00C83963">
      <w:pPr>
        <w:pStyle w:val="Default"/>
        <w:spacing w:line="360" w:lineRule="auto"/>
        <w:jc w:val="center"/>
      </w:pPr>
    </w:p>
    <w:p w14:paraId="1F65312E" w14:textId="77777777" w:rsidR="00C83963" w:rsidRDefault="00C83963" w:rsidP="00C83963">
      <w:pPr>
        <w:pStyle w:val="Default"/>
        <w:spacing w:line="360" w:lineRule="auto"/>
        <w:jc w:val="center"/>
      </w:pPr>
      <w:r>
        <w:t>Lecturer name: Anita Nan</w:t>
      </w:r>
    </w:p>
    <w:p w14:paraId="081C62DE" w14:textId="77777777" w:rsidR="00C83963" w:rsidRDefault="00C83963" w:rsidP="00C83963">
      <w:pPr>
        <w:pStyle w:val="Default"/>
        <w:spacing w:line="360" w:lineRule="auto"/>
      </w:pPr>
    </w:p>
    <w:p w14:paraId="4409981E" w14:textId="77777777" w:rsidR="00C83963" w:rsidRDefault="00C83963" w:rsidP="00C83963">
      <w:pPr>
        <w:pStyle w:val="Default"/>
        <w:spacing w:line="360" w:lineRule="auto"/>
        <w:jc w:val="center"/>
      </w:pPr>
      <w:r>
        <w:t>Student name: Krasimir Iliev</w:t>
      </w:r>
    </w:p>
    <w:p w14:paraId="3F1D9CF3" w14:textId="77777777" w:rsidR="00C83963" w:rsidRDefault="00C83963" w:rsidP="00C83963">
      <w:pPr>
        <w:pStyle w:val="Default"/>
        <w:spacing w:line="360" w:lineRule="auto"/>
        <w:jc w:val="center"/>
      </w:pPr>
    </w:p>
    <w:p w14:paraId="6E1AFF40" w14:textId="77777777" w:rsidR="00C83963" w:rsidRDefault="00C83963" w:rsidP="00C83963">
      <w:pPr>
        <w:pStyle w:val="Default"/>
        <w:spacing w:line="360" w:lineRule="auto"/>
        <w:jc w:val="center"/>
      </w:pPr>
      <w:r>
        <w:t>Student ID: 2123464</w:t>
      </w:r>
    </w:p>
    <w:p w14:paraId="1CBF2673" w14:textId="77777777" w:rsidR="00C83963" w:rsidRDefault="00C83963" w:rsidP="00C83963">
      <w:pPr>
        <w:pStyle w:val="Default"/>
        <w:spacing w:line="360" w:lineRule="auto"/>
        <w:jc w:val="center"/>
      </w:pPr>
    </w:p>
    <w:p w14:paraId="6C32C857" w14:textId="50C6E6D7" w:rsidR="00C83963" w:rsidRDefault="00C83963" w:rsidP="00C83963">
      <w:pPr>
        <w:pStyle w:val="Default"/>
        <w:spacing w:line="360" w:lineRule="auto"/>
        <w:jc w:val="center"/>
      </w:pPr>
      <w:r>
        <w:t>Submission Date: 09/09/2022</w:t>
      </w:r>
    </w:p>
    <w:p w14:paraId="733CA524" w14:textId="77777777" w:rsidR="00C83963" w:rsidRDefault="00C83963" w:rsidP="00C83963">
      <w:pPr>
        <w:rPr>
          <w:rFonts w:ascii="Arial" w:hAnsi="Arial" w:cs="Arial"/>
          <w:b/>
          <w:bCs/>
        </w:rPr>
      </w:pPr>
    </w:p>
    <w:p w14:paraId="789859E0" w14:textId="77777777" w:rsidR="00C83963" w:rsidRDefault="00C83963" w:rsidP="00C83963">
      <w:pPr>
        <w:rPr>
          <w:rFonts w:ascii="Arial" w:hAnsi="Arial" w:cs="Arial"/>
        </w:rPr>
      </w:pPr>
    </w:p>
    <w:p w14:paraId="284E0E30" w14:textId="77777777" w:rsidR="00FC224E" w:rsidRPr="00FC224E" w:rsidRDefault="00FC224E" w:rsidP="00FC224E">
      <w:pPr>
        <w:spacing w:before="0" w:beforeAutospacing="0" w:after="0" w:afterAutospacing="0"/>
        <w:jc w:val="both"/>
        <w:rPr>
          <w:rFonts w:ascii="Arial" w:hAnsi="Arial" w:cs="Arial"/>
          <w:b/>
          <w:bCs/>
        </w:rPr>
      </w:pPr>
      <w:r w:rsidRPr="00FC224E">
        <w:rPr>
          <w:rFonts w:ascii="Arial" w:hAnsi="Arial" w:cs="Arial"/>
          <w:b/>
          <w:bCs/>
        </w:rPr>
        <w:lastRenderedPageBreak/>
        <w:t>Introduction</w:t>
      </w:r>
    </w:p>
    <w:p w14:paraId="55831716" w14:textId="4DD0FB3F" w:rsidR="00FC224E" w:rsidRPr="00FC224E" w:rsidRDefault="00FC224E" w:rsidP="00FC224E">
      <w:pPr>
        <w:spacing w:before="0" w:beforeAutospacing="0" w:after="0" w:afterAutospacing="0"/>
        <w:jc w:val="both"/>
        <w:rPr>
          <w:rFonts w:ascii="Arial" w:hAnsi="Arial" w:cs="Arial"/>
        </w:rPr>
      </w:pPr>
      <w:r w:rsidRPr="00FC224E">
        <w:rPr>
          <w:rFonts w:ascii="Arial" w:hAnsi="Arial" w:cs="Arial"/>
        </w:rPr>
        <w:tab/>
        <w:t xml:space="preserve">Increasing public engagement around the world has made community engagement critical to well-functioning, twenty-first-century democracies. To produce more egalitarian and long-lasting public policy and enhance local communities' livability, good partnerships between individuals and government institutions are essential if community engagement is to be successful (Granicus, 2021). Individuals, public groups, and governments all benefit from community engagement. A collective approach to service design and delivery is critical in situations where traditional, executive-led techniques are inadequate. </w:t>
      </w:r>
    </w:p>
    <w:p w14:paraId="2119840E" w14:textId="77777777"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t>Therefore, the benefits of community engagement projects accrue to citizens in the target group (community). For example, in the UK, the introduction of the Community First Responders (CFRs) in the late 90s changed the scope of healthcare emergency responses in rural settings and urban areas with no proximity to health institutions. CFRs have played a significant role in curbing health-related complications in areas with sparse health coverage. This paper discusses the place of Community First Responders as a critical part of a community engagement program by evaluating their impact on the community and how they engage community members in the form of training and volunteer services to save more lives.</w:t>
      </w:r>
    </w:p>
    <w:p w14:paraId="6AEBD77D" w14:textId="77777777" w:rsidR="00FC224E" w:rsidRPr="00FC224E" w:rsidRDefault="00FC224E" w:rsidP="00FC224E">
      <w:pPr>
        <w:spacing w:before="0" w:beforeAutospacing="0" w:after="0" w:afterAutospacing="0"/>
        <w:jc w:val="both"/>
        <w:rPr>
          <w:rFonts w:ascii="Arial" w:hAnsi="Arial" w:cs="Arial"/>
          <w:b/>
          <w:bCs/>
        </w:rPr>
      </w:pPr>
      <w:r w:rsidRPr="00FC224E">
        <w:rPr>
          <w:rFonts w:ascii="Arial" w:hAnsi="Arial" w:cs="Arial"/>
          <w:b/>
          <w:bCs/>
        </w:rPr>
        <w:t>Community First Responders and Responder Schemes in the UK</w:t>
      </w:r>
    </w:p>
    <w:p w14:paraId="74B6BE68" w14:textId="4D55F7AF" w:rsidR="00FC224E" w:rsidRPr="00FC224E" w:rsidRDefault="00FC224E" w:rsidP="00FC224E">
      <w:pPr>
        <w:spacing w:before="0" w:beforeAutospacing="0" w:after="0" w:afterAutospacing="0"/>
        <w:jc w:val="both"/>
        <w:rPr>
          <w:rFonts w:ascii="Arial" w:hAnsi="Arial" w:cs="Arial"/>
        </w:rPr>
      </w:pPr>
      <w:r w:rsidRPr="00FC224E">
        <w:rPr>
          <w:rFonts w:ascii="Arial" w:hAnsi="Arial" w:cs="Arial"/>
        </w:rPr>
        <w:tab/>
        <w:t xml:space="preserve">A Community First Responder (CFR) "is a member of the general public who undergoes basic emergency medical training and offers to serve their communities by attending to appropriate medical crises (Phung et al., 2017). They are a useful addition </w:t>
      </w:r>
      <w:r w:rsidRPr="00FC224E">
        <w:rPr>
          <w:rFonts w:ascii="Arial" w:hAnsi="Arial" w:cs="Arial"/>
        </w:rPr>
        <w:lastRenderedPageBreak/>
        <w:t>to the ambulance service's capabilities. Their job is especially important in rural areas, where ambulances may take longer to arrive in the event of an emergency.</w:t>
      </w:r>
    </w:p>
    <w:p w14:paraId="21B3A07B" w14:textId="7F0112BD"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t>Prior to the arrival of an ambulance, patients can receive immediate medical help from Community First Responder programmes, which have been operating since the 1990s.  In the United Kingdom, the ambulance service has approximately 2,500 CFR schemes and more than 11,000 volunteers (Phung et al., 2017). It is common for them to be non-profit organisations, either independent or managed by paramedic trusts. CFR service administration, volunteer support, and training or the quality of services offered currently have no national standards. Many local plans have evolved independently, reflecting the various communities' goals. For example, most cardiac arrest response programmes respond to cardiovascular risk, whereas some may also respond to road traffic collisions and other trauma events (Phung et al., 2017). As a result of this wide range of options, voluntary training and assistance could impact staff members' effectiveness, reliability, and engagement.</w:t>
      </w:r>
    </w:p>
    <w:p w14:paraId="03205C8A" w14:textId="555F2B89"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t xml:space="preserve">Some areas of the United Kingdom, such as the East Midlands, have both impartial and ambulance-run CFR programmes. For example, Lincolnshire Integrated Voluntary Emergency Service (LIVES) is a recognized CFR that offers such services. Although LIVES, the voluntary emergency response system for the county of Lincolnshire, works closely with the regional ambulance service, it is distinct from it, whereas the CFR system for Nottinghamshire is overseen by the ambulance service (Phung et al., 2017). They both have participants trained at the 'first responder' level, </w:t>
      </w:r>
      <w:proofErr w:type="gramStart"/>
      <w:r w:rsidRPr="00FC224E">
        <w:rPr>
          <w:rFonts w:ascii="Arial" w:hAnsi="Arial" w:cs="Arial"/>
        </w:rPr>
        <w:t>similar to</w:t>
      </w:r>
      <w:proofErr w:type="gramEnd"/>
      <w:r w:rsidRPr="00FC224E">
        <w:rPr>
          <w:rFonts w:ascii="Arial" w:hAnsi="Arial" w:cs="Arial"/>
        </w:rPr>
        <w:t xml:space="preserve"> other CFR programs.</w:t>
      </w:r>
    </w:p>
    <w:p w14:paraId="0B8AC30C" w14:textId="77777777"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lastRenderedPageBreak/>
        <w:t>People join CFRs primarily to give back to the communities in which they live. Formal procedures for providing feedback, such as those used by organisations, may help CFRs feel valued and recognised for their work. Recruiting and retaining volunteers are important considerations for CFR systems. CFRs prefer this type of training because they believe it will help them develop a wider range of abilities. CFRs want to be able to deal with a wider range of problems; therefore, keeping scenario-based training realistic and motivating them to enhance their skills is key. CFRs place high importance on the adaptability and accessibility of support systems that can assist them in dealing with difficult situations that arise from time to time.</w:t>
      </w:r>
    </w:p>
    <w:p w14:paraId="65695D94" w14:textId="285B8BBE"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t xml:space="preserve">Rural populations worldwide have a tough time getting the health care they need because of factors including topography, a lack of nearby service centres, and the reluctance of health care specialists to work in outlying areas (Roberts et al., 2014). Rural populations are at a disadvantage when it comes to accessing emergency medical treatment, which can have a significant impact on their health results. Rural health care is being restructured </w:t>
      </w:r>
      <w:proofErr w:type="gramStart"/>
      <w:r w:rsidRPr="00FC224E">
        <w:rPr>
          <w:rFonts w:ascii="Arial" w:hAnsi="Arial" w:cs="Arial"/>
        </w:rPr>
        <w:t>as a result of</w:t>
      </w:r>
      <w:proofErr w:type="gramEnd"/>
      <w:r w:rsidRPr="00FC224E">
        <w:rPr>
          <w:rFonts w:ascii="Arial" w:hAnsi="Arial" w:cs="Arial"/>
        </w:rPr>
        <w:t xml:space="preserve"> a shift in public service provision from social welfare to self and community responsibility.</w:t>
      </w:r>
    </w:p>
    <w:p w14:paraId="1637ECC5" w14:textId="09173BB8"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t xml:space="preserve">Promoting community self-sufficiency, self-reliance, and coproduction of essential services is no longer a controversial idea. Accordingly, citizens' rights to services must be balanced by their obligations to both produce and consume these goods and services (Roberts et al., 2014). Community First Responders (CFRs) demonstrate a new era of volunteerism for coproduction by providing local emergency treatment alongside ambulance services and other medical professionals. According to research, coproduction in rural settings may be perfect since rural communities are </w:t>
      </w:r>
      <w:r w:rsidRPr="00FC224E">
        <w:rPr>
          <w:rFonts w:ascii="Arial" w:hAnsi="Arial" w:cs="Arial"/>
        </w:rPr>
        <w:lastRenderedPageBreak/>
        <w:t>wealthier in social capital and volunteer more frequently than their urban counterparts (Roberts et al., 2014).</w:t>
      </w:r>
    </w:p>
    <w:p w14:paraId="7A830F57" w14:textId="77777777" w:rsidR="00FC224E" w:rsidRPr="00FC224E" w:rsidRDefault="00FC224E" w:rsidP="00FC224E">
      <w:pPr>
        <w:spacing w:before="0" w:beforeAutospacing="0" w:after="0" w:afterAutospacing="0"/>
        <w:ind w:firstLine="720"/>
        <w:jc w:val="both"/>
        <w:rPr>
          <w:rFonts w:ascii="Arial" w:hAnsi="Arial" w:cs="Arial"/>
          <w:b/>
          <w:bCs/>
        </w:rPr>
      </w:pPr>
      <w:r w:rsidRPr="00FC224E">
        <w:rPr>
          <w:rFonts w:ascii="Arial" w:hAnsi="Arial" w:cs="Arial"/>
          <w:b/>
          <w:bCs/>
        </w:rPr>
        <w:t>Project: Lincolnshire Integrated Voluntary Emergency Service (LIVES)</w:t>
      </w:r>
    </w:p>
    <w:p w14:paraId="10F06B47" w14:textId="0A819EAD" w:rsidR="00FC224E" w:rsidRPr="00FC224E" w:rsidRDefault="00FC224E" w:rsidP="00FC224E">
      <w:pPr>
        <w:spacing w:before="0" w:beforeAutospacing="0" w:after="0" w:afterAutospacing="0"/>
        <w:ind w:firstLine="720"/>
        <w:jc w:val="both"/>
        <w:rPr>
          <w:rFonts w:ascii="Arial" w:hAnsi="Arial" w:cs="Arial"/>
        </w:rPr>
      </w:pPr>
      <w:bookmarkStart w:id="0" w:name="_Hlk111720866"/>
      <w:r w:rsidRPr="00FC224E">
        <w:rPr>
          <w:rFonts w:ascii="Arial" w:hAnsi="Arial" w:cs="Arial"/>
        </w:rPr>
        <w:t>Lincolnshire Integrated Voluntary Emergency Service (LIVES)</w:t>
      </w:r>
      <w:bookmarkEnd w:id="0"/>
      <w:r w:rsidRPr="00FC224E">
        <w:rPr>
          <w:rFonts w:ascii="Arial" w:hAnsi="Arial" w:cs="Arial"/>
        </w:rPr>
        <w:t xml:space="preserve"> is a recognized CFR in Lincolnshire County in the UK. Ideally, it is difficult to respond to medical emergencies quickly and skillfully in the wider Lincolnshire area because of the region's geography and infrastructure. </w:t>
      </w:r>
      <w:proofErr w:type="gramStart"/>
      <w:r w:rsidRPr="00FC224E">
        <w:rPr>
          <w:rFonts w:ascii="Arial" w:hAnsi="Arial" w:cs="Arial"/>
        </w:rPr>
        <w:t>This is why</w:t>
      </w:r>
      <w:proofErr w:type="gramEnd"/>
      <w:r w:rsidRPr="00FC224E">
        <w:rPr>
          <w:rFonts w:ascii="Arial" w:hAnsi="Arial" w:cs="Arial"/>
        </w:rPr>
        <w:t xml:space="preserve"> LIVES was created: to help solve these problems. In the event of a medical crisis in Lincolnshire, it provides people, capabilities, resources, and expertise to those in need (LIVES, 2020). In a remote county with little infrastructure, LIVES exists because individuals there face the same healthcare and trauma emergencies as those in urban areas. A medical emergency should not be made worse for anyone in the county simply because they reside or work too far away from the healthcare resources they need. Volunteers at LIVES are not a medical response team. Lincolnshire's Emergency Response Network brings together individuals from all walks of life in the county's villages and towns, schools, corporations, and industries so they have the skills to respond promptly and skillfully to a medical emergency (LIVES, 2020).</w:t>
      </w:r>
    </w:p>
    <w:p w14:paraId="72504135" w14:textId="2F808C91"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t xml:space="preserve">LIVES provides two emergency response options. The majority of responses come from a Community First </w:t>
      </w:r>
      <w:proofErr w:type="gramStart"/>
      <w:r w:rsidRPr="00FC224E">
        <w:rPr>
          <w:rFonts w:ascii="Arial" w:hAnsi="Arial" w:cs="Arial"/>
        </w:rPr>
        <w:t>Responder,</w:t>
      </w:r>
      <w:proofErr w:type="gramEnd"/>
      <w:r w:rsidRPr="00FC224E">
        <w:rPr>
          <w:rFonts w:ascii="Arial" w:hAnsi="Arial" w:cs="Arial"/>
        </w:rPr>
        <w:t xml:space="preserve"> a trained local volunteer who provides life-saving measures as quickly as possible (LCC, 2017). The volunteer Medic First Responders are skilled health experts who can provide specialized or critical medical care in the event of a medical emergency. As the official ambulance service provider with whom we have a Service Level Agreement, LIVES complements the service </w:t>
      </w:r>
      <w:r w:rsidRPr="00FC224E">
        <w:rPr>
          <w:rFonts w:ascii="Arial" w:hAnsi="Arial" w:cs="Arial"/>
        </w:rPr>
        <w:lastRenderedPageBreak/>
        <w:t>offered by the East Midlands Ambulance Service NHS Trust. Lincolnshire Fire &amp; Rescue and the Joint Ambulance Conveyance Project collaborate with LIVES to provide co-responders training, support, and clinical governance (LCC, 2017).</w:t>
      </w:r>
    </w:p>
    <w:p w14:paraId="0BE273DC" w14:textId="2ABEBA81"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t>Any individual in Lincolnshire, North-East Lincolnshire, or a nearby area who has been hurt in an accident or is experiencing a medical emergency can count on LIVES to give them immediate medical attention. Promote the concept of pre-hospital emergency medical care across the country by offering advice and guidance on all elements of this type of treatment, including training delivery and the supply of certified emergency equipment (LCC, 2017). Emergency responders are divided into operational teams depending on the responsiveness of six minutes or less under typical driving circumstances. Around 750 LIVES Community First Responders and LIVES Medics are currently active across the county's 160 responder groups. In 2016, LIVES responded to about 21,000 emergency calls, an increase of about 15% over the previous year, and this figure is expected to rise in the future (LCC, 2017).</w:t>
      </w:r>
    </w:p>
    <w:p w14:paraId="09837E17" w14:textId="77777777" w:rsidR="00FC224E" w:rsidRPr="00FC224E" w:rsidRDefault="00FC224E" w:rsidP="00FC224E">
      <w:pPr>
        <w:spacing w:before="0" w:beforeAutospacing="0" w:after="0" w:afterAutospacing="0"/>
        <w:jc w:val="both"/>
        <w:rPr>
          <w:rFonts w:ascii="Arial" w:hAnsi="Arial" w:cs="Arial"/>
          <w:b/>
          <w:bCs/>
        </w:rPr>
      </w:pPr>
      <w:r w:rsidRPr="00FC224E">
        <w:rPr>
          <w:rFonts w:ascii="Arial" w:hAnsi="Arial" w:cs="Arial"/>
          <w:b/>
          <w:bCs/>
        </w:rPr>
        <w:t xml:space="preserve">Roles in Community Stakeholder Engagement </w:t>
      </w:r>
    </w:p>
    <w:p w14:paraId="1488F08E" w14:textId="69AD008A" w:rsidR="00FC224E" w:rsidRPr="00FC224E" w:rsidRDefault="00FC224E" w:rsidP="00FC224E">
      <w:pPr>
        <w:spacing w:before="0" w:beforeAutospacing="0" w:after="0" w:afterAutospacing="0"/>
        <w:jc w:val="both"/>
        <w:rPr>
          <w:rFonts w:ascii="Arial" w:hAnsi="Arial" w:cs="Arial"/>
        </w:rPr>
      </w:pPr>
      <w:r w:rsidRPr="00FC224E">
        <w:rPr>
          <w:rFonts w:ascii="Arial" w:hAnsi="Arial" w:cs="Arial"/>
        </w:rPr>
        <w:tab/>
        <w:t xml:space="preserve">Organizational performance, long-term partnerships, and value creation depend on effective stakeholder engagement. Stakeholder groups and their interactions with associates are critical in community engagement projects, particularly in highly sophisticated projects such as new product innovation, because such task needs expertise and information that is likely to be scattered geographically or virtually and thus more difficult to coordinate (Zwikael et al., 2012). To help a change leader discover, analyse, and influence the effect of public agents on achieving organisational </w:t>
      </w:r>
      <w:r w:rsidRPr="00FC224E">
        <w:rPr>
          <w:rFonts w:ascii="Arial" w:hAnsi="Arial" w:cs="Arial"/>
        </w:rPr>
        <w:lastRenderedPageBreak/>
        <w:t>objectives, minimising risk, and boosting sustainability is the primary goal of stakeholder management (Zwikael et al., 2012).</w:t>
      </w:r>
    </w:p>
    <w:p w14:paraId="648133E7" w14:textId="0BABC362"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t>When managing stakeholders in a community engagement project, the primary purpose is to identify the important stakeholders and choose the appropriate management style for each of them. The sponsor, ultimate consumer, project personnel, senior executives, staff from different departments of the implementation team, and other entities are typical examples of project stakeholders (Zwikael et al., 2012). There may be a limit to current stakeholder management processes' ability to influence stakeholders' views on crucial initiatives that are essential to a company's long-term performance and sustainability. Consequently, stakeholder engagement needs to shift from a stationary hub and spoke paradigm with the company at the centre and stakeholders at the periphery to a dynamic, integrative framework in which stakeholders collaborate and proactively engage with the company (Ramachandra and Mansor, 2014).</w:t>
      </w:r>
    </w:p>
    <w:p w14:paraId="4BB10739" w14:textId="77777777" w:rsidR="00FC224E" w:rsidRPr="00FC224E" w:rsidRDefault="00FC224E" w:rsidP="00FC224E">
      <w:pPr>
        <w:spacing w:before="0" w:beforeAutospacing="0" w:after="0" w:afterAutospacing="0"/>
        <w:ind w:firstLine="720"/>
        <w:jc w:val="both"/>
        <w:rPr>
          <w:rFonts w:ascii="Arial" w:hAnsi="Arial" w:cs="Arial"/>
          <w:b/>
          <w:bCs/>
        </w:rPr>
      </w:pPr>
      <w:r w:rsidRPr="00FC224E">
        <w:rPr>
          <w:rFonts w:ascii="Arial" w:hAnsi="Arial" w:cs="Arial"/>
          <w:b/>
          <w:bCs/>
        </w:rPr>
        <w:t>Social Media and Microparticipation</w:t>
      </w:r>
    </w:p>
    <w:p w14:paraId="616EFB88" w14:textId="5F45EF7C" w:rsidR="00FC224E" w:rsidRPr="00FC224E" w:rsidRDefault="00FC224E" w:rsidP="00FC224E">
      <w:pPr>
        <w:spacing w:before="0" w:beforeAutospacing="0" w:after="0" w:afterAutospacing="0"/>
        <w:jc w:val="both"/>
        <w:rPr>
          <w:rFonts w:ascii="Arial" w:hAnsi="Arial" w:cs="Arial"/>
        </w:rPr>
      </w:pPr>
      <w:r w:rsidRPr="00FC224E">
        <w:rPr>
          <w:rFonts w:ascii="Arial" w:hAnsi="Arial" w:cs="Arial"/>
        </w:rPr>
        <w:tab/>
        <w:t xml:space="preserve">For instance, this project's use of online social networks for transportation planning is an example of the usage of this type of tool to encourage interaction between groups of individuals with similar interests (Evans-Cowley and Griffin, 2012). Microblogging is a feature of many social networking systems that allow participants to publish short information such as slogans, fast remarks, graphics, or links to Internet sites that may include photos, audio, and video. To efficiently use social media platforms to convey information or conduct discussions with individuals about a topic of interest, social media strategies can help you strategize. Improved online </w:t>
      </w:r>
      <w:r w:rsidRPr="00FC224E">
        <w:rPr>
          <w:rFonts w:ascii="Arial" w:hAnsi="Arial" w:cs="Arial"/>
        </w:rPr>
        <w:lastRenderedPageBreak/>
        <w:t>communication is possible with social media platforms, especially if implemented and managed correctly (Evans-Cowley and Griffin, 2012). For the planner, developing an online relationship that would ultimately lead to microparticipation, collecting microblogs, and then contacting microbloggers to engage in discourse is one of many difficulties.</w:t>
      </w:r>
    </w:p>
    <w:p w14:paraId="79B48AD6" w14:textId="62DDDEF9" w:rsidR="00FC224E" w:rsidRPr="00FC224E" w:rsidRDefault="00FC224E" w:rsidP="00FC224E">
      <w:pPr>
        <w:spacing w:before="0" w:beforeAutospacing="0" w:after="0" w:afterAutospacing="0"/>
        <w:jc w:val="both"/>
        <w:rPr>
          <w:rFonts w:ascii="Arial" w:hAnsi="Arial" w:cs="Arial"/>
        </w:rPr>
      </w:pPr>
      <w:r w:rsidRPr="00FC224E">
        <w:rPr>
          <w:rFonts w:ascii="Arial" w:hAnsi="Arial" w:cs="Arial"/>
        </w:rPr>
        <w:tab/>
        <w:t>A wide range of technological tools and approaches are used to exchange and discuss information via social media to create value for community engagement projects (Shani, 2020). User-created content can be transmitted or distributed via social media, which allows individuals to have a say in how the information is shared with a large audience. Social networking, on the other hand, is the use of these tools to establish and maintain relationships with others (Vogt et al., 2014). Social networking is all about associating and building relationships with those with a common passion. It is possible to enhance social networking in community development by utilising social media. It is also possible to network, collaborate, and develop relationships through social media (Shani, 2020).</w:t>
      </w:r>
    </w:p>
    <w:p w14:paraId="1E3F2C4E" w14:textId="77777777" w:rsidR="00FC224E" w:rsidRPr="00FC224E" w:rsidRDefault="00FC224E" w:rsidP="00FC224E">
      <w:pPr>
        <w:spacing w:before="0" w:beforeAutospacing="0" w:after="0" w:afterAutospacing="0"/>
        <w:jc w:val="both"/>
        <w:rPr>
          <w:rFonts w:ascii="Arial" w:hAnsi="Arial" w:cs="Arial"/>
          <w:b/>
          <w:bCs/>
        </w:rPr>
      </w:pPr>
      <w:r w:rsidRPr="00FC224E">
        <w:rPr>
          <w:rFonts w:ascii="Arial" w:hAnsi="Arial" w:cs="Arial"/>
          <w:b/>
          <w:bCs/>
        </w:rPr>
        <w:t>Recommendation</w:t>
      </w:r>
    </w:p>
    <w:p w14:paraId="789369D9" w14:textId="7725B007" w:rsidR="00FC224E" w:rsidRPr="00FC224E" w:rsidRDefault="00FC224E" w:rsidP="00FC224E">
      <w:pPr>
        <w:spacing w:before="0" w:beforeAutospacing="0" w:after="0" w:afterAutospacing="0"/>
        <w:ind w:firstLine="720"/>
        <w:jc w:val="both"/>
        <w:rPr>
          <w:rFonts w:ascii="Arial" w:hAnsi="Arial" w:cs="Arial"/>
        </w:rPr>
      </w:pPr>
      <w:r w:rsidRPr="00FC224E">
        <w:rPr>
          <w:rFonts w:ascii="Arial" w:hAnsi="Arial" w:cs="Arial"/>
        </w:rPr>
        <w:t xml:space="preserve">The CFRs have managed to incorporate comprehensive policies for community services. However, they need to incorporate more training resources to attend to more critical emergencies </w:t>
      </w:r>
      <w:proofErr w:type="gramStart"/>
      <w:r w:rsidRPr="00FC224E">
        <w:rPr>
          <w:rFonts w:ascii="Arial" w:hAnsi="Arial" w:cs="Arial"/>
        </w:rPr>
        <w:t>and also</w:t>
      </w:r>
      <w:proofErr w:type="gramEnd"/>
      <w:r w:rsidRPr="00FC224E">
        <w:rPr>
          <w:rFonts w:ascii="Arial" w:hAnsi="Arial" w:cs="Arial"/>
        </w:rPr>
        <w:t xml:space="preserve"> aim to expand their service coverage to other counties. Involving the </w:t>
      </w:r>
      <w:proofErr w:type="gramStart"/>
      <w:r w:rsidRPr="00FC224E">
        <w:rPr>
          <w:rFonts w:ascii="Arial" w:hAnsi="Arial" w:cs="Arial"/>
        </w:rPr>
        <w:t>general public</w:t>
      </w:r>
      <w:proofErr w:type="gramEnd"/>
      <w:r w:rsidRPr="00FC224E">
        <w:rPr>
          <w:rFonts w:ascii="Arial" w:hAnsi="Arial" w:cs="Arial"/>
        </w:rPr>
        <w:t xml:space="preserve"> in the decision-making process can help governments and local decision-making bodies better understand and address the ambitions, interests, and values of the people who live in their communities (Granicus, 2021). Public decision-makers are better equipped to address community needs when their input is considered part of the decision-making process. For communities to have a higher </w:t>
      </w:r>
      <w:r w:rsidRPr="00FC224E">
        <w:rPr>
          <w:rFonts w:ascii="Arial" w:hAnsi="Arial" w:cs="Arial"/>
        </w:rPr>
        <w:lastRenderedPageBreak/>
        <w:t>sense of ownership and increased uptake of government services, it is important to establish long-term productive relationships between government entities and their constituents.</w:t>
      </w:r>
    </w:p>
    <w:p w14:paraId="4A50AEE8" w14:textId="77777777" w:rsidR="00FC224E" w:rsidRPr="00FC224E" w:rsidRDefault="00FC224E" w:rsidP="00FC224E">
      <w:pPr>
        <w:spacing w:before="0" w:beforeAutospacing="0" w:after="0" w:afterAutospacing="0"/>
        <w:jc w:val="both"/>
        <w:rPr>
          <w:rFonts w:ascii="Arial" w:hAnsi="Arial" w:cs="Arial"/>
          <w:b/>
          <w:bCs/>
        </w:rPr>
      </w:pPr>
      <w:r w:rsidRPr="00FC224E">
        <w:rPr>
          <w:rFonts w:ascii="Arial" w:hAnsi="Arial" w:cs="Arial"/>
          <w:b/>
          <w:bCs/>
        </w:rPr>
        <w:t xml:space="preserve">Conclusion </w:t>
      </w:r>
    </w:p>
    <w:p w14:paraId="1452C48A" w14:textId="77777777" w:rsidR="00FC224E" w:rsidRPr="00FC224E" w:rsidRDefault="00FC224E" w:rsidP="00FC224E">
      <w:pPr>
        <w:spacing w:before="0" w:beforeAutospacing="0" w:after="0" w:afterAutospacing="0"/>
        <w:jc w:val="both"/>
        <w:rPr>
          <w:rFonts w:ascii="Arial" w:hAnsi="Arial" w:cs="Arial"/>
        </w:rPr>
      </w:pPr>
      <w:r w:rsidRPr="00FC224E">
        <w:rPr>
          <w:rFonts w:ascii="Arial" w:hAnsi="Arial" w:cs="Arial"/>
        </w:rPr>
        <w:tab/>
        <w:t xml:space="preserve">Successful community engagement requires strong collaborations between citizens and governmental organisations to develop more equitable and long-lasting public policy and improve local communities' livability. Engagement in the community has advantages for everyone—people, organisations, and governments. The UK has experienced tremendous strides in enhancing community engagement projects through the inclusion of CFRs in the healthcare sector to help curb unnecessary emergency deaths in the rural settings of the United Kingdom. CFRs have incorporated members of local communities in trained voluntary jobs to attend to emergencies around the UK. For example, LIVES provides comprehensive coverage for emergencies around Lincolnshire County, where access to healthcare facilities is somewhat restrained due to topographical and resourceful challenges. </w:t>
      </w:r>
    </w:p>
    <w:p w14:paraId="464A95D5" w14:textId="77777777" w:rsidR="00FC224E" w:rsidRPr="00FC224E" w:rsidRDefault="00FC224E" w:rsidP="00FC224E">
      <w:pPr>
        <w:spacing w:before="0" w:beforeAutospacing="0" w:after="0" w:afterAutospacing="0"/>
        <w:jc w:val="both"/>
        <w:rPr>
          <w:rFonts w:ascii="Arial" w:hAnsi="Arial" w:cs="Arial"/>
        </w:rPr>
      </w:pPr>
      <w:r w:rsidRPr="00FC224E">
        <w:rPr>
          <w:rFonts w:ascii="Arial" w:hAnsi="Arial" w:cs="Arial"/>
        </w:rPr>
        <w:br w:type="page"/>
      </w:r>
    </w:p>
    <w:p w14:paraId="3662F2F5" w14:textId="77777777" w:rsidR="00FC224E" w:rsidRPr="00FC224E" w:rsidRDefault="00FC224E" w:rsidP="00FC224E">
      <w:pPr>
        <w:spacing w:before="0" w:beforeAutospacing="0" w:after="0" w:afterAutospacing="0"/>
        <w:jc w:val="both"/>
        <w:rPr>
          <w:rFonts w:ascii="Arial" w:hAnsi="Arial" w:cs="Arial"/>
          <w:b/>
          <w:bCs/>
        </w:rPr>
      </w:pPr>
      <w:r w:rsidRPr="00FC224E">
        <w:rPr>
          <w:rFonts w:ascii="Arial" w:hAnsi="Arial" w:cs="Arial"/>
          <w:b/>
          <w:bCs/>
        </w:rPr>
        <w:lastRenderedPageBreak/>
        <w:t>References</w:t>
      </w:r>
    </w:p>
    <w:p w14:paraId="0D0F6E09" w14:textId="77777777" w:rsidR="00FC224E" w:rsidRPr="00FC224E" w:rsidRDefault="00FC224E" w:rsidP="00FC224E">
      <w:pPr>
        <w:spacing w:before="0" w:beforeAutospacing="0" w:after="0" w:afterAutospacing="0"/>
        <w:ind w:left="720" w:hanging="720"/>
        <w:jc w:val="both"/>
        <w:rPr>
          <w:rFonts w:ascii="Arial" w:hAnsi="Arial" w:cs="Arial"/>
        </w:rPr>
      </w:pPr>
      <w:bookmarkStart w:id="1" w:name="_Hlk110363469"/>
      <w:r w:rsidRPr="00FC224E">
        <w:rPr>
          <w:rFonts w:ascii="Arial" w:hAnsi="Arial" w:cs="Arial"/>
        </w:rPr>
        <w:t>Evans-Cowley, J.S. and Griffin, G., 2012</w:t>
      </w:r>
      <w:bookmarkEnd w:id="1"/>
      <w:r w:rsidRPr="00FC224E">
        <w:rPr>
          <w:rFonts w:ascii="Arial" w:hAnsi="Arial" w:cs="Arial"/>
        </w:rPr>
        <w:t>. Microparticipation with social media for community engagement in transportation planning. </w:t>
      </w:r>
      <w:r w:rsidRPr="00FC224E">
        <w:rPr>
          <w:rFonts w:ascii="Arial" w:hAnsi="Arial" w:cs="Arial"/>
          <w:i/>
          <w:iCs/>
        </w:rPr>
        <w:t>Transportation Research Record</w:t>
      </w:r>
      <w:r w:rsidRPr="00FC224E">
        <w:rPr>
          <w:rFonts w:ascii="Arial" w:hAnsi="Arial" w:cs="Arial"/>
        </w:rPr>
        <w:t>, </w:t>
      </w:r>
      <w:r w:rsidRPr="00FC224E">
        <w:rPr>
          <w:rFonts w:ascii="Arial" w:hAnsi="Arial" w:cs="Arial"/>
          <w:i/>
          <w:iCs/>
        </w:rPr>
        <w:t>2307</w:t>
      </w:r>
      <w:r w:rsidRPr="00FC224E">
        <w:rPr>
          <w:rFonts w:ascii="Arial" w:hAnsi="Arial" w:cs="Arial"/>
        </w:rPr>
        <w:t>(1), pp.90-98.</w:t>
      </w:r>
    </w:p>
    <w:p w14:paraId="23FCF842" w14:textId="3E3F83A8" w:rsidR="00FC224E" w:rsidRPr="00FC224E" w:rsidRDefault="00FC224E" w:rsidP="00FC224E">
      <w:pPr>
        <w:spacing w:before="0" w:beforeAutospacing="0" w:after="0" w:afterAutospacing="0"/>
        <w:ind w:left="720" w:hanging="720"/>
        <w:jc w:val="both"/>
        <w:rPr>
          <w:rFonts w:ascii="Arial" w:hAnsi="Arial" w:cs="Arial"/>
        </w:rPr>
      </w:pPr>
      <w:r w:rsidRPr="00FC224E">
        <w:rPr>
          <w:rFonts w:ascii="Arial" w:hAnsi="Arial" w:cs="Arial"/>
        </w:rPr>
        <w:t xml:space="preserve">Granicus, 2021. </w:t>
      </w:r>
      <w:r w:rsidRPr="00FC224E">
        <w:rPr>
          <w:rFonts w:ascii="Arial" w:hAnsi="Arial" w:cs="Arial"/>
          <w:i/>
          <w:iCs/>
        </w:rPr>
        <w:t>Why is Community Engagement Important?</w:t>
      </w:r>
      <w:r w:rsidR="008F4D08">
        <w:rPr>
          <w:rFonts w:ascii="Arial" w:hAnsi="Arial" w:cs="Arial"/>
        </w:rPr>
        <w:t xml:space="preserve"> </w:t>
      </w:r>
      <w:r w:rsidRPr="00FC224E">
        <w:rPr>
          <w:rFonts w:ascii="Arial" w:hAnsi="Arial" w:cs="Arial"/>
        </w:rPr>
        <w:t xml:space="preserve">Available at: </w:t>
      </w:r>
      <w:hyperlink r:id="rId7" w:history="1">
        <w:r w:rsidRPr="00FC224E">
          <w:rPr>
            <w:rStyle w:val="Hyperlink"/>
            <w:rFonts w:ascii="Arial" w:hAnsi="Arial" w:cs="Arial"/>
          </w:rPr>
          <w:t>https://granicus.com/blog/why-is-community-engagement-important/</w:t>
        </w:r>
      </w:hyperlink>
      <w:r w:rsidR="008F4D08">
        <w:rPr>
          <w:rFonts w:ascii="Arial" w:hAnsi="Arial" w:cs="Arial"/>
        </w:rPr>
        <w:t xml:space="preserve"> </w:t>
      </w:r>
      <w:r w:rsidR="008F4D08" w:rsidRPr="00725782">
        <w:rPr>
          <w:rFonts w:ascii="Arial" w:hAnsi="Arial" w:cs="Arial"/>
          <w:shd w:val="clear" w:color="auto" w:fill="FFFFFF"/>
        </w:rPr>
        <w:t xml:space="preserve">(Accessed on: </w:t>
      </w:r>
      <w:r w:rsidR="00A61F02">
        <w:rPr>
          <w:rFonts w:ascii="Arial" w:hAnsi="Arial" w:cs="Arial"/>
          <w:shd w:val="clear" w:color="auto" w:fill="FFFFFF"/>
        </w:rPr>
        <w:t>12</w:t>
      </w:r>
      <w:r w:rsidR="008F4D08" w:rsidRPr="00725782">
        <w:rPr>
          <w:rFonts w:ascii="Arial" w:hAnsi="Arial" w:cs="Arial"/>
          <w:shd w:val="clear" w:color="auto" w:fill="FFFFFF"/>
        </w:rPr>
        <w:t>/08/2022)</w:t>
      </w:r>
      <w:r w:rsidR="008F4D08" w:rsidRPr="00725782">
        <w:rPr>
          <w:rFonts w:ascii="Arial" w:hAnsi="Arial" w:cs="Arial"/>
        </w:rPr>
        <w:t>.</w:t>
      </w:r>
    </w:p>
    <w:p w14:paraId="3ACCBD2A" w14:textId="2905C7D8" w:rsidR="00FC224E" w:rsidRPr="00FC224E" w:rsidRDefault="00FC224E" w:rsidP="00A8150A">
      <w:pPr>
        <w:spacing w:before="0" w:beforeAutospacing="0" w:after="0" w:afterAutospacing="0"/>
        <w:ind w:left="720" w:hanging="720"/>
        <w:jc w:val="both"/>
        <w:rPr>
          <w:rFonts w:ascii="Arial" w:hAnsi="Arial" w:cs="Arial"/>
        </w:rPr>
      </w:pPr>
      <w:r w:rsidRPr="00FC224E">
        <w:rPr>
          <w:rFonts w:ascii="Arial" w:hAnsi="Arial" w:cs="Arial"/>
        </w:rPr>
        <w:t xml:space="preserve">LCC, 2017. Health Scrutiny Committee for Lincolnshire. Lincolnshire County Council. </w:t>
      </w:r>
      <w:r w:rsidR="00A8150A" w:rsidRPr="00FC224E">
        <w:rPr>
          <w:rFonts w:ascii="Arial" w:hAnsi="Arial" w:cs="Arial"/>
        </w:rPr>
        <w:t xml:space="preserve">Available at: </w:t>
      </w:r>
      <w:hyperlink r:id="rId8" w:history="1">
        <w:r w:rsidRPr="00FC224E">
          <w:rPr>
            <w:rStyle w:val="Hyperlink"/>
            <w:rFonts w:ascii="Arial" w:hAnsi="Arial" w:cs="Arial"/>
          </w:rPr>
          <w:t>https://lincolnshire.moderngov.co.uk/documents/s13086/Lincolnshire%20Integrated%20Volunteer%20Emergency%20Service%20LIVES.pdf</w:t>
        </w:r>
      </w:hyperlink>
      <w:r w:rsidRPr="00FC224E">
        <w:rPr>
          <w:rFonts w:ascii="Arial" w:hAnsi="Arial" w:cs="Arial"/>
        </w:rPr>
        <w:t xml:space="preserve"> </w:t>
      </w:r>
      <w:r w:rsidR="00A8150A" w:rsidRPr="00725782">
        <w:rPr>
          <w:rFonts w:ascii="Arial" w:hAnsi="Arial" w:cs="Arial"/>
          <w:shd w:val="clear" w:color="auto" w:fill="FFFFFF"/>
        </w:rPr>
        <w:t xml:space="preserve">(Accessed on: </w:t>
      </w:r>
      <w:r w:rsidR="00A8150A">
        <w:rPr>
          <w:rFonts w:ascii="Arial" w:hAnsi="Arial" w:cs="Arial"/>
          <w:shd w:val="clear" w:color="auto" w:fill="FFFFFF"/>
        </w:rPr>
        <w:t>12</w:t>
      </w:r>
      <w:r w:rsidR="00A8150A" w:rsidRPr="00725782">
        <w:rPr>
          <w:rFonts w:ascii="Arial" w:hAnsi="Arial" w:cs="Arial"/>
          <w:shd w:val="clear" w:color="auto" w:fill="FFFFFF"/>
        </w:rPr>
        <w:t>/08/2022)</w:t>
      </w:r>
      <w:r w:rsidR="00A8150A" w:rsidRPr="00725782">
        <w:rPr>
          <w:rFonts w:ascii="Arial" w:hAnsi="Arial" w:cs="Arial"/>
        </w:rPr>
        <w:t>.</w:t>
      </w:r>
    </w:p>
    <w:p w14:paraId="5B81CF25" w14:textId="43C18E58" w:rsidR="00FC224E" w:rsidRPr="00FC224E" w:rsidRDefault="00FC224E" w:rsidP="00A8150A">
      <w:pPr>
        <w:spacing w:before="0" w:beforeAutospacing="0" w:after="0" w:afterAutospacing="0"/>
        <w:ind w:left="720" w:hanging="720"/>
        <w:jc w:val="both"/>
        <w:rPr>
          <w:rFonts w:ascii="Arial" w:hAnsi="Arial" w:cs="Arial"/>
        </w:rPr>
      </w:pPr>
      <w:r w:rsidRPr="00FC224E">
        <w:rPr>
          <w:rFonts w:ascii="Arial" w:hAnsi="Arial" w:cs="Arial"/>
        </w:rPr>
        <w:t>LIVES, 2020. LIVES Strategic Plan 2020-2025. Saving Lives in Lincolnshire.</w:t>
      </w:r>
      <w:r w:rsidR="00A8150A">
        <w:rPr>
          <w:rFonts w:ascii="Arial" w:hAnsi="Arial" w:cs="Arial"/>
        </w:rPr>
        <w:t xml:space="preserve"> </w:t>
      </w:r>
      <w:r w:rsidR="00A8150A" w:rsidRPr="00FC224E">
        <w:rPr>
          <w:rFonts w:ascii="Arial" w:hAnsi="Arial" w:cs="Arial"/>
        </w:rPr>
        <w:t xml:space="preserve">Available at: </w:t>
      </w:r>
      <w:r w:rsidRPr="00FC224E">
        <w:rPr>
          <w:rFonts w:ascii="Arial" w:hAnsi="Arial" w:cs="Arial"/>
        </w:rPr>
        <w:t xml:space="preserve"> </w:t>
      </w:r>
      <w:hyperlink r:id="rId9" w:history="1">
        <w:r w:rsidRPr="00FC224E">
          <w:rPr>
            <w:rStyle w:val="Hyperlink"/>
            <w:rFonts w:ascii="Arial" w:hAnsi="Arial" w:cs="Arial"/>
          </w:rPr>
          <w:t>https://www.lives.org.uk/wp-content/uploads/2021/10/Strategy_Document.pdf</w:t>
        </w:r>
      </w:hyperlink>
      <w:r w:rsidRPr="00FC224E">
        <w:rPr>
          <w:rFonts w:ascii="Arial" w:hAnsi="Arial" w:cs="Arial"/>
        </w:rPr>
        <w:t xml:space="preserve"> </w:t>
      </w:r>
      <w:r w:rsidR="00A8150A" w:rsidRPr="00725782">
        <w:rPr>
          <w:rFonts w:ascii="Arial" w:hAnsi="Arial" w:cs="Arial"/>
          <w:shd w:val="clear" w:color="auto" w:fill="FFFFFF"/>
        </w:rPr>
        <w:t xml:space="preserve">(Accessed on: </w:t>
      </w:r>
      <w:r w:rsidR="00A8150A">
        <w:rPr>
          <w:rFonts w:ascii="Arial" w:hAnsi="Arial" w:cs="Arial"/>
          <w:shd w:val="clear" w:color="auto" w:fill="FFFFFF"/>
        </w:rPr>
        <w:t>12</w:t>
      </w:r>
      <w:r w:rsidR="00A8150A" w:rsidRPr="00725782">
        <w:rPr>
          <w:rFonts w:ascii="Arial" w:hAnsi="Arial" w:cs="Arial"/>
          <w:shd w:val="clear" w:color="auto" w:fill="FFFFFF"/>
        </w:rPr>
        <w:t>/08/2022)</w:t>
      </w:r>
      <w:r w:rsidR="00A8150A" w:rsidRPr="00725782">
        <w:rPr>
          <w:rFonts w:ascii="Arial" w:hAnsi="Arial" w:cs="Arial"/>
        </w:rPr>
        <w:t>.</w:t>
      </w:r>
    </w:p>
    <w:p w14:paraId="1DF4A4F2" w14:textId="77777777" w:rsidR="00FC224E" w:rsidRPr="00FC224E" w:rsidRDefault="00FC224E" w:rsidP="00FC224E">
      <w:pPr>
        <w:spacing w:before="0" w:beforeAutospacing="0" w:after="0" w:afterAutospacing="0"/>
        <w:ind w:left="720" w:hanging="720"/>
        <w:jc w:val="both"/>
        <w:rPr>
          <w:rFonts w:ascii="Arial" w:hAnsi="Arial" w:cs="Arial"/>
        </w:rPr>
      </w:pPr>
      <w:r w:rsidRPr="00FC224E">
        <w:rPr>
          <w:rFonts w:ascii="Arial" w:hAnsi="Arial" w:cs="Arial"/>
        </w:rPr>
        <w:t>Phung, V.H., Trueman, I., Togher, F., Orner, R. and Siriwardena, A.N., 2017. Community first responders and responder schemes in the United Kingdom: a systematic scoping review. </w:t>
      </w:r>
      <w:r w:rsidRPr="00FC224E">
        <w:rPr>
          <w:rFonts w:ascii="Arial" w:hAnsi="Arial" w:cs="Arial"/>
          <w:i/>
          <w:iCs/>
        </w:rPr>
        <w:t>Scandinavian Journal of Trauma, Resuscitation and Emergency Medicine</w:t>
      </w:r>
      <w:r w:rsidRPr="00FC224E">
        <w:rPr>
          <w:rFonts w:ascii="Arial" w:hAnsi="Arial" w:cs="Arial"/>
        </w:rPr>
        <w:t>, </w:t>
      </w:r>
      <w:r w:rsidRPr="00FC224E">
        <w:rPr>
          <w:rFonts w:ascii="Arial" w:hAnsi="Arial" w:cs="Arial"/>
          <w:i/>
          <w:iCs/>
        </w:rPr>
        <w:t>25</w:t>
      </w:r>
      <w:r w:rsidRPr="00FC224E">
        <w:rPr>
          <w:rFonts w:ascii="Arial" w:hAnsi="Arial" w:cs="Arial"/>
        </w:rPr>
        <w:t>(1), pp.1-9.</w:t>
      </w:r>
    </w:p>
    <w:p w14:paraId="4D689DF9" w14:textId="77777777" w:rsidR="00FC224E" w:rsidRPr="00FC224E" w:rsidRDefault="00FC224E" w:rsidP="00FC224E">
      <w:pPr>
        <w:spacing w:before="0" w:beforeAutospacing="0" w:after="0" w:afterAutospacing="0"/>
        <w:ind w:left="720" w:hanging="720"/>
        <w:jc w:val="both"/>
        <w:rPr>
          <w:rFonts w:ascii="Arial" w:hAnsi="Arial" w:cs="Arial"/>
        </w:rPr>
      </w:pPr>
      <w:bookmarkStart w:id="2" w:name="_Hlk110362522"/>
      <w:r w:rsidRPr="00FC224E">
        <w:rPr>
          <w:rFonts w:ascii="Arial" w:hAnsi="Arial" w:cs="Arial"/>
        </w:rPr>
        <w:t>Ramachandra, A. and Mansor, NNA, 2014</w:t>
      </w:r>
      <w:bookmarkEnd w:id="2"/>
      <w:r w:rsidRPr="00FC224E">
        <w:rPr>
          <w:rFonts w:ascii="Arial" w:hAnsi="Arial" w:cs="Arial"/>
        </w:rPr>
        <w:t>. Sustainability of community engagement–in the hands of stakeholders. </w:t>
      </w:r>
      <w:r w:rsidRPr="00FC224E">
        <w:rPr>
          <w:rFonts w:ascii="Arial" w:hAnsi="Arial" w:cs="Arial"/>
          <w:i/>
          <w:iCs/>
        </w:rPr>
        <w:t>Education+ Training</w:t>
      </w:r>
      <w:r w:rsidRPr="00FC224E">
        <w:rPr>
          <w:rFonts w:ascii="Arial" w:hAnsi="Arial" w:cs="Arial"/>
        </w:rPr>
        <w:t>.</w:t>
      </w:r>
    </w:p>
    <w:p w14:paraId="41812CED" w14:textId="77777777" w:rsidR="00FC224E" w:rsidRPr="00FC224E" w:rsidRDefault="00FC224E" w:rsidP="00FC224E">
      <w:pPr>
        <w:spacing w:before="0" w:beforeAutospacing="0" w:after="0" w:afterAutospacing="0"/>
        <w:ind w:left="720" w:hanging="720"/>
        <w:jc w:val="both"/>
        <w:rPr>
          <w:rFonts w:ascii="Arial" w:hAnsi="Arial" w:cs="Arial"/>
        </w:rPr>
      </w:pPr>
      <w:r w:rsidRPr="00FC224E">
        <w:rPr>
          <w:rFonts w:ascii="Arial" w:hAnsi="Arial" w:cs="Arial"/>
        </w:rPr>
        <w:lastRenderedPageBreak/>
        <w:t xml:space="preserve">Roberts, A., Nimegeer, A., Farmer, </w:t>
      </w:r>
      <w:proofErr w:type="gramStart"/>
      <w:r w:rsidRPr="00FC224E">
        <w:rPr>
          <w:rFonts w:ascii="Arial" w:hAnsi="Arial" w:cs="Arial"/>
        </w:rPr>
        <w:t>J.</w:t>
      </w:r>
      <w:proofErr w:type="gramEnd"/>
      <w:r w:rsidRPr="00FC224E">
        <w:rPr>
          <w:rFonts w:ascii="Arial" w:hAnsi="Arial" w:cs="Arial"/>
        </w:rPr>
        <w:t xml:space="preserve"> and Heaney, D.J., 2014. The experience of community first responders in co-producing rural health care: in the </w:t>
      </w:r>
      <w:proofErr w:type="gramStart"/>
      <w:r w:rsidRPr="00FC224E">
        <w:rPr>
          <w:rFonts w:ascii="Arial" w:hAnsi="Arial" w:cs="Arial"/>
        </w:rPr>
        <w:t>liminal</w:t>
      </w:r>
      <w:proofErr w:type="gramEnd"/>
      <w:r w:rsidRPr="00FC224E">
        <w:rPr>
          <w:rFonts w:ascii="Arial" w:hAnsi="Arial" w:cs="Arial"/>
        </w:rPr>
        <w:t xml:space="preserve"> gap between citizen and professional. </w:t>
      </w:r>
      <w:r w:rsidRPr="00FC224E">
        <w:rPr>
          <w:rFonts w:ascii="Arial" w:hAnsi="Arial" w:cs="Arial"/>
          <w:i/>
          <w:iCs/>
        </w:rPr>
        <w:t>BMC health services research</w:t>
      </w:r>
      <w:r w:rsidRPr="00FC224E">
        <w:rPr>
          <w:rFonts w:ascii="Arial" w:hAnsi="Arial" w:cs="Arial"/>
        </w:rPr>
        <w:t>, </w:t>
      </w:r>
      <w:r w:rsidRPr="00FC224E">
        <w:rPr>
          <w:rFonts w:ascii="Arial" w:hAnsi="Arial" w:cs="Arial"/>
          <w:i/>
          <w:iCs/>
        </w:rPr>
        <w:t>14</w:t>
      </w:r>
      <w:r w:rsidRPr="00FC224E">
        <w:rPr>
          <w:rFonts w:ascii="Arial" w:hAnsi="Arial" w:cs="Arial"/>
        </w:rPr>
        <w:t>(1), pp.1-10.</w:t>
      </w:r>
    </w:p>
    <w:p w14:paraId="13A56747" w14:textId="77777777" w:rsidR="00FC224E" w:rsidRPr="00FC224E" w:rsidRDefault="00FC224E" w:rsidP="00FC224E">
      <w:pPr>
        <w:spacing w:before="0" w:beforeAutospacing="0" w:after="0" w:afterAutospacing="0"/>
        <w:ind w:left="720" w:hanging="720"/>
        <w:jc w:val="both"/>
        <w:rPr>
          <w:rFonts w:ascii="Arial" w:hAnsi="Arial" w:cs="Arial"/>
        </w:rPr>
      </w:pPr>
      <w:bookmarkStart w:id="3" w:name="_Hlk110363950"/>
      <w:r w:rsidRPr="00FC224E">
        <w:rPr>
          <w:rFonts w:ascii="Arial" w:hAnsi="Arial" w:cs="Arial"/>
        </w:rPr>
        <w:t>Shani, S., 2020</w:t>
      </w:r>
      <w:bookmarkEnd w:id="3"/>
      <w:r w:rsidRPr="00FC224E">
        <w:rPr>
          <w:rFonts w:ascii="Arial" w:hAnsi="Arial" w:cs="Arial"/>
        </w:rPr>
        <w:t xml:space="preserve">. The Importance </w:t>
      </w:r>
      <w:proofErr w:type="gramStart"/>
      <w:r w:rsidRPr="00FC224E">
        <w:rPr>
          <w:rFonts w:ascii="Arial" w:hAnsi="Arial" w:cs="Arial"/>
        </w:rPr>
        <w:t>Of</w:t>
      </w:r>
      <w:proofErr w:type="gramEnd"/>
      <w:r w:rsidRPr="00FC224E">
        <w:rPr>
          <w:rFonts w:ascii="Arial" w:hAnsi="Arial" w:cs="Arial"/>
        </w:rPr>
        <w:t xml:space="preserve"> Social Media In Community Development (Lusaka).</w:t>
      </w:r>
    </w:p>
    <w:p w14:paraId="4B77C6D7" w14:textId="77777777" w:rsidR="00FC224E" w:rsidRPr="00FC224E" w:rsidRDefault="00FC224E" w:rsidP="00FC224E">
      <w:pPr>
        <w:spacing w:before="0" w:beforeAutospacing="0" w:after="0" w:afterAutospacing="0"/>
        <w:ind w:left="720" w:hanging="720"/>
        <w:jc w:val="both"/>
        <w:rPr>
          <w:rFonts w:ascii="Arial" w:hAnsi="Arial" w:cs="Arial"/>
        </w:rPr>
      </w:pPr>
      <w:bookmarkStart w:id="4" w:name="_Hlk110364934"/>
      <w:r w:rsidRPr="00FC224E">
        <w:rPr>
          <w:rFonts w:ascii="Arial" w:hAnsi="Arial" w:cs="Arial"/>
          <w:lang w:val="de-DE"/>
        </w:rPr>
        <w:t>Vogt</w:t>
      </w:r>
      <w:bookmarkEnd w:id="4"/>
      <w:r w:rsidRPr="00FC224E">
        <w:rPr>
          <w:rFonts w:ascii="Arial" w:hAnsi="Arial" w:cs="Arial"/>
          <w:lang w:val="de-DE"/>
        </w:rPr>
        <w:t xml:space="preserve">, S., Förster, B. and Kabst, R., 2014. </w:t>
      </w:r>
      <w:r w:rsidRPr="00FC224E">
        <w:rPr>
          <w:rFonts w:ascii="Arial" w:hAnsi="Arial" w:cs="Arial"/>
        </w:rPr>
        <w:t>Social media and e-participation: Challenges of social media for managing public projects. </w:t>
      </w:r>
      <w:r w:rsidRPr="00FC224E">
        <w:rPr>
          <w:rFonts w:ascii="Arial" w:hAnsi="Arial" w:cs="Arial"/>
          <w:i/>
          <w:iCs/>
        </w:rPr>
        <w:t>International Journal of Public Administration in the Digital Age (IJPADA)</w:t>
      </w:r>
      <w:r w:rsidRPr="00FC224E">
        <w:rPr>
          <w:rFonts w:ascii="Arial" w:hAnsi="Arial" w:cs="Arial"/>
        </w:rPr>
        <w:t>, </w:t>
      </w:r>
      <w:r w:rsidRPr="00FC224E">
        <w:rPr>
          <w:rFonts w:ascii="Arial" w:hAnsi="Arial" w:cs="Arial"/>
          <w:i/>
          <w:iCs/>
        </w:rPr>
        <w:t>1</w:t>
      </w:r>
      <w:r w:rsidRPr="00FC224E">
        <w:rPr>
          <w:rFonts w:ascii="Arial" w:hAnsi="Arial" w:cs="Arial"/>
        </w:rPr>
        <w:t>(3), pp.85-105.</w:t>
      </w:r>
    </w:p>
    <w:p w14:paraId="4D13FAD9" w14:textId="77777777" w:rsidR="00FC224E" w:rsidRPr="00FC224E" w:rsidRDefault="00FC224E" w:rsidP="00FC224E">
      <w:pPr>
        <w:spacing w:before="0" w:beforeAutospacing="0" w:after="0" w:afterAutospacing="0"/>
        <w:ind w:left="720" w:hanging="720"/>
        <w:jc w:val="both"/>
        <w:rPr>
          <w:rFonts w:ascii="Arial" w:hAnsi="Arial" w:cs="Arial"/>
        </w:rPr>
      </w:pPr>
      <w:bookmarkStart w:id="5" w:name="_Hlk110362446"/>
      <w:r w:rsidRPr="00FC224E">
        <w:rPr>
          <w:rFonts w:ascii="Arial" w:hAnsi="Arial" w:cs="Arial"/>
        </w:rPr>
        <w:t>Zwikael</w:t>
      </w:r>
      <w:bookmarkEnd w:id="5"/>
      <w:r w:rsidRPr="00FC224E">
        <w:rPr>
          <w:rFonts w:ascii="Arial" w:hAnsi="Arial" w:cs="Arial"/>
        </w:rPr>
        <w:t>, O., Elias, A.A. and Ahn, M.J., 2012. Stakeholder collaboration and engagement in virtual projects. </w:t>
      </w:r>
      <w:r w:rsidRPr="00FC224E">
        <w:rPr>
          <w:rFonts w:ascii="Arial" w:hAnsi="Arial" w:cs="Arial"/>
          <w:i/>
          <w:iCs/>
        </w:rPr>
        <w:t>International Journal of Networking and Virtual Organisations</w:t>
      </w:r>
      <w:r w:rsidRPr="00FC224E">
        <w:rPr>
          <w:rFonts w:ascii="Arial" w:hAnsi="Arial" w:cs="Arial"/>
        </w:rPr>
        <w:t>, </w:t>
      </w:r>
      <w:r w:rsidRPr="00FC224E">
        <w:rPr>
          <w:rFonts w:ascii="Arial" w:hAnsi="Arial" w:cs="Arial"/>
          <w:i/>
          <w:iCs/>
        </w:rPr>
        <w:t>10</w:t>
      </w:r>
      <w:r w:rsidRPr="00FC224E">
        <w:rPr>
          <w:rFonts w:ascii="Arial" w:hAnsi="Arial" w:cs="Arial"/>
        </w:rPr>
        <w:t>(2), pp.117-136.</w:t>
      </w:r>
    </w:p>
    <w:p w14:paraId="3DA7C7E0" w14:textId="2699DA42" w:rsidR="00A30166" w:rsidRPr="0008475E" w:rsidRDefault="00A30166" w:rsidP="00FC224E">
      <w:pPr>
        <w:spacing w:before="0" w:beforeAutospacing="0" w:after="0" w:afterAutospacing="0"/>
        <w:jc w:val="both"/>
        <w:rPr>
          <w:rFonts w:ascii="Arial" w:hAnsi="Arial" w:cs="Arial"/>
        </w:rPr>
      </w:pPr>
    </w:p>
    <w:sectPr w:rsidR="00A30166" w:rsidRPr="0008475E">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0F9A5" w14:textId="77777777" w:rsidR="007F6F9F" w:rsidRDefault="007F6F9F" w:rsidP="00506F16">
      <w:pPr>
        <w:spacing w:before="0" w:after="0" w:line="240" w:lineRule="auto"/>
      </w:pPr>
      <w:r>
        <w:separator/>
      </w:r>
    </w:p>
  </w:endnote>
  <w:endnote w:type="continuationSeparator" w:id="0">
    <w:p w14:paraId="7CD188C5" w14:textId="77777777" w:rsidR="007F6F9F" w:rsidRDefault="007F6F9F" w:rsidP="00506F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7D1F6" w14:textId="77777777" w:rsidR="007F6F9F" w:rsidRDefault="007F6F9F" w:rsidP="00506F16">
      <w:pPr>
        <w:spacing w:before="0" w:after="0" w:line="240" w:lineRule="auto"/>
      </w:pPr>
      <w:r>
        <w:separator/>
      </w:r>
    </w:p>
  </w:footnote>
  <w:footnote w:type="continuationSeparator" w:id="0">
    <w:p w14:paraId="30260842" w14:textId="77777777" w:rsidR="007F6F9F" w:rsidRDefault="007F6F9F" w:rsidP="00506F1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376829"/>
      <w:docPartObj>
        <w:docPartGallery w:val="Page Numbers (Top of Page)"/>
        <w:docPartUnique/>
      </w:docPartObj>
    </w:sdtPr>
    <w:sdtEndPr>
      <w:rPr>
        <w:noProof/>
      </w:rPr>
    </w:sdtEndPr>
    <w:sdtContent>
      <w:p w14:paraId="50E91DE4" w14:textId="0FB8E074" w:rsidR="00321CBD" w:rsidRDefault="00000000" w:rsidP="00FD1F66">
        <w:pPr>
          <w:jc w:val="right"/>
        </w:pPr>
        <w:r>
          <w:fldChar w:fldCharType="begin"/>
        </w:r>
        <w:r>
          <w:instrText xml:space="preserve"> PAGE   \* MERGEFORMAT </w:instrText>
        </w:r>
        <w:r>
          <w:fldChar w:fldCharType="separate"/>
        </w:r>
        <w:r>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1DAA"/>
    <w:rsid w:val="0008475E"/>
    <w:rsid w:val="00097144"/>
    <w:rsid w:val="00103A24"/>
    <w:rsid w:val="00146E33"/>
    <w:rsid w:val="00156F3A"/>
    <w:rsid w:val="00235039"/>
    <w:rsid w:val="002C164B"/>
    <w:rsid w:val="002D5D04"/>
    <w:rsid w:val="00320B67"/>
    <w:rsid w:val="004674AF"/>
    <w:rsid w:val="0047417B"/>
    <w:rsid w:val="004F5FE3"/>
    <w:rsid w:val="00506F16"/>
    <w:rsid w:val="0051071E"/>
    <w:rsid w:val="00697BFC"/>
    <w:rsid w:val="006B7493"/>
    <w:rsid w:val="007F6F9F"/>
    <w:rsid w:val="00836574"/>
    <w:rsid w:val="00837F4F"/>
    <w:rsid w:val="008831A9"/>
    <w:rsid w:val="008E5F6E"/>
    <w:rsid w:val="008F4D08"/>
    <w:rsid w:val="00920E2A"/>
    <w:rsid w:val="00926A2E"/>
    <w:rsid w:val="009613D8"/>
    <w:rsid w:val="00A148AE"/>
    <w:rsid w:val="00A30166"/>
    <w:rsid w:val="00A61F02"/>
    <w:rsid w:val="00A8150A"/>
    <w:rsid w:val="00AA1DAA"/>
    <w:rsid w:val="00AE2A35"/>
    <w:rsid w:val="00B85E46"/>
    <w:rsid w:val="00C31273"/>
    <w:rsid w:val="00C83963"/>
    <w:rsid w:val="00C944E3"/>
    <w:rsid w:val="00CD41DB"/>
    <w:rsid w:val="00D01C8B"/>
    <w:rsid w:val="00DB3141"/>
    <w:rsid w:val="00E70D10"/>
    <w:rsid w:val="00F20CAA"/>
    <w:rsid w:val="00F651C2"/>
    <w:rsid w:val="00F8703D"/>
    <w:rsid w:val="00FC224E"/>
    <w:rsid w:val="00FF7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B88D5"/>
  <w15:docId w15:val="{E460FECA-6B25-42A0-A784-98D790C59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F16"/>
    <w:pPr>
      <w:spacing w:before="100" w:beforeAutospacing="1" w:after="100" w:afterAutospacing="1" w:line="480" w:lineRule="auto"/>
    </w:pPr>
    <w:rPr>
      <w:rFonts w:ascii="Times New Roman" w:hAnsi="Times New Roman" w:cs="Times New Roman"/>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6F16"/>
    <w:rPr>
      <w:color w:val="0563C1" w:themeColor="hyperlink"/>
      <w:u w:val="single"/>
    </w:rPr>
  </w:style>
  <w:style w:type="paragraph" w:styleId="Header">
    <w:name w:val="header"/>
    <w:basedOn w:val="Normal"/>
    <w:link w:val="HeaderChar"/>
    <w:uiPriority w:val="99"/>
    <w:unhideWhenUsed/>
    <w:rsid w:val="00506F1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06F16"/>
    <w:rPr>
      <w:rFonts w:ascii="Times New Roman" w:hAnsi="Times New Roman" w:cs="Times New Roman"/>
      <w:kern w:val="0"/>
      <w:sz w:val="24"/>
      <w:szCs w:val="24"/>
    </w:rPr>
  </w:style>
  <w:style w:type="paragraph" w:styleId="Footer">
    <w:name w:val="footer"/>
    <w:basedOn w:val="Normal"/>
    <w:link w:val="FooterChar"/>
    <w:uiPriority w:val="99"/>
    <w:unhideWhenUsed/>
    <w:rsid w:val="00506F1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06F16"/>
    <w:rPr>
      <w:rFonts w:ascii="Times New Roman" w:hAnsi="Times New Roman" w:cs="Times New Roman"/>
      <w:kern w:val="0"/>
      <w:sz w:val="24"/>
      <w:szCs w:val="24"/>
    </w:rPr>
  </w:style>
  <w:style w:type="paragraph" w:customStyle="1" w:styleId="Default">
    <w:name w:val="Default"/>
    <w:rsid w:val="00C83963"/>
    <w:pPr>
      <w:autoSpaceDE w:val="0"/>
      <w:autoSpaceDN w:val="0"/>
      <w:adjustRightInd w:val="0"/>
      <w:spacing w:after="0" w:line="240" w:lineRule="auto"/>
    </w:pPr>
    <w:rPr>
      <w:rFonts w:ascii="Arial" w:hAnsi="Arial" w:cs="Arial"/>
      <w:color w:val="0000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86936">
      <w:bodyDiv w:val="1"/>
      <w:marLeft w:val="0"/>
      <w:marRight w:val="0"/>
      <w:marTop w:val="0"/>
      <w:marBottom w:val="0"/>
      <w:divBdr>
        <w:top w:val="none" w:sz="0" w:space="0" w:color="auto"/>
        <w:left w:val="none" w:sz="0" w:space="0" w:color="auto"/>
        <w:bottom w:val="none" w:sz="0" w:space="0" w:color="auto"/>
        <w:right w:val="none" w:sz="0" w:space="0" w:color="auto"/>
      </w:divBdr>
    </w:div>
    <w:div w:id="5895830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colnshire.moderngov.co.uk/documents/s13086/Lincolnshire%20Integrated%20Volunteer%20Emergency%20Service%20LIVES.pdf" TargetMode="External"/><Relationship Id="rId3" Type="http://schemas.openxmlformats.org/officeDocument/2006/relationships/webSettings" Target="webSettings.xml"/><Relationship Id="rId7" Type="http://schemas.openxmlformats.org/officeDocument/2006/relationships/hyperlink" Target="https://granicus.com/blog/why-is-community-engagement-importan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lives.org.uk/wp-content/uploads/2021/10/Strategy_Docu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11</Pages>
  <Words>2366</Words>
  <Characters>13492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 Iliev</dc:creator>
  <cp:keywords/>
  <dc:description/>
  <cp:lastModifiedBy>Krasimir Iliev</cp:lastModifiedBy>
  <cp:revision>17</cp:revision>
  <dcterms:created xsi:type="dcterms:W3CDTF">2022-07-30T17:19:00Z</dcterms:created>
  <dcterms:modified xsi:type="dcterms:W3CDTF">2022-08-28T16:19:00Z</dcterms:modified>
</cp:coreProperties>
</file>