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F0A92A" w14:textId="77777777" w:rsidR="006D1E5F" w:rsidRDefault="006D1E5F" w:rsidP="006D1E5F">
      <w:pPr>
        <w:rPr>
          <w:b/>
          <w:bCs/>
          <w:sz w:val="28"/>
          <w:szCs w:val="28"/>
        </w:rPr>
      </w:pPr>
      <w:r w:rsidRPr="006D1E5F">
        <w:rPr>
          <w:b/>
          <w:bCs/>
          <w:sz w:val="28"/>
          <w:szCs w:val="28"/>
        </w:rPr>
        <w:t>BA (Hons) Leadership and Management Skills for the Workplace</w:t>
      </w:r>
    </w:p>
    <w:p w14:paraId="76AA44DB" w14:textId="77777777" w:rsidR="006D1E5F" w:rsidRDefault="006D1E5F" w:rsidP="006D1E5F">
      <w:pPr>
        <w:rPr>
          <w:sz w:val="28"/>
          <w:szCs w:val="28"/>
        </w:rPr>
      </w:pPr>
      <w:r w:rsidRPr="006D1E5F">
        <w:rPr>
          <w:sz w:val="28"/>
          <w:szCs w:val="28"/>
        </w:rPr>
        <w:br/>
      </w:r>
      <w:r w:rsidRPr="006D1E5F">
        <w:rPr>
          <w:b/>
          <w:bCs/>
          <w:sz w:val="28"/>
          <w:szCs w:val="28"/>
        </w:rPr>
        <w:t>Module Code:</w:t>
      </w:r>
      <w:r w:rsidRPr="006D1E5F">
        <w:rPr>
          <w:sz w:val="28"/>
          <w:szCs w:val="28"/>
        </w:rPr>
        <w:t xml:space="preserve"> LCLM5002</w:t>
      </w:r>
    </w:p>
    <w:p w14:paraId="3C1C5D85" w14:textId="26967F9C" w:rsidR="006D1E5F" w:rsidRDefault="006D1E5F" w:rsidP="006D1E5F">
      <w:pPr>
        <w:rPr>
          <w:sz w:val="28"/>
          <w:szCs w:val="28"/>
        </w:rPr>
      </w:pPr>
      <w:r w:rsidRPr="006D1E5F">
        <w:rPr>
          <w:sz w:val="28"/>
          <w:szCs w:val="28"/>
        </w:rPr>
        <w:br/>
      </w:r>
      <w:r w:rsidRPr="006D1E5F">
        <w:rPr>
          <w:b/>
          <w:bCs/>
          <w:sz w:val="28"/>
          <w:szCs w:val="28"/>
        </w:rPr>
        <w:t>Module Title:</w:t>
      </w:r>
      <w:r w:rsidRPr="006D1E5F">
        <w:rPr>
          <w:sz w:val="28"/>
          <w:szCs w:val="28"/>
        </w:rPr>
        <w:t xml:space="preserve"> Developing and Managing Individuals and Teams</w:t>
      </w:r>
    </w:p>
    <w:p w14:paraId="63E099C6" w14:textId="77777777" w:rsidR="006D1E5F" w:rsidRPr="006D1E5F" w:rsidRDefault="006D1E5F" w:rsidP="006D1E5F">
      <w:pPr>
        <w:rPr>
          <w:sz w:val="28"/>
          <w:szCs w:val="28"/>
        </w:rPr>
      </w:pPr>
    </w:p>
    <w:p w14:paraId="273C8937" w14:textId="307EDD03" w:rsidR="006D1E5F" w:rsidRDefault="006D1E5F" w:rsidP="006D1E5F">
      <w:pPr>
        <w:rPr>
          <w:i/>
          <w:iCs/>
          <w:sz w:val="28"/>
          <w:szCs w:val="28"/>
        </w:rPr>
      </w:pPr>
      <w:r w:rsidRPr="006D1E5F">
        <w:rPr>
          <w:b/>
          <w:bCs/>
          <w:sz w:val="28"/>
          <w:szCs w:val="28"/>
        </w:rPr>
        <w:t>Assignment Title:</w:t>
      </w:r>
      <w:r>
        <w:rPr>
          <w:sz w:val="28"/>
          <w:szCs w:val="28"/>
        </w:rPr>
        <w:t xml:space="preserve"> </w:t>
      </w:r>
      <w:r w:rsidRPr="006D1E5F">
        <w:rPr>
          <w:i/>
          <w:iCs/>
          <w:sz w:val="28"/>
          <w:szCs w:val="28"/>
        </w:rPr>
        <w:t>HR Report: Addressing Business Transformation, Digital Technology Trends and Flexible Working at KPMG UK</w:t>
      </w:r>
    </w:p>
    <w:p w14:paraId="03C1CECC" w14:textId="77777777" w:rsidR="006D1E5F" w:rsidRPr="006D1E5F" w:rsidRDefault="006D1E5F" w:rsidP="006D1E5F">
      <w:pPr>
        <w:rPr>
          <w:sz w:val="28"/>
          <w:szCs w:val="28"/>
        </w:rPr>
      </w:pPr>
    </w:p>
    <w:p w14:paraId="21B8CB63" w14:textId="77777777" w:rsidR="006D1E5F" w:rsidRDefault="006D1E5F" w:rsidP="006D1E5F">
      <w:pPr>
        <w:rPr>
          <w:sz w:val="28"/>
          <w:szCs w:val="28"/>
        </w:rPr>
      </w:pPr>
      <w:r w:rsidRPr="006D1E5F">
        <w:rPr>
          <w:b/>
          <w:bCs/>
          <w:sz w:val="28"/>
          <w:szCs w:val="28"/>
        </w:rPr>
        <w:t>Student Name:</w:t>
      </w:r>
      <w:r w:rsidRPr="006D1E5F">
        <w:rPr>
          <w:sz w:val="28"/>
          <w:szCs w:val="28"/>
        </w:rPr>
        <w:t xml:space="preserve"> Muhammad </w:t>
      </w:r>
      <w:proofErr w:type="spellStart"/>
      <w:r w:rsidRPr="006D1E5F">
        <w:rPr>
          <w:sz w:val="28"/>
          <w:szCs w:val="28"/>
        </w:rPr>
        <w:t>Assama</w:t>
      </w:r>
      <w:proofErr w:type="spellEnd"/>
      <w:r w:rsidRPr="006D1E5F">
        <w:rPr>
          <w:sz w:val="28"/>
          <w:szCs w:val="28"/>
        </w:rPr>
        <w:t xml:space="preserve"> Sajid</w:t>
      </w:r>
    </w:p>
    <w:p w14:paraId="5868CAE9" w14:textId="3FC1D12D" w:rsidR="006D1E5F" w:rsidRDefault="006D1E5F" w:rsidP="006D1E5F">
      <w:pPr>
        <w:rPr>
          <w:sz w:val="28"/>
          <w:szCs w:val="28"/>
        </w:rPr>
      </w:pPr>
      <w:r w:rsidRPr="006D1E5F">
        <w:rPr>
          <w:sz w:val="28"/>
          <w:szCs w:val="28"/>
        </w:rPr>
        <w:br/>
      </w:r>
      <w:r w:rsidRPr="006D1E5F">
        <w:rPr>
          <w:b/>
          <w:bCs/>
          <w:sz w:val="28"/>
          <w:szCs w:val="28"/>
        </w:rPr>
        <w:t>Student Number:</w:t>
      </w:r>
      <w:r w:rsidRPr="006D1E5F">
        <w:rPr>
          <w:sz w:val="28"/>
          <w:szCs w:val="28"/>
        </w:rPr>
        <w:t xml:space="preserve"> 1714489</w:t>
      </w:r>
    </w:p>
    <w:p w14:paraId="6FE30C9B" w14:textId="77777777" w:rsidR="006D1E5F" w:rsidRPr="006D1E5F" w:rsidRDefault="006D1E5F" w:rsidP="006D1E5F">
      <w:pPr>
        <w:rPr>
          <w:b/>
          <w:bCs/>
          <w:sz w:val="28"/>
          <w:szCs w:val="28"/>
        </w:rPr>
      </w:pPr>
    </w:p>
    <w:p w14:paraId="473D34DF" w14:textId="77777777" w:rsidR="006D1E5F" w:rsidRDefault="006D1E5F" w:rsidP="006D1E5F">
      <w:pPr>
        <w:rPr>
          <w:sz w:val="28"/>
          <w:szCs w:val="28"/>
        </w:rPr>
      </w:pPr>
      <w:r w:rsidRPr="006D1E5F">
        <w:rPr>
          <w:b/>
          <w:bCs/>
          <w:sz w:val="28"/>
          <w:szCs w:val="28"/>
        </w:rPr>
        <w:t>Lecturer:</w:t>
      </w:r>
      <w:r w:rsidRPr="006D1E5F">
        <w:rPr>
          <w:sz w:val="28"/>
          <w:szCs w:val="28"/>
        </w:rPr>
        <w:t xml:space="preserve"> </w:t>
      </w:r>
      <w:proofErr w:type="spellStart"/>
      <w:r w:rsidRPr="006D1E5F">
        <w:rPr>
          <w:sz w:val="28"/>
          <w:szCs w:val="28"/>
        </w:rPr>
        <w:t>Mudasar</w:t>
      </w:r>
      <w:proofErr w:type="spellEnd"/>
      <w:r w:rsidRPr="006D1E5F">
        <w:rPr>
          <w:sz w:val="28"/>
          <w:szCs w:val="28"/>
        </w:rPr>
        <w:t xml:space="preserve"> Hasan</w:t>
      </w:r>
    </w:p>
    <w:p w14:paraId="43A18160" w14:textId="77777777" w:rsidR="006D1E5F" w:rsidRPr="006D1E5F" w:rsidRDefault="006D1E5F" w:rsidP="006D1E5F">
      <w:pPr>
        <w:rPr>
          <w:sz w:val="28"/>
          <w:szCs w:val="28"/>
        </w:rPr>
      </w:pPr>
    </w:p>
    <w:p w14:paraId="12221BE4" w14:textId="1CB6E0E8" w:rsidR="006D1E5F" w:rsidRPr="006D1E5F" w:rsidRDefault="006D1E5F" w:rsidP="006D1E5F">
      <w:pPr>
        <w:rPr>
          <w:sz w:val="28"/>
          <w:szCs w:val="28"/>
        </w:rPr>
      </w:pPr>
      <w:r w:rsidRPr="006D1E5F">
        <w:rPr>
          <w:b/>
          <w:bCs/>
          <w:sz w:val="28"/>
          <w:szCs w:val="28"/>
        </w:rPr>
        <w:t>Date:</w:t>
      </w:r>
      <w:r w:rsidRPr="006D1E5F">
        <w:rPr>
          <w:b/>
          <w:bCs/>
          <w:sz w:val="28"/>
          <w:szCs w:val="28"/>
        </w:rPr>
        <w:t xml:space="preserve"> </w:t>
      </w:r>
      <w:r w:rsidRPr="006D1E5F">
        <w:rPr>
          <w:sz w:val="28"/>
          <w:szCs w:val="28"/>
        </w:rPr>
        <w:t>20/11/2025</w:t>
      </w:r>
    </w:p>
    <w:p w14:paraId="4194BB3E" w14:textId="592F5214" w:rsidR="006D1E5F" w:rsidRPr="006D1E5F" w:rsidRDefault="006D1E5F" w:rsidP="006D1E5F"/>
    <w:p w14:paraId="0391F1B6" w14:textId="77777777" w:rsidR="006D1E5F" w:rsidRDefault="006D1E5F" w:rsidP="006D1E5F">
      <w:pPr>
        <w:rPr>
          <w:b/>
          <w:bCs/>
        </w:rPr>
      </w:pPr>
    </w:p>
    <w:p w14:paraId="40D7E146" w14:textId="77777777" w:rsidR="006D1E5F" w:rsidRDefault="006D1E5F" w:rsidP="006D1E5F">
      <w:pPr>
        <w:rPr>
          <w:b/>
          <w:bCs/>
        </w:rPr>
      </w:pPr>
    </w:p>
    <w:p w14:paraId="1288B335" w14:textId="77777777" w:rsidR="006D1E5F" w:rsidRDefault="006D1E5F" w:rsidP="006D1E5F">
      <w:pPr>
        <w:rPr>
          <w:b/>
          <w:bCs/>
        </w:rPr>
      </w:pPr>
    </w:p>
    <w:p w14:paraId="0A8CDED0" w14:textId="77777777" w:rsidR="006D1E5F" w:rsidRDefault="006D1E5F" w:rsidP="006D1E5F">
      <w:pPr>
        <w:rPr>
          <w:b/>
          <w:bCs/>
        </w:rPr>
      </w:pPr>
    </w:p>
    <w:p w14:paraId="68E0538F" w14:textId="77777777" w:rsidR="006D1E5F" w:rsidRDefault="006D1E5F" w:rsidP="006D1E5F">
      <w:pPr>
        <w:rPr>
          <w:b/>
          <w:bCs/>
        </w:rPr>
      </w:pPr>
    </w:p>
    <w:p w14:paraId="73D55BE8" w14:textId="77777777" w:rsidR="006D1E5F" w:rsidRDefault="006D1E5F" w:rsidP="006D1E5F">
      <w:pPr>
        <w:rPr>
          <w:b/>
          <w:bCs/>
        </w:rPr>
      </w:pPr>
    </w:p>
    <w:p w14:paraId="6F3C4E35" w14:textId="77777777" w:rsidR="006D1E5F" w:rsidRDefault="006D1E5F" w:rsidP="006D1E5F">
      <w:pPr>
        <w:rPr>
          <w:b/>
          <w:bCs/>
        </w:rPr>
      </w:pPr>
    </w:p>
    <w:p w14:paraId="1AE24BAA" w14:textId="77777777" w:rsidR="006D1E5F" w:rsidRDefault="006D1E5F" w:rsidP="006D1E5F">
      <w:pPr>
        <w:rPr>
          <w:b/>
          <w:bCs/>
        </w:rPr>
      </w:pPr>
    </w:p>
    <w:p w14:paraId="1114F4C8" w14:textId="77777777" w:rsidR="006D1E5F" w:rsidRDefault="006D1E5F" w:rsidP="006D1E5F">
      <w:pPr>
        <w:rPr>
          <w:b/>
          <w:bCs/>
        </w:rPr>
      </w:pPr>
    </w:p>
    <w:p w14:paraId="024533C1" w14:textId="77777777" w:rsidR="006D1E5F" w:rsidRDefault="006D1E5F" w:rsidP="006D1E5F">
      <w:pPr>
        <w:rPr>
          <w:b/>
          <w:bCs/>
        </w:rPr>
      </w:pPr>
    </w:p>
    <w:p w14:paraId="01E002F5" w14:textId="7B443228" w:rsidR="006D1E5F" w:rsidRPr="006D1E5F" w:rsidRDefault="006D1E5F" w:rsidP="006D1E5F">
      <w:pPr>
        <w:rPr>
          <w:b/>
          <w:bCs/>
        </w:rPr>
      </w:pPr>
      <w:r w:rsidRPr="006D1E5F">
        <w:rPr>
          <w:b/>
          <w:bCs/>
        </w:rPr>
        <w:lastRenderedPageBreak/>
        <w:t>HR REPORT: ADDRESSING BUSINESS TRANSFORMATION, DIGITAL TECHNOLOGY TRENDS AND FLEXIBLE WORKING AT KPMG UK</w:t>
      </w:r>
    </w:p>
    <w:p w14:paraId="3C393F75" w14:textId="77777777" w:rsidR="006D1E5F" w:rsidRDefault="006D1E5F" w:rsidP="006D1E5F"/>
    <w:p w14:paraId="2A35D3D8" w14:textId="6BFF4CFC" w:rsidR="006D1E5F" w:rsidRPr="006D1E5F" w:rsidRDefault="006D1E5F" w:rsidP="006D1E5F">
      <w:pPr>
        <w:rPr>
          <w:b/>
          <w:bCs/>
        </w:rPr>
      </w:pPr>
      <w:r w:rsidRPr="006D1E5F">
        <w:rPr>
          <w:b/>
          <w:bCs/>
        </w:rPr>
        <w:t>Introduction</w:t>
      </w:r>
    </w:p>
    <w:p w14:paraId="6E0CBF00" w14:textId="77777777" w:rsidR="006D1E5F" w:rsidRPr="006D1E5F" w:rsidRDefault="006D1E5F" w:rsidP="006D1E5F">
      <w:r w:rsidRPr="006D1E5F">
        <w:t>Beginning my role within KPMG UK’s HR department, it became immediately clear that the organisation is going through a period of significant change. The number of employee grievances raised during my first month demonstrated a growing level of frustration and uncertainty among staff. Many of these issues seem to originate from ongoing business transformation, the expansion of digital technologies and the implementation of flexible working arrangements across KPMG’s London and Birmingham offices. Although these initiatives aim to improve operational performance and employee wellbeing, the pace of change appears to have created confusion and uneven experiences across teams.</w:t>
      </w:r>
    </w:p>
    <w:p w14:paraId="7A086722" w14:textId="77777777" w:rsidR="006D1E5F" w:rsidRPr="006D1E5F" w:rsidRDefault="006D1E5F" w:rsidP="006D1E5F">
      <w:r w:rsidRPr="006D1E5F">
        <w:t>Given KPMG’s position as one of the Big Four professional services firms, its people are central to the value it delivers. When employees feel unsupported during transitions, productivity and morale can decline rapidly. This formal report explores the factors connected to these organisational changes, evaluates contemporary HR practices that can be used to address the challenges, and critically examines the role departmental managers play in ensuring these practices are implemented effectively and urgently. The report concludes with recommendations to help reduce grievances and strengthen the employee experience.</w:t>
      </w:r>
    </w:p>
    <w:p w14:paraId="2F697CD0" w14:textId="2B7F9978" w:rsidR="006D1E5F" w:rsidRPr="006D1E5F" w:rsidRDefault="006D1E5F" w:rsidP="006D1E5F"/>
    <w:p w14:paraId="7CE5FBF8" w14:textId="77777777" w:rsidR="006D1E5F" w:rsidRPr="006D1E5F" w:rsidRDefault="006D1E5F" w:rsidP="006D1E5F">
      <w:pPr>
        <w:rPr>
          <w:b/>
          <w:bCs/>
        </w:rPr>
      </w:pPr>
      <w:r w:rsidRPr="006D1E5F">
        <w:rPr>
          <w:b/>
          <w:bCs/>
        </w:rPr>
        <w:t>1. Factors Related to Business Transformation, Digital Technology Trends and Flexible Working at KPMG</w:t>
      </w:r>
    </w:p>
    <w:p w14:paraId="1E005314" w14:textId="77777777" w:rsidR="006D1E5F" w:rsidRPr="006D1E5F" w:rsidRDefault="006D1E5F" w:rsidP="006D1E5F">
      <w:r w:rsidRPr="006D1E5F">
        <w:t>KPMG UK has undergone extensive business transformation in response to a fast-changing professional services landscape. Increased regulatory scrutiny, heavier audit expectations, and clients seeking more technology-enhanced solutions have driven the firm to restructure parts of the business and modernise internal operations. These restructuring efforts, although necessary from a strategic perspective, have created uncertainty among employees who are unsure about future role expectations, career progression and workload allocation. Kotter (2012) highlights that when employees are not fully informed during organisational transformation, resistance and anxiety become common, which aligns with the rise in grievances observed within KPMG.</w:t>
      </w:r>
    </w:p>
    <w:p w14:paraId="0D7FF505" w14:textId="77777777" w:rsidR="006D1E5F" w:rsidRPr="006D1E5F" w:rsidRDefault="006D1E5F" w:rsidP="006D1E5F">
      <w:r w:rsidRPr="006D1E5F">
        <w:t xml:space="preserve">A significant factor contributing to current challenges is the accelerated adoption of digital technologies. KPMG has invested heavily in artificial intelligence, automation tools, data analytics platforms and digital collaboration systems. These advancements aim to increase efficiency, support innovation and improve client delivery. However, </w:t>
      </w:r>
      <w:r w:rsidRPr="006D1E5F">
        <w:lastRenderedPageBreak/>
        <w:t xml:space="preserve">they also require employees to quickly adapt to new digital workflows. </w:t>
      </w:r>
      <w:proofErr w:type="spellStart"/>
      <w:r w:rsidRPr="006D1E5F">
        <w:t>Bondarouk</w:t>
      </w:r>
      <w:proofErr w:type="spellEnd"/>
      <w:r w:rsidRPr="006D1E5F">
        <w:t xml:space="preserve"> and Brewster (2016) argue that technology-driven change increases pressure on staff when organisations fail to provide adequate training, clear communication or role stability. At KPMG, many employees have expressed concerns about skill gaps, learning overload and the perception that they must be “digitally fluent” to remain competitive.</w:t>
      </w:r>
    </w:p>
    <w:p w14:paraId="00E770A0" w14:textId="77777777" w:rsidR="006D1E5F" w:rsidRPr="006D1E5F" w:rsidRDefault="006D1E5F" w:rsidP="006D1E5F">
      <w:r w:rsidRPr="006D1E5F">
        <w:t>The shift toward hybrid and flexible working has introduced additional complexities. After the pandemic, KPMG adopted a trust-based hybrid working model, allowing employees to work partly from home. While this was designed to support wellbeing and allow greater autonomy, it has created challenges in communication, team cohesion and workload visibility. Bloom et al. (2015) found that hybrid working only improves productivity when teams operate with clear expectations and structure. Many grievances relate to inconsistencies between departments, with some managers embracing flexibility and others preferring more traditional office-based oversight.</w:t>
      </w:r>
    </w:p>
    <w:p w14:paraId="49D85941" w14:textId="77777777" w:rsidR="006D1E5F" w:rsidRPr="006D1E5F" w:rsidRDefault="006D1E5F" w:rsidP="006D1E5F">
      <w:r w:rsidRPr="006D1E5F">
        <w:t>Another factor is workload intensification, which often accompanies digital transformation. While technology can streamline tasks, it can also increase expectations for speed and accuracy. Flexible working can blur boundaries, leading employees to work longer hours than intended. Kelliher and Anderson (2010) found that employees working flexibly often experience increased workload pressures due to perceived obligations to “prove” their productivity. Within KPMG’s high-performance culture, this intensification is particularly visible.</w:t>
      </w:r>
    </w:p>
    <w:p w14:paraId="0BE4F61F" w14:textId="77777777" w:rsidR="006D1E5F" w:rsidRPr="006D1E5F" w:rsidRDefault="006D1E5F" w:rsidP="006D1E5F">
      <w:r w:rsidRPr="006D1E5F">
        <w:t>Finally, cultural expectations within professional services—such as long hours, high responsiveness and continuous client availability—can make transitions more stressful. When new technologies or flexible models are introduced without adequate support, employees can feel unprepared or undervalued. The combination of unclear expectations, rapid technological change and hybrid working variation has led to the rising grievance trends now visible within KPMG.</w:t>
      </w:r>
    </w:p>
    <w:p w14:paraId="69C2CA97" w14:textId="415D1872" w:rsidR="006D1E5F" w:rsidRPr="006D1E5F" w:rsidRDefault="006D1E5F" w:rsidP="006D1E5F"/>
    <w:p w14:paraId="70E3000F" w14:textId="77777777" w:rsidR="006D1E5F" w:rsidRPr="006D1E5F" w:rsidRDefault="006D1E5F" w:rsidP="006D1E5F">
      <w:pPr>
        <w:rPr>
          <w:b/>
          <w:bCs/>
        </w:rPr>
      </w:pPr>
      <w:r w:rsidRPr="006D1E5F">
        <w:rPr>
          <w:b/>
          <w:bCs/>
        </w:rPr>
        <w:t>2. Evaluation of Contemporary HR Practices to Address Each Factor</w:t>
      </w:r>
    </w:p>
    <w:p w14:paraId="4F862D4B" w14:textId="77777777" w:rsidR="006D1E5F" w:rsidRPr="006D1E5F" w:rsidRDefault="006D1E5F" w:rsidP="006D1E5F">
      <w:r w:rsidRPr="006D1E5F">
        <w:t>To manage challenges associated with business transformation, one of the most effective contemporary HR practices is structured and transparent change communication. Kotter’s (2012) model emphasises the importance of communicating the vision for change clearly and repeatedly. At KPMG, HR could introduce regular town halls, transformation newsletters and manager-led briefing sessions to ensure consistency. Gill (2003) argues that effective change leadership relies on clarity, emotional intelligence and continuous engagement—practices that can reduce uncertainty and rebuild trust among employees.</w:t>
      </w:r>
    </w:p>
    <w:p w14:paraId="69847B2C" w14:textId="77777777" w:rsidR="006D1E5F" w:rsidRPr="006D1E5F" w:rsidRDefault="006D1E5F" w:rsidP="006D1E5F">
      <w:r w:rsidRPr="006D1E5F">
        <w:lastRenderedPageBreak/>
        <w:t>Strategic workforce planning is another useful HR tool. This involves analysing future skill requirements and creating pathways to develop talent. For KPMG, this could include digital-skills forecasting, targeted training programmes and career development frameworks. Ulrich et al. (2017) identify workforce planning as essential for aligning skills with organisational strategy, and it can reduce grievances linked to role insecurity.</w:t>
      </w:r>
    </w:p>
    <w:p w14:paraId="1A763A87" w14:textId="77777777" w:rsidR="006D1E5F" w:rsidRPr="006D1E5F" w:rsidRDefault="006D1E5F" w:rsidP="006D1E5F">
      <w:r w:rsidRPr="006D1E5F">
        <w:t xml:space="preserve">Digital transformation challenges can be addressed through personalised and accessible training. Contemporary HR practices recommend micro-learning modules, interactive digital academies and peer learning communities. </w:t>
      </w:r>
      <w:proofErr w:type="spellStart"/>
      <w:r w:rsidRPr="006D1E5F">
        <w:t>Bondarouk</w:t>
      </w:r>
      <w:proofErr w:type="spellEnd"/>
      <w:r w:rsidRPr="006D1E5F">
        <w:t xml:space="preserve"> and Brewster (2016) highlight that HR should act as a technology champion, ensuring digital adoption is people-focused rather than system-driven. KPMG could also introduce “digital ambassadors” within each business unit to provide hands-on support and encourage a culture of digital confidence.</w:t>
      </w:r>
    </w:p>
    <w:p w14:paraId="44B003F7" w14:textId="77777777" w:rsidR="006D1E5F" w:rsidRPr="006D1E5F" w:rsidRDefault="006D1E5F" w:rsidP="006D1E5F">
      <w:r w:rsidRPr="006D1E5F">
        <w:t>Performance management must also align with modern work expectations. Continuous feedback models—adopted by organisations such as Deloitte—can help employees adjust to technological and organisational shifts more effectively. Frequent check-ins allow managers and employees to discuss challenges, monitor wellbeing and address workload concerns before they escalate. CIPD (2021) strongly recommends regular developmental conversations, particularly for hybrid teams.</w:t>
      </w:r>
    </w:p>
    <w:p w14:paraId="2F94FA0A" w14:textId="77777777" w:rsidR="006D1E5F" w:rsidRPr="006D1E5F" w:rsidRDefault="006D1E5F" w:rsidP="006D1E5F">
      <w:r w:rsidRPr="006D1E5F">
        <w:t>To address flexible working challenges, HR can implement hybrid working frameworks that offer clarity and consistency. Hybrid team charters are increasingly used across professional services firms to establish norms around communication, availability, performance expectations and collaboration. Bloom et al. (2015) note that structured hybrid models are linked to improved engagement, fairness and team cohesion.</w:t>
      </w:r>
    </w:p>
    <w:p w14:paraId="01492D46" w14:textId="77777777" w:rsidR="006D1E5F" w:rsidRPr="006D1E5F" w:rsidRDefault="006D1E5F" w:rsidP="006D1E5F">
      <w:r w:rsidRPr="006D1E5F">
        <w:t>Wellbeing-focused HR practices are equally important. These might include workload monitoring systems, wellbeing surveys, coaching sessions, or employee assistance programmes. Kelliher and Anderson (2010) advise that organisations must reassess performance expectations within flexible working contexts to avoid work intensification. HR can also introduce mandatory wellbeing check-ins or manager training focused on identifying early signs of burnout.</w:t>
      </w:r>
    </w:p>
    <w:p w14:paraId="6F5A8F86" w14:textId="77777777" w:rsidR="006D1E5F" w:rsidRPr="006D1E5F" w:rsidRDefault="006D1E5F" w:rsidP="006D1E5F">
      <w:r w:rsidRPr="006D1E5F">
        <w:t>Finally, contemporary HR practices emphasise creating inclusive and psychologically safe workplaces. Bias-awareness training, equitable access to development opportunities and regular employee voice activities can help ensure that hybrid working does not disadvantage those who work remotely more often. CIPD (2022) highlights that inclusive hybrid working improves trust and reduces grievances by ensuring fairness across teams.</w:t>
      </w:r>
    </w:p>
    <w:p w14:paraId="0040F142" w14:textId="6AC92353" w:rsidR="006D1E5F" w:rsidRPr="006D1E5F" w:rsidRDefault="006D1E5F" w:rsidP="006D1E5F"/>
    <w:p w14:paraId="56742D71" w14:textId="77777777" w:rsidR="006D1E5F" w:rsidRPr="006D1E5F" w:rsidRDefault="006D1E5F" w:rsidP="006D1E5F">
      <w:pPr>
        <w:rPr>
          <w:b/>
          <w:bCs/>
        </w:rPr>
      </w:pPr>
      <w:r w:rsidRPr="006D1E5F">
        <w:rPr>
          <w:b/>
          <w:bCs/>
        </w:rPr>
        <w:lastRenderedPageBreak/>
        <w:t>3. Critical Evaluation of How Departmental Managers Can Ensure These Practices Are Implemented Urgently</w:t>
      </w:r>
    </w:p>
    <w:p w14:paraId="4200384C" w14:textId="77777777" w:rsidR="006D1E5F" w:rsidRPr="006D1E5F" w:rsidRDefault="006D1E5F" w:rsidP="006D1E5F">
      <w:r w:rsidRPr="006D1E5F">
        <w:t>Departmental managers play a central role in translating HR practices into daily behaviour. For HR initiatives to be implemented quickly and effectively within KPMG, managers must act as communicators, role models and facilitators. Clear and consistent communication is one of their fundamental responsibilities. Gill (2003) argues that managers shape how employees interpret organisational change. Therefore, managers must ensure that transformation updates, digital training opportunities and hybrid-working guidelines are communicated in ways that are accessible and meaningful to their teams. Failure to do so creates confusion and increases the likelihood of grievances.</w:t>
      </w:r>
    </w:p>
    <w:p w14:paraId="1D7C8138" w14:textId="77777777" w:rsidR="006D1E5F" w:rsidRPr="006D1E5F" w:rsidRDefault="006D1E5F" w:rsidP="006D1E5F">
      <w:r w:rsidRPr="006D1E5F">
        <w:t>Acting as role models is another crucial aspect. Managers must demonstrate commitment to hybrid working policies by adopting a balanced working routine themselves. Bloom et al. (2015) found that hybrid initiatives fail when leaders do not model the behaviours they expect. At KPMG, if managers continue to work exclusively from the office or contact staff outside working hours, they send conflicting messages that undermine the purpose of flexible working policies.</w:t>
      </w:r>
    </w:p>
    <w:p w14:paraId="4C76115E" w14:textId="77777777" w:rsidR="006D1E5F" w:rsidRPr="006D1E5F" w:rsidRDefault="006D1E5F" w:rsidP="006D1E5F">
      <w:r w:rsidRPr="006D1E5F">
        <w:t>Ensuring employees receive training and support is also a managerial duty. Managers should encourage staff to participate in digital skills programmes and make time available during working hours for learning. By fostering psychological safety, managers enable employees to admit when they are struggling with new technologies or workload expectations. Ulrich et al. (2017) note that managers who adopt a coaching style improve employee engagement and capability, particularly during periods of change.</w:t>
      </w:r>
    </w:p>
    <w:p w14:paraId="68851CB0" w14:textId="77777777" w:rsidR="006D1E5F" w:rsidRPr="006D1E5F" w:rsidRDefault="006D1E5F" w:rsidP="006D1E5F">
      <w:r w:rsidRPr="006D1E5F">
        <w:t>Monitoring wellbeing and workload is essential. While HR may design policies, managers must apply them by observing patterns of overtime, declining morale or conflict within hybrid teams. Grievances typically arise when managers overlook these early indicators. Data from wellbeing surveys or performance conversations should be actively reviewed and acted upon. High-performing cultures such as KPMG’s require managers to balance client demands with employee wellbeing.</w:t>
      </w:r>
    </w:p>
    <w:p w14:paraId="55AA6819" w14:textId="77777777" w:rsidR="006D1E5F" w:rsidRPr="006D1E5F" w:rsidRDefault="006D1E5F" w:rsidP="006D1E5F">
      <w:r w:rsidRPr="006D1E5F">
        <w:t>Accountability mechanisms can accelerate implementation. KPMG could link managerial performance objectives to indicators such as training completion, employee voice results and hybrid-working compliance. CIPD (2021) emphasises that people-management behaviours improve when they are tied to recognition, feedback and performance reviews. Managers need support too, including coaching, HR business partner guidance and access to leadership development programmes.</w:t>
      </w:r>
    </w:p>
    <w:p w14:paraId="056870F6" w14:textId="77777777" w:rsidR="006D1E5F" w:rsidRPr="006D1E5F" w:rsidRDefault="006D1E5F" w:rsidP="006D1E5F">
      <w:r w:rsidRPr="006D1E5F">
        <w:t xml:space="preserve">Although managers hold significant responsibility, they also face challenges such as high workloads and competing priorities. For HR practices to be implemented with urgency, KPMG must reduce managerial burden by simplifying processes, improving </w:t>
      </w:r>
      <w:r w:rsidRPr="006D1E5F">
        <w:lastRenderedPageBreak/>
        <w:t>digital tools and clarifying expectations. When managers are supported, they can create the conditions necessary for successful change adoption.</w:t>
      </w:r>
    </w:p>
    <w:p w14:paraId="12C233BC" w14:textId="1BC1899E" w:rsidR="006D1E5F" w:rsidRPr="006D1E5F" w:rsidRDefault="006D1E5F" w:rsidP="006D1E5F"/>
    <w:p w14:paraId="3F4766C6" w14:textId="77777777" w:rsidR="006D1E5F" w:rsidRPr="006D1E5F" w:rsidRDefault="006D1E5F" w:rsidP="006D1E5F">
      <w:pPr>
        <w:rPr>
          <w:b/>
          <w:bCs/>
        </w:rPr>
      </w:pPr>
      <w:r w:rsidRPr="006D1E5F">
        <w:rPr>
          <w:b/>
          <w:bCs/>
        </w:rPr>
        <w:t>Conclusion and Recommendations</w:t>
      </w:r>
    </w:p>
    <w:p w14:paraId="313E8B9A" w14:textId="77777777" w:rsidR="006D1E5F" w:rsidRPr="006D1E5F" w:rsidRDefault="006D1E5F" w:rsidP="006D1E5F">
      <w:r w:rsidRPr="006D1E5F">
        <w:t>The rise in employee grievances at KPMG UK reflects the pressures created by business transformation, digital technology adoption and flexible working arrangements. While these initiatives aim to strengthen the organisation’s competitiveness and support employee wellbeing, the pace of change has contributed to uncertainty, skill gaps and inconsistent working experiences across departments. Contemporary HR practices—including structured communication, personalised digital training, continuous performance management and clear hybrid-working frameworks—can help address these challenges.</w:t>
      </w:r>
    </w:p>
    <w:p w14:paraId="477E6C56" w14:textId="77777777" w:rsidR="006D1E5F" w:rsidRPr="006D1E5F" w:rsidRDefault="006D1E5F" w:rsidP="006D1E5F">
      <w:r w:rsidRPr="006D1E5F">
        <w:rPr>
          <w:b/>
          <w:bCs/>
        </w:rPr>
        <w:t>Recommendations</w:t>
      </w:r>
    </w:p>
    <w:p w14:paraId="580EED77" w14:textId="77777777" w:rsidR="006D1E5F" w:rsidRPr="006D1E5F" w:rsidRDefault="006D1E5F" w:rsidP="006D1E5F">
      <w:pPr>
        <w:numPr>
          <w:ilvl w:val="0"/>
          <w:numId w:val="1"/>
        </w:numPr>
      </w:pPr>
      <w:r w:rsidRPr="006D1E5F">
        <w:t>Implement regular change-communication sessions and manager-led briefings to ensure clarity.</w:t>
      </w:r>
    </w:p>
    <w:p w14:paraId="4FB8E058" w14:textId="77777777" w:rsidR="006D1E5F" w:rsidRPr="006D1E5F" w:rsidRDefault="006D1E5F" w:rsidP="006D1E5F">
      <w:pPr>
        <w:numPr>
          <w:ilvl w:val="0"/>
          <w:numId w:val="1"/>
        </w:numPr>
      </w:pPr>
      <w:r w:rsidRPr="006D1E5F">
        <w:t>Introduce digital-skills development pathways supported by digital ambassadors in each business unit.</w:t>
      </w:r>
    </w:p>
    <w:p w14:paraId="02838250" w14:textId="77777777" w:rsidR="006D1E5F" w:rsidRPr="006D1E5F" w:rsidRDefault="006D1E5F" w:rsidP="006D1E5F">
      <w:pPr>
        <w:numPr>
          <w:ilvl w:val="0"/>
          <w:numId w:val="1"/>
        </w:numPr>
      </w:pPr>
      <w:r w:rsidRPr="006D1E5F">
        <w:t>Develop hybrid team charters to ensure consistent expectations across departments.</w:t>
      </w:r>
    </w:p>
    <w:p w14:paraId="0A2AF196" w14:textId="77777777" w:rsidR="006D1E5F" w:rsidRPr="006D1E5F" w:rsidRDefault="006D1E5F" w:rsidP="006D1E5F">
      <w:pPr>
        <w:numPr>
          <w:ilvl w:val="0"/>
          <w:numId w:val="1"/>
        </w:numPr>
      </w:pPr>
      <w:r w:rsidRPr="006D1E5F">
        <w:t>Strengthen wellbeing monitoring through pulse surveys and workload reviews.</w:t>
      </w:r>
    </w:p>
    <w:p w14:paraId="2C82B5A7" w14:textId="77777777" w:rsidR="006D1E5F" w:rsidRPr="006D1E5F" w:rsidRDefault="006D1E5F" w:rsidP="006D1E5F">
      <w:pPr>
        <w:numPr>
          <w:ilvl w:val="0"/>
          <w:numId w:val="1"/>
        </w:numPr>
      </w:pPr>
      <w:r w:rsidRPr="006D1E5F">
        <w:t>Provide leadership development for managers focusing on coaching, inclusive management and hybrid leadership.</w:t>
      </w:r>
    </w:p>
    <w:p w14:paraId="2D7F8DF1" w14:textId="77777777" w:rsidR="006D1E5F" w:rsidRPr="006D1E5F" w:rsidRDefault="006D1E5F" w:rsidP="006D1E5F">
      <w:r w:rsidRPr="006D1E5F">
        <w:t>These actions will help KPMG create a more supportive working environment, reduce grievances and enhance employee engagement during ongoing transformation.</w:t>
      </w:r>
    </w:p>
    <w:p w14:paraId="11752FAE" w14:textId="24F9BC82" w:rsidR="006D1E5F" w:rsidRPr="006D1E5F" w:rsidRDefault="006D1E5F" w:rsidP="006D1E5F"/>
    <w:p w14:paraId="0FECE228" w14:textId="77777777" w:rsidR="006D1E5F" w:rsidRDefault="006D1E5F" w:rsidP="006D1E5F">
      <w:pPr>
        <w:rPr>
          <w:b/>
          <w:bCs/>
        </w:rPr>
      </w:pPr>
    </w:p>
    <w:p w14:paraId="3C14F821" w14:textId="77777777" w:rsidR="006D1E5F" w:rsidRDefault="006D1E5F" w:rsidP="006D1E5F">
      <w:pPr>
        <w:rPr>
          <w:b/>
          <w:bCs/>
        </w:rPr>
      </w:pPr>
    </w:p>
    <w:p w14:paraId="4193CD5F" w14:textId="77777777" w:rsidR="006D1E5F" w:rsidRDefault="006D1E5F" w:rsidP="006D1E5F">
      <w:pPr>
        <w:rPr>
          <w:b/>
          <w:bCs/>
        </w:rPr>
      </w:pPr>
    </w:p>
    <w:p w14:paraId="095D8D11" w14:textId="77777777" w:rsidR="006D1E5F" w:rsidRDefault="006D1E5F" w:rsidP="006D1E5F">
      <w:pPr>
        <w:rPr>
          <w:b/>
          <w:bCs/>
        </w:rPr>
      </w:pPr>
    </w:p>
    <w:p w14:paraId="524B8831" w14:textId="77777777" w:rsidR="006D1E5F" w:rsidRDefault="006D1E5F" w:rsidP="006D1E5F">
      <w:pPr>
        <w:rPr>
          <w:b/>
          <w:bCs/>
        </w:rPr>
      </w:pPr>
    </w:p>
    <w:p w14:paraId="4ABBCBA3" w14:textId="77777777" w:rsidR="006D1E5F" w:rsidRDefault="006D1E5F" w:rsidP="006D1E5F">
      <w:pPr>
        <w:rPr>
          <w:b/>
          <w:bCs/>
        </w:rPr>
      </w:pPr>
    </w:p>
    <w:p w14:paraId="4697C2B7" w14:textId="77777777" w:rsidR="006D1E5F" w:rsidRDefault="006D1E5F" w:rsidP="006D1E5F">
      <w:pPr>
        <w:rPr>
          <w:b/>
          <w:bCs/>
        </w:rPr>
      </w:pPr>
    </w:p>
    <w:p w14:paraId="57B2EF3A" w14:textId="21800049" w:rsidR="006D1E5F" w:rsidRPr="006D1E5F" w:rsidRDefault="006D1E5F" w:rsidP="006D1E5F">
      <w:pPr>
        <w:rPr>
          <w:b/>
          <w:bCs/>
        </w:rPr>
      </w:pPr>
      <w:r w:rsidRPr="006D1E5F">
        <w:rPr>
          <w:b/>
          <w:bCs/>
        </w:rPr>
        <w:lastRenderedPageBreak/>
        <w:t>References</w:t>
      </w:r>
    </w:p>
    <w:p w14:paraId="0690716F" w14:textId="77777777" w:rsidR="006D1E5F" w:rsidRPr="006D1E5F" w:rsidRDefault="006D1E5F" w:rsidP="006D1E5F">
      <w:r w:rsidRPr="006D1E5F">
        <w:t xml:space="preserve">Bloom, N., Liang, J., Roberts, J. and Ying, Z. (2015) ‘Does working from home work? Evidence from a Chinese experiment’, </w:t>
      </w:r>
      <w:r w:rsidRPr="006D1E5F">
        <w:rPr>
          <w:i/>
          <w:iCs/>
        </w:rPr>
        <w:t>Quarterly Journal of Economics</w:t>
      </w:r>
      <w:r w:rsidRPr="006D1E5F">
        <w:t>, 130(1), pp. 165–218.</w:t>
      </w:r>
    </w:p>
    <w:p w14:paraId="6E5C5396" w14:textId="77777777" w:rsidR="006D1E5F" w:rsidRPr="006D1E5F" w:rsidRDefault="006D1E5F" w:rsidP="006D1E5F">
      <w:r w:rsidRPr="006D1E5F">
        <w:t xml:space="preserve">Bondarouk, T. and Brewster, C. (2016) ‘Conceptualising the future of HRM and technology research’, </w:t>
      </w:r>
      <w:r w:rsidRPr="006D1E5F">
        <w:rPr>
          <w:i/>
          <w:iCs/>
        </w:rPr>
        <w:t>International Journal of Human Resource Management</w:t>
      </w:r>
      <w:r w:rsidRPr="006D1E5F">
        <w:t>, 27(21), pp. 2652–2671.</w:t>
      </w:r>
    </w:p>
    <w:p w14:paraId="66FF9E65" w14:textId="77777777" w:rsidR="006D1E5F" w:rsidRPr="006D1E5F" w:rsidRDefault="006D1E5F" w:rsidP="006D1E5F">
      <w:r w:rsidRPr="006D1E5F">
        <w:t xml:space="preserve">CIPD (2021) </w:t>
      </w:r>
      <w:r w:rsidRPr="006D1E5F">
        <w:rPr>
          <w:i/>
          <w:iCs/>
        </w:rPr>
        <w:t>Managing Hybrid Working</w:t>
      </w:r>
      <w:r w:rsidRPr="006D1E5F">
        <w:t>. London: CIPD.</w:t>
      </w:r>
    </w:p>
    <w:p w14:paraId="776C8119" w14:textId="77777777" w:rsidR="006D1E5F" w:rsidRPr="006D1E5F" w:rsidRDefault="006D1E5F" w:rsidP="006D1E5F">
      <w:r w:rsidRPr="006D1E5F">
        <w:t xml:space="preserve">CIPD (2022) </w:t>
      </w:r>
      <w:r w:rsidRPr="006D1E5F">
        <w:rPr>
          <w:i/>
          <w:iCs/>
        </w:rPr>
        <w:t>Workplace Technology and People Management</w:t>
      </w:r>
      <w:r w:rsidRPr="006D1E5F">
        <w:t>. London: CIPD.</w:t>
      </w:r>
    </w:p>
    <w:p w14:paraId="18A19851" w14:textId="77777777" w:rsidR="006D1E5F" w:rsidRPr="006D1E5F" w:rsidRDefault="006D1E5F" w:rsidP="006D1E5F">
      <w:r w:rsidRPr="006D1E5F">
        <w:t xml:space="preserve">Gill, R. (2003) ‘Change management—or change leadership?’, </w:t>
      </w:r>
      <w:r w:rsidRPr="006D1E5F">
        <w:rPr>
          <w:i/>
          <w:iCs/>
        </w:rPr>
        <w:t>Journal of Change Management</w:t>
      </w:r>
      <w:r w:rsidRPr="006D1E5F">
        <w:t>, 3(4), pp. 307–318.</w:t>
      </w:r>
    </w:p>
    <w:p w14:paraId="0A5D1533" w14:textId="77777777" w:rsidR="006D1E5F" w:rsidRPr="006D1E5F" w:rsidRDefault="006D1E5F" w:rsidP="006D1E5F">
      <w:r w:rsidRPr="006D1E5F">
        <w:t xml:space="preserve">Kelliher, C. and Anderson, D. (2010) ‘Doing more with less? Flexible working practices and the intensification of work’, </w:t>
      </w:r>
      <w:r w:rsidRPr="006D1E5F">
        <w:rPr>
          <w:i/>
          <w:iCs/>
        </w:rPr>
        <w:t>Human Relations</w:t>
      </w:r>
      <w:r w:rsidRPr="006D1E5F">
        <w:t>, 63(1), pp. 83–106.</w:t>
      </w:r>
    </w:p>
    <w:p w14:paraId="3002FABA" w14:textId="77777777" w:rsidR="006D1E5F" w:rsidRPr="006D1E5F" w:rsidRDefault="006D1E5F" w:rsidP="006D1E5F">
      <w:r w:rsidRPr="006D1E5F">
        <w:t xml:space="preserve">KPMG UK (2022) </w:t>
      </w:r>
      <w:r w:rsidRPr="006D1E5F">
        <w:rPr>
          <w:i/>
          <w:iCs/>
        </w:rPr>
        <w:t>People Strategy Report</w:t>
      </w:r>
      <w:r w:rsidRPr="006D1E5F">
        <w:t>. London: KPMG.</w:t>
      </w:r>
    </w:p>
    <w:p w14:paraId="7D598A0F" w14:textId="77777777" w:rsidR="006D1E5F" w:rsidRPr="006D1E5F" w:rsidRDefault="006D1E5F" w:rsidP="006D1E5F">
      <w:r w:rsidRPr="006D1E5F">
        <w:t xml:space="preserve">KPMG UK (2023) </w:t>
      </w:r>
      <w:r w:rsidRPr="006D1E5F">
        <w:rPr>
          <w:i/>
          <w:iCs/>
        </w:rPr>
        <w:t>Our Approach to Hybrid Working</w:t>
      </w:r>
      <w:r w:rsidRPr="006D1E5F">
        <w:t>. Available at: https://www.kpmg.com/uk (Accessed: [Insert Date]).</w:t>
      </w:r>
    </w:p>
    <w:p w14:paraId="6F124F24" w14:textId="77777777" w:rsidR="006D1E5F" w:rsidRPr="006D1E5F" w:rsidRDefault="006D1E5F" w:rsidP="006D1E5F">
      <w:r w:rsidRPr="006D1E5F">
        <w:t xml:space="preserve">Kotter, J. (2012) </w:t>
      </w:r>
      <w:r w:rsidRPr="006D1E5F">
        <w:rPr>
          <w:i/>
          <w:iCs/>
        </w:rPr>
        <w:t>Leading Change</w:t>
      </w:r>
      <w:r w:rsidRPr="006D1E5F">
        <w:t>. Boston: Harvard Business Review Press.</w:t>
      </w:r>
    </w:p>
    <w:p w14:paraId="2C731549" w14:textId="77777777" w:rsidR="006D1E5F" w:rsidRPr="006D1E5F" w:rsidRDefault="006D1E5F" w:rsidP="006D1E5F">
      <w:r w:rsidRPr="006D1E5F">
        <w:t xml:space="preserve">Ulrich, D., Younger, J., Brockbank, W. and Ulrich, M. (2017) </w:t>
      </w:r>
      <w:r w:rsidRPr="006D1E5F">
        <w:rPr>
          <w:i/>
          <w:iCs/>
        </w:rPr>
        <w:t>HR from the Outside In</w:t>
      </w:r>
      <w:r w:rsidRPr="006D1E5F">
        <w:t>. New York: McGraw-Hill.</w:t>
      </w:r>
    </w:p>
    <w:p w14:paraId="60304BD8" w14:textId="77777777" w:rsidR="00263FD1" w:rsidRDefault="00263FD1"/>
    <w:sectPr w:rsidR="00263F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460C4"/>
    <w:multiLevelType w:val="multilevel"/>
    <w:tmpl w:val="F6420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85399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E5F"/>
    <w:rsid w:val="00263FD1"/>
    <w:rsid w:val="002F5429"/>
    <w:rsid w:val="003C77EF"/>
    <w:rsid w:val="006D1E5F"/>
    <w:rsid w:val="006E4B62"/>
    <w:rsid w:val="008E4C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50281"/>
  <w15:chartTrackingRefBased/>
  <w15:docId w15:val="{10403FC4-A154-4FB4-A654-13ADE5FF5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1E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1E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1E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1E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1E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1E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1E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1E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1E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1E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1E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1E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1E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1E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1E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1E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1E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1E5F"/>
    <w:rPr>
      <w:rFonts w:eastAsiaTheme="majorEastAsia" w:cstheme="majorBidi"/>
      <w:color w:val="272727" w:themeColor="text1" w:themeTint="D8"/>
    </w:rPr>
  </w:style>
  <w:style w:type="paragraph" w:styleId="Title">
    <w:name w:val="Title"/>
    <w:basedOn w:val="Normal"/>
    <w:next w:val="Normal"/>
    <w:link w:val="TitleChar"/>
    <w:uiPriority w:val="10"/>
    <w:qFormat/>
    <w:rsid w:val="006D1E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1E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1E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1E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1E5F"/>
    <w:pPr>
      <w:spacing w:before="160"/>
      <w:jc w:val="center"/>
    </w:pPr>
    <w:rPr>
      <w:i/>
      <w:iCs/>
      <w:color w:val="404040" w:themeColor="text1" w:themeTint="BF"/>
    </w:rPr>
  </w:style>
  <w:style w:type="character" w:customStyle="1" w:styleId="QuoteChar">
    <w:name w:val="Quote Char"/>
    <w:basedOn w:val="DefaultParagraphFont"/>
    <w:link w:val="Quote"/>
    <w:uiPriority w:val="29"/>
    <w:rsid w:val="006D1E5F"/>
    <w:rPr>
      <w:i/>
      <w:iCs/>
      <w:color w:val="404040" w:themeColor="text1" w:themeTint="BF"/>
    </w:rPr>
  </w:style>
  <w:style w:type="paragraph" w:styleId="ListParagraph">
    <w:name w:val="List Paragraph"/>
    <w:basedOn w:val="Normal"/>
    <w:uiPriority w:val="34"/>
    <w:qFormat/>
    <w:rsid w:val="006D1E5F"/>
    <w:pPr>
      <w:ind w:left="720"/>
      <w:contextualSpacing/>
    </w:pPr>
  </w:style>
  <w:style w:type="character" w:styleId="IntenseEmphasis">
    <w:name w:val="Intense Emphasis"/>
    <w:basedOn w:val="DefaultParagraphFont"/>
    <w:uiPriority w:val="21"/>
    <w:qFormat/>
    <w:rsid w:val="006D1E5F"/>
    <w:rPr>
      <w:i/>
      <w:iCs/>
      <w:color w:val="0F4761" w:themeColor="accent1" w:themeShade="BF"/>
    </w:rPr>
  </w:style>
  <w:style w:type="paragraph" w:styleId="IntenseQuote">
    <w:name w:val="Intense Quote"/>
    <w:basedOn w:val="Normal"/>
    <w:next w:val="Normal"/>
    <w:link w:val="IntenseQuoteChar"/>
    <w:uiPriority w:val="30"/>
    <w:qFormat/>
    <w:rsid w:val="006D1E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1E5F"/>
    <w:rPr>
      <w:i/>
      <w:iCs/>
      <w:color w:val="0F4761" w:themeColor="accent1" w:themeShade="BF"/>
    </w:rPr>
  </w:style>
  <w:style w:type="character" w:styleId="IntenseReference">
    <w:name w:val="Intense Reference"/>
    <w:basedOn w:val="DefaultParagraphFont"/>
    <w:uiPriority w:val="32"/>
    <w:qFormat/>
    <w:rsid w:val="006D1E5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2074</Words>
  <Characters>11826</Characters>
  <Application>Microsoft Office Word</Application>
  <DocSecurity>0</DocSecurity>
  <Lines>98</Lines>
  <Paragraphs>27</Paragraphs>
  <ScaleCrop>false</ScaleCrop>
  <Company/>
  <LinksUpToDate>false</LinksUpToDate>
  <CharactersWithSpaces>13873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azka rabbani</dc:creator>
  <cp:keywords/>
  <dc:description/>
  <cp:lastModifiedBy>azka rabbani</cp:lastModifiedBy>
  <cp:revision>1</cp:revision>
  <dcterms:created xsi:type="dcterms:W3CDTF">2025-11-20T22:39:00Z</dcterms:created>
  <dcterms:modified xsi:type="dcterms:W3CDTF">2025-11-20T22:43:00Z</dcterms:modified>
</cp:coreProperties>
</file>