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4B91" w:rsidRPr="008711EA" w:rsidRDefault="00C37619" w:rsidP="008711EA">
      <w:pPr>
        <w:jc w:val="center"/>
        <w:rPr>
          <w:b/>
        </w:rPr>
      </w:pPr>
      <w:r w:rsidRPr="00244DA4">
        <w:rPr>
          <w:b/>
        </w:rPr>
        <w:t>William of Poitiers</w:t>
      </w:r>
      <w:r w:rsidR="008711EA">
        <w:rPr>
          <w:b/>
        </w:rPr>
        <w:t xml:space="preserve"> </w:t>
      </w:r>
      <w:proofErr w:type="spellStart"/>
      <w:r w:rsidR="008711EA">
        <w:rPr>
          <w:b/>
          <w:i/>
        </w:rPr>
        <w:t>Gesta</w:t>
      </w:r>
      <w:proofErr w:type="spellEnd"/>
      <w:r w:rsidR="008711EA">
        <w:rPr>
          <w:b/>
          <w:i/>
        </w:rPr>
        <w:t xml:space="preserve"> </w:t>
      </w:r>
      <w:proofErr w:type="spellStart"/>
      <w:r w:rsidR="008711EA">
        <w:rPr>
          <w:b/>
          <w:i/>
        </w:rPr>
        <w:t>Willelmi</w:t>
      </w:r>
      <w:proofErr w:type="spellEnd"/>
      <w:r w:rsidR="008711EA">
        <w:rPr>
          <w:b/>
          <w:i/>
        </w:rPr>
        <w:t xml:space="preserve"> </w:t>
      </w:r>
      <w:proofErr w:type="spellStart"/>
      <w:r w:rsidR="008711EA">
        <w:rPr>
          <w:b/>
          <w:i/>
        </w:rPr>
        <w:t>ducis</w:t>
      </w:r>
      <w:proofErr w:type="spellEnd"/>
      <w:r w:rsidR="008711EA">
        <w:rPr>
          <w:b/>
          <w:i/>
        </w:rPr>
        <w:t xml:space="preserve"> </w:t>
      </w:r>
      <w:proofErr w:type="spellStart"/>
      <w:r w:rsidR="008711EA">
        <w:rPr>
          <w:b/>
          <w:i/>
        </w:rPr>
        <w:t>Normannorum</w:t>
      </w:r>
      <w:proofErr w:type="spellEnd"/>
      <w:r w:rsidR="008711EA">
        <w:rPr>
          <w:b/>
          <w:i/>
        </w:rPr>
        <w:t xml:space="preserve"> </w:t>
      </w:r>
      <w:proofErr w:type="gramStart"/>
      <w:r w:rsidR="008711EA">
        <w:rPr>
          <w:b/>
          <w:i/>
        </w:rPr>
        <w:t>et</w:t>
      </w:r>
      <w:proofErr w:type="gramEnd"/>
      <w:r w:rsidR="008711EA">
        <w:rPr>
          <w:b/>
          <w:i/>
        </w:rPr>
        <w:t xml:space="preserve"> </w:t>
      </w:r>
      <w:proofErr w:type="spellStart"/>
      <w:r w:rsidR="008711EA">
        <w:rPr>
          <w:b/>
          <w:i/>
        </w:rPr>
        <w:t>regis</w:t>
      </w:r>
      <w:proofErr w:type="spellEnd"/>
      <w:r w:rsidR="008711EA">
        <w:rPr>
          <w:b/>
          <w:i/>
        </w:rPr>
        <w:t xml:space="preserve"> </w:t>
      </w:r>
      <w:proofErr w:type="spellStart"/>
      <w:r w:rsidR="008711EA">
        <w:rPr>
          <w:b/>
          <w:i/>
        </w:rPr>
        <w:t>Anglorum</w:t>
      </w:r>
      <w:proofErr w:type="spellEnd"/>
    </w:p>
    <w:p w:rsidR="00C01BC4" w:rsidRPr="002625A0" w:rsidRDefault="00824E33" w:rsidP="001224C0">
      <w:r>
        <w:t xml:space="preserve">The </w:t>
      </w:r>
      <w:r w:rsidR="000A182B">
        <w:t xml:space="preserve">history </w:t>
      </w:r>
      <w:r>
        <w:t>was written between 1071 -1077</w:t>
      </w:r>
      <w:r>
        <w:rPr>
          <w:rStyle w:val="FootnoteReference"/>
        </w:rPr>
        <w:footnoteReference w:id="1"/>
      </w:r>
      <w:r>
        <w:t xml:space="preserve"> </w:t>
      </w:r>
      <w:r w:rsidR="008711EA">
        <w:t>and is both a panegyric to William I and a history of England</w:t>
      </w:r>
      <w:r>
        <w:t xml:space="preserve">. </w:t>
      </w:r>
      <w:r w:rsidR="00590445">
        <w:t xml:space="preserve">According to </w:t>
      </w:r>
      <w:proofErr w:type="spellStart"/>
      <w:r w:rsidR="00590445">
        <w:t>Orderic</w:t>
      </w:r>
      <w:proofErr w:type="spellEnd"/>
      <w:r w:rsidR="00590445">
        <w:t xml:space="preserve"> </w:t>
      </w:r>
      <w:proofErr w:type="spellStart"/>
      <w:r w:rsidR="00590445">
        <w:t>Vitalis</w:t>
      </w:r>
      <w:proofErr w:type="spellEnd"/>
      <w:r w:rsidR="00590445">
        <w:t xml:space="preserve">, </w:t>
      </w:r>
      <w:r w:rsidR="00616FEE">
        <w:t>William of</w:t>
      </w:r>
      <w:bookmarkStart w:id="0" w:name="_GoBack"/>
      <w:bookmarkEnd w:id="0"/>
      <w:r w:rsidR="00616FEE">
        <w:t xml:space="preserve"> Poitiers</w:t>
      </w:r>
      <w:r>
        <w:t xml:space="preserve"> was born in Les </w:t>
      </w:r>
      <w:proofErr w:type="spellStart"/>
      <w:r>
        <w:t>Pr</w:t>
      </w:r>
      <w:r>
        <w:rPr>
          <w:rFonts w:cstheme="minorHAnsi"/>
        </w:rPr>
        <w:t>é</w:t>
      </w:r>
      <w:r>
        <w:t>aux</w:t>
      </w:r>
      <w:proofErr w:type="spellEnd"/>
      <w:r>
        <w:t xml:space="preserve"> in Normandy </w:t>
      </w:r>
      <w:r w:rsidRPr="00824E33">
        <w:rPr>
          <w:i/>
        </w:rPr>
        <w:t>c</w:t>
      </w:r>
      <w:r w:rsidRPr="00824E33">
        <w:t>1020</w:t>
      </w:r>
      <w:r w:rsidR="0000583B">
        <w:t xml:space="preserve">, saw active military service under </w:t>
      </w:r>
      <w:r w:rsidR="00616FEE">
        <w:t xml:space="preserve">Duke </w:t>
      </w:r>
      <w:r w:rsidR="0000583B">
        <w:t>William before join</w:t>
      </w:r>
      <w:r w:rsidR="00A003DB">
        <w:t>ing the priesthood</w:t>
      </w:r>
      <w:r w:rsidR="0000583B">
        <w:t>.</w:t>
      </w:r>
      <w:r w:rsidR="0000583B">
        <w:rPr>
          <w:rStyle w:val="FootnoteReference"/>
        </w:rPr>
        <w:footnoteReference w:id="2"/>
      </w:r>
      <w:r w:rsidR="008711EA">
        <w:t xml:space="preserve"> He had excellent credentials to write the history: he was highly educated</w:t>
      </w:r>
      <w:r w:rsidR="00590445">
        <w:t xml:space="preserve"> and erudite</w:t>
      </w:r>
      <w:r w:rsidR="008711EA">
        <w:t>, though not present at Hastings, he stayed in England sometime after</w:t>
      </w:r>
      <w:r w:rsidR="008711EA">
        <w:rPr>
          <w:rStyle w:val="FootnoteReference"/>
        </w:rPr>
        <w:footnoteReference w:id="3"/>
      </w:r>
      <w:r w:rsidR="008711EA">
        <w:t xml:space="preserve"> and, as William’s chaplain, would have heard his confession</w:t>
      </w:r>
      <w:r w:rsidR="008711EA">
        <w:rPr>
          <w:rStyle w:val="FootnoteReference"/>
        </w:rPr>
        <w:footnoteReference w:id="4"/>
      </w:r>
      <w:r w:rsidR="008711EA">
        <w:t xml:space="preserve"> </w:t>
      </w:r>
      <w:r w:rsidR="00A003DB">
        <w:t xml:space="preserve">and spoken to </w:t>
      </w:r>
      <w:r w:rsidR="009B1FCC">
        <w:t xml:space="preserve">other </w:t>
      </w:r>
      <w:r w:rsidR="00A003DB">
        <w:t>participant</w:t>
      </w:r>
      <w:r w:rsidR="00B06E84">
        <w:t>s</w:t>
      </w:r>
      <w:r w:rsidR="008711EA">
        <w:t xml:space="preserve">. </w:t>
      </w:r>
      <w:r w:rsidR="00590445">
        <w:t>However, t</w:t>
      </w:r>
      <w:r w:rsidR="004F4A32">
        <w:t>he author left few traces in ecclesiastical, ducal or royal records,</w:t>
      </w:r>
      <w:r w:rsidR="004F4A32">
        <w:rPr>
          <w:rStyle w:val="FootnoteReference"/>
        </w:rPr>
        <w:footnoteReference w:id="5"/>
      </w:r>
      <w:r w:rsidR="004F4A32">
        <w:t xml:space="preserve">  n</w:t>
      </w:r>
      <w:r w:rsidR="008711EA">
        <w:t xml:space="preserve">o original manuscripts of </w:t>
      </w:r>
      <w:r w:rsidR="000A182B">
        <w:t xml:space="preserve">the </w:t>
      </w:r>
      <w:proofErr w:type="spellStart"/>
      <w:r w:rsidR="000A182B">
        <w:rPr>
          <w:i/>
        </w:rPr>
        <w:t>Gesta</w:t>
      </w:r>
      <w:proofErr w:type="spellEnd"/>
      <w:r w:rsidR="000A182B">
        <w:t xml:space="preserve"> survive</w:t>
      </w:r>
      <w:r w:rsidR="004F4A32">
        <w:t xml:space="preserve"> and</w:t>
      </w:r>
      <w:r w:rsidR="006140FF">
        <w:t xml:space="preserve"> it was never completed ‘due to unfavourable circumstances’</w:t>
      </w:r>
      <w:r w:rsidR="004F4A32">
        <w:t>.</w:t>
      </w:r>
      <w:r w:rsidR="006140FF">
        <w:rPr>
          <w:rStyle w:val="FootnoteReference"/>
        </w:rPr>
        <w:footnoteReference w:id="6"/>
      </w:r>
      <w:r w:rsidR="00616FEE">
        <w:t xml:space="preserve"> </w:t>
      </w:r>
      <w:proofErr w:type="spellStart"/>
      <w:r w:rsidR="000A182B">
        <w:t>Orderic</w:t>
      </w:r>
      <w:proofErr w:type="spellEnd"/>
      <w:r w:rsidR="000A182B">
        <w:t xml:space="preserve"> </w:t>
      </w:r>
      <w:proofErr w:type="spellStart"/>
      <w:r w:rsidR="000A182B">
        <w:t>Vitalis</w:t>
      </w:r>
      <w:proofErr w:type="spellEnd"/>
      <w:r w:rsidR="000A182B">
        <w:t xml:space="preserve"> is known to have had a complete copy, and there was at least </w:t>
      </w:r>
      <w:r w:rsidR="00616FEE">
        <w:t>another</w:t>
      </w:r>
      <w:r w:rsidR="000A182B">
        <w:t xml:space="preserve"> copy in England</w:t>
      </w:r>
      <w:r w:rsidR="000A182B">
        <w:rPr>
          <w:rStyle w:val="FootnoteReference"/>
        </w:rPr>
        <w:footnoteReference w:id="7"/>
      </w:r>
      <w:r w:rsidR="000A182B">
        <w:t xml:space="preserve"> but only one incomplete copy</w:t>
      </w:r>
      <w:r w:rsidR="001224C0">
        <w:t xml:space="preserve"> is known to have survived </w:t>
      </w:r>
      <w:r w:rsidR="000A182B">
        <w:t>to the Renaissance.</w:t>
      </w:r>
      <w:r w:rsidR="000A182B">
        <w:rPr>
          <w:rStyle w:val="FootnoteReference"/>
        </w:rPr>
        <w:footnoteReference w:id="8"/>
      </w:r>
      <w:r w:rsidR="000A182B">
        <w:t xml:space="preserve"> Brown calls it polished, intellectual and intelligent </w:t>
      </w:r>
      <w:r w:rsidR="00ED32B3">
        <w:t xml:space="preserve">and greatly superior to William of </w:t>
      </w:r>
      <w:proofErr w:type="spellStart"/>
      <w:r w:rsidR="00ED32B3">
        <w:t>Jumi</w:t>
      </w:r>
      <w:r w:rsidR="00ED32B3">
        <w:rPr>
          <w:rFonts w:cstheme="minorHAnsi"/>
        </w:rPr>
        <w:t>è</w:t>
      </w:r>
      <w:r w:rsidR="00ED32B3">
        <w:t>ges</w:t>
      </w:r>
      <w:proofErr w:type="spellEnd"/>
      <w:r w:rsidR="00ED32B3">
        <w:t xml:space="preserve"> work</w:t>
      </w:r>
      <w:r w:rsidR="001224C0">
        <w:t>, of which forty copies survive</w:t>
      </w:r>
      <w:r w:rsidR="00616FEE">
        <w:t>.</w:t>
      </w:r>
      <w:r w:rsidR="00616FEE">
        <w:rPr>
          <w:rStyle w:val="FootnoteReference"/>
        </w:rPr>
        <w:footnoteReference w:id="9"/>
      </w:r>
      <w:r w:rsidR="00C01BC4">
        <w:t xml:space="preserve"> As well as first-hand accounts, William may have </w:t>
      </w:r>
      <w:r w:rsidR="00BC5A64">
        <w:t xml:space="preserve">used </w:t>
      </w:r>
      <w:r w:rsidR="00C01BC4">
        <w:t xml:space="preserve">William of </w:t>
      </w:r>
      <w:proofErr w:type="spellStart"/>
      <w:r w:rsidR="00C01BC4">
        <w:t>Jumi</w:t>
      </w:r>
      <w:r w:rsidR="00C01BC4">
        <w:rPr>
          <w:rFonts w:cstheme="minorHAnsi"/>
        </w:rPr>
        <w:t>è</w:t>
      </w:r>
      <w:r w:rsidR="00C01BC4">
        <w:t>ges</w:t>
      </w:r>
      <w:proofErr w:type="spellEnd"/>
      <w:r w:rsidR="00C01BC4">
        <w:t xml:space="preserve"> </w:t>
      </w:r>
      <w:proofErr w:type="spellStart"/>
      <w:r w:rsidR="00C01BC4">
        <w:rPr>
          <w:i/>
        </w:rPr>
        <w:t>Gesta</w:t>
      </w:r>
      <w:proofErr w:type="spellEnd"/>
      <w:r w:rsidR="00C01BC4">
        <w:t xml:space="preserve"> (and t</w:t>
      </w:r>
      <w:r w:rsidR="00BC5A64">
        <w:t xml:space="preserve">herefore </w:t>
      </w:r>
      <w:proofErr w:type="spellStart"/>
      <w:r w:rsidR="00BC5A64">
        <w:t>Dudo</w:t>
      </w:r>
      <w:proofErr w:type="spellEnd"/>
      <w:r w:rsidR="00BC5A64">
        <w:t xml:space="preserve"> of St Quentin), </w:t>
      </w:r>
      <w:r w:rsidR="00C01BC4">
        <w:t xml:space="preserve">possibly the </w:t>
      </w:r>
      <w:r w:rsidR="00092EE3">
        <w:rPr>
          <w:i/>
        </w:rPr>
        <w:t xml:space="preserve">Carmen de </w:t>
      </w:r>
      <w:proofErr w:type="spellStart"/>
      <w:r w:rsidR="00092EE3">
        <w:rPr>
          <w:i/>
        </w:rPr>
        <w:t>Hastingae</w:t>
      </w:r>
      <w:proofErr w:type="spellEnd"/>
      <w:r w:rsidR="00092EE3">
        <w:rPr>
          <w:i/>
        </w:rPr>
        <w:t xml:space="preserve"> </w:t>
      </w:r>
      <w:proofErr w:type="spellStart"/>
      <w:r w:rsidR="00092EE3">
        <w:rPr>
          <w:i/>
        </w:rPr>
        <w:t>Proelio</w:t>
      </w:r>
      <w:proofErr w:type="spellEnd"/>
      <w:r w:rsidR="00092EE3" w:rsidRPr="00092EE3">
        <w:rPr>
          <w:rStyle w:val="FootnoteReference"/>
        </w:rPr>
        <w:footnoteReference w:id="10"/>
      </w:r>
      <w:r w:rsidR="00092EE3">
        <w:rPr>
          <w:i/>
        </w:rPr>
        <w:t xml:space="preserve"> </w:t>
      </w:r>
      <w:r w:rsidR="00092EE3">
        <w:t>and the Bayeux Tapestry</w:t>
      </w:r>
      <w:r w:rsidR="00C676A9">
        <w:t xml:space="preserve"> (though it is possible that the Tapestry and the </w:t>
      </w:r>
      <w:proofErr w:type="spellStart"/>
      <w:r w:rsidR="00C676A9">
        <w:rPr>
          <w:i/>
        </w:rPr>
        <w:t>Gesta</w:t>
      </w:r>
      <w:proofErr w:type="spellEnd"/>
      <w:r w:rsidR="00C676A9">
        <w:t xml:space="preserve"> share a common source</w:t>
      </w:r>
      <w:r w:rsidR="00092EE3">
        <w:rPr>
          <w:rStyle w:val="FootnoteReference"/>
        </w:rPr>
        <w:footnoteReference w:id="11"/>
      </w:r>
      <w:r w:rsidR="009B1FCC">
        <w:t>).</w:t>
      </w:r>
    </w:p>
    <w:p w:rsidR="004F4A32" w:rsidRDefault="00FA43A2" w:rsidP="00930239">
      <w:r w:rsidRPr="00FA43A2">
        <w:t>Briefly</w:t>
      </w:r>
      <w:r>
        <w:t>, t</w:t>
      </w:r>
      <w:r w:rsidRPr="00FA43A2">
        <w:t>he extr</w:t>
      </w:r>
      <w:r>
        <w:t xml:space="preserve">act begins with the ageing </w:t>
      </w:r>
      <w:r w:rsidR="00AD6368">
        <w:t xml:space="preserve">King </w:t>
      </w:r>
      <w:r>
        <w:t xml:space="preserve">Edward sending Harold </w:t>
      </w:r>
      <w:proofErr w:type="spellStart"/>
      <w:r>
        <w:t>Godwine</w:t>
      </w:r>
      <w:proofErr w:type="spellEnd"/>
      <w:r>
        <w:t xml:space="preserve"> to Duke William to affirm </w:t>
      </w:r>
      <w:r w:rsidR="00AD6368">
        <w:t>William’s</w:t>
      </w:r>
      <w:r>
        <w:t xml:space="preserve"> succession</w:t>
      </w:r>
      <w:r w:rsidR="00AD6368">
        <w:t xml:space="preserve"> to the English throne</w:t>
      </w:r>
      <w:r>
        <w:t xml:space="preserve">, Harold is blown off-course, captured by </w:t>
      </w:r>
      <w:r w:rsidR="00786119">
        <w:t xml:space="preserve">Guy Count of </w:t>
      </w:r>
      <w:proofErr w:type="spellStart"/>
      <w:r w:rsidR="00786119">
        <w:t>Ponthieu</w:t>
      </w:r>
      <w:proofErr w:type="spellEnd"/>
      <w:r w:rsidR="00C676A9">
        <w:t xml:space="preserve"> (William’s vassal)</w:t>
      </w:r>
      <w:r w:rsidR="00786119">
        <w:t xml:space="preserve"> and ra</w:t>
      </w:r>
      <w:r w:rsidR="009F0F7B">
        <w:t xml:space="preserve">nsomed by Duke William. Harold </w:t>
      </w:r>
      <w:r w:rsidR="00786119">
        <w:t>swears an oath of allegiance at Bonneville</w:t>
      </w:r>
      <w:r w:rsidR="00ED56BD">
        <w:rPr>
          <w:rStyle w:val="FootnoteReference"/>
        </w:rPr>
        <w:footnoteReference w:id="12"/>
      </w:r>
      <w:r w:rsidR="00786119">
        <w:t xml:space="preserve"> to William, accompanies him on a campaign in Brittany, and is then sent home to England with gifts and his nephew. </w:t>
      </w:r>
      <w:r w:rsidR="00D442A8">
        <w:t xml:space="preserve">The substance of Harold’s oath is that he will act to ensure William’s accession and give William Dover castle which he will garrison ‘abundantly’ at his own expense. </w:t>
      </w:r>
      <w:r>
        <w:t xml:space="preserve">The synergy between </w:t>
      </w:r>
      <w:r w:rsidR="004F4A32">
        <w:t xml:space="preserve">the </w:t>
      </w:r>
      <w:proofErr w:type="spellStart"/>
      <w:r w:rsidR="004F4A32">
        <w:rPr>
          <w:i/>
        </w:rPr>
        <w:t>Gesta</w:t>
      </w:r>
      <w:proofErr w:type="spellEnd"/>
      <w:r w:rsidR="004F4A32">
        <w:t xml:space="preserve"> and the </w:t>
      </w:r>
      <w:r>
        <w:t>Bayeux</w:t>
      </w:r>
      <w:r w:rsidR="009F0F7B">
        <w:t xml:space="preserve"> </w:t>
      </w:r>
      <w:r w:rsidR="004F4A32">
        <w:t>Tapestry</w:t>
      </w:r>
      <w:r w:rsidR="00786119">
        <w:t xml:space="preserve"> is remarkable and b</w:t>
      </w:r>
      <w:r>
        <w:t>oth</w:t>
      </w:r>
      <w:r w:rsidR="004F4A32">
        <w:t xml:space="preserve"> present a continuou</w:t>
      </w:r>
      <w:r>
        <w:t xml:space="preserve">s </w:t>
      </w:r>
      <w:r w:rsidR="00786119">
        <w:t>historical narrative of events. T</w:t>
      </w:r>
      <w:r w:rsidR="004F4A32">
        <w:t>he ex</w:t>
      </w:r>
      <w:r>
        <w:t>cerpt covers</w:t>
      </w:r>
      <w:r w:rsidR="004F4A32">
        <w:t xml:space="preserve"> the first twenty-nine scenes of the Tapestry</w:t>
      </w:r>
      <w:r w:rsidR="00786119">
        <w:t>,</w:t>
      </w:r>
      <w:r w:rsidR="00C01BC4">
        <w:rPr>
          <w:rStyle w:val="FootnoteReference"/>
        </w:rPr>
        <w:footnoteReference w:id="13"/>
      </w:r>
      <w:r w:rsidR="00786119">
        <w:t xml:space="preserve"> but there are differences: according to the Tapestry, </w:t>
      </w:r>
      <w:r w:rsidR="009F0F7B">
        <w:t xml:space="preserve">Harold accompanies William on the </w:t>
      </w:r>
      <w:r w:rsidR="009F0F7B">
        <w:lastRenderedPageBreak/>
        <w:t xml:space="preserve">Breton campaign prior to </w:t>
      </w:r>
      <w:r w:rsidR="00786119">
        <w:t>the oath-taking</w:t>
      </w:r>
      <w:r w:rsidR="009F0F7B">
        <w:t xml:space="preserve"> which</w:t>
      </w:r>
      <w:r w:rsidR="009B1FCC">
        <w:t xml:space="preserve"> takes place at Bayeux, not Bonneville</w:t>
      </w:r>
      <w:r w:rsidR="009F0F7B">
        <w:t>, after which Harold leaves for England.</w:t>
      </w:r>
      <w:r w:rsidR="00C01BC4">
        <w:rPr>
          <w:rStyle w:val="FootnoteReference"/>
        </w:rPr>
        <w:footnoteReference w:id="14"/>
      </w:r>
      <w:r w:rsidR="00635410">
        <w:t xml:space="preserve"> </w:t>
      </w:r>
    </w:p>
    <w:p w:rsidR="00B27E1F" w:rsidRDefault="007528EC" w:rsidP="00B06E84">
      <w:r>
        <w:t xml:space="preserve">There are </w:t>
      </w:r>
      <w:r w:rsidR="00BC5A64">
        <w:t>three important topics</w:t>
      </w:r>
      <w:r>
        <w:t xml:space="preserve"> in this extract. The first is legitimacy</w:t>
      </w:r>
      <w:r w:rsidR="008E6EF4">
        <w:t xml:space="preserve">. William had </w:t>
      </w:r>
      <w:r w:rsidR="00930239">
        <w:t>multiple</w:t>
      </w:r>
      <w:r w:rsidR="008E6EF4">
        <w:t xml:space="preserve"> reason</w:t>
      </w:r>
      <w:r w:rsidR="00930239">
        <w:t>s</w:t>
      </w:r>
      <w:r w:rsidR="008E6EF4">
        <w:t xml:space="preserve"> to promote his legitimacy: his original epi</w:t>
      </w:r>
      <w:r w:rsidR="00063D5E">
        <w:t>thet was William the Bastard,</w:t>
      </w:r>
      <w:r w:rsidR="008E6EF4">
        <w:t xml:space="preserve"> his claim to the English throne was flimsy and based on the Confessor’s </w:t>
      </w:r>
      <w:r w:rsidR="00AD6368">
        <w:t xml:space="preserve">alleged </w:t>
      </w:r>
      <w:r w:rsidR="008E6EF4">
        <w:t xml:space="preserve">promise and </w:t>
      </w:r>
      <w:r w:rsidR="002A34EC">
        <w:t xml:space="preserve">William’s </w:t>
      </w:r>
      <w:r w:rsidR="008E6EF4">
        <w:t>indirect</w:t>
      </w:r>
      <w:r w:rsidR="00930239">
        <w:t xml:space="preserve"> lineage</w:t>
      </w:r>
      <w:r w:rsidR="009D02E3">
        <w:t xml:space="preserve"> to the Anglo-Saxon royal family</w:t>
      </w:r>
      <w:r w:rsidR="008E6EF4">
        <w:t>.</w:t>
      </w:r>
      <w:r w:rsidR="008E6EF4">
        <w:rPr>
          <w:rStyle w:val="FootnoteReference"/>
        </w:rPr>
        <w:footnoteReference w:id="15"/>
      </w:r>
      <w:r w:rsidR="00B06E84">
        <w:t xml:space="preserve"> T</w:t>
      </w:r>
      <w:r w:rsidR="00930239">
        <w:t>he process of here</w:t>
      </w:r>
      <w:r w:rsidR="00063D5E">
        <w:t xml:space="preserve">ditary </w:t>
      </w:r>
      <w:r w:rsidR="001643AB">
        <w:t xml:space="preserve">royal </w:t>
      </w:r>
      <w:r w:rsidR="00063D5E">
        <w:t>succession was not fixed</w:t>
      </w:r>
      <w:r w:rsidR="00B06E84">
        <w:t xml:space="preserve"> in eleventh century England</w:t>
      </w:r>
      <w:r w:rsidR="00063D5E">
        <w:t>:</w:t>
      </w:r>
      <w:r w:rsidR="00930239">
        <w:t xml:space="preserve"> </w:t>
      </w:r>
      <w:r w:rsidR="007C4DA8">
        <w:t>Saxon</w:t>
      </w:r>
      <w:r w:rsidR="00930239">
        <w:t xml:space="preserve"> king</w:t>
      </w:r>
      <w:r w:rsidR="00063D5E">
        <w:t>s</w:t>
      </w:r>
      <w:r w:rsidR="007C4DA8">
        <w:t>’</w:t>
      </w:r>
      <w:r w:rsidR="00063D5E">
        <w:t xml:space="preserve"> selection was made by council</w:t>
      </w:r>
      <w:r w:rsidR="00063D5E">
        <w:rPr>
          <w:rStyle w:val="FootnoteReference"/>
        </w:rPr>
        <w:footnoteReference w:id="16"/>
      </w:r>
      <w:r w:rsidR="00063D5E">
        <w:t xml:space="preserve"> thus Edward’s </w:t>
      </w:r>
      <w:r w:rsidR="007C4DA8">
        <w:t xml:space="preserve">conjectured bequest without the support of the </w:t>
      </w:r>
      <w:r w:rsidR="007C4DA8">
        <w:rPr>
          <w:i/>
        </w:rPr>
        <w:t>witenagemot</w:t>
      </w:r>
      <w:r w:rsidR="00063D5E">
        <w:t xml:space="preserve"> was questionable</w:t>
      </w:r>
      <w:r w:rsidR="00B06E84">
        <w:t xml:space="preserve">. No </w:t>
      </w:r>
      <w:r w:rsidR="007C4DA8">
        <w:t>contemporary English sources attest</w:t>
      </w:r>
      <w:r w:rsidR="00B06E84">
        <w:t xml:space="preserve"> to</w:t>
      </w:r>
      <w:r w:rsidR="007C4DA8">
        <w:t xml:space="preserve"> the event</w:t>
      </w:r>
      <w:r w:rsidR="009D02E3">
        <w:t>;</w:t>
      </w:r>
      <w:r w:rsidR="007C4DA8">
        <w:rPr>
          <w:rStyle w:val="FootnoteReference"/>
        </w:rPr>
        <w:footnoteReference w:id="17"/>
      </w:r>
      <w:r w:rsidR="00B06E84">
        <w:t xml:space="preserve"> </w:t>
      </w:r>
      <w:r w:rsidR="00AD6368">
        <w:t>Edward’s nomination of William as his heir is restricted to contemporary Norman sources.</w:t>
      </w:r>
      <w:r w:rsidR="006960C9">
        <w:t xml:space="preserve"> The second topic concerns the reason why Harold went to Normandy. Norman and English chroniclers ascribe different reasons: for Normans</w:t>
      </w:r>
      <w:r w:rsidR="006960C9">
        <w:rPr>
          <w:rStyle w:val="FootnoteReference"/>
        </w:rPr>
        <w:footnoteReference w:id="18"/>
      </w:r>
      <w:r w:rsidR="00BC5A64">
        <w:t>, it was</w:t>
      </w:r>
      <w:r w:rsidR="006960C9">
        <w:t xml:space="preserve"> to confirm William’s claim</w:t>
      </w:r>
      <w:r w:rsidR="00B06E84">
        <w:t xml:space="preserve">; </w:t>
      </w:r>
      <w:r w:rsidR="00BC5A64">
        <w:t xml:space="preserve">English sources were </w:t>
      </w:r>
      <w:r w:rsidR="006960C9">
        <w:t>silent</w:t>
      </w:r>
      <w:r w:rsidR="00AF62CB">
        <w:rPr>
          <w:rStyle w:val="FootnoteReference"/>
        </w:rPr>
        <w:footnoteReference w:id="19"/>
      </w:r>
      <w:r w:rsidR="006960C9">
        <w:t xml:space="preserve"> or</w:t>
      </w:r>
      <w:r w:rsidR="00BC5A64">
        <w:t xml:space="preserve"> ga</w:t>
      </w:r>
      <w:r w:rsidR="006960C9">
        <w:t>ve other reas</w:t>
      </w:r>
      <w:r w:rsidR="00AF62CB">
        <w:t>ons: accident</w:t>
      </w:r>
      <w:r w:rsidR="00AF62CB">
        <w:rPr>
          <w:rStyle w:val="FootnoteReference"/>
        </w:rPr>
        <w:footnoteReference w:id="20"/>
      </w:r>
      <w:r w:rsidR="00AF62CB">
        <w:t xml:space="preserve"> or to negotiate the release of Harold’s brother and nephew.</w:t>
      </w:r>
      <w:r w:rsidR="00AF62CB">
        <w:rPr>
          <w:rStyle w:val="FootnoteReference"/>
        </w:rPr>
        <w:footnoteReference w:id="21"/>
      </w:r>
      <w:r w:rsidR="002A34EC">
        <w:t xml:space="preserve"> Present-day historians such as Morris and Rowley consider it highly unlikely that Harold would have acted as Edward’s emissary; a more likely reason w</w:t>
      </w:r>
      <w:r w:rsidR="00BC5A64">
        <w:t xml:space="preserve">ould </w:t>
      </w:r>
      <w:r w:rsidR="009D02E3">
        <w:t>be</w:t>
      </w:r>
      <w:r w:rsidR="00BC5A64">
        <w:t xml:space="preserve"> to negotiate </w:t>
      </w:r>
      <w:r w:rsidR="002A34EC">
        <w:t>release of his relatives.</w:t>
      </w:r>
      <w:r w:rsidR="00BC5A64">
        <w:t xml:space="preserve"> </w:t>
      </w:r>
      <w:r w:rsidR="002A34EC">
        <w:t xml:space="preserve">The </w:t>
      </w:r>
      <w:r w:rsidR="00F60D1F">
        <w:t>third</w:t>
      </w:r>
      <w:r w:rsidR="002A34EC">
        <w:t xml:space="preserve"> to</w:t>
      </w:r>
      <w:r w:rsidR="00574260">
        <w:t>pic revolves around oath-taking and swearing allegiance w</w:t>
      </w:r>
      <w:r w:rsidR="001643AB">
        <w:t xml:space="preserve">hich formed part of </w:t>
      </w:r>
      <w:r w:rsidR="00BC5A64">
        <w:t>Norman</w:t>
      </w:r>
      <w:r w:rsidR="001643AB">
        <w:t xml:space="preserve"> and Anglo-Saxon </w:t>
      </w:r>
      <w:r w:rsidR="00574260">
        <w:t>culture</w:t>
      </w:r>
      <w:r w:rsidR="00BC5A64">
        <w:t>s</w:t>
      </w:r>
      <w:r w:rsidR="00574260">
        <w:rPr>
          <w:rStyle w:val="FootnoteReference"/>
        </w:rPr>
        <w:footnoteReference w:id="22"/>
      </w:r>
      <w:r w:rsidR="00BC5A64">
        <w:t xml:space="preserve"> and which William used in his supplication to Pope Alexander II</w:t>
      </w:r>
      <w:r w:rsidR="00BC5A64">
        <w:rPr>
          <w:rStyle w:val="FootnoteReference"/>
        </w:rPr>
        <w:footnoteReference w:id="23"/>
      </w:r>
      <w:r w:rsidR="001643AB">
        <w:t>since</w:t>
      </w:r>
      <w:r w:rsidR="00BC5A64">
        <w:t xml:space="preserve"> </w:t>
      </w:r>
      <w:r w:rsidR="00F60D1F">
        <w:t>Harold ‘took an oath of faithfulness’</w:t>
      </w:r>
      <w:r w:rsidR="009D02E3">
        <w:t xml:space="preserve"> over holy relics</w:t>
      </w:r>
      <w:r w:rsidR="00BC5A64">
        <w:t>. B</w:t>
      </w:r>
      <w:r w:rsidR="00F60D1F">
        <w:t xml:space="preserve">oth Norman and English accounts affirm this, but whereas Norman and Anglo-Norman chroniclers </w:t>
      </w:r>
      <w:r w:rsidR="00574260">
        <w:t>emphasised</w:t>
      </w:r>
      <w:r w:rsidR="00F60D1F">
        <w:t xml:space="preserve"> Harold’s perjured oath</w:t>
      </w:r>
      <w:r w:rsidR="00F36ECB">
        <w:t xml:space="preserve"> as justification for his defeat</w:t>
      </w:r>
      <w:r w:rsidR="00C43520">
        <w:t>,</w:t>
      </w:r>
      <w:r w:rsidR="00F60D1F">
        <w:rPr>
          <w:rStyle w:val="FootnoteReference"/>
        </w:rPr>
        <w:footnoteReference w:id="24"/>
      </w:r>
      <w:r w:rsidR="00C43520">
        <w:t xml:space="preserve"> English opinion was that the oath was taken under duress and therefore invalid</w:t>
      </w:r>
      <w:r w:rsidR="008341D3">
        <w:t>.</w:t>
      </w:r>
      <w:r w:rsidR="00574260">
        <w:rPr>
          <w:rStyle w:val="FootnoteReference"/>
        </w:rPr>
        <w:footnoteReference w:id="25"/>
      </w:r>
      <w:r w:rsidR="00F36ECB">
        <w:t xml:space="preserve"> </w:t>
      </w:r>
      <w:r w:rsidR="008341D3">
        <w:t xml:space="preserve">The </w:t>
      </w:r>
      <w:r w:rsidR="008341D3">
        <w:rPr>
          <w:i/>
        </w:rPr>
        <w:t xml:space="preserve">Hyde Chronicle </w:t>
      </w:r>
      <w:r w:rsidR="009D02E3">
        <w:t>gave</w:t>
      </w:r>
      <w:r w:rsidR="008341D3">
        <w:t xml:space="preserve"> an alternative version: ‘William granted the English kingdom to Harold on the condition that if Harold married William’s daughter, he would be forever faithful to William’.</w:t>
      </w:r>
      <w:r w:rsidR="008341D3">
        <w:rPr>
          <w:rStyle w:val="FootnoteReference"/>
        </w:rPr>
        <w:footnoteReference w:id="26"/>
      </w:r>
      <w:r w:rsidR="008341D3">
        <w:t xml:space="preserve">  </w:t>
      </w:r>
      <w:r w:rsidR="00991404">
        <w:t>The oath was central to Norman claims of legitimacy, but</w:t>
      </w:r>
      <w:r w:rsidR="00F36ECB">
        <w:t xml:space="preserve"> wh</w:t>
      </w:r>
      <w:r w:rsidR="009D02E3">
        <w:t>ile</w:t>
      </w:r>
      <w:r w:rsidR="00F36ECB">
        <w:t xml:space="preserve"> the </w:t>
      </w:r>
      <w:proofErr w:type="spellStart"/>
      <w:r w:rsidR="00F36ECB">
        <w:rPr>
          <w:i/>
        </w:rPr>
        <w:t>Gesta</w:t>
      </w:r>
      <w:proofErr w:type="spellEnd"/>
      <w:r w:rsidR="00F36ECB">
        <w:t xml:space="preserve"> and other</w:t>
      </w:r>
      <w:r w:rsidR="00991404">
        <w:t>s</w:t>
      </w:r>
      <w:r w:rsidR="009D02E3">
        <w:t xml:space="preserve"> state</w:t>
      </w:r>
      <w:r w:rsidR="00F36ECB">
        <w:t xml:space="preserve"> that Harold’s oath was made before respected witnesses, nobody </w:t>
      </w:r>
      <w:r w:rsidR="00767604">
        <w:t xml:space="preserve">actually </w:t>
      </w:r>
      <w:r w:rsidR="00F36ECB">
        <w:t>names them.</w:t>
      </w:r>
      <w:r w:rsidR="00767604">
        <w:rPr>
          <w:rStyle w:val="FootnoteReference"/>
        </w:rPr>
        <w:footnoteReference w:id="27"/>
      </w:r>
    </w:p>
    <w:p w:rsidR="00465C51" w:rsidRDefault="00B06E84" w:rsidP="00F566F3">
      <w:r w:rsidRPr="00F566F3">
        <w:t>It is clear that</w:t>
      </w:r>
      <w:r>
        <w:t xml:space="preserve"> </w:t>
      </w:r>
      <w:r w:rsidR="00F566F3">
        <w:t>that there are three different historical narrati</w:t>
      </w:r>
      <w:r w:rsidR="00AB63E1">
        <w:t xml:space="preserve">ves. </w:t>
      </w:r>
      <w:r w:rsidR="00F566F3">
        <w:t xml:space="preserve">Norman </w:t>
      </w:r>
      <w:r w:rsidR="00A570CD">
        <w:t xml:space="preserve">accounts </w:t>
      </w:r>
      <w:r w:rsidR="00465C51">
        <w:t>in the early years of the</w:t>
      </w:r>
      <w:r w:rsidR="00A570CD">
        <w:t xml:space="preserve"> c</w:t>
      </w:r>
      <w:r w:rsidR="00F566F3">
        <w:t xml:space="preserve">onquest </w:t>
      </w:r>
      <w:r w:rsidR="00465C51">
        <w:t>unequivocally championed William’s right to rule</w:t>
      </w:r>
      <w:r w:rsidR="00991404">
        <w:t xml:space="preserve"> (</w:t>
      </w:r>
      <w:r w:rsidR="0083732B">
        <w:t xml:space="preserve">and </w:t>
      </w:r>
      <w:r w:rsidR="00FD7C32">
        <w:t xml:space="preserve">paradoxically </w:t>
      </w:r>
      <w:r w:rsidR="0083732B">
        <w:t>indicate Norman insecurity</w:t>
      </w:r>
      <w:r w:rsidR="00991404">
        <w:t>)</w:t>
      </w:r>
      <w:r w:rsidR="0083732B">
        <w:t xml:space="preserve">: </w:t>
      </w:r>
      <w:r w:rsidR="00465C51">
        <w:t xml:space="preserve">one English success </w:t>
      </w:r>
      <w:r w:rsidR="00705D87">
        <w:t xml:space="preserve">could </w:t>
      </w:r>
      <w:r w:rsidR="00AB63E1">
        <w:t>destroy</w:t>
      </w:r>
      <w:r w:rsidR="00705D87">
        <w:t xml:space="preserve"> Norman suzerai</w:t>
      </w:r>
      <w:r w:rsidR="00465C51">
        <w:t>nty in England</w:t>
      </w:r>
      <w:r w:rsidR="00705D87">
        <w:t>.</w:t>
      </w:r>
      <w:r w:rsidR="00705D87">
        <w:rPr>
          <w:rStyle w:val="FootnoteReference"/>
        </w:rPr>
        <w:footnoteReference w:id="28"/>
      </w:r>
      <w:r w:rsidR="00705D87">
        <w:t xml:space="preserve"> </w:t>
      </w:r>
      <w:r w:rsidR="005172F5">
        <w:t xml:space="preserve"> </w:t>
      </w:r>
      <w:r w:rsidR="00705D87">
        <w:t>S</w:t>
      </w:r>
      <w:r w:rsidR="00A570CD">
        <w:t xml:space="preserve">urviving </w:t>
      </w:r>
      <w:r w:rsidR="00A570CD">
        <w:lastRenderedPageBreak/>
        <w:t xml:space="preserve">Anglo-Saxon </w:t>
      </w:r>
      <w:r w:rsidR="00D442A8">
        <w:t xml:space="preserve">sources </w:t>
      </w:r>
      <w:r w:rsidR="00A570CD">
        <w:t xml:space="preserve">considered Harold’s succession </w:t>
      </w:r>
      <w:r w:rsidR="0083732B">
        <w:t>lawful</w:t>
      </w:r>
      <w:r w:rsidR="00A570CD">
        <w:t>.</w:t>
      </w:r>
      <w:r w:rsidR="00A570CD">
        <w:rPr>
          <w:rStyle w:val="FootnoteReference"/>
        </w:rPr>
        <w:footnoteReference w:id="29"/>
      </w:r>
      <w:r w:rsidR="00A570CD">
        <w:t xml:space="preserve"> B</w:t>
      </w:r>
      <w:r w:rsidR="005172F5">
        <w:t xml:space="preserve">oth </w:t>
      </w:r>
      <w:r w:rsidR="0083732B">
        <w:t xml:space="preserve">perspectives </w:t>
      </w:r>
      <w:r w:rsidR="00705D87">
        <w:t>were</w:t>
      </w:r>
      <w:r w:rsidR="005172F5">
        <w:t xml:space="preserve"> based on tribal loyalties</w:t>
      </w:r>
      <w:r w:rsidR="0083732B">
        <w:t xml:space="preserve">. When Norman ascendency was assured, </w:t>
      </w:r>
      <w:r w:rsidR="005172F5">
        <w:t xml:space="preserve">later </w:t>
      </w:r>
      <w:r w:rsidR="001643AB">
        <w:t xml:space="preserve">Anglo-Norman </w:t>
      </w:r>
      <w:r w:rsidR="005172F5">
        <w:t>chroniclers</w:t>
      </w:r>
      <w:r w:rsidR="00A570CD">
        <w:t xml:space="preserve"> could afford to give some credit to Harold</w:t>
      </w:r>
      <w:r w:rsidR="0083732B">
        <w:t>.</w:t>
      </w:r>
      <w:r w:rsidR="0083732B">
        <w:rPr>
          <w:rStyle w:val="FootnoteReference"/>
        </w:rPr>
        <w:footnoteReference w:id="30"/>
      </w:r>
      <w:r w:rsidR="00AB63E1">
        <w:t xml:space="preserve"> Recent historians</w:t>
      </w:r>
      <w:r w:rsidR="00AB63E1">
        <w:rPr>
          <w:rStyle w:val="FootnoteReference"/>
        </w:rPr>
        <w:footnoteReference w:id="31"/>
      </w:r>
      <w:r w:rsidR="00AB63E1">
        <w:t xml:space="preserve"> have tried to balance Norman and Anglo-Saxon perspectives to reconstruct a plausible sequence of events: Harold sails to Normandy with the intention of ransoming his </w:t>
      </w:r>
      <w:r w:rsidR="00A87D69">
        <w:t>relatives</w:t>
      </w:r>
      <w:r w:rsidR="00AB63E1">
        <w:t>, he is blown off-course, captur</w:t>
      </w:r>
      <w:r w:rsidR="00D10EFC">
        <w:t xml:space="preserve">ed by Guy of </w:t>
      </w:r>
      <w:proofErr w:type="spellStart"/>
      <w:r w:rsidR="00D10EFC">
        <w:t>Ponthieu</w:t>
      </w:r>
      <w:proofErr w:type="spellEnd"/>
      <w:r w:rsidR="00D10EFC">
        <w:t xml:space="preserve">, who expropriates Harold’s ransom money and sells him to William. William extracts a promise before releasing him and </w:t>
      </w:r>
      <w:r w:rsidR="00A87D69">
        <w:t>one hostage</w:t>
      </w:r>
      <w:r w:rsidR="00D10EFC">
        <w:t xml:space="preserve"> back to England. Both </w:t>
      </w:r>
      <w:r w:rsidR="009D02E3">
        <w:t>William and Harold</w:t>
      </w:r>
      <w:r w:rsidR="00D10EFC">
        <w:t xml:space="preserve"> would have been watching for Edward’s demise and po</w:t>
      </w:r>
      <w:r w:rsidR="00A87D69">
        <w:t>tential</w:t>
      </w:r>
      <w:r w:rsidR="00D10EFC">
        <w:t xml:space="preserve"> conflict thus a joint campaign to Brittany </w:t>
      </w:r>
      <w:r w:rsidR="00A003DB">
        <w:t xml:space="preserve">in the period immediately before Edward’s death seems unlikely, </w:t>
      </w:r>
      <w:r w:rsidR="00A87D69">
        <w:t>though</w:t>
      </w:r>
      <w:r w:rsidR="00A003DB">
        <w:t xml:space="preserve"> it </w:t>
      </w:r>
      <w:r w:rsidR="00C676A9">
        <w:t>m</w:t>
      </w:r>
      <w:r w:rsidR="009D02E3">
        <w:t>ight</w:t>
      </w:r>
      <w:r w:rsidR="00A003DB">
        <w:t xml:space="preserve"> have taken place some years before.</w:t>
      </w:r>
    </w:p>
    <w:p w:rsidR="00213788" w:rsidRDefault="000462B4" w:rsidP="009B41D0">
      <w:r>
        <w:t xml:space="preserve">The </w:t>
      </w:r>
      <w:proofErr w:type="spellStart"/>
      <w:r w:rsidRPr="00FA43A2">
        <w:rPr>
          <w:i/>
        </w:rPr>
        <w:t>Gesta</w:t>
      </w:r>
      <w:proofErr w:type="spellEnd"/>
      <w:r>
        <w:t xml:space="preserve"> must be viewed as propaganda to affirm the legitimacy of Norman claims to the English crown and the need for the Conqueror to present himself as the heir by right, not by conquest. It</w:t>
      </w:r>
      <w:r w:rsidR="00F77C0C">
        <w:rPr>
          <w:i/>
        </w:rPr>
        <w:t xml:space="preserve"> </w:t>
      </w:r>
      <w:r w:rsidR="00F77C0C">
        <w:t>is a Norman history of events to justify Norman acquisition for posterity</w:t>
      </w:r>
      <w:r w:rsidR="00AB67CF">
        <w:t xml:space="preserve"> -</w:t>
      </w:r>
      <w:r w:rsidR="00590445">
        <w:t xml:space="preserve"> the Conqueror himself commissioned or encouraged </w:t>
      </w:r>
      <w:r w:rsidR="00AB67CF">
        <w:t>writing of histories.  M</w:t>
      </w:r>
      <w:r w:rsidR="00F77C0C">
        <w:t>edieval records owe their survival</w:t>
      </w:r>
      <w:r>
        <w:t xml:space="preserve"> mainly</w:t>
      </w:r>
      <w:r w:rsidR="00F77C0C">
        <w:t xml:space="preserve"> to ecclesiastical protection: since the Church</w:t>
      </w:r>
      <w:r>
        <w:t xml:space="preserve"> in England </w:t>
      </w:r>
      <w:r w:rsidR="00F77C0C">
        <w:t xml:space="preserve">was </w:t>
      </w:r>
      <w:r>
        <w:t>subsumed into the</w:t>
      </w:r>
      <w:r w:rsidR="00F77C0C">
        <w:t xml:space="preserve"> Norman establishment, largely only the Norman versions remain</w:t>
      </w:r>
      <w:r w:rsidR="00AB67CF">
        <w:t xml:space="preserve"> – the corresponding Anglo-Saxon voice is silent</w:t>
      </w:r>
      <w:r w:rsidR="00F77C0C">
        <w:t xml:space="preserve">. </w:t>
      </w:r>
      <w:r w:rsidR="00AB67CF">
        <w:t xml:space="preserve">The </w:t>
      </w:r>
      <w:proofErr w:type="spellStart"/>
      <w:r w:rsidR="00AB67CF">
        <w:rPr>
          <w:i/>
        </w:rPr>
        <w:t>Gesta</w:t>
      </w:r>
      <w:r w:rsidR="00AB67CF">
        <w:t>’s</w:t>
      </w:r>
      <w:proofErr w:type="spellEnd"/>
      <w:r w:rsidR="00E0080C">
        <w:t xml:space="preserve"> original audience was the </w:t>
      </w:r>
      <w:r w:rsidR="00C676A9">
        <w:t>Norman aristocracy</w:t>
      </w:r>
      <w:r w:rsidR="00E0080C">
        <w:t>, which had to promote the legitimacy of Duke William in order to protect their own.</w:t>
      </w:r>
      <w:r w:rsidR="00E0080C">
        <w:rPr>
          <w:rStyle w:val="FootnoteReference"/>
        </w:rPr>
        <w:footnoteReference w:id="32"/>
      </w:r>
      <w:r w:rsidR="00E0080C">
        <w:t xml:space="preserve">  </w:t>
      </w:r>
      <w:r w:rsidR="007018BB">
        <w:t>Parts of it may be fabricated, air-brushed</w:t>
      </w:r>
      <w:r w:rsidR="007018BB">
        <w:rPr>
          <w:rStyle w:val="FootnoteReference"/>
        </w:rPr>
        <w:footnoteReference w:id="33"/>
      </w:r>
      <w:r w:rsidR="007018BB">
        <w:t xml:space="preserve"> or</w:t>
      </w:r>
      <w:r w:rsidR="00F77C0C">
        <w:t xml:space="preserve"> inconsistent</w:t>
      </w:r>
      <w:r w:rsidR="00235B57">
        <w:t>: it seems implausible that Harold would act as Edward’s emissary in 1064-5 when he wielded more power in England than Edward did, the witnesses to the vitally important oath are unnamed</w:t>
      </w:r>
      <w:r w:rsidR="00590445">
        <w:t xml:space="preserve"> and Poitiers’ choice of Bonneville could be related to the author’s, not the actual, location (though he may be right, and others wrong). </w:t>
      </w:r>
      <w:r w:rsidR="00235B57">
        <w:t>B</w:t>
      </w:r>
      <w:r w:rsidR="00F77C0C">
        <w:t>ut that is because it was written to perpetrate a myth, and as Davis has observed: ‘Logic and consistency are not necessarily the strongest features of a national myth.’</w:t>
      </w:r>
      <w:r w:rsidR="00F77C0C">
        <w:rPr>
          <w:rStyle w:val="FootnoteReference"/>
        </w:rPr>
        <w:footnoteReference w:id="34"/>
      </w:r>
      <w:r w:rsidR="00235B57">
        <w:t xml:space="preserve"> </w:t>
      </w:r>
      <w:r w:rsidR="001643AB">
        <w:t>T</w:t>
      </w:r>
      <w:r w:rsidR="00E0080C">
        <w:t xml:space="preserve">he </w:t>
      </w:r>
      <w:proofErr w:type="spellStart"/>
      <w:r w:rsidR="00E0080C">
        <w:rPr>
          <w:i/>
        </w:rPr>
        <w:t>Gesta</w:t>
      </w:r>
      <w:proofErr w:type="spellEnd"/>
      <w:r w:rsidR="00E0080C">
        <w:t xml:space="preserve"> was unfinished</w:t>
      </w:r>
      <w:r w:rsidR="001643AB">
        <w:t xml:space="preserve"> (and some other Norman eulogies)</w:t>
      </w:r>
      <w:r w:rsidR="00E0080C">
        <w:t xml:space="preserve">, leading to the interesting proposition </w:t>
      </w:r>
      <w:r w:rsidR="00590445">
        <w:t xml:space="preserve">by Bates </w:t>
      </w:r>
      <w:r w:rsidR="00E0080C">
        <w:t>that William terminated his eulogy because its subject matter was becoming morally untenable.</w:t>
      </w:r>
      <w:r w:rsidR="00E0080C">
        <w:rPr>
          <w:rStyle w:val="FootnoteReference"/>
        </w:rPr>
        <w:footnoteReference w:id="35"/>
      </w:r>
    </w:p>
    <w:p w:rsidR="00213788" w:rsidRDefault="00213788" w:rsidP="00205D48">
      <w:pPr>
        <w:pStyle w:val="NoSpacing"/>
      </w:pPr>
    </w:p>
    <w:p w:rsidR="00465C51" w:rsidRDefault="001B01E1" w:rsidP="008341D3">
      <w:r>
        <w:t>Word count 10</w:t>
      </w:r>
      <w:r w:rsidR="001643AB">
        <w:t>90</w:t>
      </w:r>
    </w:p>
    <w:p w:rsidR="00960156" w:rsidRDefault="00960156" w:rsidP="008341D3"/>
    <w:p w:rsidR="00960156" w:rsidRDefault="00960156" w:rsidP="008341D3"/>
    <w:p w:rsidR="00960156" w:rsidRDefault="00960156" w:rsidP="008341D3"/>
    <w:p w:rsidR="00960156" w:rsidRDefault="00960156" w:rsidP="008341D3"/>
    <w:p w:rsidR="00960156" w:rsidRDefault="00960156" w:rsidP="008341D3"/>
    <w:p w:rsidR="00960156" w:rsidRDefault="00960156" w:rsidP="008341D3">
      <w:r>
        <w:lastRenderedPageBreak/>
        <w:t>Bibliography:</w:t>
      </w:r>
    </w:p>
    <w:p w:rsidR="00960156" w:rsidRPr="004D6D6B" w:rsidRDefault="00960156" w:rsidP="00960156">
      <w:pPr>
        <w:spacing w:after="160" w:line="259" w:lineRule="auto"/>
      </w:pPr>
      <w:r w:rsidRPr="004D6D6B">
        <w:t xml:space="preserve">R. Allen Brown, </w:t>
      </w:r>
      <w:proofErr w:type="gramStart"/>
      <w:r w:rsidRPr="004D6D6B">
        <w:rPr>
          <w:i/>
        </w:rPr>
        <w:t>The</w:t>
      </w:r>
      <w:proofErr w:type="gramEnd"/>
      <w:r w:rsidRPr="004D6D6B">
        <w:rPr>
          <w:i/>
        </w:rPr>
        <w:t xml:space="preserve"> Norman Conquest of England</w:t>
      </w:r>
      <w:r w:rsidRPr="004D6D6B">
        <w:t xml:space="preserve"> (Wo</w:t>
      </w:r>
      <w:r>
        <w:t xml:space="preserve">odbridge: </w:t>
      </w:r>
      <w:proofErr w:type="spellStart"/>
      <w:r>
        <w:t>Boydell</w:t>
      </w:r>
      <w:proofErr w:type="spellEnd"/>
      <w:r>
        <w:t xml:space="preserve"> Press, 1995)</w:t>
      </w:r>
    </w:p>
    <w:p w:rsidR="00960156" w:rsidRPr="004D6D6B" w:rsidRDefault="00960156" w:rsidP="00960156">
      <w:pPr>
        <w:spacing w:after="160" w:line="259" w:lineRule="auto"/>
      </w:pPr>
      <w:r w:rsidRPr="004D6D6B">
        <w:t xml:space="preserve">L. Thorpe, </w:t>
      </w:r>
      <w:proofErr w:type="gramStart"/>
      <w:r w:rsidRPr="004D6D6B">
        <w:rPr>
          <w:i/>
        </w:rPr>
        <w:t>The</w:t>
      </w:r>
      <w:proofErr w:type="gramEnd"/>
      <w:r w:rsidRPr="004D6D6B">
        <w:rPr>
          <w:i/>
        </w:rPr>
        <w:t xml:space="preserve"> Bayeux Tapestry and the Norman Invasion </w:t>
      </w:r>
      <w:r w:rsidRPr="004D6D6B">
        <w:t>(L</w:t>
      </w:r>
      <w:r>
        <w:t>ondon: The Folio Society, 1973)</w:t>
      </w:r>
      <w:r w:rsidRPr="004D6D6B">
        <w:t xml:space="preserve"> </w:t>
      </w:r>
    </w:p>
    <w:p w:rsidR="00960156" w:rsidRPr="004D6D6B" w:rsidRDefault="00960156" w:rsidP="00960156">
      <w:pPr>
        <w:spacing w:after="160" w:line="259" w:lineRule="auto"/>
      </w:pPr>
      <w:r w:rsidRPr="004D6D6B">
        <w:t xml:space="preserve">M. Morris, </w:t>
      </w:r>
      <w:proofErr w:type="gramStart"/>
      <w:r w:rsidRPr="004D6D6B">
        <w:rPr>
          <w:i/>
        </w:rPr>
        <w:t>The</w:t>
      </w:r>
      <w:proofErr w:type="gramEnd"/>
      <w:r w:rsidRPr="004D6D6B">
        <w:rPr>
          <w:i/>
        </w:rPr>
        <w:t xml:space="preserve"> Norman Conquest</w:t>
      </w:r>
      <w:r w:rsidRPr="004D6D6B">
        <w:t xml:space="preserve"> (Lond</w:t>
      </w:r>
      <w:r>
        <w:t>on: Windmill Press, 2012)</w:t>
      </w:r>
    </w:p>
    <w:p w:rsidR="00960156" w:rsidRPr="004D6D6B" w:rsidRDefault="00960156" w:rsidP="00960156">
      <w:pPr>
        <w:spacing w:after="160" w:line="259" w:lineRule="auto"/>
      </w:pPr>
      <w:r w:rsidRPr="004D6D6B">
        <w:t xml:space="preserve">R.H.C. Davis, </w:t>
      </w:r>
      <w:r w:rsidRPr="004D6D6B">
        <w:rPr>
          <w:i/>
        </w:rPr>
        <w:t>From Alfred the Great to Stephen</w:t>
      </w:r>
      <w:r w:rsidRPr="004D6D6B">
        <w:t xml:space="preserve"> (London: </w:t>
      </w:r>
      <w:proofErr w:type="spellStart"/>
      <w:r w:rsidRPr="004D6D6B">
        <w:t>Hamb</w:t>
      </w:r>
      <w:r>
        <w:t>ledon</w:t>
      </w:r>
      <w:proofErr w:type="spellEnd"/>
      <w:r>
        <w:t xml:space="preserve"> Press, 1991)</w:t>
      </w:r>
    </w:p>
    <w:p w:rsidR="00960156" w:rsidRPr="004D6D6B" w:rsidRDefault="00960156" w:rsidP="00960156">
      <w:pPr>
        <w:spacing w:after="160" w:line="259" w:lineRule="auto"/>
      </w:pPr>
      <w:r w:rsidRPr="004D6D6B">
        <w:t xml:space="preserve">D. Bates, </w:t>
      </w:r>
      <w:proofErr w:type="gramStart"/>
      <w:r w:rsidRPr="004D6D6B">
        <w:rPr>
          <w:i/>
        </w:rPr>
        <w:t>The</w:t>
      </w:r>
      <w:proofErr w:type="gramEnd"/>
      <w:r w:rsidRPr="004D6D6B">
        <w:rPr>
          <w:i/>
        </w:rPr>
        <w:t xml:space="preserve"> Normans and Empire</w:t>
      </w:r>
      <w:r w:rsidRPr="004D6D6B">
        <w:t xml:space="preserve"> (Oxford: Oxford </w:t>
      </w:r>
      <w:r>
        <w:t>University Press, 2013)</w:t>
      </w:r>
    </w:p>
    <w:p w:rsidR="00960156" w:rsidRPr="004D6D6B" w:rsidRDefault="00960156" w:rsidP="00960156">
      <w:pPr>
        <w:spacing w:after="160" w:line="259" w:lineRule="auto"/>
      </w:pPr>
      <w:r w:rsidRPr="004D6D6B">
        <w:t xml:space="preserve">E.A. Freeman, </w:t>
      </w:r>
      <w:r w:rsidRPr="004D6D6B">
        <w:rPr>
          <w:i/>
        </w:rPr>
        <w:t>William the Conqueror</w:t>
      </w:r>
      <w:r w:rsidRPr="004D6D6B">
        <w:t xml:space="preserve"> (1884), Release Date: March 20, </w:t>
      </w:r>
      <w:proofErr w:type="gramStart"/>
      <w:r w:rsidRPr="004D6D6B">
        <w:t>2013  [</w:t>
      </w:r>
      <w:proofErr w:type="gramEnd"/>
      <w:r w:rsidRPr="004D6D6B">
        <w:t xml:space="preserve">eBook #1066], </w:t>
      </w:r>
      <w:hyperlink r:id="rId8" w:history="1">
        <w:r w:rsidRPr="004D6D6B">
          <w:rPr>
            <w:rStyle w:val="Hyperlink"/>
          </w:rPr>
          <w:t>http://www.gutenberg.org/files/1066/1066-h/1066-h.htm</w:t>
        </w:r>
      </w:hyperlink>
    </w:p>
    <w:p w:rsidR="00960156" w:rsidRPr="004D6D6B" w:rsidRDefault="00960156" w:rsidP="00960156">
      <w:pPr>
        <w:spacing w:after="160" w:line="259" w:lineRule="auto"/>
      </w:pPr>
      <w:r w:rsidRPr="004D6D6B">
        <w:t xml:space="preserve">D. </w:t>
      </w:r>
      <w:proofErr w:type="spellStart"/>
      <w:r w:rsidRPr="004D6D6B">
        <w:t>Whitelock</w:t>
      </w:r>
      <w:proofErr w:type="spellEnd"/>
      <w:r w:rsidRPr="004D6D6B">
        <w:t xml:space="preserve">, </w:t>
      </w:r>
      <w:r w:rsidRPr="004D6D6B">
        <w:rPr>
          <w:i/>
        </w:rPr>
        <w:t>The Beginnings of English Society</w:t>
      </w:r>
      <w:r w:rsidRPr="004D6D6B">
        <w:t xml:space="preserve"> (</w:t>
      </w:r>
      <w:proofErr w:type="spellStart"/>
      <w:r w:rsidRPr="004D6D6B">
        <w:t>Harmondsworth</w:t>
      </w:r>
      <w:proofErr w:type="spellEnd"/>
      <w:r w:rsidRPr="004D6D6B">
        <w:t xml:space="preserve">: </w:t>
      </w:r>
      <w:r>
        <w:t>Penguin Press, reprinted 1981)</w:t>
      </w:r>
      <w:r w:rsidRPr="004D6D6B">
        <w:t xml:space="preserve"> </w:t>
      </w:r>
    </w:p>
    <w:p w:rsidR="00960156" w:rsidRPr="004D6D6B" w:rsidRDefault="00960156" w:rsidP="00960156">
      <w:pPr>
        <w:spacing w:after="160" w:line="259" w:lineRule="auto"/>
      </w:pPr>
      <w:r w:rsidRPr="004D6D6B">
        <w:t xml:space="preserve">T. Rowley, </w:t>
      </w:r>
      <w:proofErr w:type="gramStart"/>
      <w:r w:rsidRPr="004D6D6B">
        <w:rPr>
          <w:i/>
        </w:rPr>
        <w:t>An</w:t>
      </w:r>
      <w:proofErr w:type="gramEnd"/>
      <w:r w:rsidRPr="004D6D6B">
        <w:rPr>
          <w:i/>
        </w:rPr>
        <w:t xml:space="preserve"> Archaeological Study of the Bayeux Tapestry</w:t>
      </w:r>
      <w:r w:rsidRPr="004D6D6B">
        <w:t xml:space="preserve"> (Barnsley: Pen &amp; Sword Press, 2016)</w:t>
      </w:r>
    </w:p>
    <w:p w:rsidR="00960156" w:rsidRDefault="00960156" w:rsidP="00960156">
      <w:r w:rsidRPr="004D6D6B">
        <w:t xml:space="preserve">Davis, </w:t>
      </w:r>
      <w:proofErr w:type="gramStart"/>
      <w:r w:rsidRPr="004D6D6B">
        <w:rPr>
          <w:i/>
        </w:rPr>
        <w:t>The</w:t>
      </w:r>
      <w:proofErr w:type="gramEnd"/>
      <w:r w:rsidRPr="004D6D6B">
        <w:rPr>
          <w:i/>
        </w:rPr>
        <w:t xml:space="preserve"> Normans and their Myth</w:t>
      </w:r>
    </w:p>
    <w:p w:rsidR="00960156" w:rsidRPr="004D6D6B" w:rsidRDefault="00960156" w:rsidP="00960156">
      <w:pPr>
        <w:spacing w:after="160" w:line="259" w:lineRule="auto"/>
      </w:pPr>
      <w:r w:rsidRPr="004D6D6B">
        <w:t xml:space="preserve">N. </w:t>
      </w:r>
      <w:proofErr w:type="spellStart"/>
      <w:r w:rsidRPr="004D6D6B">
        <w:t>Strevett</w:t>
      </w:r>
      <w:proofErr w:type="spellEnd"/>
      <w:r w:rsidRPr="004D6D6B">
        <w:t xml:space="preserve">, </w:t>
      </w:r>
      <w:proofErr w:type="gramStart"/>
      <w:r w:rsidRPr="004D6D6B">
        <w:rPr>
          <w:i/>
        </w:rPr>
        <w:t>The</w:t>
      </w:r>
      <w:proofErr w:type="gramEnd"/>
      <w:r w:rsidRPr="004D6D6B">
        <w:rPr>
          <w:i/>
        </w:rPr>
        <w:t xml:space="preserve"> Anglo-Norman aristocracy under divided Lordship 1087-1106: a social and political study.</w:t>
      </w:r>
      <w:r w:rsidRPr="004D6D6B">
        <w:t xml:space="preserve"> Unpublished PhD thesis, University of Glasgow, 2005</w:t>
      </w:r>
    </w:p>
    <w:p w:rsidR="00960156" w:rsidRDefault="00960156" w:rsidP="008341D3"/>
    <w:sectPr w:rsidR="00960156" w:rsidSect="00BA1B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03D3" w:rsidRDefault="003903D3" w:rsidP="00811939">
      <w:pPr>
        <w:spacing w:after="0" w:line="240" w:lineRule="auto"/>
      </w:pPr>
      <w:r>
        <w:separator/>
      </w:r>
    </w:p>
  </w:endnote>
  <w:endnote w:type="continuationSeparator" w:id="0">
    <w:p w:rsidR="003903D3" w:rsidRDefault="003903D3" w:rsidP="0081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03D3" w:rsidRDefault="003903D3" w:rsidP="00811939">
      <w:pPr>
        <w:spacing w:after="0" w:line="240" w:lineRule="auto"/>
      </w:pPr>
      <w:r>
        <w:separator/>
      </w:r>
    </w:p>
  </w:footnote>
  <w:footnote w:type="continuationSeparator" w:id="0">
    <w:p w:rsidR="003903D3" w:rsidRDefault="003903D3" w:rsidP="00811939">
      <w:pPr>
        <w:spacing w:after="0" w:line="240" w:lineRule="auto"/>
      </w:pPr>
      <w:r>
        <w:continuationSeparator/>
      </w:r>
    </w:p>
  </w:footnote>
  <w:footnote w:id="1">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R. Allen Brown, </w:t>
      </w:r>
      <w:r w:rsidRPr="00991404">
        <w:rPr>
          <w:i/>
          <w:sz w:val="16"/>
          <w:szCs w:val="16"/>
        </w:rPr>
        <w:t>The Norman Conquest of England</w:t>
      </w:r>
      <w:r w:rsidRPr="00991404">
        <w:rPr>
          <w:sz w:val="16"/>
          <w:szCs w:val="16"/>
        </w:rPr>
        <w:t xml:space="preserve"> (Woodbridge: </w:t>
      </w:r>
      <w:proofErr w:type="spellStart"/>
      <w:r w:rsidRPr="00991404">
        <w:rPr>
          <w:sz w:val="16"/>
          <w:szCs w:val="16"/>
        </w:rPr>
        <w:t>Boydell</w:t>
      </w:r>
      <w:proofErr w:type="spellEnd"/>
      <w:r w:rsidRPr="00991404">
        <w:rPr>
          <w:sz w:val="16"/>
          <w:szCs w:val="16"/>
        </w:rPr>
        <w:t xml:space="preserve"> Press, 1995), pp.16-41.</w:t>
      </w:r>
    </w:p>
  </w:footnote>
  <w:footnote w:id="2">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The famous school at Saint </w:t>
      </w:r>
      <w:proofErr w:type="spellStart"/>
      <w:r w:rsidRPr="00991404">
        <w:rPr>
          <w:sz w:val="16"/>
          <w:szCs w:val="16"/>
        </w:rPr>
        <w:t>Hilaire</w:t>
      </w:r>
      <w:proofErr w:type="spellEnd"/>
      <w:r w:rsidRPr="00991404">
        <w:rPr>
          <w:sz w:val="16"/>
          <w:szCs w:val="16"/>
        </w:rPr>
        <w:t xml:space="preserve">-le-Grand in Poitiers was his </w:t>
      </w:r>
      <w:r w:rsidRPr="00991404">
        <w:rPr>
          <w:i/>
          <w:sz w:val="16"/>
          <w:szCs w:val="16"/>
        </w:rPr>
        <w:t>alma mater</w:t>
      </w:r>
      <w:r w:rsidRPr="00991404">
        <w:rPr>
          <w:sz w:val="16"/>
          <w:szCs w:val="16"/>
        </w:rPr>
        <w:t>; he was a knight and his sister was an Abbess, but since his famil</w:t>
      </w:r>
      <w:r w:rsidR="00590445">
        <w:rPr>
          <w:sz w:val="16"/>
          <w:szCs w:val="16"/>
        </w:rPr>
        <w:t>y name is unknown, this might suggest</w:t>
      </w:r>
      <w:r w:rsidRPr="00991404">
        <w:rPr>
          <w:sz w:val="16"/>
          <w:szCs w:val="16"/>
        </w:rPr>
        <w:t xml:space="preserve"> noble but quite modest ancestry.</w:t>
      </w:r>
    </w:p>
  </w:footnote>
  <w:footnote w:id="3">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w:t>
      </w:r>
      <w:r w:rsidR="00C01BC4" w:rsidRPr="00991404">
        <w:rPr>
          <w:sz w:val="16"/>
          <w:szCs w:val="16"/>
        </w:rPr>
        <w:t xml:space="preserve">L. </w:t>
      </w:r>
      <w:r w:rsidRPr="00991404">
        <w:rPr>
          <w:sz w:val="16"/>
          <w:szCs w:val="16"/>
        </w:rPr>
        <w:t>Thorpe,</w:t>
      </w:r>
      <w:r w:rsidR="00C01BC4" w:rsidRPr="00991404">
        <w:rPr>
          <w:sz w:val="16"/>
          <w:szCs w:val="16"/>
        </w:rPr>
        <w:t xml:space="preserve"> </w:t>
      </w:r>
      <w:proofErr w:type="gramStart"/>
      <w:r w:rsidR="00C01BC4" w:rsidRPr="00991404">
        <w:rPr>
          <w:i/>
          <w:sz w:val="16"/>
          <w:szCs w:val="16"/>
        </w:rPr>
        <w:t>The</w:t>
      </w:r>
      <w:proofErr w:type="gramEnd"/>
      <w:r w:rsidR="00C01BC4" w:rsidRPr="00991404">
        <w:rPr>
          <w:i/>
          <w:sz w:val="16"/>
          <w:szCs w:val="16"/>
        </w:rPr>
        <w:t xml:space="preserve"> Bayeux Tapestry and the Norman Invasion </w:t>
      </w:r>
      <w:r w:rsidR="00C01BC4" w:rsidRPr="00991404">
        <w:rPr>
          <w:sz w:val="16"/>
          <w:szCs w:val="16"/>
        </w:rPr>
        <w:t>(London: The Folio Society, 1973),</w:t>
      </w:r>
      <w:r w:rsidRPr="00991404">
        <w:rPr>
          <w:sz w:val="16"/>
          <w:szCs w:val="16"/>
        </w:rPr>
        <w:t xml:space="preserve"> p. 32. </w:t>
      </w:r>
    </w:p>
  </w:footnote>
  <w:footnote w:id="4">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M. Morris, </w:t>
      </w:r>
      <w:r w:rsidRPr="00991404">
        <w:rPr>
          <w:i/>
          <w:sz w:val="16"/>
          <w:szCs w:val="16"/>
        </w:rPr>
        <w:t>The Norman Conquest</w:t>
      </w:r>
      <w:r w:rsidRPr="00991404">
        <w:rPr>
          <w:sz w:val="16"/>
          <w:szCs w:val="16"/>
        </w:rPr>
        <w:t xml:space="preserve"> (London: Windmill Press, 2012), p.34.</w:t>
      </w:r>
    </w:p>
  </w:footnote>
  <w:footnote w:id="5">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R.H.C. Davis, </w:t>
      </w:r>
      <w:r w:rsidRPr="00991404">
        <w:rPr>
          <w:i/>
          <w:sz w:val="16"/>
          <w:szCs w:val="16"/>
        </w:rPr>
        <w:t>From Alfred the Great to Stephen</w:t>
      </w:r>
      <w:r w:rsidRPr="00991404">
        <w:rPr>
          <w:sz w:val="16"/>
          <w:szCs w:val="16"/>
        </w:rPr>
        <w:t xml:space="preserve"> (London: </w:t>
      </w:r>
      <w:proofErr w:type="spellStart"/>
      <w:r w:rsidRPr="00991404">
        <w:rPr>
          <w:sz w:val="16"/>
          <w:szCs w:val="16"/>
        </w:rPr>
        <w:t>Hambledon</w:t>
      </w:r>
      <w:proofErr w:type="spellEnd"/>
      <w:r w:rsidRPr="00991404">
        <w:rPr>
          <w:sz w:val="16"/>
          <w:szCs w:val="16"/>
        </w:rPr>
        <w:t xml:space="preserve"> Press, 1991), pp. 119-125.</w:t>
      </w:r>
    </w:p>
  </w:footnote>
  <w:footnote w:id="6">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According to </w:t>
      </w:r>
      <w:proofErr w:type="spellStart"/>
      <w:r w:rsidRPr="00991404">
        <w:rPr>
          <w:sz w:val="16"/>
          <w:szCs w:val="16"/>
        </w:rPr>
        <w:t>Orderic</w:t>
      </w:r>
      <w:proofErr w:type="spellEnd"/>
      <w:r w:rsidRPr="00991404">
        <w:rPr>
          <w:sz w:val="16"/>
          <w:szCs w:val="16"/>
        </w:rPr>
        <w:t xml:space="preserve"> </w:t>
      </w:r>
      <w:proofErr w:type="spellStart"/>
      <w:r w:rsidRPr="00991404">
        <w:rPr>
          <w:sz w:val="16"/>
          <w:szCs w:val="16"/>
        </w:rPr>
        <w:t>Vitalis</w:t>
      </w:r>
      <w:proofErr w:type="spellEnd"/>
      <w:r w:rsidRPr="00991404">
        <w:rPr>
          <w:sz w:val="16"/>
          <w:szCs w:val="16"/>
        </w:rPr>
        <w:t xml:space="preserve">; Bates and Brown </w:t>
      </w:r>
      <w:r w:rsidR="00590445">
        <w:rPr>
          <w:sz w:val="16"/>
          <w:szCs w:val="16"/>
        </w:rPr>
        <w:t xml:space="preserve">separately </w:t>
      </w:r>
      <w:r w:rsidRPr="00991404">
        <w:rPr>
          <w:sz w:val="16"/>
          <w:szCs w:val="16"/>
        </w:rPr>
        <w:t xml:space="preserve">have suggested that William of Poitiers fell from favour because of his association with Bishop </w:t>
      </w:r>
      <w:proofErr w:type="spellStart"/>
      <w:r w:rsidRPr="00991404">
        <w:rPr>
          <w:sz w:val="16"/>
          <w:szCs w:val="16"/>
        </w:rPr>
        <w:t>Odo</w:t>
      </w:r>
      <w:proofErr w:type="spellEnd"/>
      <w:r w:rsidRPr="00991404">
        <w:rPr>
          <w:sz w:val="16"/>
          <w:szCs w:val="16"/>
        </w:rPr>
        <w:t xml:space="preserve"> and Robert Curthose’s rebellion. D. Bates, </w:t>
      </w:r>
      <w:proofErr w:type="gramStart"/>
      <w:r w:rsidRPr="00991404">
        <w:rPr>
          <w:i/>
          <w:sz w:val="16"/>
          <w:szCs w:val="16"/>
        </w:rPr>
        <w:t>The</w:t>
      </w:r>
      <w:proofErr w:type="gramEnd"/>
      <w:r w:rsidRPr="00991404">
        <w:rPr>
          <w:i/>
          <w:sz w:val="16"/>
          <w:szCs w:val="16"/>
        </w:rPr>
        <w:t xml:space="preserve"> Normans and Empire</w:t>
      </w:r>
      <w:r w:rsidRPr="00991404">
        <w:rPr>
          <w:sz w:val="16"/>
          <w:szCs w:val="16"/>
        </w:rPr>
        <w:t xml:space="preserve"> (Oxford: Oxford University Press, 2013), p. 71; Brown, </w:t>
      </w:r>
      <w:r w:rsidRPr="00991404">
        <w:rPr>
          <w:i/>
          <w:sz w:val="16"/>
          <w:szCs w:val="16"/>
        </w:rPr>
        <w:t>The Norman Conquest of England</w:t>
      </w:r>
      <w:r w:rsidRPr="00991404">
        <w:rPr>
          <w:sz w:val="16"/>
          <w:szCs w:val="16"/>
        </w:rPr>
        <w:t>, p. 16.</w:t>
      </w:r>
    </w:p>
  </w:footnote>
  <w:footnote w:id="7">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w:t>
      </w:r>
      <w:proofErr w:type="spellStart"/>
      <w:r w:rsidRPr="00991404">
        <w:rPr>
          <w:sz w:val="16"/>
          <w:szCs w:val="16"/>
        </w:rPr>
        <w:t>Orderic</w:t>
      </w:r>
      <w:proofErr w:type="spellEnd"/>
      <w:r w:rsidRPr="00991404">
        <w:rPr>
          <w:sz w:val="16"/>
          <w:szCs w:val="16"/>
        </w:rPr>
        <w:t xml:space="preserve">, William of </w:t>
      </w:r>
      <w:proofErr w:type="spellStart"/>
      <w:r w:rsidRPr="00991404">
        <w:rPr>
          <w:sz w:val="16"/>
          <w:szCs w:val="16"/>
        </w:rPr>
        <w:t>Malmesbury</w:t>
      </w:r>
      <w:proofErr w:type="spellEnd"/>
      <w:r w:rsidRPr="00991404">
        <w:rPr>
          <w:sz w:val="16"/>
          <w:szCs w:val="16"/>
        </w:rPr>
        <w:t xml:space="preserve">, the author of </w:t>
      </w:r>
      <w:r w:rsidRPr="00991404">
        <w:rPr>
          <w:i/>
          <w:sz w:val="16"/>
          <w:szCs w:val="16"/>
        </w:rPr>
        <w:t xml:space="preserve">Liber </w:t>
      </w:r>
      <w:proofErr w:type="spellStart"/>
      <w:r w:rsidRPr="00991404">
        <w:rPr>
          <w:i/>
          <w:sz w:val="16"/>
          <w:szCs w:val="16"/>
        </w:rPr>
        <w:t>Eliensis</w:t>
      </w:r>
      <w:proofErr w:type="spellEnd"/>
      <w:r w:rsidRPr="00991404">
        <w:rPr>
          <w:sz w:val="16"/>
          <w:szCs w:val="16"/>
        </w:rPr>
        <w:t xml:space="preserve"> used the </w:t>
      </w:r>
      <w:proofErr w:type="spellStart"/>
      <w:r w:rsidRPr="00991404">
        <w:rPr>
          <w:i/>
          <w:sz w:val="16"/>
          <w:szCs w:val="16"/>
        </w:rPr>
        <w:t>Gesta</w:t>
      </w:r>
      <w:proofErr w:type="spellEnd"/>
      <w:r w:rsidRPr="00991404">
        <w:rPr>
          <w:i/>
          <w:sz w:val="16"/>
          <w:szCs w:val="16"/>
        </w:rPr>
        <w:t xml:space="preserve"> </w:t>
      </w:r>
      <w:r w:rsidRPr="00991404">
        <w:rPr>
          <w:sz w:val="16"/>
          <w:szCs w:val="16"/>
        </w:rPr>
        <w:t xml:space="preserve">as source material, Brown, </w:t>
      </w:r>
      <w:proofErr w:type="gramStart"/>
      <w:r w:rsidR="007018BB">
        <w:rPr>
          <w:i/>
          <w:sz w:val="16"/>
          <w:szCs w:val="16"/>
        </w:rPr>
        <w:t>ibid</w:t>
      </w:r>
      <w:r w:rsidR="007018BB">
        <w:rPr>
          <w:sz w:val="16"/>
          <w:szCs w:val="16"/>
        </w:rPr>
        <w:t>.,</w:t>
      </w:r>
      <w:proofErr w:type="gramEnd"/>
      <w:r w:rsidRPr="00991404">
        <w:rPr>
          <w:sz w:val="16"/>
          <w:szCs w:val="16"/>
        </w:rPr>
        <w:t xml:space="preserve"> p. 16.</w:t>
      </w:r>
    </w:p>
  </w:footnote>
  <w:footnote w:id="8">
    <w:p w:rsidR="009F0F7B" w:rsidRPr="00991404" w:rsidRDefault="009F0F7B" w:rsidP="00C01BC4">
      <w:pPr>
        <w:pStyle w:val="NoSpacing"/>
        <w:rPr>
          <w:sz w:val="16"/>
          <w:szCs w:val="16"/>
        </w:rPr>
      </w:pPr>
      <w:r w:rsidRPr="00991404">
        <w:rPr>
          <w:rStyle w:val="FootnoteReference"/>
          <w:sz w:val="16"/>
          <w:szCs w:val="16"/>
        </w:rPr>
        <w:footnoteRef/>
      </w:r>
      <w:r w:rsidRPr="00991404">
        <w:rPr>
          <w:sz w:val="16"/>
          <w:szCs w:val="16"/>
        </w:rPr>
        <w:t xml:space="preserve"> The extant fragmentary account is based on Andr</w:t>
      </w:r>
      <w:r w:rsidRPr="00991404">
        <w:rPr>
          <w:rFonts w:cstheme="minorHAnsi"/>
          <w:sz w:val="16"/>
          <w:szCs w:val="16"/>
        </w:rPr>
        <w:t>é</w:t>
      </w:r>
      <w:r w:rsidRPr="00991404">
        <w:rPr>
          <w:sz w:val="16"/>
          <w:szCs w:val="16"/>
        </w:rPr>
        <w:t xml:space="preserve"> Duchesne’s 1619 edition, beginning mid-sentence in Cnut’s reign in 1035 and ending mid-sentence during 1067-8. </w:t>
      </w:r>
      <w:r w:rsidR="00783F20">
        <w:rPr>
          <w:sz w:val="16"/>
          <w:szCs w:val="16"/>
        </w:rPr>
        <w:t xml:space="preserve">Brown, </w:t>
      </w:r>
      <w:proofErr w:type="gramStart"/>
      <w:r w:rsidR="00783F20">
        <w:rPr>
          <w:i/>
          <w:sz w:val="16"/>
          <w:szCs w:val="16"/>
        </w:rPr>
        <w:t>ibid</w:t>
      </w:r>
      <w:r w:rsidR="00783F20">
        <w:rPr>
          <w:sz w:val="16"/>
          <w:szCs w:val="16"/>
        </w:rPr>
        <w:t>.,</w:t>
      </w:r>
      <w:proofErr w:type="gramEnd"/>
      <w:r w:rsidR="00783F20">
        <w:rPr>
          <w:sz w:val="16"/>
          <w:szCs w:val="16"/>
        </w:rPr>
        <w:t xml:space="preserve"> p. 16.</w:t>
      </w:r>
      <w:r w:rsidRPr="00991404">
        <w:rPr>
          <w:sz w:val="16"/>
          <w:szCs w:val="16"/>
        </w:rPr>
        <w:t xml:space="preserve"> </w:t>
      </w:r>
    </w:p>
  </w:footnote>
  <w:footnote w:id="9">
    <w:p w:rsidR="009F0F7B" w:rsidRPr="009B41D0" w:rsidRDefault="009F0F7B" w:rsidP="00C01BC4">
      <w:pPr>
        <w:pStyle w:val="NoSpacing"/>
        <w:rPr>
          <w:sz w:val="16"/>
          <w:szCs w:val="16"/>
        </w:rPr>
      </w:pPr>
      <w:r w:rsidRPr="00991404">
        <w:rPr>
          <w:rStyle w:val="FootnoteReference"/>
          <w:sz w:val="16"/>
          <w:szCs w:val="16"/>
        </w:rPr>
        <w:footnoteRef/>
      </w:r>
      <w:r w:rsidRPr="00991404">
        <w:rPr>
          <w:sz w:val="16"/>
          <w:szCs w:val="16"/>
        </w:rPr>
        <w:t xml:space="preserve"> </w:t>
      </w:r>
      <w:proofErr w:type="spellStart"/>
      <w:r w:rsidRPr="00991404">
        <w:rPr>
          <w:i/>
          <w:sz w:val="16"/>
          <w:szCs w:val="16"/>
        </w:rPr>
        <w:t>Gesta</w:t>
      </w:r>
      <w:proofErr w:type="spellEnd"/>
      <w:r w:rsidRPr="00991404">
        <w:rPr>
          <w:i/>
          <w:sz w:val="16"/>
          <w:szCs w:val="16"/>
        </w:rPr>
        <w:t xml:space="preserve"> </w:t>
      </w:r>
      <w:proofErr w:type="spellStart"/>
      <w:r w:rsidRPr="00991404">
        <w:rPr>
          <w:i/>
          <w:sz w:val="16"/>
          <w:szCs w:val="16"/>
        </w:rPr>
        <w:t>Normannorum</w:t>
      </w:r>
      <w:proofErr w:type="spellEnd"/>
      <w:r w:rsidRPr="00991404">
        <w:rPr>
          <w:i/>
          <w:sz w:val="16"/>
          <w:szCs w:val="16"/>
        </w:rPr>
        <w:t xml:space="preserve"> </w:t>
      </w:r>
      <w:proofErr w:type="spellStart"/>
      <w:r w:rsidRPr="00991404">
        <w:rPr>
          <w:i/>
          <w:sz w:val="16"/>
          <w:szCs w:val="16"/>
        </w:rPr>
        <w:t>Ducum</w:t>
      </w:r>
      <w:proofErr w:type="spellEnd"/>
      <w:r w:rsidRPr="00991404">
        <w:rPr>
          <w:sz w:val="16"/>
          <w:szCs w:val="16"/>
        </w:rPr>
        <w:t xml:space="preserve">, written by William of </w:t>
      </w:r>
      <w:proofErr w:type="spellStart"/>
      <w:r w:rsidRPr="00991404">
        <w:rPr>
          <w:sz w:val="16"/>
          <w:szCs w:val="16"/>
        </w:rPr>
        <w:t>Jumi</w:t>
      </w:r>
      <w:r w:rsidRPr="00991404">
        <w:rPr>
          <w:rFonts w:cstheme="minorHAnsi"/>
          <w:sz w:val="16"/>
          <w:szCs w:val="16"/>
        </w:rPr>
        <w:t>è</w:t>
      </w:r>
      <w:r w:rsidRPr="00991404">
        <w:rPr>
          <w:sz w:val="16"/>
          <w:szCs w:val="16"/>
        </w:rPr>
        <w:t>ges</w:t>
      </w:r>
      <w:proofErr w:type="spellEnd"/>
      <w:r w:rsidRPr="00991404">
        <w:rPr>
          <w:sz w:val="16"/>
          <w:szCs w:val="16"/>
        </w:rPr>
        <w:t xml:space="preserve"> just before 1060 and extended </w:t>
      </w:r>
      <w:r w:rsidR="009B41D0">
        <w:rPr>
          <w:sz w:val="16"/>
          <w:szCs w:val="16"/>
        </w:rPr>
        <w:t xml:space="preserve">possibly </w:t>
      </w:r>
      <w:r w:rsidRPr="00991404">
        <w:rPr>
          <w:sz w:val="16"/>
          <w:szCs w:val="16"/>
        </w:rPr>
        <w:t>at the Conqueror’s behest in 1070.</w:t>
      </w:r>
      <w:r w:rsidR="009B41D0">
        <w:rPr>
          <w:sz w:val="16"/>
          <w:szCs w:val="16"/>
        </w:rPr>
        <w:t xml:space="preserve"> Brown, </w:t>
      </w:r>
      <w:proofErr w:type="gramStart"/>
      <w:r w:rsidR="009B41D0">
        <w:rPr>
          <w:i/>
          <w:sz w:val="16"/>
          <w:szCs w:val="16"/>
        </w:rPr>
        <w:t>ibid</w:t>
      </w:r>
      <w:r w:rsidR="009B41D0">
        <w:rPr>
          <w:sz w:val="16"/>
          <w:szCs w:val="16"/>
        </w:rPr>
        <w:t>.,</w:t>
      </w:r>
      <w:proofErr w:type="gramEnd"/>
      <w:r w:rsidR="009B41D0">
        <w:rPr>
          <w:sz w:val="16"/>
          <w:szCs w:val="16"/>
        </w:rPr>
        <w:t xml:space="preserve"> p. 1-15.</w:t>
      </w:r>
    </w:p>
  </w:footnote>
  <w:footnote w:id="10">
    <w:p w:rsidR="00092EE3" w:rsidRPr="00991404" w:rsidRDefault="00092EE3">
      <w:pPr>
        <w:pStyle w:val="FootnoteText"/>
        <w:rPr>
          <w:sz w:val="16"/>
          <w:szCs w:val="16"/>
        </w:rPr>
      </w:pPr>
      <w:r w:rsidRPr="00991404">
        <w:rPr>
          <w:rStyle w:val="FootnoteReference"/>
          <w:sz w:val="16"/>
          <w:szCs w:val="16"/>
        </w:rPr>
        <w:footnoteRef/>
      </w:r>
      <w:r w:rsidRPr="00991404">
        <w:rPr>
          <w:sz w:val="16"/>
          <w:szCs w:val="16"/>
        </w:rPr>
        <w:t xml:space="preserve"> The </w:t>
      </w:r>
      <w:r w:rsidRPr="00991404">
        <w:rPr>
          <w:i/>
          <w:sz w:val="16"/>
          <w:szCs w:val="16"/>
        </w:rPr>
        <w:t>Carmen</w:t>
      </w:r>
      <w:r w:rsidRPr="00991404">
        <w:rPr>
          <w:sz w:val="16"/>
          <w:szCs w:val="16"/>
        </w:rPr>
        <w:t>, a poem about the Battle of Hastings,</w:t>
      </w:r>
      <w:r w:rsidRPr="00991404">
        <w:rPr>
          <w:i/>
          <w:sz w:val="16"/>
          <w:szCs w:val="16"/>
        </w:rPr>
        <w:t xml:space="preserve"> </w:t>
      </w:r>
      <w:r w:rsidRPr="00991404">
        <w:rPr>
          <w:sz w:val="16"/>
          <w:szCs w:val="16"/>
        </w:rPr>
        <w:t xml:space="preserve">was only rediscovered in 1835 and its provenance is uncertain: it has been attributed to Guy of Amiens, a relation of Guy of </w:t>
      </w:r>
      <w:proofErr w:type="spellStart"/>
      <w:r w:rsidRPr="00991404">
        <w:rPr>
          <w:sz w:val="16"/>
          <w:szCs w:val="16"/>
        </w:rPr>
        <w:t>Ponthieu</w:t>
      </w:r>
      <w:proofErr w:type="spellEnd"/>
      <w:r w:rsidRPr="00991404">
        <w:rPr>
          <w:sz w:val="16"/>
          <w:szCs w:val="16"/>
        </w:rPr>
        <w:t xml:space="preserve"> and written before 1068</w:t>
      </w:r>
      <w:r w:rsidR="008B552E" w:rsidRPr="00991404">
        <w:rPr>
          <w:sz w:val="16"/>
          <w:szCs w:val="16"/>
        </w:rPr>
        <w:t xml:space="preserve"> and certainly before Guy’s death in 1075</w:t>
      </w:r>
      <w:r w:rsidRPr="00991404">
        <w:rPr>
          <w:sz w:val="16"/>
          <w:szCs w:val="16"/>
        </w:rPr>
        <w:t xml:space="preserve">. However, some historians detect stylistic similarities between </w:t>
      </w:r>
      <w:r w:rsidRPr="00991404">
        <w:rPr>
          <w:i/>
          <w:sz w:val="16"/>
          <w:szCs w:val="16"/>
        </w:rPr>
        <w:t xml:space="preserve">Carmen </w:t>
      </w:r>
      <w:r w:rsidRPr="00991404">
        <w:rPr>
          <w:sz w:val="16"/>
          <w:szCs w:val="16"/>
        </w:rPr>
        <w:t xml:space="preserve">and William of Poitiers </w:t>
      </w:r>
      <w:proofErr w:type="spellStart"/>
      <w:r w:rsidRPr="00991404">
        <w:rPr>
          <w:i/>
          <w:sz w:val="16"/>
          <w:szCs w:val="16"/>
        </w:rPr>
        <w:t>Gesta</w:t>
      </w:r>
      <w:proofErr w:type="spellEnd"/>
      <w:r w:rsidRPr="00991404">
        <w:rPr>
          <w:sz w:val="16"/>
          <w:szCs w:val="16"/>
        </w:rPr>
        <w:t xml:space="preserve"> and the </w:t>
      </w:r>
      <w:r w:rsidRPr="00991404">
        <w:rPr>
          <w:i/>
          <w:sz w:val="16"/>
          <w:szCs w:val="16"/>
        </w:rPr>
        <w:t>Roman de la Rose</w:t>
      </w:r>
      <w:r w:rsidRPr="00991404">
        <w:rPr>
          <w:sz w:val="16"/>
          <w:szCs w:val="16"/>
        </w:rPr>
        <w:t xml:space="preserve">, thus dating it to after 1100. Brown, </w:t>
      </w:r>
      <w:proofErr w:type="gramStart"/>
      <w:r w:rsidR="009B41D0">
        <w:rPr>
          <w:i/>
          <w:sz w:val="16"/>
          <w:szCs w:val="16"/>
        </w:rPr>
        <w:t>ibid.</w:t>
      </w:r>
      <w:r w:rsidRPr="00991404">
        <w:rPr>
          <w:sz w:val="16"/>
          <w:szCs w:val="16"/>
        </w:rPr>
        <w:t>,</w:t>
      </w:r>
      <w:proofErr w:type="gramEnd"/>
      <w:r w:rsidRPr="00991404">
        <w:rPr>
          <w:sz w:val="16"/>
          <w:szCs w:val="16"/>
        </w:rPr>
        <w:t xml:space="preserve"> pp. 1-49.</w:t>
      </w:r>
    </w:p>
  </w:footnote>
  <w:footnote w:id="11">
    <w:p w:rsidR="00092EE3" w:rsidRPr="00991404" w:rsidRDefault="00092EE3">
      <w:pPr>
        <w:pStyle w:val="FootnoteText"/>
        <w:rPr>
          <w:sz w:val="16"/>
          <w:szCs w:val="16"/>
        </w:rPr>
      </w:pPr>
      <w:r w:rsidRPr="00991404">
        <w:rPr>
          <w:rStyle w:val="FootnoteReference"/>
          <w:sz w:val="16"/>
          <w:szCs w:val="16"/>
        </w:rPr>
        <w:footnoteRef/>
      </w:r>
      <w:r w:rsidRPr="00991404">
        <w:rPr>
          <w:sz w:val="16"/>
          <w:szCs w:val="16"/>
        </w:rPr>
        <w:t xml:space="preserve"> The first specific references to the Bayeux Tapestry in Bayeux Cathedral records date from 1476</w:t>
      </w:r>
      <w:r w:rsidR="008B552E" w:rsidRPr="00991404">
        <w:rPr>
          <w:sz w:val="16"/>
          <w:szCs w:val="16"/>
        </w:rPr>
        <w:t xml:space="preserve">, cited by Thorpe, </w:t>
      </w:r>
      <w:r w:rsidR="008B552E" w:rsidRPr="00991404">
        <w:rPr>
          <w:i/>
          <w:sz w:val="16"/>
          <w:szCs w:val="16"/>
        </w:rPr>
        <w:t>The Bayeux Tapestry and the Norman Invasion</w:t>
      </w:r>
      <w:r w:rsidR="008B552E" w:rsidRPr="00991404">
        <w:rPr>
          <w:sz w:val="16"/>
          <w:szCs w:val="16"/>
        </w:rPr>
        <w:t xml:space="preserve">, p. 58. If the tapestry had been made in Canterbury for </w:t>
      </w:r>
      <w:proofErr w:type="spellStart"/>
      <w:r w:rsidR="008B552E" w:rsidRPr="00991404">
        <w:rPr>
          <w:sz w:val="16"/>
          <w:szCs w:val="16"/>
        </w:rPr>
        <w:t>Odo’s</w:t>
      </w:r>
      <w:proofErr w:type="spellEnd"/>
      <w:r w:rsidR="008B552E" w:rsidRPr="00991404">
        <w:rPr>
          <w:sz w:val="16"/>
          <w:szCs w:val="16"/>
        </w:rPr>
        <w:t xml:space="preserve"> new cathedral in Bayeux, the consecration date of 1077 would have been towards the very end of the conjectured date of William’s </w:t>
      </w:r>
      <w:proofErr w:type="spellStart"/>
      <w:r w:rsidR="008B552E" w:rsidRPr="00991404">
        <w:rPr>
          <w:i/>
          <w:sz w:val="16"/>
          <w:szCs w:val="16"/>
        </w:rPr>
        <w:t>Gesta</w:t>
      </w:r>
      <w:proofErr w:type="spellEnd"/>
      <w:r w:rsidR="008B552E" w:rsidRPr="00991404">
        <w:rPr>
          <w:sz w:val="16"/>
          <w:szCs w:val="16"/>
        </w:rPr>
        <w:t>, making it less likely that William would have used the tapestry as a source</w:t>
      </w:r>
      <w:r w:rsidR="00AD6368" w:rsidRPr="00991404">
        <w:rPr>
          <w:sz w:val="16"/>
          <w:szCs w:val="16"/>
        </w:rPr>
        <w:t xml:space="preserve"> </w:t>
      </w:r>
      <w:r w:rsidR="008B552E" w:rsidRPr="00991404">
        <w:rPr>
          <w:sz w:val="16"/>
          <w:szCs w:val="16"/>
        </w:rPr>
        <w:t>unless William personally witn</w:t>
      </w:r>
      <w:r w:rsidR="00AD6368" w:rsidRPr="00991404">
        <w:rPr>
          <w:sz w:val="16"/>
          <w:szCs w:val="16"/>
        </w:rPr>
        <w:t>essed its production in England</w:t>
      </w:r>
      <w:r w:rsidR="007018BB">
        <w:rPr>
          <w:sz w:val="16"/>
          <w:szCs w:val="16"/>
        </w:rPr>
        <w:t>.</w:t>
      </w:r>
    </w:p>
  </w:footnote>
  <w:footnote w:id="12">
    <w:p w:rsidR="00ED56BD" w:rsidRPr="00991404" w:rsidRDefault="00ED56BD">
      <w:pPr>
        <w:pStyle w:val="FootnoteText"/>
        <w:rPr>
          <w:sz w:val="16"/>
          <w:szCs w:val="16"/>
        </w:rPr>
      </w:pPr>
      <w:r w:rsidRPr="00991404">
        <w:rPr>
          <w:rStyle w:val="FootnoteReference"/>
          <w:sz w:val="16"/>
          <w:szCs w:val="16"/>
        </w:rPr>
        <w:footnoteRef/>
      </w:r>
      <w:r w:rsidRPr="00991404">
        <w:rPr>
          <w:sz w:val="16"/>
          <w:szCs w:val="16"/>
        </w:rPr>
        <w:t xml:space="preserve"> </w:t>
      </w:r>
      <w:r w:rsidR="00991404" w:rsidRPr="00991404">
        <w:rPr>
          <w:sz w:val="16"/>
          <w:szCs w:val="16"/>
        </w:rPr>
        <w:t xml:space="preserve">Bonneville was the nearest ducal palace to </w:t>
      </w:r>
      <w:proofErr w:type="spellStart"/>
      <w:r w:rsidR="00991404" w:rsidRPr="00991404">
        <w:rPr>
          <w:sz w:val="16"/>
          <w:szCs w:val="16"/>
        </w:rPr>
        <w:t>Lisieux</w:t>
      </w:r>
      <w:proofErr w:type="spellEnd"/>
      <w:r w:rsidR="00991404" w:rsidRPr="00991404">
        <w:rPr>
          <w:sz w:val="16"/>
          <w:szCs w:val="16"/>
        </w:rPr>
        <w:t xml:space="preserve"> where William was archdeacon.  </w:t>
      </w:r>
      <w:r w:rsidRPr="00991404">
        <w:rPr>
          <w:sz w:val="16"/>
          <w:szCs w:val="16"/>
        </w:rPr>
        <w:t xml:space="preserve">Other accounts give other locations: Bayeux (Bayeux Tapestry, </w:t>
      </w:r>
      <w:r w:rsidR="00991404" w:rsidRPr="00991404">
        <w:rPr>
          <w:sz w:val="16"/>
          <w:szCs w:val="16"/>
        </w:rPr>
        <w:t xml:space="preserve">Robert </w:t>
      </w:r>
      <w:r w:rsidRPr="00991404">
        <w:rPr>
          <w:sz w:val="16"/>
          <w:szCs w:val="16"/>
        </w:rPr>
        <w:t xml:space="preserve">Wace), </w:t>
      </w:r>
      <w:r w:rsidR="00991404" w:rsidRPr="00991404">
        <w:rPr>
          <w:sz w:val="16"/>
          <w:szCs w:val="16"/>
        </w:rPr>
        <w:t>Rouen (</w:t>
      </w:r>
      <w:proofErr w:type="spellStart"/>
      <w:r w:rsidR="00991404" w:rsidRPr="00991404">
        <w:rPr>
          <w:sz w:val="16"/>
          <w:szCs w:val="16"/>
        </w:rPr>
        <w:t>Orderic</w:t>
      </w:r>
      <w:proofErr w:type="spellEnd"/>
      <w:r w:rsidR="00991404" w:rsidRPr="00991404">
        <w:rPr>
          <w:sz w:val="16"/>
          <w:szCs w:val="16"/>
        </w:rPr>
        <w:t xml:space="preserve"> </w:t>
      </w:r>
      <w:proofErr w:type="spellStart"/>
      <w:r w:rsidR="00991404" w:rsidRPr="00991404">
        <w:rPr>
          <w:sz w:val="16"/>
          <w:szCs w:val="16"/>
        </w:rPr>
        <w:t>Vitalis</w:t>
      </w:r>
      <w:proofErr w:type="spellEnd"/>
      <w:r w:rsidR="00C676A9">
        <w:rPr>
          <w:sz w:val="16"/>
          <w:szCs w:val="16"/>
        </w:rPr>
        <w:t xml:space="preserve">, </w:t>
      </w:r>
      <w:r w:rsidR="00C676A9">
        <w:rPr>
          <w:i/>
          <w:sz w:val="16"/>
          <w:szCs w:val="16"/>
        </w:rPr>
        <w:t xml:space="preserve">Vita </w:t>
      </w:r>
      <w:proofErr w:type="spellStart"/>
      <w:r w:rsidR="00C676A9">
        <w:rPr>
          <w:i/>
          <w:sz w:val="16"/>
          <w:szCs w:val="16"/>
        </w:rPr>
        <w:t>Haroldi</w:t>
      </w:r>
      <w:proofErr w:type="spellEnd"/>
      <w:r w:rsidR="00991404" w:rsidRPr="00991404">
        <w:rPr>
          <w:sz w:val="16"/>
          <w:szCs w:val="16"/>
        </w:rPr>
        <w:t>).</w:t>
      </w:r>
    </w:p>
  </w:footnote>
  <w:footnote w:id="13">
    <w:p w:rsidR="00C01BC4" w:rsidRPr="00991404" w:rsidRDefault="00C01BC4">
      <w:pPr>
        <w:pStyle w:val="FootnoteText"/>
        <w:rPr>
          <w:sz w:val="16"/>
          <w:szCs w:val="16"/>
        </w:rPr>
      </w:pPr>
      <w:r w:rsidRPr="00991404">
        <w:rPr>
          <w:rStyle w:val="FootnoteReference"/>
          <w:sz w:val="16"/>
          <w:szCs w:val="16"/>
        </w:rPr>
        <w:footnoteRef/>
      </w:r>
      <w:r w:rsidRPr="00991404">
        <w:rPr>
          <w:sz w:val="16"/>
          <w:szCs w:val="16"/>
        </w:rPr>
        <w:t xml:space="preserve"> Thorpe, </w:t>
      </w:r>
      <w:r w:rsidRPr="00991404">
        <w:rPr>
          <w:i/>
          <w:sz w:val="16"/>
          <w:szCs w:val="16"/>
        </w:rPr>
        <w:t>The Bayeux Tapestry and the Norman Invasion</w:t>
      </w:r>
      <w:r w:rsidR="00F60A11" w:rsidRPr="00991404">
        <w:rPr>
          <w:sz w:val="16"/>
          <w:szCs w:val="16"/>
        </w:rPr>
        <w:t>, plates 1-29.</w:t>
      </w:r>
      <w:r w:rsidRPr="00991404">
        <w:rPr>
          <w:i/>
          <w:sz w:val="16"/>
          <w:szCs w:val="16"/>
        </w:rPr>
        <w:t xml:space="preserve"> </w:t>
      </w:r>
    </w:p>
  </w:footnote>
  <w:footnote w:id="14">
    <w:p w:rsidR="00C01BC4" w:rsidRPr="00991404" w:rsidRDefault="00C01BC4" w:rsidP="00C01BC4">
      <w:pPr>
        <w:pStyle w:val="NoSpacing"/>
        <w:rPr>
          <w:sz w:val="16"/>
          <w:szCs w:val="16"/>
        </w:rPr>
      </w:pPr>
      <w:r w:rsidRPr="00991404">
        <w:rPr>
          <w:rStyle w:val="FootnoteReference"/>
          <w:sz w:val="16"/>
          <w:szCs w:val="16"/>
        </w:rPr>
        <w:footnoteRef/>
      </w:r>
      <w:r w:rsidRPr="00991404">
        <w:rPr>
          <w:sz w:val="16"/>
          <w:szCs w:val="16"/>
        </w:rPr>
        <w:t xml:space="preserve"> Additionally, the ‘</w:t>
      </w:r>
      <w:proofErr w:type="spellStart"/>
      <w:r w:rsidRPr="00991404">
        <w:rPr>
          <w:sz w:val="16"/>
          <w:szCs w:val="16"/>
        </w:rPr>
        <w:t>Aelfgyva</w:t>
      </w:r>
      <w:proofErr w:type="spellEnd"/>
      <w:r w:rsidRPr="00991404">
        <w:rPr>
          <w:sz w:val="16"/>
          <w:szCs w:val="16"/>
        </w:rPr>
        <w:t xml:space="preserve">’ scene in the Bayeux Tapestry </w:t>
      </w:r>
      <w:r w:rsidR="008E6EF4" w:rsidRPr="00991404">
        <w:rPr>
          <w:sz w:val="16"/>
          <w:szCs w:val="16"/>
        </w:rPr>
        <w:t>might suggest</w:t>
      </w:r>
      <w:r w:rsidRPr="00991404">
        <w:rPr>
          <w:sz w:val="16"/>
          <w:szCs w:val="16"/>
        </w:rPr>
        <w:t xml:space="preserve"> repudiation of Harold’s common-law wife in expectation of marriage to William’s daughter and another scene (armour-giving) suggests that William knighted Harold as ‘his man’.</w:t>
      </w:r>
    </w:p>
  </w:footnote>
  <w:footnote w:id="15">
    <w:p w:rsidR="008E6EF4" w:rsidRPr="009B41D0" w:rsidRDefault="008E6EF4" w:rsidP="009B41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16"/>
          <w:szCs w:val="16"/>
          <w:lang w:eastAsia="en-GB"/>
        </w:rPr>
      </w:pPr>
      <w:r w:rsidRPr="00991404">
        <w:rPr>
          <w:rStyle w:val="FootnoteReference"/>
          <w:sz w:val="16"/>
          <w:szCs w:val="16"/>
        </w:rPr>
        <w:footnoteRef/>
      </w:r>
      <w:r w:rsidRPr="00991404">
        <w:rPr>
          <w:sz w:val="16"/>
          <w:szCs w:val="16"/>
        </w:rPr>
        <w:t xml:space="preserve"> Edward’s mother was William’s great-aunt.  </w:t>
      </w:r>
      <w:r w:rsidR="009B41D0">
        <w:rPr>
          <w:sz w:val="16"/>
          <w:szCs w:val="16"/>
        </w:rPr>
        <w:t xml:space="preserve">E.A. </w:t>
      </w:r>
      <w:r w:rsidRPr="00991404">
        <w:rPr>
          <w:sz w:val="16"/>
          <w:szCs w:val="16"/>
        </w:rPr>
        <w:t>Freeman</w:t>
      </w:r>
      <w:r w:rsidR="009B41D0">
        <w:rPr>
          <w:sz w:val="16"/>
          <w:szCs w:val="16"/>
        </w:rPr>
        <w:t xml:space="preserve">, </w:t>
      </w:r>
      <w:r w:rsidR="009B41D0">
        <w:rPr>
          <w:i/>
          <w:sz w:val="16"/>
          <w:szCs w:val="16"/>
        </w:rPr>
        <w:t>William the Conqueror</w:t>
      </w:r>
      <w:r w:rsidR="009B41D0">
        <w:rPr>
          <w:sz w:val="16"/>
          <w:szCs w:val="16"/>
        </w:rPr>
        <w:t xml:space="preserve"> (1884), </w:t>
      </w:r>
      <w:r w:rsidR="009B41D0" w:rsidRPr="009B41D0">
        <w:rPr>
          <w:rFonts w:eastAsia="Times New Roman" w:cstheme="minorHAnsi"/>
          <w:sz w:val="16"/>
          <w:szCs w:val="16"/>
          <w:lang w:eastAsia="en-GB"/>
        </w:rPr>
        <w:t>Release Date: March 20, 2013  [eBook #1066]</w:t>
      </w:r>
      <w:r w:rsidR="009B41D0">
        <w:rPr>
          <w:rFonts w:eastAsia="Times New Roman" w:cstheme="minorHAnsi"/>
          <w:sz w:val="16"/>
          <w:szCs w:val="16"/>
          <w:lang w:eastAsia="en-GB"/>
        </w:rPr>
        <w:t xml:space="preserve">, </w:t>
      </w:r>
      <w:hyperlink r:id="rId1" w:history="1">
        <w:r w:rsidR="009B41D0" w:rsidRPr="009B41D0">
          <w:rPr>
            <w:rStyle w:val="Hyperlink"/>
            <w:sz w:val="16"/>
            <w:szCs w:val="16"/>
          </w:rPr>
          <w:t>http://www.gutenberg.org/files/1066/1066-h/1066-h.htm</w:t>
        </w:r>
      </w:hyperlink>
    </w:p>
  </w:footnote>
  <w:footnote w:id="16">
    <w:p w:rsidR="00063D5E" w:rsidRPr="009B41D0" w:rsidRDefault="00063D5E" w:rsidP="009B41D0">
      <w:pPr>
        <w:pStyle w:val="NoSpacing"/>
        <w:rPr>
          <w:sz w:val="16"/>
          <w:szCs w:val="16"/>
        </w:rPr>
      </w:pPr>
      <w:r w:rsidRPr="00991404">
        <w:rPr>
          <w:rStyle w:val="FootnoteReference"/>
          <w:sz w:val="16"/>
          <w:szCs w:val="16"/>
        </w:rPr>
        <w:footnoteRef/>
      </w:r>
      <w:r w:rsidRPr="00991404">
        <w:rPr>
          <w:sz w:val="16"/>
          <w:szCs w:val="16"/>
        </w:rPr>
        <w:t xml:space="preserve"> The </w:t>
      </w:r>
      <w:r w:rsidRPr="009B41D0">
        <w:rPr>
          <w:i/>
          <w:sz w:val="16"/>
          <w:szCs w:val="16"/>
        </w:rPr>
        <w:t>Witenagemot</w:t>
      </w:r>
      <w:r w:rsidRPr="009B41D0">
        <w:rPr>
          <w:sz w:val="16"/>
          <w:szCs w:val="16"/>
        </w:rPr>
        <w:t xml:space="preserve">, D. </w:t>
      </w:r>
      <w:proofErr w:type="spellStart"/>
      <w:r w:rsidRPr="009B41D0">
        <w:rPr>
          <w:sz w:val="16"/>
          <w:szCs w:val="16"/>
        </w:rPr>
        <w:t>Whitelock</w:t>
      </w:r>
      <w:proofErr w:type="spellEnd"/>
      <w:r w:rsidRPr="009B41D0">
        <w:rPr>
          <w:sz w:val="16"/>
          <w:szCs w:val="16"/>
        </w:rPr>
        <w:t xml:space="preserve">, </w:t>
      </w:r>
      <w:r w:rsidRPr="009B41D0">
        <w:rPr>
          <w:i/>
          <w:sz w:val="16"/>
          <w:szCs w:val="16"/>
        </w:rPr>
        <w:t>The Beginnings of English Society</w:t>
      </w:r>
      <w:r w:rsidRPr="009B41D0">
        <w:rPr>
          <w:sz w:val="16"/>
          <w:szCs w:val="16"/>
        </w:rPr>
        <w:t xml:space="preserve"> (</w:t>
      </w:r>
      <w:proofErr w:type="spellStart"/>
      <w:r w:rsidRPr="009B41D0">
        <w:rPr>
          <w:sz w:val="16"/>
          <w:szCs w:val="16"/>
        </w:rPr>
        <w:t>Harmondsworth</w:t>
      </w:r>
      <w:proofErr w:type="spellEnd"/>
      <w:r w:rsidRPr="009B41D0">
        <w:rPr>
          <w:sz w:val="16"/>
          <w:szCs w:val="16"/>
        </w:rPr>
        <w:t>: Penguin Press, reprinted 1981), pp. 48-63.</w:t>
      </w:r>
      <w:r w:rsidR="009B41D0" w:rsidRPr="009B41D0">
        <w:rPr>
          <w:sz w:val="16"/>
          <w:szCs w:val="16"/>
        </w:rPr>
        <w:t xml:space="preserve"> </w:t>
      </w:r>
    </w:p>
  </w:footnote>
  <w:footnote w:id="17">
    <w:p w:rsidR="007C4DA8" w:rsidRPr="00991404" w:rsidRDefault="007C4DA8" w:rsidP="007C4DA8">
      <w:pPr>
        <w:pStyle w:val="FootnoteText"/>
        <w:rPr>
          <w:sz w:val="16"/>
          <w:szCs w:val="16"/>
        </w:rPr>
      </w:pPr>
      <w:r w:rsidRPr="00991404">
        <w:rPr>
          <w:rStyle w:val="FootnoteReference"/>
          <w:sz w:val="16"/>
          <w:szCs w:val="16"/>
        </w:rPr>
        <w:footnoteRef/>
      </w:r>
      <w:r w:rsidRPr="00991404">
        <w:rPr>
          <w:sz w:val="16"/>
          <w:szCs w:val="16"/>
        </w:rPr>
        <w:t xml:space="preserve"> Edward’s promise of the Crown was </w:t>
      </w:r>
      <w:r w:rsidR="00C676A9">
        <w:rPr>
          <w:sz w:val="16"/>
          <w:szCs w:val="16"/>
        </w:rPr>
        <w:t xml:space="preserve">possibly </w:t>
      </w:r>
      <w:r w:rsidRPr="00991404">
        <w:rPr>
          <w:sz w:val="16"/>
          <w:szCs w:val="16"/>
        </w:rPr>
        <w:t>made probably during Willia</w:t>
      </w:r>
      <w:r w:rsidR="00C676A9">
        <w:rPr>
          <w:sz w:val="16"/>
          <w:szCs w:val="16"/>
        </w:rPr>
        <w:t xml:space="preserve">m’s visit to England in 1051-52, </w:t>
      </w:r>
      <w:r w:rsidRPr="00991404">
        <w:rPr>
          <w:sz w:val="16"/>
          <w:szCs w:val="16"/>
        </w:rPr>
        <w:t xml:space="preserve">Morris, </w:t>
      </w:r>
      <w:r w:rsidR="009B41D0">
        <w:rPr>
          <w:i/>
          <w:sz w:val="16"/>
          <w:szCs w:val="16"/>
        </w:rPr>
        <w:t xml:space="preserve">The Norman Conquest, </w:t>
      </w:r>
      <w:r w:rsidRPr="00991404">
        <w:rPr>
          <w:sz w:val="16"/>
          <w:szCs w:val="16"/>
        </w:rPr>
        <w:t>p. 70.</w:t>
      </w:r>
    </w:p>
  </w:footnote>
  <w:footnote w:id="18">
    <w:p w:rsidR="006960C9" w:rsidRPr="00991404" w:rsidRDefault="006960C9">
      <w:pPr>
        <w:pStyle w:val="FootnoteText"/>
        <w:rPr>
          <w:sz w:val="16"/>
          <w:szCs w:val="16"/>
        </w:rPr>
      </w:pPr>
      <w:r w:rsidRPr="00991404">
        <w:rPr>
          <w:rStyle w:val="FootnoteReference"/>
          <w:sz w:val="16"/>
          <w:szCs w:val="16"/>
        </w:rPr>
        <w:footnoteRef/>
      </w:r>
      <w:r w:rsidRPr="00991404">
        <w:rPr>
          <w:sz w:val="16"/>
          <w:szCs w:val="16"/>
        </w:rPr>
        <w:t xml:space="preserve"> William of Poitiers, William of </w:t>
      </w:r>
      <w:proofErr w:type="spellStart"/>
      <w:r w:rsidRPr="00991404">
        <w:rPr>
          <w:sz w:val="16"/>
          <w:szCs w:val="16"/>
        </w:rPr>
        <w:t>Jumi</w:t>
      </w:r>
      <w:r w:rsidRPr="00991404">
        <w:rPr>
          <w:rFonts w:cstheme="minorHAnsi"/>
          <w:sz w:val="16"/>
          <w:szCs w:val="16"/>
        </w:rPr>
        <w:t>è</w:t>
      </w:r>
      <w:r w:rsidRPr="00991404">
        <w:rPr>
          <w:sz w:val="16"/>
          <w:szCs w:val="16"/>
        </w:rPr>
        <w:t>ges</w:t>
      </w:r>
      <w:proofErr w:type="spellEnd"/>
      <w:r w:rsidR="002A34EC" w:rsidRPr="00991404">
        <w:rPr>
          <w:sz w:val="16"/>
          <w:szCs w:val="16"/>
        </w:rPr>
        <w:t>, Guy of Amiens</w:t>
      </w:r>
      <w:r w:rsidRPr="00991404">
        <w:rPr>
          <w:sz w:val="16"/>
          <w:szCs w:val="16"/>
        </w:rPr>
        <w:t xml:space="preserve"> and the Anglo-Norman </w:t>
      </w:r>
      <w:proofErr w:type="spellStart"/>
      <w:r w:rsidRPr="00991404">
        <w:rPr>
          <w:sz w:val="16"/>
          <w:szCs w:val="16"/>
        </w:rPr>
        <w:t>Orderic</w:t>
      </w:r>
      <w:proofErr w:type="spellEnd"/>
      <w:r w:rsidRPr="00991404">
        <w:rPr>
          <w:sz w:val="16"/>
          <w:szCs w:val="16"/>
        </w:rPr>
        <w:t xml:space="preserve"> </w:t>
      </w:r>
      <w:proofErr w:type="spellStart"/>
      <w:r w:rsidRPr="00991404">
        <w:rPr>
          <w:sz w:val="16"/>
          <w:szCs w:val="16"/>
        </w:rPr>
        <w:t>Vitalis</w:t>
      </w:r>
      <w:proofErr w:type="spellEnd"/>
      <w:r w:rsidRPr="00991404">
        <w:rPr>
          <w:sz w:val="16"/>
          <w:szCs w:val="16"/>
        </w:rPr>
        <w:t>.</w:t>
      </w:r>
    </w:p>
  </w:footnote>
  <w:footnote w:id="19">
    <w:p w:rsidR="00AF62CB" w:rsidRPr="00991404" w:rsidRDefault="00AF62CB">
      <w:pPr>
        <w:pStyle w:val="FootnoteText"/>
        <w:rPr>
          <w:sz w:val="16"/>
          <w:szCs w:val="16"/>
        </w:rPr>
      </w:pPr>
      <w:r w:rsidRPr="00991404">
        <w:rPr>
          <w:rStyle w:val="FootnoteReference"/>
          <w:sz w:val="16"/>
          <w:szCs w:val="16"/>
        </w:rPr>
        <w:footnoteRef/>
      </w:r>
      <w:r w:rsidRPr="00991404">
        <w:rPr>
          <w:sz w:val="16"/>
          <w:szCs w:val="16"/>
        </w:rPr>
        <w:t xml:space="preserve"> The</w:t>
      </w:r>
      <w:r w:rsidR="00F60A11" w:rsidRPr="00991404">
        <w:rPr>
          <w:sz w:val="16"/>
          <w:szCs w:val="16"/>
        </w:rPr>
        <w:t xml:space="preserve"> various versions of the</w:t>
      </w:r>
      <w:r w:rsidRPr="00991404">
        <w:rPr>
          <w:sz w:val="16"/>
          <w:szCs w:val="16"/>
        </w:rPr>
        <w:t xml:space="preserve"> </w:t>
      </w:r>
      <w:r w:rsidR="0083732B" w:rsidRPr="00991404">
        <w:rPr>
          <w:i/>
          <w:sz w:val="16"/>
          <w:szCs w:val="16"/>
        </w:rPr>
        <w:t>Anglo-Saxon Chronicle</w:t>
      </w:r>
      <w:r w:rsidR="00705D87" w:rsidRPr="00991404">
        <w:rPr>
          <w:i/>
          <w:sz w:val="16"/>
          <w:szCs w:val="16"/>
        </w:rPr>
        <w:t xml:space="preserve">, </w:t>
      </w:r>
      <w:r w:rsidR="00F60A11" w:rsidRPr="00991404">
        <w:rPr>
          <w:sz w:val="16"/>
          <w:szCs w:val="16"/>
        </w:rPr>
        <w:t xml:space="preserve"> </w:t>
      </w:r>
      <w:proofErr w:type="spellStart"/>
      <w:r w:rsidR="00705D87" w:rsidRPr="00991404">
        <w:rPr>
          <w:i/>
          <w:sz w:val="16"/>
          <w:szCs w:val="16"/>
        </w:rPr>
        <w:t>Chronicon</w:t>
      </w:r>
      <w:proofErr w:type="spellEnd"/>
      <w:r w:rsidR="00705D87" w:rsidRPr="00991404">
        <w:rPr>
          <w:i/>
          <w:sz w:val="16"/>
          <w:szCs w:val="16"/>
        </w:rPr>
        <w:t xml:space="preserve"> ex </w:t>
      </w:r>
      <w:proofErr w:type="spellStart"/>
      <w:r w:rsidR="00705D87" w:rsidRPr="00991404">
        <w:rPr>
          <w:i/>
          <w:sz w:val="16"/>
          <w:szCs w:val="16"/>
        </w:rPr>
        <w:t>Chronicus</w:t>
      </w:r>
      <w:proofErr w:type="spellEnd"/>
      <w:r w:rsidR="00705D87" w:rsidRPr="00991404">
        <w:rPr>
          <w:sz w:val="16"/>
          <w:szCs w:val="16"/>
        </w:rPr>
        <w:t xml:space="preserve"> </w:t>
      </w:r>
      <w:r w:rsidR="00F60A11" w:rsidRPr="00991404">
        <w:rPr>
          <w:sz w:val="16"/>
          <w:szCs w:val="16"/>
        </w:rPr>
        <w:t xml:space="preserve">and </w:t>
      </w:r>
      <w:proofErr w:type="spellStart"/>
      <w:r w:rsidR="00F60A11" w:rsidRPr="00991404">
        <w:rPr>
          <w:sz w:val="16"/>
          <w:szCs w:val="16"/>
        </w:rPr>
        <w:t>the</w:t>
      </w:r>
      <w:r w:rsidR="00F60A11" w:rsidRPr="00991404">
        <w:rPr>
          <w:i/>
          <w:sz w:val="16"/>
          <w:szCs w:val="16"/>
        </w:rPr>
        <w:t>Vita</w:t>
      </w:r>
      <w:proofErr w:type="spellEnd"/>
      <w:r w:rsidR="00F60A11" w:rsidRPr="00991404">
        <w:rPr>
          <w:i/>
          <w:sz w:val="16"/>
          <w:szCs w:val="16"/>
        </w:rPr>
        <w:t xml:space="preserve"> </w:t>
      </w:r>
      <w:proofErr w:type="spellStart"/>
      <w:r w:rsidR="00F60A11" w:rsidRPr="00991404">
        <w:rPr>
          <w:rFonts w:cstheme="minorHAnsi"/>
          <w:i/>
          <w:sz w:val="16"/>
          <w:szCs w:val="16"/>
        </w:rPr>
        <w:t>Æ</w:t>
      </w:r>
      <w:r w:rsidR="00F60A11" w:rsidRPr="00991404">
        <w:rPr>
          <w:i/>
          <w:sz w:val="16"/>
          <w:szCs w:val="16"/>
        </w:rPr>
        <w:t>dwardi</w:t>
      </w:r>
      <w:proofErr w:type="spellEnd"/>
      <w:r w:rsidR="00F60A11" w:rsidRPr="00991404">
        <w:rPr>
          <w:i/>
          <w:sz w:val="16"/>
          <w:szCs w:val="16"/>
        </w:rPr>
        <w:t xml:space="preserve"> Regis, </w:t>
      </w:r>
      <w:r w:rsidR="009B41D0">
        <w:rPr>
          <w:sz w:val="16"/>
          <w:szCs w:val="16"/>
        </w:rPr>
        <w:t xml:space="preserve">the latter </w:t>
      </w:r>
      <w:r w:rsidR="00F60A11" w:rsidRPr="00991404">
        <w:rPr>
          <w:sz w:val="16"/>
          <w:szCs w:val="16"/>
        </w:rPr>
        <w:t xml:space="preserve">commissioned by Queen Edith, Harold’s sister in </w:t>
      </w:r>
      <w:r w:rsidR="00F60A11" w:rsidRPr="00991404">
        <w:rPr>
          <w:i/>
          <w:sz w:val="16"/>
          <w:szCs w:val="16"/>
        </w:rPr>
        <w:t>c</w:t>
      </w:r>
      <w:r w:rsidR="00F60A11" w:rsidRPr="00991404">
        <w:rPr>
          <w:sz w:val="16"/>
          <w:szCs w:val="16"/>
        </w:rPr>
        <w:t xml:space="preserve">1067, do not catalogue or give a reason for Harold’s trip. Morris, </w:t>
      </w:r>
      <w:proofErr w:type="gramStart"/>
      <w:r w:rsidR="009B41D0">
        <w:rPr>
          <w:i/>
          <w:sz w:val="16"/>
          <w:szCs w:val="16"/>
        </w:rPr>
        <w:t>ibid.</w:t>
      </w:r>
      <w:r w:rsidR="00705D87" w:rsidRPr="00991404">
        <w:rPr>
          <w:sz w:val="16"/>
          <w:szCs w:val="16"/>
        </w:rPr>
        <w:t>,</w:t>
      </w:r>
      <w:proofErr w:type="gramEnd"/>
      <w:r w:rsidR="00705D87" w:rsidRPr="00991404">
        <w:rPr>
          <w:sz w:val="16"/>
          <w:szCs w:val="16"/>
        </w:rPr>
        <w:t xml:space="preserve"> pp. 110-119; Thorpe, p. 30.</w:t>
      </w:r>
    </w:p>
  </w:footnote>
  <w:footnote w:id="20">
    <w:p w:rsidR="00AF62CB" w:rsidRPr="00991404" w:rsidRDefault="00AF62CB">
      <w:pPr>
        <w:pStyle w:val="FootnoteText"/>
        <w:rPr>
          <w:sz w:val="16"/>
          <w:szCs w:val="16"/>
        </w:rPr>
      </w:pPr>
      <w:r w:rsidRPr="00991404">
        <w:rPr>
          <w:rStyle w:val="FootnoteReference"/>
          <w:sz w:val="16"/>
          <w:szCs w:val="16"/>
        </w:rPr>
        <w:footnoteRef/>
      </w:r>
      <w:r w:rsidRPr="00991404">
        <w:rPr>
          <w:sz w:val="16"/>
          <w:szCs w:val="16"/>
        </w:rPr>
        <w:t xml:space="preserve"> Harold was blown off-course</w:t>
      </w:r>
      <w:r w:rsidR="002A34EC" w:rsidRPr="00991404">
        <w:rPr>
          <w:sz w:val="16"/>
          <w:szCs w:val="16"/>
        </w:rPr>
        <w:t xml:space="preserve"> whilst on naval manoeuvres</w:t>
      </w:r>
      <w:r w:rsidRPr="00991404">
        <w:rPr>
          <w:sz w:val="16"/>
          <w:szCs w:val="16"/>
        </w:rPr>
        <w:t xml:space="preserve">: </w:t>
      </w:r>
      <w:r w:rsidR="002A34EC" w:rsidRPr="00991404">
        <w:rPr>
          <w:sz w:val="16"/>
          <w:szCs w:val="16"/>
        </w:rPr>
        <w:t xml:space="preserve">accounts of </w:t>
      </w:r>
      <w:r w:rsidRPr="00991404">
        <w:rPr>
          <w:sz w:val="16"/>
          <w:szCs w:val="16"/>
        </w:rPr>
        <w:t xml:space="preserve">William of </w:t>
      </w:r>
      <w:proofErr w:type="spellStart"/>
      <w:r w:rsidRPr="00991404">
        <w:rPr>
          <w:sz w:val="16"/>
          <w:szCs w:val="16"/>
        </w:rPr>
        <w:t>Malmesbury</w:t>
      </w:r>
      <w:proofErr w:type="spellEnd"/>
      <w:r w:rsidR="002A34EC" w:rsidRPr="00991404">
        <w:rPr>
          <w:sz w:val="16"/>
          <w:szCs w:val="16"/>
        </w:rPr>
        <w:t xml:space="preserve"> and Henry of Huntingdon</w:t>
      </w:r>
      <w:r w:rsidRPr="00991404">
        <w:rPr>
          <w:sz w:val="16"/>
          <w:szCs w:val="16"/>
        </w:rPr>
        <w:t xml:space="preserve">. Morris, </w:t>
      </w:r>
      <w:proofErr w:type="gramStart"/>
      <w:r w:rsidR="009B41D0">
        <w:rPr>
          <w:i/>
          <w:sz w:val="16"/>
          <w:szCs w:val="16"/>
        </w:rPr>
        <w:t>ibid.</w:t>
      </w:r>
      <w:r w:rsidRPr="00991404">
        <w:rPr>
          <w:sz w:val="16"/>
          <w:szCs w:val="16"/>
        </w:rPr>
        <w:t>,</w:t>
      </w:r>
      <w:proofErr w:type="gramEnd"/>
      <w:r w:rsidRPr="00991404">
        <w:rPr>
          <w:sz w:val="16"/>
          <w:szCs w:val="16"/>
        </w:rPr>
        <w:t xml:space="preserve"> pp. 110-119.</w:t>
      </w:r>
    </w:p>
  </w:footnote>
  <w:footnote w:id="21">
    <w:p w:rsidR="00AF62CB" w:rsidRPr="00991404" w:rsidRDefault="00AF62CB">
      <w:pPr>
        <w:pStyle w:val="FootnoteText"/>
        <w:rPr>
          <w:sz w:val="16"/>
          <w:szCs w:val="16"/>
        </w:rPr>
      </w:pPr>
      <w:r w:rsidRPr="00991404">
        <w:rPr>
          <w:rStyle w:val="FootnoteReference"/>
          <w:sz w:val="16"/>
          <w:szCs w:val="16"/>
        </w:rPr>
        <w:footnoteRef/>
      </w:r>
      <w:r w:rsidRPr="00991404">
        <w:rPr>
          <w:sz w:val="16"/>
          <w:szCs w:val="16"/>
        </w:rPr>
        <w:t xml:space="preserve"> Morris considers </w:t>
      </w:r>
      <w:proofErr w:type="spellStart"/>
      <w:r w:rsidRPr="00991404">
        <w:rPr>
          <w:sz w:val="16"/>
          <w:szCs w:val="16"/>
        </w:rPr>
        <w:t>Eadmer’s</w:t>
      </w:r>
      <w:proofErr w:type="spellEnd"/>
      <w:r w:rsidRPr="00991404">
        <w:rPr>
          <w:sz w:val="16"/>
          <w:szCs w:val="16"/>
        </w:rPr>
        <w:t xml:space="preserve"> reason, given in his </w:t>
      </w:r>
      <w:proofErr w:type="spellStart"/>
      <w:r w:rsidRPr="00991404">
        <w:rPr>
          <w:i/>
          <w:sz w:val="16"/>
          <w:szCs w:val="16"/>
        </w:rPr>
        <w:t>Historia</w:t>
      </w:r>
      <w:proofErr w:type="spellEnd"/>
      <w:r w:rsidRPr="00991404">
        <w:rPr>
          <w:i/>
          <w:sz w:val="16"/>
          <w:szCs w:val="16"/>
        </w:rPr>
        <w:t xml:space="preserve"> </w:t>
      </w:r>
      <w:proofErr w:type="spellStart"/>
      <w:r w:rsidRPr="00991404">
        <w:rPr>
          <w:i/>
          <w:sz w:val="16"/>
          <w:szCs w:val="16"/>
        </w:rPr>
        <w:t>novorum</w:t>
      </w:r>
      <w:proofErr w:type="spellEnd"/>
      <w:r w:rsidRPr="00991404">
        <w:rPr>
          <w:i/>
          <w:sz w:val="16"/>
          <w:szCs w:val="16"/>
        </w:rPr>
        <w:t xml:space="preserve"> in Anglia</w:t>
      </w:r>
      <w:r w:rsidRPr="00991404">
        <w:rPr>
          <w:sz w:val="16"/>
          <w:szCs w:val="16"/>
        </w:rPr>
        <w:t xml:space="preserve">, the most plausible explanation. Morris, </w:t>
      </w:r>
      <w:proofErr w:type="gramStart"/>
      <w:r w:rsidRPr="00991404">
        <w:rPr>
          <w:i/>
          <w:sz w:val="16"/>
          <w:szCs w:val="16"/>
        </w:rPr>
        <w:t>ibid.,</w:t>
      </w:r>
      <w:proofErr w:type="gramEnd"/>
      <w:r w:rsidRPr="00991404">
        <w:rPr>
          <w:i/>
          <w:sz w:val="16"/>
          <w:szCs w:val="16"/>
        </w:rPr>
        <w:t xml:space="preserve"> </w:t>
      </w:r>
      <w:r w:rsidRPr="00991404">
        <w:rPr>
          <w:sz w:val="16"/>
          <w:szCs w:val="16"/>
        </w:rPr>
        <w:t>pp. 110-119.</w:t>
      </w:r>
    </w:p>
  </w:footnote>
  <w:footnote w:id="22">
    <w:p w:rsidR="00574260" w:rsidRPr="00991404" w:rsidRDefault="00574260">
      <w:pPr>
        <w:pStyle w:val="FootnoteText"/>
        <w:rPr>
          <w:sz w:val="16"/>
          <w:szCs w:val="16"/>
        </w:rPr>
      </w:pPr>
      <w:r w:rsidRPr="00991404">
        <w:rPr>
          <w:rStyle w:val="FootnoteReference"/>
          <w:sz w:val="16"/>
          <w:szCs w:val="16"/>
        </w:rPr>
        <w:footnoteRef/>
      </w:r>
      <w:r w:rsidRPr="00991404">
        <w:rPr>
          <w:sz w:val="16"/>
          <w:szCs w:val="16"/>
        </w:rPr>
        <w:t xml:space="preserve"> For example, oath-taking over holy relics, pledges of loyalty and</w:t>
      </w:r>
      <w:r w:rsidR="00F36ECB" w:rsidRPr="00991404">
        <w:rPr>
          <w:sz w:val="16"/>
          <w:szCs w:val="16"/>
        </w:rPr>
        <w:t xml:space="preserve"> gifts of</w:t>
      </w:r>
      <w:r w:rsidRPr="00991404">
        <w:rPr>
          <w:sz w:val="16"/>
          <w:szCs w:val="16"/>
        </w:rPr>
        <w:t xml:space="preserve"> </w:t>
      </w:r>
      <w:r w:rsidRPr="00991404">
        <w:rPr>
          <w:i/>
          <w:sz w:val="16"/>
          <w:szCs w:val="16"/>
        </w:rPr>
        <w:t>heriot</w:t>
      </w:r>
      <w:r w:rsidRPr="00991404">
        <w:rPr>
          <w:sz w:val="16"/>
          <w:szCs w:val="16"/>
        </w:rPr>
        <w:t xml:space="preserve"> (‘war-gear’</w:t>
      </w:r>
      <w:r w:rsidR="00F36ECB" w:rsidRPr="00991404">
        <w:rPr>
          <w:sz w:val="16"/>
          <w:szCs w:val="16"/>
        </w:rPr>
        <w:t xml:space="preserve"> </w:t>
      </w:r>
      <w:r w:rsidRPr="00991404">
        <w:rPr>
          <w:sz w:val="16"/>
          <w:szCs w:val="16"/>
        </w:rPr>
        <w:t>from lord and vassal</w:t>
      </w:r>
      <w:r w:rsidR="00F36ECB" w:rsidRPr="00991404">
        <w:rPr>
          <w:sz w:val="16"/>
          <w:szCs w:val="16"/>
        </w:rPr>
        <w:t xml:space="preserve">, </w:t>
      </w:r>
      <w:r w:rsidR="00F36ECB" w:rsidRPr="00991404">
        <w:rPr>
          <w:i/>
          <w:sz w:val="16"/>
          <w:szCs w:val="16"/>
        </w:rPr>
        <w:t>cf.</w:t>
      </w:r>
      <w:r w:rsidR="00F36ECB" w:rsidRPr="00991404">
        <w:rPr>
          <w:sz w:val="16"/>
          <w:szCs w:val="16"/>
        </w:rPr>
        <w:t xml:space="preserve"> scene 25 of the Bayeux Tapestry)</w:t>
      </w:r>
      <w:r w:rsidRPr="00991404">
        <w:rPr>
          <w:sz w:val="16"/>
          <w:szCs w:val="16"/>
        </w:rPr>
        <w:t xml:space="preserve"> were part of Anglo-</w:t>
      </w:r>
      <w:r w:rsidR="00F36ECB" w:rsidRPr="00991404">
        <w:rPr>
          <w:sz w:val="16"/>
          <w:szCs w:val="16"/>
        </w:rPr>
        <w:t xml:space="preserve">Saxon elite culture as well. </w:t>
      </w:r>
      <w:r w:rsidRPr="00991404">
        <w:rPr>
          <w:sz w:val="16"/>
          <w:szCs w:val="16"/>
        </w:rPr>
        <w:t xml:space="preserve">D. </w:t>
      </w:r>
      <w:proofErr w:type="spellStart"/>
      <w:r w:rsidRPr="00991404">
        <w:rPr>
          <w:sz w:val="16"/>
          <w:szCs w:val="16"/>
        </w:rPr>
        <w:t>Whitelock</w:t>
      </w:r>
      <w:proofErr w:type="spellEnd"/>
      <w:r w:rsidRPr="00991404">
        <w:rPr>
          <w:sz w:val="16"/>
          <w:szCs w:val="16"/>
        </w:rPr>
        <w:t xml:space="preserve">, </w:t>
      </w:r>
      <w:proofErr w:type="gramStart"/>
      <w:r w:rsidR="00767604" w:rsidRPr="00991404">
        <w:rPr>
          <w:i/>
          <w:sz w:val="16"/>
          <w:szCs w:val="16"/>
        </w:rPr>
        <w:t>The</w:t>
      </w:r>
      <w:proofErr w:type="gramEnd"/>
      <w:r w:rsidR="00767604" w:rsidRPr="00991404">
        <w:rPr>
          <w:i/>
          <w:sz w:val="16"/>
          <w:szCs w:val="16"/>
        </w:rPr>
        <w:t xml:space="preserve"> Beginnings of Englis</w:t>
      </w:r>
      <w:r w:rsidRPr="00991404">
        <w:rPr>
          <w:i/>
          <w:sz w:val="16"/>
          <w:szCs w:val="16"/>
        </w:rPr>
        <w:t>h Society</w:t>
      </w:r>
      <w:r w:rsidRPr="00991404">
        <w:rPr>
          <w:sz w:val="16"/>
          <w:szCs w:val="16"/>
        </w:rPr>
        <w:t xml:space="preserve"> (</w:t>
      </w:r>
      <w:proofErr w:type="spellStart"/>
      <w:r w:rsidRPr="00991404">
        <w:rPr>
          <w:sz w:val="16"/>
          <w:szCs w:val="16"/>
        </w:rPr>
        <w:t>Harmondsworth</w:t>
      </w:r>
      <w:proofErr w:type="spellEnd"/>
      <w:r w:rsidRPr="00991404">
        <w:rPr>
          <w:sz w:val="16"/>
          <w:szCs w:val="16"/>
        </w:rPr>
        <w:t>: Penguin Press, 1981), pp. 256.</w:t>
      </w:r>
    </w:p>
  </w:footnote>
  <w:footnote w:id="23">
    <w:p w:rsidR="00BC5A64" w:rsidRPr="00991404" w:rsidRDefault="00BC5A64">
      <w:pPr>
        <w:pStyle w:val="FootnoteText"/>
        <w:rPr>
          <w:sz w:val="16"/>
          <w:szCs w:val="16"/>
        </w:rPr>
      </w:pPr>
      <w:r w:rsidRPr="00991404">
        <w:rPr>
          <w:rStyle w:val="FootnoteReference"/>
          <w:sz w:val="16"/>
          <w:szCs w:val="16"/>
        </w:rPr>
        <w:footnoteRef/>
      </w:r>
      <w:r w:rsidRPr="00991404">
        <w:rPr>
          <w:sz w:val="16"/>
          <w:szCs w:val="16"/>
        </w:rPr>
        <w:t xml:space="preserve"> The breaking of a vow made over holy relics was anathema to Christians, cited by Morris, </w:t>
      </w:r>
      <w:r w:rsidRPr="00991404">
        <w:rPr>
          <w:i/>
          <w:sz w:val="16"/>
          <w:szCs w:val="16"/>
        </w:rPr>
        <w:t>The Norman Conquest</w:t>
      </w:r>
      <w:r w:rsidRPr="00991404">
        <w:rPr>
          <w:sz w:val="16"/>
          <w:szCs w:val="16"/>
        </w:rPr>
        <w:t xml:space="preserve">, </w:t>
      </w:r>
      <w:proofErr w:type="gramStart"/>
      <w:r w:rsidRPr="00991404">
        <w:rPr>
          <w:sz w:val="16"/>
          <w:szCs w:val="16"/>
        </w:rPr>
        <w:t>pp</w:t>
      </w:r>
      <w:proofErr w:type="gramEnd"/>
      <w:r w:rsidRPr="00991404">
        <w:rPr>
          <w:sz w:val="16"/>
          <w:szCs w:val="16"/>
        </w:rPr>
        <w:t>. 142-143.</w:t>
      </w:r>
    </w:p>
  </w:footnote>
  <w:footnote w:id="24">
    <w:p w:rsidR="00F60D1F" w:rsidRPr="00991404" w:rsidRDefault="00F60D1F" w:rsidP="00F60D1F">
      <w:pPr>
        <w:pStyle w:val="FootnoteText"/>
        <w:rPr>
          <w:sz w:val="16"/>
          <w:szCs w:val="16"/>
        </w:rPr>
      </w:pPr>
      <w:r w:rsidRPr="00991404">
        <w:rPr>
          <w:rStyle w:val="FootnoteReference"/>
          <w:sz w:val="16"/>
          <w:szCs w:val="16"/>
        </w:rPr>
        <w:footnoteRef/>
      </w:r>
      <w:r w:rsidRPr="00991404">
        <w:rPr>
          <w:sz w:val="16"/>
          <w:szCs w:val="16"/>
        </w:rPr>
        <w:t xml:space="preserve"> For example, William of </w:t>
      </w:r>
      <w:proofErr w:type="spellStart"/>
      <w:r w:rsidRPr="00991404">
        <w:rPr>
          <w:sz w:val="16"/>
          <w:szCs w:val="16"/>
        </w:rPr>
        <w:t>Jumi</w:t>
      </w:r>
      <w:r w:rsidRPr="00991404">
        <w:rPr>
          <w:rFonts w:cstheme="minorHAnsi"/>
          <w:sz w:val="16"/>
          <w:szCs w:val="16"/>
        </w:rPr>
        <w:t>è</w:t>
      </w:r>
      <w:r w:rsidRPr="00991404">
        <w:rPr>
          <w:sz w:val="16"/>
          <w:szCs w:val="16"/>
        </w:rPr>
        <w:t>ges</w:t>
      </w:r>
      <w:proofErr w:type="spellEnd"/>
      <w:r w:rsidRPr="00991404">
        <w:rPr>
          <w:sz w:val="16"/>
          <w:szCs w:val="16"/>
        </w:rPr>
        <w:t xml:space="preserve"> and Henry of Huntingdon,</w:t>
      </w:r>
      <w:r w:rsidR="00574260" w:rsidRPr="00991404">
        <w:rPr>
          <w:sz w:val="16"/>
          <w:szCs w:val="16"/>
        </w:rPr>
        <w:t xml:space="preserve"> cited by </w:t>
      </w:r>
      <w:r w:rsidRPr="00991404">
        <w:rPr>
          <w:sz w:val="16"/>
          <w:szCs w:val="16"/>
        </w:rPr>
        <w:t xml:space="preserve">Thorpe, </w:t>
      </w:r>
      <w:r w:rsidRPr="00991404">
        <w:rPr>
          <w:i/>
          <w:sz w:val="16"/>
          <w:szCs w:val="16"/>
        </w:rPr>
        <w:t>The Bayeux Tapestry and the Norman Invasion,</w:t>
      </w:r>
      <w:r w:rsidRPr="00991404">
        <w:rPr>
          <w:sz w:val="16"/>
          <w:szCs w:val="16"/>
        </w:rPr>
        <w:t xml:space="preserve"> p. 27.</w:t>
      </w:r>
      <w:r w:rsidR="00767604" w:rsidRPr="00991404">
        <w:rPr>
          <w:sz w:val="16"/>
          <w:szCs w:val="16"/>
        </w:rPr>
        <w:t xml:space="preserve"> </w:t>
      </w:r>
    </w:p>
  </w:footnote>
  <w:footnote w:id="25">
    <w:p w:rsidR="00574260" w:rsidRPr="008341D3" w:rsidRDefault="00574260">
      <w:pPr>
        <w:pStyle w:val="FootnoteText"/>
        <w:rPr>
          <w:sz w:val="16"/>
          <w:szCs w:val="16"/>
        </w:rPr>
      </w:pPr>
      <w:r w:rsidRPr="008341D3">
        <w:rPr>
          <w:rStyle w:val="FootnoteReference"/>
          <w:sz w:val="16"/>
          <w:szCs w:val="16"/>
        </w:rPr>
        <w:footnoteRef/>
      </w:r>
      <w:r w:rsidRPr="008341D3">
        <w:rPr>
          <w:sz w:val="16"/>
          <w:szCs w:val="16"/>
        </w:rPr>
        <w:t xml:space="preserve"> For example, </w:t>
      </w:r>
      <w:proofErr w:type="spellStart"/>
      <w:r w:rsidRPr="008341D3">
        <w:rPr>
          <w:sz w:val="16"/>
          <w:szCs w:val="16"/>
        </w:rPr>
        <w:t>Eadmer</w:t>
      </w:r>
      <w:proofErr w:type="spellEnd"/>
      <w:r w:rsidRPr="008341D3">
        <w:rPr>
          <w:sz w:val="16"/>
          <w:szCs w:val="16"/>
        </w:rPr>
        <w:t xml:space="preserve">, cited by Morris, </w:t>
      </w:r>
      <w:r w:rsidRPr="008341D3">
        <w:rPr>
          <w:i/>
          <w:sz w:val="16"/>
          <w:szCs w:val="16"/>
        </w:rPr>
        <w:t>The Norman Conquest</w:t>
      </w:r>
      <w:r w:rsidRPr="008341D3">
        <w:rPr>
          <w:sz w:val="16"/>
          <w:szCs w:val="16"/>
        </w:rPr>
        <w:t xml:space="preserve">, </w:t>
      </w:r>
      <w:proofErr w:type="gramStart"/>
      <w:r w:rsidRPr="008341D3">
        <w:rPr>
          <w:sz w:val="16"/>
          <w:szCs w:val="16"/>
        </w:rPr>
        <w:t>p.117</w:t>
      </w:r>
      <w:proofErr w:type="gramEnd"/>
      <w:r w:rsidRPr="008341D3">
        <w:rPr>
          <w:sz w:val="16"/>
          <w:szCs w:val="16"/>
        </w:rPr>
        <w:t>.</w:t>
      </w:r>
    </w:p>
  </w:footnote>
  <w:footnote w:id="26">
    <w:p w:rsidR="008341D3" w:rsidRPr="008341D3" w:rsidRDefault="008341D3">
      <w:pPr>
        <w:pStyle w:val="FootnoteText"/>
        <w:rPr>
          <w:sz w:val="16"/>
          <w:szCs w:val="16"/>
        </w:rPr>
      </w:pPr>
      <w:r w:rsidRPr="008341D3">
        <w:rPr>
          <w:rStyle w:val="FootnoteReference"/>
          <w:sz w:val="16"/>
          <w:szCs w:val="16"/>
        </w:rPr>
        <w:footnoteRef/>
      </w:r>
      <w:r w:rsidRPr="008341D3">
        <w:rPr>
          <w:sz w:val="16"/>
          <w:szCs w:val="16"/>
        </w:rPr>
        <w:t xml:space="preserve"> T. Rowley, </w:t>
      </w:r>
      <w:proofErr w:type="gramStart"/>
      <w:r w:rsidRPr="008341D3">
        <w:rPr>
          <w:i/>
          <w:sz w:val="16"/>
          <w:szCs w:val="16"/>
        </w:rPr>
        <w:t>An</w:t>
      </w:r>
      <w:proofErr w:type="gramEnd"/>
      <w:r w:rsidRPr="008341D3">
        <w:rPr>
          <w:i/>
          <w:sz w:val="16"/>
          <w:szCs w:val="16"/>
        </w:rPr>
        <w:t xml:space="preserve"> Archaeological Study of the Bayeux Tapestry</w:t>
      </w:r>
      <w:r w:rsidRPr="008341D3">
        <w:rPr>
          <w:sz w:val="16"/>
          <w:szCs w:val="16"/>
        </w:rPr>
        <w:t xml:space="preserve"> (Barnsley: </w:t>
      </w:r>
      <w:r>
        <w:rPr>
          <w:sz w:val="16"/>
          <w:szCs w:val="16"/>
        </w:rPr>
        <w:t>Pen &amp; Sword Press, 2016), p. 102</w:t>
      </w:r>
      <w:r w:rsidRPr="008341D3">
        <w:rPr>
          <w:sz w:val="16"/>
          <w:szCs w:val="16"/>
        </w:rPr>
        <w:t>.</w:t>
      </w:r>
    </w:p>
  </w:footnote>
  <w:footnote w:id="27">
    <w:p w:rsidR="00767604" w:rsidRPr="00991404" w:rsidRDefault="00767604">
      <w:pPr>
        <w:pStyle w:val="FootnoteText"/>
        <w:rPr>
          <w:sz w:val="16"/>
          <w:szCs w:val="16"/>
        </w:rPr>
      </w:pPr>
      <w:r w:rsidRPr="008341D3">
        <w:rPr>
          <w:rStyle w:val="FootnoteReference"/>
          <w:sz w:val="16"/>
          <w:szCs w:val="16"/>
        </w:rPr>
        <w:footnoteRef/>
      </w:r>
      <w:r w:rsidRPr="00991404">
        <w:rPr>
          <w:sz w:val="16"/>
          <w:szCs w:val="16"/>
        </w:rPr>
        <w:t xml:space="preserve"> In the Bayeux Tapestry, the oath scene is witness</w:t>
      </w:r>
      <w:r w:rsidR="00BC5A64" w:rsidRPr="00991404">
        <w:rPr>
          <w:sz w:val="16"/>
          <w:szCs w:val="16"/>
        </w:rPr>
        <w:t>ed by soldiers and servants (where</w:t>
      </w:r>
      <w:r w:rsidRPr="00991404">
        <w:rPr>
          <w:sz w:val="16"/>
          <w:szCs w:val="16"/>
        </w:rPr>
        <w:t xml:space="preserve"> one might expect prelates and noblemen</w:t>
      </w:r>
      <w:r w:rsidR="00BC5A64" w:rsidRPr="00991404">
        <w:rPr>
          <w:sz w:val="16"/>
          <w:szCs w:val="16"/>
        </w:rPr>
        <w:t>)</w:t>
      </w:r>
      <w:r w:rsidRPr="00991404">
        <w:rPr>
          <w:sz w:val="16"/>
          <w:szCs w:val="16"/>
        </w:rPr>
        <w:t xml:space="preserve">. Rowley, </w:t>
      </w:r>
      <w:proofErr w:type="gramStart"/>
      <w:r w:rsidR="008341D3">
        <w:rPr>
          <w:i/>
          <w:sz w:val="16"/>
          <w:szCs w:val="16"/>
        </w:rPr>
        <w:t>ibid.,</w:t>
      </w:r>
      <w:proofErr w:type="gramEnd"/>
      <w:r w:rsidR="008341D3">
        <w:rPr>
          <w:sz w:val="16"/>
          <w:szCs w:val="16"/>
        </w:rPr>
        <w:t xml:space="preserve"> </w:t>
      </w:r>
      <w:r w:rsidR="00BC5A64" w:rsidRPr="00991404">
        <w:rPr>
          <w:sz w:val="16"/>
          <w:szCs w:val="16"/>
        </w:rPr>
        <w:t>p. 101.</w:t>
      </w:r>
    </w:p>
  </w:footnote>
  <w:footnote w:id="28">
    <w:p w:rsidR="00705D87" w:rsidRPr="00991404" w:rsidRDefault="00705D87">
      <w:pPr>
        <w:pStyle w:val="FootnoteText"/>
        <w:rPr>
          <w:sz w:val="16"/>
          <w:szCs w:val="16"/>
        </w:rPr>
      </w:pPr>
      <w:r w:rsidRPr="00991404">
        <w:rPr>
          <w:rStyle w:val="FootnoteReference"/>
          <w:sz w:val="16"/>
          <w:szCs w:val="16"/>
        </w:rPr>
        <w:footnoteRef/>
      </w:r>
      <w:r w:rsidRPr="00991404">
        <w:rPr>
          <w:sz w:val="16"/>
          <w:szCs w:val="16"/>
        </w:rPr>
        <w:t xml:space="preserve"> Davis,</w:t>
      </w:r>
      <w:r w:rsidR="009B41D0">
        <w:rPr>
          <w:sz w:val="16"/>
          <w:szCs w:val="16"/>
        </w:rPr>
        <w:t xml:space="preserve"> </w:t>
      </w:r>
      <w:proofErr w:type="gramStart"/>
      <w:r w:rsidR="009B41D0">
        <w:rPr>
          <w:i/>
          <w:sz w:val="16"/>
          <w:szCs w:val="16"/>
        </w:rPr>
        <w:t>The</w:t>
      </w:r>
      <w:proofErr w:type="gramEnd"/>
      <w:r w:rsidR="009B41D0">
        <w:rPr>
          <w:i/>
          <w:sz w:val="16"/>
          <w:szCs w:val="16"/>
        </w:rPr>
        <w:t xml:space="preserve"> Normans and their Myth</w:t>
      </w:r>
      <w:r w:rsidR="009B41D0">
        <w:rPr>
          <w:sz w:val="16"/>
          <w:szCs w:val="16"/>
        </w:rPr>
        <w:t>,</w:t>
      </w:r>
      <w:r w:rsidRPr="00991404">
        <w:rPr>
          <w:sz w:val="16"/>
          <w:szCs w:val="16"/>
        </w:rPr>
        <w:t xml:space="preserve"> p. 106.</w:t>
      </w:r>
    </w:p>
  </w:footnote>
  <w:footnote w:id="29">
    <w:p w:rsidR="00A570CD" w:rsidRPr="00991404" w:rsidRDefault="00A570CD" w:rsidP="00A570CD">
      <w:pPr>
        <w:pStyle w:val="FootnoteText"/>
        <w:rPr>
          <w:sz w:val="16"/>
          <w:szCs w:val="16"/>
        </w:rPr>
      </w:pPr>
      <w:r w:rsidRPr="00991404">
        <w:rPr>
          <w:rStyle w:val="FootnoteReference"/>
          <w:sz w:val="16"/>
          <w:szCs w:val="16"/>
        </w:rPr>
        <w:footnoteRef/>
      </w:r>
      <w:r w:rsidRPr="00991404">
        <w:rPr>
          <w:sz w:val="16"/>
          <w:szCs w:val="16"/>
        </w:rPr>
        <w:t xml:space="preserve"> For example: </w:t>
      </w:r>
      <w:proofErr w:type="spellStart"/>
      <w:r w:rsidRPr="00991404">
        <w:rPr>
          <w:i/>
          <w:sz w:val="16"/>
          <w:szCs w:val="16"/>
        </w:rPr>
        <w:t>subregulus</w:t>
      </w:r>
      <w:proofErr w:type="spellEnd"/>
      <w:r w:rsidRPr="00991404">
        <w:rPr>
          <w:i/>
          <w:sz w:val="16"/>
          <w:szCs w:val="16"/>
        </w:rPr>
        <w:t xml:space="preserve"> </w:t>
      </w:r>
      <w:r w:rsidRPr="00991404">
        <w:rPr>
          <w:sz w:val="16"/>
          <w:szCs w:val="16"/>
        </w:rPr>
        <w:t xml:space="preserve">Harold ‘whom the king had chosen’ (John of Worcester </w:t>
      </w:r>
      <w:r w:rsidRPr="00991404">
        <w:rPr>
          <w:i/>
          <w:sz w:val="16"/>
          <w:szCs w:val="16"/>
        </w:rPr>
        <w:t>Chronicle</w:t>
      </w:r>
      <w:r w:rsidRPr="00991404">
        <w:rPr>
          <w:sz w:val="16"/>
          <w:szCs w:val="16"/>
        </w:rPr>
        <w:t>); Harold’s succession ‘by unanimous consent’ (</w:t>
      </w:r>
      <w:r w:rsidRPr="00991404">
        <w:rPr>
          <w:i/>
          <w:sz w:val="16"/>
          <w:szCs w:val="16"/>
        </w:rPr>
        <w:t>Waltham Chronicle</w:t>
      </w:r>
      <w:r w:rsidRPr="00991404">
        <w:rPr>
          <w:sz w:val="16"/>
          <w:szCs w:val="16"/>
        </w:rPr>
        <w:t xml:space="preserve">, anon., </w:t>
      </w:r>
      <w:r w:rsidRPr="00991404">
        <w:rPr>
          <w:i/>
          <w:sz w:val="16"/>
          <w:szCs w:val="16"/>
        </w:rPr>
        <w:t>c</w:t>
      </w:r>
      <w:r w:rsidRPr="00991404">
        <w:rPr>
          <w:sz w:val="16"/>
          <w:szCs w:val="16"/>
        </w:rPr>
        <w:t xml:space="preserve">1177 but based on memoires of </w:t>
      </w:r>
      <w:proofErr w:type="spellStart"/>
      <w:r w:rsidRPr="00991404">
        <w:rPr>
          <w:sz w:val="16"/>
          <w:szCs w:val="16"/>
        </w:rPr>
        <w:t>Turkhill</w:t>
      </w:r>
      <w:proofErr w:type="spellEnd"/>
      <w:r w:rsidRPr="00991404">
        <w:rPr>
          <w:sz w:val="16"/>
          <w:szCs w:val="16"/>
        </w:rPr>
        <w:t xml:space="preserve">, sacristan of Waltham Abbey in 1066), </w:t>
      </w:r>
      <w:r w:rsidR="00635410">
        <w:rPr>
          <w:sz w:val="16"/>
          <w:szCs w:val="16"/>
        </w:rPr>
        <w:t xml:space="preserve">E. </w:t>
      </w:r>
      <w:r w:rsidRPr="00991404">
        <w:rPr>
          <w:sz w:val="16"/>
          <w:szCs w:val="16"/>
        </w:rPr>
        <w:t xml:space="preserve">van </w:t>
      </w:r>
      <w:proofErr w:type="spellStart"/>
      <w:r w:rsidRPr="00991404">
        <w:rPr>
          <w:sz w:val="16"/>
          <w:szCs w:val="16"/>
        </w:rPr>
        <w:t>Houts</w:t>
      </w:r>
      <w:proofErr w:type="spellEnd"/>
      <w:r w:rsidRPr="00991404">
        <w:rPr>
          <w:sz w:val="16"/>
          <w:szCs w:val="16"/>
        </w:rPr>
        <w:t xml:space="preserve">, </w:t>
      </w:r>
      <w:r w:rsidR="00635410">
        <w:rPr>
          <w:i/>
          <w:sz w:val="16"/>
          <w:szCs w:val="16"/>
        </w:rPr>
        <w:t>The Normans in Europe</w:t>
      </w:r>
      <w:r w:rsidR="00635410">
        <w:rPr>
          <w:sz w:val="16"/>
          <w:szCs w:val="16"/>
        </w:rPr>
        <w:t xml:space="preserve">, (Manchester: Manchester University Press, 2000), </w:t>
      </w:r>
      <w:r w:rsidRPr="00991404">
        <w:rPr>
          <w:sz w:val="16"/>
          <w:szCs w:val="16"/>
        </w:rPr>
        <w:t xml:space="preserve">pp. 102-181 </w:t>
      </w:r>
    </w:p>
  </w:footnote>
  <w:footnote w:id="30">
    <w:p w:rsidR="0083732B" w:rsidRPr="00991404" w:rsidRDefault="0083732B">
      <w:pPr>
        <w:pStyle w:val="FootnoteText"/>
        <w:rPr>
          <w:sz w:val="16"/>
          <w:szCs w:val="16"/>
        </w:rPr>
      </w:pPr>
      <w:r w:rsidRPr="00991404">
        <w:rPr>
          <w:rStyle w:val="FootnoteReference"/>
          <w:sz w:val="16"/>
          <w:szCs w:val="16"/>
        </w:rPr>
        <w:footnoteRef/>
      </w:r>
      <w:r w:rsidRPr="00991404">
        <w:rPr>
          <w:sz w:val="16"/>
          <w:szCs w:val="16"/>
        </w:rPr>
        <w:t xml:space="preserve"> Harold was ‘a man of prudence and fortitude’, William of </w:t>
      </w:r>
      <w:proofErr w:type="spellStart"/>
      <w:r w:rsidRPr="00991404">
        <w:rPr>
          <w:sz w:val="16"/>
          <w:szCs w:val="16"/>
        </w:rPr>
        <w:t>Malmesbury</w:t>
      </w:r>
      <w:proofErr w:type="spellEnd"/>
      <w:r w:rsidRPr="00991404">
        <w:rPr>
          <w:sz w:val="16"/>
          <w:szCs w:val="16"/>
        </w:rPr>
        <w:t xml:space="preserve">, Morris, </w:t>
      </w:r>
      <w:r w:rsidRPr="00991404">
        <w:rPr>
          <w:i/>
          <w:sz w:val="16"/>
          <w:szCs w:val="16"/>
        </w:rPr>
        <w:t>The Norman Conquest</w:t>
      </w:r>
      <w:r w:rsidRPr="00991404">
        <w:rPr>
          <w:sz w:val="16"/>
          <w:szCs w:val="16"/>
        </w:rPr>
        <w:t>, p. 140.</w:t>
      </w:r>
    </w:p>
  </w:footnote>
  <w:footnote w:id="31">
    <w:p w:rsidR="00AB63E1" w:rsidRPr="00991404" w:rsidRDefault="00AB63E1">
      <w:pPr>
        <w:pStyle w:val="FootnoteText"/>
        <w:rPr>
          <w:sz w:val="16"/>
          <w:szCs w:val="16"/>
        </w:rPr>
      </w:pPr>
      <w:r w:rsidRPr="00991404">
        <w:rPr>
          <w:rStyle w:val="FootnoteReference"/>
          <w:sz w:val="16"/>
          <w:szCs w:val="16"/>
        </w:rPr>
        <w:footnoteRef/>
      </w:r>
      <w:r w:rsidRPr="00991404">
        <w:rPr>
          <w:sz w:val="16"/>
          <w:szCs w:val="16"/>
        </w:rPr>
        <w:t xml:space="preserve"> For example, R.H.C. Davis, M. </w:t>
      </w:r>
      <w:proofErr w:type="spellStart"/>
      <w:r w:rsidRPr="00991404">
        <w:rPr>
          <w:sz w:val="16"/>
          <w:szCs w:val="16"/>
        </w:rPr>
        <w:t>Chibnall</w:t>
      </w:r>
      <w:proofErr w:type="spellEnd"/>
      <w:r w:rsidRPr="00991404">
        <w:rPr>
          <w:sz w:val="16"/>
          <w:szCs w:val="16"/>
        </w:rPr>
        <w:t>, R. Allen, D. Bates and M. Morris.</w:t>
      </w:r>
    </w:p>
  </w:footnote>
  <w:footnote w:id="32">
    <w:p w:rsidR="00E0080C" w:rsidRPr="00575637" w:rsidRDefault="00E0080C" w:rsidP="00E0080C">
      <w:pPr>
        <w:pStyle w:val="FootnoteText"/>
      </w:pPr>
      <w:r w:rsidRPr="00991404">
        <w:rPr>
          <w:rStyle w:val="FootnoteReference"/>
          <w:sz w:val="16"/>
          <w:szCs w:val="16"/>
        </w:rPr>
        <w:footnoteRef/>
      </w:r>
      <w:r w:rsidRPr="00991404">
        <w:rPr>
          <w:sz w:val="16"/>
          <w:szCs w:val="16"/>
        </w:rPr>
        <w:t xml:space="preserve"> N. </w:t>
      </w:r>
      <w:proofErr w:type="spellStart"/>
      <w:r w:rsidRPr="00991404">
        <w:rPr>
          <w:sz w:val="16"/>
          <w:szCs w:val="16"/>
        </w:rPr>
        <w:t>Strevett</w:t>
      </w:r>
      <w:proofErr w:type="spellEnd"/>
      <w:r w:rsidRPr="00991404">
        <w:rPr>
          <w:sz w:val="16"/>
          <w:szCs w:val="16"/>
        </w:rPr>
        <w:t xml:space="preserve">, </w:t>
      </w:r>
      <w:proofErr w:type="gramStart"/>
      <w:r w:rsidRPr="00991404">
        <w:rPr>
          <w:i/>
          <w:sz w:val="16"/>
          <w:szCs w:val="16"/>
        </w:rPr>
        <w:t>The</w:t>
      </w:r>
      <w:proofErr w:type="gramEnd"/>
      <w:r w:rsidRPr="00991404">
        <w:rPr>
          <w:i/>
          <w:sz w:val="16"/>
          <w:szCs w:val="16"/>
        </w:rPr>
        <w:t xml:space="preserve"> Anglo-Norman aristocracy under divided Lordship 1087-1106: a social and political study.</w:t>
      </w:r>
      <w:r w:rsidRPr="00991404">
        <w:rPr>
          <w:sz w:val="16"/>
          <w:szCs w:val="16"/>
        </w:rPr>
        <w:t xml:space="preserve"> Unpublished PhD thesis, University of Glasgow, 2005, p. 236. http://theses.gla.ac.uk/2441/</w:t>
      </w:r>
    </w:p>
  </w:footnote>
  <w:footnote w:id="33">
    <w:p w:rsidR="007018BB" w:rsidRPr="007018BB" w:rsidRDefault="007018BB">
      <w:pPr>
        <w:pStyle w:val="FootnoteText"/>
        <w:rPr>
          <w:sz w:val="16"/>
          <w:szCs w:val="16"/>
        </w:rPr>
      </w:pPr>
      <w:r>
        <w:rPr>
          <w:rStyle w:val="FootnoteReference"/>
        </w:rPr>
        <w:footnoteRef/>
      </w:r>
      <w:r>
        <w:t xml:space="preserve"> </w:t>
      </w:r>
      <w:r>
        <w:rPr>
          <w:sz w:val="16"/>
          <w:szCs w:val="16"/>
        </w:rPr>
        <w:t xml:space="preserve">For example, William’s horrific treatment of citizens of </w:t>
      </w:r>
      <w:proofErr w:type="spellStart"/>
      <w:r>
        <w:rPr>
          <w:sz w:val="16"/>
          <w:szCs w:val="16"/>
        </w:rPr>
        <w:t>Alen</w:t>
      </w:r>
      <w:r>
        <w:rPr>
          <w:rFonts w:cstheme="minorHAnsi"/>
          <w:sz w:val="16"/>
          <w:szCs w:val="16"/>
        </w:rPr>
        <w:t>ç</w:t>
      </w:r>
      <w:r>
        <w:rPr>
          <w:sz w:val="16"/>
          <w:szCs w:val="16"/>
        </w:rPr>
        <w:t>on</w:t>
      </w:r>
      <w:proofErr w:type="spellEnd"/>
      <w:r>
        <w:rPr>
          <w:sz w:val="16"/>
          <w:szCs w:val="16"/>
        </w:rPr>
        <w:t xml:space="preserve"> who mocked his ancestry. Morris, </w:t>
      </w:r>
      <w:proofErr w:type="gramStart"/>
      <w:r>
        <w:rPr>
          <w:i/>
          <w:sz w:val="16"/>
          <w:szCs w:val="16"/>
        </w:rPr>
        <w:t>The</w:t>
      </w:r>
      <w:proofErr w:type="gramEnd"/>
      <w:r>
        <w:rPr>
          <w:i/>
          <w:sz w:val="16"/>
          <w:szCs w:val="16"/>
        </w:rPr>
        <w:t xml:space="preserve"> Norman Conquest</w:t>
      </w:r>
      <w:r>
        <w:rPr>
          <w:sz w:val="16"/>
          <w:szCs w:val="16"/>
        </w:rPr>
        <w:t>, p. 82.</w:t>
      </w:r>
    </w:p>
  </w:footnote>
  <w:footnote w:id="34">
    <w:p w:rsidR="00F77C0C" w:rsidRPr="00F77C0C" w:rsidRDefault="00F77C0C">
      <w:pPr>
        <w:pStyle w:val="FootnoteText"/>
        <w:rPr>
          <w:sz w:val="16"/>
          <w:szCs w:val="16"/>
        </w:rPr>
      </w:pPr>
      <w:r w:rsidRPr="00F77C0C">
        <w:rPr>
          <w:rStyle w:val="FootnoteReference"/>
          <w:sz w:val="16"/>
          <w:szCs w:val="16"/>
        </w:rPr>
        <w:footnoteRef/>
      </w:r>
      <w:r w:rsidRPr="00F77C0C">
        <w:rPr>
          <w:sz w:val="16"/>
          <w:szCs w:val="16"/>
        </w:rPr>
        <w:t xml:space="preserve"> Davis, </w:t>
      </w:r>
      <w:proofErr w:type="gramStart"/>
      <w:r w:rsidRPr="00F77C0C">
        <w:rPr>
          <w:i/>
          <w:sz w:val="16"/>
          <w:szCs w:val="16"/>
        </w:rPr>
        <w:t>The</w:t>
      </w:r>
      <w:proofErr w:type="gramEnd"/>
      <w:r w:rsidRPr="00F77C0C">
        <w:rPr>
          <w:i/>
          <w:sz w:val="16"/>
          <w:szCs w:val="16"/>
        </w:rPr>
        <w:t xml:space="preserve"> Normans and their Myth</w:t>
      </w:r>
      <w:r>
        <w:rPr>
          <w:sz w:val="16"/>
          <w:szCs w:val="16"/>
        </w:rPr>
        <w:t>, p. 106.</w:t>
      </w:r>
    </w:p>
  </w:footnote>
  <w:footnote w:id="35">
    <w:p w:rsidR="00E0080C" w:rsidRPr="00991404" w:rsidRDefault="00E0080C" w:rsidP="00E0080C">
      <w:pPr>
        <w:pStyle w:val="FootnoteText"/>
        <w:rPr>
          <w:sz w:val="16"/>
          <w:szCs w:val="16"/>
        </w:rPr>
      </w:pPr>
      <w:r w:rsidRPr="00991404">
        <w:rPr>
          <w:rStyle w:val="FootnoteReference"/>
          <w:sz w:val="16"/>
          <w:szCs w:val="16"/>
        </w:rPr>
        <w:footnoteRef/>
      </w:r>
      <w:r>
        <w:rPr>
          <w:sz w:val="16"/>
          <w:szCs w:val="16"/>
        </w:rPr>
        <w:t xml:space="preserve"> Bates</w:t>
      </w:r>
      <w:r w:rsidR="00235B57">
        <w:rPr>
          <w:sz w:val="16"/>
          <w:szCs w:val="16"/>
        </w:rPr>
        <w:t xml:space="preserve"> cites unfinished other manuscripts of Stephen of Rouen and William of </w:t>
      </w:r>
      <w:proofErr w:type="spellStart"/>
      <w:r w:rsidR="00235B57">
        <w:rPr>
          <w:sz w:val="16"/>
          <w:szCs w:val="16"/>
        </w:rPr>
        <w:t>Jumi</w:t>
      </w:r>
      <w:r w:rsidR="00235B57">
        <w:rPr>
          <w:rFonts w:cstheme="minorHAnsi"/>
          <w:sz w:val="16"/>
          <w:szCs w:val="16"/>
        </w:rPr>
        <w:t>è</w:t>
      </w:r>
      <w:r w:rsidR="00235B57">
        <w:rPr>
          <w:sz w:val="16"/>
          <w:szCs w:val="16"/>
        </w:rPr>
        <w:t>ges</w:t>
      </w:r>
      <w:proofErr w:type="spellEnd"/>
      <w:r>
        <w:rPr>
          <w:sz w:val="16"/>
          <w:szCs w:val="16"/>
        </w:rPr>
        <w:t>.</w:t>
      </w:r>
      <w:r w:rsidR="00235B57">
        <w:rPr>
          <w:sz w:val="16"/>
          <w:szCs w:val="16"/>
        </w:rPr>
        <w:t xml:space="preserve"> Bates, </w:t>
      </w:r>
      <w:proofErr w:type="gramStart"/>
      <w:r w:rsidR="00235B57">
        <w:rPr>
          <w:i/>
          <w:sz w:val="16"/>
          <w:szCs w:val="16"/>
        </w:rPr>
        <w:t>The</w:t>
      </w:r>
      <w:proofErr w:type="gramEnd"/>
      <w:r w:rsidR="00235B57">
        <w:rPr>
          <w:i/>
          <w:sz w:val="16"/>
          <w:szCs w:val="16"/>
        </w:rPr>
        <w:t xml:space="preserve"> Normans and Empire, </w:t>
      </w:r>
      <w:r>
        <w:rPr>
          <w:sz w:val="16"/>
          <w:szCs w:val="16"/>
        </w:rPr>
        <w:t>p. 71</w:t>
      </w:r>
      <w:r w:rsidRPr="00991404">
        <w:rPr>
          <w:sz w:val="16"/>
          <w:szCs w:val="16"/>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0A5EB7"/>
    <w:multiLevelType w:val="hybridMultilevel"/>
    <w:tmpl w:val="EFFAC9E6"/>
    <w:lvl w:ilvl="0" w:tplc="2E8630E2">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B40107"/>
    <w:multiLevelType w:val="hybridMultilevel"/>
    <w:tmpl w:val="F5B849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5107BE"/>
    <w:multiLevelType w:val="hybridMultilevel"/>
    <w:tmpl w:val="F5B849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05491"/>
    <w:multiLevelType w:val="hybridMultilevel"/>
    <w:tmpl w:val="F5B849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619"/>
    <w:rsid w:val="0000583B"/>
    <w:rsid w:val="000462B4"/>
    <w:rsid w:val="00057B76"/>
    <w:rsid w:val="00063D5E"/>
    <w:rsid w:val="0008249A"/>
    <w:rsid w:val="000857C4"/>
    <w:rsid w:val="00092EE3"/>
    <w:rsid w:val="000A182B"/>
    <w:rsid w:val="000B73B2"/>
    <w:rsid w:val="000D40A1"/>
    <w:rsid w:val="000E2B41"/>
    <w:rsid w:val="001224C0"/>
    <w:rsid w:val="00124BD5"/>
    <w:rsid w:val="00125C51"/>
    <w:rsid w:val="001260F8"/>
    <w:rsid w:val="00136617"/>
    <w:rsid w:val="00156198"/>
    <w:rsid w:val="00162F3D"/>
    <w:rsid w:val="001643AB"/>
    <w:rsid w:val="00182796"/>
    <w:rsid w:val="0018619E"/>
    <w:rsid w:val="00190ACE"/>
    <w:rsid w:val="001A1D6C"/>
    <w:rsid w:val="001B01E1"/>
    <w:rsid w:val="0020491E"/>
    <w:rsid w:val="00205D48"/>
    <w:rsid w:val="00213788"/>
    <w:rsid w:val="002214B5"/>
    <w:rsid w:val="00231E66"/>
    <w:rsid w:val="00235B57"/>
    <w:rsid w:val="00244DA4"/>
    <w:rsid w:val="002625A0"/>
    <w:rsid w:val="00285FBA"/>
    <w:rsid w:val="002923C6"/>
    <w:rsid w:val="002A34EC"/>
    <w:rsid w:val="002C7DBA"/>
    <w:rsid w:val="002F0E40"/>
    <w:rsid w:val="0030018B"/>
    <w:rsid w:val="00366A56"/>
    <w:rsid w:val="00386B53"/>
    <w:rsid w:val="003903D3"/>
    <w:rsid w:val="00396658"/>
    <w:rsid w:val="003C0A28"/>
    <w:rsid w:val="004112F9"/>
    <w:rsid w:val="00465C51"/>
    <w:rsid w:val="00472140"/>
    <w:rsid w:val="0048212C"/>
    <w:rsid w:val="00491583"/>
    <w:rsid w:val="004A2FA2"/>
    <w:rsid w:val="004A7D7D"/>
    <w:rsid w:val="004C7BB3"/>
    <w:rsid w:val="004F4A32"/>
    <w:rsid w:val="005172F5"/>
    <w:rsid w:val="005203F5"/>
    <w:rsid w:val="0053179B"/>
    <w:rsid w:val="00535F6A"/>
    <w:rsid w:val="00546388"/>
    <w:rsid w:val="005520E0"/>
    <w:rsid w:val="0055582C"/>
    <w:rsid w:val="0057339B"/>
    <w:rsid w:val="00574260"/>
    <w:rsid w:val="00575637"/>
    <w:rsid w:val="00590445"/>
    <w:rsid w:val="005B14A1"/>
    <w:rsid w:val="006075B9"/>
    <w:rsid w:val="00613EAE"/>
    <w:rsid w:val="006140FF"/>
    <w:rsid w:val="00616FEE"/>
    <w:rsid w:val="00635410"/>
    <w:rsid w:val="00636923"/>
    <w:rsid w:val="00653423"/>
    <w:rsid w:val="00657D82"/>
    <w:rsid w:val="00665BC8"/>
    <w:rsid w:val="006960C9"/>
    <w:rsid w:val="006E49E7"/>
    <w:rsid w:val="007018BB"/>
    <w:rsid w:val="0070462F"/>
    <w:rsid w:val="00705D87"/>
    <w:rsid w:val="00736945"/>
    <w:rsid w:val="00745830"/>
    <w:rsid w:val="007528EC"/>
    <w:rsid w:val="00765874"/>
    <w:rsid w:val="00767604"/>
    <w:rsid w:val="00783F20"/>
    <w:rsid w:val="00786119"/>
    <w:rsid w:val="007A3A4A"/>
    <w:rsid w:val="007A7FA7"/>
    <w:rsid w:val="007C4DA8"/>
    <w:rsid w:val="007D4B91"/>
    <w:rsid w:val="00811939"/>
    <w:rsid w:val="008213D4"/>
    <w:rsid w:val="00824E33"/>
    <w:rsid w:val="008341D3"/>
    <w:rsid w:val="0083732B"/>
    <w:rsid w:val="008711EA"/>
    <w:rsid w:val="008A103F"/>
    <w:rsid w:val="008B552E"/>
    <w:rsid w:val="008E6EF4"/>
    <w:rsid w:val="008F6204"/>
    <w:rsid w:val="00911FEB"/>
    <w:rsid w:val="009233C2"/>
    <w:rsid w:val="00930239"/>
    <w:rsid w:val="009305F6"/>
    <w:rsid w:val="009342D2"/>
    <w:rsid w:val="009457F5"/>
    <w:rsid w:val="00960156"/>
    <w:rsid w:val="00963358"/>
    <w:rsid w:val="00991404"/>
    <w:rsid w:val="009A0460"/>
    <w:rsid w:val="009B04EA"/>
    <w:rsid w:val="009B1FCC"/>
    <w:rsid w:val="009B41D0"/>
    <w:rsid w:val="009C18F8"/>
    <w:rsid w:val="009C1A07"/>
    <w:rsid w:val="009D02E3"/>
    <w:rsid w:val="009F0F7B"/>
    <w:rsid w:val="009F75B7"/>
    <w:rsid w:val="00A003DB"/>
    <w:rsid w:val="00A14840"/>
    <w:rsid w:val="00A570CD"/>
    <w:rsid w:val="00A87D69"/>
    <w:rsid w:val="00AB02C0"/>
    <w:rsid w:val="00AB63E1"/>
    <w:rsid w:val="00AB67CF"/>
    <w:rsid w:val="00AB6C44"/>
    <w:rsid w:val="00AD6368"/>
    <w:rsid w:val="00AE402C"/>
    <w:rsid w:val="00AF62CB"/>
    <w:rsid w:val="00B06E84"/>
    <w:rsid w:val="00B1237F"/>
    <w:rsid w:val="00B1322B"/>
    <w:rsid w:val="00B27E1F"/>
    <w:rsid w:val="00B342B8"/>
    <w:rsid w:val="00B70FD2"/>
    <w:rsid w:val="00BA1BF7"/>
    <w:rsid w:val="00BA3B5D"/>
    <w:rsid w:val="00BB549A"/>
    <w:rsid w:val="00BC5A64"/>
    <w:rsid w:val="00BC6748"/>
    <w:rsid w:val="00BC7848"/>
    <w:rsid w:val="00C01BC4"/>
    <w:rsid w:val="00C06C2F"/>
    <w:rsid w:val="00C153EF"/>
    <w:rsid w:val="00C31503"/>
    <w:rsid w:val="00C37619"/>
    <w:rsid w:val="00C43520"/>
    <w:rsid w:val="00C676A9"/>
    <w:rsid w:val="00C9174E"/>
    <w:rsid w:val="00CE0570"/>
    <w:rsid w:val="00CE7391"/>
    <w:rsid w:val="00CF1A4A"/>
    <w:rsid w:val="00D10633"/>
    <w:rsid w:val="00D10EFC"/>
    <w:rsid w:val="00D442A8"/>
    <w:rsid w:val="00D80F9A"/>
    <w:rsid w:val="00D95CAD"/>
    <w:rsid w:val="00DC5F5B"/>
    <w:rsid w:val="00DD5BAD"/>
    <w:rsid w:val="00DF0EBA"/>
    <w:rsid w:val="00E0080C"/>
    <w:rsid w:val="00E23E82"/>
    <w:rsid w:val="00E67149"/>
    <w:rsid w:val="00E74117"/>
    <w:rsid w:val="00EC61AB"/>
    <w:rsid w:val="00ED32B3"/>
    <w:rsid w:val="00ED56BD"/>
    <w:rsid w:val="00F10513"/>
    <w:rsid w:val="00F36ECB"/>
    <w:rsid w:val="00F45202"/>
    <w:rsid w:val="00F507F7"/>
    <w:rsid w:val="00F566F3"/>
    <w:rsid w:val="00F56726"/>
    <w:rsid w:val="00F60A11"/>
    <w:rsid w:val="00F60D1F"/>
    <w:rsid w:val="00F60FD9"/>
    <w:rsid w:val="00F64F2A"/>
    <w:rsid w:val="00F66662"/>
    <w:rsid w:val="00F747F8"/>
    <w:rsid w:val="00F77C0C"/>
    <w:rsid w:val="00F964A6"/>
    <w:rsid w:val="00FA43A2"/>
    <w:rsid w:val="00FC4774"/>
    <w:rsid w:val="00FD7C32"/>
    <w:rsid w:val="00FE5061"/>
    <w:rsid w:val="00FF7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AA8016-1913-47E8-A473-513729AC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BF7"/>
  </w:style>
  <w:style w:type="paragraph" w:styleId="Heading2">
    <w:name w:val="heading 2"/>
    <w:basedOn w:val="Normal"/>
    <w:link w:val="Heading2Char"/>
    <w:uiPriority w:val="9"/>
    <w:qFormat/>
    <w:rsid w:val="008F620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6204"/>
    <w:rPr>
      <w:color w:val="0000FF"/>
      <w:u w:val="single"/>
    </w:rPr>
  </w:style>
  <w:style w:type="paragraph" w:styleId="NormalWeb">
    <w:name w:val="Normal (Web)"/>
    <w:basedOn w:val="Normal"/>
    <w:uiPriority w:val="99"/>
    <w:semiHidden/>
    <w:unhideWhenUsed/>
    <w:rsid w:val="008F62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F6204"/>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8F6204"/>
  </w:style>
  <w:style w:type="character" w:customStyle="1" w:styleId="mw-editsection1">
    <w:name w:val="mw-editsection1"/>
    <w:basedOn w:val="DefaultParagraphFont"/>
    <w:rsid w:val="008F6204"/>
  </w:style>
  <w:style w:type="character" w:customStyle="1" w:styleId="mw-editsection-bracket">
    <w:name w:val="mw-editsection-bracket"/>
    <w:basedOn w:val="DefaultParagraphFont"/>
    <w:rsid w:val="008F6204"/>
  </w:style>
  <w:style w:type="paragraph" w:styleId="NoSpacing">
    <w:name w:val="No Spacing"/>
    <w:uiPriority w:val="1"/>
    <w:qFormat/>
    <w:rsid w:val="008F6204"/>
    <w:pPr>
      <w:spacing w:after="0" w:line="240" w:lineRule="auto"/>
    </w:pPr>
  </w:style>
  <w:style w:type="paragraph" w:styleId="HTMLPreformatted">
    <w:name w:val="HTML Preformatted"/>
    <w:basedOn w:val="Normal"/>
    <w:link w:val="HTMLPreformattedChar"/>
    <w:uiPriority w:val="99"/>
    <w:semiHidden/>
    <w:unhideWhenUsed/>
    <w:rsid w:val="002137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13788"/>
    <w:rPr>
      <w:rFonts w:ascii="Courier New" w:eastAsia="Times New Roman" w:hAnsi="Courier New" w:cs="Courier New"/>
      <w:sz w:val="20"/>
      <w:szCs w:val="20"/>
      <w:lang w:eastAsia="en-GB"/>
    </w:rPr>
  </w:style>
  <w:style w:type="paragraph" w:styleId="FootnoteText">
    <w:name w:val="footnote text"/>
    <w:basedOn w:val="Normal"/>
    <w:link w:val="FootnoteTextChar"/>
    <w:uiPriority w:val="99"/>
    <w:semiHidden/>
    <w:unhideWhenUsed/>
    <w:rsid w:val="008119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1939"/>
    <w:rPr>
      <w:sz w:val="20"/>
      <w:szCs w:val="20"/>
    </w:rPr>
  </w:style>
  <w:style w:type="character" w:styleId="FootnoteReference">
    <w:name w:val="footnote reference"/>
    <w:basedOn w:val="DefaultParagraphFont"/>
    <w:uiPriority w:val="99"/>
    <w:semiHidden/>
    <w:unhideWhenUsed/>
    <w:rsid w:val="00811939"/>
    <w:rPr>
      <w:vertAlign w:val="superscript"/>
    </w:rPr>
  </w:style>
  <w:style w:type="paragraph" w:styleId="ListParagraph">
    <w:name w:val="List Paragraph"/>
    <w:basedOn w:val="Normal"/>
    <w:uiPriority w:val="34"/>
    <w:qFormat/>
    <w:rsid w:val="007A3A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332669">
      <w:bodyDiv w:val="1"/>
      <w:marLeft w:val="0"/>
      <w:marRight w:val="0"/>
      <w:marTop w:val="0"/>
      <w:marBottom w:val="0"/>
      <w:divBdr>
        <w:top w:val="none" w:sz="0" w:space="0" w:color="auto"/>
        <w:left w:val="none" w:sz="0" w:space="0" w:color="auto"/>
        <w:bottom w:val="none" w:sz="0" w:space="0" w:color="auto"/>
        <w:right w:val="none" w:sz="0" w:space="0" w:color="auto"/>
      </w:divBdr>
      <w:divsChild>
        <w:div w:id="1227952397">
          <w:marLeft w:val="0"/>
          <w:marRight w:val="0"/>
          <w:marTop w:val="0"/>
          <w:marBottom w:val="0"/>
          <w:divBdr>
            <w:top w:val="none" w:sz="0" w:space="0" w:color="auto"/>
            <w:left w:val="none" w:sz="0" w:space="0" w:color="auto"/>
            <w:bottom w:val="none" w:sz="0" w:space="0" w:color="auto"/>
            <w:right w:val="none" w:sz="0" w:space="0" w:color="auto"/>
          </w:divBdr>
          <w:divsChild>
            <w:div w:id="1035152629">
              <w:marLeft w:val="0"/>
              <w:marRight w:val="0"/>
              <w:marTop w:val="0"/>
              <w:marBottom w:val="0"/>
              <w:divBdr>
                <w:top w:val="none" w:sz="0" w:space="0" w:color="auto"/>
                <w:left w:val="none" w:sz="0" w:space="0" w:color="auto"/>
                <w:bottom w:val="none" w:sz="0" w:space="0" w:color="auto"/>
                <w:right w:val="none" w:sz="0" w:space="0" w:color="auto"/>
              </w:divBdr>
              <w:divsChild>
                <w:div w:id="1820221975">
                  <w:marLeft w:val="0"/>
                  <w:marRight w:val="0"/>
                  <w:marTop w:val="0"/>
                  <w:marBottom w:val="0"/>
                  <w:divBdr>
                    <w:top w:val="none" w:sz="0" w:space="0" w:color="auto"/>
                    <w:left w:val="none" w:sz="0" w:space="0" w:color="auto"/>
                    <w:bottom w:val="none" w:sz="0" w:space="0" w:color="auto"/>
                    <w:right w:val="none" w:sz="0" w:space="0" w:color="auto"/>
                  </w:divBdr>
                  <w:divsChild>
                    <w:div w:id="44762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205759">
      <w:bodyDiv w:val="1"/>
      <w:marLeft w:val="10"/>
      <w:marRight w:val="10"/>
      <w:marTop w:val="0"/>
      <w:marBottom w:val="0"/>
      <w:divBdr>
        <w:top w:val="none" w:sz="0" w:space="0" w:color="auto"/>
        <w:left w:val="none" w:sz="0" w:space="0" w:color="auto"/>
        <w:bottom w:val="none" w:sz="0" w:space="0" w:color="auto"/>
        <w:right w:val="none" w:sz="0" w:space="0" w:color="auto"/>
      </w:divBdr>
    </w:div>
    <w:div w:id="1021783974">
      <w:bodyDiv w:val="1"/>
      <w:marLeft w:val="0"/>
      <w:marRight w:val="0"/>
      <w:marTop w:val="0"/>
      <w:marBottom w:val="0"/>
      <w:divBdr>
        <w:top w:val="none" w:sz="0" w:space="0" w:color="auto"/>
        <w:left w:val="none" w:sz="0" w:space="0" w:color="auto"/>
        <w:bottom w:val="none" w:sz="0" w:space="0" w:color="auto"/>
        <w:right w:val="none" w:sz="0" w:space="0" w:color="auto"/>
      </w:divBdr>
      <w:divsChild>
        <w:div w:id="307250055">
          <w:marLeft w:val="0"/>
          <w:marRight w:val="0"/>
          <w:marTop w:val="0"/>
          <w:marBottom w:val="0"/>
          <w:divBdr>
            <w:top w:val="none" w:sz="0" w:space="0" w:color="auto"/>
            <w:left w:val="none" w:sz="0" w:space="0" w:color="auto"/>
            <w:bottom w:val="none" w:sz="0" w:space="0" w:color="auto"/>
            <w:right w:val="none" w:sz="0" w:space="0" w:color="auto"/>
          </w:divBdr>
          <w:divsChild>
            <w:div w:id="1817723982">
              <w:marLeft w:val="0"/>
              <w:marRight w:val="0"/>
              <w:marTop w:val="0"/>
              <w:marBottom w:val="0"/>
              <w:divBdr>
                <w:top w:val="none" w:sz="0" w:space="0" w:color="auto"/>
                <w:left w:val="none" w:sz="0" w:space="0" w:color="auto"/>
                <w:bottom w:val="none" w:sz="0" w:space="0" w:color="auto"/>
                <w:right w:val="none" w:sz="0" w:space="0" w:color="auto"/>
              </w:divBdr>
              <w:divsChild>
                <w:div w:id="1531603575">
                  <w:marLeft w:val="0"/>
                  <w:marRight w:val="0"/>
                  <w:marTop w:val="0"/>
                  <w:marBottom w:val="0"/>
                  <w:divBdr>
                    <w:top w:val="none" w:sz="0" w:space="0" w:color="auto"/>
                    <w:left w:val="none" w:sz="0" w:space="0" w:color="auto"/>
                    <w:bottom w:val="none" w:sz="0" w:space="0" w:color="auto"/>
                    <w:right w:val="none" w:sz="0" w:space="0" w:color="auto"/>
                  </w:divBdr>
                  <w:divsChild>
                    <w:div w:id="459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utenberg.org/files/1066/1066-h/1066-h.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gutenberg.org/files/1066/1066-h/1066-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60F000-802F-415B-BDE0-ABECD4B9E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1204</Words>
  <Characters>6867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User</cp:lastModifiedBy>
  <cp:revision>2</cp:revision>
  <dcterms:created xsi:type="dcterms:W3CDTF">2017-12-07T11:01:00Z</dcterms:created>
  <dcterms:modified xsi:type="dcterms:W3CDTF">2017-12-07T11:01:00Z</dcterms:modified>
</cp:coreProperties>
</file>