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AB6C" w14:textId="77777777" w:rsidR="00601C5C" w:rsidRPr="00652A53" w:rsidRDefault="00601C5C" w:rsidP="00601C5C">
      <w:pPr>
        <w:spacing w:line="480" w:lineRule="auto"/>
        <w:rPr>
          <w:rFonts w:ascii="Times New Roman" w:hAnsi="Times New Roman" w:cs="Times New Roman"/>
          <w:sz w:val="40"/>
          <w:szCs w:val="40"/>
        </w:rPr>
      </w:pPr>
      <w:r w:rsidRPr="00652A53">
        <w:rPr>
          <w:rFonts w:ascii="Times New Roman" w:hAnsi="Times New Roman" w:cs="Times New Roman"/>
          <w:noProof/>
          <w:sz w:val="40"/>
          <w:szCs w:val="40"/>
        </w:rPr>
        <w:drawing>
          <wp:anchor distT="0" distB="0" distL="114300" distR="114300" simplePos="0" relativeHeight="251659264" behindDoc="0" locked="0" layoutInCell="1" allowOverlap="1" wp14:anchorId="1A732B69" wp14:editId="4F5523F9">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235D3CFB" w14:textId="77777777" w:rsidR="00601C5C" w:rsidRPr="00652A53" w:rsidRDefault="00601C5C" w:rsidP="00601C5C">
      <w:pPr>
        <w:spacing w:line="480" w:lineRule="auto"/>
        <w:rPr>
          <w:rFonts w:ascii="Times New Roman" w:hAnsi="Times New Roman" w:cs="Times New Roman"/>
          <w:sz w:val="40"/>
          <w:szCs w:val="40"/>
        </w:rPr>
      </w:pPr>
    </w:p>
    <w:p w14:paraId="4AF92EA4" w14:textId="77777777" w:rsidR="00601C5C" w:rsidRPr="00652A53" w:rsidRDefault="00601C5C" w:rsidP="00601C5C">
      <w:pPr>
        <w:spacing w:line="360" w:lineRule="auto"/>
        <w:jc w:val="center"/>
        <w:rPr>
          <w:rFonts w:cstheme="minorHAnsi"/>
          <w:sz w:val="40"/>
          <w:szCs w:val="40"/>
        </w:rPr>
      </w:pPr>
      <w:r w:rsidRPr="00652A53">
        <w:rPr>
          <w:rFonts w:cstheme="minorHAnsi"/>
          <w:sz w:val="40"/>
          <w:szCs w:val="40"/>
        </w:rPr>
        <w:t>University of Wales Trinity Saint David</w:t>
      </w:r>
    </w:p>
    <w:p w14:paraId="547F3207" w14:textId="77777777" w:rsidR="00601C5C" w:rsidRDefault="00601C5C" w:rsidP="00601C5C">
      <w:pPr>
        <w:spacing w:line="480" w:lineRule="auto"/>
        <w:jc w:val="center"/>
        <w:rPr>
          <w:rFonts w:cstheme="minorHAnsi"/>
          <w:sz w:val="40"/>
          <w:szCs w:val="40"/>
        </w:rPr>
      </w:pPr>
      <w:r w:rsidRPr="00652A53">
        <w:rPr>
          <w:rFonts w:cstheme="minorHAnsi"/>
          <w:sz w:val="40"/>
          <w:szCs w:val="40"/>
        </w:rPr>
        <w:t>School of Engineering</w:t>
      </w:r>
    </w:p>
    <w:p w14:paraId="2EAF1853" w14:textId="77777777" w:rsidR="00601C5C" w:rsidRPr="00652A53" w:rsidRDefault="00601C5C" w:rsidP="00601C5C">
      <w:pPr>
        <w:spacing w:line="480" w:lineRule="auto"/>
        <w:jc w:val="center"/>
        <w:rPr>
          <w:rFonts w:cstheme="minorHAnsi"/>
          <w:sz w:val="40"/>
          <w:szCs w:val="40"/>
        </w:rPr>
      </w:pPr>
    </w:p>
    <w:p w14:paraId="0E450391" w14:textId="33618C17" w:rsidR="00601C5C" w:rsidRDefault="00601C5C" w:rsidP="00601C5C">
      <w:pPr>
        <w:spacing w:line="480" w:lineRule="auto"/>
        <w:jc w:val="center"/>
        <w:rPr>
          <w:rFonts w:cstheme="minorHAnsi"/>
          <w:sz w:val="40"/>
          <w:szCs w:val="40"/>
        </w:rPr>
      </w:pPr>
      <w:r>
        <w:rPr>
          <w:rFonts w:cstheme="minorHAnsi"/>
          <w:sz w:val="40"/>
          <w:szCs w:val="40"/>
        </w:rPr>
        <w:t>Automotive Materials &amp; Sustainability</w:t>
      </w:r>
    </w:p>
    <w:p w14:paraId="39D22BD9" w14:textId="5CE46996" w:rsidR="00601C5C" w:rsidRDefault="00601C5C" w:rsidP="00601C5C">
      <w:pPr>
        <w:spacing w:line="480" w:lineRule="auto"/>
        <w:jc w:val="center"/>
        <w:rPr>
          <w:rFonts w:cstheme="minorHAnsi"/>
          <w:sz w:val="40"/>
          <w:szCs w:val="40"/>
        </w:rPr>
      </w:pPr>
      <w:r>
        <w:rPr>
          <w:rFonts w:cstheme="minorHAnsi"/>
          <w:sz w:val="40"/>
          <w:szCs w:val="40"/>
        </w:rPr>
        <w:t>Vehicle</w:t>
      </w:r>
      <w:r w:rsidR="003C1491">
        <w:rPr>
          <w:rFonts w:cstheme="minorHAnsi"/>
          <w:sz w:val="40"/>
          <w:szCs w:val="40"/>
        </w:rPr>
        <w:t xml:space="preserve"> </w:t>
      </w:r>
      <w:r>
        <w:rPr>
          <w:rFonts w:cstheme="minorHAnsi"/>
          <w:sz w:val="40"/>
          <w:szCs w:val="40"/>
        </w:rPr>
        <w:t>to Grid Technology</w:t>
      </w:r>
    </w:p>
    <w:p w14:paraId="58B149D1" w14:textId="1BC8C9EC" w:rsidR="00601C5C" w:rsidRPr="00ED37B2" w:rsidRDefault="00601C5C" w:rsidP="00601C5C">
      <w:pPr>
        <w:spacing w:line="480" w:lineRule="auto"/>
        <w:jc w:val="center"/>
        <w:rPr>
          <w:rFonts w:cstheme="minorHAnsi"/>
          <w:sz w:val="40"/>
          <w:szCs w:val="40"/>
        </w:rPr>
      </w:pPr>
      <w:r w:rsidRPr="00ED37B2">
        <w:rPr>
          <w:rFonts w:cstheme="minorHAnsi"/>
          <w:sz w:val="40"/>
          <w:szCs w:val="40"/>
        </w:rPr>
        <w:t>Module code:</w:t>
      </w:r>
      <w:r w:rsidRPr="00ED37B2">
        <w:rPr>
          <w:rFonts w:cstheme="minorHAnsi"/>
          <w:sz w:val="40"/>
          <w:szCs w:val="40"/>
        </w:rPr>
        <w:tab/>
        <w:t>ACHA601</w:t>
      </w:r>
      <w:r>
        <w:rPr>
          <w:rFonts w:cstheme="minorHAnsi"/>
          <w:sz w:val="40"/>
          <w:szCs w:val="40"/>
        </w:rPr>
        <w:t>2</w:t>
      </w:r>
    </w:p>
    <w:p w14:paraId="2469CBE4" w14:textId="77777777" w:rsidR="00601C5C" w:rsidRPr="00652A53" w:rsidRDefault="00601C5C" w:rsidP="00601C5C">
      <w:pPr>
        <w:spacing w:line="480" w:lineRule="auto"/>
        <w:jc w:val="center"/>
        <w:rPr>
          <w:rFonts w:cstheme="minorHAnsi"/>
          <w:sz w:val="40"/>
          <w:szCs w:val="40"/>
        </w:rPr>
      </w:pPr>
      <w:r w:rsidRPr="00652A53">
        <w:rPr>
          <w:rFonts w:cstheme="minorHAnsi"/>
          <w:sz w:val="40"/>
          <w:szCs w:val="40"/>
        </w:rPr>
        <w:t>Bradley Burton</w:t>
      </w:r>
    </w:p>
    <w:p w14:paraId="09BFB210" w14:textId="77777777" w:rsidR="00601C5C" w:rsidRPr="00652A53" w:rsidRDefault="00601C5C" w:rsidP="00601C5C">
      <w:pPr>
        <w:spacing w:line="480" w:lineRule="auto"/>
        <w:jc w:val="center"/>
        <w:rPr>
          <w:rFonts w:cstheme="minorHAnsi"/>
          <w:sz w:val="40"/>
          <w:szCs w:val="40"/>
        </w:rPr>
      </w:pPr>
      <w:r w:rsidRPr="00652A53">
        <w:rPr>
          <w:rFonts w:cstheme="minorHAnsi"/>
          <w:sz w:val="40"/>
          <w:szCs w:val="40"/>
        </w:rPr>
        <w:t>1803066</w:t>
      </w:r>
    </w:p>
    <w:p w14:paraId="1A1EC730" w14:textId="5A0A91EC" w:rsidR="00601C5C" w:rsidRPr="00652A53" w:rsidRDefault="00601C5C" w:rsidP="00601C5C">
      <w:pPr>
        <w:spacing w:line="480" w:lineRule="auto"/>
        <w:jc w:val="center"/>
        <w:rPr>
          <w:rFonts w:cstheme="minorHAnsi"/>
          <w:sz w:val="40"/>
          <w:szCs w:val="40"/>
        </w:rPr>
      </w:pPr>
      <w:r>
        <w:rPr>
          <w:rFonts w:cstheme="minorHAnsi"/>
          <w:sz w:val="40"/>
          <w:szCs w:val="40"/>
        </w:rPr>
        <w:t>BEng.</w:t>
      </w:r>
      <w:r w:rsidRPr="00652A53">
        <w:rPr>
          <w:rFonts w:cstheme="minorHAnsi"/>
          <w:sz w:val="40"/>
          <w:szCs w:val="40"/>
        </w:rPr>
        <w:t xml:space="preserve"> Motor</w:t>
      </w:r>
      <w:r>
        <w:rPr>
          <w:rFonts w:cstheme="minorHAnsi"/>
          <w:sz w:val="40"/>
          <w:szCs w:val="40"/>
        </w:rPr>
        <w:t>cycle</w:t>
      </w:r>
      <w:r w:rsidRPr="00652A53">
        <w:rPr>
          <w:rFonts w:cstheme="minorHAnsi"/>
          <w:sz w:val="40"/>
          <w:szCs w:val="40"/>
        </w:rPr>
        <w:t xml:space="preserve"> Engineering</w:t>
      </w:r>
    </w:p>
    <w:p w14:paraId="588FF3D6" w14:textId="70C2F830" w:rsidR="00601C5C" w:rsidRPr="003C1491" w:rsidRDefault="003C1491" w:rsidP="00601C5C">
      <w:pPr>
        <w:jc w:val="center"/>
        <w:rPr>
          <w:rFonts w:cstheme="minorHAnsi"/>
          <w:sz w:val="40"/>
          <w:szCs w:val="40"/>
        </w:rPr>
      </w:pPr>
      <w:r w:rsidRPr="003C1491">
        <w:rPr>
          <w:rFonts w:cstheme="minorHAnsi"/>
          <w:sz w:val="40"/>
          <w:szCs w:val="40"/>
        </w:rPr>
        <w:t>15</w:t>
      </w:r>
      <w:r w:rsidRPr="003C1491">
        <w:rPr>
          <w:rFonts w:cstheme="minorHAnsi"/>
          <w:sz w:val="40"/>
          <w:szCs w:val="40"/>
          <w:vertAlign w:val="superscript"/>
        </w:rPr>
        <w:t>th</w:t>
      </w:r>
      <w:r w:rsidRPr="003C1491">
        <w:rPr>
          <w:rFonts w:cstheme="minorHAnsi"/>
          <w:sz w:val="40"/>
          <w:szCs w:val="40"/>
        </w:rPr>
        <w:t xml:space="preserve"> November 2021</w:t>
      </w:r>
    </w:p>
    <w:p w14:paraId="04B885C4" w14:textId="77777777" w:rsidR="001240F4" w:rsidRPr="00ED37B2" w:rsidRDefault="001240F4" w:rsidP="00601C5C">
      <w:pPr>
        <w:jc w:val="center"/>
        <w:rPr>
          <w:rFonts w:cstheme="minorHAnsi"/>
          <w:color w:val="FF0000"/>
          <w:sz w:val="40"/>
          <w:szCs w:val="40"/>
        </w:rPr>
      </w:pPr>
    </w:p>
    <w:sdt>
      <w:sdtPr>
        <w:rPr>
          <w:rFonts w:asciiTheme="minorHAnsi" w:eastAsiaTheme="minorHAnsi" w:hAnsiTheme="minorHAnsi" w:cstheme="minorBidi"/>
          <w:color w:val="auto"/>
          <w:sz w:val="22"/>
          <w:szCs w:val="22"/>
          <w:lang w:val="en-GB"/>
        </w:rPr>
        <w:id w:val="158207793"/>
        <w:docPartObj>
          <w:docPartGallery w:val="Table of Contents"/>
          <w:docPartUnique/>
        </w:docPartObj>
      </w:sdtPr>
      <w:sdtEndPr>
        <w:rPr>
          <w:b/>
          <w:bCs/>
          <w:noProof/>
        </w:rPr>
      </w:sdtEndPr>
      <w:sdtContent>
        <w:p w14:paraId="258A4D08" w14:textId="4AAE2DC1" w:rsidR="00601C5C" w:rsidRDefault="00601C5C" w:rsidP="00601C5C">
          <w:pPr>
            <w:pStyle w:val="TOCHeading"/>
            <w:spacing w:line="360" w:lineRule="auto"/>
            <w:rPr>
              <w:sz w:val="36"/>
              <w:szCs w:val="36"/>
            </w:rPr>
          </w:pPr>
          <w:r w:rsidRPr="00ED37B2">
            <w:rPr>
              <w:sz w:val="36"/>
              <w:szCs w:val="36"/>
            </w:rPr>
            <w:t>Contents</w:t>
          </w:r>
        </w:p>
        <w:p w14:paraId="171E2D44" w14:textId="77777777" w:rsidR="00601C5C" w:rsidRPr="00601C5C" w:rsidRDefault="00601C5C" w:rsidP="00601C5C">
          <w:pPr>
            <w:rPr>
              <w:lang w:val="en-US"/>
            </w:rPr>
          </w:pPr>
        </w:p>
        <w:p w14:paraId="748B2ECE" w14:textId="56482225" w:rsidR="003C1491" w:rsidRDefault="00601C5C" w:rsidP="003C1491">
          <w:pPr>
            <w:pStyle w:val="TOC1"/>
            <w:spacing w:line="360" w:lineRule="auto"/>
            <w:rPr>
              <w:rFonts w:eastAsiaTheme="minorEastAsia"/>
              <w:noProof/>
              <w:lang w:eastAsia="en-GB"/>
            </w:rPr>
          </w:pPr>
          <w:r>
            <w:fldChar w:fldCharType="begin"/>
          </w:r>
          <w:r>
            <w:instrText xml:space="preserve"> TOC \o "1-3" \h \z \u </w:instrText>
          </w:r>
          <w:r>
            <w:fldChar w:fldCharType="separate"/>
          </w:r>
          <w:hyperlink w:anchor="_Toc87862298" w:history="1">
            <w:r w:rsidR="003C1491" w:rsidRPr="0034596C">
              <w:rPr>
                <w:rStyle w:val="Hyperlink"/>
                <w:noProof/>
              </w:rPr>
              <w:t>Figure List</w:t>
            </w:r>
            <w:r w:rsidR="003C1491">
              <w:rPr>
                <w:noProof/>
                <w:webHidden/>
              </w:rPr>
              <w:tab/>
            </w:r>
            <w:r w:rsidR="003C1491">
              <w:rPr>
                <w:noProof/>
                <w:webHidden/>
              </w:rPr>
              <w:fldChar w:fldCharType="begin"/>
            </w:r>
            <w:r w:rsidR="003C1491">
              <w:rPr>
                <w:noProof/>
                <w:webHidden/>
              </w:rPr>
              <w:instrText xml:space="preserve"> PAGEREF _Toc87862298 \h </w:instrText>
            </w:r>
            <w:r w:rsidR="003C1491">
              <w:rPr>
                <w:noProof/>
                <w:webHidden/>
              </w:rPr>
            </w:r>
            <w:r w:rsidR="003C1491">
              <w:rPr>
                <w:noProof/>
                <w:webHidden/>
              </w:rPr>
              <w:fldChar w:fldCharType="separate"/>
            </w:r>
            <w:r w:rsidR="003C1491">
              <w:rPr>
                <w:noProof/>
                <w:webHidden/>
              </w:rPr>
              <w:t>3</w:t>
            </w:r>
            <w:r w:rsidR="003C1491">
              <w:rPr>
                <w:noProof/>
                <w:webHidden/>
              </w:rPr>
              <w:fldChar w:fldCharType="end"/>
            </w:r>
          </w:hyperlink>
        </w:p>
        <w:p w14:paraId="1A8F8083" w14:textId="77F35C49" w:rsidR="003C1491" w:rsidRDefault="003C1491" w:rsidP="003C1491">
          <w:pPr>
            <w:pStyle w:val="TOC1"/>
            <w:spacing w:line="360" w:lineRule="auto"/>
            <w:rPr>
              <w:rFonts w:eastAsiaTheme="minorEastAsia"/>
              <w:noProof/>
              <w:lang w:eastAsia="en-GB"/>
            </w:rPr>
          </w:pPr>
          <w:hyperlink w:anchor="_Toc87862299" w:history="1">
            <w:r w:rsidRPr="0034596C">
              <w:rPr>
                <w:rStyle w:val="Hyperlink"/>
                <w:noProof/>
              </w:rPr>
              <w:t>Graph List</w:t>
            </w:r>
            <w:r>
              <w:rPr>
                <w:noProof/>
                <w:webHidden/>
              </w:rPr>
              <w:tab/>
            </w:r>
            <w:r>
              <w:rPr>
                <w:noProof/>
                <w:webHidden/>
              </w:rPr>
              <w:fldChar w:fldCharType="begin"/>
            </w:r>
            <w:r>
              <w:rPr>
                <w:noProof/>
                <w:webHidden/>
              </w:rPr>
              <w:instrText xml:space="preserve"> PAGEREF _Toc87862299 \h </w:instrText>
            </w:r>
            <w:r>
              <w:rPr>
                <w:noProof/>
                <w:webHidden/>
              </w:rPr>
            </w:r>
            <w:r>
              <w:rPr>
                <w:noProof/>
                <w:webHidden/>
              </w:rPr>
              <w:fldChar w:fldCharType="separate"/>
            </w:r>
            <w:r>
              <w:rPr>
                <w:noProof/>
                <w:webHidden/>
              </w:rPr>
              <w:t>3</w:t>
            </w:r>
            <w:r>
              <w:rPr>
                <w:noProof/>
                <w:webHidden/>
              </w:rPr>
              <w:fldChar w:fldCharType="end"/>
            </w:r>
          </w:hyperlink>
        </w:p>
        <w:p w14:paraId="0E41D5D1" w14:textId="38486A31" w:rsidR="003C1491" w:rsidRDefault="003C1491" w:rsidP="003C1491">
          <w:pPr>
            <w:pStyle w:val="TOC1"/>
            <w:spacing w:line="360" w:lineRule="auto"/>
            <w:rPr>
              <w:rFonts w:eastAsiaTheme="minorEastAsia"/>
              <w:noProof/>
              <w:lang w:eastAsia="en-GB"/>
            </w:rPr>
          </w:pPr>
          <w:hyperlink w:anchor="_Toc87862300" w:history="1">
            <w:r w:rsidRPr="0034596C">
              <w:rPr>
                <w:rStyle w:val="Hyperlink"/>
                <w:noProof/>
              </w:rPr>
              <w:t>1.</w:t>
            </w:r>
            <w:r>
              <w:rPr>
                <w:rFonts w:eastAsiaTheme="minorEastAsia"/>
                <w:noProof/>
                <w:lang w:eastAsia="en-GB"/>
              </w:rPr>
              <w:tab/>
            </w:r>
            <w:r w:rsidRPr="0034596C">
              <w:rPr>
                <w:rStyle w:val="Hyperlink"/>
                <w:noProof/>
              </w:rPr>
              <w:t>Introduction</w:t>
            </w:r>
            <w:r>
              <w:rPr>
                <w:noProof/>
                <w:webHidden/>
              </w:rPr>
              <w:tab/>
            </w:r>
            <w:r>
              <w:rPr>
                <w:noProof/>
                <w:webHidden/>
              </w:rPr>
              <w:fldChar w:fldCharType="begin"/>
            </w:r>
            <w:r>
              <w:rPr>
                <w:noProof/>
                <w:webHidden/>
              </w:rPr>
              <w:instrText xml:space="preserve"> PAGEREF _Toc87862300 \h </w:instrText>
            </w:r>
            <w:r>
              <w:rPr>
                <w:noProof/>
                <w:webHidden/>
              </w:rPr>
            </w:r>
            <w:r>
              <w:rPr>
                <w:noProof/>
                <w:webHidden/>
              </w:rPr>
              <w:fldChar w:fldCharType="separate"/>
            </w:r>
            <w:r>
              <w:rPr>
                <w:noProof/>
                <w:webHidden/>
              </w:rPr>
              <w:t>4</w:t>
            </w:r>
            <w:r>
              <w:rPr>
                <w:noProof/>
                <w:webHidden/>
              </w:rPr>
              <w:fldChar w:fldCharType="end"/>
            </w:r>
          </w:hyperlink>
        </w:p>
        <w:p w14:paraId="0EB47D8F" w14:textId="51344D52" w:rsidR="003C1491" w:rsidRDefault="003C1491" w:rsidP="003C1491">
          <w:pPr>
            <w:pStyle w:val="TOC1"/>
            <w:spacing w:line="360" w:lineRule="auto"/>
            <w:rPr>
              <w:rFonts w:eastAsiaTheme="minorEastAsia"/>
              <w:noProof/>
              <w:lang w:eastAsia="en-GB"/>
            </w:rPr>
          </w:pPr>
          <w:hyperlink w:anchor="_Toc87862301" w:history="1">
            <w:r w:rsidRPr="0034596C">
              <w:rPr>
                <w:rStyle w:val="Hyperlink"/>
                <w:noProof/>
              </w:rPr>
              <w:t>2.</w:t>
            </w:r>
            <w:r>
              <w:rPr>
                <w:rFonts w:eastAsiaTheme="minorEastAsia"/>
                <w:noProof/>
                <w:lang w:eastAsia="en-GB"/>
              </w:rPr>
              <w:tab/>
            </w:r>
            <w:r w:rsidRPr="0034596C">
              <w:rPr>
                <w:rStyle w:val="Hyperlink"/>
                <w:noProof/>
              </w:rPr>
              <w:t>Literature Review</w:t>
            </w:r>
            <w:r>
              <w:rPr>
                <w:noProof/>
                <w:webHidden/>
              </w:rPr>
              <w:tab/>
            </w:r>
            <w:r>
              <w:rPr>
                <w:noProof/>
                <w:webHidden/>
              </w:rPr>
              <w:fldChar w:fldCharType="begin"/>
            </w:r>
            <w:r>
              <w:rPr>
                <w:noProof/>
                <w:webHidden/>
              </w:rPr>
              <w:instrText xml:space="preserve"> PAGEREF _Toc87862301 \h </w:instrText>
            </w:r>
            <w:r>
              <w:rPr>
                <w:noProof/>
                <w:webHidden/>
              </w:rPr>
            </w:r>
            <w:r>
              <w:rPr>
                <w:noProof/>
                <w:webHidden/>
              </w:rPr>
              <w:fldChar w:fldCharType="separate"/>
            </w:r>
            <w:r>
              <w:rPr>
                <w:noProof/>
                <w:webHidden/>
              </w:rPr>
              <w:t>6</w:t>
            </w:r>
            <w:r>
              <w:rPr>
                <w:noProof/>
                <w:webHidden/>
              </w:rPr>
              <w:fldChar w:fldCharType="end"/>
            </w:r>
          </w:hyperlink>
        </w:p>
        <w:p w14:paraId="3D418721" w14:textId="13A833A5" w:rsidR="003C1491" w:rsidRDefault="003C1491" w:rsidP="003C1491">
          <w:pPr>
            <w:pStyle w:val="TOC2"/>
            <w:tabs>
              <w:tab w:val="right" w:leader="dot" w:pos="9016"/>
            </w:tabs>
            <w:spacing w:line="360" w:lineRule="auto"/>
            <w:rPr>
              <w:rFonts w:eastAsiaTheme="minorEastAsia"/>
              <w:noProof/>
              <w:lang w:eastAsia="en-GB"/>
            </w:rPr>
          </w:pPr>
          <w:hyperlink w:anchor="_Toc87862302" w:history="1">
            <w:r w:rsidRPr="0034596C">
              <w:rPr>
                <w:rStyle w:val="Hyperlink"/>
                <w:noProof/>
              </w:rPr>
              <w:t>V2G Technology</w:t>
            </w:r>
            <w:r>
              <w:rPr>
                <w:noProof/>
                <w:webHidden/>
              </w:rPr>
              <w:tab/>
            </w:r>
            <w:r>
              <w:rPr>
                <w:noProof/>
                <w:webHidden/>
              </w:rPr>
              <w:fldChar w:fldCharType="begin"/>
            </w:r>
            <w:r>
              <w:rPr>
                <w:noProof/>
                <w:webHidden/>
              </w:rPr>
              <w:instrText xml:space="preserve"> PAGEREF _Toc87862302 \h </w:instrText>
            </w:r>
            <w:r>
              <w:rPr>
                <w:noProof/>
                <w:webHidden/>
              </w:rPr>
            </w:r>
            <w:r>
              <w:rPr>
                <w:noProof/>
                <w:webHidden/>
              </w:rPr>
              <w:fldChar w:fldCharType="separate"/>
            </w:r>
            <w:r>
              <w:rPr>
                <w:noProof/>
                <w:webHidden/>
              </w:rPr>
              <w:t>6</w:t>
            </w:r>
            <w:r>
              <w:rPr>
                <w:noProof/>
                <w:webHidden/>
              </w:rPr>
              <w:fldChar w:fldCharType="end"/>
            </w:r>
          </w:hyperlink>
        </w:p>
        <w:p w14:paraId="15E9CEF6" w14:textId="02020C84" w:rsidR="003C1491" w:rsidRDefault="003C1491" w:rsidP="003C1491">
          <w:pPr>
            <w:pStyle w:val="TOC2"/>
            <w:tabs>
              <w:tab w:val="right" w:leader="dot" w:pos="9016"/>
            </w:tabs>
            <w:spacing w:line="360" w:lineRule="auto"/>
            <w:rPr>
              <w:rFonts w:eastAsiaTheme="minorEastAsia"/>
              <w:noProof/>
              <w:lang w:eastAsia="en-GB"/>
            </w:rPr>
          </w:pPr>
          <w:hyperlink w:anchor="_Toc87862303" w:history="1">
            <w:r w:rsidRPr="0034596C">
              <w:rPr>
                <w:rStyle w:val="Hyperlink"/>
                <w:noProof/>
              </w:rPr>
              <w:t>EV Battery Technology</w:t>
            </w:r>
            <w:r>
              <w:rPr>
                <w:noProof/>
                <w:webHidden/>
              </w:rPr>
              <w:tab/>
            </w:r>
            <w:r>
              <w:rPr>
                <w:noProof/>
                <w:webHidden/>
              </w:rPr>
              <w:fldChar w:fldCharType="begin"/>
            </w:r>
            <w:r>
              <w:rPr>
                <w:noProof/>
                <w:webHidden/>
              </w:rPr>
              <w:instrText xml:space="preserve"> PAGEREF _Toc87862303 \h </w:instrText>
            </w:r>
            <w:r>
              <w:rPr>
                <w:noProof/>
                <w:webHidden/>
              </w:rPr>
            </w:r>
            <w:r>
              <w:rPr>
                <w:noProof/>
                <w:webHidden/>
              </w:rPr>
              <w:fldChar w:fldCharType="separate"/>
            </w:r>
            <w:r>
              <w:rPr>
                <w:noProof/>
                <w:webHidden/>
              </w:rPr>
              <w:t>7</w:t>
            </w:r>
            <w:r>
              <w:rPr>
                <w:noProof/>
                <w:webHidden/>
              </w:rPr>
              <w:fldChar w:fldCharType="end"/>
            </w:r>
          </w:hyperlink>
        </w:p>
        <w:p w14:paraId="45B58244" w14:textId="452CCAAC" w:rsidR="003C1491" w:rsidRDefault="003C1491" w:rsidP="003C1491">
          <w:pPr>
            <w:pStyle w:val="TOC2"/>
            <w:tabs>
              <w:tab w:val="right" w:leader="dot" w:pos="9016"/>
            </w:tabs>
            <w:spacing w:line="360" w:lineRule="auto"/>
            <w:rPr>
              <w:rFonts w:eastAsiaTheme="minorEastAsia"/>
              <w:noProof/>
              <w:lang w:eastAsia="en-GB"/>
            </w:rPr>
          </w:pPr>
          <w:hyperlink w:anchor="_Toc87862304" w:history="1">
            <w:r w:rsidRPr="0034596C">
              <w:rPr>
                <w:rStyle w:val="Hyperlink"/>
                <w:noProof/>
              </w:rPr>
              <w:t>Energy Generation</w:t>
            </w:r>
            <w:r>
              <w:rPr>
                <w:noProof/>
                <w:webHidden/>
              </w:rPr>
              <w:tab/>
            </w:r>
            <w:r>
              <w:rPr>
                <w:noProof/>
                <w:webHidden/>
              </w:rPr>
              <w:fldChar w:fldCharType="begin"/>
            </w:r>
            <w:r>
              <w:rPr>
                <w:noProof/>
                <w:webHidden/>
              </w:rPr>
              <w:instrText xml:space="preserve"> PAGEREF _Toc87862304 \h </w:instrText>
            </w:r>
            <w:r>
              <w:rPr>
                <w:noProof/>
                <w:webHidden/>
              </w:rPr>
            </w:r>
            <w:r>
              <w:rPr>
                <w:noProof/>
                <w:webHidden/>
              </w:rPr>
              <w:fldChar w:fldCharType="separate"/>
            </w:r>
            <w:r>
              <w:rPr>
                <w:noProof/>
                <w:webHidden/>
              </w:rPr>
              <w:t>9</w:t>
            </w:r>
            <w:r>
              <w:rPr>
                <w:noProof/>
                <w:webHidden/>
              </w:rPr>
              <w:fldChar w:fldCharType="end"/>
            </w:r>
          </w:hyperlink>
        </w:p>
        <w:p w14:paraId="75F8201D" w14:textId="5256D353" w:rsidR="003C1491" w:rsidRPr="003C1491" w:rsidRDefault="003C1491" w:rsidP="003C1491">
          <w:pPr>
            <w:pStyle w:val="TOC2"/>
            <w:tabs>
              <w:tab w:val="right" w:leader="dot" w:pos="9016"/>
            </w:tabs>
            <w:spacing w:line="360" w:lineRule="auto"/>
            <w:rPr>
              <w:noProof/>
              <w:color w:val="0563C1" w:themeColor="hyperlink"/>
              <w:u w:val="single"/>
            </w:rPr>
          </w:pPr>
          <w:hyperlink w:anchor="_Toc87862305" w:history="1">
            <w:r w:rsidRPr="0034596C">
              <w:rPr>
                <w:rStyle w:val="Hyperlink"/>
                <w:noProof/>
              </w:rPr>
              <w:t>Energy Grid</w:t>
            </w:r>
            <w:r>
              <w:rPr>
                <w:noProof/>
                <w:webHidden/>
              </w:rPr>
              <w:tab/>
            </w:r>
            <w:r>
              <w:rPr>
                <w:noProof/>
                <w:webHidden/>
              </w:rPr>
              <w:fldChar w:fldCharType="begin"/>
            </w:r>
            <w:r>
              <w:rPr>
                <w:noProof/>
                <w:webHidden/>
              </w:rPr>
              <w:instrText xml:space="preserve"> PAGEREF _Toc87862305 \h </w:instrText>
            </w:r>
            <w:r>
              <w:rPr>
                <w:noProof/>
                <w:webHidden/>
              </w:rPr>
            </w:r>
            <w:r>
              <w:rPr>
                <w:noProof/>
                <w:webHidden/>
              </w:rPr>
              <w:fldChar w:fldCharType="separate"/>
            </w:r>
            <w:r>
              <w:rPr>
                <w:noProof/>
                <w:webHidden/>
              </w:rPr>
              <w:t>11</w:t>
            </w:r>
            <w:r>
              <w:rPr>
                <w:noProof/>
                <w:webHidden/>
              </w:rPr>
              <w:fldChar w:fldCharType="end"/>
            </w:r>
          </w:hyperlink>
        </w:p>
        <w:p w14:paraId="1A032874" w14:textId="72F58BAD" w:rsidR="003C1491" w:rsidRDefault="003C1491" w:rsidP="003C1491">
          <w:pPr>
            <w:pStyle w:val="TOC1"/>
            <w:spacing w:line="360" w:lineRule="auto"/>
            <w:rPr>
              <w:rFonts w:eastAsiaTheme="minorEastAsia"/>
              <w:noProof/>
              <w:lang w:eastAsia="en-GB"/>
            </w:rPr>
          </w:pPr>
          <w:hyperlink w:anchor="_Toc87862306" w:history="1">
            <w:r w:rsidRPr="0034596C">
              <w:rPr>
                <w:rStyle w:val="Hyperlink"/>
                <w:noProof/>
              </w:rPr>
              <w:t>3.</w:t>
            </w:r>
            <w:r>
              <w:rPr>
                <w:rFonts w:eastAsiaTheme="minorEastAsia"/>
                <w:noProof/>
                <w:lang w:eastAsia="en-GB"/>
              </w:rPr>
              <w:tab/>
            </w:r>
            <w:r w:rsidRPr="0034596C">
              <w:rPr>
                <w:rStyle w:val="Hyperlink"/>
                <w:noProof/>
              </w:rPr>
              <w:t>Conclusion</w:t>
            </w:r>
            <w:r>
              <w:rPr>
                <w:noProof/>
                <w:webHidden/>
              </w:rPr>
              <w:tab/>
            </w:r>
            <w:r>
              <w:rPr>
                <w:noProof/>
                <w:webHidden/>
              </w:rPr>
              <w:fldChar w:fldCharType="begin"/>
            </w:r>
            <w:r>
              <w:rPr>
                <w:noProof/>
                <w:webHidden/>
              </w:rPr>
              <w:instrText xml:space="preserve"> PAGEREF _Toc87862306 \h </w:instrText>
            </w:r>
            <w:r>
              <w:rPr>
                <w:noProof/>
                <w:webHidden/>
              </w:rPr>
            </w:r>
            <w:r>
              <w:rPr>
                <w:noProof/>
                <w:webHidden/>
              </w:rPr>
              <w:fldChar w:fldCharType="separate"/>
            </w:r>
            <w:r>
              <w:rPr>
                <w:noProof/>
                <w:webHidden/>
              </w:rPr>
              <w:t>12</w:t>
            </w:r>
            <w:r>
              <w:rPr>
                <w:noProof/>
                <w:webHidden/>
              </w:rPr>
              <w:fldChar w:fldCharType="end"/>
            </w:r>
          </w:hyperlink>
        </w:p>
        <w:p w14:paraId="0633A809" w14:textId="3902C68E" w:rsidR="003C1491" w:rsidRDefault="003C1491" w:rsidP="003C1491">
          <w:pPr>
            <w:pStyle w:val="TOC1"/>
            <w:spacing w:line="360" w:lineRule="auto"/>
            <w:rPr>
              <w:rFonts w:eastAsiaTheme="minorEastAsia"/>
              <w:noProof/>
              <w:lang w:eastAsia="en-GB"/>
            </w:rPr>
          </w:pPr>
          <w:hyperlink w:anchor="_Toc87862307" w:history="1">
            <w:r w:rsidRPr="0034596C">
              <w:rPr>
                <w:rStyle w:val="Hyperlink"/>
                <w:noProof/>
              </w:rPr>
              <w:t>4.</w:t>
            </w:r>
            <w:r>
              <w:rPr>
                <w:rFonts w:eastAsiaTheme="minorEastAsia"/>
                <w:noProof/>
                <w:lang w:eastAsia="en-GB"/>
              </w:rPr>
              <w:tab/>
            </w:r>
            <w:r w:rsidRPr="0034596C">
              <w:rPr>
                <w:rStyle w:val="Hyperlink"/>
                <w:noProof/>
              </w:rPr>
              <w:t>Appendices</w:t>
            </w:r>
            <w:r>
              <w:rPr>
                <w:noProof/>
                <w:webHidden/>
              </w:rPr>
              <w:tab/>
            </w:r>
            <w:r>
              <w:rPr>
                <w:noProof/>
                <w:webHidden/>
              </w:rPr>
              <w:fldChar w:fldCharType="begin"/>
            </w:r>
            <w:r>
              <w:rPr>
                <w:noProof/>
                <w:webHidden/>
              </w:rPr>
              <w:instrText xml:space="preserve"> PAGEREF _Toc87862307 \h </w:instrText>
            </w:r>
            <w:r>
              <w:rPr>
                <w:noProof/>
                <w:webHidden/>
              </w:rPr>
            </w:r>
            <w:r>
              <w:rPr>
                <w:noProof/>
                <w:webHidden/>
              </w:rPr>
              <w:fldChar w:fldCharType="separate"/>
            </w:r>
            <w:r>
              <w:rPr>
                <w:noProof/>
                <w:webHidden/>
              </w:rPr>
              <w:t>14</w:t>
            </w:r>
            <w:r>
              <w:rPr>
                <w:noProof/>
                <w:webHidden/>
              </w:rPr>
              <w:fldChar w:fldCharType="end"/>
            </w:r>
          </w:hyperlink>
        </w:p>
        <w:p w14:paraId="222B42E2" w14:textId="06C21619" w:rsidR="00601C5C" w:rsidRDefault="00601C5C" w:rsidP="00601C5C">
          <w:pPr>
            <w:spacing w:line="360" w:lineRule="auto"/>
            <w:rPr>
              <w:b/>
              <w:bCs/>
              <w:noProof/>
            </w:rPr>
          </w:pPr>
          <w:r>
            <w:rPr>
              <w:b/>
              <w:bCs/>
              <w:noProof/>
            </w:rPr>
            <w:fldChar w:fldCharType="end"/>
          </w:r>
        </w:p>
        <w:p w14:paraId="70B1A5BA" w14:textId="77777777" w:rsidR="00601C5C" w:rsidRDefault="00601C5C" w:rsidP="00601C5C">
          <w:pPr>
            <w:spacing w:line="360" w:lineRule="auto"/>
          </w:pPr>
        </w:p>
        <w:p w14:paraId="6A2FB14D" w14:textId="77777777" w:rsidR="00601C5C" w:rsidRDefault="00601C5C" w:rsidP="00601C5C">
          <w:pPr>
            <w:spacing w:line="360" w:lineRule="auto"/>
          </w:pPr>
        </w:p>
        <w:p w14:paraId="42B1C3FE" w14:textId="77777777" w:rsidR="00601C5C" w:rsidRDefault="00064C21" w:rsidP="00601C5C">
          <w:pPr>
            <w:spacing w:line="360" w:lineRule="auto"/>
          </w:pPr>
        </w:p>
      </w:sdtContent>
    </w:sdt>
    <w:p w14:paraId="2E27D920" w14:textId="77777777" w:rsidR="00601C5C" w:rsidRDefault="00601C5C" w:rsidP="00601C5C">
      <w:pPr>
        <w:rPr>
          <w:b/>
          <w:bCs/>
        </w:rPr>
      </w:pPr>
    </w:p>
    <w:p w14:paraId="0FEA5217" w14:textId="6A5B68D8" w:rsidR="001240F4" w:rsidRDefault="001240F4" w:rsidP="00601C5C">
      <w:pPr>
        <w:rPr>
          <w:b/>
          <w:bCs/>
        </w:rPr>
      </w:pPr>
    </w:p>
    <w:p w14:paraId="4FD212F7" w14:textId="492E682B" w:rsidR="003F7FD4" w:rsidRDefault="003F7FD4" w:rsidP="00601C5C">
      <w:pPr>
        <w:rPr>
          <w:b/>
          <w:bCs/>
        </w:rPr>
      </w:pPr>
    </w:p>
    <w:p w14:paraId="145F1CAE" w14:textId="1FDBF7A2" w:rsidR="003F7FD4" w:rsidRDefault="003F7FD4" w:rsidP="00601C5C">
      <w:pPr>
        <w:rPr>
          <w:b/>
          <w:bCs/>
        </w:rPr>
      </w:pPr>
    </w:p>
    <w:p w14:paraId="54B7D313" w14:textId="5343839E" w:rsidR="003F7FD4" w:rsidRDefault="003F7FD4" w:rsidP="00601C5C">
      <w:pPr>
        <w:rPr>
          <w:b/>
          <w:bCs/>
        </w:rPr>
      </w:pPr>
    </w:p>
    <w:p w14:paraId="601D29A0" w14:textId="77777777" w:rsidR="003C1491" w:rsidRDefault="003C1491" w:rsidP="00601C5C">
      <w:pPr>
        <w:rPr>
          <w:b/>
          <w:bCs/>
        </w:rPr>
      </w:pPr>
    </w:p>
    <w:p w14:paraId="461296E4" w14:textId="52337747" w:rsidR="00E85459" w:rsidRDefault="00E85459" w:rsidP="00601C5C">
      <w:pPr>
        <w:rPr>
          <w:b/>
          <w:bCs/>
        </w:rPr>
      </w:pPr>
    </w:p>
    <w:p w14:paraId="1B73BF74" w14:textId="428484C1" w:rsidR="00E85459" w:rsidRDefault="00E85459" w:rsidP="00601C5C">
      <w:pPr>
        <w:rPr>
          <w:b/>
          <w:bCs/>
        </w:rPr>
      </w:pPr>
    </w:p>
    <w:p w14:paraId="70E5C21E" w14:textId="77777777" w:rsidR="00E85459" w:rsidRDefault="00E85459" w:rsidP="00601C5C">
      <w:pPr>
        <w:rPr>
          <w:b/>
          <w:bCs/>
        </w:rPr>
      </w:pPr>
    </w:p>
    <w:p w14:paraId="0EE00DD6" w14:textId="77777777" w:rsidR="00601C5C" w:rsidRDefault="00601C5C" w:rsidP="00601C5C">
      <w:pPr>
        <w:rPr>
          <w:b/>
          <w:bCs/>
        </w:rPr>
      </w:pPr>
    </w:p>
    <w:p w14:paraId="447F91ED" w14:textId="77777777" w:rsidR="00601C5C" w:rsidRDefault="00601C5C" w:rsidP="00601C5C">
      <w:pPr>
        <w:rPr>
          <w:b/>
          <w:bCs/>
        </w:rPr>
      </w:pPr>
    </w:p>
    <w:p w14:paraId="6D0DFA00" w14:textId="77777777" w:rsidR="00601C5C" w:rsidRPr="00ED37B2" w:rsidRDefault="00601C5C" w:rsidP="003F7FD4">
      <w:pPr>
        <w:pStyle w:val="Heading1"/>
        <w:spacing w:line="360" w:lineRule="auto"/>
        <w:jc w:val="both"/>
        <w:rPr>
          <w:sz w:val="36"/>
          <w:szCs w:val="36"/>
        </w:rPr>
      </w:pPr>
      <w:bookmarkStart w:id="0" w:name="_Toc87862298"/>
      <w:r w:rsidRPr="00ED37B2">
        <w:rPr>
          <w:sz w:val="36"/>
          <w:szCs w:val="36"/>
        </w:rPr>
        <w:lastRenderedPageBreak/>
        <w:t>Figure</w:t>
      </w:r>
      <w:r>
        <w:rPr>
          <w:sz w:val="36"/>
          <w:szCs w:val="36"/>
        </w:rPr>
        <w:t xml:space="preserve"> </w:t>
      </w:r>
      <w:r w:rsidRPr="00ED37B2">
        <w:rPr>
          <w:sz w:val="36"/>
          <w:szCs w:val="36"/>
        </w:rPr>
        <w:t>List</w:t>
      </w:r>
      <w:bookmarkEnd w:id="0"/>
      <w:r w:rsidRPr="00ED37B2">
        <w:rPr>
          <w:sz w:val="36"/>
          <w:szCs w:val="36"/>
        </w:rPr>
        <w:t xml:space="preserve"> </w:t>
      </w:r>
    </w:p>
    <w:p w14:paraId="616BEB93" w14:textId="2618E349" w:rsidR="00601C5C" w:rsidRDefault="003C1491" w:rsidP="003F7FD4">
      <w:pPr>
        <w:spacing w:line="360" w:lineRule="auto"/>
        <w:jc w:val="both"/>
        <w:rPr>
          <w:b/>
          <w:bCs/>
        </w:rPr>
      </w:pPr>
      <w:r>
        <w:t>Figure 1. Visual depiction of V2G</w:t>
      </w:r>
    </w:p>
    <w:p w14:paraId="7DF56F1C" w14:textId="77777777" w:rsidR="00601C5C" w:rsidRDefault="00601C5C" w:rsidP="003F7FD4">
      <w:pPr>
        <w:spacing w:line="360" w:lineRule="auto"/>
        <w:jc w:val="both"/>
      </w:pPr>
    </w:p>
    <w:p w14:paraId="4BB47C4F" w14:textId="77777777" w:rsidR="00601C5C" w:rsidRPr="00D858CA" w:rsidRDefault="00601C5C" w:rsidP="003F7FD4">
      <w:pPr>
        <w:pStyle w:val="Heading1"/>
        <w:spacing w:line="360" w:lineRule="auto"/>
        <w:jc w:val="both"/>
        <w:rPr>
          <w:sz w:val="36"/>
          <w:szCs w:val="36"/>
        </w:rPr>
      </w:pPr>
      <w:bookmarkStart w:id="1" w:name="_Toc87862299"/>
      <w:r>
        <w:rPr>
          <w:sz w:val="36"/>
          <w:szCs w:val="36"/>
        </w:rPr>
        <w:t>Graph List</w:t>
      </w:r>
      <w:bookmarkEnd w:id="1"/>
      <w:r>
        <w:rPr>
          <w:sz w:val="36"/>
          <w:szCs w:val="36"/>
        </w:rPr>
        <w:t xml:space="preserve"> </w:t>
      </w:r>
    </w:p>
    <w:p w14:paraId="41B107D6" w14:textId="77777777" w:rsidR="003C1491" w:rsidRDefault="003C1491" w:rsidP="003C1491">
      <w:r>
        <w:t>Graph 1. Energy used over time</w:t>
      </w:r>
    </w:p>
    <w:p w14:paraId="4593DB9F" w14:textId="3F866666" w:rsidR="00601C5C" w:rsidRDefault="00601C5C" w:rsidP="003F7FD4">
      <w:pPr>
        <w:spacing w:line="360" w:lineRule="auto"/>
        <w:jc w:val="both"/>
        <w:rPr>
          <w:b/>
          <w:bCs/>
        </w:rPr>
      </w:pPr>
    </w:p>
    <w:p w14:paraId="22131FBD" w14:textId="52B5507A" w:rsidR="003C1491" w:rsidRDefault="003C1491" w:rsidP="003F7FD4">
      <w:pPr>
        <w:spacing w:line="360" w:lineRule="auto"/>
        <w:jc w:val="both"/>
        <w:rPr>
          <w:b/>
          <w:bCs/>
        </w:rPr>
      </w:pPr>
    </w:p>
    <w:p w14:paraId="10DD48B7" w14:textId="143B59A4" w:rsidR="003C1491" w:rsidRDefault="003C1491" w:rsidP="003F7FD4">
      <w:pPr>
        <w:spacing w:line="360" w:lineRule="auto"/>
        <w:jc w:val="both"/>
        <w:rPr>
          <w:b/>
          <w:bCs/>
        </w:rPr>
      </w:pPr>
    </w:p>
    <w:p w14:paraId="43EAB528" w14:textId="77777777" w:rsidR="003C1491" w:rsidRDefault="003C1491" w:rsidP="003F7FD4">
      <w:pPr>
        <w:spacing w:line="360" w:lineRule="auto"/>
        <w:jc w:val="both"/>
        <w:rPr>
          <w:b/>
          <w:bCs/>
        </w:rPr>
      </w:pPr>
    </w:p>
    <w:p w14:paraId="545D424B" w14:textId="76C6E9F5" w:rsidR="00601C5C" w:rsidRDefault="00601C5C" w:rsidP="003F7FD4">
      <w:pPr>
        <w:spacing w:line="360" w:lineRule="auto"/>
        <w:jc w:val="both"/>
        <w:rPr>
          <w:b/>
          <w:bCs/>
        </w:rPr>
      </w:pPr>
    </w:p>
    <w:p w14:paraId="480A408F" w14:textId="4C5B7ECC" w:rsidR="007D7BD1" w:rsidRDefault="007D7BD1" w:rsidP="003F7FD4">
      <w:pPr>
        <w:spacing w:line="360" w:lineRule="auto"/>
        <w:jc w:val="both"/>
        <w:rPr>
          <w:b/>
          <w:bCs/>
        </w:rPr>
      </w:pPr>
    </w:p>
    <w:p w14:paraId="6D1C3192" w14:textId="070DFC1B" w:rsidR="007D7BD1" w:rsidRDefault="007D7BD1" w:rsidP="003F7FD4">
      <w:pPr>
        <w:spacing w:line="360" w:lineRule="auto"/>
        <w:jc w:val="both"/>
        <w:rPr>
          <w:b/>
          <w:bCs/>
        </w:rPr>
      </w:pPr>
    </w:p>
    <w:p w14:paraId="3E8D5B18" w14:textId="4FEC85E7" w:rsidR="003F7FD4" w:rsidRDefault="003F7FD4" w:rsidP="003F7FD4">
      <w:pPr>
        <w:spacing w:line="360" w:lineRule="auto"/>
        <w:jc w:val="both"/>
        <w:rPr>
          <w:b/>
          <w:bCs/>
        </w:rPr>
      </w:pPr>
    </w:p>
    <w:p w14:paraId="3FD9D51F" w14:textId="22D1D6D0" w:rsidR="003F7FD4" w:rsidRDefault="003F7FD4" w:rsidP="003F7FD4">
      <w:pPr>
        <w:spacing w:line="360" w:lineRule="auto"/>
        <w:jc w:val="both"/>
        <w:rPr>
          <w:b/>
          <w:bCs/>
        </w:rPr>
      </w:pPr>
    </w:p>
    <w:p w14:paraId="672AA727" w14:textId="61F2A942" w:rsidR="003F7FD4" w:rsidRDefault="003F7FD4" w:rsidP="003F7FD4">
      <w:pPr>
        <w:spacing w:line="360" w:lineRule="auto"/>
        <w:jc w:val="both"/>
        <w:rPr>
          <w:b/>
          <w:bCs/>
        </w:rPr>
      </w:pPr>
    </w:p>
    <w:p w14:paraId="35544702" w14:textId="7D34DF21" w:rsidR="003C1491" w:rsidRDefault="003C1491" w:rsidP="003F7FD4">
      <w:pPr>
        <w:spacing w:line="360" w:lineRule="auto"/>
        <w:jc w:val="both"/>
        <w:rPr>
          <w:b/>
          <w:bCs/>
        </w:rPr>
      </w:pPr>
    </w:p>
    <w:p w14:paraId="7060F929" w14:textId="77777777" w:rsidR="003C1491" w:rsidRDefault="003C1491" w:rsidP="003F7FD4">
      <w:pPr>
        <w:spacing w:line="360" w:lineRule="auto"/>
        <w:jc w:val="both"/>
        <w:rPr>
          <w:b/>
          <w:bCs/>
        </w:rPr>
      </w:pPr>
    </w:p>
    <w:p w14:paraId="2DC51A4A" w14:textId="7868C7CB" w:rsidR="007D7BD1" w:rsidRDefault="007D7BD1" w:rsidP="003F7FD4">
      <w:pPr>
        <w:spacing w:line="360" w:lineRule="auto"/>
        <w:jc w:val="both"/>
        <w:rPr>
          <w:b/>
          <w:bCs/>
        </w:rPr>
      </w:pPr>
    </w:p>
    <w:p w14:paraId="66C5A2CA" w14:textId="34D455C4" w:rsidR="00DB13C9" w:rsidRDefault="00DB13C9" w:rsidP="003F7FD4">
      <w:pPr>
        <w:spacing w:line="360" w:lineRule="auto"/>
        <w:jc w:val="both"/>
        <w:rPr>
          <w:b/>
          <w:bCs/>
        </w:rPr>
      </w:pPr>
    </w:p>
    <w:p w14:paraId="50EB0F40" w14:textId="64B4FC4A" w:rsidR="005F619D" w:rsidRDefault="005F619D" w:rsidP="003F7FD4">
      <w:pPr>
        <w:spacing w:line="360" w:lineRule="auto"/>
        <w:jc w:val="both"/>
        <w:rPr>
          <w:b/>
          <w:bCs/>
        </w:rPr>
      </w:pPr>
    </w:p>
    <w:p w14:paraId="0E3F8E42" w14:textId="3954E937" w:rsidR="005F619D" w:rsidRDefault="005F619D" w:rsidP="003F7FD4">
      <w:pPr>
        <w:spacing w:line="360" w:lineRule="auto"/>
        <w:jc w:val="both"/>
        <w:rPr>
          <w:b/>
          <w:bCs/>
        </w:rPr>
      </w:pPr>
    </w:p>
    <w:p w14:paraId="0983C79D" w14:textId="1F8D8357" w:rsidR="00E85459" w:rsidRDefault="00E85459" w:rsidP="003F7FD4">
      <w:pPr>
        <w:spacing w:line="360" w:lineRule="auto"/>
        <w:jc w:val="both"/>
        <w:rPr>
          <w:b/>
          <w:bCs/>
        </w:rPr>
      </w:pPr>
    </w:p>
    <w:p w14:paraId="12F46804" w14:textId="454718E6" w:rsidR="00E85459" w:rsidRDefault="00E85459" w:rsidP="003F7FD4">
      <w:pPr>
        <w:spacing w:line="360" w:lineRule="auto"/>
        <w:jc w:val="both"/>
        <w:rPr>
          <w:b/>
          <w:bCs/>
        </w:rPr>
      </w:pPr>
    </w:p>
    <w:p w14:paraId="5C25D98B" w14:textId="331782A9" w:rsidR="005F619D" w:rsidRDefault="005F619D" w:rsidP="003F7FD4">
      <w:pPr>
        <w:spacing w:line="360" w:lineRule="auto"/>
        <w:jc w:val="both"/>
        <w:rPr>
          <w:b/>
          <w:bCs/>
        </w:rPr>
      </w:pPr>
    </w:p>
    <w:p w14:paraId="75EDBFC6" w14:textId="77777777" w:rsidR="007D7BD1" w:rsidRDefault="007D7BD1" w:rsidP="003F7FD4">
      <w:pPr>
        <w:spacing w:line="360" w:lineRule="auto"/>
        <w:jc w:val="both"/>
        <w:rPr>
          <w:b/>
          <w:bCs/>
        </w:rPr>
      </w:pPr>
    </w:p>
    <w:p w14:paraId="097E81D2" w14:textId="3BA5056B" w:rsidR="00B45911" w:rsidRPr="00DF5C03" w:rsidRDefault="00601C5C" w:rsidP="003F7FD4">
      <w:pPr>
        <w:pStyle w:val="Heading1"/>
        <w:numPr>
          <w:ilvl w:val="0"/>
          <w:numId w:val="1"/>
        </w:numPr>
        <w:spacing w:line="360" w:lineRule="auto"/>
        <w:jc w:val="both"/>
        <w:rPr>
          <w:sz w:val="36"/>
          <w:szCs w:val="36"/>
        </w:rPr>
      </w:pPr>
      <w:r>
        <w:rPr>
          <w:sz w:val="36"/>
          <w:szCs w:val="36"/>
        </w:rPr>
        <w:lastRenderedPageBreak/>
        <w:tab/>
      </w:r>
      <w:bookmarkStart w:id="2" w:name="_Toc87862300"/>
      <w:r>
        <w:rPr>
          <w:sz w:val="36"/>
          <w:szCs w:val="36"/>
        </w:rPr>
        <w:t>Introduction</w:t>
      </w:r>
      <w:bookmarkEnd w:id="2"/>
    </w:p>
    <w:p w14:paraId="5875AF1A" w14:textId="200019F6" w:rsidR="000B5C7B" w:rsidRPr="00D82F86" w:rsidRDefault="00104F31" w:rsidP="003F7FD4">
      <w:pPr>
        <w:spacing w:line="360" w:lineRule="auto"/>
        <w:jc w:val="both"/>
      </w:pPr>
      <w:r w:rsidRPr="00377A39">
        <w:t xml:space="preserve">This report is the investigation into Vehicle to Grid (V2G) technology, assessing the feasibility of implementation </w:t>
      </w:r>
      <w:r w:rsidR="00DF5C03" w:rsidRPr="00377A39">
        <w:t xml:space="preserve">and </w:t>
      </w:r>
      <w:r w:rsidRPr="00377A39">
        <w:t xml:space="preserve">its </w:t>
      </w:r>
      <w:r w:rsidR="00DF5C03" w:rsidRPr="00377A39">
        <w:t xml:space="preserve">capacity </w:t>
      </w:r>
      <w:r w:rsidRPr="00377A39">
        <w:t xml:space="preserve">to support energy generation optimisation </w:t>
      </w:r>
      <w:r w:rsidR="00DF5C03" w:rsidRPr="00377A39">
        <w:t>as a crucial component in the race for carbon neutrality</w:t>
      </w:r>
      <w:r w:rsidR="00D82F86">
        <w:t xml:space="preserve">.  V2G technology utilises battery capacity of participating electric vehicles </w:t>
      </w:r>
      <w:r w:rsidR="00695AB1">
        <w:t xml:space="preserve">as an energy reserve to </w:t>
      </w:r>
      <w:r w:rsidR="001A2DFE">
        <w:t>provide</w:t>
      </w:r>
      <w:r w:rsidR="00695AB1">
        <w:t xml:space="preserve"> grid storage capacity.  </w:t>
      </w:r>
      <w:r w:rsidR="003434A5">
        <w:t>When at rest and connected to a bi-directional charging unit,</w:t>
      </w:r>
      <w:r w:rsidR="00695AB1">
        <w:t xml:space="preserve"> </w:t>
      </w:r>
      <w:r w:rsidR="003434A5">
        <w:t>grid operators can use th</w:t>
      </w:r>
      <w:r w:rsidR="00A72CD0">
        <w:t>is axillary</w:t>
      </w:r>
      <w:r w:rsidR="003434A5">
        <w:t xml:space="preserve"> reserve capacity to store excess energy</w:t>
      </w:r>
      <w:r w:rsidR="0095340C">
        <w:t xml:space="preserve"> </w:t>
      </w:r>
      <w:r w:rsidR="003434A5">
        <w:t xml:space="preserve">generated </w:t>
      </w:r>
      <w:r w:rsidR="00A72CD0">
        <w:t>in off peak periods</w:t>
      </w:r>
      <w:r w:rsidR="0095340C">
        <w:t xml:space="preserve">, </w:t>
      </w:r>
      <w:r w:rsidR="00A72CD0">
        <w:t xml:space="preserve">ready for redeployment </w:t>
      </w:r>
      <w:r w:rsidR="0095340C">
        <w:t xml:space="preserve">upon </w:t>
      </w:r>
      <w:r w:rsidR="00A72CD0">
        <w:t xml:space="preserve">high demand.  The mass adoption of V2G technology could </w:t>
      </w:r>
      <w:r w:rsidR="0095340C">
        <w:t>increase the efficiency</w:t>
      </w:r>
      <w:r w:rsidR="00A72CD0">
        <w:t xml:space="preserve"> of renewable energy capture and supersede use of high carbon reserve sources</w:t>
      </w:r>
      <w:r w:rsidR="0095340C">
        <w:t xml:space="preserve"> that</w:t>
      </w:r>
      <w:r w:rsidR="00A72CD0">
        <w:t xml:space="preserve"> currently</w:t>
      </w:r>
      <w:r w:rsidR="0095340C">
        <w:t xml:space="preserve"> support grid operation.</w:t>
      </w:r>
      <w:r w:rsidR="007C646F">
        <w:t xml:space="preserve"> </w:t>
      </w:r>
      <w:r w:rsidR="00B12305">
        <w:t xml:space="preserve"> In addition, V2G offers a function of grid support by spreading the extra load requirements due to increased EV adoption. </w:t>
      </w:r>
    </w:p>
    <w:p w14:paraId="543CBD2A" w14:textId="5C80F3EC" w:rsidR="006F15F5" w:rsidRPr="00377A39" w:rsidRDefault="006F15F5" w:rsidP="003F7FD4">
      <w:pPr>
        <w:spacing w:line="360" w:lineRule="auto"/>
        <w:jc w:val="both"/>
      </w:pPr>
      <w:r w:rsidRPr="00377A39">
        <w:t xml:space="preserve">The climate change discussion, now secured </w:t>
      </w:r>
      <w:r w:rsidR="0045125B" w:rsidRPr="00377A39">
        <w:t>with</w:t>
      </w:r>
      <w:r w:rsidRPr="00377A39">
        <w:t>in popular culture, has begun to adjust the mindset of consumers</w:t>
      </w:r>
      <w:r w:rsidR="001D4205">
        <w:t xml:space="preserve"> towards sustainability.</w:t>
      </w:r>
      <w:r w:rsidRPr="00377A39">
        <w:t xml:space="preserve"> </w:t>
      </w:r>
      <w:r w:rsidR="001D4205">
        <w:t xml:space="preserve"> This</w:t>
      </w:r>
      <w:r w:rsidRPr="00377A39">
        <w:t xml:space="preserve"> has initiated legislative change in transportation</w:t>
      </w:r>
      <w:r w:rsidR="001D4205">
        <w:t xml:space="preserve"> and energy</w:t>
      </w:r>
      <w:r w:rsidRPr="00377A39">
        <w:t xml:space="preserve"> sectors globally.  As a </w:t>
      </w:r>
      <w:r w:rsidR="00385FFA" w:rsidRPr="00377A39">
        <w:t>result,</w:t>
      </w:r>
      <w:r w:rsidRPr="00377A39">
        <w:t xml:space="preserve"> </w:t>
      </w:r>
      <w:r w:rsidR="00385FFA" w:rsidRPr="00377A39">
        <w:t xml:space="preserve">investment into </w:t>
      </w:r>
      <w:r w:rsidRPr="00377A39">
        <w:t>green</w:t>
      </w:r>
      <w:r w:rsidR="00385FFA" w:rsidRPr="00377A39">
        <w:t xml:space="preserve"> transportation alternatives</w:t>
      </w:r>
      <w:r w:rsidR="003B5BB9" w:rsidRPr="00377A39">
        <w:t xml:space="preserve">, predominantly </w:t>
      </w:r>
      <w:r w:rsidR="00385FFA" w:rsidRPr="00377A39">
        <w:t>electric vehicles</w:t>
      </w:r>
      <w:r w:rsidR="00131411" w:rsidRPr="00377A39">
        <w:t xml:space="preserve"> (EVs)</w:t>
      </w:r>
      <w:r w:rsidR="0045125B" w:rsidRPr="00377A39">
        <w:t>,</w:t>
      </w:r>
      <w:r w:rsidR="00385FFA" w:rsidRPr="00377A39">
        <w:t xml:space="preserve"> has accelerated</w:t>
      </w:r>
      <w:r w:rsidR="00E40E26" w:rsidRPr="00377A39">
        <w:t xml:space="preserve"> technology innovation</w:t>
      </w:r>
      <w:r w:rsidR="0045125B" w:rsidRPr="00377A39">
        <w:t xml:space="preserve">.  </w:t>
      </w:r>
      <w:r w:rsidR="00112272" w:rsidRPr="00377A39">
        <w:t xml:space="preserve">Critical areas of </w:t>
      </w:r>
      <w:r w:rsidR="00B45911" w:rsidRPr="00377A39">
        <w:t>advancement</w:t>
      </w:r>
      <w:r w:rsidR="00112272" w:rsidRPr="00377A39">
        <w:t xml:space="preserve"> </w:t>
      </w:r>
      <w:r w:rsidR="00DD7A29" w:rsidRPr="00377A39">
        <w:t>include</w:t>
      </w:r>
      <w:r w:rsidR="00112272" w:rsidRPr="00377A39">
        <w:t xml:space="preserve"> reduced cost of manufacture due to material and process optimisatio</w:t>
      </w:r>
      <w:r w:rsidR="00255393" w:rsidRPr="00377A39">
        <w:t>n</w:t>
      </w:r>
      <w:r w:rsidR="00DD7A29" w:rsidRPr="00377A39">
        <w:t xml:space="preserve">, </w:t>
      </w:r>
      <w:r w:rsidR="00112272" w:rsidRPr="00377A39">
        <w:t>increased range capability through battery and management technologies</w:t>
      </w:r>
      <w:r w:rsidR="00DD7A29" w:rsidRPr="00377A39">
        <w:t>, and expanding public charge network</w:t>
      </w:r>
      <w:r w:rsidR="001A7E45" w:rsidRPr="00377A39">
        <w:t>s</w:t>
      </w:r>
      <w:r w:rsidR="00DD7A29" w:rsidRPr="00377A39">
        <w:t>.</w:t>
      </w:r>
      <w:r w:rsidR="0045125B" w:rsidRPr="00377A39">
        <w:t xml:space="preserve">  It is evident that</w:t>
      </w:r>
      <w:r w:rsidR="001A7E45" w:rsidRPr="00377A39">
        <w:t xml:space="preserve"> technological advancements have greatly improved</w:t>
      </w:r>
      <w:r w:rsidR="0045125B" w:rsidRPr="00377A39">
        <w:t xml:space="preserve"> consumer appeal of the EV</w:t>
      </w:r>
      <w:r w:rsidR="001A7E45" w:rsidRPr="00377A39">
        <w:t xml:space="preserve"> transportation</w:t>
      </w:r>
      <w:r w:rsidR="0045125B" w:rsidRPr="00377A39">
        <w:t xml:space="preserve"> solution</w:t>
      </w:r>
      <w:r w:rsidR="001A7E45" w:rsidRPr="00377A39">
        <w:t>,</w:t>
      </w:r>
      <w:r w:rsidR="0045125B" w:rsidRPr="00377A39">
        <w:t xml:space="preserve"> with </w:t>
      </w:r>
      <w:r w:rsidR="001A7E45" w:rsidRPr="00377A39">
        <w:t>over 10 million units in use globally (</w:t>
      </w:r>
      <w:r w:rsidR="003F7FD4">
        <w:t>Richter</w:t>
      </w:r>
      <w:r w:rsidR="006F0C3C" w:rsidRPr="00377A39">
        <w:t>, 2021)</w:t>
      </w:r>
      <w:r w:rsidR="001A7E45" w:rsidRPr="00377A39">
        <w:t>.</w:t>
      </w:r>
    </w:p>
    <w:p w14:paraId="61FDF8EC" w14:textId="5D5C50D3" w:rsidR="00B45911" w:rsidRPr="00377A39" w:rsidRDefault="00B45911" w:rsidP="003F7FD4">
      <w:pPr>
        <w:spacing w:line="360" w:lineRule="auto"/>
        <w:jc w:val="both"/>
      </w:pPr>
      <w:r w:rsidRPr="00377A39">
        <w:t xml:space="preserve">Electric vehicles are a viable green transport solution as they produce no emissions during operation.  The reduction of tailpipe emissions will benefit the environment by reducing the production of global warming contributors such as Carbon Dioxide (CO2) and toxic gases including Carbon Monoxide (CO).  Reduction of which will result in increased air quality within areas of high congestion and utilisation of renewable energy sources for transportation.  Zero emission vehicles provide the illusion of emission free transportation, however, energy used during the lifecycle of a vehicle, from point of initial manufacture to recycling once obsolete, must be generated by some means.  In the move toward sustainability, advancements are made each year to increase the adoption of renewable energy generation.  These include wind, solar, hydro, and geothermal energy to offset the need for high carbon energy sources such as coal, oil, and gas.  </w:t>
      </w:r>
    </w:p>
    <w:p w14:paraId="03CC2CB7" w14:textId="2C7E5FE7" w:rsidR="00F00CB8" w:rsidRDefault="006E7591" w:rsidP="003F7FD4">
      <w:pPr>
        <w:spacing w:line="360" w:lineRule="auto"/>
        <w:jc w:val="both"/>
      </w:pPr>
      <w:r w:rsidRPr="002B63A7">
        <w:t>Despite the increasing rate</w:t>
      </w:r>
      <w:r w:rsidR="00332ED6" w:rsidRPr="002B63A7">
        <w:t xml:space="preserve"> of</w:t>
      </w:r>
      <w:r w:rsidRPr="002B63A7">
        <w:t xml:space="preserve"> </w:t>
      </w:r>
      <w:r w:rsidR="002C373D" w:rsidRPr="002B63A7">
        <w:t xml:space="preserve">advancement in EV and </w:t>
      </w:r>
      <w:r w:rsidR="00EF107A" w:rsidRPr="002B63A7">
        <w:t>green energy production</w:t>
      </w:r>
      <w:r w:rsidRPr="002B63A7">
        <w:t xml:space="preserve">, </w:t>
      </w:r>
      <w:r w:rsidR="00332ED6" w:rsidRPr="002B63A7">
        <w:t>several</w:t>
      </w:r>
      <w:r w:rsidRPr="002B63A7">
        <w:t xml:space="preserve"> factors pose a threat to wide scale</w:t>
      </w:r>
      <w:r w:rsidR="00104F31" w:rsidRPr="002B63A7">
        <w:t xml:space="preserve"> V2G</w:t>
      </w:r>
      <w:r w:rsidRPr="002B63A7">
        <w:t xml:space="preserve"> adoption.</w:t>
      </w:r>
      <w:r w:rsidR="002C373D" w:rsidRPr="002B63A7">
        <w:t xml:space="preserve"> </w:t>
      </w:r>
      <w:r w:rsidR="00332ED6" w:rsidRPr="002B63A7">
        <w:t xml:space="preserve"> </w:t>
      </w:r>
      <w:r w:rsidR="003D0601">
        <w:t>These include</w:t>
      </w:r>
      <w:r w:rsidR="00332ED6" w:rsidRPr="002B63A7">
        <w:t xml:space="preserve"> limitation</w:t>
      </w:r>
      <w:r w:rsidR="00377A39" w:rsidRPr="002B63A7">
        <w:t>s</w:t>
      </w:r>
      <w:r w:rsidR="00332ED6" w:rsidRPr="002B63A7">
        <w:t xml:space="preserve"> of current grid infrastructure to </w:t>
      </w:r>
      <w:r w:rsidR="00DB13C9" w:rsidRPr="002B63A7">
        <w:t xml:space="preserve">transmit and control bidirectional energy </w:t>
      </w:r>
      <w:r w:rsidR="002B63A7" w:rsidRPr="002B63A7">
        <w:t>from supply to end users</w:t>
      </w:r>
      <w:r w:rsidR="00F00CB8">
        <w:t>,</w:t>
      </w:r>
      <w:r w:rsidR="002B63A7" w:rsidRPr="002B63A7">
        <w:t xml:space="preserve"> and </w:t>
      </w:r>
      <w:r w:rsidR="00F00CB8">
        <w:t xml:space="preserve">to structure storage capacity to supplement renewable energy generation. </w:t>
      </w:r>
      <w:r w:rsidR="002C373D" w:rsidRPr="002B63A7">
        <w:t xml:space="preserve"> Another</w:t>
      </w:r>
      <w:r w:rsidR="00B62C4F" w:rsidRPr="002B63A7">
        <w:t xml:space="preserve"> major</w:t>
      </w:r>
      <w:r w:rsidR="002C373D" w:rsidRPr="002B63A7">
        <w:t xml:space="preserve"> concern</w:t>
      </w:r>
      <w:r w:rsidR="00B62C4F" w:rsidRPr="002B63A7">
        <w:t>,</w:t>
      </w:r>
      <w:r w:rsidR="002C373D" w:rsidRPr="002B63A7">
        <w:t xml:space="preserve"> </w:t>
      </w:r>
      <w:r w:rsidR="00B62C4F" w:rsidRPr="002B63A7">
        <w:t xml:space="preserve">due to the components high </w:t>
      </w:r>
      <w:r w:rsidR="00B62C4F" w:rsidRPr="002B63A7">
        <w:lastRenderedPageBreak/>
        <w:t>cost</w:t>
      </w:r>
      <w:r w:rsidR="006E0A1C">
        <w:t xml:space="preserve">, </w:t>
      </w:r>
      <w:r w:rsidR="002C373D" w:rsidRPr="002B63A7">
        <w:t xml:space="preserve">is </w:t>
      </w:r>
      <w:r w:rsidR="00486991" w:rsidRPr="002B63A7">
        <w:t xml:space="preserve">accumulator deterioration </w:t>
      </w:r>
      <w:r w:rsidR="00B62C4F" w:rsidRPr="002B63A7">
        <w:t xml:space="preserve">over </w:t>
      </w:r>
      <w:r w:rsidR="0056154A" w:rsidRPr="002B63A7">
        <w:t>time</w:t>
      </w:r>
      <w:r w:rsidR="0056154A">
        <w:t xml:space="preserve">, </w:t>
      </w:r>
      <w:r w:rsidR="0056154A" w:rsidRPr="002B63A7">
        <w:t>as</w:t>
      </w:r>
      <w:r w:rsidR="00B62C4F" w:rsidRPr="002B63A7">
        <w:t xml:space="preserve"> all electrochemical storage devices </w:t>
      </w:r>
      <w:r w:rsidR="00945871">
        <w:t>have</w:t>
      </w:r>
      <w:r w:rsidR="00B62C4F" w:rsidRPr="002B63A7">
        <w:t xml:space="preserve"> </w:t>
      </w:r>
      <w:r w:rsidR="003D0601">
        <w:t>finite</w:t>
      </w:r>
      <w:r w:rsidR="00B62C4F" w:rsidRPr="002B63A7">
        <w:t xml:space="preserve"> cycle life.</w:t>
      </w:r>
      <w:r w:rsidR="00F00CB8">
        <w:t xml:space="preserve">  </w:t>
      </w:r>
    </w:p>
    <w:p w14:paraId="4B824B5D" w14:textId="53FC6D52" w:rsidR="00601C5C" w:rsidRDefault="00994F7B" w:rsidP="003F7FD4">
      <w:pPr>
        <w:spacing w:line="360" w:lineRule="auto"/>
        <w:jc w:val="both"/>
      </w:pPr>
      <w:r w:rsidRPr="00377A39">
        <w:t>The report</w:t>
      </w:r>
      <w:r w:rsidR="00B62C4F" w:rsidRPr="00377A39">
        <w:t xml:space="preserve"> will investigate</w:t>
      </w:r>
      <w:r w:rsidR="00EF107A" w:rsidRPr="00377A39">
        <w:t xml:space="preserve"> each</w:t>
      </w:r>
      <w:r w:rsidR="00B62C4F" w:rsidRPr="00377A39">
        <w:t xml:space="preserve"> contributing factor </w:t>
      </w:r>
      <w:r w:rsidRPr="00377A39">
        <w:t>that may affect wide scale adoption of V2G technology, including current</w:t>
      </w:r>
      <w:r w:rsidR="00377A39">
        <w:t xml:space="preserve"> EV technology</w:t>
      </w:r>
      <w:r w:rsidRPr="00377A39">
        <w:t xml:space="preserve">, infrastructure, and </w:t>
      </w:r>
      <w:r w:rsidR="00377A39" w:rsidRPr="00377A39">
        <w:t>possible</w:t>
      </w:r>
      <w:r w:rsidRPr="00377A39">
        <w:t xml:space="preserve"> system </w:t>
      </w:r>
      <w:r w:rsidR="00377A39" w:rsidRPr="00377A39">
        <w:t xml:space="preserve">functionality.  Based on this research, analysis of each factor will build an argument to assess the possibility of future implementation and outline the technological advancements required to </w:t>
      </w:r>
      <w:r w:rsidR="00377A39">
        <w:t>enable a</w:t>
      </w:r>
      <w:r w:rsidR="00F25BEE">
        <w:t>n</w:t>
      </w:r>
      <w:r w:rsidR="00377A39" w:rsidRPr="00377A39">
        <w:t xml:space="preserve"> effective V2G </w:t>
      </w:r>
      <w:r w:rsidR="00377A39">
        <w:t>s</w:t>
      </w:r>
      <w:r w:rsidR="00377A39" w:rsidRPr="00377A39">
        <w:t xml:space="preserve">ystem. </w:t>
      </w:r>
    </w:p>
    <w:p w14:paraId="1BFC3C8E" w14:textId="36ABCA82" w:rsidR="00DA3771" w:rsidRDefault="00DA3771" w:rsidP="003F7FD4">
      <w:pPr>
        <w:spacing w:line="360" w:lineRule="auto"/>
        <w:jc w:val="both"/>
      </w:pPr>
    </w:p>
    <w:p w14:paraId="7784BC88" w14:textId="3A41AF68" w:rsidR="00DA3771" w:rsidRDefault="00DA3771" w:rsidP="003F7FD4">
      <w:pPr>
        <w:spacing w:line="360" w:lineRule="auto"/>
        <w:jc w:val="both"/>
      </w:pPr>
    </w:p>
    <w:p w14:paraId="04F30852" w14:textId="7A92D59A" w:rsidR="00DA3771" w:rsidRDefault="00DA3771" w:rsidP="003F7FD4">
      <w:pPr>
        <w:spacing w:line="360" w:lineRule="auto"/>
        <w:jc w:val="both"/>
      </w:pPr>
    </w:p>
    <w:p w14:paraId="6E196E67" w14:textId="60AD5030" w:rsidR="00DA3771" w:rsidRDefault="00DA3771" w:rsidP="003F7FD4">
      <w:pPr>
        <w:spacing w:line="360" w:lineRule="auto"/>
        <w:jc w:val="both"/>
      </w:pPr>
    </w:p>
    <w:p w14:paraId="73EA3B7E" w14:textId="7BF94CDA" w:rsidR="00DA3771" w:rsidRDefault="00DA3771" w:rsidP="003F7FD4">
      <w:pPr>
        <w:spacing w:line="360" w:lineRule="auto"/>
        <w:jc w:val="both"/>
      </w:pPr>
    </w:p>
    <w:p w14:paraId="26063F9B" w14:textId="58C2F340" w:rsidR="00DA3771" w:rsidRDefault="00DA3771" w:rsidP="003F7FD4">
      <w:pPr>
        <w:spacing w:line="360" w:lineRule="auto"/>
        <w:jc w:val="both"/>
      </w:pPr>
    </w:p>
    <w:p w14:paraId="49FAC534" w14:textId="346C2565" w:rsidR="00DA3771" w:rsidRDefault="00DA3771" w:rsidP="003F7FD4">
      <w:pPr>
        <w:spacing w:line="360" w:lineRule="auto"/>
        <w:jc w:val="both"/>
      </w:pPr>
    </w:p>
    <w:p w14:paraId="33E374CD" w14:textId="38049F89" w:rsidR="00DA3771" w:rsidRDefault="00DA3771" w:rsidP="003F7FD4">
      <w:pPr>
        <w:spacing w:line="360" w:lineRule="auto"/>
        <w:jc w:val="both"/>
      </w:pPr>
    </w:p>
    <w:p w14:paraId="2469140D" w14:textId="6E3302EC" w:rsidR="00DA3771" w:rsidRDefault="00DA3771" w:rsidP="003F7FD4">
      <w:pPr>
        <w:spacing w:line="360" w:lineRule="auto"/>
        <w:jc w:val="both"/>
      </w:pPr>
    </w:p>
    <w:p w14:paraId="36040D86" w14:textId="548795D6" w:rsidR="00DA3771" w:rsidRDefault="00DA3771" w:rsidP="003F7FD4">
      <w:pPr>
        <w:spacing w:line="360" w:lineRule="auto"/>
        <w:jc w:val="both"/>
      </w:pPr>
    </w:p>
    <w:p w14:paraId="708C0982" w14:textId="38752919" w:rsidR="00DA3771" w:rsidRDefault="00DA3771" w:rsidP="003F7FD4">
      <w:pPr>
        <w:spacing w:line="360" w:lineRule="auto"/>
        <w:jc w:val="both"/>
      </w:pPr>
    </w:p>
    <w:p w14:paraId="01B672B0" w14:textId="5BEB29CC" w:rsidR="00350DA0" w:rsidRDefault="00350DA0" w:rsidP="003F7FD4">
      <w:pPr>
        <w:spacing w:line="360" w:lineRule="auto"/>
        <w:jc w:val="both"/>
      </w:pPr>
    </w:p>
    <w:p w14:paraId="67AF5751" w14:textId="4CB5A0F5" w:rsidR="00350DA0" w:rsidRDefault="00350DA0" w:rsidP="003F7FD4">
      <w:pPr>
        <w:spacing w:line="360" w:lineRule="auto"/>
        <w:jc w:val="both"/>
      </w:pPr>
    </w:p>
    <w:p w14:paraId="6EECAB5F" w14:textId="08774996" w:rsidR="00350DA0" w:rsidRDefault="00350DA0" w:rsidP="003F7FD4">
      <w:pPr>
        <w:spacing w:line="360" w:lineRule="auto"/>
        <w:jc w:val="both"/>
      </w:pPr>
    </w:p>
    <w:p w14:paraId="634EAC86" w14:textId="77777777" w:rsidR="00350DA0" w:rsidRDefault="00350DA0" w:rsidP="003F7FD4">
      <w:pPr>
        <w:spacing w:line="360" w:lineRule="auto"/>
        <w:jc w:val="both"/>
      </w:pPr>
    </w:p>
    <w:p w14:paraId="3BF8796C" w14:textId="4656EA11" w:rsidR="00DA3771" w:rsidRDefault="00DA3771" w:rsidP="003F7FD4">
      <w:pPr>
        <w:spacing w:line="360" w:lineRule="auto"/>
        <w:jc w:val="both"/>
      </w:pPr>
    </w:p>
    <w:p w14:paraId="0F5E731C" w14:textId="420DA0F3" w:rsidR="00DA3771" w:rsidRDefault="00DA3771" w:rsidP="003F7FD4">
      <w:pPr>
        <w:spacing w:line="360" w:lineRule="auto"/>
        <w:jc w:val="both"/>
      </w:pPr>
    </w:p>
    <w:p w14:paraId="1FE472CE" w14:textId="77777777" w:rsidR="00DC0ADB" w:rsidRDefault="00DC0ADB" w:rsidP="003F7FD4">
      <w:pPr>
        <w:spacing w:line="360" w:lineRule="auto"/>
        <w:jc w:val="both"/>
      </w:pPr>
    </w:p>
    <w:p w14:paraId="42A1877F" w14:textId="77777777" w:rsidR="00DA3771" w:rsidRPr="00377A39" w:rsidRDefault="00DA3771" w:rsidP="003F7FD4">
      <w:pPr>
        <w:spacing w:line="360" w:lineRule="auto"/>
        <w:jc w:val="both"/>
      </w:pPr>
    </w:p>
    <w:p w14:paraId="609208FF" w14:textId="10008F69" w:rsidR="00601C5C" w:rsidRDefault="00601C5C" w:rsidP="003F7FD4">
      <w:pPr>
        <w:pStyle w:val="Heading1"/>
        <w:numPr>
          <w:ilvl w:val="0"/>
          <w:numId w:val="1"/>
        </w:numPr>
        <w:spacing w:line="360" w:lineRule="auto"/>
        <w:jc w:val="both"/>
        <w:rPr>
          <w:sz w:val="36"/>
          <w:szCs w:val="36"/>
        </w:rPr>
      </w:pPr>
      <w:r w:rsidRPr="00A643D6">
        <w:rPr>
          <w:sz w:val="36"/>
          <w:szCs w:val="36"/>
        </w:rPr>
        <w:lastRenderedPageBreak/>
        <w:tab/>
      </w:r>
      <w:bookmarkStart w:id="3" w:name="_Toc87862301"/>
      <w:r w:rsidRPr="00A643D6">
        <w:rPr>
          <w:sz w:val="36"/>
          <w:szCs w:val="36"/>
        </w:rPr>
        <w:t>Literature Review</w:t>
      </w:r>
      <w:bookmarkEnd w:id="3"/>
      <w:r w:rsidRPr="00A643D6">
        <w:rPr>
          <w:sz w:val="36"/>
          <w:szCs w:val="36"/>
        </w:rPr>
        <w:t xml:space="preserve"> </w:t>
      </w:r>
    </w:p>
    <w:p w14:paraId="54AA2640" w14:textId="77777777" w:rsidR="00350DA0" w:rsidRDefault="00350DA0" w:rsidP="003F7FD4">
      <w:pPr>
        <w:pStyle w:val="Heading2"/>
        <w:spacing w:line="360" w:lineRule="auto"/>
        <w:jc w:val="both"/>
      </w:pPr>
      <w:bookmarkStart w:id="4" w:name="_Toc87862302"/>
      <w:r>
        <w:t>V2G Technology</w:t>
      </w:r>
      <w:bookmarkEnd w:id="4"/>
      <w:r>
        <w:t xml:space="preserve"> </w:t>
      </w:r>
    </w:p>
    <w:p w14:paraId="7C21779E" w14:textId="4342BF22" w:rsidR="00F0238C" w:rsidRPr="00666920" w:rsidRDefault="00F0238C" w:rsidP="003F7FD4">
      <w:pPr>
        <w:spacing w:line="360" w:lineRule="auto"/>
        <w:jc w:val="both"/>
      </w:pPr>
      <w:r w:rsidRPr="00666920">
        <w:t>To support the ever-growing number of EVs in use, forms of grid intergradation are necessary to manage the extra load they pose on the grid.  Current infrastructure is not capable of supplying the energy required to charge thousands of vehicles at a similar time of day, therefore, supportive energy infrastructure and management methods are required to supplement grid operation.</w:t>
      </w:r>
    </w:p>
    <w:p w14:paraId="7835C684" w14:textId="33A58ECE" w:rsidR="00DC0ADB" w:rsidRPr="00666920" w:rsidRDefault="00EF184D" w:rsidP="003F7FD4">
      <w:pPr>
        <w:spacing w:line="360" w:lineRule="auto"/>
        <w:jc w:val="both"/>
      </w:pPr>
      <w:r w:rsidRPr="00666920">
        <w:t xml:space="preserve">There are a range of charge management technologies </w:t>
      </w:r>
      <w:r w:rsidR="00FE03C8" w:rsidRPr="00666920">
        <w:t xml:space="preserve">specified </w:t>
      </w:r>
      <w:r w:rsidRPr="00666920">
        <w:t xml:space="preserve">to support EV function.  V20 tech is the current standard, whereby the customer manually manages charge events of their vehicle.  This system is currently efficient for both users and the grid as EV roll out is currently in its infancy and the overall load demand for all electric vehicles is low, however, if mass adoption occurs, </w:t>
      </w:r>
      <w:r w:rsidR="00FE03C8" w:rsidRPr="00666920">
        <w:t xml:space="preserve">advanced </w:t>
      </w:r>
      <w:r w:rsidRPr="00666920">
        <w:t xml:space="preserve">grid management will be necessary to manage the high demand for energy.  </w:t>
      </w:r>
      <w:r w:rsidR="00CB5F9A" w:rsidRPr="00666920">
        <w:t xml:space="preserve">VG1 </w:t>
      </w:r>
      <w:r w:rsidR="00DB3DF1">
        <w:t>smart charging</w:t>
      </w:r>
      <w:r w:rsidR="00CB5F9A" w:rsidRPr="00666920">
        <w:t xml:space="preserve"> uses algorithmic control to manage</w:t>
      </w:r>
      <w:r w:rsidR="00FE03C8" w:rsidRPr="00666920">
        <w:t xml:space="preserve"> c</w:t>
      </w:r>
      <w:r w:rsidR="00CB5F9A" w:rsidRPr="00666920">
        <w:t xml:space="preserve">harge </w:t>
      </w:r>
      <w:r w:rsidR="00FE03C8" w:rsidRPr="00666920">
        <w:t>events</w:t>
      </w:r>
      <w:r w:rsidR="00CB5F9A" w:rsidRPr="00666920">
        <w:t xml:space="preserve"> to spread the load to maintain correct grid function in times of high demand</w:t>
      </w:r>
      <w:r w:rsidR="00FE03C8" w:rsidRPr="00666920">
        <w:t xml:space="preserve"> (</w:t>
      </w:r>
      <w:proofErr w:type="spellStart"/>
      <w:r w:rsidR="00DB3DF1">
        <w:t>Virta</w:t>
      </w:r>
      <w:proofErr w:type="spellEnd"/>
      <w:r w:rsidR="00DB3DF1">
        <w:t>, 2021</w:t>
      </w:r>
      <w:r w:rsidR="00FE03C8" w:rsidRPr="00666920">
        <w:t>)</w:t>
      </w:r>
      <w:r w:rsidR="00CB5F9A" w:rsidRPr="00666920">
        <w:t xml:space="preserve">.  </w:t>
      </w:r>
    </w:p>
    <w:p w14:paraId="1E8A3DE4" w14:textId="4F9D9000" w:rsidR="00350DA0" w:rsidRPr="00666920" w:rsidRDefault="00350DA0" w:rsidP="003F7FD4">
      <w:pPr>
        <w:spacing w:line="360" w:lineRule="auto"/>
        <w:jc w:val="both"/>
      </w:pPr>
      <w:r w:rsidRPr="00666920">
        <w:t xml:space="preserve">V2G charging technology utilises the many, often dormant electric vehicles, to support grid function by providing axillary storage capacity.  The use of bi-directional chargers allows the two-way flow of electricity, charging storage devices in times of low demand, or high renewable output, ready to supplement the grid under peak usage.  Participating vehicles </w:t>
      </w:r>
      <w:r w:rsidR="003C1491">
        <w:t>should</w:t>
      </w:r>
      <w:r w:rsidRPr="00666920">
        <w:t xml:space="preserve"> have the ability of connecting to a charging facility whenever at rest.  This will reduce demand on the grid by spreading load required to maintain suitable charge levels for end user function.  This ability for grid demand optimisation will minimise load on transformers and supply lines, thus increasing energy supply security while enabling mass EV charging capabilities.  Although substitute supply avenues should be maintained and available, wide scale V2G implementation will decrease the requirement of expensive high carbon axillary sources currently used to support daily grid supply</w:t>
      </w:r>
      <w:r w:rsidR="00FE03C8" w:rsidRPr="00666920">
        <w:t xml:space="preserve"> (</w:t>
      </w:r>
      <w:r w:rsidR="003F7FD4">
        <w:t>Panday, Bansal</w:t>
      </w:r>
      <w:r w:rsidR="00944706">
        <w:t xml:space="preserve"> &amp; Agrawal, 2015</w:t>
      </w:r>
      <w:r w:rsidR="00FE03C8" w:rsidRPr="00666920">
        <w:t>)</w:t>
      </w:r>
      <w:r w:rsidRPr="00666920">
        <w:t>.</w:t>
      </w:r>
    </w:p>
    <w:p w14:paraId="17E744E5" w14:textId="0355D083" w:rsidR="00BB07D2" w:rsidRDefault="003C1491" w:rsidP="003F7FD4">
      <w:pPr>
        <w:spacing w:line="360" w:lineRule="auto"/>
        <w:jc w:val="both"/>
      </w:pPr>
      <w:r>
        <w:rPr>
          <w:noProof/>
        </w:rPr>
        <w:drawing>
          <wp:anchor distT="0" distB="0" distL="114300" distR="114300" simplePos="0" relativeHeight="251661312" behindDoc="1" locked="0" layoutInCell="1" allowOverlap="1" wp14:anchorId="4387B162" wp14:editId="6B4B4F9F">
            <wp:simplePos x="0" y="0"/>
            <wp:positionH relativeFrom="margin">
              <wp:align>center</wp:align>
            </wp:positionH>
            <wp:positionV relativeFrom="paragraph">
              <wp:posOffset>274312</wp:posOffset>
            </wp:positionV>
            <wp:extent cx="5160010" cy="1210945"/>
            <wp:effectExtent l="0" t="0" r="2540" b="8255"/>
            <wp:wrapTopAndBottom/>
            <wp:docPr id="3" name="Picture 3" descr="EV Charging: Software and Grid Services | Cleantec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 Charging: Software and Grid Services | Cleantech Gro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0010" cy="1210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55CA5E" w14:textId="1F8C897E" w:rsidR="00BB07D2" w:rsidRDefault="003C1491" w:rsidP="003F7FD4">
      <w:pPr>
        <w:spacing w:line="360" w:lineRule="auto"/>
        <w:jc w:val="both"/>
      </w:pPr>
      <w:r>
        <w:rPr>
          <w:noProof/>
        </w:rPr>
        <mc:AlternateContent>
          <mc:Choice Requires="wps">
            <w:drawing>
              <wp:anchor distT="0" distB="0" distL="114300" distR="114300" simplePos="0" relativeHeight="251664384" behindDoc="0" locked="0" layoutInCell="1" allowOverlap="1" wp14:anchorId="1288504A" wp14:editId="58A4F154">
                <wp:simplePos x="0" y="0"/>
                <wp:positionH relativeFrom="margin">
                  <wp:posOffset>1824685</wp:posOffset>
                </wp:positionH>
                <wp:positionV relativeFrom="paragraph">
                  <wp:posOffset>1291829</wp:posOffset>
                </wp:positionV>
                <wp:extent cx="2434442" cy="296883"/>
                <wp:effectExtent l="0" t="0" r="4445" b="8255"/>
                <wp:wrapNone/>
                <wp:docPr id="5" name="Text Box 5"/>
                <wp:cNvGraphicFramePr/>
                <a:graphic xmlns:a="http://schemas.openxmlformats.org/drawingml/2006/main">
                  <a:graphicData uri="http://schemas.microsoft.com/office/word/2010/wordprocessingShape">
                    <wps:wsp>
                      <wps:cNvSpPr txBox="1"/>
                      <wps:spPr>
                        <a:xfrm>
                          <a:off x="0" y="0"/>
                          <a:ext cx="2434442" cy="296883"/>
                        </a:xfrm>
                        <a:prstGeom prst="rect">
                          <a:avLst/>
                        </a:prstGeom>
                        <a:solidFill>
                          <a:schemeClr val="lt1"/>
                        </a:solidFill>
                        <a:ln w="6350">
                          <a:noFill/>
                        </a:ln>
                      </wps:spPr>
                      <wps:txbx>
                        <w:txbxContent>
                          <w:p w14:paraId="44736063" w14:textId="0DBD24B9" w:rsidR="003C1491" w:rsidRDefault="003C1491" w:rsidP="003C1491">
                            <w:r>
                              <w:t>Figure 1. Visual depiction of V2G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88504A" id="_x0000_t202" coordsize="21600,21600" o:spt="202" path="m,l,21600r21600,l21600,xe">
                <v:stroke joinstyle="miter"/>
                <v:path gradientshapeok="t" o:connecttype="rect"/>
              </v:shapetype>
              <v:shape id="Text Box 5" o:spid="_x0000_s1026" type="#_x0000_t202" style="position:absolute;left:0;text-align:left;margin-left:143.7pt;margin-top:101.7pt;width:191.7pt;height:23.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RXQgIAAHkEAAAOAAAAZHJzL2Uyb0RvYy54bWysVMGO2jAQvVfqP1i+l0AIlEWEFWVFVWm1&#10;uxJUezaOTSI5Htc2JPTrO3YCS7c9Vb2Y8czked68GRb3ba3ISVhXgc7paDCkRGgORaUPOf2+23ya&#10;UeI80wVToEVOz8LR++XHD4vGzEUKJahCWIIg2s0bk9PSezNPEsdLUTM3ACM0BiXYmnm82kNSWNYg&#10;eq2SdDicJg3Ywljgwjn0PnRBuoz4Ugrun6V0whOVU6zNx9PGcx/OZLlg84Nlpqx4Xwb7hypqVml8&#10;9Ar1wDwjR1v9AVVX3IID6Qcc6gSkrLiIHJDNaPiOzbZkRkQu2Bxnrm1y/w+WP51eLKmKnE4o0axG&#10;iXai9eQLtGQSutMYN8ekrcE036IbVb74HToD6VbaOvwiHYJx7PP52tsAxtGZZuMsy1JKOMbSu+ls&#10;Ng4wydvXxjr/VUBNgpFTi9rFlrLTo/Nd6iUlPOZAVcWmUipewryItbLkxFBp5WONCP5bltKkyel0&#10;PBlGYA3h8w5ZaawlcO04Bcu3+7ZvwB6KM/K30M2PM3xTYZGPzPkXZnFgkDIugX/GQyrAR6C3KCnB&#10;/vybP+SjjhilpMEBzKn7cWRWUKK+aVT4bpRlYWLjJZt8TvFibyP724g+1mtA5iNcN8OjGfK9upjS&#10;Qv2Ku7IKr2KIaY5v59RfzLXv1gJ3jYvVKibhjBrmH/XW8AAdOh0k2LWvzJpeJ48KP8FlVNn8nVxd&#10;bvhSw+roQVZRy9Dgrqt933G+4zT0uxgW6PYes97+MZa/AAAA//8DAFBLAwQUAAYACAAAACEA2265&#10;XeEAAAALAQAADwAAAGRycy9kb3ducmV2LnhtbEyPS0/DMBCE70j8B2uRuCBq09CmCnEqhHhIvdHw&#10;EDc3XpKIeB3FbhL+PcsJbrO7o9lv8u3sOjHiEFpPGq4WCgRS5W1LtYaX8uFyAyJEQ9Z0nlDDNwbY&#10;Fqcnucmsn+gZx32sBYdQyIyGJsY+kzJUDToTFr5H4tunH5yJPA61tIOZONx1cqnUWjrTEn9oTI93&#10;DVZf+6PT8HFRv+/C/Pg6Jaukv38ay/TNllqfn823NyAizvHPDL/4jA4FMx38kWwQnYblJr1mKwuV&#10;sGDHOlVc5sCblVqCLHL5v0PxAwAA//8DAFBLAQItABQABgAIAAAAIQC2gziS/gAAAOEBAAATAAAA&#10;AAAAAAAAAAAAAAAAAABbQ29udGVudF9UeXBlc10ueG1sUEsBAi0AFAAGAAgAAAAhADj9If/WAAAA&#10;lAEAAAsAAAAAAAAAAAAAAAAALwEAAF9yZWxzLy5yZWxzUEsBAi0AFAAGAAgAAAAhALKV5FdCAgAA&#10;eQQAAA4AAAAAAAAAAAAAAAAALgIAAGRycy9lMm9Eb2MueG1sUEsBAi0AFAAGAAgAAAAhANtuuV3h&#10;AAAACwEAAA8AAAAAAAAAAAAAAAAAnAQAAGRycy9kb3ducmV2LnhtbFBLBQYAAAAABAAEAPMAAACq&#10;BQAAAAA=&#10;" fillcolor="white [3201]" stroked="f" strokeweight=".5pt">
                <v:textbox>
                  <w:txbxContent>
                    <w:p w14:paraId="44736063" w14:textId="0DBD24B9" w:rsidR="003C1491" w:rsidRDefault="003C1491" w:rsidP="003C1491">
                      <w:r>
                        <w:t>Figure 1. Visual depiction of V2G technology</w:t>
                      </w:r>
                    </w:p>
                  </w:txbxContent>
                </v:textbox>
                <w10:wrap anchorx="margin"/>
              </v:shape>
            </w:pict>
          </mc:Fallback>
        </mc:AlternateContent>
      </w:r>
    </w:p>
    <w:p w14:paraId="2D0C1E7F" w14:textId="6E2BC0B3" w:rsidR="003C1491" w:rsidRDefault="003C1491" w:rsidP="003F7FD4">
      <w:pPr>
        <w:spacing w:line="360" w:lineRule="auto"/>
        <w:jc w:val="both"/>
      </w:pPr>
    </w:p>
    <w:p w14:paraId="5F3368E7" w14:textId="121A22E8" w:rsidR="003C1491" w:rsidRDefault="003C1491" w:rsidP="003F7FD4">
      <w:pPr>
        <w:spacing w:line="360" w:lineRule="auto"/>
        <w:jc w:val="both"/>
      </w:pPr>
    </w:p>
    <w:p w14:paraId="51D3BC69" w14:textId="5C38F3F6" w:rsidR="00CB5F9A" w:rsidRPr="003C1491" w:rsidRDefault="00CB5F9A" w:rsidP="003F7FD4">
      <w:pPr>
        <w:spacing w:line="360" w:lineRule="auto"/>
        <w:jc w:val="both"/>
      </w:pPr>
      <w:r w:rsidRPr="00666920">
        <w:lastRenderedPageBreak/>
        <w:t>V2X, or vehicle to anything encompasses, vehicle to home (V2H) and vehicle to building (V2B) technologies</w:t>
      </w:r>
      <w:r w:rsidR="00FE03C8" w:rsidRPr="00666920">
        <w:t>, whereby vehicles are bidirectionally connected to a premises offering personal or business stora</w:t>
      </w:r>
      <w:r w:rsidR="003F7FD4">
        <w:t>ge</w:t>
      </w:r>
      <w:r w:rsidR="00FE03C8" w:rsidRPr="00666920">
        <w:t xml:space="preserve"> capacity</w:t>
      </w:r>
      <w:r w:rsidRPr="00666920">
        <w:t xml:space="preserve">.  Although these forms of charge facility do not </w:t>
      </w:r>
      <w:r w:rsidR="00FE03C8" w:rsidRPr="00666920">
        <w:t>directly provide the grid with storage capacity</w:t>
      </w:r>
      <w:r w:rsidRPr="00666920">
        <w:t xml:space="preserve">, they can </w:t>
      </w:r>
      <w:r w:rsidR="00040F79" w:rsidRPr="00666920">
        <w:t>reduce load by</w:t>
      </w:r>
      <w:r w:rsidRPr="00666920">
        <w:t xml:space="preserve"> optimis</w:t>
      </w:r>
      <w:r w:rsidR="00040F79" w:rsidRPr="00666920">
        <w:t>ing</w:t>
      </w:r>
      <w:r w:rsidRPr="00666920">
        <w:t xml:space="preserve"> business and personal energy </w:t>
      </w:r>
      <w:r w:rsidR="00FB7CCC">
        <w:t>consumption</w:t>
      </w:r>
      <w:r w:rsidRPr="00666920">
        <w:t xml:space="preserve"> using </w:t>
      </w:r>
      <w:r w:rsidR="00040F79" w:rsidRPr="00666920">
        <w:t>available vehicles to store energy in times of low demand and support building energy demand in peak times to reduce costs and load in periods of high demand</w:t>
      </w:r>
      <w:r w:rsidR="00FE03C8" w:rsidRPr="00666920">
        <w:t xml:space="preserve"> (</w:t>
      </w:r>
      <w:proofErr w:type="spellStart"/>
      <w:r w:rsidR="007370B8">
        <w:t>Virta</w:t>
      </w:r>
      <w:proofErr w:type="spellEnd"/>
      <w:r w:rsidR="007370B8">
        <w:t>, 2021)</w:t>
      </w:r>
      <w:r w:rsidR="00FE03C8" w:rsidRPr="00666920">
        <w:t>.</w:t>
      </w:r>
    </w:p>
    <w:p w14:paraId="78FF0C5E" w14:textId="6FE41389" w:rsidR="00666920" w:rsidRDefault="008D39E5" w:rsidP="003F7FD4">
      <w:pPr>
        <w:pStyle w:val="Heading2"/>
        <w:spacing w:line="360" w:lineRule="auto"/>
        <w:jc w:val="both"/>
      </w:pPr>
      <w:bookmarkStart w:id="5" w:name="_Toc87862303"/>
      <w:r>
        <w:t xml:space="preserve">EV </w:t>
      </w:r>
      <w:r w:rsidR="00666920" w:rsidRPr="004837C7">
        <w:t>Battery Tech</w:t>
      </w:r>
      <w:r w:rsidR="00666920">
        <w:t>nology</w:t>
      </w:r>
      <w:bookmarkEnd w:id="5"/>
    </w:p>
    <w:p w14:paraId="1922C5E3" w14:textId="601486A8" w:rsidR="001674F3" w:rsidRDefault="00FB7CCC" w:rsidP="003F7FD4">
      <w:pPr>
        <w:spacing w:line="360" w:lineRule="auto"/>
        <w:jc w:val="both"/>
      </w:pPr>
      <w:r>
        <w:t>Electric vehicles</w:t>
      </w:r>
      <w:r w:rsidR="00197823">
        <w:t xml:space="preserve"> store the energy required for propulsion in their battery pack.  Once charged, stored energy is transmitted to one or more motors on demand</w:t>
      </w:r>
      <w:r w:rsidR="00D13EFD">
        <w:t>,</w:t>
      </w:r>
      <w:r w:rsidR="00197823">
        <w:t xml:space="preserve"> stipulated by the controller</w:t>
      </w:r>
      <w:r w:rsidR="00D13EFD">
        <w:t>,</w:t>
      </w:r>
      <w:r w:rsidR="00197823">
        <w:t xml:space="preserve"> in an operation to propel the vehicle.  Battery capacity</w:t>
      </w:r>
      <w:r w:rsidR="00D13EFD">
        <w:t xml:space="preserve">, measured in kilowatt hours (kWh), varies from vehicle to vehicle </w:t>
      </w:r>
      <w:r w:rsidR="00DA3326">
        <w:t xml:space="preserve">with a current maximum held by the Tesla Model S Long Range Plus, that boasts a total capacity of </w:t>
      </w:r>
      <w:r w:rsidR="00EA19AF">
        <w:t xml:space="preserve">100 </w:t>
      </w:r>
      <w:r w:rsidR="00DA3326">
        <w:t xml:space="preserve">kWh, equating to an approximate 325-mile range.  </w:t>
      </w:r>
      <w:r w:rsidR="00EA19AF">
        <w:t>Although manufactures advertise their total capacity in vehicle spec information, they are subject to a maximum dept</w:t>
      </w:r>
      <w:r w:rsidR="0006640D">
        <w:t>h</w:t>
      </w:r>
      <w:r w:rsidR="00EA19AF">
        <w:t xml:space="preserve"> of discharge</w:t>
      </w:r>
      <w:r w:rsidR="00153FFB">
        <w:t xml:space="preserve"> of approximately 95%</w:t>
      </w:r>
      <w:r w:rsidR="00944706">
        <w:t xml:space="preserve"> </w:t>
      </w:r>
      <w:r w:rsidR="00153FFB">
        <w:t xml:space="preserve">to maintain function and reduce </w:t>
      </w:r>
      <w:r w:rsidR="008D39E5">
        <w:t xml:space="preserve">premature </w:t>
      </w:r>
      <w:r w:rsidR="0089127B">
        <w:t xml:space="preserve">cell </w:t>
      </w:r>
      <w:r w:rsidR="00153FFB">
        <w:t xml:space="preserve">degradation.   </w:t>
      </w:r>
      <w:r w:rsidR="001674F3">
        <w:t xml:space="preserve">The </w:t>
      </w:r>
      <w:r w:rsidR="00BB17E8">
        <w:t xml:space="preserve">predominant </w:t>
      </w:r>
      <w:r w:rsidR="001674F3">
        <w:t>battery type adopted for EV manufacture are cylindrical lithium-ion cells.  This is due to their high energy and power densit</w:t>
      </w:r>
      <w:r w:rsidR="00BB17E8">
        <w:t>ies</w:t>
      </w:r>
      <w:r w:rsidR="001674F3">
        <w:t>,</w:t>
      </w:r>
      <w:r w:rsidR="00BB17E8">
        <w:t xml:space="preserve"> good </w:t>
      </w:r>
      <w:r w:rsidR="0006640D">
        <w:t xml:space="preserve">high </w:t>
      </w:r>
      <w:r w:rsidR="00BB17E8">
        <w:t>temperature performance</w:t>
      </w:r>
      <w:r w:rsidR="001674F3">
        <w:t xml:space="preserve"> </w:t>
      </w:r>
      <w:r w:rsidR="00BB17E8">
        <w:t xml:space="preserve">and relative low cost of manufacture.  </w:t>
      </w:r>
    </w:p>
    <w:p w14:paraId="6552B7E6" w14:textId="63CBF394" w:rsidR="00365182" w:rsidRDefault="0006640D" w:rsidP="003F7FD4">
      <w:pPr>
        <w:spacing w:line="360" w:lineRule="auto"/>
        <w:jc w:val="both"/>
      </w:pPr>
      <w:r>
        <w:t xml:space="preserve">All batteries are effectively subject to a level of degradation from the point of manufacture.  The rate at which this occurs depends on numerous factors including, chemical composition, external environment, thermal management system and charge routines.  </w:t>
      </w:r>
      <w:r w:rsidR="00944706">
        <w:t>Depth of discharge</w:t>
      </w:r>
      <w:r w:rsidR="0090614B">
        <w:t xml:space="preserve"> (DOD)</w:t>
      </w:r>
      <w:r w:rsidR="00EB44E4">
        <w:t>, normally expressed as a percentage, is defined as the amount of energy discharged from ful</w:t>
      </w:r>
      <w:r w:rsidR="00BB17E8">
        <w:t>l</w:t>
      </w:r>
      <w:r w:rsidR="00EB44E4">
        <w:t xml:space="preserve"> </w:t>
      </w:r>
      <w:r w:rsidR="004B2DCE">
        <w:t>relative to</w:t>
      </w:r>
      <w:r w:rsidR="00EB44E4">
        <w:t xml:space="preserve"> </w:t>
      </w:r>
      <w:r w:rsidR="0090614B">
        <w:t>its total capacity</w:t>
      </w:r>
      <w:r w:rsidR="00EB44E4">
        <w:t>.  This is important to understand as deep discharging degrades batteries faster than shallow discharge events</w:t>
      </w:r>
      <w:r w:rsidR="004B2DCE">
        <w:t xml:space="preserve"> (Battery University, 2019)</w:t>
      </w:r>
      <w:r w:rsidR="0090614B">
        <w:t>.  Inversely</w:t>
      </w:r>
      <w:r w:rsidR="004B2DCE">
        <w:t>, state of charge (SOC) is defined as the electrical energy available, for example</w:t>
      </w:r>
      <w:r w:rsidR="008D39E5">
        <w:t>,</w:t>
      </w:r>
      <w:r w:rsidR="004B2DCE">
        <w:t xml:space="preserve"> a battery with a 45% DOD has a 65% SOC.  Another key term used to understand battery characteristics is cycle life.  This defines the amount of charge and discharge events a battery can</w:t>
      </w:r>
      <w:r w:rsidR="008D39E5">
        <w:t xml:space="preserve"> endure before causing a significant decrease in performance.</w:t>
      </w:r>
      <w:r w:rsidR="005D47C2">
        <w:t xml:space="preserve">  </w:t>
      </w:r>
    </w:p>
    <w:p w14:paraId="14D81415" w14:textId="11C17044" w:rsidR="006E61CA" w:rsidRDefault="00365182" w:rsidP="003F7FD4">
      <w:pPr>
        <w:spacing w:line="360" w:lineRule="auto"/>
        <w:jc w:val="both"/>
        <w:rPr>
          <w:rFonts w:cstheme="minorHAnsi"/>
        </w:rPr>
      </w:pPr>
      <w:r>
        <w:t>EV battery pack function is monitored and controlled by a battery management system (BMS).  The</w:t>
      </w:r>
      <w:r w:rsidR="005D47C2">
        <w:t xml:space="preserve"> main function of a</w:t>
      </w:r>
      <w:r>
        <w:t xml:space="preserve"> BMS </w:t>
      </w:r>
      <w:r w:rsidR="005D47C2">
        <w:t>is to balance</w:t>
      </w:r>
      <w:r>
        <w:t xml:space="preserve"> SOC of individual cells by monitoring their voltage</w:t>
      </w:r>
      <w:r w:rsidR="00FF5642">
        <w:t xml:space="preserve"> protecting from thermal runaway caused by uneven charge</w:t>
      </w:r>
      <w:r>
        <w:t>.  The system also monitors battery operating temperature</w:t>
      </w:r>
      <w:r w:rsidR="00297D02">
        <w:t>s</w:t>
      </w:r>
      <w:r w:rsidR="005D47C2">
        <w:t xml:space="preserve">, which increase </w:t>
      </w:r>
      <w:r w:rsidR="005D47C2" w:rsidRPr="00297D02">
        <w:rPr>
          <w:rFonts w:cstheme="minorHAnsi"/>
        </w:rPr>
        <w:t>upon charg</w:t>
      </w:r>
      <w:r w:rsidR="003C1491">
        <w:rPr>
          <w:rFonts w:cstheme="minorHAnsi"/>
        </w:rPr>
        <w:t>e</w:t>
      </w:r>
      <w:r w:rsidR="005D47C2" w:rsidRPr="00297D02">
        <w:rPr>
          <w:rFonts w:cstheme="minorHAnsi"/>
        </w:rPr>
        <w:t xml:space="preserve"> and discharg</w:t>
      </w:r>
      <w:r w:rsidR="003C1491">
        <w:rPr>
          <w:rFonts w:cstheme="minorHAnsi"/>
        </w:rPr>
        <w:t>e</w:t>
      </w:r>
      <w:r w:rsidR="0006640D" w:rsidRPr="00297D02">
        <w:rPr>
          <w:rFonts w:cstheme="minorHAnsi"/>
        </w:rPr>
        <w:t xml:space="preserve"> due to the inherent internal chemical reaction</w:t>
      </w:r>
      <w:r w:rsidRPr="00297D02">
        <w:rPr>
          <w:rFonts w:cstheme="minorHAnsi"/>
        </w:rPr>
        <w:t>, initiating cooling sequence if temperatures fall outside of</w:t>
      </w:r>
      <w:r w:rsidR="005D47C2" w:rsidRPr="00297D02">
        <w:rPr>
          <w:rFonts w:cstheme="minorHAnsi"/>
        </w:rPr>
        <w:t xml:space="preserve"> tolerances</w:t>
      </w:r>
      <w:r w:rsidR="00297D02" w:rsidRPr="00297D02">
        <w:rPr>
          <w:rFonts w:cstheme="minorHAnsi"/>
        </w:rPr>
        <w:t xml:space="preserve"> (Gabbar, Othman &amp; </w:t>
      </w:r>
      <w:proofErr w:type="spellStart"/>
      <w:r w:rsidR="00297D02" w:rsidRPr="00297D02">
        <w:rPr>
          <w:rFonts w:cstheme="minorHAnsi"/>
        </w:rPr>
        <w:t>Abdussami</w:t>
      </w:r>
      <w:proofErr w:type="spellEnd"/>
      <w:r w:rsidR="00297D02" w:rsidRPr="00297D02">
        <w:rPr>
          <w:rFonts w:cstheme="minorHAnsi"/>
        </w:rPr>
        <w:t>, 2021)</w:t>
      </w:r>
      <w:r w:rsidR="00DF2333">
        <w:rPr>
          <w:rFonts w:cstheme="minorHAnsi"/>
        </w:rPr>
        <w:t>.</w:t>
      </w:r>
      <w:r w:rsidR="006E61CA">
        <w:rPr>
          <w:rFonts w:cstheme="minorHAnsi"/>
        </w:rPr>
        <w:t xml:space="preserve">  </w:t>
      </w:r>
    </w:p>
    <w:p w14:paraId="2ED1BAB7" w14:textId="189DD370" w:rsidR="005F2422" w:rsidRPr="00255401" w:rsidRDefault="002B48BF" w:rsidP="003F7FD4">
      <w:pPr>
        <w:spacing w:line="360" w:lineRule="auto"/>
        <w:jc w:val="both"/>
        <w:rPr>
          <w:rFonts w:cstheme="minorHAnsi"/>
        </w:rPr>
      </w:pPr>
      <w:r w:rsidRPr="00255401">
        <w:rPr>
          <w:rFonts w:cstheme="minorHAnsi"/>
        </w:rPr>
        <w:lastRenderedPageBreak/>
        <w:t>Electric vehicle charging capabilities are defined by three levels</w:t>
      </w:r>
      <w:r w:rsidR="0034366A" w:rsidRPr="00255401">
        <w:rPr>
          <w:rFonts w:cstheme="minorHAnsi"/>
        </w:rPr>
        <w:t>, slow fast and rapid</w:t>
      </w:r>
      <w:r w:rsidRPr="00255401">
        <w:rPr>
          <w:rFonts w:cstheme="minorHAnsi"/>
        </w:rPr>
        <w:t>, based on the available voltage rating of the supply which determines charge speed</w:t>
      </w:r>
      <w:r w:rsidR="00443377" w:rsidRPr="00255401">
        <w:rPr>
          <w:rFonts w:cstheme="minorHAnsi"/>
        </w:rPr>
        <w:t xml:space="preserve">, although different vehicles will charge at contrasting rates dependant on the form of Electric Vehicle Supply Equipment (EVSE) utilised by </w:t>
      </w:r>
      <w:r w:rsidR="0034366A" w:rsidRPr="00255401">
        <w:rPr>
          <w:rFonts w:cstheme="minorHAnsi"/>
        </w:rPr>
        <w:t xml:space="preserve">the </w:t>
      </w:r>
      <w:r w:rsidR="00443377" w:rsidRPr="00255401">
        <w:rPr>
          <w:rFonts w:cstheme="minorHAnsi"/>
        </w:rPr>
        <w:t xml:space="preserve">manufacturer.  </w:t>
      </w:r>
      <w:r w:rsidR="0034366A" w:rsidRPr="00255401">
        <w:rPr>
          <w:rFonts w:cstheme="minorHAnsi"/>
        </w:rPr>
        <w:t xml:space="preserve">Slow charging uses a generic three pin 30-amp plug, typically rated up to 3kw, which can provide a full charge in 8-10 hours depending on SOC and battery capacity.  To enable fast charging capabilities, a ‘socketed’ system can be installed at a residence </w:t>
      </w:r>
      <w:r w:rsidR="006E61CA" w:rsidRPr="00255401">
        <w:rPr>
          <w:rFonts w:cstheme="minorHAnsi"/>
        </w:rPr>
        <w:t>facilitating</w:t>
      </w:r>
      <w:r w:rsidR="0034366A" w:rsidRPr="00255401">
        <w:rPr>
          <w:rFonts w:cstheme="minorHAnsi"/>
        </w:rPr>
        <w:t xml:space="preserve"> 7kW</w:t>
      </w:r>
      <w:r w:rsidR="007C7B46" w:rsidRPr="00255401">
        <w:rPr>
          <w:rFonts w:cstheme="minorHAnsi"/>
        </w:rPr>
        <w:t>,</w:t>
      </w:r>
      <w:r w:rsidR="0034366A" w:rsidRPr="00255401">
        <w:rPr>
          <w:rFonts w:cstheme="minorHAnsi"/>
        </w:rPr>
        <w:t xml:space="preserve"> or in an industrial setting with a high</w:t>
      </w:r>
      <w:r w:rsidR="007C7B46" w:rsidRPr="00255401">
        <w:rPr>
          <w:rFonts w:cstheme="minorHAnsi"/>
        </w:rPr>
        <w:t xml:space="preserve"> voltage</w:t>
      </w:r>
      <w:r w:rsidR="0034366A" w:rsidRPr="00255401">
        <w:rPr>
          <w:rFonts w:cstheme="minorHAnsi"/>
        </w:rPr>
        <w:t xml:space="preserve"> supply which can allow 22kW of power flow</w:t>
      </w:r>
      <w:r w:rsidR="006E61CA" w:rsidRPr="00255401">
        <w:rPr>
          <w:rFonts w:cstheme="minorHAnsi"/>
        </w:rPr>
        <w:t>, charging a vehicle in 3-4 hours</w:t>
      </w:r>
      <w:r w:rsidR="0034366A" w:rsidRPr="00255401">
        <w:rPr>
          <w:rFonts w:cstheme="minorHAnsi"/>
        </w:rPr>
        <w:t xml:space="preserve">.  </w:t>
      </w:r>
      <w:r w:rsidR="006E61CA" w:rsidRPr="00255401">
        <w:rPr>
          <w:rFonts w:cstheme="minorHAnsi"/>
        </w:rPr>
        <w:t>EVs manufactured with rapid charge capability, can plug into a tethered charger that requires greater energy demand to supply upwards of 43kW, providing a full charge in 30-40 mins.  Both socketed and tethered units require use of a type 1 or 2 charger dependant on manufacture preference</w:t>
      </w:r>
      <w:r w:rsidR="005F2422" w:rsidRPr="00255401">
        <w:rPr>
          <w:rFonts w:cstheme="minorHAnsi"/>
        </w:rPr>
        <w:t xml:space="preserve"> (EDF Energy, 2021)</w:t>
      </w:r>
      <w:r w:rsidR="006E61CA" w:rsidRPr="00255401">
        <w:rPr>
          <w:rFonts w:cstheme="minorHAnsi"/>
        </w:rPr>
        <w:t xml:space="preserve">.  It is important to note that </w:t>
      </w:r>
      <w:r w:rsidR="00C30E7B" w:rsidRPr="00255401">
        <w:rPr>
          <w:rFonts w:cstheme="minorHAnsi"/>
        </w:rPr>
        <w:t>continuous</w:t>
      </w:r>
      <w:r w:rsidR="006E61CA" w:rsidRPr="00255401">
        <w:rPr>
          <w:rFonts w:cstheme="minorHAnsi"/>
        </w:rPr>
        <w:t xml:space="preserve"> rapid charge events can degrade the battery prematurely due to the increased strain on cells, however, this can be mitigated with a mix of charge events</w:t>
      </w:r>
      <w:r w:rsidR="005F2422" w:rsidRPr="00255401">
        <w:rPr>
          <w:rFonts w:cstheme="minorHAnsi"/>
        </w:rPr>
        <w:t>.</w:t>
      </w:r>
      <w:r w:rsidR="007C7B46" w:rsidRPr="00255401">
        <w:rPr>
          <w:rFonts w:cstheme="minorHAnsi"/>
        </w:rPr>
        <w:t xml:space="preserve">  As the grid supplies alternating current (AC) to both single phase </w:t>
      </w:r>
      <w:r w:rsidR="00C30E7B" w:rsidRPr="00255401">
        <w:rPr>
          <w:rFonts w:cstheme="minorHAnsi"/>
        </w:rPr>
        <w:t>residential</w:t>
      </w:r>
      <w:r w:rsidR="007C7B46" w:rsidRPr="00255401">
        <w:rPr>
          <w:rFonts w:cstheme="minorHAnsi"/>
        </w:rPr>
        <w:t xml:space="preserve"> and 3 phase industrial,</w:t>
      </w:r>
      <w:r w:rsidR="00C30E7B" w:rsidRPr="00255401">
        <w:rPr>
          <w:rFonts w:cstheme="minorHAnsi"/>
        </w:rPr>
        <w:t xml:space="preserve"> the vehicle requires on board conversion to direct current (DC) enabling energy flow to the battery.  The current standard charging systems only allow a one-way flow of energy, from the grid to the vehicle.  For V2G operation manufactures should be required to provide bi-directionally capable charging equipment upon purchase of an EV.</w:t>
      </w:r>
      <w:r w:rsidR="005F2422" w:rsidRPr="00255401">
        <w:rPr>
          <w:rFonts w:cstheme="minorHAnsi"/>
        </w:rPr>
        <w:t xml:space="preserve">  The amount of energy u</w:t>
      </w:r>
      <w:r w:rsidR="00255401" w:rsidRPr="00255401">
        <w:rPr>
          <w:rFonts w:cstheme="minorHAnsi"/>
        </w:rPr>
        <w:t>sed during</w:t>
      </w:r>
      <w:r w:rsidR="005F2422" w:rsidRPr="00255401">
        <w:rPr>
          <w:rFonts w:cstheme="minorHAnsi"/>
        </w:rPr>
        <w:t xml:space="preserve"> charg</w:t>
      </w:r>
      <w:r w:rsidR="00255401" w:rsidRPr="00255401">
        <w:rPr>
          <w:rFonts w:cstheme="minorHAnsi"/>
        </w:rPr>
        <w:t>e events does not equal the</w:t>
      </w:r>
      <w:r w:rsidR="005F2422" w:rsidRPr="00255401">
        <w:rPr>
          <w:rFonts w:cstheme="minorHAnsi"/>
        </w:rPr>
        <w:t xml:space="preserve"> energy available due to several losses associated with charging and EV operation.  These include cable losses, whereby energy is lost as heat when transmitting electricity from supply to battery when charging, and from battery to motor upon </w:t>
      </w:r>
      <w:r w:rsidR="00B2655B" w:rsidRPr="00255401">
        <w:rPr>
          <w:rFonts w:cstheme="minorHAnsi"/>
        </w:rPr>
        <w:t xml:space="preserve">driving.  Also charge events use </w:t>
      </w:r>
      <w:r w:rsidR="00255401" w:rsidRPr="00255401">
        <w:rPr>
          <w:rFonts w:cstheme="minorHAnsi"/>
        </w:rPr>
        <w:t xml:space="preserve">energy </w:t>
      </w:r>
      <w:r w:rsidR="00B2655B" w:rsidRPr="00255401">
        <w:rPr>
          <w:rFonts w:cstheme="minorHAnsi"/>
        </w:rPr>
        <w:t>to power the BMS and cooling system to maintain battery health and protect from thermal incident.</w:t>
      </w:r>
    </w:p>
    <w:p w14:paraId="1C4E367C" w14:textId="5C2C82A8" w:rsidR="009C3136" w:rsidRDefault="00E84069" w:rsidP="003F7FD4">
      <w:pPr>
        <w:spacing w:line="360" w:lineRule="auto"/>
        <w:jc w:val="both"/>
      </w:pPr>
      <w:r>
        <w:t xml:space="preserve">When considering EVs as a successor to the internal combustion engine, it is crucial to look at the materials required to support the technology and sources to ensure </w:t>
      </w:r>
      <w:r w:rsidR="003F1FDA">
        <w:t>availability and sustainability</w:t>
      </w:r>
      <w:r>
        <w:t xml:space="preserve">.  EV batteries consist of </w:t>
      </w:r>
      <w:r w:rsidR="00FE428C">
        <w:t>6-12</w:t>
      </w:r>
      <w:r>
        <w:t xml:space="preserve"> kilograms of lithium and various other metallic compounds, dependant on specific technology, required to complete the electrochemical reaction.  These materials include cobalt, </w:t>
      </w:r>
      <w:r w:rsidR="003C55EC">
        <w:t>nickel,</w:t>
      </w:r>
      <w:r>
        <w:t xml:space="preserve"> and manganese, used in addition to lithium to form cathodes, and graphite </w:t>
      </w:r>
      <w:r w:rsidR="003C55EC">
        <w:t>as anode material, all of which are extracted from a finite supply in earth’s crust</w:t>
      </w:r>
      <w:r w:rsidR="003F1FDA">
        <w:t xml:space="preserve"> (British Geological Survey, 2018)</w:t>
      </w:r>
      <w:r w:rsidR="003C55EC">
        <w:t xml:space="preserve">.  </w:t>
      </w:r>
      <w:r w:rsidR="003F1FDA">
        <w:t>Although finality of resources is an important consideration regarding future production, a concerning present issue is ethical sourcing of materials.</w:t>
      </w:r>
      <w:r w:rsidR="00AF700C">
        <w:t xml:space="preserve">  </w:t>
      </w:r>
      <w:r w:rsidR="009C3136">
        <w:t xml:space="preserve">The main concern </w:t>
      </w:r>
      <w:r w:rsidR="00FE428C">
        <w:t>stems from</w:t>
      </w:r>
      <w:r w:rsidR="009C3136">
        <w:t xml:space="preserve"> the Dominican Republic of Congo (DRC), whereby, approximately 60% of </w:t>
      </w:r>
      <w:r w:rsidR="00580C7F">
        <w:t xml:space="preserve">all </w:t>
      </w:r>
      <w:r w:rsidR="00FE428C">
        <w:t>cobalt is supplied</w:t>
      </w:r>
      <w:r w:rsidR="009C3136">
        <w:t>.  Although infrastructure has been implemented to suppor</w:t>
      </w:r>
      <w:r w:rsidR="00FE428C">
        <w:t xml:space="preserve">t operations, political and </w:t>
      </w:r>
      <w:r w:rsidR="003F7FD4">
        <w:t>economic</w:t>
      </w:r>
      <w:r w:rsidR="00FE428C">
        <w:t xml:space="preserve"> instabilities render investment unfavourable.  An article from Auto Express stated that in 2018, approximately 40,000 childre</w:t>
      </w:r>
      <w:r w:rsidR="00580C7F">
        <w:t xml:space="preserve">n are </w:t>
      </w:r>
      <w:r w:rsidR="00FE428C">
        <w:t>utilised to extract the material</w:t>
      </w:r>
      <w:r w:rsidR="00580C7F">
        <w:t xml:space="preserve">, who operate in dangerous conditions with minimal </w:t>
      </w:r>
      <w:r w:rsidR="00580C7F">
        <w:lastRenderedPageBreak/>
        <w:t xml:space="preserve">safety equipment and inadequate pay.   Another issue, despite the longevity of infrastructure, is lithium, whereby minors are subject to lithium dust inhalation that is known to cause respiratory illness.  </w:t>
      </w:r>
      <w:r w:rsidR="00B54B8F">
        <w:t>Chile, being the main supplier of lithium, consume</w:t>
      </w:r>
      <w:r w:rsidR="00A812B8">
        <w:t>s</w:t>
      </w:r>
      <w:r w:rsidR="00B54B8F">
        <w:t xml:space="preserve"> 65% of water supplies in some areas</w:t>
      </w:r>
      <w:r w:rsidR="00A812B8">
        <w:t xml:space="preserve"> </w:t>
      </w:r>
      <w:r w:rsidR="00B54B8F">
        <w:t>to support mining infrastructure</w:t>
      </w:r>
      <w:r w:rsidR="004E7B46">
        <w:t xml:space="preserve">.  The deficit of this practice has resulted in mass migration from the worst affected areas.  In addition, the UN state that lithium mining causes ecosystem degradation and long-term damage to the landscape (Griffiths, 2021).  </w:t>
      </w:r>
    </w:p>
    <w:p w14:paraId="705CAD34" w14:textId="7F275C63" w:rsidR="00FF5642" w:rsidRPr="00666920" w:rsidRDefault="00015955" w:rsidP="003F7FD4">
      <w:pPr>
        <w:spacing w:line="360" w:lineRule="auto"/>
        <w:jc w:val="both"/>
      </w:pPr>
      <w:r>
        <w:t>As electrochemical storage devices have a finite lifespan, disposal methods and supportive infrastructure must be implemented to prevent environment harming wast</w:t>
      </w:r>
      <w:r w:rsidR="00200B89">
        <w:t xml:space="preserve">age and reduce the required raw material from mining.  To enable correct disposal, economically and sustainably viable recycling solutions require investigation and investment.  </w:t>
      </w:r>
      <w:r w:rsidR="0018281B">
        <w:t>Fortum state that 80% of a battery can be recycled through mechanical and hydrometallurgical processing.  M</w:t>
      </w:r>
      <w:r w:rsidR="003C1491">
        <w:t>echanica</w:t>
      </w:r>
      <w:r w:rsidR="0018281B">
        <w:t>l processing includes discharge and disassembly, whereby main constituents</w:t>
      </w:r>
      <w:r w:rsidR="00CB6012">
        <w:t xml:space="preserve"> such as aluminium, copper, plastics and black mass are separated.  Black mass contains the critical metals, including lithium, cobalt, manganese, nickel, and graphite.  This can be treated through a chemical precipitation method that separates these scarce materials ready for reuse in production of new batteries (Fortum, 2021).</w:t>
      </w:r>
    </w:p>
    <w:p w14:paraId="3CD8481A" w14:textId="112814CA" w:rsidR="004837C7" w:rsidRPr="004837C7" w:rsidRDefault="004837C7" w:rsidP="003F7FD4">
      <w:pPr>
        <w:pStyle w:val="Heading2"/>
        <w:spacing w:line="360" w:lineRule="auto"/>
        <w:jc w:val="both"/>
      </w:pPr>
      <w:bookmarkStart w:id="6" w:name="_Toc87862304"/>
      <w:r w:rsidRPr="004837C7">
        <w:t>Energy Generation</w:t>
      </w:r>
      <w:bookmarkEnd w:id="6"/>
    </w:p>
    <w:p w14:paraId="502B65FB" w14:textId="38A418BF" w:rsidR="00DB3DF1" w:rsidRDefault="00900B3D" w:rsidP="003F7FD4">
      <w:pPr>
        <w:spacing w:line="360" w:lineRule="auto"/>
        <w:jc w:val="both"/>
      </w:pPr>
      <w:r>
        <w:rPr>
          <w:noProof/>
        </w:rPr>
        <w:drawing>
          <wp:anchor distT="0" distB="0" distL="114300" distR="114300" simplePos="0" relativeHeight="251660288" behindDoc="1" locked="0" layoutInCell="1" allowOverlap="1" wp14:anchorId="4B6F09DA" wp14:editId="7639FB23">
            <wp:simplePos x="0" y="0"/>
            <wp:positionH relativeFrom="margin">
              <wp:align>center</wp:align>
            </wp:positionH>
            <wp:positionV relativeFrom="paragraph">
              <wp:posOffset>2269926</wp:posOffset>
            </wp:positionV>
            <wp:extent cx="1980565" cy="1872615"/>
            <wp:effectExtent l="0" t="0" r="635" b="0"/>
            <wp:wrapTopAndBottom/>
            <wp:docPr id="2" name="Picture 2" descr="Human domination of the biosphere: Rapid discharge of the earth-space  battery foretells the future of humankind | P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domination of the biosphere: Rapid discharge of the earth-space  battery foretells the future of humankind | PN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80565" cy="187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5BEE">
        <w:t xml:space="preserve">Energy production is a fundamental requirement to support </w:t>
      </w:r>
      <w:r w:rsidR="00553731">
        <w:t xml:space="preserve">the </w:t>
      </w:r>
      <w:r w:rsidR="00F25BEE">
        <w:t xml:space="preserve">functionality of </w:t>
      </w:r>
      <w:r w:rsidR="00740013">
        <w:t>modern-day</w:t>
      </w:r>
      <w:r w:rsidR="00F25BEE">
        <w:t xml:space="preserve"> human existence.</w:t>
      </w:r>
      <w:r w:rsidR="0034366A">
        <w:t xml:space="preserve"> </w:t>
      </w:r>
      <w:r w:rsidR="00F25BEE">
        <w:t xml:space="preserve">  </w:t>
      </w:r>
      <w:r w:rsidR="00740013">
        <w:t>These basic requirements include ability to light and heat homes</w:t>
      </w:r>
      <w:r w:rsidR="00D87DD9">
        <w:t>, places of work</w:t>
      </w:r>
      <w:r w:rsidR="00740013">
        <w:t xml:space="preserve">, provide transportation, and power the many electronical devices necessary for both </w:t>
      </w:r>
      <w:r w:rsidR="00553731">
        <w:t xml:space="preserve">personal and business </w:t>
      </w:r>
      <w:r w:rsidR="00511486">
        <w:t>use</w:t>
      </w:r>
      <w:r w:rsidR="00740013">
        <w:t xml:space="preserve">.  </w:t>
      </w:r>
      <w:r w:rsidR="00553731">
        <w:t xml:space="preserve">Since the mid-1900s, </w:t>
      </w:r>
      <w:r w:rsidR="001D4205">
        <w:t>long</w:t>
      </w:r>
      <w:r w:rsidR="00553731">
        <w:t xml:space="preserve"> after the industrial revolution,</w:t>
      </w:r>
      <w:r w:rsidR="00D87DD9">
        <w:t xml:space="preserve"> overall</w:t>
      </w:r>
      <w:r w:rsidR="00553731">
        <w:t xml:space="preserve"> energy consumption </w:t>
      </w:r>
      <w:r w:rsidR="00D87DD9">
        <w:t>has risen exponentially</w:t>
      </w:r>
      <w:r w:rsidR="00CA399B">
        <w:t xml:space="preserve"> (</w:t>
      </w:r>
      <w:r w:rsidR="009C099A">
        <w:t xml:space="preserve">graph </w:t>
      </w:r>
      <w:r w:rsidR="00CA399B">
        <w:t>1)</w:t>
      </w:r>
      <w:r w:rsidR="00D87DD9">
        <w:t>.  This is due to</w:t>
      </w:r>
      <w:r w:rsidR="00054A9E">
        <w:t xml:space="preserve"> the</w:t>
      </w:r>
      <w:r w:rsidR="00511486">
        <w:t xml:space="preserve"> many technological </w:t>
      </w:r>
      <w:r w:rsidR="00054A9E">
        <w:t>breakthroughs</w:t>
      </w:r>
      <w:r w:rsidR="00CA399B">
        <w:t xml:space="preserve"> resulting in</w:t>
      </w:r>
      <w:r w:rsidR="00D87DD9">
        <w:t xml:space="preserve"> wide scale adoption </w:t>
      </w:r>
      <w:r w:rsidR="00511486">
        <w:t xml:space="preserve">of electrical </w:t>
      </w:r>
      <w:r w:rsidR="009C099A">
        <w:t>equipment</w:t>
      </w:r>
      <w:r w:rsidR="00511486">
        <w:t xml:space="preserve"> for day-to-day use.</w:t>
      </w:r>
      <w:r w:rsidR="009926B4">
        <w:t xml:space="preserve">   For perspective</w:t>
      </w:r>
      <w:r w:rsidR="009C099A">
        <w:t>, present-day</w:t>
      </w:r>
      <w:r w:rsidR="009926B4">
        <w:t xml:space="preserve"> humans </w:t>
      </w:r>
      <w:r w:rsidR="003C1491">
        <w:t>consume</w:t>
      </w:r>
      <w:r w:rsidR="009926B4">
        <w:t xml:space="preserve"> approximately twenty-four times the</w:t>
      </w:r>
      <w:r w:rsidR="001D4205">
        <w:t xml:space="preserve"> daily</w:t>
      </w:r>
      <w:r w:rsidR="009926B4">
        <w:t xml:space="preserve"> energy </w:t>
      </w:r>
      <w:r w:rsidR="009C099A">
        <w:t>necessary</w:t>
      </w:r>
      <w:r w:rsidR="009926B4">
        <w:t xml:space="preserve"> to maintain</w:t>
      </w:r>
      <w:r w:rsidR="007826FB">
        <w:t xml:space="preserve"> a</w:t>
      </w:r>
      <w:r w:rsidR="009C099A">
        <w:t xml:space="preserve"> state of metabolic health </w:t>
      </w:r>
      <w:r w:rsidR="009926B4">
        <w:t>through the consumption of food</w:t>
      </w:r>
      <w:r w:rsidR="009C099A">
        <w:t xml:space="preserve"> (</w:t>
      </w:r>
      <w:bookmarkStart w:id="7" w:name="_Hlk87816156"/>
      <w:proofErr w:type="spellStart"/>
      <w:r w:rsidR="009C099A">
        <w:t>Schramski</w:t>
      </w:r>
      <w:proofErr w:type="spellEnd"/>
      <w:r w:rsidR="009C099A">
        <w:t xml:space="preserve">, </w:t>
      </w:r>
      <w:proofErr w:type="spellStart"/>
      <w:r w:rsidR="009C099A">
        <w:t>Gattie</w:t>
      </w:r>
      <w:proofErr w:type="spellEnd"/>
      <w:r w:rsidR="009C099A">
        <w:t xml:space="preserve"> </w:t>
      </w:r>
      <w:r w:rsidR="003F7FD4">
        <w:t xml:space="preserve">&amp; </w:t>
      </w:r>
      <w:r w:rsidR="009C099A">
        <w:t>Brown, 2015)</w:t>
      </w:r>
      <w:r>
        <w:t>.</w:t>
      </w:r>
      <w:bookmarkEnd w:id="7"/>
    </w:p>
    <w:p w14:paraId="76F44143" w14:textId="4D8E2BFE" w:rsidR="00900B3D" w:rsidRDefault="003C1491" w:rsidP="003F7FD4">
      <w:pPr>
        <w:spacing w:line="360" w:lineRule="auto"/>
        <w:jc w:val="both"/>
      </w:pPr>
      <w:r>
        <w:rPr>
          <w:noProof/>
        </w:rPr>
        <mc:AlternateContent>
          <mc:Choice Requires="wps">
            <w:drawing>
              <wp:anchor distT="0" distB="0" distL="114300" distR="114300" simplePos="0" relativeHeight="251662336" behindDoc="0" locked="0" layoutInCell="1" allowOverlap="1" wp14:anchorId="159C4CE6" wp14:editId="562C42E4">
                <wp:simplePos x="0" y="0"/>
                <wp:positionH relativeFrom="column">
                  <wp:posOffset>1874965</wp:posOffset>
                </wp:positionH>
                <wp:positionV relativeFrom="paragraph">
                  <wp:posOffset>2000250</wp:posOffset>
                </wp:positionV>
                <wp:extent cx="2434442" cy="296883"/>
                <wp:effectExtent l="0" t="0" r="4445" b="8255"/>
                <wp:wrapNone/>
                <wp:docPr id="4" name="Text Box 4"/>
                <wp:cNvGraphicFramePr/>
                <a:graphic xmlns:a="http://schemas.openxmlformats.org/drawingml/2006/main">
                  <a:graphicData uri="http://schemas.microsoft.com/office/word/2010/wordprocessingShape">
                    <wps:wsp>
                      <wps:cNvSpPr txBox="1"/>
                      <wps:spPr>
                        <a:xfrm>
                          <a:off x="0" y="0"/>
                          <a:ext cx="2434442" cy="296883"/>
                        </a:xfrm>
                        <a:prstGeom prst="rect">
                          <a:avLst/>
                        </a:prstGeom>
                        <a:solidFill>
                          <a:schemeClr val="lt1"/>
                        </a:solidFill>
                        <a:ln w="6350">
                          <a:noFill/>
                        </a:ln>
                      </wps:spPr>
                      <wps:txbx>
                        <w:txbxContent>
                          <w:p w14:paraId="7E26BD85" w14:textId="00FC93E7" w:rsidR="003C1491" w:rsidRDefault="003C1491">
                            <w:r>
                              <w:t>Graph 1. Energy used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C4CE6" id="Text Box 4" o:spid="_x0000_s1027" type="#_x0000_t202" style="position:absolute;left:0;text-align:left;margin-left:147.65pt;margin-top:157.5pt;width:191.7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zoQwIAAIAEAAAOAAAAZHJzL2Uyb0RvYy54bWysVMGO2jAQvVfqP1i+l0DIUjYirCgrqkpo&#10;dyWo9mwcm0RyPK5tSOjXd+wAS7c9Vb2Y8czkeea9GWYPXaPIUVhXgy7oaDCkRGgOZa33Bf2+XX2a&#10;UuI80yVToEVBT8LRh/nHD7PW5CKFClQpLEEQ7fLWFLTy3uRJ4nglGuYGYITGoATbMI9Xu09Ky1pE&#10;b1SSDoeTpAVbGgtcOIfexz5I5xFfSsH9s5ROeKIKirX5eNp47sKZzGcs31tmqpqfy2D/UEXDao2P&#10;XqEemWfkYOs/oJqaW3Ag/YBDk4CUNRexB+xmNHzXzaZiRsRekBxnrjS5/wfLn44vltRlQTNKNGtQ&#10;oq3oPPkCHckCO61xOSZtDKb5Dt2o8sXv0Bma7qRtwi+2QzCOPJ+u3AYwjs40G2dZllLCMZbeT6bT&#10;cYBJ3r421vmvAhoSjIJa1C5Syo5r5/vUS0p4zIGqy1WtVLyEeRFLZcmRodLKxxoR/LcspUlb0Mn4&#10;bhiBNYTPe2SlsZbQa99TsHy36yIz1353UJ6QBgv9GDnDVzXWumbOvzCLc4Od4y74ZzykAnwLzhYl&#10;Fdiff/OHfJQTo5S0OIcFdT8OzApK1DeNQt+PsiwMbrxkd59TvNjbyO42og/NEpCAEW6d4dEM+V5d&#10;TGmhecWVWYRXMcQ0x7cL6i/m0vfbgSvHxWIRk3BUDfNrvTE8QAfCgxLb7pVZc5bLo9BPcJlYlr9T&#10;rc8NX2pYHDzIOkoaeO5ZPdOPYx6H4rySYY9u7zHr7Y9j/gsAAP//AwBQSwMEFAAGAAgAAAAhAOKH&#10;h9HjAAAACwEAAA8AAABkcnMvZG93bnJldi54bWxMj8tOwzAQRfdI/QdrkNgg6qRRHoQ4FUI8JHZt&#10;eIidG5skajyOYjcJf8+wosuZObpzbrFdTM8mPbrOooBwHQDTWFvVYSPgrXq6yYA5L1HJ3qIW8KMd&#10;bMvVRSFzZWfc6WnvG0Yh6HIpoPV+yDl3dauNdGs7aKTbtx2N9DSODVejnCnc9HwTBAk3skP60MpB&#10;P7S6Pu5PRsDXdfP56pbn9zmKo+HxZarSD1UJcXW53N8B83rx/zD86ZM6lOR0sCdUjvUCNrdxRKiA&#10;KIypFBFJmqXADrRJwgx4WfDzDuUvAAAA//8DAFBLAQItABQABgAIAAAAIQC2gziS/gAAAOEBAAAT&#10;AAAAAAAAAAAAAAAAAAAAAABbQ29udGVudF9UeXBlc10ueG1sUEsBAi0AFAAGAAgAAAAhADj9If/W&#10;AAAAlAEAAAsAAAAAAAAAAAAAAAAALwEAAF9yZWxzLy5yZWxzUEsBAi0AFAAGAAgAAAAhAGVyvOhD&#10;AgAAgAQAAA4AAAAAAAAAAAAAAAAALgIAAGRycy9lMm9Eb2MueG1sUEsBAi0AFAAGAAgAAAAhAOKH&#10;h9HjAAAACwEAAA8AAAAAAAAAAAAAAAAAnQQAAGRycy9kb3ducmV2LnhtbFBLBQYAAAAABAAEAPMA&#10;AACtBQAAAAA=&#10;" fillcolor="white [3201]" stroked="f" strokeweight=".5pt">
                <v:textbox>
                  <w:txbxContent>
                    <w:p w14:paraId="7E26BD85" w14:textId="00FC93E7" w:rsidR="003C1491" w:rsidRDefault="003C1491">
                      <w:r>
                        <w:t>Graph 1. Energy used over time</w:t>
                      </w:r>
                    </w:p>
                  </w:txbxContent>
                </v:textbox>
              </v:shape>
            </w:pict>
          </mc:Fallback>
        </mc:AlternateContent>
      </w:r>
    </w:p>
    <w:p w14:paraId="0AC655AE" w14:textId="14079023" w:rsidR="009C099A" w:rsidRDefault="00EC6F95" w:rsidP="003F7FD4">
      <w:pPr>
        <w:spacing w:line="360" w:lineRule="auto"/>
        <w:jc w:val="both"/>
      </w:pPr>
      <w:r>
        <w:lastRenderedPageBreak/>
        <w:t>As per the Law of Conservation of Energy, energy cannot be created or destroyed, it can only be converted from one medium to another</w:t>
      </w:r>
      <w:r w:rsidR="009C099A">
        <w:t xml:space="preserve"> (Energy Education, 2021)</w:t>
      </w:r>
      <w:r>
        <w:t xml:space="preserve">.  </w:t>
      </w:r>
      <w:r w:rsidR="00CA399B">
        <w:t>To support the</w:t>
      </w:r>
      <w:r>
        <w:t xml:space="preserve"> ever-growing</w:t>
      </w:r>
      <w:r w:rsidR="00CA399B">
        <w:t xml:space="preserve"> need for energy, many </w:t>
      </w:r>
      <w:r>
        <w:t>generation sources</w:t>
      </w:r>
      <w:r w:rsidR="00CA399B">
        <w:t xml:space="preserve"> have been utilised to meet demand including nuclear</w:t>
      </w:r>
      <w:r w:rsidR="000D08F2">
        <w:t xml:space="preserve">, </w:t>
      </w:r>
      <w:r w:rsidR="00CA399B">
        <w:t>fossil fuel</w:t>
      </w:r>
      <w:r w:rsidR="000D08F2">
        <w:t>, and recent</w:t>
      </w:r>
      <w:r w:rsidR="00BD20B9">
        <w:t>ly</w:t>
      </w:r>
      <w:r w:rsidR="000D08F2">
        <w:t xml:space="preserve"> green alternatives</w:t>
      </w:r>
      <w:r w:rsidR="009C099A">
        <w:t xml:space="preserve">. </w:t>
      </w:r>
      <w:r w:rsidR="007D38B7">
        <w:t xml:space="preserve"> Coal, </w:t>
      </w:r>
      <w:r w:rsidR="007826FB">
        <w:t>oil,</w:t>
      </w:r>
      <w:r w:rsidR="007D38B7">
        <w:t xml:space="preserve"> and gas burning power </w:t>
      </w:r>
      <w:r w:rsidR="007826FB">
        <w:t xml:space="preserve">stations are classed as high carbon energy sources as they </w:t>
      </w:r>
      <w:r w:rsidR="007D38B7">
        <w:t xml:space="preserve">produce </w:t>
      </w:r>
      <w:r w:rsidR="007826FB">
        <w:t>large quantities</w:t>
      </w:r>
      <w:r w:rsidR="007D38B7">
        <w:t xml:space="preserve"> of greenhouse gasses that contribute to global warming</w:t>
      </w:r>
      <w:r w:rsidR="007826FB">
        <w:t xml:space="preserve">.  </w:t>
      </w:r>
      <w:r w:rsidR="000D08F2">
        <w:t xml:space="preserve">In the 2021 UK energy brief, the </w:t>
      </w:r>
      <w:r w:rsidR="007826FB">
        <w:t>D</w:t>
      </w:r>
      <w:r w:rsidR="000D08F2">
        <w:t xml:space="preserve">epartment for </w:t>
      </w:r>
      <w:r w:rsidR="007826FB">
        <w:t>B</w:t>
      </w:r>
      <w:r w:rsidR="000D08F2">
        <w:t xml:space="preserve">usiness, </w:t>
      </w:r>
      <w:r w:rsidR="007826FB">
        <w:t>E</w:t>
      </w:r>
      <w:r w:rsidR="000D08F2">
        <w:t xml:space="preserve">nergy &amp; Industrial Strategy state that </w:t>
      </w:r>
      <w:r w:rsidR="007D38B7">
        <w:t>fossil fuels</w:t>
      </w:r>
      <w:r w:rsidR="007826FB">
        <w:t xml:space="preserve"> produced 127.1 </w:t>
      </w:r>
      <w:proofErr w:type="spellStart"/>
      <w:r w:rsidR="007826FB">
        <w:t>TWh</w:t>
      </w:r>
      <w:proofErr w:type="spellEnd"/>
      <w:r w:rsidR="007826FB">
        <w:t xml:space="preserve"> (terra watt hours) of energy and</w:t>
      </w:r>
      <w:r w:rsidR="007D38B7">
        <w:t xml:space="preserve"> accounted for 40.8% of electricity generated in 2020</w:t>
      </w:r>
      <w:r w:rsidR="001D4F78">
        <w:t xml:space="preserve"> (Department for Business, Energy &amp; Industrial Strategy, 2021)</w:t>
      </w:r>
      <w:r w:rsidR="007D38B7">
        <w:t xml:space="preserve">. </w:t>
      </w:r>
      <w:r w:rsidR="007826FB">
        <w:t xml:space="preserve"> This is due to their ability to </w:t>
      </w:r>
      <w:r w:rsidR="004837C7">
        <w:t xml:space="preserve">quickly </w:t>
      </w:r>
      <w:r w:rsidR="007826FB">
        <w:t xml:space="preserve">produce vast quantities of energy required to </w:t>
      </w:r>
      <w:r w:rsidR="004837C7">
        <w:t xml:space="preserve">supplement </w:t>
      </w:r>
      <w:r w:rsidR="007826FB">
        <w:t xml:space="preserve">the grid in periods of </w:t>
      </w:r>
      <w:r w:rsidR="004837C7">
        <w:t>high demand</w:t>
      </w:r>
      <w:r w:rsidR="007826FB">
        <w:t>.</w:t>
      </w:r>
    </w:p>
    <w:p w14:paraId="7338E503" w14:textId="22BCF484" w:rsidR="00A90E10" w:rsidRDefault="003432A2" w:rsidP="003F7FD4">
      <w:pPr>
        <w:spacing w:line="360" w:lineRule="auto"/>
        <w:jc w:val="both"/>
      </w:pPr>
      <w:r>
        <w:t xml:space="preserve">Green or renewable energy </w:t>
      </w:r>
      <w:r w:rsidR="005A6DF4">
        <w:t>generation</w:t>
      </w:r>
      <w:r>
        <w:t xml:space="preserve"> operate</w:t>
      </w:r>
      <w:r w:rsidR="005A6DF4">
        <w:t>s</w:t>
      </w:r>
      <w:r>
        <w:t xml:space="preserve"> through</w:t>
      </w:r>
      <w:r w:rsidR="00F713E9">
        <w:t xml:space="preserve"> harnessing earth’s naturally occurring energy resources,</w:t>
      </w:r>
      <w:r>
        <w:t xml:space="preserve"> </w:t>
      </w:r>
      <w:r w:rsidR="00F713E9">
        <w:t xml:space="preserve">or by </w:t>
      </w:r>
      <w:r>
        <w:t xml:space="preserve">utilisation of otherwise wasted </w:t>
      </w:r>
      <w:r w:rsidR="005A6DF4">
        <w:t>bi</w:t>
      </w:r>
      <w:r>
        <w:t xml:space="preserve">products </w:t>
      </w:r>
      <w:r w:rsidR="00CC198F">
        <w:t>from</w:t>
      </w:r>
      <w:r>
        <w:t xml:space="preserve"> current infrastructure</w:t>
      </w:r>
      <w:r w:rsidR="00F713E9">
        <w:t xml:space="preserve">.  </w:t>
      </w:r>
      <w:r w:rsidR="00A76E5F">
        <w:t xml:space="preserve">Figures from the 2021 UK energy brief presented renewables as the </w:t>
      </w:r>
      <w:r w:rsidR="00F713E9">
        <w:t xml:space="preserve">current </w:t>
      </w:r>
      <w:r w:rsidR="00A76E5F">
        <w:t xml:space="preserve">fastest growing energy sector, producing 43.2% of total annual electricity generation, an increase of 6.3% since 2019.  </w:t>
      </w:r>
      <w:r w:rsidR="00A7399F">
        <w:t>Despite their inherent inconsistencies, w</w:t>
      </w:r>
      <w:r w:rsidR="00A76E5F">
        <w:t xml:space="preserve">ind and solar provided the largest contribution </w:t>
      </w:r>
      <w:r w:rsidR="00A7399F">
        <w:t>of 28.4%, with the further 14.2% produced by other</w:t>
      </w:r>
      <w:r w:rsidR="002A5B2A">
        <w:t xml:space="preserve"> developing</w:t>
      </w:r>
      <w:r w:rsidR="00A7399F">
        <w:t xml:space="preserve"> sources such as hydro, </w:t>
      </w:r>
      <w:r w:rsidR="001F2DB1">
        <w:t xml:space="preserve">marine </w:t>
      </w:r>
      <w:r w:rsidR="00A7399F">
        <w:t>and biomass</w:t>
      </w:r>
      <w:r w:rsidR="002A5B2A">
        <w:t xml:space="preserve"> </w:t>
      </w:r>
      <w:r w:rsidR="00F713E9">
        <w:t>(Department for Business, Energy &amp; Industrial Strategy, 2021).</w:t>
      </w:r>
      <w:r w:rsidR="002A5B2A">
        <w:t xml:space="preserve">  </w:t>
      </w:r>
    </w:p>
    <w:p w14:paraId="7D603FB7" w14:textId="6AC4D654" w:rsidR="00842E4F" w:rsidRDefault="002A5B2A" w:rsidP="003F7FD4">
      <w:pPr>
        <w:spacing w:line="360" w:lineRule="auto"/>
        <w:jc w:val="both"/>
      </w:pPr>
      <w:r>
        <w:t>Solar or Photovoltaic (PV)</w:t>
      </w:r>
      <w:r w:rsidR="008A7855">
        <w:t xml:space="preserve"> </w:t>
      </w:r>
      <w:r>
        <w:t>generat</w:t>
      </w:r>
      <w:r w:rsidR="008A7855">
        <w:t>ors capture energy</w:t>
      </w:r>
      <w:r w:rsidR="00D05AA6">
        <w:t xml:space="preserve"> </w:t>
      </w:r>
      <w:r w:rsidR="00A90E10">
        <w:t xml:space="preserve">in </w:t>
      </w:r>
      <w:r w:rsidR="008A7855">
        <w:t xml:space="preserve">hours of </w:t>
      </w:r>
      <w:r w:rsidR="00A90E10">
        <w:t xml:space="preserve">radiation omitting </w:t>
      </w:r>
      <w:r w:rsidR="008A7855">
        <w:t>sunlight</w:t>
      </w:r>
      <w:r>
        <w:t xml:space="preserve"> with varying effect</w:t>
      </w:r>
      <w:r w:rsidR="00D05AA6">
        <w:t xml:space="preserve">, </w:t>
      </w:r>
      <w:r>
        <w:t xml:space="preserve">based on </w:t>
      </w:r>
      <w:r w:rsidR="008A7855">
        <w:t>ever changing cloud cover</w:t>
      </w:r>
      <w:r w:rsidR="00A90E10">
        <w:t xml:space="preserve"> and sun intensity.  This can cause</w:t>
      </w:r>
      <w:r w:rsidR="008A7855">
        <w:t xml:space="preserve"> rapid fluctuations in voltage</w:t>
      </w:r>
      <w:r w:rsidR="00A90E10">
        <w:t xml:space="preserve"> resulting in wear to regulators and comprised power quality if voltage levels are outside the 5% tolerance</w:t>
      </w:r>
      <w:r w:rsidR="00CE69E8">
        <w:t xml:space="preserve"> (Patra, 2020)</w:t>
      </w:r>
      <w:r w:rsidR="00A90E10">
        <w:t>.</w:t>
      </w:r>
      <w:r w:rsidR="00BB20D4">
        <w:t xml:space="preserve">  </w:t>
      </w:r>
      <w:r w:rsidR="00D05AA6">
        <w:t xml:space="preserve">Wind </w:t>
      </w:r>
      <w:r w:rsidR="00CE69E8">
        <w:t>farms are subject to</w:t>
      </w:r>
      <w:r w:rsidR="00D05AA6">
        <w:t xml:space="preserve"> an equal level of inconsistency as</w:t>
      </w:r>
      <w:r w:rsidR="00CE69E8">
        <w:t xml:space="preserve"> voltage generated is </w:t>
      </w:r>
      <w:r w:rsidR="00BB1CEB">
        <w:t xml:space="preserve">directly proportional to windspeed.  Turbines require a minimum wind speed of </w:t>
      </w:r>
      <w:r w:rsidR="00E206D4">
        <w:t>3</w:t>
      </w:r>
      <w:r w:rsidR="00BB1CEB">
        <w:t xml:space="preserve">m/s to operate and will reach </w:t>
      </w:r>
      <w:r w:rsidR="00842E4F">
        <w:t>their</w:t>
      </w:r>
      <w:r w:rsidR="00BB1CEB">
        <w:t xml:space="preserve"> maximum generation level at </w:t>
      </w:r>
      <w:r w:rsidR="00E206D4">
        <w:t>20</w:t>
      </w:r>
      <w:r w:rsidR="00BB1CEB">
        <w:t xml:space="preserve"> m/s.</w:t>
      </w:r>
      <w:r w:rsidR="004D2757">
        <w:t xml:space="preserve">  As a safety precaution</w:t>
      </w:r>
      <w:r w:rsidR="006E0A1C">
        <w:t>,</w:t>
      </w:r>
      <w:r w:rsidR="004D2757">
        <w:t xml:space="preserve"> windspeeds above 25 m/s will initiate a brake to prevent voltage overload and structural damage</w:t>
      </w:r>
      <w:r w:rsidR="00E206D4">
        <w:t xml:space="preserve"> (</w:t>
      </w:r>
      <w:r w:rsidR="00776846">
        <w:t>H. Yang, J Chen &amp; X, Pang, 2018)</w:t>
      </w:r>
      <w:r w:rsidR="004D2757">
        <w:t>.</w:t>
      </w:r>
      <w:r w:rsidR="00BB1CEB">
        <w:t xml:space="preserve">  </w:t>
      </w:r>
      <w:r w:rsidR="004D2757">
        <w:t>Wind inconsistency</w:t>
      </w:r>
      <w:r w:rsidR="00482DD4">
        <w:t>, due to gust</w:t>
      </w:r>
      <w:r w:rsidR="006C4DC0">
        <w:t xml:space="preserve"> intensity and directional changes</w:t>
      </w:r>
      <w:r w:rsidR="00482DD4">
        <w:t>,</w:t>
      </w:r>
      <w:r w:rsidR="004D2757">
        <w:t xml:space="preserve"> can also cause fluctuation in voltage resulting in grid wear as </w:t>
      </w:r>
      <w:r w:rsidR="00482DD4">
        <w:t xml:space="preserve">traditional infrastructure is designed receive and distribute </w:t>
      </w:r>
      <w:r w:rsidR="006C4DC0">
        <w:t>steady</w:t>
      </w:r>
      <w:r w:rsidR="00482DD4">
        <w:t xml:space="preserve"> power. </w:t>
      </w:r>
      <w:r w:rsidR="006C4DC0">
        <w:t xml:space="preserve">  </w:t>
      </w:r>
      <w:r w:rsidR="00842E4F">
        <w:t xml:space="preserve">Although </w:t>
      </w:r>
      <w:r w:rsidR="00BB20D4">
        <w:t xml:space="preserve">emission free </w:t>
      </w:r>
      <w:r w:rsidR="00842E4F">
        <w:t xml:space="preserve">and increasingly </w:t>
      </w:r>
      <w:r w:rsidR="00BB20D4">
        <w:t>efficient</w:t>
      </w:r>
      <w:r w:rsidR="00842E4F">
        <w:t xml:space="preserve">, much solar and wind </w:t>
      </w:r>
      <w:r w:rsidR="00BB20D4">
        <w:t xml:space="preserve">energy </w:t>
      </w:r>
      <w:r w:rsidR="00842E4F">
        <w:t xml:space="preserve">is lost through inability to control input and store unused energy generated over the required output quantity.  </w:t>
      </w:r>
    </w:p>
    <w:p w14:paraId="39D65C7B" w14:textId="09A7E4DB" w:rsidR="00E206D4" w:rsidRDefault="001F2DB1" w:rsidP="003F7FD4">
      <w:pPr>
        <w:spacing w:line="360" w:lineRule="auto"/>
        <w:jc w:val="both"/>
      </w:pPr>
      <w:r>
        <w:t>Hydroelectric</w:t>
      </w:r>
      <w:r w:rsidR="00F46536">
        <w:t xml:space="preserve"> </w:t>
      </w:r>
      <w:r>
        <w:t>sources</w:t>
      </w:r>
      <w:r w:rsidR="00943B11">
        <w:t xml:space="preserve">, </w:t>
      </w:r>
      <w:r>
        <w:t xml:space="preserve">currently the smallest contributor of energy in the UK due to </w:t>
      </w:r>
      <w:r w:rsidR="00484D4F">
        <w:t>its</w:t>
      </w:r>
      <w:r w:rsidR="00776846">
        <w:t xml:space="preserve"> technological</w:t>
      </w:r>
      <w:r>
        <w:t xml:space="preserve"> infancy, </w:t>
      </w:r>
      <w:r w:rsidR="00484D4F">
        <w:t xml:space="preserve">is </w:t>
      </w:r>
      <w:r w:rsidR="00943B11">
        <w:t xml:space="preserve">fast growing </w:t>
      </w:r>
      <w:r w:rsidR="00574D26">
        <w:t xml:space="preserve">as a </w:t>
      </w:r>
      <w:r w:rsidR="003434A5">
        <w:t>consequence of recent</w:t>
      </w:r>
      <w:r w:rsidR="00943B11">
        <w:t xml:space="preserve"> innovation and investment.</w:t>
      </w:r>
      <w:r w:rsidR="00776846">
        <w:t xml:space="preserve"> </w:t>
      </w:r>
      <w:r w:rsidR="00943B11">
        <w:t xml:space="preserve"> </w:t>
      </w:r>
      <w:r w:rsidR="00FC0F7E">
        <w:t>Hydroelectric energy sources, such as tidal surge energy collectors, operate in a similar manor to wind generators, using fluid</w:t>
      </w:r>
      <w:r w:rsidR="003434A5">
        <w:t xml:space="preserve"> flow</w:t>
      </w:r>
      <w:r w:rsidR="00FC0F7E">
        <w:t xml:space="preserve"> to spin turbines.  Due to tidal consistency and far greater fluid density</w:t>
      </w:r>
      <w:r w:rsidR="00484D4F">
        <w:t>,</w:t>
      </w:r>
      <w:r w:rsidR="00FC0F7E">
        <w:t xml:space="preserve"> hydro energy has </w:t>
      </w:r>
      <w:r w:rsidR="008E5D38">
        <w:t xml:space="preserve">the </w:t>
      </w:r>
      <w:r w:rsidR="00484D4F">
        <w:lastRenderedPageBreak/>
        <w:t>capability of producing large quantities of predictable energy.</w:t>
      </w:r>
      <w:r w:rsidR="008E5D38">
        <w:t xml:space="preserve">  The main disadvantages of tidal energy generation are the specific locational requirements for construction and operation, damage risk to ocean ecosystems and the inability to </w:t>
      </w:r>
      <w:r w:rsidR="009A56E6">
        <w:t xml:space="preserve">synchronise </w:t>
      </w:r>
      <w:r w:rsidR="008E5D38">
        <w:t>consumption patterns with tide cycles</w:t>
      </w:r>
      <w:r w:rsidR="00E206D4">
        <w:t xml:space="preserve"> resulting in </w:t>
      </w:r>
      <w:r w:rsidR="009A56E6">
        <w:t>energy loss</w:t>
      </w:r>
      <w:r w:rsidR="00776846">
        <w:t xml:space="preserve"> (</w:t>
      </w:r>
      <w:proofErr w:type="spellStart"/>
      <w:r w:rsidR="00776846">
        <w:t>Greenmatch</w:t>
      </w:r>
      <w:proofErr w:type="spellEnd"/>
      <w:r w:rsidR="00776846">
        <w:t>, 2021)</w:t>
      </w:r>
      <w:r w:rsidR="00E206D4">
        <w:t>.</w:t>
      </w:r>
    </w:p>
    <w:p w14:paraId="524690DE" w14:textId="61E88A6D" w:rsidR="00D70FF7" w:rsidRPr="003C1491" w:rsidRDefault="00776846" w:rsidP="003F7FD4">
      <w:pPr>
        <w:spacing w:line="360" w:lineRule="auto"/>
        <w:jc w:val="both"/>
      </w:pPr>
      <w:r>
        <w:t xml:space="preserve">Axillary </w:t>
      </w:r>
      <w:r w:rsidR="00A30976">
        <w:t xml:space="preserve">energy </w:t>
      </w:r>
      <w:r>
        <w:t>sources, known as the ‘</w:t>
      </w:r>
      <w:r w:rsidR="00D8376F">
        <w:t>Short Term O</w:t>
      </w:r>
      <w:r>
        <w:t xml:space="preserve">perating </w:t>
      </w:r>
      <w:r w:rsidR="00D8376F">
        <w:t>R</w:t>
      </w:r>
      <w:r>
        <w:t>eserve’</w:t>
      </w:r>
      <w:r w:rsidR="00D8376F">
        <w:t xml:space="preserve"> (STOR)</w:t>
      </w:r>
      <w:r>
        <w:t xml:space="preserve"> </w:t>
      </w:r>
      <w:r w:rsidR="00A30976">
        <w:t>are high power generating avenues that can be implemented promptly to support the grid as a backup contingency.</w:t>
      </w:r>
      <w:r w:rsidR="009A56E6">
        <w:t xml:space="preserve"> </w:t>
      </w:r>
      <w:r w:rsidR="00D8376F">
        <w:t xml:space="preserve">In 2014/15 </w:t>
      </w:r>
      <w:r w:rsidR="009A56E6">
        <w:t>t</w:t>
      </w:r>
      <w:r w:rsidR="00D8376F">
        <w:t xml:space="preserve">he STOR provided the UK National Grid with approximately </w:t>
      </w:r>
      <w:r w:rsidR="009A56E6">
        <w:t>231,616 MWh of energy, consisting of both renewable and high carbon energy sources that produced 142,379 tons of CO2</w:t>
      </w:r>
      <w:r w:rsidR="00BC5642">
        <w:t xml:space="preserve"> (</w:t>
      </w:r>
      <w:proofErr w:type="spellStart"/>
      <w:r w:rsidR="00BC5642">
        <w:t>NationalGrid</w:t>
      </w:r>
      <w:proofErr w:type="spellEnd"/>
      <w:r w:rsidR="00BC5642">
        <w:t>, 2016)</w:t>
      </w:r>
      <w:r w:rsidR="009A56E6">
        <w:t xml:space="preserve">.   </w:t>
      </w:r>
      <w:r w:rsidR="005B013B">
        <w:t>An example of</w:t>
      </w:r>
      <w:r w:rsidR="00BC5642">
        <w:t xml:space="preserve"> a potentially</w:t>
      </w:r>
      <w:r w:rsidR="005B013B">
        <w:t xml:space="preserve"> clean </w:t>
      </w:r>
      <w:r w:rsidR="00F654DE">
        <w:t>STOR</w:t>
      </w:r>
      <w:r w:rsidR="005B013B">
        <w:t xml:space="preserve"> is</w:t>
      </w:r>
      <w:r w:rsidR="005F3E2F">
        <w:t xml:space="preserve"> the</w:t>
      </w:r>
      <w:r w:rsidR="005B013B">
        <w:t xml:space="preserve"> </w:t>
      </w:r>
      <w:proofErr w:type="spellStart"/>
      <w:r w:rsidR="00943B11">
        <w:t>Dinorwig</w:t>
      </w:r>
      <w:proofErr w:type="spellEnd"/>
      <w:r w:rsidR="00943B11">
        <w:t xml:space="preserve"> </w:t>
      </w:r>
      <w:r w:rsidR="00BC5642">
        <w:t xml:space="preserve">Pumped Storage </w:t>
      </w:r>
      <w:r w:rsidR="00943B11">
        <w:t>Power Station, commissioned in 1984, produces hydroelectric</w:t>
      </w:r>
      <w:r w:rsidR="00D32DBD">
        <w:t>ity</w:t>
      </w:r>
      <w:r w:rsidR="00943B11">
        <w:t xml:space="preserve"> using a dam to separate an upper and lower reservoir.  </w:t>
      </w:r>
      <w:r w:rsidR="00D32DBD">
        <w:t>Upon demand</w:t>
      </w:r>
      <w:r w:rsidR="00943B11">
        <w:t xml:space="preserve">, </w:t>
      </w:r>
      <w:r w:rsidR="00D32DBD">
        <w:t>water is fed from the upper level through six 300 MW turbines into the lower area where the water is stored.  Once the demand has been met and energy from other</w:t>
      </w:r>
      <w:r w:rsidR="00BC5642">
        <w:t xml:space="preserve"> clean</w:t>
      </w:r>
      <w:r w:rsidR="00D32DBD">
        <w:t xml:space="preserve"> sources </w:t>
      </w:r>
      <w:r w:rsidR="00A47A9B">
        <w:t>is</w:t>
      </w:r>
      <w:r w:rsidR="00D32DBD">
        <w:t xml:space="preserve"> </w:t>
      </w:r>
      <w:r w:rsidR="00A47A9B">
        <w:t xml:space="preserve">available </w:t>
      </w:r>
      <w:r w:rsidR="00D32DBD">
        <w:t>water is pumped</w:t>
      </w:r>
      <w:r w:rsidR="00A47A9B">
        <w:t xml:space="preserve"> </w:t>
      </w:r>
      <w:r w:rsidR="00D32DBD">
        <w:t>to the upper reservoir ready for the cycle to repeat upon</w:t>
      </w:r>
      <w:r w:rsidR="00D84837">
        <w:t xml:space="preserve"> requirement</w:t>
      </w:r>
      <w:r w:rsidR="00F654DE">
        <w:t xml:space="preserve"> (Welsh </w:t>
      </w:r>
      <w:r w:rsidR="008A4467">
        <w:t>Government, 2018)</w:t>
      </w:r>
      <w:r w:rsidR="00D84837">
        <w:t xml:space="preserve">.  Although this system requires energy to replenish its stock of water, </w:t>
      </w:r>
      <w:r w:rsidR="00BC5642">
        <w:t>provid</w:t>
      </w:r>
      <w:r w:rsidR="004379B4">
        <w:t>ed</w:t>
      </w:r>
      <w:r w:rsidR="00BC5642">
        <w:t xml:space="preserve"> renewable energy is </w:t>
      </w:r>
      <w:r w:rsidR="005F3E2F">
        <w:t>used, the</w:t>
      </w:r>
      <w:r w:rsidR="00BC5642">
        <w:t xml:space="preserve"> system can be defined</w:t>
      </w:r>
      <w:r w:rsidR="00D84837">
        <w:t xml:space="preserve"> as </w:t>
      </w:r>
      <w:r w:rsidR="00BC5642">
        <w:t xml:space="preserve">a clean </w:t>
      </w:r>
      <w:r w:rsidR="00D84837">
        <w:t>energy storage device</w:t>
      </w:r>
      <w:r w:rsidR="005F3E2F">
        <w:t>,</w:t>
      </w:r>
      <w:r w:rsidR="00A47A9B">
        <w:t xml:space="preserve"> </w:t>
      </w:r>
      <w:r w:rsidR="00BC5642">
        <w:t xml:space="preserve">available to </w:t>
      </w:r>
      <w:r w:rsidR="00A47A9B">
        <w:t>supplement the grid</w:t>
      </w:r>
      <w:r w:rsidR="005F3E2F">
        <w:t xml:space="preserve"> on demand</w:t>
      </w:r>
      <w:r w:rsidR="003C1491">
        <w:t xml:space="preserve">, </w:t>
      </w:r>
      <w:r w:rsidR="00BC5642">
        <w:t>reducing</w:t>
      </w:r>
      <w:r w:rsidR="003C1491">
        <w:t xml:space="preserve"> the</w:t>
      </w:r>
      <w:r w:rsidR="00A47A9B">
        <w:t xml:space="preserve"> need for high carbon backup generation.  </w:t>
      </w:r>
    </w:p>
    <w:p w14:paraId="182E06B3" w14:textId="62A89E96" w:rsidR="00D70FF7" w:rsidRPr="00D70FF7" w:rsidRDefault="00D70FF7" w:rsidP="003F7FD4">
      <w:pPr>
        <w:pStyle w:val="Heading2"/>
        <w:spacing w:line="360" w:lineRule="auto"/>
        <w:jc w:val="both"/>
      </w:pPr>
      <w:bookmarkStart w:id="8" w:name="_Toc87862305"/>
      <w:r w:rsidRPr="004837C7">
        <w:t>E</w:t>
      </w:r>
      <w:r>
        <w:t>nergy Grid</w:t>
      </w:r>
      <w:bookmarkEnd w:id="8"/>
      <w:r>
        <w:t xml:space="preserve"> </w:t>
      </w:r>
    </w:p>
    <w:p w14:paraId="086F58A0" w14:textId="71683703" w:rsidR="003F7FD4" w:rsidRDefault="00D70FF7" w:rsidP="003F7FD4">
      <w:pPr>
        <w:spacing w:line="360" w:lineRule="auto"/>
        <w:jc w:val="both"/>
      </w:pPr>
      <w:r>
        <w:t>A major area of concern when speculating the adoption of EVs as a public automotive solution is current grid infrastructure and its capacity to support the extra load requirements.  Due to the continuous investment and optimisation of the grid in the move to green energy generation, grid capabilities are constantly increasing.  In 2019 EEL Power stated that the grid has a maximum of 600</w:t>
      </w:r>
      <w:r w:rsidR="003F7FD4">
        <w:t>GW</w:t>
      </w:r>
      <w:r>
        <w:t xml:space="preserve"> frequency response capacity to support growing end user needs, which is projected to grow a further 5G</w:t>
      </w:r>
      <w:r w:rsidR="003F7FD4">
        <w:t>W</w:t>
      </w:r>
      <w:r>
        <w:t xml:space="preserve"> by 2024 with implementation of auxiliary storge capacity (</w:t>
      </w:r>
      <w:proofErr w:type="spellStart"/>
      <w:r>
        <w:t>EELPower</w:t>
      </w:r>
      <w:proofErr w:type="spellEnd"/>
      <w:r>
        <w:t>, 2019).  If 32 million vehicles in the UK were to require 7 Kw charge capacity at the 5pm peak time, the grid would need to supply a maximum of 224G</w:t>
      </w:r>
      <w:r w:rsidR="003F7FD4">
        <w:t>W</w:t>
      </w:r>
      <w:r>
        <w:t xml:space="preserve"> throughout the period it takes to charge all vehicles, estimating a requirement of 37.33% of total available capacity</w:t>
      </w:r>
      <w:r w:rsidR="003F7FD4">
        <w:t>,</w:t>
      </w:r>
      <w:r>
        <w:t xml:space="preserve"> in addition to current requirements such as suppling homes and businesses the energy they require to operate</w:t>
      </w:r>
      <w:r w:rsidR="003F7FD4">
        <w:t>.  As this data shows, current</w:t>
      </w:r>
      <w:r>
        <w:t xml:space="preserve"> grid capabilities coupled with rudimentary charge technology</w:t>
      </w:r>
      <w:r w:rsidR="003C1491">
        <w:t xml:space="preserve"> </w:t>
      </w:r>
      <w:r>
        <w:t>will be insufficient in supporting the move toward full EV adoption</w:t>
      </w:r>
      <w:r w:rsidR="003F7FD4">
        <w:t>.</w:t>
      </w:r>
    </w:p>
    <w:p w14:paraId="1D0B7943" w14:textId="272B3601" w:rsidR="00C720A7" w:rsidRDefault="00601C5C" w:rsidP="003F7FD4">
      <w:pPr>
        <w:pStyle w:val="Heading1"/>
        <w:numPr>
          <w:ilvl w:val="0"/>
          <w:numId w:val="1"/>
        </w:numPr>
        <w:spacing w:line="360" w:lineRule="auto"/>
        <w:jc w:val="both"/>
        <w:rPr>
          <w:sz w:val="36"/>
          <w:szCs w:val="36"/>
        </w:rPr>
      </w:pPr>
      <w:r w:rsidRPr="00A643D6">
        <w:rPr>
          <w:sz w:val="36"/>
          <w:szCs w:val="36"/>
        </w:rPr>
        <w:lastRenderedPageBreak/>
        <w:tab/>
      </w:r>
      <w:bookmarkStart w:id="9" w:name="_Toc87862306"/>
      <w:r w:rsidRPr="00A643D6">
        <w:rPr>
          <w:sz w:val="36"/>
          <w:szCs w:val="36"/>
        </w:rPr>
        <w:t>Conclusio</w:t>
      </w:r>
      <w:r w:rsidR="00A24290">
        <w:rPr>
          <w:sz w:val="36"/>
          <w:szCs w:val="36"/>
        </w:rPr>
        <w:t>n</w:t>
      </w:r>
      <w:bookmarkEnd w:id="9"/>
    </w:p>
    <w:p w14:paraId="43682294" w14:textId="512475A6" w:rsidR="00E95746" w:rsidRDefault="00C720A7" w:rsidP="003F7FD4">
      <w:pPr>
        <w:spacing w:line="360" w:lineRule="auto"/>
        <w:jc w:val="both"/>
      </w:pPr>
      <w:r>
        <w:t>C</w:t>
      </w:r>
      <w:r w:rsidR="008279D9">
        <w:t>harging technologies are a necessary component to support the wide scale adoption of electric vehicles</w:t>
      </w:r>
      <w:r>
        <w:t xml:space="preserve"> due to the extra load requirements on the grid.  With minimal EVs currently in use</w:t>
      </w:r>
      <w:r w:rsidR="00640B0C">
        <w:t>,</w:t>
      </w:r>
      <w:r w:rsidR="002F2834">
        <w:t xml:space="preserve"> </w:t>
      </w:r>
      <w:r w:rsidR="00FB2846">
        <w:t>V20</w:t>
      </w:r>
      <w:r w:rsidR="00640B0C">
        <w:t xml:space="preserve"> plug,</w:t>
      </w:r>
      <w:r w:rsidR="002F2834">
        <w:t xml:space="preserve"> </w:t>
      </w:r>
      <w:r w:rsidR="00FB2846">
        <w:t>and charge</w:t>
      </w:r>
      <w:r w:rsidR="00640B0C">
        <w:t xml:space="preserve"> </w:t>
      </w:r>
      <w:r w:rsidR="00FB2846">
        <w:t xml:space="preserve">is applicable as the load requirements are small, </w:t>
      </w:r>
      <w:r w:rsidR="00640B0C">
        <w:t xml:space="preserve">however, this method does not support </w:t>
      </w:r>
      <w:r w:rsidR="00FB2846">
        <w:t>grid</w:t>
      </w:r>
      <w:r w:rsidR="00640B0C">
        <w:t xml:space="preserve"> operation and current</w:t>
      </w:r>
      <w:r w:rsidR="00FB2846">
        <w:t xml:space="preserve"> infrastructure will not have the ability to support mass EV adoption.  </w:t>
      </w:r>
      <w:r w:rsidR="002F2834">
        <w:t>Provided EV growth continues, V21 grid operator-controlled charging, is a viable solution</w:t>
      </w:r>
      <w:r w:rsidR="00640B0C">
        <w:t xml:space="preserve"> to support extra load requirements</w:t>
      </w:r>
      <w:r w:rsidR="002F2834">
        <w:t xml:space="preserve"> as it allows the staggering of charge events</w:t>
      </w:r>
      <w:r w:rsidR="00640B0C">
        <w:t xml:space="preserve">.  </w:t>
      </w:r>
      <w:r w:rsidR="0039326C">
        <w:t xml:space="preserve">As the next step in charge control, V2G technology provides load spreading capabilities of V21 and the added capability to provide the grid with auxiliary energy </w:t>
      </w:r>
      <w:r w:rsidR="002E6C5D">
        <w:t>storage.  This enables</w:t>
      </w:r>
      <w:r w:rsidR="0039326C">
        <w:t xml:space="preserve"> advanced load levelling </w:t>
      </w:r>
      <w:r w:rsidR="002E6C5D">
        <w:t>to aid</w:t>
      </w:r>
      <w:r w:rsidR="0039326C">
        <w:t xml:space="preserve"> in energy generation optimisation</w:t>
      </w:r>
      <w:r w:rsidR="002E6C5D">
        <w:t xml:space="preserve"> (</w:t>
      </w:r>
      <w:r w:rsidR="003F7FD4" w:rsidRPr="003F7FD4">
        <w:t>Change-Climate, 2021</w:t>
      </w:r>
      <w:r w:rsidR="002E6C5D" w:rsidRPr="003F7FD4">
        <w:t>)</w:t>
      </w:r>
      <w:r w:rsidR="0039326C" w:rsidRPr="003F7FD4">
        <w:t xml:space="preserve">.  </w:t>
      </w:r>
      <w:r w:rsidR="0039326C">
        <w:t>The function of load levelling includes valley filling, whereby low cost off peak or renewable energy</w:t>
      </w:r>
      <w:r w:rsidR="002E6C5D">
        <w:t xml:space="preserve"> is stored for later use, and peak sheading, which us</w:t>
      </w:r>
      <w:r w:rsidR="00F94C22">
        <w:t>es</w:t>
      </w:r>
      <w:r w:rsidR="002E6C5D">
        <w:t xml:space="preserve"> this stored energy to support the grid in periods of peak demand </w:t>
      </w:r>
      <w:r w:rsidR="003F7FD4" w:rsidRPr="003F7FD4">
        <w:t>(Hitachi, 2021</w:t>
      </w:r>
      <w:r w:rsidR="002E6C5D" w:rsidRPr="003F7FD4">
        <w:t>).</w:t>
      </w:r>
    </w:p>
    <w:p w14:paraId="623CD05B" w14:textId="776469CA" w:rsidR="003F7FD4" w:rsidRPr="003F7FD4" w:rsidRDefault="003F7FD4" w:rsidP="003F7FD4">
      <w:pPr>
        <w:spacing w:line="360" w:lineRule="auto"/>
        <w:jc w:val="both"/>
      </w:pPr>
      <w:r w:rsidRPr="003F7FD4">
        <w:t xml:space="preserve">To support V2G adoption numerous charging facilities per vehicle must be installed to maximise storage capacity.  Each vehicle should have a minimum of </w:t>
      </w:r>
      <w:r w:rsidRPr="003F7FD4">
        <w:t xml:space="preserve">a </w:t>
      </w:r>
      <w:r w:rsidRPr="003F7FD4">
        <w:t>7kW power facility at residential buildings and 22kW supply for all parking areas at industrial places of work</w:t>
      </w:r>
      <w:r w:rsidRPr="003F7FD4">
        <w:t xml:space="preserve"> and shopping venues.  As V2G technology aids grid support and saves energy companies costs, that would otherwise be spent on outsourcing foreign energy or high carbon STORs, energy companies should outlay the investment necessary to increase charge capability at the same rate as EV adoption to maximise capacity.  </w:t>
      </w:r>
    </w:p>
    <w:p w14:paraId="35360FB5" w14:textId="59346C70" w:rsidR="007370B8" w:rsidRDefault="007F22A3" w:rsidP="003F7FD4">
      <w:pPr>
        <w:spacing w:line="360" w:lineRule="auto"/>
        <w:jc w:val="both"/>
      </w:pPr>
      <w:r>
        <w:t>Correct V2G operation requires cooperation from energy providers, end users/ consumers, and vehicle manufacturers.  Energy providers will</w:t>
      </w:r>
      <w:r w:rsidR="000C05F5">
        <w:t xml:space="preserve"> require</w:t>
      </w:r>
      <w:r>
        <w:t xml:space="preserve"> algorithmic control of</w:t>
      </w:r>
      <w:r w:rsidR="000C05F5">
        <w:t xml:space="preserve"> </w:t>
      </w:r>
      <w:r>
        <w:t>bidirectional charging</w:t>
      </w:r>
      <w:r w:rsidR="000C05F5">
        <w:t>,</w:t>
      </w:r>
      <w:r>
        <w:t xml:space="preserve"> </w:t>
      </w:r>
      <w:r w:rsidR="000C05F5">
        <w:t>ensuring that usage of auxiliary storage capacity does not detriment end user function.</w:t>
      </w:r>
      <w:r w:rsidR="001A2DFE">
        <w:t xml:space="preserve">  The system must</w:t>
      </w:r>
      <w:r w:rsidR="00381887">
        <w:t xml:space="preserve"> work with</w:t>
      </w:r>
      <w:r w:rsidR="00E839D4">
        <w:t xml:space="preserve"> the</w:t>
      </w:r>
      <w:r w:rsidR="00381887">
        <w:t xml:space="preserve"> BMS to</w:t>
      </w:r>
      <w:r w:rsidR="001A2DFE">
        <w:t xml:space="preserve"> monitor </w:t>
      </w:r>
      <w:r w:rsidR="00381887">
        <w:t>individual SOC and battery health to enable estimation of the load required to meet end user needs and the capacity available to support grid function.  A minimum DOD must be defined as shallow charge events help to optimise battery</w:t>
      </w:r>
      <w:r w:rsidR="003C1491">
        <w:t xml:space="preserve"> cycle</w:t>
      </w:r>
      <w:r w:rsidR="00381887">
        <w:t xml:space="preserve"> life while ensuring consumers have the available energy to support </w:t>
      </w:r>
      <w:r w:rsidR="00E839D4">
        <w:t xml:space="preserve">inconsistencies of everyday life.  </w:t>
      </w:r>
      <w:r w:rsidR="00F94C22">
        <w:t xml:space="preserve">In addition, consumer communication is necessary for optimisation, as periods of rest can increase available capacity and inversely extra needs such as planned tips may require a full charge for a certain time.  Finally manufacture </w:t>
      </w:r>
      <w:r w:rsidR="0064121A">
        <w:t>cooperation is required by standardising bidirectional charge systems, including hardware, to allow plugin of any vehicle at any charge facility, and software to enable integration of grid monitoring systems.</w:t>
      </w:r>
      <w:r w:rsidR="00E95746">
        <w:t xml:space="preserve"> </w:t>
      </w:r>
    </w:p>
    <w:p w14:paraId="32C695F8" w14:textId="74BF2DD3" w:rsidR="00E85459" w:rsidRDefault="003F7FD4" w:rsidP="003F7FD4">
      <w:pPr>
        <w:spacing w:line="360" w:lineRule="auto"/>
        <w:jc w:val="both"/>
      </w:pPr>
      <w:r>
        <w:t xml:space="preserve">In conclusion, correct implementation of V2G technology could be the mutually beneficial answer to both green energy generation optimisation and load stabilisation, however, advancement is required </w:t>
      </w:r>
      <w:r>
        <w:lastRenderedPageBreak/>
        <w:t>in grid infrastructure, including observation and management of participating vehicles and hardware implementation, in addition to sustainable battery technology and consumer cooperation.</w:t>
      </w:r>
    </w:p>
    <w:p w14:paraId="654DDB9B" w14:textId="32A79E69" w:rsidR="003F7FD4" w:rsidRDefault="003F7FD4" w:rsidP="003F7FD4">
      <w:pPr>
        <w:spacing w:line="360" w:lineRule="auto"/>
        <w:jc w:val="both"/>
      </w:pPr>
    </w:p>
    <w:p w14:paraId="6374E308" w14:textId="16368F49" w:rsidR="003F7FD4" w:rsidRDefault="003F7FD4" w:rsidP="003F7FD4">
      <w:pPr>
        <w:spacing w:line="360" w:lineRule="auto"/>
        <w:jc w:val="both"/>
      </w:pPr>
    </w:p>
    <w:p w14:paraId="4623B424" w14:textId="62C2B400" w:rsidR="003F7FD4" w:rsidRDefault="003F7FD4" w:rsidP="003F7FD4">
      <w:pPr>
        <w:spacing w:line="360" w:lineRule="auto"/>
        <w:jc w:val="both"/>
      </w:pPr>
    </w:p>
    <w:p w14:paraId="6280458E" w14:textId="6DF94574" w:rsidR="003F7FD4" w:rsidRDefault="003F7FD4" w:rsidP="003F7FD4">
      <w:pPr>
        <w:spacing w:line="360" w:lineRule="auto"/>
        <w:jc w:val="both"/>
      </w:pPr>
    </w:p>
    <w:p w14:paraId="0EEA706D" w14:textId="52E7ADAF" w:rsidR="003F7FD4" w:rsidRDefault="003F7FD4" w:rsidP="003F7FD4">
      <w:pPr>
        <w:spacing w:line="360" w:lineRule="auto"/>
        <w:jc w:val="both"/>
      </w:pPr>
    </w:p>
    <w:p w14:paraId="1CFEF33C" w14:textId="7BC60468" w:rsidR="003F7FD4" w:rsidRDefault="003F7FD4" w:rsidP="003F7FD4">
      <w:pPr>
        <w:spacing w:line="360" w:lineRule="auto"/>
        <w:jc w:val="both"/>
      </w:pPr>
    </w:p>
    <w:p w14:paraId="76A41226" w14:textId="0F592C20" w:rsidR="003F7FD4" w:rsidRDefault="003F7FD4" w:rsidP="003F7FD4">
      <w:pPr>
        <w:spacing w:line="360" w:lineRule="auto"/>
        <w:jc w:val="both"/>
      </w:pPr>
    </w:p>
    <w:p w14:paraId="6AFE85E3" w14:textId="4163537F" w:rsidR="003F7FD4" w:rsidRDefault="003F7FD4" w:rsidP="003F7FD4">
      <w:pPr>
        <w:spacing w:line="360" w:lineRule="auto"/>
        <w:jc w:val="both"/>
      </w:pPr>
    </w:p>
    <w:p w14:paraId="1A86F6B2" w14:textId="46B2D00C" w:rsidR="003F7FD4" w:rsidRDefault="003F7FD4" w:rsidP="003F7FD4">
      <w:pPr>
        <w:spacing w:line="360" w:lineRule="auto"/>
        <w:jc w:val="both"/>
      </w:pPr>
    </w:p>
    <w:p w14:paraId="54E43DD7" w14:textId="53254702" w:rsidR="003F7FD4" w:rsidRDefault="003F7FD4" w:rsidP="003F7FD4">
      <w:pPr>
        <w:spacing w:line="360" w:lineRule="auto"/>
        <w:jc w:val="both"/>
      </w:pPr>
    </w:p>
    <w:p w14:paraId="5821F2C3" w14:textId="296B1748" w:rsidR="003F7FD4" w:rsidRDefault="003F7FD4" w:rsidP="003F7FD4">
      <w:pPr>
        <w:spacing w:line="360" w:lineRule="auto"/>
        <w:jc w:val="both"/>
      </w:pPr>
    </w:p>
    <w:p w14:paraId="0C68E2FA" w14:textId="2ED83EAE" w:rsidR="003F7FD4" w:rsidRDefault="003F7FD4" w:rsidP="003F7FD4">
      <w:pPr>
        <w:spacing w:line="360" w:lineRule="auto"/>
        <w:jc w:val="both"/>
      </w:pPr>
    </w:p>
    <w:p w14:paraId="38E952FB" w14:textId="6A2142BE" w:rsidR="003F7FD4" w:rsidRDefault="003F7FD4" w:rsidP="003F7FD4">
      <w:pPr>
        <w:spacing w:line="360" w:lineRule="auto"/>
        <w:jc w:val="both"/>
      </w:pPr>
    </w:p>
    <w:p w14:paraId="190A71E1" w14:textId="40BF8C12" w:rsidR="003F7FD4" w:rsidRDefault="003F7FD4" w:rsidP="003F7FD4">
      <w:pPr>
        <w:spacing w:line="360" w:lineRule="auto"/>
        <w:jc w:val="both"/>
      </w:pPr>
    </w:p>
    <w:p w14:paraId="0F6D6562" w14:textId="72D72815" w:rsidR="003F7FD4" w:rsidRDefault="003F7FD4" w:rsidP="003F7FD4">
      <w:pPr>
        <w:spacing w:line="360" w:lineRule="auto"/>
        <w:jc w:val="both"/>
      </w:pPr>
    </w:p>
    <w:p w14:paraId="43299268" w14:textId="2CE28576" w:rsidR="003F7FD4" w:rsidRDefault="003F7FD4" w:rsidP="003F7FD4">
      <w:pPr>
        <w:spacing w:line="360" w:lineRule="auto"/>
        <w:jc w:val="both"/>
      </w:pPr>
    </w:p>
    <w:p w14:paraId="0926C601" w14:textId="2F86C871" w:rsidR="003F7FD4" w:rsidRDefault="003F7FD4" w:rsidP="003F7FD4">
      <w:pPr>
        <w:spacing w:line="360" w:lineRule="auto"/>
        <w:jc w:val="both"/>
      </w:pPr>
    </w:p>
    <w:p w14:paraId="60C453BE" w14:textId="66CD7ECE" w:rsidR="003F7FD4" w:rsidRDefault="003F7FD4" w:rsidP="003F7FD4">
      <w:pPr>
        <w:spacing w:line="360" w:lineRule="auto"/>
        <w:jc w:val="both"/>
      </w:pPr>
    </w:p>
    <w:p w14:paraId="74869C6B" w14:textId="6B2BB12D" w:rsidR="003F7FD4" w:rsidRDefault="003F7FD4" w:rsidP="003F7FD4">
      <w:pPr>
        <w:spacing w:line="360" w:lineRule="auto"/>
        <w:jc w:val="both"/>
      </w:pPr>
    </w:p>
    <w:p w14:paraId="0638F261" w14:textId="51B71D6C" w:rsidR="003F7FD4" w:rsidRDefault="003F7FD4" w:rsidP="003F7FD4">
      <w:pPr>
        <w:spacing w:line="360" w:lineRule="auto"/>
        <w:jc w:val="both"/>
      </w:pPr>
    </w:p>
    <w:p w14:paraId="78F09C30" w14:textId="77777777" w:rsidR="003F7FD4" w:rsidRDefault="003F7FD4" w:rsidP="003F7FD4">
      <w:pPr>
        <w:spacing w:line="360" w:lineRule="auto"/>
        <w:jc w:val="both"/>
      </w:pPr>
    </w:p>
    <w:p w14:paraId="3DC1A5C9" w14:textId="77777777" w:rsidR="003F7FD4" w:rsidRDefault="003F7FD4" w:rsidP="003F7FD4">
      <w:pPr>
        <w:spacing w:line="360" w:lineRule="auto"/>
        <w:jc w:val="both"/>
      </w:pPr>
    </w:p>
    <w:p w14:paraId="78CF0388" w14:textId="52A08FF3" w:rsidR="003F7FD4" w:rsidRDefault="003F7FD4" w:rsidP="003F7FD4">
      <w:pPr>
        <w:pStyle w:val="Heading1"/>
        <w:numPr>
          <w:ilvl w:val="0"/>
          <w:numId w:val="1"/>
        </w:numPr>
        <w:rPr>
          <w:sz w:val="36"/>
          <w:szCs w:val="36"/>
        </w:rPr>
      </w:pPr>
      <w:r>
        <w:rPr>
          <w:sz w:val="36"/>
          <w:szCs w:val="36"/>
        </w:rPr>
        <w:lastRenderedPageBreak/>
        <w:tab/>
      </w:r>
      <w:bookmarkStart w:id="10" w:name="_Toc87862307"/>
      <w:r>
        <w:rPr>
          <w:sz w:val="36"/>
          <w:szCs w:val="36"/>
        </w:rPr>
        <w:t>Appendices</w:t>
      </w:r>
      <w:bookmarkEnd w:id="10"/>
      <w:r>
        <w:rPr>
          <w:sz w:val="36"/>
          <w:szCs w:val="36"/>
        </w:rPr>
        <w:t xml:space="preserve"> </w:t>
      </w:r>
    </w:p>
    <w:p w14:paraId="39210C11" w14:textId="57762AAF" w:rsidR="003F7FD4" w:rsidRDefault="003F7FD4" w:rsidP="003F7FD4"/>
    <w:p w14:paraId="0376F7EF" w14:textId="77777777" w:rsidR="003C1491" w:rsidRDefault="003C1491" w:rsidP="003C1491">
      <w:pPr>
        <w:spacing w:line="360" w:lineRule="auto"/>
        <w:rPr>
          <w:rStyle w:val="Hyperlink"/>
          <w:color w:val="auto"/>
        </w:rPr>
      </w:pPr>
      <w:r w:rsidRPr="000C025E">
        <w:rPr>
          <w:rStyle w:val="Hyperlink"/>
          <w:color w:val="auto"/>
          <w:u w:val="none"/>
        </w:rPr>
        <w:t xml:space="preserve">Battery University (2019) </w:t>
      </w:r>
      <w:r w:rsidRPr="000C025E">
        <w:rPr>
          <w:rStyle w:val="Hyperlink"/>
          <w:i/>
          <w:iCs/>
          <w:color w:val="auto"/>
          <w:u w:val="none"/>
        </w:rPr>
        <w:t xml:space="preserve">Discover what causes Li-ion to age and what the battery user can do to prolong its life. </w:t>
      </w:r>
      <w:r w:rsidRPr="000C025E">
        <w:rPr>
          <w:rStyle w:val="Hyperlink"/>
          <w:color w:val="auto"/>
          <w:u w:val="none"/>
        </w:rPr>
        <w:t xml:space="preserve">Available at: </w:t>
      </w:r>
      <w:hyperlink r:id="rId11" w:history="1">
        <w:r w:rsidRPr="000C025E">
          <w:rPr>
            <w:rStyle w:val="Hyperlink"/>
            <w:color w:val="auto"/>
            <w:u w:val="none"/>
          </w:rPr>
          <w:t>https://batteryuniversity.com/article/bu-808-how-to-prolong-lithium-based-batteries</w:t>
        </w:r>
      </w:hyperlink>
      <w:r w:rsidRPr="000C025E">
        <w:rPr>
          <w:rStyle w:val="Hyperlink"/>
          <w:color w:val="auto"/>
          <w:u w:val="none"/>
        </w:rPr>
        <w:t xml:space="preserve"> (Accessed on 1st November 2021)</w:t>
      </w:r>
    </w:p>
    <w:p w14:paraId="2C8D6544" w14:textId="77777777" w:rsidR="003C1491" w:rsidRDefault="003C1491" w:rsidP="003C1491">
      <w:pPr>
        <w:spacing w:line="360" w:lineRule="auto"/>
        <w:rPr>
          <w:rFonts w:cstheme="minorHAnsi"/>
        </w:rPr>
      </w:pPr>
      <w:r w:rsidRPr="00ED0BEB">
        <w:rPr>
          <w:rFonts w:cstheme="minorHAnsi"/>
        </w:rPr>
        <w:t xml:space="preserve">British Geological Survey (2018) ‘Battery Raw Materials’ Available at: </w:t>
      </w:r>
      <w:hyperlink r:id="rId12" w:history="1">
        <w:r w:rsidRPr="00ED0BEB">
          <w:rPr>
            <w:rStyle w:val="Hyperlink"/>
            <w:rFonts w:cstheme="minorHAnsi"/>
            <w:color w:val="auto"/>
            <w:u w:val="none"/>
          </w:rPr>
          <w:t>https://www2.bgs.ac.uk/mineralsuk/download/briefing_papers/batteryRawMaterial.pdf</w:t>
        </w:r>
      </w:hyperlink>
      <w:r w:rsidRPr="00ED0BEB">
        <w:rPr>
          <w:rFonts w:cstheme="minorHAnsi"/>
        </w:rPr>
        <w:t xml:space="preserve"> (Accessed on: 4th November 2021)  </w:t>
      </w:r>
    </w:p>
    <w:p w14:paraId="1A595516" w14:textId="77777777" w:rsidR="003C1491" w:rsidRDefault="003C1491" w:rsidP="003C1491">
      <w:pPr>
        <w:spacing w:line="360" w:lineRule="auto"/>
      </w:pPr>
      <w:r w:rsidRPr="00DC41AB">
        <w:t xml:space="preserve">Change-Climate (2021) </w:t>
      </w:r>
      <w:r w:rsidRPr="00DC41AB">
        <w:rPr>
          <w:i/>
          <w:iCs/>
        </w:rPr>
        <w:t xml:space="preserve">Load Levelling. </w:t>
      </w:r>
      <w:r w:rsidRPr="00DC41AB">
        <w:t xml:space="preserve">Available at: </w:t>
      </w:r>
      <w:hyperlink r:id="rId13" w:history="1">
        <w:r w:rsidRPr="00DC41AB">
          <w:rPr>
            <w:rStyle w:val="Hyperlink"/>
            <w:color w:val="auto"/>
            <w:u w:val="none"/>
          </w:rPr>
          <w:t>http://www.change-climate.com/Transport_Land_Sea_Sustainable/SMART_Hybrid_EV_Energy_Service_Networks/LOAD_LEVELING_ELECTRICITY_BATTERY_POWER_STORAGE_GENERATION.htm</w:t>
        </w:r>
      </w:hyperlink>
      <w:r w:rsidRPr="00DC41AB">
        <w:t xml:space="preserve"> (Accessed on: 10</w:t>
      </w:r>
      <w:r w:rsidRPr="00DC41AB">
        <w:rPr>
          <w:vertAlign w:val="superscript"/>
        </w:rPr>
        <w:t>th</w:t>
      </w:r>
      <w:r w:rsidRPr="00DC41AB">
        <w:t xml:space="preserve"> November 2021)</w:t>
      </w:r>
    </w:p>
    <w:p w14:paraId="203A8686" w14:textId="77777777" w:rsidR="003C1491" w:rsidRPr="00DC41AB" w:rsidRDefault="003C1491" w:rsidP="003C1491">
      <w:pPr>
        <w:spacing w:line="360" w:lineRule="auto"/>
      </w:pPr>
      <w:r w:rsidRPr="00DC41AB">
        <w:t xml:space="preserve">Cleantech Group (2019) </w:t>
      </w:r>
      <w:r w:rsidRPr="00DC41AB">
        <w:rPr>
          <w:i/>
          <w:iCs/>
        </w:rPr>
        <w:t xml:space="preserve">EV Charging: Software and Grid Services. </w:t>
      </w:r>
      <w:r w:rsidRPr="00DC41AB">
        <w:t xml:space="preserve">Available at: </w:t>
      </w:r>
      <w:hyperlink r:id="rId14" w:history="1">
        <w:r w:rsidRPr="00DC41AB">
          <w:rPr>
            <w:rStyle w:val="Hyperlink"/>
            <w:color w:val="auto"/>
            <w:u w:val="none"/>
          </w:rPr>
          <w:t>https://www.cleantech.com/ev-charging-software-and-grid-services/</w:t>
        </w:r>
      </w:hyperlink>
      <w:r w:rsidRPr="00DC41AB">
        <w:t xml:space="preserve"> (Accessed on 10th November 2021)</w:t>
      </w:r>
    </w:p>
    <w:p w14:paraId="6CC12AE8" w14:textId="77777777" w:rsidR="003C1491" w:rsidRPr="00067C98" w:rsidRDefault="003C1491" w:rsidP="003C1491">
      <w:pPr>
        <w:spacing w:line="360" w:lineRule="auto"/>
      </w:pPr>
      <w:r>
        <w:t xml:space="preserve">Department for Business, Energy, and Industrial Strategy (2021) </w:t>
      </w:r>
      <w:r>
        <w:rPr>
          <w:i/>
          <w:iCs/>
        </w:rPr>
        <w:t xml:space="preserve">UK Energy Brief 2021. </w:t>
      </w:r>
      <w:r>
        <w:t xml:space="preserve">Available at: </w:t>
      </w:r>
      <w:hyperlink r:id="rId15" w:history="1">
        <w:r w:rsidRPr="00067C98">
          <w:rPr>
            <w:rStyle w:val="Hyperlink"/>
            <w:color w:val="auto"/>
            <w:u w:val="none"/>
          </w:rPr>
          <w:t>https://assets.publishing.service.gov.uk/government/uploads/system/uploads/attachment_data/file/1032260/UK_Energy_in_Brief_2021.pdf</w:t>
        </w:r>
      </w:hyperlink>
      <w:r w:rsidRPr="00067C98">
        <w:t xml:space="preserve"> (Accessed on: 7th November 2021)</w:t>
      </w:r>
    </w:p>
    <w:p w14:paraId="52A72275" w14:textId="77777777" w:rsidR="003C1491" w:rsidRDefault="003C1491" w:rsidP="003C1491">
      <w:pPr>
        <w:spacing w:line="360" w:lineRule="auto"/>
      </w:pPr>
      <w:r w:rsidRPr="00DC41AB">
        <w:t xml:space="preserve">EEL Power (2021) </w:t>
      </w:r>
      <w:r w:rsidRPr="00DC41AB">
        <w:rPr>
          <w:i/>
          <w:iCs/>
        </w:rPr>
        <w:t xml:space="preserve">Challenges for the Grid. </w:t>
      </w:r>
      <w:r w:rsidRPr="00DC41AB">
        <w:t xml:space="preserve">Available at: </w:t>
      </w:r>
      <w:hyperlink r:id="rId16" w:history="1">
        <w:r w:rsidRPr="00DC41AB">
          <w:rPr>
            <w:rStyle w:val="Hyperlink"/>
            <w:color w:val="auto"/>
            <w:u w:val="none"/>
          </w:rPr>
          <w:t>https://eelpower.co.uk/challenges-for-the-grid</w:t>
        </w:r>
      </w:hyperlink>
      <w:r w:rsidRPr="00DC41AB">
        <w:t xml:space="preserve"> (Accessed on: 10th November 2021)</w:t>
      </w:r>
    </w:p>
    <w:p w14:paraId="6FB056CD" w14:textId="77777777" w:rsidR="003C1491" w:rsidRPr="005C772A" w:rsidRDefault="003C1491" w:rsidP="003C1491">
      <w:pPr>
        <w:spacing w:line="360" w:lineRule="auto"/>
      </w:pPr>
      <w:r>
        <w:t xml:space="preserve">Energy Education (2021) ‘Law of Conservation of energy’ Available at: </w:t>
      </w:r>
      <w:r w:rsidRPr="00067C98">
        <w:t xml:space="preserve">https://energyeducation.ca/encyclopedia/Law_of_conservation_of_energy (Accessed on: 7th November 2021) </w:t>
      </w:r>
    </w:p>
    <w:p w14:paraId="59C052AA" w14:textId="77777777" w:rsidR="003C1491" w:rsidRPr="00164BEE" w:rsidRDefault="003C1491" w:rsidP="003C1491">
      <w:pPr>
        <w:spacing w:line="360" w:lineRule="auto"/>
        <w:rPr>
          <w:rFonts w:cstheme="minorHAnsi"/>
        </w:rPr>
      </w:pPr>
      <w:r>
        <w:rPr>
          <w:rFonts w:cstheme="minorHAnsi"/>
        </w:rPr>
        <w:t xml:space="preserve">Fortum (2021) Lithium-ion Battery Recycling Technology. Available at: </w:t>
      </w:r>
      <w:r w:rsidRPr="005C772A">
        <w:t>https://www.fortum.com/products-and-services/fortum-battery-solutions/recycling/lithium-ion-battery-recycling-technology (Accessed on: 4th November 2021)</w:t>
      </w:r>
    </w:p>
    <w:p w14:paraId="1A354B85" w14:textId="77777777" w:rsidR="003C1491" w:rsidRDefault="003C1491" w:rsidP="003C1491">
      <w:pPr>
        <w:spacing w:line="360" w:lineRule="auto"/>
        <w:rPr>
          <w:rFonts w:ascii="Arial" w:hAnsi="Arial" w:cs="Arial"/>
          <w:sz w:val="18"/>
          <w:szCs w:val="18"/>
        </w:rPr>
      </w:pPr>
      <w:r w:rsidRPr="009E5543">
        <w:t xml:space="preserve">Gabbar, H.A. Othman, A.M. And </w:t>
      </w:r>
      <w:proofErr w:type="spellStart"/>
      <w:r w:rsidRPr="009E5543">
        <w:t>Abdussami</w:t>
      </w:r>
      <w:proofErr w:type="spellEnd"/>
      <w:r w:rsidRPr="009E5543">
        <w:t xml:space="preserve">, M.R. (2021) ‘Review of Battery Management Systems (BMS) </w:t>
      </w:r>
      <w:r w:rsidRPr="009E5543">
        <w:rPr>
          <w:rFonts w:cstheme="minorHAnsi"/>
        </w:rPr>
        <w:t>Development and Industrial Standards’.</w:t>
      </w:r>
      <w:r w:rsidRPr="009E5543">
        <w:rPr>
          <w:rFonts w:cstheme="minorHAnsi"/>
          <w:i/>
          <w:iCs/>
        </w:rPr>
        <w:t xml:space="preserve"> Technologies 2021,</w:t>
      </w:r>
      <w:r w:rsidRPr="009E5543">
        <w:rPr>
          <w:rFonts w:cstheme="minorHAnsi"/>
        </w:rPr>
        <w:t xml:space="preserve"> 9(2), pp. 1-10. Available at: </w:t>
      </w:r>
      <w:hyperlink r:id="rId17" w:history="1">
        <w:r w:rsidRPr="009E5543">
          <w:rPr>
            <w:rStyle w:val="Hyperlink"/>
            <w:rFonts w:cstheme="minorHAnsi"/>
            <w:color w:val="auto"/>
            <w:u w:val="none"/>
          </w:rPr>
          <w:t>https://doi.org/10.3390/technologies9020028</w:t>
        </w:r>
      </w:hyperlink>
    </w:p>
    <w:p w14:paraId="26AA38FD" w14:textId="77777777" w:rsidR="003C1491" w:rsidRDefault="003C1491" w:rsidP="003C1491">
      <w:pPr>
        <w:spacing w:line="360" w:lineRule="auto"/>
      </w:pPr>
      <w:proofErr w:type="spellStart"/>
      <w:r w:rsidRPr="00A63824">
        <w:lastRenderedPageBreak/>
        <w:t>Greenmatch</w:t>
      </w:r>
      <w:proofErr w:type="spellEnd"/>
      <w:r w:rsidRPr="00A63824">
        <w:t xml:space="preserve"> (2021) </w:t>
      </w:r>
      <w:r w:rsidRPr="00A63824">
        <w:rPr>
          <w:i/>
          <w:iCs/>
        </w:rPr>
        <w:t>Enormous Potential of Tidal Energy and Wind Power in the UK</w:t>
      </w:r>
      <w:r>
        <w:rPr>
          <w:i/>
          <w:iCs/>
        </w:rPr>
        <w:t xml:space="preserve">. </w:t>
      </w:r>
      <w:r>
        <w:t xml:space="preserve">Available at: </w:t>
      </w:r>
      <w:r w:rsidRPr="00A63824">
        <w:t xml:space="preserve">https://www.greenmatch.co.uk/blog/2016/10/tidal-and-wind-energy-in-the-uk (Accessed on: 8th November 2021) </w:t>
      </w:r>
    </w:p>
    <w:p w14:paraId="49C86D2B" w14:textId="77777777" w:rsidR="003C1491" w:rsidRDefault="003C1491" w:rsidP="003C1491">
      <w:pPr>
        <w:spacing w:line="360" w:lineRule="auto"/>
        <w:rPr>
          <w:rFonts w:cstheme="minorHAnsi"/>
        </w:rPr>
      </w:pPr>
      <w:r>
        <w:rPr>
          <w:rFonts w:cstheme="minorHAnsi"/>
        </w:rPr>
        <w:t xml:space="preserve">Griffiths, H. (2021) ‘UN report highlights ethical problems with electric cars’, </w:t>
      </w:r>
      <w:r w:rsidRPr="00ED0BEB">
        <w:rPr>
          <w:rFonts w:cstheme="minorHAnsi"/>
          <w:i/>
          <w:iCs/>
        </w:rPr>
        <w:t>Auto Express</w:t>
      </w:r>
      <w:r>
        <w:rPr>
          <w:rFonts w:cstheme="minorHAnsi"/>
          <w:i/>
          <w:iCs/>
        </w:rPr>
        <w:t xml:space="preserve">. </w:t>
      </w:r>
      <w:r>
        <w:rPr>
          <w:rFonts w:cstheme="minorHAnsi"/>
        </w:rPr>
        <w:t>14</w:t>
      </w:r>
      <w:r w:rsidRPr="00ED0BEB">
        <w:rPr>
          <w:rFonts w:cstheme="minorHAnsi"/>
        </w:rPr>
        <w:t>th</w:t>
      </w:r>
      <w:r>
        <w:rPr>
          <w:rFonts w:cstheme="minorHAnsi"/>
        </w:rPr>
        <w:t xml:space="preserve"> June. Available at: </w:t>
      </w:r>
      <w:r w:rsidRPr="00ED0BEB">
        <w:rPr>
          <w:rFonts w:cstheme="minorHAnsi"/>
        </w:rPr>
        <w:t xml:space="preserve">https://www.autoexpress.co.uk/news/355258/un-report-highlights-ethical-problems-electric-cars (Accessed on: 3rd November </w:t>
      </w:r>
      <w:r>
        <w:rPr>
          <w:rFonts w:cstheme="minorHAnsi"/>
        </w:rPr>
        <w:t>2021)</w:t>
      </w:r>
    </w:p>
    <w:p w14:paraId="188B37D8" w14:textId="77777777" w:rsidR="003C1491" w:rsidRDefault="003C1491" w:rsidP="003C1491">
      <w:pPr>
        <w:spacing w:line="360" w:lineRule="auto"/>
      </w:pPr>
      <w:r>
        <w:t xml:space="preserve">Hitachi (2021) </w:t>
      </w:r>
      <w:r>
        <w:rPr>
          <w:i/>
          <w:iCs/>
        </w:rPr>
        <w:t xml:space="preserve">Load Levelling. </w:t>
      </w:r>
      <w:r>
        <w:t>Available at</w:t>
      </w:r>
      <w:r w:rsidRPr="00DC41AB">
        <w:t xml:space="preserve">: </w:t>
      </w:r>
      <w:hyperlink r:id="rId18" w:history="1">
        <w:r w:rsidRPr="00DC41AB">
          <w:rPr>
            <w:rStyle w:val="Hyperlink"/>
            <w:color w:val="auto"/>
            <w:u w:val="none"/>
          </w:rPr>
          <w:t>https://www.hitachienergy.com/offering/solutions/grid-edge-solutions/applications/energy-storage-applications/load-leveling</w:t>
        </w:r>
      </w:hyperlink>
      <w:r w:rsidRPr="00DC41AB">
        <w:t xml:space="preserve"> (Accessed on: 10th November 2021)</w:t>
      </w:r>
    </w:p>
    <w:p w14:paraId="7EE59B2A" w14:textId="77777777" w:rsidR="003C1491" w:rsidRDefault="003C1491" w:rsidP="003C1491">
      <w:pPr>
        <w:spacing w:line="360" w:lineRule="auto"/>
      </w:pPr>
      <w:r>
        <w:t xml:space="preserve">National Grid (2016) </w:t>
      </w:r>
      <w:r>
        <w:rPr>
          <w:i/>
          <w:iCs/>
        </w:rPr>
        <w:t xml:space="preserve">Short Term Operating Reserve Carbon Intensity Report. </w:t>
      </w:r>
      <w:r>
        <w:t xml:space="preserve">Available at: </w:t>
      </w:r>
      <w:r w:rsidRPr="00A63824">
        <w:t>https://www.nationalgrideso.com/document/85801/download</w:t>
      </w:r>
      <w:r>
        <w:t xml:space="preserve"> (Accessed on: 8</w:t>
      </w:r>
      <w:r w:rsidRPr="00A63824">
        <w:t>th</w:t>
      </w:r>
      <w:r>
        <w:t xml:space="preserve"> November 2021)</w:t>
      </w:r>
    </w:p>
    <w:p w14:paraId="06391289" w14:textId="77777777" w:rsidR="003C1491" w:rsidRDefault="003C1491" w:rsidP="003C1491">
      <w:pPr>
        <w:spacing w:line="360" w:lineRule="auto"/>
      </w:pPr>
      <w:r>
        <w:t>Panday, A., Agrawal, H.P. &amp; Bansal, H.O. (2015) ‘Integration of Vehicle-to-grid technology’, Energy and Economics. DOI: 10.1109/EnergyEconomics.2015.7235108</w:t>
      </w:r>
    </w:p>
    <w:p w14:paraId="548A6BDC" w14:textId="77777777" w:rsidR="003C1491" w:rsidRDefault="003C1491" w:rsidP="003C1491">
      <w:pPr>
        <w:spacing w:line="360" w:lineRule="auto"/>
        <w:rPr>
          <w:rFonts w:cstheme="minorHAnsi"/>
        </w:rPr>
      </w:pPr>
      <w:r>
        <w:rPr>
          <w:rFonts w:cstheme="minorHAnsi"/>
        </w:rPr>
        <w:t>Patra, P.S.</w:t>
      </w:r>
      <w:r w:rsidRPr="00AC3B6C">
        <w:rPr>
          <w:rFonts w:cstheme="minorHAnsi"/>
        </w:rPr>
        <w:t>K (2021) ‘</w:t>
      </w:r>
      <w:r w:rsidRPr="00AC3B6C">
        <w:t>Power Quality Issues of Wind and Solar Energy Systems Integrated into the Grid</w:t>
      </w:r>
      <w:r w:rsidRPr="00AC3B6C">
        <w:rPr>
          <w:rFonts w:cstheme="minorHAnsi"/>
        </w:rPr>
        <w:t xml:space="preserve">’, </w:t>
      </w:r>
      <w:r w:rsidRPr="00AC3B6C">
        <w:rPr>
          <w:rFonts w:cstheme="minorHAnsi"/>
          <w:i/>
          <w:iCs/>
        </w:rPr>
        <w:t xml:space="preserve">Journal of Computational and Theoretical Nanoscience. </w:t>
      </w:r>
      <w:r w:rsidRPr="00AC3B6C">
        <w:rPr>
          <w:rFonts w:cstheme="minorHAnsi"/>
        </w:rPr>
        <w:t xml:space="preserve">26(5), pp. 514-523. Available at: </w:t>
      </w:r>
      <w:hyperlink r:id="rId19" w:history="1">
        <w:r w:rsidRPr="00AC3B6C">
          <w:rPr>
            <w:rStyle w:val="Hyperlink"/>
            <w:rFonts w:cstheme="minorHAnsi"/>
            <w:color w:val="auto"/>
            <w:u w:val="none"/>
          </w:rPr>
          <w:t>https://www.researchgate.net/publication/343819802_Power_Quality_Issues_of_Wind_and_Solar_Energy_Systems_Integrated_into_the_Grid</w:t>
        </w:r>
      </w:hyperlink>
      <w:r w:rsidRPr="00AC3B6C">
        <w:rPr>
          <w:rFonts w:cstheme="minorHAnsi"/>
        </w:rPr>
        <w:t xml:space="preserve"> (Accessed on 7th November 2021)</w:t>
      </w:r>
    </w:p>
    <w:p w14:paraId="758E6F8D" w14:textId="77777777" w:rsidR="003C1491" w:rsidRDefault="003C1491" w:rsidP="003C1491">
      <w:pPr>
        <w:spacing w:line="360" w:lineRule="auto"/>
        <w:rPr>
          <w:rStyle w:val="Hyperlink"/>
          <w:color w:val="auto"/>
          <w:u w:val="none"/>
        </w:rPr>
      </w:pPr>
      <w:r>
        <w:t xml:space="preserve">Richter, F. (2021) </w:t>
      </w:r>
      <w:r>
        <w:rPr>
          <w:i/>
          <w:iCs/>
        </w:rPr>
        <w:t>How many electric cars are on the roads and which country has the most</w:t>
      </w:r>
      <w:r>
        <w:t xml:space="preserve">. Available at: </w:t>
      </w:r>
      <w:r w:rsidRPr="003F7FD4">
        <w:t>https://www.weforum.org/agenda/2021/05/chart-that-is-the-state-of-the-global-electric-car-market</w:t>
      </w:r>
      <w:r w:rsidRPr="003F7FD4">
        <w:rPr>
          <w:rStyle w:val="Hyperlink"/>
          <w:color w:val="auto"/>
          <w:u w:val="none"/>
        </w:rPr>
        <w:t xml:space="preserve"> (Accessed on: 2</w:t>
      </w:r>
      <w:r w:rsidRPr="003C1491">
        <w:rPr>
          <w:rStyle w:val="Hyperlink"/>
          <w:color w:val="auto"/>
          <w:u w:val="none"/>
        </w:rPr>
        <w:t xml:space="preserve">3rd </w:t>
      </w:r>
      <w:r w:rsidRPr="003F7FD4">
        <w:rPr>
          <w:rStyle w:val="Hyperlink"/>
          <w:color w:val="auto"/>
          <w:u w:val="none"/>
        </w:rPr>
        <w:t>October 2021)</w:t>
      </w:r>
    </w:p>
    <w:p w14:paraId="6341D8FA" w14:textId="77777777" w:rsidR="003C1491" w:rsidRDefault="003C1491" w:rsidP="003C1491">
      <w:pPr>
        <w:spacing w:line="360" w:lineRule="auto"/>
      </w:pPr>
      <w:proofErr w:type="spellStart"/>
      <w:r w:rsidRPr="005C772A">
        <w:t>Schramski</w:t>
      </w:r>
      <w:proofErr w:type="spellEnd"/>
      <w:r w:rsidRPr="005C772A">
        <w:t xml:space="preserve">, J. </w:t>
      </w:r>
      <w:proofErr w:type="spellStart"/>
      <w:r w:rsidRPr="005C772A">
        <w:t>Gattie</w:t>
      </w:r>
      <w:proofErr w:type="spellEnd"/>
      <w:r w:rsidRPr="005C772A">
        <w:t xml:space="preserve">, D. &amp; Brown, J. (2015) Human domination of the biosphere: Rapid discharge of the </w:t>
      </w:r>
      <w:r w:rsidRPr="003C1491">
        <w:t>earth-space battery foretells the future of humankind,</w:t>
      </w:r>
      <w:r w:rsidRPr="003C1491">
        <w:rPr>
          <w:i/>
          <w:iCs/>
        </w:rPr>
        <w:t xml:space="preserve"> PNAS Perspective. </w:t>
      </w:r>
      <w:r w:rsidRPr="003C1491">
        <w:t xml:space="preserve">Available at: </w:t>
      </w:r>
      <w:hyperlink r:id="rId20" w:history="1">
        <w:r w:rsidRPr="003C1491">
          <w:rPr>
            <w:rStyle w:val="Hyperlink"/>
            <w:rFonts w:cstheme="minorHAnsi"/>
            <w:color w:val="auto"/>
            <w:u w:val="none"/>
          </w:rPr>
          <w:t>https://www.pnas.org/content/pnas/112/31/9511.full.pdf</w:t>
        </w:r>
      </w:hyperlink>
      <w:r w:rsidRPr="003C1491">
        <w:t xml:space="preserve"> (Accessed on: 6th November 2021)</w:t>
      </w:r>
    </w:p>
    <w:p w14:paraId="198E3BED" w14:textId="0B93FC6F" w:rsidR="003C1491" w:rsidRDefault="003C1491" w:rsidP="003C1491">
      <w:pPr>
        <w:spacing w:line="360" w:lineRule="auto"/>
        <w:rPr>
          <w:rStyle w:val="Hyperlink"/>
          <w:color w:val="auto"/>
          <w:u w:val="none"/>
        </w:rPr>
      </w:pPr>
      <w:proofErr w:type="spellStart"/>
      <w:r w:rsidRPr="00BC74C7">
        <w:t>Virta</w:t>
      </w:r>
      <w:proofErr w:type="spellEnd"/>
      <w:r w:rsidRPr="00BC74C7">
        <w:t xml:space="preserve"> (2021) </w:t>
      </w:r>
      <w:r>
        <w:rPr>
          <w:i/>
          <w:iCs/>
        </w:rPr>
        <w:t xml:space="preserve">Myth Buster: Electric vehicles will overpower the grid. </w:t>
      </w:r>
      <w:r w:rsidRPr="00BC74C7">
        <w:rPr>
          <w:i/>
          <w:iCs/>
        </w:rPr>
        <w:t xml:space="preserve"> </w:t>
      </w:r>
      <w:r w:rsidRPr="00BC74C7">
        <w:t>Available at:</w:t>
      </w:r>
      <w:r>
        <w:t xml:space="preserve"> </w:t>
      </w:r>
      <w:r w:rsidRPr="00F25D32">
        <w:t>https://www.virta.global/blog/myth-buster-electric-vehicles-will-overload-the-power-grid</w:t>
      </w:r>
      <w:r w:rsidRPr="00BC74C7">
        <w:t xml:space="preserve"> </w:t>
      </w:r>
      <w:r w:rsidRPr="00BC74C7">
        <w:rPr>
          <w:rStyle w:val="Hyperlink"/>
          <w:color w:val="auto"/>
          <w:u w:val="none"/>
        </w:rPr>
        <w:t xml:space="preserve">(Accessed on: </w:t>
      </w:r>
      <w:r w:rsidRPr="003C1491">
        <w:rPr>
          <w:rStyle w:val="Hyperlink"/>
          <w:color w:val="auto"/>
          <w:u w:val="none"/>
        </w:rPr>
        <w:t xml:space="preserve">29th </w:t>
      </w:r>
      <w:r w:rsidRPr="00BC74C7">
        <w:rPr>
          <w:rStyle w:val="Hyperlink"/>
          <w:color w:val="auto"/>
          <w:u w:val="none"/>
        </w:rPr>
        <w:t>October 2021)</w:t>
      </w:r>
    </w:p>
    <w:p w14:paraId="3BD659A8" w14:textId="77777777" w:rsidR="003C1491" w:rsidRDefault="003C1491" w:rsidP="003C1491">
      <w:pPr>
        <w:spacing w:line="360" w:lineRule="auto"/>
        <w:rPr>
          <w:rStyle w:val="Hyperlink"/>
          <w:color w:val="auto"/>
        </w:rPr>
      </w:pPr>
      <w:proofErr w:type="spellStart"/>
      <w:r w:rsidRPr="00BC74C7">
        <w:t>Virta</w:t>
      </w:r>
      <w:proofErr w:type="spellEnd"/>
      <w:r w:rsidRPr="00BC74C7">
        <w:t xml:space="preserve"> (2021) </w:t>
      </w:r>
      <w:r w:rsidRPr="00BC74C7">
        <w:rPr>
          <w:i/>
          <w:iCs/>
        </w:rPr>
        <w:t xml:space="preserve">Vehicle-to-Grid is a technology that has the power to transform the energy system. </w:t>
      </w:r>
      <w:r w:rsidRPr="00BC74C7">
        <w:t xml:space="preserve">Available at: </w:t>
      </w:r>
      <w:hyperlink r:id="rId21" w:history="1">
        <w:r w:rsidRPr="00BC74C7">
          <w:rPr>
            <w:rStyle w:val="Hyperlink"/>
            <w:color w:val="auto"/>
            <w:u w:val="none"/>
          </w:rPr>
          <w:t>https://www.virta.global/vehicle-to-grid-v2g</w:t>
        </w:r>
      </w:hyperlink>
      <w:r w:rsidRPr="00BC74C7">
        <w:rPr>
          <w:rStyle w:val="Hyperlink"/>
          <w:color w:val="auto"/>
          <w:u w:val="none"/>
        </w:rPr>
        <w:t xml:space="preserve"> (Accessed on: 25th October 2021)</w:t>
      </w:r>
    </w:p>
    <w:p w14:paraId="0DB2E359" w14:textId="77777777" w:rsidR="003C1491" w:rsidRDefault="003C1491" w:rsidP="003C1491">
      <w:pPr>
        <w:spacing w:line="360" w:lineRule="auto"/>
        <w:rPr>
          <w:rStyle w:val="Hyperlink"/>
          <w:color w:val="auto"/>
        </w:rPr>
      </w:pPr>
      <w:r>
        <w:t xml:space="preserve">Welsh Government (2018) </w:t>
      </w:r>
      <w:r>
        <w:rPr>
          <w:i/>
          <w:iCs/>
        </w:rPr>
        <w:t xml:space="preserve">Energy Generation in Wales. </w:t>
      </w:r>
      <w:r>
        <w:t xml:space="preserve">Available at: </w:t>
      </w:r>
      <w:r w:rsidRPr="00A63824">
        <w:t>https://gov.wales/sites/default/files/publications/2019-10/energy-generation-wales-2018.pdf</w:t>
      </w:r>
      <w:r w:rsidRPr="00A63824">
        <w:rPr>
          <w:rStyle w:val="Hyperlink"/>
          <w:color w:val="auto"/>
          <w:u w:val="none"/>
        </w:rPr>
        <w:t xml:space="preserve"> (Accessed on: 10th November 2021)</w:t>
      </w:r>
    </w:p>
    <w:p w14:paraId="2CB895AE" w14:textId="77777777" w:rsidR="003C1491" w:rsidRDefault="003C1491" w:rsidP="003C1491">
      <w:pPr>
        <w:spacing w:line="360" w:lineRule="auto"/>
        <w:rPr>
          <w:rFonts w:cstheme="minorHAnsi"/>
        </w:rPr>
      </w:pPr>
      <w:r w:rsidRPr="00AC3B6C">
        <w:rPr>
          <w:rFonts w:cstheme="minorHAnsi"/>
        </w:rPr>
        <w:lastRenderedPageBreak/>
        <w:t xml:space="preserve">Yang, H. Chen, J. &amp; Pang, X. (2018) ‘Wind Turbine Optimization for Minimum Cost of Energy in Low Wind Speed Areas Considering Blade Length and Hub Height’, </w:t>
      </w:r>
      <w:r w:rsidRPr="00AC3B6C">
        <w:rPr>
          <w:rFonts w:cstheme="minorHAnsi"/>
          <w:i/>
          <w:iCs/>
        </w:rPr>
        <w:t xml:space="preserve">Applied Science. </w:t>
      </w:r>
      <w:r w:rsidRPr="00AC3B6C">
        <w:rPr>
          <w:rFonts w:cstheme="minorHAnsi"/>
        </w:rPr>
        <w:t xml:space="preserve">8(7). Available at: </w:t>
      </w:r>
      <w:hyperlink r:id="rId22" w:history="1">
        <w:r w:rsidRPr="00AC3B6C">
          <w:rPr>
            <w:rStyle w:val="Hyperlink"/>
            <w:rFonts w:cstheme="minorHAnsi"/>
            <w:color w:val="auto"/>
            <w:u w:val="none"/>
            <w:shd w:val="clear" w:color="auto" w:fill="FFFFFF"/>
          </w:rPr>
          <w:t>https://doi.org/10.3390/app8071202</w:t>
        </w:r>
      </w:hyperlink>
      <w:r w:rsidRPr="00AC3B6C">
        <w:rPr>
          <w:rFonts w:cstheme="minorHAnsi"/>
        </w:rPr>
        <w:t xml:space="preserve"> (Accessed on 7th November 2021) </w:t>
      </w:r>
    </w:p>
    <w:p w14:paraId="4747F67B" w14:textId="77777777" w:rsidR="003C1491" w:rsidRDefault="003C1491" w:rsidP="003C1491">
      <w:pPr>
        <w:spacing w:line="360" w:lineRule="auto"/>
        <w:rPr>
          <w:rStyle w:val="Hyperlink"/>
          <w:color w:val="auto"/>
        </w:rPr>
      </w:pPr>
    </w:p>
    <w:p w14:paraId="3D8688D1" w14:textId="6D3B8321" w:rsidR="003F7FD4" w:rsidRDefault="003F7FD4" w:rsidP="003F7FD4"/>
    <w:p w14:paraId="1F227496" w14:textId="07DF720A" w:rsidR="003F7FD4" w:rsidRDefault="003F7FD4" w:rsidP="003F7FD4"/>
    <w:p w14:paraId="2FB856E3" w14:textId="77777777" w:rsidR="003F7FD4" w:rsidRPr="009C099A" w:rsidRDefault="003F7FD4" w:rsidP="003F7FD4">
      <w:pPr>
        <w:spacing w:line="360" w:lineRule="auto"/>
        <w:jc w:val="both"/>
      </w:pPr>
    </w:p>
    <w:sectPr w:rsidR="003F7FD4" w:rsidRPr="009C099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09A3" w14:textId="77777777" w:rsidR="00064C21" w:rsidRDefault="00064C21" w:rsidP="00601C5C">
      <w:pPr>
        <w:spacing w:after="0" w:line="240" w:lineRule="auto"/>
      </w:pPr>
      <w:r>
        <w:separator/>
      </w:r>
    </w:p>
  </w:endnote>
  <w:endnote w:type="continuationSeparator" w:id="0">
    <w:p w14:paraId="426691FE" w14:textId="77777777" w:rsidR="00064C21" w:rsidRDefault="00064C21" w:rsidP="00601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636962"/>
      <w:docPartObj>
        <w:docPartGallery w:val="Page Numbers (Bottom of Page)"/>
        <w:docPartUnique/>
      </w:docPartObj>
    </w:sdtPr>
    <w:sdtEndPr>
      <w:rPr>
        <w:noProof/>
      </w:rPr>
    </w:sdtEndPr>
    <w:sdtContent>
      <w:p w14:paraId="16FB19C0" w14:textId="3644C6E5" w:rsidR="00601C5C" w:rsidRDefault="00601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6D4D8E" w14:textId="77777777" w:rsidR="00ED37B2" w:rsidRDefault="00064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20C27" w14:textId="77777777" w:rsidR="00064C21" w:rsidRDefault="00064C21" w:rsidP="00601C5C">
      <w:pPr>
        <w:spacing w:after="0" w:line="240" w:lineRule="auto"/>
      </w:pPr>
      <w:r>
        <w:separator/>
      </w:r>
    </w:p>
  </w:footnote>
  <w:footnote w:type="continuationSeparator" w:id="0">
    <w:p w14:paraId="5AEABC45" w14:textId="77777777" w:rsidR="00064C21" w:rsidRDefault="00064C21" w:rsidP="00601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2A29"/>
    <w:multiLevelType w:val="hybridMultilevel"/>
    <w:tmpl w:val="46EAC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16292"/>
    <w:multiLevelType w:val="hybridMultilevel"/>
    <w:tmpl w:val="46EAC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291B2B"/>
    <w:multiLevelType w:val="hybridMultilevel"/>
    <w:tmpl w:val="DDB2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320AC"/>
    <w:multiLevelType w:val="hybridMultilevel"/>
    <w:tmpl w:val="BFC8D45E"/>
    <w:lvl w:ilvl="0" w:tplc="E0D60FF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C5C"/>
    <w:rsid w:val="00015955"/>
    <w:rsid w:val="0003463D"/>
    <w:rsid w:val="00040F79"/>
    <w:rsid w:val="00047989"/>
    <w:rsid w:val="00054A9E"/>
    <w:rsid w:val="00064C21"/>
    <w:rsid w:val="0006640D"/>
    <w:rsid w:val="000B5C7B"/>
    <w:rsid w:val="000C05F5"/>
    <w:rsid w:val="000C3734"/>
    <w:rsid w:val="000D08F2"/>
    <w:rsid w:val="000D1650"/>
    <w:rsid w:val="000D284D"/>
    <w:rsid w:val="00104F31"/>
    <w:rsid w:val="00112272"/>
    <w:rsid w:val="00117ED9"/>
    <w:rsid w:val="00120D9A"/>
    <w:rsid w:val="001240F4"/>
    <w:rsid w:val="001244C1"/>
    <w:rsid w:val="00131411"/>
    <w:rsid w:val="00133C72"/>
    <w:rsid w:val="00153FFB"/>
    <w:rsid w:val="001674F3"/>
    <w:rsid w:val="0018281B"/>
    <w:rsid w:val="00197823"/>
    <w:rsid w:val="001A2DFE"/>
    <w:rsid w:val="001A7E45"/>
    <w:rsid w:val="001D4205"/>
    <w:rsid w:val="001D4F78"/>
    <w:rsid w:val="001F2DB1"/>
    <w:rsid w:val="00200B89"/>
    <w:rsid w:val="00222280"/>
    <w:rsid w:val="00240C0E"/>
    <w:rsid w:val="00255393"/>
    <w:rsid w:val="00255401"/>
    <w:rsid w:val="002800A1"/>
    <w:rsid w:val="00285098"/>
    <w:rsid w:val="00297D02"/>
    <w:rsid w:val="002A5B2A"/>
    <w:rsid w:val="002B48BF"/>
    <w:rsid w:val="002B63A7"/>
    <w:rsid w:val="002C373D"/>
    <w:rsid w:val="002E6C5D"/>
    <w:rsid w:val="002F2834"/>
    <w:rsid w:val="002F287D"/>
    <w:rsid w:val="00332ED6"/>
    <w:rsid w:val="003432A2"/>
    <w:rsid w:val="003434A5"/>
    <w:rsid w:val="0034366A"/>
    <w:rsid w:val="00350DA0"/>
    <w:rsid w:val="00353B42"/>
    <w:rsid w:val="00365182"/>
    <w:rsid w:val="00377A39"/>
    <w:rsid w:val="00381887"/>
    <w:rsid w:val="00385FFA"/>
    <w:rsid w:val="0039326C"/>
    <w:rsid w:val="003B5BB9"/>
    <w:rsid w:val="003C1491"/>
    <w:rsid w:val="003C55EC"/>
    <w:rsid w:val="003D0601"/>
    <w:rsid w:val="003D311C"/>
    <w:rsid w:val="003E059D"/>
    <w:rsid w:val="003E4F8C"/>
    <w:rsid w:val="003F1FDA"/>
    <w:rsid w:val="003F7FD4"/>
    <w:rsid w:val="00413401"/>
    <w:rsid w:val="004215B6"/>
    <w:rsid w:val="00427DAE"/>
    <w:rsid w:val="004379B4"/>
    <w:rsid w:val="00443377"/>
    <w:rsid w:val="00443F35"/>
    <w:rsid w:val="00443F61"/>
    <w:rsid w:val="0045125B"/>
    <w:rsid w:val="0047368C"/>
    <w:rsid w:val="00473A98"/>
    <w:rsid w:val="0047404A"/>
    <w:rsid w:val="00482DD4"/>
    <w:rsid w:val="004837C7"/>
    <w:rsid w:val="00484D4F"/>
    <w:rsid w:val="00486991"/>
    <w:rsid w:val="004B2DCE"/>
    <w:rsid w:val="004D25FC"/>
    <w:rsid w:val="004D2757"/>
    <w:rsid w:val="004E7B46"/>
    <w:rsid w:val="00511486"/>
    <w:rsid w:val="00553731"/>
    <w:rsid w:val="0056154A"/>
    <w:rsid w:val="00574D26"/>
    <w:rsid w:val="0057507C"/>
    <w:rsid w:val="00580C7F"/>
    <w:rsid w:val="005A6DF4"/>
    <w:rsid w:val="005B013B"/>
    <w:rsid w:val="005D47C2"/>
    <w:rsid w:val="005F1C5B"/>
    <w:rsid w:val="005F2422"/>
    <w:rsid w:val="005F3E2F"/>
    <w:rsid w:val="005F619D"/>
    <w:rsid w:val="00601C5C"/>
    <w:rsid w:val="00640B0C"/>
    <w:rsid w:val="0064121A"/>
    <w:rsid w:val="006577B2"/>
    <w:rsid w:val="00666920"/>
    <w:rsid w:val="00687C16"/>
    <w:rsid w:val="00695AB1"/>
    <w:rsid w:val="006A24D0"/>
    <w:rsid w:val="006B1DA7"/>
    <w:rsid w:val="006C4DC0"/>
    <w:rsid w:val="006E0A1C"/>
    <w:rsid w:val="006E61CA"/>
    <w:rsid w:val="006E621D"/>
    <w:rsid w:val="006E7591"/>
    <w:rsid w:val="006F0C3C"/>
    <w:rsid w:val="006F15F5"/>
    <w:rsid w:val="00723FA9"/>
    <w:rsid w:val="007327D1"/>
    <w:rsid w:val="007370B8"/>
    <w:rsid w:val="00740013"/>
    <w:rsid w:val="0076463D"/>
    <w:rsid w:val="00776846"/>
    <w:rsid w:val="007826FB"/>
    <w:rsid w:val="007C646F"/>
    <w:rsid w:val="007C7B46"/>
    <w:rsid w:val="007D38B7"/>
    <w:rsid w:val="007D7BD1"/>
    <w:rsid w:val="007F22A3"/>
    <w:rsid w:val="008279D9"/>
    <w:rsid w:val="00835DEE"/>
    <w:rsid w:val="00841664"/>
    <w:rsid w:val="00842E4F"/>
    <w:rsid w:val="0089127B"/>
    <w:rsid w:val="008945B6"/>
    <w:rsid w:val="008A4467"/>
    <w:rsid w:val="008A7855"/>
    <w:rsid w:val="008B14CD"/>
    <w:rsid w:val="008D39E5"/>
    <w:rsid w:val="008E5D38"/>
    <w:rsid w:val="008F005F"/>
    <w:rsid w:val="00900B3D"/>
    <w:rsid w:val="0090614B"/>
    <w:rsid w:val="00907AD1"/>
    <w:rsid w:val="009128E7"/>
    <w:rsid w:val="00943B11"/>
    <w:rsid w:val="00944706"/>
    <w:rsid w:val="00945871"/>
    <w:rsid w:val="0095340C"/>
    <w:rsid w:val="00956EEF"/>
    <w:rsid w:val="00973B8A"/>
    <w:rsid w:val="009926B4"/>
    <w:rsid w:val="00994F7B"/>
    <w:rsid w:val="009A56E6"/>
    <w:rsid w:val="009B135A"/>
    <w:rsid w:val="009C099A"/>
    <w:rsid w:val="009C3136"/>
    <w:rsid w:val="009E6296"/>
    <w:rsid w:val="00A24290"/>
    <w:rsid w:val="00A30976"/>
    <w:rsid w:val="00A3730C"/>
    <w:rsid w:val="00A460D7"/>
    <w:rsid w:val="00A47A9B"/>
    <w:rsid w:val="00A643D6"/>
    <w:rsid w:val="00A64CD7"/>
    <w:rsid w:val="00A72CD0"/>
    <w:rsid w:val="00A7399F"/>
    <w:rsid w:val="00A76E5F"/>
    <w:rsid w:val="00A812B8"/>
    <w:rsid w:val="00A83100"/>
    <w:rsid w:val="00A90E10"/>
    <w:rsid w:val="00AB1EC3"/>
    <w:rsid w:val="00AF1203"/>
    <w:rsid w:val="00AF700C"/>
    <w:rsid w:val="00B12305"/>
    <w:rsid w:val="00B126D5"/>
    <w:rsid w:val="00B2655B"/>
    <w:rsid w:val="00B30F56"/>
    <w:rsid w:val="00B3505D"/>
    <w:rsid w:val="00B45911"/>
    <w:rsid w:val="00B54B8F"/>
    <w:rsid w:val="00B55DCA"/>
    <w:rsid w:val="00B62C4F"/>
    <w:rsid w:val="00B83D64"/>
    <w:rsid w:val="00BB07D2"/>
    <w:rsid w:val="00BB17E8"/>
    <w:rsid w:val="00BB1CEB"/>
    <w:rsid w:val="00BB20D4"/>
    <w:rsid w:val="00BC5642"/>
    <w:rsid w:val="00BD20B9"/>
    <w:rsid w:val="00C011E2"/>
    <w:rsid w:val="00C30E7B"/>
    <w:rsid w:val="00C53462"/>
    <w:rsid w:val="00C720A7"/>
    <w:rsid w:val="00C77F20"/>
    <w:rsid w:val="00CA399B"/>
    <w:rsid w:val="00CA3CEC"/>
    <w:rsid w:val="00CB5F9A"/>
    <w:rsid w:val="00CB6012"/>
    <w:rsid w:val="00CC198F"/>
    <w:rsid w:val="00CD550E"/>
    <w:rsid w:val="00CD62B0"/>
    <w:rsid w:val="00CE69E8"/>
    <w:rsid w:val="00D05AA6"/>
    <w:rsid w:val="00D13EFD"/>
    <w:rsid w:val="00D22DA8"/>
    <w:rsid w:val="00D32DBD"/>
    <w:rsid w:val="00D70FF7"/>
    <w:rsid w:val="00D7226E"/>
    <w:rsid w:val="00D82F86"/>
    <w:rsid w:val="00D8376F"/>
    <w:rsid w:val="00D84837"/>
    <w:rsid w:val="00D87DD9"/>
    <w:rsid w:val="00DA3326"/>
    <w:rsid w:val="00DA3771"/>
    <w:rsid w:val="00DB13C9"/>
    <w:rsid w:val="00DB3DF1"/>
    <w:rsid w:val="00DC0ADB"/>
    <w:rsid w:val="00DD3A7C"/>
    <w:rsid w:val="00DD68BB"/>
    <w:rsid w:val="00DD7A29"/>
    <w:rsid w:val="00DF2333"/>
    <w:rsid w:val="00DF5C03"/>
    <w:rsid w:val="00E0238A"/>
    <w:rsid w:val="00E053AC"/>
    <w:rsid w:val="00E206D4"/>
    <w:rsid w:val="00E37284"/>
    <w:rsid w:val="00E40E26"/>
    <w:rsid w:val="00E568CF"/>
    <w:rsid w:val="00E839D4"/>
    <w:rsid w:val="00E84069"/>
    <w:rsid w:val="00E85459"/>
    <w:rsid w:val="00E95746"/>
    <w:rsid w:val="00EA19AF"/>
    <w:rsid w:val="00EB15ED"/>
    <w:rsid w:val="00EB44E4"/>
    <w:rsid w:val="00EB5F5C"/>
    <w:rsid w:val="00EB72C4"/>
    <w:rsid w:val="00EC3B19"/>
    <w:rsid w:val="00EC6F95"/>
    <w:rsid w:val="00EF107A"/>
    <w:rsid w:val="00EF184D"/>
    <w:rsid w:val="00F00CB8"/>
    <w:rsid w:val="00F0238C"/>
    <w:rsid w:val="00F0252B"/>
    <w:rsid w:val="00F25BEE"/>
    <w:rsid w:val="00F46536"/>
    <w:rsid w:val="00F60856"/>
    <w:rsid w:val="00F6348E"/>
    <w:rsid w:val="00F654DE"/>
    <w:rsid w:val="00F713E9"/>
    <w:rsid w:val="00F71894"/>
    <w:rsid w:val="00F94C22"/>
    <w:rsid w:val="00FA2071"/>
    <w:rsid w:val="00FA305D"/>
    <w:rsid w:val="00FB2846"/>
    <w:rsid w:val="00FB7CCC"/>
    <w:rsid w:val="00FC0F7E"/>
    <w:rsid w:val="00FE03C8"/>
    <w:rsid w:val="00FE428C"/>
    <w:rsid w:val="00FF5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6BFC"/>
  <w15:chartTrackingRefBased/>
  <w15:docId w15:val="{E880FB93-B9FA-4A90-BB75-EF12EA6EB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C5C"/>
  </w:style>
  <w:style w:type="paragraph" w:styleId="Heading1">
    <w:name w:val="heading 1"/>
    <w:basedOn w:val="Normal"/>
    <w:next w:val="Normal"/>
    <w:link w:val="Heading1Char"/>
    <w:uiPriority w:val="9"/>
    <w:qFormat/>
    <w:rsid w:val="00601C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20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C5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60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C5C"/>
  </w:style>
  <w:style w:type="paragraph" w:styleId="TOCHeading">
    <w:name w:val="TOC Heading"/>
    <w:basedOn w:val="Heading1"/>
    <w:next w:val="Normal"/>
    <w:uiPriority w:val="39"/>
    <w:unhideWhenUsed/>
    <w:qFormat/>
    <w:rsid w:val="00601C5C"/>
    <w:pPr>
      <w:outlineLvl w:val="9"/>
    </w:pPr>
    <w:rPr>
      <w:lang w:val="en-US"/>
    </w:rPr>
  </w:style>
  <w:style w:type="paragraph" w:styleId="TOC1">
    <w:name w:val="toc 1"/>
    <w:basedOn w:val="Normal"/>
    <w:next w:val="Normal"/>
    <w:autoRedefine/>
    <w:uiPriority w:val="39"/>
    <w:unhideWhenUsed/>
    <w:rsid w:val="00601C5C"/>
    <w:pPr>
      <w:tabs>
        <w:tab w:val="left" w:pos="440"/>
        <w:tab w:val="right" w:leader="dot" w:pos="9016"/>
      </w:tabs>
      <w:spacing w:after="100" w:line="480" w:lineRule="auto"/>
    </w:pPr>
  </w:style>
  <w:style w:type="character" w:styleId="Hyperlink">
    <w:name w:val="Hyperlink"/>
    <w:basedOn w:val="DefaultParagraphFont"/>
    <w:uiPriority w:val="99"/>
    <w:unhideWhenUsed/>
    <w:rsid w:val="00601C5C"/>
    <w:rPr>
      <w:color w:val="0563C1" w:themeColor="hyperlink"/>
      <w:u w:val="single"/>
    </w:rPr>
  </w:style>
  <w:style w:type="paragraph" w:styleId="ListParagraph">
    <w:name w:val="List Paragraph"/>
    <w:basedOn w:val="Normal"/>
    <w:uiPriority w:val="34"/>
    <w:qFormat/>
    <w:rsid w:val="00601C5C"/>
    <w:pPr>
      <w:ind w:left="720"/>
      <w:contextualSpacing/>
    </w:pPr>
  </w:style>
  <w:style w:type="paragraph" w:styleId="Header">
    <w:name w:val="header"/>
    <w:basedOn w:val="Normal"/>
    <w:link w:val="HeaderChar"/>
    <w:uiPriority w:val="99"/>
    <w:unhideWhenUsed/>
    <w:rsid w:val="0060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C5C"/>
  </w:style>
  <w:style w:type="character" w:styleId="UnresolvedMention">
    <w:name w:val="Unresolved Mention"/>
    <w:basedOn w:val="DefaultParagraphFont"/>
    <w:uiPriority w:val="99"/>
    <w:semiHidden/>
    <w:unhideWhenUsed/>
    <w:rsid w:val="009C099A"/>
    <w:rPr>
      <w:color w:val="605E5C"/>
      <w:shd w:val="clear" w:color="auto" w:fill="E1DFDD"/>
    </w:rPr>
  </w:style>
  <w:style w:type="character" w:customStyle="1" w:styleId="Heading2Char">
    <w:name w:val="Heading 2 Char"/>
    <w:basedOn w:val="DefaultParagraphFont"/>
    <w:link w:val="Heading2"/>
    <w:uiPriority w:val="9"/>
    <w:rsid w:val="00BB20D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7BD1"/>
    <w:pPr>
      <w:spacing w:after="100"/>
      <w:ind w:left="220"/>
    </w:pPr>
  </w:style>
  <w:style w:type="paragraph" w:styleId="NormalWeb">
    <w:name w:val="Normal (Web)"/>
    <w:basedOn w:val="Normal"/>
    <w:uiPriority w:val="99"/>
    <w:semiHidden/>
    <w:unhideWhenUsed/>
    <w:rsid w:val="00C30E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48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ange-climate.com/Transport_Land_Sea_Sustainable/SMART_Hybrid_EV_Energy_Service_Networks/LOAD_LEVELING_ELECTRICITY_BATTERY_POWER_STORAGE_GENERATION.htm" TargetMode="External"/><Relationship Id="rId18" Type="http://schemas.openxmlformats.org/officeDocument/2006/relationships/hyperlink" Target="https://www.hitachienergy.com/offering/solutions/grid-edge-solutions/applications/energy-storage-applications/load-leveling" TargetMode="External"/><Relationship Id="rId3" Type="http://schemas.openxmlformats.org/officeDocument/2006/relationships/styles" Target="styles.xml"/><Relationship Id="rId21" Type="http://schemas.openxmlformats.org/officeDocument/2006/relationships/hyperlink" Target="https://www.virta.global/vehicle-to-grid-v2g" TargetMode="External"/><Relationship Id="rId7" Type="http://schemas.openxmlformats.org/officeDocument/2006/relationships/endnotes" Target="endnotes.xml"/><Relationship Id="rId12" Type="http://schemas.openxmlformats.org/officeDocument/2006/relationships/hyperlink" Target="https://www2.bgs.ac.uk/mineralsuk/download/briefing_papers/batteryRawMaterial.pdf" TargetMode="External"/><Relationship Id="rId17" Type="http://schemas.openxmlformats.org/officeDocument/2006/relationships/hyperlink" Target="https://doi.org/10.3390/technologies902002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elpower.co.uk/challenges-for-the-grid" TargetMode="External"/><Relationship Id="rId20" Type="http://schemas.openxmlformats.org/officeDocument/2006/relationships/hyperlink" Target="https://www.pnas.org/content/pnas/112/31/9511.ful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tteryuniversity.com/article/bu-808-how-to-prolong-lithium-based-batteri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32260/UK_Energy_in_Brief_2021.pdf"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researchgate.net/publication/343819802_Power_Quality_Issues_of_Wind_and_Solar_Energy_Systems_Integrated_into_the_Gri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leantech.com/ev-charging-software-and-grid-services/" TargetMode="External"/><Relationship Id="rId22" Type="http://schemas.openxmlformats.org/officeDocument/2006/relationships/hyperlink" Target="https://doi.org/10.3390/app8071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29ED9-917E-4269-A5B8-7C14162D6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26721</TotalTime>
  <Pages>16</Pages>
  <Words>4457</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Elliot Burton (1803066)</dc:creator>
  <cp:keywords/>
  <dc:description/>
  <cp:lastModifiedBy>Brad Elliot Burton (1803066)</cp:lastModifiedBy>
  <cp:revision>67</cp:revision>
  <dcterms:created xsi:type="dcterms:W3CDTF">2021-10-16T13:12:00Z</dcterms:created>
  <dcterms:modified xsi:type="dcterms:W3CDTF">2021-11-15T10:18:00Z</dcterms:modified>
</cp:coreProperties>
</file>