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F0C19" w14:textId="1AAFC5CB" w:rsidR="00BA24E9" w:rsidRDefault="00BA24E9">
      <w:r>
        <w:t>M</w:t>
      </w:r>
    </w:p>
    <w:sdt>
      <w:sdtPr>
        <w:id w:val="298500530"/>
        <w:docPartObj>
          <w:docPartGallery w:val="Cover Pages"/>
          <w:docPartUnique/>
        </w:docPartObj>
      </w:sdtPr>
      <w:sdtEndPr/>
      <w:sdtContent>
        <w:p w14:paraId="256305B0" w14:textId="30ADADBD" w:rsidR="009324A6" w:rsidRDefault="009324A6">
          <w:r>
            <w:rPr>
              <w:noProof/>
              <w:lang w:eastAsia="en-GB"/>
            </w:rPr>
            <mc:AlternateContent>
              <mc:Choice Requires="wpg">
                <w:drawing>
                  <wp:anchor distT="0" distB="0" distL="114300" distR="114300" simplePos="0" relativeHeight="251662336" behindDoc="0" locked="0" layoutInCell="1" allowOverlap="1" wp14:anchorId="667713F7" wp14:editId="0145E4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1612F5B" wp14:editId="3862B6B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936556" w14:textId="108011A6" w:rsidR="009324A6" w:rsidRDefault="002D445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24E9">
                                      <w:rPr>
                                        <w:caps/>
                                        <w:color w:val="5B9BD5" w:themeColor="accent1"/>
                                        <w:sz w:val="64"/>
                                        <w:szCs w:val="64"/>
                                      </w:rPr>
                                      <w:t>Management in practice</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4A34E8A" w14:textId="4245A2B5" w:rsidR="009324A6" w:rsidRDefault="00BA24E9">
                                    <w:pPr>
                                      <w:jc w:val="right"/>
                                      <w:rPr>
                                        <w:smallCaps/>
                                        <w:color w:val="404040" w:themeColor="text1" w:themeTint="BF"/>
                                        <w:sz w:val="36"/>
                                        <w:szCs w:val="36"/>
                                      </w:rPr>
                                    </w:pPr>
                                    <w:r w:rsidRPr="00BA24E9">
                                      <w:rPr>
                                        <w:rFonts w:ascii="Arial" w:hAnsi="Arial" w:cs="Arial"/>
                                        <w:b/>
                                      </w:rPr>
                                      <w:t>M5X02110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1612F5B"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0F936556" w14:textId="108011A6" w:rsidR="009324A6" w:rsidRDefault="002D445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24E9">
                                <w:rPr>
                                  <w:caps/>
                                  <w:color w:val="5B9BD5" w:themeColor="accent1"/>
                                  <w:sz w:val="64"/>
                                  <w:szCs w:val="64"/>
                                </w:rPr>
                                <w:t>Management in practice</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4A34E8A" w14:textId="4245A2B5" w:rsidR="009324A6" w:rsidRDefault="00BA24E9">
                              <w:pPr>
                                <w:jc w:val="right"/>
                                <w:rPr>
                                  <w:smallCaps/>
                                  <w:color w:val="404040" w:themeColor="text1" w:themeTint="BF"/>
                                  <w:sz w:val="36"/>
                                  <w:szCs w:val="36"/>
                                </w:rPr>
                              </w:pPr>
                              <w:r w:rsidRPr="00BA24E9">
                                <w:rPr>
                                  <w:rFonts w:ascii="Arial" w:hAnsi="Arial" w:cs="Arial"/>
                                  <w:b/>
                                </w:rPr>
                                <w:t>M5X02110</w:t>
                              </w:r>
                            </w:p>
                          </w:sdtContent>
                        </w:sdt>
                      </w:txbxContent>
                    </v:textbox>
                    <w10:wrap type="square" anchorx="page" anchory="page"/>
                  </v:shape>
                </w:pict>
              </mc:Fallback>
            </mc:AlternateContent>
          </w:r>
        </w:p>
        <w:p w14:paraId="62DDEBA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3E0844DA" wp14:editId="5E4625C7">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4A5864" w14:textId="31F4E049" w:rsidR="009324A6" w:rsidRDefault="00BA24E9">
                                    <w:pPr>
                                      <w:pStyle w:val="NoSpacing"/>
                                      <w:jc w:val="right"/>
                                      <w:rPr>
                                        <w:color w:val="595959" w:themeColor="text1" w:themeTint="A6"/>
                                        <w:sz w:val="28"/>
                                        <w:szCs w:val="28"/>
                                      </w:rPr>
                                    </w:pPr>
                                    <w:r>
                                      <w:rPr>
                                        <w:color w:val="595959" w:themeColor="text1" w:themeTint="A6"/>
                                        <w:sz w:val="28"/>
                                        <w:szCs w:val="28"/>
                                        <w:lang w:val="en-GB"/>
                                      </w:rPr>
                                      <w:t>Caitlin James-Deane</w:t>
                                    </w:r>
                                  </w:p>
                                </w:sdtContent>
                              </w:sdt>
                              <w:p w14:paraId="062DE4A6" w14:textId="61D07E20" w:rsidR="009324A6" w:rsidRDefault="002D44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A24E9">
                                      <w:rPr>
                                        <w:color w:val="595959" w:themeColor="text1" w:themeTint="A6"/>
                                        <w:sz w:val="18"/>
                                        <w:szCs w:val="18"/>
                                      </w:rPr>
                                      <w:t>1704737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E0844DA"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4A5864" w14:textId="31F4E049" w:rsidR="009324A6" w:rsidRDefault="00BA24E9">
                              <w:pPr>
                                <w:pStyle w:val="NoSpacing"/>
                                <w:jc w:val="right"/>
                                <w:rPr>
                                  <w:color w:val="595959" w:themeColor="text1" w:themeTint="A6"/>
                                  <w:sz w:val="28"/>
                                  <w:szCs w:val="28"/>
                                </w:rPr>
                              </w:pPr>
                              <w:r>
                                <w:rPr>
                                  <w:color w:val="595959" w:themeColor="text1" w:themeTint="A6"/>
                                  <w:sz w:val="28"/>
                                  <w:szCs w:val="28"/>
                                  <w:lang w:val="en-GB"/>
                                </w:rPr>
                                <w:t>Caitlin James-Deane</w:t>
                              </w:r>
                            </w:p>
                          </w:sdtContent>
                        </w:sdt>
                        <w:p w14:paraId="062DE4A6" w14:textId="61D07E20" w:rsidR="009324A6" w:rsidRDefault="002D44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A24E9">
                                <w:rPr>
                                  <w:color w:val="595959" w:themeColor="text1" w:themeTint="A6"/>
                                  <w:sz w:val="18"/>
                                  <w:szCs w:val="18"/>
                                </w:rPr>
                                <w:t>1704737</w:t>
                              </w:r>
                            </w:sdtContent>
                          </w:sdt>
                        </w:p>
                      </w:txbxContent>
                    </v:textbox>
                    <w10:wrap type="square" anchorx="margin" anchory="page"/>
                  </v:shape>
                </w:pict>
              </mc:Fallback>
            </mc:AlternateContent>
          </w:r>
          <w:r>
            <w:br w:type="page"/>
          </w:r>
        </w:p>
      </w:sdtContent>
    </w:sdt>
    <w:p w14:paraId="76A75BA2" w14:textId="77777777" w:rsidR="00E150F5" w:rsidRDefault="00E150F5" w:rsidP="00E150F5">
      <w:pPr>
        <w:pStyle w:val="Heading1"/>
      </w:pPr>
      <w:bookmarkStart w:id="0" w:name="_Toc506797128"/>
      <w:bookmarkStart w:id="1" w:name="_Toc7186192"/>
      <w:r>
        <w:lastRenderedPageBreak/>
        <w:t>Executive Summary</w:t>
      </w:r>
      <w:bookmarkEnd w:id="0"/>
      <w:bookmarkEnd w:id="1"/>
    </w:p>
    <w:p w14:paraId="0D734580" w14:textId="77777777" w:rsidR="009324A6" w:rsidRDefault="009324A6"/>
    <w:p w14:paraId="5D2E3C0A" w14:textId="147ACD41" w:rsidR="00F90D9B" w:rsidRPr="00E3462A" w:rsidRDefault="00F90D9B" w:rsidP="00E3462A">
      <w:pPr>
        <w:spacing w:line="360" w:lineRule="auto"/>
        <w:jc w:val="both"/>
        <w:rPr>
          <w:rFonts w:cstheme="minorHAnsi"/>
          <w:sz w:val="24"/>
          <w:szCs w:val="24"/>
        </w:rPr>
      </w:pPr>
      <w:r w:rsidRPr="00E3462A">
        <w:rPr>
          <w:rFonts w:cstheme="minorHAnsi"/>
          <w:sz w:val="24"/>
          <w:szCs w:val="24"/>
        </w:rPr>
        <w:t>The purpose of this report is to provide an evaluation and analysis of t</w:t>
      </w:r>
      <w:r w:rsidR="00E3462A" w:rsidRPr="00E3462A">
        <w:rPr>
          <w:rFonts w:cstheme="minorHAnsi"/>
          <w:sz w:val="24"/>
          <w:szCs w:val="24"/>
        </w:rPr>
        <w:t>hree key business principles for the company Alton Towers, and to provide strategic recommendations on how to improve business performance for the coming year.</w:t>
      </w:r>
      <w:r w:rsidRPr="00E3462A">
        <w:rPr>
          <w:rFonts w:cstheme="minorHAnsi"/>
          <w:sz w:val="24"/>
          <w:szCs w:val="24"/>
        </w:rPr>
        <w:t xml:space="preserve"> </w:t>
      </w:r>
    </w:p>
    <w:p w14:paraId="7CC4E839" w14:textId="374C456B" w:rsidR="00F90D9B" w:rsidRPr="00E3462A" w:rsidRDefault="00F90D9B" w:rsidP="00E3462A">
      <w:pPr>
        <w:spacing w:line="360" w:lineRule="auto"/>
        <w:jc w:val="both"/>
        <w:rPr>
          <w:rFonts w:cstheme="minorHAnsi"/>
          <w:sz w:val="24"/>
          <w:szCs w:val="24"/>
        </w:rPr>
      </w:pPr>
      <w:r w:rsidRPr="00E3462A">
        <w:rPr>
          <w:rFonts w:cstheme="minorHAnsi"/>
          <w:sz w:val="24"/>
          <w:szCs w:val="24"/>
        </w:rPr>
        <w:t>The report is broken down</w:t>
      </w:r>
      <w:r w:rsidR="00E3462A" w:rsidRPr="00E3462A">
        <w:rPr>
          <w:rFonts w:cstheme="minorHAnsi"/>
          <w:sz w:val="24"/>
          <w:szCs w:val="24"/>
        </w:rPr>
        <w:t xml:space="preserve"> into three subcategories. These categories include the environmental analysis, the financial analysis and the performance management audit.  </w:t>
      </w:r>
      <w:r w:rsidRPr="00E3462A">
        <w:rPr>
          <w:rFonts w:cstheme="minorHAnsi"/>
          <w:sz w:val="24"/>
          <w:szCs w:val="24"/>
        </w:rPr>
        <w:t>Throughout these categories the report addresses the aspects that are vital</w:t>
      </w:r>
      <w:r w:rsidR="00E3462A" w:rsidRPr="00E3462A">
        <w:rPr>
          <w:rFonts w:cstheme="minorHAnsi"/>
          <w:sz w:val="24"/>
          <w:szCs w:val="24"/>
        </w:rPr>
        <w:t xml:space="preserve"> in continuing the success of the business and the steps that need to be taken to overcome any hinderances. </w:t>
      </w:r>
    </w:p>
    <w:p w14:paraId="244949DE" w14:textId="5CEF5DCC" w:rsidR="00E3462A" w:rsidRPr="00E3462A" w:rsidRDefault="00F90D9B" w:rsidP="00E3462A">
      <w:pPr>
        <w:spacing w:line="360" w:lineRule="auto"/>
        <w:jc w:val="both"/>
        <w:rPr>
          <w:rFonts w:cstheme="minorHAnsi"/>
          <w:sz w:val="24"/>
          <w:szCs w:val="24"/>
        </w:rPr>
      </w:pPr>
      <w:r w:rsidRPr="00E3462A">
        <w:rPr>
          <w:rFonts w:cstheme="minorHAnsi"/>
          <w:sz w:val="24"/>
          <w:szCs w:val="24"/>
        </w:rPr>
        <w:t xml:space="preserve">The report findings show </w:t>
      </w:r>
      <w:r w:rsidR="00E3462A" w:rsidRPr="00E3462A">
        <w:rPr>
          <w:rFonts w:cstheme="minorHAnsi"/>
          <w:sz w:val="24"/>
          <w:szCs w:val="24"/>
        </w:rPr>
        <w:t xml:space="preserve">that currently the business results are extremely positive for Alton Towers, and Merlin as a broader perspective. Financially the business is performing well, but certain strategies such as liquidating assets could help improve the results. Brexit is highlighted as a key threat to the business, and so the market needs to be closely monitored as well as </w:t>
      </w:r>
      <w:r w:rsidR="001A5899">
        <w:rPr>
          <w:rFonts w:cstheme="minorHAnsi"/>
          <w:sz w:val="24"/>
          <w:szCs w:val="24"/>
        </w:rPr>
        <w:t xml:space="preserve">Alton Towers </w:t>
      </w:r>
      <w:r w:rsidR="00E3462A" w:rsidRPr="00E3462A">
        <w:rPr>
          <w:rFonts w:cstheme="minorHAnsi"/>
          <w:sz w:val="24"/>
          <w:szCs w:val="24"/>
        </w:rPr>
        <w:t>creating a financial plan to manage a</w:t>
      </w:r>
      <w:r w:rsidR="001A5899">
        <w:rPr>
          <w:rFonts w:cstheme="minorHAnsi"/>
          <w:sz w:val="24"/>
          <w:szCs w:val="24"/>
        </w:rPr>
        <w:t>n inevitable</w:t>
      </w:r>
      <w:r w:rsidR="00E3462A" w:rsidRPr="00E3462A">
        <w:rPr>
          <w:rFonts w:cstheme="minorHAnsi"/>
          <w:sz w:val="24"/>
          <w:szCs w:val="24"/>
        </w:rPr>
        <w:t xml:space="preserve"> fall in the real wage. A further finding is related to recruitment. Alton Towers currently holds a diverse and multi-stage recruitment process. This system needs to not only continue but be continually developed to ensure that the business continues to hire competent and reliable staff that will assist in the </w:t>
      </w:r>
      <w:r w:rsidR="00FA6ABD">
        <w:rPr>
          <w:rFonts w:cstheme="minorHAnsi"/>
          <w:sz w:val="24"/>
          <w:szCs w:val="24"/>
        </w:rPr>
        <w:t xml:space="preserve">growing and thriving of the business. </w:t>
      </w:r>
    </w:p>
    <w:p w14:paraId="4BFC57D4" w14:textId="77777777" w:rsidR="00F90D9B" w:rsidRPr="00032CCC" w:rsidRDefault="00F90D9B" w:rsidP="00F90D9B">
      <w:pPr>
        <w:rPr>
          <w:rFonts w:cstheme="minorHAnsi"/>
        </w:rPr>
      </w:pPr>
    </w:p>
    <w:p w14:paraId="1A3DE57E" w14:textId="77777777" w:rsidR="009324A6" w:rsidRDefault="009324A6" w:rsidP="009324A6">
      <w:pPr>
        <w:pStyle w:val="Heading1"/>
      </w:pPr>
    </w:p>
    <w:p w14:paraId="5399C9C5" w14:textId="77777777" w:rsidR="009324A6" w:rsidRDefault="009324A6" w:rsidP="009324A6"/>
    <w:p w14:paraId="4DDE70D8" w14:textId="77777777" w:rsidR="009324A6" w:rsidRDefault="009324A6" w:rsidP="009324A6"/>
    <w:p w14:paraId="699BE5FC" w14:textId="77777777" w:rsidR="009324A6" w:rsidRDefault="009324A6" w:rsidP="009324A6"/>
    <w:p w14:paraId="1CD2D462" w14:textId="77777777" w:rsidR="009324A6" w:rsidRDefault="009324A6" w:rsidP="009324A6"/>
    <w:p w14:paraId="5F2A734A" w14:textId="77777777" w:rsidR="009324A6" w:rsidRDefault="009324A6" w:rsidP="009324A6"/>
    <w:p w14:paraId="7A95C6DB" w14:textId="77777777" w:rsidR="009324A6" w:rsidRDefault="009324A6" w:rsidP="009324A6"/>
    <w:p w14:paraId="5EFAABC1" w14:textId="77777777" w:rsidR="00E150F5" w:rsidRDefault="00E150F5" w:rsidP="009324A6"/>
    <w:p w14:paraId="519BF00A" w14:textId="77777777" w:rsidR="00E150F5" w:rsidRDefault="00E150F5" w:rsidP="009324A6"/>
    <w:p w14:paraId="6654A32C" w14:textId="77777777" w:rsidR="00E150F5" w:rsidRDefault="00E150F5" w:rsidP="009324A6"/>
    <w:p w14:paraId="3BBB9960"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sz w:val="24"/>
          <w:szCs w:val="24"/>
        </w:rPr>
      </w:sdtEndPr>
      <w:sdtContent>
        <w:p w14:paraId="26F7D9E2" w14:textId="16836DF1" w:rsidR="00E150F5" w:rsidRDefault="00E150F5">
          <w:pPr>
            <w:pStyle w:val="TOCHeading"/>
          </w:pPr>
          <w:r>
            <w:t>Table of Contents</w:t>
          </w:r>
        </w:p>
        <w:p w14:paraId="4B1D61A2" w14:textId="77777777" w:rsidR="00BA24E9" w:rsidRPr="00BA24E9" w:rsidRDefault="00BA24E9" w:rsidP="00BA24E9">
          <w:pPr>
            <w:rPr>
              <w:lang w:val="en-US"/>
            </w:rPr>
          </w:pPr>
        </w:p>
        <w:p w14:paraId="34C41479" w14:textId="63739FD0" w:rsidR="00471BC8" w:rsidRDefault="00E150F5">
          <w:pPr>
            <w:pStyle w:val="TOC1"/>
            <w:tabs>
              <w:tab w:val="right" w:leader="dot" w:pos="9016"/>
            </w:tabs>
            <w:rPr>
              <w:rFonts w:eastAsiaTheme="minorEastAsia"/>
              <w:noProof/>
              <w:lang w:eastAsia="en-GB"/>
            </w:rPr>
          </w:pPr>
          <w:r w:rsidRPr="00CB78A5">
            <w:rPr>
              <w:b/>
              <w:bCs/>
              <w:noProof/>
              <w:sz w:val="24"/>
              <w:szCs w:val="24"/>
            </w:rPr>
            <w:fldChar w:fldCharType="begin"/>
          </w:r>
          <w:r w:rsidRPr="00CB78A5">
            <w:rPr>
              <w:b/>
              <w:bCs/>
              <w:noProof/>
              <w:sz w:val="24"/>
              <w:szCs w:val="24"/>
            </w:rPr>
            <w:instrText xml:space="preserve"> TOC \o "1-3" \h \z \u </w:instrText>
          </w:r>
          <w:r w:rsidRPr="00CB78A5">
            <w:rPr>
              <w:b/>
              <w:bCs/>
              <w:noProof/>
              <w:sz w:val="24"/>
              <w:szCs w:val="24"/>
            </w:rPr>
            <w:fldChar w:fldCharType="separate"/>
          </w:r>
          <w:hyperlink w:anchor="_Toc7186192" w:history="1">
            <w:r w:rsidR="00471BC8" w:rsidRPr="00D61D17">
              <w:rPr>
                <w:rStyle w:val="Hyperlink"/>
                <w:noProof/>
              </w:rPr>
              <w:t>Executive Summary</w:t>
            </w:r>
            <w:r w:rsidR="00471BC8">
              <w:rPr>
                <w:noProof/>
                <w:webHidden/>
              </w:rPr>
              <w:tab/>
            </w:r>
            <w:r w:rsidR="00471BC8">
              <w:rPr>
                <w:noProof/>
                <w:webHidden/>
              </w:rPr>
              <w:fldChar w:fldCharType="begin"/>
            </w:r>
            <w:r w:rsidR="00471BC8">
              <w:rPr>
                <w:noProof/>
                <w:webHidden/>
              </w:rPr>
              <w:instrText xml:space="preserve"> PAGEREF _Toc7186192 \h </w:instrText>
            </w:r>
            <w:r w:rsidR="00471BC8">
              <w:rPr>
                <w:noProof/>
                <w:webHidden/>
              </w:rPr>
            </w:r>
            <w:r w:rsidR="00471BC8">
              <w:rPr>
                <w:noProof/>
                <w:webHidden/>
              </w:rPr>
              <w:fldChar w:fldCharType="separate"/>
            </w:r>
            <w:r w:rsidR="00471BC8">
              <w:rPr>
                <w:noProof/>
                <w:webHidden/>
              </w:rPr>
              <w:t>1</w:t>
            </w:r>
            <w:r w:rsidR="00471BC8">
              <w:rPr>
                <w:noProof/>
                <w:webHidden/>
              </w:rPr>
              <w:fldChar w:fldCharType="end"/>
            </w:r>
          </w:hyperlink>
        </w:p>
        <w:p w14:paraId="615232FB" w14:textId="3B05EED9" w:rsidR="00471BC8" w:rsidRDefault="002D4452">
          <w:pPr>
            <w:pStyle w:val="TOC1"/>
            <w:tabs>
              <w:tab w:val="right" w:leader="dot" w:pos="9016"/>
            </w:tabs>
            <w:rPr>
              <w:rFonts w:eastAsiaTheme="minorEastAsia"/>
              <w:noProof/>
              <w:lang w:eastAsia="en-GB"/>
            </w:rPr>
          </w:pPr>
          <w:hyperlink w:anchor="_Toc7186193" w:history="1">
            <w:r w:rsidR="00471BC8" w:rsidRPr="00D61D17">
              <w:rPr>
                <w:rStyle w:val="Hyperlink"/>
                <w:noProof/>
              </w:rPr>
              <w:t>Introduction</w:t>
            </w:r>
            <w:r w:rsidR="00471BC8">
              <w:rPr>
                <w:noProof/>
                <w:webHidden/>
              </w:rPr>
              <w:tab/>
            </w:r>
            <w:r w:rsidR="00471BC8">
              <w:rPr>
                <w:noProof/>
                <w:webHidden/>
              </w:rPr>
              <w:fldChar w:fldCharType="begin"/>
            </w:r>
            <w:r w:rsidR="00471BC8">
              <w:rPr>
                <w:noProof/>
                <w:webHidden/>
              </w:rPr>
              <w:instrText xml:space="preserve"> PAGEREF _Toc7186193 \h </w:instrText>
            </w:r>
            <w:r w:rsidR="00471BC8">
              <w:rPr>
                <w:noProof/>
                <w:webHidden/>
              </w:rPr>
            </w:r>
            <w:r w:rsidR="00471BC8">
              <w:rPr>
                <w:noProof/>
                <w:webHidden/>
              </w:rPr>
              <w:fldChar w:fldCharType="separate"/>
            </w:r>
            <w:r w:rsidR="00471BC8">
              <w:rPr>
                <w:noProof/>
                <w:webHidden/>
              </w:rPr>
              <w:t>3</w:t>
            </w:r>
            <w:r w:rsidR="00471BC8">
              <w:rPr>
                <w:noProof/>
                <w:webHidden/>
              </w:rPr>
              <w:fldChar w:fldCharType="end"/>
            </w:r>
          </w:hyperlink>
        </w:p>
        <w:p w14:paraId="297ABCE6" w14:textId="6A1EFDFE" w:rsidR="00471BC8" w:rsidRDefault="002D4452">
          <w:pPr>
            <w:pStyle w:val="TOC1"/>
            <w:tabs>
              <w:tab w:val="right" w:leader="dot" w:pos="9016"/>
            </w:tabs>
            <w:rPr>
              <w:rFonts w:eastAsiaTheme="minorEastAsia"/>
              <w:noProof/>
              <w:lang w:eastAsia="en-GB"/>
            </w:rPr>
          </w:pPr>
          <w:hyperlink w:anchor="_Toc7186194" w:history="1">
            <w:r w:rsidR="00471BC8" w:rsidRPr="00D61D17">
              <w:rPr>
                <w:rStyle w:val="Hyperlink"/>
                <w:noProof/>
              </w:rPr>
              <w:t>Environmental Analysis</w:t>
            </w:r>
            <w:r w:rsidR="00471BC8">
              <w:rPr>
                <w:noProof/>
                <w:webHidden/>
              </w:rPr>
              <w:tab/>
            </w:r>
            <w:r w:rsidR="00471BC8">
              <w:rPr>
                <w:noProof/>
                <w:webHidden/>
              </w:rPr>
              <w:fldChar w:fldCharType="begin"/>
            </w:r>
            <w:r w:rsidR="00471BC8">
              <w:rPr>
                <w:noProof/>
                <w:webHidden/>
              </w:rPr>
              <w:instrText xml:space="preserve"> PAGEREF _Toc7186194 \h </w:instrText>
            </w:r>
            <w:r w:rsidR="00471BC8">
              <w:rPr>
                <w:noProof/>
                <w:webHidden/>
              </w:rPr>
            </w:r>
            <w:r w:rsidR="00471BC8">
              <w:rPr>
                <w:noProof/>
                <w:webHidden/>
              </w:rPr>
              <w:fldChar w:fldCharType="separate"/>
            </w:r>
            <w:r w:rsidR="00471BC8">
              <w:rPr>
                <w:noProof/>
                <w:webHidden/>
              </w:rPr>
              <w:t>4</w:t>
            </w:r>
            <w:r w:rsidR="00471BC8">
              <w:rPr>
                <w:noProof/>
                <w:webHidden/>
              </w:rPr>
              <w:fldChar w:fldCharType="end"/>
            </w:r>
          </w:hyperlink>
        </w:p>
        <w:p w14:paraId="64AD84BE" w14:textId="64D838B2" w:rsidR="00471BC8" w:rsidRDefault="002D4452">
          <w:pPr>
            <w:pStyle w:val="TOC1"/>
            <w:tabs>
              <w:tab w:val="right" w:leader="dot" w:pos="9016"/>
            </w:tabs>
            <w:rPr>
              <w:rFonts w:eastAsiaTheme="minorEastAsia"/>
              <w:noProof/>
              <w:lang w:eastAsia="en-GB"/>
            </w:rPr>
          </w:pPr>
          <w:hyperlink w:anchor="_Toc7186195" w:history="1">
            <w:r w:rsidR="00471BC8" w:rsidRPr="00D61D17">
              <w:rPr>
                <w:rStyle w:val="Hyperlink"/>
                <w:noProof/>
              </w:rPr>
              <w:t>Ratios</w:t>
            </w:r>
            <w:r w:rsidR="00471BC8">
              <w:rPr>
                <w:noProof/>
                <w:webHidden/>
              </w:rPr>
              <w:tab/>
            </w:r>
            <w:r w:rsidR="00471BC8">
              <w:rPr>
                <w:noProof/>
                <w:webHidden/>
              </w:rPr>
              <w:fldChar w:fldCharType="begin"/>
            </w:r>
            <w:r w:rsidR="00471BC8">
              <w:rPr>
                <w:noProof/>
                <w:webHidden/>
              </w:rPr>
              <w:instrText xml:space="preserve"> PAGEREF _Toc7186195 \h </w:instrText>
            </w:r>
            <w:r w:rsidR="00471BC8">
              <w:rPr>
                <w:noProof/>
                <w:webHidden/>
              </w:rPr>
            </w:r>
            <w:r w:rsidR="00471BC8">
              <w:rPr>
                <w:noProof/>
                <w:webHidden/>
              </w:rPr>
              <w:fldChar w:fldCharType="separate"/>
            </w:r>
            <w:r w:rsidR="00471BC8">
              <w:rPr>
                <w:noProof/>
                <w:webHidden/>
              </w:rPr>
              <w:t>8</w:t>
            </w:r>
            <w:r w:rsidR="00471BC8">
              <w:rPr>
                <w:noProof/>
                <w:webHidden/>
              </w:rPr>
              <w:fldChar w:fldCharType="end"/>
            </w:r>
          </w:hyperlink>
        </w:p>
        <w:p w14:paraId="6FCA47E9" w14:textId="68202F04" w:rsidR="00471BC8" w:rsidRDefault="002D4452">
          <w:pPr>
            <w:pStyle w:val="TOC2"/>
            <w:tabs>
              <w:tab w:val="right" w:leader="dot" w:pos="9016"/>
            </w:tabs>
            <w:rPr>
              <w:rFonts w:eastAsiaTheme="minorEastAsia"/>
              <w:noProof/>
              <w:lang w:eastAsia="en-GB"/>
            </w:rPr>
          </w:pPr>
          <w:hyperlink w:anchor="_Toc7186196" w:history="1">
            <w:r w:rsidR="00471BC8" w:rsidRPr="00D61D17">
              <w:rPr>
                <w:rStyle w:val="Hyperlink"/>
                <w:noProof/>
              </w:rPr>
              <w:t>Analysis and Key Performance Indicators</w:t>
            </w:r>
            <w:r w:rsidR="00471BC8">
              <w:rPr>
                <w:noProof/>
                <w:webHidden/>
              </w:rPr>
              <w:tab/>
            </w:r>
            <w:r w:rsidR="00471BC8">
              <w:rPr>
                <w:noProof/>
                <w:webHidden/>
              </w:rPr>
              <w:fldChar w:fldCharType="begin"/>
            </w:r>
            <w:r w:rsidR="00471BC8">
              <w:rPr>
                <w:noProof/>
                <w:webHidden/>
              </w:rPr>
              <w:instrText xml:space="preserve"> PAGEREF _Toc7186196 \h </w:instrText>
            </w:r>
            <w:r w:rsidR="00471BC8">
              <w:rPr>
                <w:noProof/>
                <w:webHidden/>
              </w:rPr>
            </w:r>
            <w:r w:rsidR="00471BC8">
              <w:rPr>
                <w:noProof/>
                <w:webHidden/>
              </w:rPr>
              <w:fldChar w:fldCharType="separate"/>
            </w:r>
            <w:r w:rsidR="00471BC8">
              <w:rPr>
                <w:noProof/>
                <w:webHidden/>
              </w:rPr>
              <w:t>0</w:t>
            </w:r>
            <w:r w:rsidR="00471BC8">
              <w:rPr>
                <w:noProof/>
                <w:webHidden/>
              </w:rPr>
              <w:fldChar w:fldCharType="end"/>
            </w:r>
          </w:hyperlink>
        </w:p>
        <w:p w14:paraId="3E359C26" w14:textId="54F7EE91" w:rsidR="00471BC8" w:rsidRDefault="002D4452">
          <w:pPr>
            <w:pStyle w:val="TOC2"/>
            <w:tabs>
              <w:tab w:val="right" w:leader="dot" w:pos="9016"/>
            </w:tabs>
            <w:rPr>
              <w:rFonts w:eastAsiaTheme="minorEastAsia"/>
              <w:noProof/>
              <w:lang w:eastAsia="en-GB"/>
            </w:rPr>
          </w:pPr>
          <w:hyperlink w:anchor="_Toc7186197" w:history="1">
            <w:r w:rsidR="00471BC8" w:rsidRPr="00D61D17">
              <w:rPr>
                <w:rStyle w:val="Hyperlink"/>
                <w:noProof/>
              </w:rPr>
              <w:t>SMART objectives</w:t>
            </w:r>
            <w:r w:rsidR="00471BC8">
              <w:rPr>
                <w:noProof/>
                <w:webHidden/>
              </w:rPr>
              <w:tab/>
            </w:r>
            <w:r w:rsidR="00471BC8">
              <w:rPr>
                <w:noProof/>
                <w:webHidden/>
              </w:rPr>
              <w:fldChar w:fldCharType="begin"/>
            </w:r>
            <w:r w:rsidR="00471BC8">
              <w:rPr>
                <w:noProof/>
                <w:webHidden/>
              </w:rPr>
              <w:instrText xml:space="preserve"> PAGEREF _Toc7186197 \h </w:instrText>
            </w:r>
            <w:r w:rsidR="00471BC8">
              <w:rPr>
                <w:noProof/>
                <w:webHidden/>
              </w:rPr>
            </w:r>
            <w:r w:rsidR="00471BC8">
              <w:rPr>
                <w:noProof/>
                <w:webHidden/>
              </w:rPr>
              <w:fldChar w:fldCharType="separate"/>
            </w:r>
            <w:r w:rsidR="00471BC8">
              <w:rPr>
                <w:noProof/>
                <w:webHidden/>
              </w:rPr>
              <w:t>3</w:t>
            </w:r>
            <w:r w:rsidR="00471BC8">
              <w:rPr>
                <w:noProof/>
                <w:webHidden/>
              </w:rPr>
              <w:fldChar w:fldCharType="end"/>
            </w:r>
          </w:hyperlink>
        </w:p>
        <w:p w14:paraId="29B423DD" w14:textId="7306A787" w:rsidR="00471BC8" w:rsidRDefault="002D4452">
          <w:pPr>
            <w:pStyle w:val="TOC1"/>
            <w:tabs>
              <w:tab w:val="right" w:leader="dot" w:pos="9016"/>
            </w:tabs>
            <w:rPr>
              <w:rFonts w:eastAsiaTheme="minorEastAsia"/>
              <w:noProof/>
              <w:lang w:eastAsia="en-GB"/>
            </w:rPr>
          </w:pPr>
          <w:hyperlink w:anchor="_Toc7186198" w:history="1">
            <w:r w:rsidR="00471BC8" w:rsidRPr="00D61D17">
              <w:rPr>
                <w:rStyle w:val="Hyperlink"/>
                <w:noProof/>
              </w:rPr>
              <w:t>Management and Human Resources</w:t>
            </w:r>
            <w:r w:rsidR="00471BC8">
              <w:rPr>
                <w:noProof/>
                <w:webHidden/>
              </w:rPr>
              <w:tab/>
            </w:r>
            <w:r w:rsidR="00471BC8">
              <w:rPr>
                <w:noProof/>
                <w:webHidden/>
              </w:rPr>
              <w:fldChar w:fldCharType="begin"/>
            </w:r>
            <w:r w:rsidR="00471BC8">
              <w:rPr>
                <w:noProof/>
                <w:webHidden/>
              </w:rPr>
              <w:instrText xml:space="preserve"> PAGEREF _Toc7186198 \h </w:instrText>
            </w:r>
            <w:r w:rsidR="00471BC8">
              <w:rPr>
                <w:noProof/>
                <w:webHidden/>
              </w:rPr>
            </w:r>
            <w:r w:rsidR="00471BC8">
              <w:rPr>
                <w:noProof/>
                <w:webHidden/>
              </w:rPr>
              <w:fldChar w:fldCharType="separate"/>
            </w:r>
            <w:r w:rsidR="00471BC8">
              <w:rPr>
                <w:noProof/>
                <w:webHidden/>
              </w:rPr>
              <w:t>5</w:t>
            </w:r>
            <w:r w:rsidR="00471BC8">
              <w:rPr>
                <w:noProof/>
                <w:webHidden/>
              </w:rPr>
              <w:fldChar w:fldCharType="end"/>
            </w:r>
          </w:hyperlink>
        </w:p>
        <w:p w14:paraId="7ED0A8C0" w14:textId="1786BFFD" w:rsidR="00471BC8" w:rsidRDefault="002D4452">
          <w:pPr>
            <w:pStyle w:val="TOC1"/>
            <w:tabs>
              <w:tab w:val="right" w:leader="dot" w:pos="9016"/>
            </w:tabs>
            <w:rPr>
              <w:rFonts w:eastAsiaTheme="minorEastAsia"/>
              <w:noProof/>
              <w:lang w:eastAsia="en-GB"/>
            </w:rPr>
          </w:pPr>
          <w:hyperlink w:anchor="_Toc7186199" w:history="1">
            <w:r w:rsidR="00471BC8" w:rsidRPr="00D61D17">
              <w:rPr>
                <w:rStyle w:val="Hyperlink"/>
                <w:noProof/>
              </w:rPr>
              <w:t>Conclusion</w:t>
            </w:r>
            <w:r w:rsidR="00471BC8">
              <w:rPr>
                <w:noProof/>
                <w:webHidden/>
              </w:rPr>
              <w:tab/>
            </w:r>
            <w:r w:rsidR="00471BC8">
              <w:rPr>
                <w:noProof/>
                <w:webHidden/>
              </w:rPr>
              <w:fldChar w:fldCharType="begin"/>
            </w:r>
            <w:r w:rsidR="00471BC8">
              <w:rPr>
                <w:noProof/>
                <w:webHidden/>
              </w:rPr>
              <w:instrText xml:space="preserve"> PAGEREF _Toc7186199 \h </w:instrText>
            </w:r>
            <w:r w:rsidR="00471BC8">
              <w:rPr>
                <w:noProof/>
                <w:webHidden/>
              </w:rPr>
            </w:r>
            <w:r w:rsidR="00471BC8">
              <w:rPr>
                <w:noProof/>
                <w:webHidden/>
              </w:rPr>
              <w:fldChar w:fldCharType="separate"/>
            </w:r>
            <w:r w:rsidR="00471BC8">
              <w:rPr>
                <w:noProof/>
                <w:webHidden/>
              </w:rPr>
              <w:t>9</w:t>
            </w:r>
            <w:r w:rsidR="00471BC8">
              <w:rPr>
                <w:noProof/>
                <w:webHidden/>
              </w:rPr>
              <w:fldChar w:fldCharType="end"/>
            </w:r>
          </w:hyperlink>
        </w:p>
        <w:p w14:paraId="25E6DB4B" w14:textId="66501FCB" w:rsidR="00471BC8" w:rsidRDefault="002D4452">
          <w:pPr>
            <w:pStyle w:val="TOC1"/>
            <w:tabs>
              <w:tab w:val="right" w:leader="dot" w:pos="9016"/>
            </w:tabs>
            <w:rPr>
              <w:rFonts w:eastAsiaTheme="minorEastAsia"/>
              <w:noProof/>
              <w:lang w:eastAsia="en-GB"/>
            </w:rPr>
          </w:pPr>
          <w:hyperlink w:anchor="_Toc7186200" w:history="1">
            <w:r w:rsidR="00471BC8" w:rsidRPr="00D61D17">
              <w:rPr>
                <w:rStyle w:val="Hyperlink"/>
                <w:noProof/>
              </w:rPr>
              <w:t>Reference List</w:t>
            </w:r>
            <w:r w:rsidR="00471BC8">
              <w:rPr>
                <w:noProof/>
                <w:webHidden/>
              </w:rPr>
              <w:tab/>
            </w:r>
            <w:r w:rsidR="00471BC8">
              <w:rPr>
                <w:noProof/>
                <w:webHidden/>
              </w:rPr>
              <w:fldChar w:fldCharType="begin"/>
            </w:r>
            <w:r w:rsidR="00471BC8">
              <w:rPr>
                <w:noProof/>
                <w:webHidden/>
              </w:rPr>
              <w:instrText xml:space="preserve"> PAGEREF _Toc7186200 \h </w:instrText>
            </w:r>
            <w:r w:rsidR="00471BC8">
              <w:rPr>
                <w:noProof/>
                <w:webHidden/>
              </w:rPr>
            </w:r>
            <w:r w:rsidR="00471BC8">
              <w:rPr>
                <w:noProof/>
                <w:webHidden/>
              </w:rPr>
              <w:fldChar w:fldCharType="separate"/>
            </w:r>
            <w:r w:rsidR="00471BC8">
              <w:rPr>
                <w:noProof/>
                <w:webHidden/>
              </w:rPr>
              <w:t>10</w:t>
            </w:r>
            <w:r w:rsidR="00471BC8">
              <w:rPr>
                <w:noProof/>
                <w:webHidden/>
              </w:rPr>
              <w:fldChar w:fldCharType="end"/>
            </w:r>
          </w:hyperlink>
        </w:p>
        <w:p w14:paraId="2477845F" w14:textId="6C3B60BE" w:rsidR="00471BC8" w:rsidRDefault="002D4452">
          <w:pPr>
            <w:pStyle w:val="TOC1"/>
            <w:tabs>
              <w:tab w:val="right" w:leader="dot" w:pos="9016"/>
            </w:tabs>
            <w:rPr>
              <w:rFonts w:eastAsiaTheme="minorEastAsia"/>
              <w:noProof/>
              <w:lang w:eastAsia="en-GB"/>
            </w:rPr>
          </w:pPr>
          <w:hyperlink w:anchor="_Toc7186201" w:history="1">
            <w:r w:rsidR="00471BC8" w:rsidRPr="00D61D17">
              <w:rPr>
                <w:rStyle w:val="Hyperlink"/>
                <w:noProof/>
              </w:rPr>
              <w:t>Appendix</w:t>
            </w:r>
            <w:r w:rsidR="00471BC8">
              <w:rPr>
                <w:noProof/>
                <w:webHidden/>
              </w:rPr>
              <w:tab/>
            </w:r>
            <w:r w:rsidR="00471BC8">
              <w:rPr>
                <w:noProof/>
                <w:webHidden/>
              </w:rPr>
              <w:fldChar w:fldCharType="begin"/>
            </w:r>
            <w:r w:rsidR="00471BC8">
              <w:rPr>
                <w:noProof/>
                <w:webHidden/>
              </w:rPr>
              <w:instrText xml:space="preserve"> PAGEREF _Toc7186201 \h </w:instrText>
            </w:r>
            <w:r w:rsidR="00471BC8">
              <w:rPr>
                <w:noProof/>
                <w:webHidden/>
              </w:rPr>
            </w:r>
            <w:r w:rsidR="00471BC8">
              <w:rPr>
                <w:noProof/>
                <w:webHidden/>
              </w:rPr>
              <w:fldChar w:fldCharType="separate"/>
            </w:r>
            <w:r w:rsidR="00471BC8">
              <w:rPr>
                <w:noProof/>
                <w:webHidden/>
              </w:rPr>
              <w:t>13</w:t>
            </w:r>
            <w:r w:rsidR="00471BC8">
              <w:rPr>
                <w:noProof/>
                <w:webHidden/>
              </w:rPr>
              <w:fldChar w:fldCharType="end"/>
            </w:r>
          </w:hyperlink>
        </w:p>
        <w:p w14:paraId="181DE5DD" w14:textId="505D0A26" w:rsidR="00471BC8" w:rsidRDefault="002D4452">
          <w:pPr>
            <w:pStyle w:val="TOC2"/>
            <w:tabs>
              <w:tab w:val="right" w:leader="dot" w:pos="9016"/>
            </w:tabs>
            <w:rPr>
              <w:rFonts w:eastAsiaTheme="minorEastAsia"/>
              <w:noProof/>
              <w:lang w:eastAsia="en-GB"/>
            </w:rPr>
          </w:pPr>
          <w:hyperlink w:anchor="_Toc7186202" w:history="1">
            <w:r w:rsidR="00471BC8" w:rsidRPr="00D61D17">
              <w:rPr>
                <w:rStyle w:val="Hyperlink"/>
                <w:noProof/>
              </w:rPr>
              <w:t>Appendix A: PESTLE analysis</w:t>
            </w:r>
            <w:r w:rsidR="00471BC8">
              <w:rPr>
                <w:noProof/>
                <w:webHidden/>
              </w:rPr>
              <w:tab/>
            </w:r>
            <w:r w:rsidR="00471BC8">
              <w:rPr>
                <w:noProof/>
                <w:webHidden/>
              </w:rPr>
              <w:fldChar w:fldCharType="begin"/>
            </w:r>
            <w:r w:rsidR="00471BC8">
              <w:rPr>
                <w:noProof/>
                <w:webHidden/>
              </w:rPr>
              <w:instrText xml:space="preserve"> PAGEREF _Toc7186202 \h </w:instrText>
            </w:r>
            <w:r w:rsidR="00471BC8">
              <w:rPr>
                <w:noProof/>
                <w:webHidden/>
              </w:rPr>
            </w:r>
            <w:r w:rsidR="00471BC8">
              <w:rPr>
                <w:noProof/>
                <w:webHidden/>
              </w:rPr>
              <w:fldChar w:fldCharType="separate"/>
            </w:r>
            <w:r w:rsidR="00471BC8">
              <w:rPr>
                <w:noProof/>
                <w:webHidden/>
              </w:rPr>
              <w:t>13</w:t>
            </w:r>
            <w:r w:rsidR="00471BC8">
              <w:rPr>
                <w:noProof/>
                <w:webHidden/>
              </w:rPr>
              <w:fldChar w:fldCharType="end"/>
            </w:r>
          </w:hyperlink>
        </w:p>
        <w:p w14:paraId="4E080F59" w14:textId="2969F96D" w:rsidR="00471BC8" w:rsidRDefault="002D4452">
          <w:pPr>
            <w:pStyle w:val="TOC2"/>
            <w:tabs>
              <w:tab w:val="right" w:leader="dot" w:pos="9016"/>
            </w:tabs>
            <w:rPr>
              <w:rFonts w:eastAsiaTheme="minorEastAsia"/>
              <w:noProof/>
              <w:lang w:eastAsia="en-GB"/>
            </w:rPr>
          </w:pPr>
          <w:hyperlink w:anchor="_Toc7186203" w:history="1">
            <w:r w:rsidR="00471BC8" w:rsidRPr="00D61D17">
              <w:rPr>
                <w:rStyle w:val="Hyperlink"/>
                <w:rFonts w:cstheme="minorHAnsi"/>
                <w:noProof/>
              </w:rPr>
              <w:t>Appendix B: SWOT analysis</w:t>
            </w:r>
            <w:r w:rsidR="00471BC8">
              <w:rPr>
                <w:noProof/>
                <w:webHidden/>
              </w:rPr>
              <w:tab/>
            </w:r>
            <w:r w:rsidR="00471BC8">
              <w:rPr>
                <w:noProof/>
                <w:webHidden/>
              </w:rPr>
              <w:fldChar w:fldCharType="begin"/>
            </w:r>
            <w:r w:rsidR="00471BC8">
              <w:rPr>
                <w:noProof/>
                <w:webHidden/>
              </w:rPr>
              <w:instrText xml:space="preserve"> PAGEREF _Toc7186203 \h </w:instrText>
            </w:r>
            <w:r w:rsidR="00471BC8">
              <w:rPr>
                <w:noProof/>
                <w:webHidden/>
              </w:rPr>
            </w:r>
            <w:r w:rsidR="00471BC8">
              <w:rPr>
                <w:noProof/>
                <w:webHidden/>
              </w:rPr>
              <w:fldChar w:fldCharType="separate"/>
            </w:r>
            <w:r w:rsidR="00471BC8">
              <w:rPr>
                <w:noProof/>
                <w:webHidden/>
              </w:rPr>
              <w:t>14</w:t>
            </w:r>
            <w:r w:rsidR="00471BC8">
              <w:rPr>
                <w:noProof/>
                <w:webHidden/>
              </w:rPr>
              <w:fldChar w:fldCharType="end"/>
            </w:r>
          </w:hyperlink>
        </w:p>
        <w:p w14:paraId="487817D0" w14:textId="54329D29" w:rsidR="009324A6" w:rsidRDefault="00E150F5" w:rsidP="00CB78A5">
          <w:pPr>
            <w:spacing w:line="276" w:lineRule="auto"/>
            <w:rPr>
              <w:b/>
              <w:bCs/>
              <w:noProof/>
            </w:rPr>
          </w:pPr>
          <w:r w:rsidRPr="00CB78A5">
            <w:rPr>
              <w:b/>
              <w:bCs/>
              <w:noProof/>
              <w:sz w:val="24"/>
              <w:szCs w:val="24"/>
            </w:rPr>
            <w:fldChar w:fldCharType="end"/>
          </w:r>
        </w:p>
      </w:sdtContent>
    </w:sdt>
    <w:p w14:paraId="1755470D" w14:textId="7AB59F51" w:rsidR="00B4411B" w:rsidRDefault="00B4411B" w:rsidP="00E150F5">
      <w:pPr>
        <w:rPr>
          <w:b/>
          <w:bCs/>
          <w:noProof/>
        </w:rPr>
      </w:pPr>
    </w:p>
    <w:p w14:paraId="24ADD433" w14:textId="4F64DCC1" w:rsidR="00B4411B" w:rsidRDefault="00B4411B" w:rsidP="00E150F5">
      <w:pPr>
        <w:rPr>
          <w:b/>
          <w:bCs/>
          <w:noProof/>
        </w:rPr>
      </w:pPr>
    </w:p>
    <w:p w14:paraId="6B75BA91" w14:textId="79E73C8D" w:rsidR="00B4411B" w:rsidRDefault="00B4411B" w:rsidP="00E150F5">
      <w:pPr>
        <w:rPr>
          <w:b/>
          <w:bCs/>
          <w:noProof/>
        </w:rPr>
      </w:pPr>
    </w:p>
    <w:p w14:paraId="370AEC3A" w14:textId="79396D5F" w:rsidR="00B4411B" w:rsidRDefault="00B4411B" w:rsidP="00E150F5">
      <w:pPr>
        <w:rPr>
          <w:b/>
          <w:bCs/>
          <w:noProof/>
        </w:rPr>
      </w:pPr>
    </w:p>
    <w:p w14:paraId="2B25DA10" w14:textId="2446F5D4" w:rsidR="00B4411B" w:rsidRDefault="00B4411B" w:rsidP="00E150F5">
      <w:pPr>
        <w:rPr>
          <w:b/>
          <w:bCs/>
          <w:noProof/>
        </w:rPr>
      </w:pPr>
    </w:p>
    <w:p w14:paraId="515185B4" w14:textId="38201C1D" w:rsidR="00B4411B" w:rsidRDefault="00B4411B" w:rsidP="00E150F5">
      <w:pPr>
        <w:rPr>
          <w:b/>
          <w:bCs/>
          <w:noProof/>
        </w:rPr>
      </w:pPr>
    </w:p>
    <w:p w14:paraId="42E351B6" w14:textId="62182135" w:rsidR="00B4411B" w:rsidRDefault="00B4411B" w:rsidP="00E150F5">
      <w:pPr>
        <w:rPr>
          <w:b/>
          <w:bCs/>
          <w:noProof/>
        </w:rPr>
      </w:pPr>
    </w:p>
    <w:p w14:paraId="52BECDB6" w14:textId="035D6348" w:rsidR="00B4411B" w:rsidRDefault="00B4411B" w:rsidP="00E150F5">
      <w:pPr>
        <w:rPr>
          <w:b/>
          <w:bCs/>
          <w:noProof/>
        </w:rPr>
      </w:pPr>
    </w:p>
    <w:p w14:paraId="30B66AF8" w14:textId="64EDA89B" w:rsidR="00B4411B" w:rsidRDefault="00B4411B" w:rsidP="00E150F5">
      <w:pPr>
        <w:rPr>
          <w:b/>
          <w:bCs/>
          <w:noProof/>
        </w:rPr>
      </w:pPr>
    </w:p>
    <w:p w14:paraId="0C6A2E5C" w14:textId="16FF999E" w:rsidR="00B4411B" w:rsidRDefault="00B4411B" w:rsidP="00E150F5">
      <w:pPr>
        <w:rPr>
          <w:b/>
          <w:bCs/>
          <w:noProof/>
        </w:rPr>
      </w:pPr>
    </w:p>
    <w:p w14:paraId="66B50263" w14:textId="06355AD7" w:rsidR="00B4411B" w:rsidRDefault="00B4411B" w:rsidP="00E150F5">
      <w:pPr>
        <w:rPr>
          <w:b/>
          <w:bCs/>
          <w:noProof/>
        </w:rPr>
      </w:pPr>
    </w:p>
    <w:p w14:paraId="47EAA932" w14:textId="65E246F0" w:rsidR="00B4411B" w:rsidRDefault="00B4411B" w:rsidP="00E150F5">
      <w:pPr>
        <w:rPr>
          <w:b/>
          <w:bCs/>
          <w:noProof/>
        </w:rPr>
      </w:pPr>
    </w:p>
    <w:p w14:paraId="34C84E8A" w14:textId="40CDC8B6" w:rsidR="00B4411B" w:rsidRDefault="00B4411B" w:rsidP="00E150F5">
      <w:pPr>
        <w:rPr>
          <w:b/>
          <w:bCs/>
          <w:noProof/>
        </w:rPr>
      </w:pPr>
    </w:p>
    <w:p w14:paraId="3199B9DF" w14:textId="5149A557" w:rsidR="00B4411B" w:rsidRDefault="00B4411B" w:rsidP="00E150F5">
      <w:pPr>
        <w:rPr>
          <w:b/>
          <w:bCs/>
          <w:noProof/>
        </w:rPr>
      </w:pPr>
    </w:p>
    <w:p w14:paraId="1158D738" w14:textId="7EE00953" w:rsidR="00B4411B" w:rsidRDefault="00B4411B" w:rsidP="00E150F5">
      <w:pPr>
        <w:rPr>
          <w:b/>
          <w:bCs/>
          <w:noProof/>
        </w:rPr>
      </w:pPr>
    </w:p>
    <w:p w14:paraId="73D2BE6B" w14:textId="77777777" w:rsidR="00B4411B" w:rsidRDefault="00B4411B" w:rsidP="00E150F5"/>
    <w:p w14:paraId="4236602D" w14:textId="77777777" w:rsidR="009324A6" w:rsidRDefault="009324A6" w:rsidP="009324A6">
      <w:pPr>
        <w:pStyle w:val="Heading1"/>
      </w:pPr>
      <w:bookmarkStart w:id="2" w:name="_Toc5348062"/>
      <w:bookmarkStart w:id="3" w:name="_Toc7186193"/>
      <w:r>
        <w:lastRenderedPageBreak/>
        <w:t>Introduction</w:t>
      </w:r>
      <w:bookmarkEnd w:id="2"/>
      <w:bookmarkEnd w:id="3"/>
    </w:p>
    <w:p w14:paraId="3B14817A" w14:textId="279B05F8" w:rsidR="009324A6" w:rsidRDefault="009324A6" w:rsidP="009324A6">
      <w:pPr>
        <w:pStyle w:val="Heading1"/>
      </w:pPr>
    </w:p>
    <w:p w14:paraId="0140BF49" w14:textId="62DC6690" w:rsidR="00C402AC" w:rsidRPr="000D6CCA" w:rsidRDefault="00C402AC" w:rsidP="000D6CCA">
      <w:pPr>
        <w:spacing w:line="360" w:lineRule="auto"/>
        <w:jc w:val="both"/>
        <w:rPr>
          <w:sz w:val="24"/>
          <w:szCs w:val="24"/>
        </w:rPr>
      </w:pPr>
      <w:r w:rsidRPr="000D6CCA">
        <w:rPr>
          <w:sz w:val="24"/>
          <w:szCs w:val="24"/>
        </w:rPr>
        <w:t>Alton Towers is a theme park that first open</w:t>
      </w:r>
      <w:r w:rsidR="00A52380">
        <w:rPr>
          <w:sz w:val="24"/>
          <w:szCs w:val="24"/>
        </w:rPr>
        <w:t>ed</w:t>
      </w:r>
      <w:r w:rsidRPr="000D6CCA">
        <w:rPr>
          <w:sz w:val="24"/>
          <w:szCs w:val="24"/>
        </w:rPr>
        <w:t xml:space="preserve"> in 1980 in Staffordshire, England</w:t>
      </w:r>
      <w:r w:rsidR="00B4411B" w:rsidRPr="000D6CCA">
        <w:rPr>
          <w:sz w:val="24"/>
          <w:szCs w:val="24"/>
        </w:rPr>
        <w:t xml:space="preserve">. </w:t>
      </w:r>
      <w:r w:rsidRPr="000D6CCA">
        <w:rPr>
          <w:sz w:val="24"/>
          <w:szCs w:val="24"/>
        </w:rPr>
        <w:t xml:space="preserve">The park is a subsidiary of Merlin Entertainments </w:t>
      </w:r>
      <w:r w:rsidR="00B4411B" w:rsidRPr="000D6CCA">
        <w:rPr>
          <w:sz w:val="24"/>
          <w:szCs w:val="24"/>
        </w:rPr>
        <w:t xml:space="preserve">which is </w:t>
      </w:r>
      <w:r w:rsidR="00A52380">
        <w:rPr>
          <w:sz w:val="24"/>
          <w:szCs w:val="24"/>
        </w:rPr>
        <w:t xml:space="preserve">currently </w:t>
      </w:r>
      <w:r w:rsidR="00B4411B" w:rsidRPr="000D6CCA">
        <w:rPr>
          <w:sz w:val="24"/>
          <w:szCs w:val="24"/>
        </w:rPr>
        <w:t>Europe’s largest visitor attraction operator. With around 3,000,000 customers visiting Alton Towers every year, there are several vital areas of the business that need to be monitored closely</w:t>
      </w:r>
      <w:r w:rsidR="000D6CCA" w:rsidRPr="000D6CCA">
        <w:rPr>
          <w:sz w:val="24"/>
          <w:szCs w:val="24"/>
        </w:rPr>
        <w:t xml:space="preserve"> in order to continue the organisation’s current success. This report will aim to carry out an environmental analysis, a performance management audit and a financial analysis in order to make strategic recommendations </w:t>
      </w:r>
      <w:r w:rsidR="00560D8D">
        <w:rPr>
          <w:sz w:val="24"/>
          <w:szCs w:val="24"/>
        </w:rPr>
        <w:t xml:space="preserve">throughout </w:t>
      </w:r>
      <w:r w:rsidR="000D6CCA" w:rsidRPr="000D6CCA">
        <w:rPr>
          <w:sz w:val="24"/>
          <w:szCs w:val="24"/>
        </w:rPr>
        <w:t xml:space="preserve">that will aid the company’s business performance. </w:t>
      </w:r>
    </w:p>
    <w:p w14:paraId="1CB80B13" w14:textId="77777777" w:rsidR="009324A6" w:rsidRDefault="009324A6" w:rsidP="009324A6">
      <w:pPr>
        <w:pStyle w:val="Heading1"/>
      </w:pPr>
    </w:p>
    <w:p w14:paraId="5B8DA501" w14:textId="77777777" w:rsidR="009324A6" w:rsidRDefault="009324A6" w:rsidP="009324A6">
      <w:pPr>
        <w:pStyle w:val="Heading1"/>
      </w:pPr>
    </w:p>
    <w:p w14:paraId="63FFEDAE" w14:textId="77777777" w:rsidR="009324A6" w:rsidRDefault="009324A6" w:rsidP="009324A6">
      <w:pPr>
        <w:pStyle w:val="Heading1"/>
      </w:pPr>
    </w:p>
    <w:p w14:paraId="6C4E0FA3" w14:textId="77777777" w:rsidR="009324A6" w:rsidRDefault="009324A6" w:rsidP="009324A6">
      <w:pPr>
        <w:pStyle w:val="Heading1"/>
      </w:pPr>
    </w:p>
    <w:p w14:paraId="09BAE1D8" w14:textId="77777777" w:rsidR="009324A6" w:rsidRDefault="009324A6" w:rsidP="009324A6">
      <w:pPr>
        <w:pStyle w:val="Heading1"/>
      </w:pPr>
    </w:p>
    <w:p w14:paraId="6176D83C" w14:textId="77777777" w:rsidR="009324A6" w:rsidRDefault="009324A6" w:rsidP="009324A6">
      <w:pPr>
        <w:pStyle w:val="Heading1"/>
      </w:pPr>
    </w:p>
    <w:p w14:paraId="27525B8D" w14:textId="77777777" w:rsidR="009324A6" w:rsidRDefault="009324A6" w:rsidP="009324A6">
      <w:pPr>
        <w:pStyle w:val="Heading1"/>
      </w:pPr>
    </w:p>
    <w:p w14:paraId="1D8EFD54" w14:textId="77777777" w:rsidR="009324A6" w:rsidRDefault="009324A6" w:rsidP="009324A6">
      <w:pPr>
        <w:pStyle w:val="Heading1"/>
      </w:pPr>
    </w:p>
    <w:p w14:paraId="11992F79" w14:textId="77777777" w:rsidR="009324A6" w:rsidRDefault="009324A6" w:rsidP="009324A6">
      <w:pPr>
        <w:pStyle w:val="Heading1"/>
      </w:pPr>
    </w:p>
    <w:p w14:paraId="3CBEF206" w14:textId="77777777" w:rsidR="009324A6" w:rsidRDefault="009324A6" w:rsidP="009324A6">
      <w:pPr>
        <w:pStyle w:val="Heading1"/>
      </w:pPr>
    </w:p>
    <w:p w14:paraId="2642F7BB" w14:textId="21337B89" w:rsidR="009324A6" w:rsidRDefault="009324A6" w:rsidP="009324A6">
      <w:pPr>
        <w:pStyle w:val="Heading1"/>
      </w:pPr>
    </w:p>
    <w:p w14:paraId="4F16ECF1" w14:textId="3D8CBFE7" w:rsidR="000D6CCA" w:rsidRDefault="000D6CCA" w:rsidP="000D6CCA"/>
    <w:p w14:paraId="5BAADF67" w14:textId="45494E21" w:rsidR="000D6CCA" w:rsidRDefault="000D6CCA" w:rsidP="000D6CCA"/>
    <w:p w14:paraId="28472E6B" w14:textId="77777777" w:rsidR="000D6CCA" w:rsidRPr="000D6CCA" w:rsidRDefault="000D6CCA" w:rsidP="000D6CCA"/>
    <w:p w14:paraId="72267E26" w14:textId="77777777" w:rsidR="00A77FC5" w:rsidRDefault="00A77FC5" w:rsidP="00A77FC5"/>
    <w:p w14:paraId="41103E1A" w14:textId="68B43164" w:rsidR="00A77FC5" w:rsidRDefault="00BA24E9" w:rsidP="00BA24E9">
      <w:pPr>
        <w:pStyle w:val="Heading1"/>
      </w:pPr>
      <w:bookmarkStart w:id="4" w:name="_Toc7186194"/>
      <w:r>
        <w:lastRenderedPageBreak/>
        <w:t>Environmental Analysis</w:t>
      </w:r>
      <w:bookmarkEnd w:id="4"/>
    </w:p>
    <w:p w14:paraId="272B4403" w14:textId="77777777" w:rsidR="00A77FC5" w:rsidRDefault="00A77FC5" w:rsidP="00A77FC5"/>
    <w:p w14:paraId="0F8B4465" w14:textId="77777777" w:rsidR="000D1A77" w:rsidRPr="000D1A77" w:rsidRDefault="000D1A77" w:rsidP="000D1A77">
      <w:pPr>
        <w:spacing w:line="360" w:lineRule="auto"/>
        <w:jc w:val="both"/>
        <w:rPr>
          <w:rFonts w:cstheme="minorHAnsi"/>
          <w:sz w:val="24"/>
          <w:szCs w:val="24"/>
        </w:rPr>
      </w:pPr>
      <w:r w:rsidRPr="000D1A77">
        <w:rPr>
          <w:rFonts w:cstheme="minorHAnsi"/>
          <w:sz w:val="24"/>
          <w:szCs w:val="24"/>
        </w:rPr>
        <w:t xml:space="preserve">There are multiple internal and external risks that face Merlin, and therefore Alton Towers as an organisation. These risks need to be considered in order to eliminate detriment to the business and its social performance. A PESTLE and SWOT analysis has been completed to highlight the key areas of concern that need to be addressed. </w:t>
      </w:r>
    </w:p>
    <w:p w14:paraId="6CCB8D29" w14:textId="77777777" w:rsidR="000D1A77" w:rsidRPr="000D1A77" w:rsidRDefault="000D1A77" w:rsidP="000D1A77">
      <w:pPr>
        <w:spacing w:line="360" w:lineRule="auto"/>
        <w:jc w:val="both"/>
        <w:rPr>
          <w:rFonts w:cstheme="minorHAnsi"/>
          <w:sz w:val="24"/>
          <w:szCs w:val="24"/>
          <w:lang w:val="en"/>
        </w:rPr>
      </w:pPr>
      <w:r w:rsidRPr="000D1A77">
        <w:rPr>
          <w:rFonts w:cstheme="minorHAnsi"/>
          <w:sz w:val="24"/>
          <w:szCs w:val="24"/>
        </w:rPr>
        <w:t>One key macroeconomic external risk highlighted within both the PESTLE and SWOT analysis is a potential upcoming financial recession within the United Kingdom. According to Elliot, L (2018) “</w:t>
      </w:r>
      <w:hyperlink r:id="rId11" w:history="1">
        <w:r w:rsidRPr="000D1A77">
          <w:rPr>
            <w:rStyle w:val="Hyperlink"/>
            <w:rFonts w:cstheme="minorHAnsi"/>
            <w:color w:val="auto"/>
            <w:sz w:val="24"/>
            <w:szCs w:val="24"/>
            <w:u w:val="none"/>
            <w:lang w:val="en"/>
          </w:rPr>
          <w:t xml:space="preserve">Official interest rates stand at 0.75% </w:t>
        </w:r>
      </w:hyperlink>
      <w:r w:rsidRPr="000D1A77">
        <w:rPr>
          <w:rFonts w:cstheme="minorHAnsi"/>
          <w:sz w:val="24"/>
          <w:szCs w:val="24"/>
          <w:lang w:val="en"/>
        </w:rPr>
        <w:t xml:space="preserve">– just a quarter point higher than the emergency level hit when the economy was in free fall in early 2009”. This indicates that the stability of the economy within the United Kingdom is similar to the position that it was in during its financial decline in 2008 and 2009. It is evident there has been a severe lack of productivity growth and this suggests that a recession is a very real threat to the financial markets. A recession could drastically decrease sales revenue’s for Alton Towers as many customers would potentially have a lower disposable income figure. If Alton Towers sees its business profits decrease, this in turn could lead to a reduction in expenditure which would mean other areas of the business such as advertising and marketing would be at a loss. However, classic monetarism discussed by Long (2000) highlights how “money demand functions could retain remarkable amounts of stability under the most extreme hyperinflationary condition”. In order to eliminate the threat of a recession and maintain stability it is recommended that the organization works closely with its financial advisors and accountants in reviewing the financial model that is currently in place. The key impacts of a recession need to be identified. As discussed by America’s Small Business Development Centre (2013) every business must test their own financial model for a potential decline in sales of 10, 15 and 20 percent. Using this testing system, a financial plan can be generated that will address how the business can continue profitability and be sustained during a potential recession. It is also important to be aware that this risk is a long-term and ongoing financial risk, and so it is crucial that any financial plans are viable on a long-term basis. </w:t>
      </w:r>
    </w:p>
    <w:p w14:paraId="57F3601E" w14:textId="77777777" w:rsidR="000D1A77" w:rsidRPr="000D1A77" w:rsidRDefault="000D1A77" w:rsidP="000D1A77">
      <w:pPr>
        <w:spacing w:line="360" w:lineRule="auto"/>
        <w:jc w:val="both"/>
        <w:rPr>
          <w:rFonts w:cstheme="minorHAnsi"/>
          <w:sz w:val="24"/>
          <w:szCs w:val="24"/>
          <w:lang w:val="en"/>
        </w:rPr>
      </w:pPr>
    </w:p>
    <w:p w14:paraId="2EBB536A" w14:textId="2A329A8C" w:rsidR="000D1A77" w:rsidRPr="000D1A77" w:rsidRDefault="000D1A77" w:rsidP="000D1A77">
      <w:pPr>
        <w:spacing w:line="360" w:lineRule="auto"/>
        <w:jc w:val="both"/>
        <w:rPr>
          <w:rFonts w:cstheme="minorHAnsi"/>
          <w:sz w:val="24"/>
          <w:szCs w:val="24"/>
          <w:lang w:val="en"/>
        </w:rPr>
      </w:pPr>
      <w:r w:rsidRPr="000D1A77">
        <w:rPr>
          <w:rFonts w:cstheme="minorHAnsi"/>
          <w:sz w:val="24"/>
          <w:szCs w:val="24"/>
          <w:lang w:val="en"/>
        </w:rPr>
        <w:t xml:space="preserve">Furthermore, during an analysis of political risks, Brexit was highlighted as key area of concern. Though Brexit is a political risk, there is also the further threat of Brexit bringing </w:t>
      </w:r>
      <w:r w:rsidRPr="000D1A77">
        <w:rPr>
          <w:rFonts w:cstheme="minorHAnsi"/>
          <w:sz w:val="24"/>
          <w:szCs w:val="24"/>
          <w:lang w:val="en"/>
        </w:rPr>
        <w:lastRenderedPageBreak/>
        <w:t>economic risks. One of the many implications of Brexit is a decline in the national exchange rate. As discussed by McCombie (2018) “The fall in the exchange rate will further increase the price of imports in terms of the domestic currency, sterling, which, ceteris paribus, will lead to a fall in the real wage”. These changes within the domestic and international markets could also be detrimental to supply and demand, which is a key economic theory, by effecting the charges and accessibility that comes with importing supplies. Elliott (2017) notes how a further implication of a fall in the real wage and Brexit is the depreciation of sterling, which will then also lead to inflation. In order to manage depreciation, Alton Towers will need to decide whether it is best to adopt a straight-line or accelerated depreciation method for the remaining life of Alton Towers’ fixed assets. It is also recommended that any investments that would be affected by currency exchange be kept to a minimum as this will help reduce any financial loss in relation to business stocks and investment. Brexit however also provides Alton Towers with the opportunity to increase sales revenue. According to the Guardian (2016) “</w:t>
      </w:r>
      <w:hyperlink r:id="rId12" w:history="1">
        <w:r w:rsidRPr="000D1A77">
          <w:rPr>
            <w:rStyle w:val="Hyperlink"/>
            <w:rFonts w:cstheme="minorHAnsi"/>
            <w:color w:val="auto"/>
            <w:sz w:val="24"/>
            <w:szCs w:val="24"/>
            <w:u w:val="none"/>
            <w:lang w:val="en"/>
          </w:rPr>
          <w:t xml:space="preserve">An 11% drop in the value of the pound against the euro </w:t>
        </w:r>
      </w:hyperlink>
      <w:r w:rsidRPr="000D1A77">
        <w:rPr>
          <w:rFonts w:cstheme="minorHAnsi"/>
          <w:sz w:val="24"/>
          <w:szCs w:val="24"/>
          <w:lang w:val="en"/>
        </w:rPr>
        <w:t>means that a holiday within the eurozone will cost a family of four at least £245 more now than it would have done before Britain voted to leave the EU”. The increased cost of travel within Europe has meant that there is an increased level of Britons now holidaying within Britain rather than going abroad. Increasing UK temperature</w:t>
      </w:r>
      <w:r w:rsidR="007668F6">
        <w:rPr>
          <w:rFonts w:cstheme="minorHAnsi"/>
          <w:sz w:val="24"/>
          <w:szCs w:val="24"/>
          <w:lang w:val="en"/>
        </w:rPr>
        <w:t>s</w:t>
      </w:r>
      <w:r w:rsidRPr="000D1A77">
        <w:rPr>
          <w:rFonts w:cstheme="minorHAnsi"/>
          <w:sz w:val="24"/>
          <w:szCs w:val="24"/>
          <w:lang w:val="en"/>
        </w:rPr>
        <w:t xml:space="preserve"> have also contributed to this. This was a key opportunity highlighted within the SWOT analysis whereby Alton Towers can utilize its already strong brand image and marketing techniques to capitalize on branding Alton Tower’s as an ideal family destination within the UK.</w:t>
      </w:r>
      <w:r w:rsidRPr="000D1A77">
        <w:rPr>
          <w:rFonts w:cstheme="minorHAnsi"/>
          <w:lang w:val="en"/>
        </w:rPr>
        <w:t xml:space="preserve"> </w:t>
      </w:r>
    </w:p>
    <w:p w14:paraId="637BCE4A" w14:textId="32D1DF98" w:rsidR="000D1A77" w:rsidRPr="000D1A77" w:rsidRDefault="000D1A77" w:rsidP="000D1A77">
      <w:pPr>
        <w:spacing w:line="360" w:lineRule="auto"/>
        <w:jc w:val="both"/>
        <w:rPr>
          <w:rFonts w:cstheme="minorHAnsi"/>
          <w:sz w:val="24"/>
          <w:szCs w:val="24"/>
          <w:lang w:val="en"/>
        </w:rPr>
      </w:pPr>
      <w:r w:rsidRPr="000D1A77">
        <w:rPr>
          <w:rFonts w:cstheme="minorHAnsi"/>
          <w:sz w:val="24"/>
          <w:szCs w:val="24"/>
          <w:lang w:val="en"/>
        </w:rPr>
        <w:t xml:space="preserve">A third risk identified is the rapid continuing advancement of technology and internet use. This risk is a combination of both social and technological factors. According to the Office for National Statistics (2018) “89% of adults in Great Britain used the internet at least weekly in 2018, up from 88% in 2017 and 51% in 2006” and “46% of adults watched videos on demand from commercial services in 2018, up from 29% in 2016”. This indicates a huge increase in internet use, whilst also suggesting a large shift in how adults in the United Kingdom are occupying their time. In order for Alton Towers to continue to thrive in the industry, it must adhere to its changing customer demographic and use strategic marketing to target its customers. Findings put forward by Nguyen et al. (2015) suggested that in order for a brand to be competitive it must create links between “knowledge acquisition from social media, </w:t>
      </w:r>
      <w:r w:rsidRPr="000D1A77">
        <w:rPr>
          <w:rFonts w:cstheme="minorHAnsi"/>
          <w:sz w:val="24"/>
          <w:szCs w:val="24"/>
          <w:lang w:val="en"/>
        </w:rPr>
        <w:lastRenderedPageBreak/>
        <w:t>proactive and reactive market orientations, and social media strategic capability” to achieve brand innovation and competitiveness on social media. This was identified as a threat to the business within the SWOT analysis as if a business is not advancing alongside technology, it will fall behind competitively in the market as well as resulting in not targeting as many customers which could result in reduced sales. A report by Deloitte (2018) stated how “UK consumers feel more upbeat about their personal finances; confidence about disposable income rises two percentage points from Q4 2017”. This suggests it is an ideal time to utilize the rise of social media marketing to encourage UK consumers to spend this extra disposable income at Alton Tower’s and increase sales revenue.</w:t>
      </w:r>
      <w:r w:rsidRPr="000D1A77">
        <w:rPr>
          <w:rFonts w:cstheme="minorHAnsi"/>
          <w:sz w:val="21"/>
          <w:szCs w:val="21"/>
          <w:lang w:val="en"/>
        </w:rPr>
        <w:t xml:space="preserve"> </w:t>
      </w:r>
      <w:r w:rsidRPr="000D1A77">
        <w:rPr>
          <w:rFonts w:cstheme="minorHAnsi"/>
          <w:sz w:val="24"/>
          <w:szCs w:val="24"/>
          <w:lang w:val="en"/>
        </w:rPr>
        <w:t xml:space="preserve"> Therefore, it is recommended that Alton Towers ensur</w:t>
      </w:r>
      <w:r w:rsidR="00F93EB5">
        <w:rPr>
          <w:rFonts w:cstheme="minorHAnsi"/>
          <w:sz w:val="24"/>
          <w:szCs w:val="24"/>
          <w:lang w:val="en"/>
        </w:rPr>
        <w:t>e</w:t>
      </w:r>
      <w:r w:rsidRPr="000D1A77">
        <w:rPr>
          <w:rFonts w:cstheme="minorHAnsi"/>
          <w:sz w:val="24"/>
          <w:szCs w:val="24"/>
          <w:lang w:val="en"/>
        </w:rPr>
        <w:t xml:space="preserve"> that social media and internet use play a key role in targeting wider audiences and encourag</w:t>
      </w:r>
      <w:r w:rsidR="006E3849">
        <w:rPr>
          <w:rFonts w:cstheme="minorHAnsi"/>
          <w:sz w:val="24"/>
          <w:szCs w:val="24"/>
          <w:lang w:val="en"/>
        </w:rPr>
        <w:t>e</w:t>
      </w:r>
      <w:r w:rsidRPr="000D1A77">
        <w:rPr>
          <w:rFonts w:cstheme="minorHAnsi"/>
          <w:sz w:val="24"/>
          <w:szCs w:val="24"/>
          <w:lang w:val="en"/>
        </w:rPr>
        <w:t xml:space="preserve"> engagement with customers. </w:t>
      </w:r>
    </w:p>
    <w:p w14:paraId="1FA5E359" w14:textId="3C0EEE94" w:rsidR="000D1A77" w:rsidRPr="000D1A77" w:rsidRDefault="000D1A77" w:rsidP="000D1A77">
      <w:pPr>
        <w:spacing w:line="360" w:lineRule="auto"/>
        <w:jc w:val="both"/>
        <w:rPr>
          <w:rFonts w:cstheme="minorHAnsi"/>
          <w:sz w:val="24"/>
          <w:szCs w:val="24"/>
          <w:lang w:val="en"/>
        </w:rPr>
      </w:pPr>
      <w:r w:rsidRPr="000D1A77">
        <w:rPr>
          <w:rFonts w:cstheme="minorHAnsi"/>
          <w:sz w:val="24"/>
          <w:szCs w:val="24"/>
          <w:lang w:val="en"/>
        </w:rPr>
        <w:t xml:space="preserve">Additionally, the PESTLE and SWOT analysis also address multiple environmental risks that act as a threat to the business. One large environmental issue is the plastic crisis and the increasing awareness that consumers have on the detriment that is caused through excess plastic waste. According to the World Wildlife Fund (2018) “Around 8 million tons of plastic are dumped in our oceans every year”. These include items such as plastic straws, stirrers and coffee cups, all of which are sold in great demand at Alton Towers. As a large organization, Alton Towers has a duty of care to not only it’s environment but also, it’s environmentally conscious consumers. Alton Tower’s has already introduced a successful reduced priced ticketing scheme in return for plastic bottles. This was identified as a strength of the organization during the SWOT analysis as it has laid foundations that can now be developed further. </w:t>
      </w:r>
      <w:r w:rsidR="005306C5">
        <w:rPr>
          <w:rFonts w:cstheme="minorHAnsi"/>
          <w:sz w:val="24"/>
          <w:szCs w:val="24"/>
          <w:lang w:val="en"/>
        </w:rPr>
        <w:t xml:space="preserve">The </w:t>
      </w:r>
      <w:r w:rsidRPr="000D1A77">
        <w:rPr>
          <w:rFonts w:cstheme="minorHAnsi"/>
          <w:sz w:val="24"/>
          <w:szCs w:val="24"/>
          <w:lang w:val="en"/>
        </w:rPr>
        <w:t xml:space="preserve">SWOT analysis </w:t>
      </w:r>
      <w:r w:rsidR="00B63934">
        <w:rPr>
          <w:rFonts w:cstheme="minorHAnsi"/>
          <w:sz w:val="24"/>
          <w:szCs w:val="24"/>
          <w:lang w:val="en"/>
        </w:rPr>
        <w:t xml:space="preserve">also </w:t>
      </w:r>
      <w:r w:rsidR="005306C5">
        <w:rPr>
          <w:rFonts w:cstheme="minorHAnsi"/>
          <w:sz w:val="24"/>
          <w:szCs w:val="24"/>
          <w:lang w:val="en"/>
        </w:rPr>
        <w:t>identified</w:t>
      </w:r>
      <w:r w:rsidRPr="000D1A77">
        <w:rPr>
          <w:rFonts w:cstheme="minorHAnsi"/>
          <w:sz w:val="24"/>
          <w:szCs w:val="24"/>
          <w:lang w:val="en"/>
        </w:rPr>
        <w:t xml:space="preserve"> further opportunity for Alton Towers to adhere to environmental needs through adopting strategies such as reducing the use of single-use plastics across the park, eradicating unnecessary items and actively promoting and increasing recycling methods. </w:t>
      </w:r>
    </w:p>
    <w:p w14:paraId="3A0F877A" w14:textId="5188F7B6" w:rsidR="000D1A77" w:rsidRPr="000D1A77" w:rsidRDefault="000D1A77" w:rsidP="000D1A77">
      <w:pPr>
        <w:spacing w:line="360" w:lineRule="auto"/>
        <w:jc w:val="both"/>
        <w:rPr>
          <w:rFonts w:cstheme="minorHAnsi"/>
          <w:sz w:val="24"/>
          <w:szCs w:val="24"/>
        </w:rPr>
      </w:pPr>
      <w:r w:rsidRPr="000D1A77">
        <w:rPr>
          <w:rFonts w:cstheme="minorHAnsi"/>
          <w:sz w:val="24"/>
          <w:szCs w:val="24"/>
          <w:lang w:val="en"/>
        </w:rPr>
        <w:t>Furthermore, after an analysis of external legal risks, changes to current UK laws in 2019 have been highlighted as a factor that needs to be addressed by the organization. As noted by Waller, J (2018) “</w:t>
      </w:r>
      <w:r w:rsidRPr="000D1A77">
        <w:rPr>
          <w:rFonts w:eastAsia="Times New Roman" w:cstheme="minorHAnsi"/>
          <w:sz w:val="24"/>
          <w:szCs w:val="24"/>
          <w:lang w:eastAsia="en-GB"/>
        </w:rPr>
        <w:t>Both the National Living Wage (NLW) and National Minimum Wage (NMW) rates will increase in April 2019.</w:t>
      </w:r>
      <w:r w:rsidRPr="000D1A77">
        <w:rPr>
          <w:rFonts w:cstheme="minorHAnsi"/>
          <w:sz w:val="24"/>
          <w:szCs w:val="24"/>
          <w:lang w:val="en"/>
        </w:rPr>
        <w:t xml:space="preserve"> </w:t>
      </w:r>
      <w:r w:rsidRPr="000D1A77">
        <w:rPr>
          <w:rFonts w:eastAsia="Times New Roman" w:cstheme="minorHAnsi"/>
          <w:sz w:val="24"/>
          <w:szCs w:val="24"/>
          <w:lang w:eastAsia="en-GB"/>
        </w:rPr>
        <w:t>The "living wage", the effective minimum wage for people aged 25 or over, will rise to £8.21 next April, up from £7.83 an hour now.</w:t>
      </w:r>
      <w:r w:rsidRPr="000D1A77">
        <w:rPr>
          <w:rFonts w:cstheme="minorHAnsi"/>
          <w:sz w:val="24"/>
          <w:szCs w:val="24"/>
          <w:lang w:val="en"/>
        </w:rPr>
        <w:t xml:space="preserve"> </w:t>
      </w:r>
      <w:r w:rsidRPr="000D1A77">
        <w:rPr>
          <w:rFonts w:eastAsia="Times New Roman" w:cstheme="minorHAnsi"/>
          <w:sz w:val="24"/>
          <w:szCs w:val="24"/>
          <w:lang w:eastAsia="en-GB"/>
        </w:rPr>
        <w:t xml:space="preserve">For those 21 to 24, it will go up from £7.38 to £7.70”. The business also needs to consider what changes to the </w:t>
      </w:r>
      <w:r w:rsidRPr="000D1A77">
        <w:rPr>
          <w:rFonts w:eastAsia="Times New Roman" w:cstheme="minorHAnsi"/>
          <w:sz w:val="24"/>
          <w:szCs w:val="24"/>
          <w:lang w:eastAsia="en-GB"/>
        </w:rPr>
        <w:lastRenderedPageBreak/>
        <w:t>net payroll might mean for Alton Towers and consider any strategies that could be put in place to counteract any decrease in disposable income. Waller further goes on to discuss new regulations in regard to gender pay equality, stating how “</w:t>
      </w:r>
      <w:r w:rsidRPr="000D1A77">
        <w:rPr>
          <w:rFonts w:cstheme="minorHAnsi"/>
          <w:sz w:val="24"/>
          <w:szCs w:val="24"/>
        </w:rPr>
        <w:t>New legislation will come into force that requires companies with more than 250 employees to publish their executive pay gap”. Businesses with a higher pay gap between gender’s are more likely to face larger attrition rates, reputation damage and loss of profit. This indicates that the economics of the organisation also largely depends on human resource management</w:t>
      </w:r>
      <w:r w:rsidR="00473C1D">
        <w:rPr>
          <w:rFonts w:cstheme="minorHAnsi"/>
          <w:sz w:val="24"/>
          <w:szCs w:val="24"/>
        </w:rPr>
        <w:t xml:space="preserve"> and that there is an overlap of roles between the departments.</w:t>
      </w:r>
      <w:r w:rsidRPr="000D1A77">
        <w:rPr>
          <w:rFonts w:cstheme="minorHAnsi"/>
          <w:sz w:val="24"/>
          <w:szCs w:val="24"/>
        </w:rPr>
        <w:t xml:space="preserve"> It is highly recommended that Alton Towers review its gender pay gap, and actively encourage and support both genders but specifically females in fulfilling higher roles within the organisation. </w:t>
      </w:r>
    </w:p>
    <w:p w14:paraId="00CD2B5E" w14:textId="0D1A3B41" w:rsidR="000D1A77" w:rsidRPr="000D1A77" w:rsidRDefault="000D1A77" w:rsidP="000D1A77">
      <w:pPr>
        <w:spacing w:line="360" w:lineRule="auto"/>
        <w:jc w:val="both"/>
        <w:rPr>
          <w:rFonts w:cstheme="minorHAnsi"/>
          <w:sz w:val="24"/>
          <w:szCs w:val="24"/>
          <w:lang w:val="en"/>
        </w:rPr>
      </w:pPr>
      <w:r w:rsidRPr="000D1A77">
        <w:rPr>
          <w:rFonts w:cstheme="minorHAnsi"/>
          <w:sz w:val="24"/>
          <w:szCs w:val="24"/>
        </w:rPr>
        <w:t xml:space="preserve">It is imperative that Alton Towers consider these external factors and understand how internal controls are able to counteract these risks. Alton Tower’s must strategically use the strengths of it’s already thriving reputation and large sales revenue to continue to build a prosperous, equal, diverse and profitable business for both staff and customers. </w:t>
      </w:r>
    </w:p>
    <w:p w14:paraId="42970B82" w14:textId="77777777" w:rsidR="00A77FC5" w:rsidRDefault="00A77FC5" w:rsidP="00A77FC5"/>
    <w:p w14:paraId="37A154E4" w14:textId="77777777" w:rsidR="00A77FC5" w:rsidRDefault="00A77FC5" w:rsidP="00A77FC5"/>
    <w:p w14:paraId="4342806D" w14:textId="77777777" w:rsidR="00A77FC5" w:rsidRDefault="00A77FC5" w:rsidP="00A77FC5"/>
    <w:p w14:paraId="6945A804" w14:textId="77777777" w:rsidR="00A77FC5" w:rsidRDefault="00A77FC5" w:rsidP="00A77FC5"/>
    <w:p w14:paraId="304B9A2A" w14:textId="77777777" w:rsidR="00A77FC5" w:rsidRDefault="00A77FC5" w:rsidP="00A77FC5"/>
    <w:p w14:paraId="5F6608A2" w14:textId="77777777" w:rsidR="00A77FC5" w:rsidRDefault="00A77FC5" w:rsidP="00A77FC5"/>
    <w:p w14:paraId="686624B6" w14:textId="77777777" w:rsidR="00A77FC5" w:rsidRDefault="00A77FC5" w:rsidP="00A77FC5"/>
    <w:p w14:paraId="319B4F9B" w14:textId="77777777" w:rsidR="00A77FC5" w:rsidRDefault="00A77FC5" w:rsidP="00A77FC5"/>
    <w:p w14:paraId="2E49BFF5" w14:textId="77777777" w:rsidR="00A77FC5" w:rsidRDefault="00A77FC5" w:rsidP="00A77FC5"/>
    <w:p w14:paraId="16408AC8" w14:textId="5F7FEC74" w:rsidR="00A77FC5" w:rsidRDefault="00A77FC5" w:rsidP="00A77FC5"/>
    <w:p w14:paraId="499F0577" w14:textId="74A19293" w:rsidR="00B63934" w:rsidRDefault="00B63934" w:rsidP="00A77FC5"/>
    <w:p w14:paraId="75810444" w14:textId="616E315F" w:rsidR="00B63934" w:rsidRDefault="00B63934" w:rsidP="00A77FC5"/>
    <w:p w14:paraId="5B68E586" w14:textId="02673012" w:rsidR="00B63934" w:rsidRDefault="00B63934" w:rsidP="00A77FC5"/>
    <w:p w14:paraId="4BABD018" w14:textId="195B1359" w:rsidR="00471BC8" w:rsidRDefault="00471BC8" w:rsidP="00A77FC5"/>
    <w:p w14:paraId="5601F3A7" w14:textId="77777777" w:rsidR="00471BC8" w:rsidRPr="00A77FC5" w:rsidRDefault="00471BC8" w:rsidP="00A77FC5"/>
    <w:p w14:paraId="4518D925" w14:textId="77777777" w:rsidR="009324A6" w:rsidRDefault="009324A6" w:rsidP="009324A6">
      <w:pPr>
        <w:pStyle w:val="Heading1"/>
      </w:pPr>
      <w:bookmarkStart w:id="5" w:name="_Toc5348066"/>
      <w:bookmarkStart w:id="6" w:name="_Toc7186195"/>
      <w:r>
        <w:lastRenderedPageBreak/>
        <w:t>Ratios</w:t>
      </w:r>
      <w:bookmarkEnd w:id="5"/>
      <w:bookmarkEnd w:id="6"/>
    </w:p>
    <w:p w14:paraId="2E4A4D7F" w14:textId="432DC661" w:rsidR="009324A6" w:rsidRDefault="009324A6" w:rsidP="009324A6">
      <w:pPr>
        <w:pStyle w:val="Heading1"/>
      </w:pPr>
    </w:p>
    <w:p w14:paraId="6EC1DF9C" w14:textId="77777777" w:rsidR="0073241A" w:rsidRDefault="0073241A" w:rsidP="0073241A">
      <w:pPr>
        <w:spacing w:line="240" w:lineRule="auto"/>
        <w:rPr>
          <w:rFonts w:cstheme="minorHAnsi"/>
          <w:b/>
          <w:color w:val="000000" w:themeColor="text1"/>
          <w:u w:val="single"/>
        </w:rPr>
        <w:sectPr w:rsidR="0073241A" w:rsidSect="009324A6">
          <w:footerReference w:type="default" r:id="rId13"/>
          <w:pgSz w:w="11906" w:h="16838"/>
          <w:pgMar w:top="1440" w:right="1440" w:bottom="1440" w:left="1440" w:header="708" w:footer="708" w:gutter="0"/>
          <w:pgNumType w:start="0"/>
          <w:cols w:space="708"/>
          <w:titlePg/>
          <w:docGrid w:linePitch="360"/>
        </w:sectPr>
      </w:pPr>
    </w:p>
    <w:p w14:paraId="1F74B7B7" w14:textId="3275DD91"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Gross profit margin</w:t>
      </w:r>
    </w:p>
    <w:p w14:paraId="5BB89EDA"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1,085,000,000</w:t>
      </w:r>
    </w:p>
    <w:p w14:paraId="54B2F3F3"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1278000000   x 100 = </w:t>
      </w:r>
      <w:r w:rsidRPr="0073241A">
        <w:rPr>
          <w:rFonts w:cstheme="minorHAnsi"/>
          <w:b/>
          <w:color w:val="000000" w:themeColor="text1"/>
        </w:rPr>
        <w:t>84.89</w:t>
      </w:r>
      <w:r w:rsidRPr="0073241A">
        <w:rPr>
          <w:rFonts w:cstheme="minorHAnsi"/>
          <w:color w:val="000000" w:themeColor="text1"/>
        </w:rPr>
        <w:t xml:space="preserve"> (2015)    </w:t>
      </w:r>
    </w:p>
    <w:p w14:paraId="70459A8D"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1,230,000,000</w:t>
      </w:r>
    </w:p>
    <w:p w14:paraId="3946F4EE"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1457000000   x 100 = </w:t>
      </w:r>
      <w:r w:rsidRPr="0073241A">
        <w:rPr>
          <w:rFonts w:cstheme="minorHAnsi"/>
          <w:b/>
          <w:color w:val="000000" w:themeColor="text1"/>
        </w:rPr>
        <w:t>84.42</w:t>
      </w:r>
      <w:r w:rsidRPr="0073241A">
        <w:rPr>
          <w:rFonts w:cstheme="minorHAnsi"/>
          <w:color w:val="000000" w:themeColor="text1"/>
        </w:rPr>
        <w:t xml:space="preserve"> (2016) </w:t>
      </w:r>
    </w:p>
    <w:p w14:paraId="722F22E7" w14:textId="77777777" w:rsidR="0073241A" w:rsidRPr="0073241A" w:rsidRDefault="0073241A" w:rsidP="0073241A">
      <w:pPr>
        <w:spacing w:line="240" w:lineRule="auto"/>
        <w:rPr>
          <w:rFonts w:cstheme="minorHAnsi"/>
          <w:color w:val="000000" w:themeColor="text1"/>
        </w:rPr>
      </w:pPr>
    </w:p>
    <w:p w14:paraId="155AECF5"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Net Profit Margin</w:t>
      </w:r>
    </w:p>
    <w:p w14:paraId="5C41425A"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170,000,000</w:t>
      </w:r>
    </w:p>
    <w:p w14:paraId="4E9B5E3F"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1278000000 x 100 = </w:t>
      </w:r>
      <w:r w:rsidRPr="0073241A">
        <w:rPr>
          <w:rFonts w:cstheme="minorHAnsi"/>
          <w:b/>
          <w:color w:val="000000" w:themeColor="text1"/>
        </w:rPr>
        <w:t xml:space="preserve">13.30 </w:t>
      </w:r>
      <w:r w:rsidRPr="0073241A">
        <w:rPr>
          <w:rFonts w:cstheme="minorHAnsi"/>
          <w:color w:val="000000" w:themeColor="text1"/>
        </w:rPr>
        <w:t>(2015)</w:t>
      </w:r>
    </w:p>
    <w:p w14:paraId="397B71C7"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211,000,000</w:t>
      </w:r>
    </w:p>
    <w:p w14:paraId="4FC89F6E"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1457000000 x 100 = </w:t>
      </w:r>
      <w:r w:rsidRPr="0073241A">
        <w:rPr>
          <w:rFonts w:cstheme="minorHAnsi"/>
          <w:b/>
          <w:color w:val="000000" w:themeColor="text1"/>
        </w:rPr>
        <w:t>14.48</w:t>
      </w:r>
      <w:r w:rsidRPr="0073241A">
        <w:rPr>
          <w:rFonts w:cstheme="minorHAnsi"/>
          <w:color w:val="000000" w:themeColor="text1"/>
        </w:rPr>
        <w:t xml:space="preserve"> (2016)</w:t>
      </w:r>
    </w:p>
    <w:p w14:paraId="5E992B61" w14:textId="77777777" w:rsidR="0073241A" w:rsidRPr="0073241A" w:rsidRDefault="0073241A" w:rsidP="0073241A">
      <w:pPr>
        <w:spacing w:line="240" w:lineRule="auto"/>
        <w:rPr>
          <w:rFonts w:cstheme="minorHAnsi"/>
          <w:color w:val="000000" w:themeColor="text1"/>
        </w:rPr>
      </w:pPr>
    </w:p>
    <w:p w14:paraId="35222213"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ROCE</w:t>
      </w:r>
    </w:p>
    <w:p w14:paraId="7981F3B6"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1746,000,000</w:t>
      </w:r>
    </w:p>
    <w:p w14:paraId="096F91E5"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2,478,000,000 x 100 = </w:t>
      </w:r>
      <w:r w:rsidRPr="0073241A">
        <w:rPr>
          <w:rFonts w:cstheme="minorHAnsi"/>
          <w:b/>
          <w:color w:val="000000" w:themeColor="text1"/>
        </w:rPr>
        <w:t>7.04</w:t>
      </w:r>
      <w:r w:rsidRPr="0073241A">
        <w:rPr>
          <w:rFonts w:cstheme="minorHAnsi"/>
          <w:color w:val="000000" w:themeColor="text1"/>
        </w:rPr>
        <w:t xml:space="preserve"> (2015)</w:t>
      </w:r>
    </w:p>
    <w:p w14:paraId="183CAC93"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2,156,000,000</w:t>
      </w:r>
    </w:p>
    <w:p w14:paraId="6AB54796"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2,959,000,000 x 100 = </w:t>
      </w:r>
      <w:r w:rsidRPr="0073241A">
        <w:rPr>
          <w:rFonts w:cstheme="minorHAnsi"/>
          <w:b/>
          <w:color w:val="000000" w:themeColor="text1"/>
        </w:rPr>
        <w:t xml:space="preserve">7.28 </w:t>
      </w:r>
      <w:r w:rsidRPr="0073241A">
        <w:rPr>
          <w:rFonts w:cstheme="minorHAnsi"/>
          <w:color w:val="000000" w:themeColor="text1"/>
        </w:rPr>
        <w:t>(2016)</w:t>
      </w:r>
    </w:p>
    <w:p w14:paraId="47882A92" w14:textId="77777777" w:rsidR="0073241A" w:rsidRPr="0073241A" w:rsidRDefault="0073241A" w:rsidP="0073241A">
      <w:pPr>
        <w:spacing w:line="240" w:lineRule="auto"/>
        <w:rPr>
          <w:rFonts w:cstheme="minorHAnsi"/>
          <w:color w:val="000000" w:themeColor="text1"/>
        </w:rPr>
      </w:pPr>
    </w:p>
    <w:p w14:paraId="4DD5FE27"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Total assets turnover</w:t>
      </w:r>
    </w:p>
    <w:p w14:paraId="2583F337"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1278000000</w:t>
      </w:r>
    </w:p>
    <w:p w14:paraId="52163EAD"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2,478,000,000 = </w:t>
      </w:r>
      <w:r w:rsidRPr="0073241A">
        <w:rPr>
          <w:rFonts w:cstheme="minorHAnsi"/>
          <w:b/>
          <w:color w:val="000000" w:themeColor="text1"/>
        </w:rPr>
        <w:t>0.51</w:t>
      </w:r>
      <w:r w:rsidRPr="0073241A">
        <w:rPr>
          <w:rFonts w:cstheme="minorHAnsi"/>
          <w:color w:val="000000" w:themeColor="text1"/>
        </w:rPr>
        <w:t xml:space="preserve"> (2015)</w:t>
      </w:r>
    </w:p>
    <w:p w14:paraId="3A6F4771"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1457000000</w:t>
      </w:r>
    </w:p>
    <w:p w14:paraId="5A1496A9"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2,959,000,000 = </w:t>
      </w:r>
      <w:r w:rsidRPr="0073241A">
        <w:rPr>
          <w:rFonts w:cstheme="minorHAnsi"/>
          <w:b/>
          <w:color w:val="000000" w:themeColor="text1"/>
        </w:rPr>
        <w:t>0.07</w:t>
      </w:r>
      <w:r w:rsidRPr="0073241A">
        <w:rPr>
          <w:rFonts w:cstheme="minorHAnsi"/>
          <w:color w:val="000000" w:themeColor="text1"/>
        </w:rPr>
        <w:t xml:space="preserve"> (2016)</w:t>
      </w:r>
    </w:p>
    <w:p w14:paraId="62E4BEB7" w14:textId="77777777" w:rsidR="0073241A" w:rsidRPr="0073241A" w:rsidRDefault="0073241A" w:rsidP="0073241A">
      <w:pPr>
        <w:spacing w:line="240" w:lineRule="auto"/>
        <w:rPr>
          <w:rFonts w:cstheme="minorHAnsi"/>
          <w:b/>
          <w:color w:val="000000" w:themeColor="text1"/>
          <w:u w:val="single"/>
        </w:rPr>
      </w:pPr>
    </w:p>
    <w:p w14:paraId="7C754CD7"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Fixed assets turnover</w:t>
      </w:r>
    </w:p>
    <w:p w14:paraId="3B11D68E"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1278000000</w:t>
      </w:r>
    </w:p>
    <w:p w14:paraId="3660E891"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2475000000 = </w:t>
      </w:r>
      <w:r w:rsidRPr="0073241A">
        <w:rPr>
          <w:rFonts w:cstheme="minorHAnsi"/>
          <w:b/>
          <w:color w:val="000000" w:themeColor="text1"/>
        </w:rPr>
        <w:t>0.51</w:t>
      </w:r>
      <w:r w:rsidRPr="0073241A">
        <w:rPr>
          <w:rFonts w:cstheme="minorHAnsi"/>
          <w:color w:val="000000" w:themeColor="text1"/>
        </w:rPr>
        <w:t xml:space="preserve"> (2015)</w:t>
      </w:r>
    </w:p>
    <w:p w14:paraId="3EC6DA7E"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1457000000</w:t>
      </w:r>
    </w:p>
    <w:p w14:paraId="6DB8E91D"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2958000000 = </w:t>
      </w:r>
      <w:r w:rsidRPr="0073241A">
        <w:rPr>
          <w:rFonts w:cstheme="minorHAnsi"/>
          <w:b/>
          <w:color w:val="000000" w:themeColor="text1"/>
        </w:rPr>
        <w:t>0.49</w:t>
      </w:r>
      <w:r w:rsidRPr="0073241A">
        <w:rPr>
          <w:rFonts w:cstheme="minorHAnsi"/>
          <w:color w:val="000000" w:themeColor="text1"/>
        </w:rPr>
        <w:t xml:space="preserve"> (2016)</w:t>
      </w:r>
    </w:p>
    <w:p w14:paraId="69D3F977" w14:textId="77777777" w:rsidR="0073241A" w:rsidRPr="0073241A" w:rsidRDefault="0073241A" w:rsidP="0073241A">
      <w:pPr>
        <w:spacing w:line="240" w:lineRule="auto"/>
        <w:rPr>
          <w:rFonts w:cstheme="minorHAnsi"/>
          <w:color w:val="000000" w:themeColor="text1"/>
        </w:rPr>
      </w:pPr>
    </w:p>
    <w:p w14:paraId="041634DB"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Working capital turnover</w:t>
      </w:r>
    </w:p>
    <w:p w14:paraId="62F67B3D"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1278000000</w:t>
      </w:r>
    </w:p>
    <w:p w14:paraId="24E2D084"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260000000 = </w:t>
      </w:r>
      <w:r w:rsidRPr="0073241A">
        <w:rPr>
          <w:rFonts w:cstheme="minorHAnsi"/>
          <w:b/>
          <w:color w:val="000000" w:themeColor="text1"/>
        </w:rPr>
        <w:t>4.91</w:t>
      </w:r>
      <w:r w:rsidRPr="0073241A">
        <w:rPr>
          <w:rFonts w:cstheme="minorHAnsi"/>
          <w:color w:val="000000" w:themeColor="text1"/>
        </w:rPr>
        <w:t xml:space="preserve"> (2015)</w:t>
      </w:r>
    </w:p>
    <w:p w14:paraId="2C662D5F"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1457000000</w:t>
      </w:r>
    </w:p>
    <w:p w14:paraId="66E7720C"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340000000 = </w:t>
      </w:r>
      <w:r w:rsidRPr="0073241A">
        <w:rPr>
          <w:rFonts w:cstheme="minorHAnsi"/>
          <w:b/>
          <w:color w:val="000000" w:themeColor="text1"/>
        </w:rPr>
        <w:t xml:space="preserve">4.28 </w:t>
      </w:r>
      <w:r w:rsidRPr="0073241A">
        <w:rPr>
          <w:rFonts w:cstheme="minorHAnsi"/>
          <w:color w:val="000000" w:themeColor="text1"/>
        </w:rPr>
        <w:t>(2016)</w:t>
      </w:r>
    </w:p>
    <w:p w14:paraId="580F1CB6" w14:textId="77777777" w:rsidR="0073241A" w:rsidRPr="0073241A" w:rsidRDefault="0073241A" w:rsidP="0073241A">
      <w:pPr>
        <w:spacing w:line="240" w:lineRule="auto"/>
        <w:rPr>
          <w:rFonts w:cstheme="minorHAnsi"/>
          <w:color w:val="000000" w:themeColor="text1"/>
        </w:rPr>
      </w:pPr>
    </w:p>
    <w:p w14:paraId="56CD509A"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 xml:space="preserve">Current Ratio </w:t>
      </w:r>
    </w:p>
    <w:p w14:paraId="1D99FFA9"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260000000</w:t>
      </w:r>
    </w:p>
    <w:p w14:paraId="37F1B676"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257000000 = </w:t>
      </w:r>
      <w:r w:rsidRPr="0073241A">
        <w:rPr>
          <w:rFonts w:cstheme="minorHAnsi"/>
          <w:b/>
          <w:color w:val="000000" w:themeColor="text1"/>
        </w:rPr>
        <w:t>1.01</w:t>
      </w:r>
      <w:r w:rsidRPr="0073241A">
        <w:rPr>
          <w:rFonts w:cstheme="minorHAnsi"/>
          <w:color w:val="000000" w:themeColor="text1"/>
        </w:rPr>
        <w:t xml:space="preserve"> (2015)</w:t>
      </w:r>
    </w:p>
    <w:p w14:paraId="4EF18BF5"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340000000</w:t>
      </w:r>
    </w:p>
    <w:p w14:paraId="23930D99"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339000000 = </w:t>
      </w:r>
      <w:r w:rsidRPr="0073241A">
        <w:rPr>
          <w:rFonts w:cstheme="minorHAnsi"/>
          <w:b/>
          <w:color w:val="000000" w:themeColor="text1"/>
        </w:rPr>
        <w:t>1.00</w:t>
      </w:r>
      <w:r w:rsidRPr="0073241A">
        <w:rPr>
          <w:rFonts w:cstheme="minorHAnsi"/>
          <w:color w:val="000000" w:themeColor="text1"/>
        </w:rPr>
        <w:t xml:space="preserve"> (2016)</w:t>
      </w:r>
    </w:p>
    <w:p w14:paraId="5B7D6705" w14:textId="77777777" w:rsidR="0073241A" w:rsidRPr="0073241A" w:rsidRDefault="0073241A" w:rsidP="0073241A">
      <w:pPr>
        <w:spacing w:line="240" w:lineRule="auto"/>
        <w:rPr>
          <w:rFonts w:cstheme="minorHAnsi"/>
          <w:color w:val="000000" w:themeColor="text1"/>
        </w:rPr>
      </w:pPr>
    </w:p>
    <w:p w14:paraId="74E60CBF"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Quick Ratio</w:t>
      </w:r>
    </w:p>
    <w:p w14:paraId="3883E4BD"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230000000</w:t>
      </w:r>
    </w:p>
    <w:p w14:paraId="36EAE91F"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257000000 = </w:t>
      </w:r>
      <w:r w:rsidRPr="0073241A">
        <w:rPr>
          <w:rFonts w:cstheme="minorHAnsi"/>
          <w:b/>
          <w:color w:val="000000" w:themeColor="text1"/>
        </w:rPr>
        <w:t>0.89</w:t>
      </w:r>
      <w:r w:rsidRPr="0073241A">
        <w:rPr>
          <w:rFonts w:cstheme="minorHAnsi"/>
          <w:color w:val="000000" w:themeColor="text1"/>
        </w:rPr>
        <w:t xml:space="preserve"> (2015)</w:t>
      </w:r>
    </w:p>
    <w:p w14:paraId="6CFE2885"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304000000</w:t>
      </w:r>
    </w:p>
    <w:p w14:paraId="6D65637C"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 xml:space="preserve">339000000 = </w:t>
      </w:r>
      <w:r w:rsidRPr="0073241A">
        <w:rPr>
          <w:rFonts w:cstheme="minorHAnsi"/>
          <w:b/>
          <w:color w:val="000000" w:themeColor="text1"/>
        </w:rPr>
        <w:t xml:space="preserve">0.89 </w:t>
      </w:r>
      <w:r w:rsidRPr="0073241A">
        <w:rPr>
          <w:rFonts w:cstheme="minorHAnsi"/>
          <w:color w:val="000000" w:themeColor="text1"/>
        </w:rPr>
        <w:t>(2016)</w:t>
      </w:r>
    </w:p>
    <w:p w14:paraId="65A67EE9" w14:textId="77777777" w:rsidR="0073241A" w:rsidRPr="0073241A" w:rsidRDefault="0073241A" w:rsidP="0073241A">
      <w:pPr>
        <w:spacing w:line="240" w:lineRule="auto"/>
        <w:rPr>
          <w:rFonts w:cstheme="minorHAnsi"/>
          <w:color w:val="000000" w:themeColor="text1"/>
        </w:rPr>
      </w:pPr>
    </w:p>
    <w:p w14:paraId="3F5F9C04"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Debtor days</w:t>
      </w:r>
    </w:p>
    <w:p w14:paraId="51F12A75"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76000000</w:t>
      </w:r>
    </w:p>
    <w:p w14:paraId="2BF69EA6"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76000000 x 365 = 365 (2015)</w:t>
      </w:r>
    </w:p>
    <w:p w14:paraId="2F311F79"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86000000</w:t>
      </w:r>
    </w:p>
    <w:p w14:paraId="0A911E48"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86000000 x 365 = 365 (2016)</w:t>
      </w:r>
    </w:p>
    <w:p w14:paraId="7C4361E8" w14:textId="77777777" w:rsidR="0073241A" w:rsidRPr="0073241A" w:rsidRDefault="0073241A" w:rsidP="0073241A">
      <w:pPr>
        <w:spacing w:line="240" w:lineRule="auto"/>
        <w:rPr>
          <w:rFonts w:cstheme="minorHAnsi"/>
          <w:color w:val="000000" w:themeColor="text1"/>
        </w:rPr>
      </w:pPr>
    </w:p>
    <w:p w14:paraId="400FF280" w14:textId="77777777"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t>Creditor days</w:t>
      </w:r>
    </w:p>
    <w:p w14:paraId="3ED6DDA9"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41000000</w:t>
      </w:r>
    </w:p>
    <w:p w14:paraId="540268F8"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189000000 x 365 = 79.17 (2015)</w:t>
      </w:r>
    </w:p>
    <w:p w14:paraId="7B81E45B"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63000000</w:t>
      </w:r>
    </w:p>
    <w:p w14:paraId="41227756"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233000000 x 365 = 98.69 (2016)</w:t>
      </w:r>
    </w:p>
    <w:p w14:paraId="6248F6E1" w14:textId="77777777" w:rsidR="0073241A" w:rsidRPr="0073241A" w:rsidRDefault="0073241A" w:rsidP="0073241A">
      <w:pPr>
        <w:spacing w:line="240" w:lineRule="auto"/>
        <w:rPr>
          <w:rFonts w:cstheme="minorHAnsi"/>
          <w:color w:val="000000" w:themeColor="text1"/>
        </w:rPr>
      </w:pPr>
    </w:p>
    <w:p w14:paraId="755EA593" w14:textId="77777777" w:rsidR="0073241A" w:rsidRDefault="0073241A" w:rsidP="0073241A">
      <w:pPr>
        <w:spacing w:line="240" w:lineRule="auto"/>
        <w:rPr>
          <w:rFonts w:cstheme="minorHAnsi"/>
          <w:b/>
          <w:color w:val="000000" w:themeColor="text1"/>
          <w:u w:val="single"/>
        </w:rPr>
        <w:sectPr w:rsidR="0073241A" w:rsidSect="0073241A">
          <w:type w:val="continuous"/>
          <w:pgSz w:w="11906" w:h="16838"/>
          <w:pgMar w:top="1440" w:right="1440" w:bottom="1440" w:left="1440" w:header="708" w:footer="708" w:gutter="0"/>
          <w:pgNumType w:start="0"/>
          <w:cols w:num="2" w:space="708"/>
          <w:titlePg/>
          <w:docGrid w:linePitch="360"/>
        </w:sectPr>
      </w:pPr>
    </w:p>
    <w:p w14:paraId="2434115F" w14:textId="1530349A" w:rsidR="0073241A" w:rsidRPr="0073241A" w:rsidRDefault="0073241A" w:rsidP="0073241A">
      <w:pPr>
        <w:spacing w:line="240" w:lineRule="auto"/>
        <w:rPr>
          <w:rFonts w:cstheme="minorHAnsi"/>
          <w:b/>
          <w:color w:val="000000" w:themeColor="text1"/>
          <w:u w:val="single"/>
        </w:rPr>
      </w:pPr>
      <w:r w:rsidRPr="0073241A">
        <w:rPr>
          <w:rFonts w:cstheme="minorHAnsi"/>
          <w:b/>
          <w:color w:val="000000" w:themeColor="text1"/>
          <w:u w:val="single"/>
        </w:rPr>
        <w:lastRenderedPageBreak/>
        <w:t>Debt ratio</w:t>
      </w:r>
    </w:p>
    <w:p w14:paraId="7C8B381C"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1577000000</w:t>
      </w:r>
    </w:p>
    <w:p w14:paraId="03F478C5"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2735000000 = 0.57 (2015)</w:t>
      </w:r>
    </w:p>
    <w:p w14:paraId="54C9D4F0"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1857000000</w:t>
      </w:r>
    </w:p>
    <w:p w14:paraId="5DFADDF1" w14:textId="77777777" w:rsidR="0073241A" w:rsidRPr="0073241A" w:rsidRDefault="0073241A" w:rsidP="0073241A">
      <w:pPr>
        <w:spacing w:line="240" w:lineRule="auto"/>
        <w:rPr>
          <w:rFonts w:cstheme="minorHAnsi"/>
          <w:color w:val="000000" w:themeColor="text1"/>
        </w:rPr>
      </w:pPr>
      <w:r w:rsidRPr="0073241A">
        <w:rPr>
          <w:rFonts w:cstheme="minorHAnsi"/>
          <w:color w:val="000000" w:themeColor="text1"/>
        </w:rPr>
        <w:t>3298000000 = 0.56 (2016)</w:t>
      </w:r>
    </w:p>
    <w:p w14:paraId="55C5829A" w14:textId="77777777" w:rsidR="0073241A" w:rsidRDefault="0073241A" w:rsidP="0073241A">
      <w:pPr>
        <w:sectPr w:rsidR="0073241A" w:rsidSect="0073241A">
          <w:type w:val="continuous"/>
          <w:pgSz w:w="11906" w:h="16838"/>
          <w:pgMar w:top="1440" w:right="1440" w:bottom="1440" w:left="1440" w:header="708" w:footer="708" w:gutter="0"/>
          <w:pgNumType w:start="0"/>
          <w:cols w:space="708"/>
          <w:titlePg/>
          <w:docGrid w:linePitch="360"/>
        </w:sectPr>
      </w:pPr>
    </w:p>
    <w:p w14:paraId="4E2041A4" w14:textId="1EAC5F02" w:rsidR="0073241A" w:rsidRDefault="0073241A" w:rsidP="0073241A"/>
    <w:p w14:paraId="2E52C41A" w14:textId="77777777" w:rsidR="0073241A" w:rsidRPr="0073241A" w:rsidRDefault="0073241A" w:rsidP="0073241A"/>
    <w:p w14:paraId="738BE011" w14:textId="77777777" w:rsidR="009324A6" w:rsidRDefault="009324A6" w:rsidP="00A77FC5">
      <w:pPr>
        <w:pStyle w:val="Heading2"/>
      </w:pPr>
      <w:bookmarkStart w:id="7" w:name="_Toc5348067"/>
      <w:bookmarkStart w:id="8" w:name="_Toc7186196"/>
      <w:r>
        <w:t>Analysis and Key Performance Indicators</w:t>
      </w:r>
      <w:bookmarkEnd w:id="7"/>
      <w:bookmarkEnd w:id="8"/>
    </w:p>
    <w:p w14:paraId="5C882DE0" w14:textId="2B3D293C" w:rsidR="009324A6" w:rsidRDefault="009324A6" w:rsidP="009324A6">
      <w:pPr>
        <w:pStyle w:val="Heading1"/>
      </w:pPr>
    </w:p>
    <w:p w14:paraId="4E9114F1" w14:textId="77777777" w:rsidR="001C6162" w:rsidRPr="001C6162" w:rsidRDefault="001C6162" w:rsidP="001C6162">
      <w:pPr>
        <w:spacing w:line="360" w:lineRule="auto"/>
        <w:jc w:val="both"/>
        <w:rPr>
          <w:rFonts w:cstheme="minorHAnsi"/>
          <w:sz w:val="24"/>
          <w:szCs w:val="24"/>
        </w:rPr>
      </w:pPr>
      <w:bookmarkStart w:id="9" w:name="_Hlk6927016"/>
      <w:r w:rsidRPr="001C6162">
        <w:rPr>
          <w:rFonts w:cstheme="minorHAnsi"/>
          <w:sz w:val="24"/>
          <w:szCs w:val="24"/>
          <w:lang w:val="en"/>
        </w:rPr>
        <w:t xml:space="preserve">Key performance indicators play a fundamental role in the success of any business. As discussed by Maté Trujillo et al. (2017) they </w:t>
      </w:r>
      <w:r w:rsidRPr="001C6162">
        <w:rPr>
          <w:rFonts w:cstheme="minorHAnsi"/>
          <w:sz w:val="24"/>
          <w:szCs w:val="24"/>
        </w:rPr>
        <w:t xml:space="preserve">“measure the performance of an enterprise relative to its objectives thereby enabling corrective action where there are deviations”. This suggests that KPI’s allow an organisation to make informative and efficient business decisions that aid the success of the organisation. Similarly, </w:t>
      </w:r>
      <w:r w:rsidRPr="001C6162">
        <w:rPr>
          <w:rFonts w:cstheme="minorHAnsi"/>
          <w:sz w:val="24"/>
          <w:szCs w:val="24"/>
          <w:lang w:val="en"/>
        </w:rPr>
        <w:t xml:space="preserve">Rade Stanković Milan Velimirović et al. (2011) </w:t>
      </w:r>
      <w:r w:rsidRPr="001C6162">
        <w:rPr>
          <w:rFonts w:cstheme="minorHAnsi"/>
          <w:sz w:val="24"/>
          <w:szCs w:val="24"/>
        </w:rPr>
        <w:t xml:space="preserve">discusses how “In order to constitute effective system of performance measurement it is very important to have defined and standardized all processes within the organization”. This suggests the important of KPI’s being designed in relation to a particular business strategy as this then allows KPI’s to support the business by providing a global and thorough overview of the business’s performance. This report will address profitability ratios, asset turnover ratios, liquidity ratios and gearing ratios in relation to Merlin Entertainment and address ways in which the business can improve its KPI efficiency. </w:t>
      </w:r>
    </w:p>
    <w:p w14:paraId="2EDD45F5" w14:textId="51F88348" w:rsidR="001C6162" w:rsidRPr="001C6162" w:rsidRDefault="00B63934" w:rsidP="001C6162">
      <w:pPr>
        <w:spacing w:line="360" w:lineRule="auto"/>
        <w:jc w:val="both"/>
        <w:rPr>
          <w:rFonts w:cstheme="minorHAnsi"/>
          <w:sz w:val="24"/>
          <w:szCs w:val="24"/>
        </w:rPr>
      </w:pPr>
      <w:r>
        <w:rPr>
          <w:rFonts w:cstheme="minorHAnsi"/>
          <w:sz w:val="24"/>
          <w:szCs w:val="24"/>
        </w:rPr>
        <w:t xml:space="preserve">The </w:t>
      </w:r>
      <w:r w:rsidR="001C6162" w:rsidRPr="001C6162">
        <w:rPr>
          <w:rFonts w:cstheme="minorHAnsi"/>
          <w:sz w:val="24"/>
          <w:szCs w:val="24"/>
        </w:rPr>
        <w:t xml:space="preserve">Gross profit margin indicates what portion of sales revenue has resulted in a profit for Merlin. According to Merlin’s accounts, there has been a decrease of 0.47% between 2015 and 2016. As discussed by Pendlebury et al. (2001, p.23) “depreciation, employment costs and other operating charges” are some of the key areas that need to be investigated as potential indicators of a decreased gross profit margin. Another factor that could have affected the gross profit margin is inflation. </w:t>
      </w:r>
      <w:r w:rsidR="007035DF">
        <w:rPr>
          <w:rFonts w:cstheme="minorHAnsi"/>
          <w:sz w:val="24"/>
          <w:szCs w:val="24"/>
        </w:rPr>
        <w:t>On</w:t>
      </w:r>
      <w:r w:rsidR="00707B9E">
        <w:rPr>
          <w:rFonts w:cstheme="minorHAnsi"/>
          <w:sz w:val="24"/>
          <w:szCs w:val="24"/>
        </w:rPr>
        <w:t>e</w:t>
      </w:r>
      <w:r w:rsidR="007035DF">
        <w:rPr>
          <w:rFonts w:cstheme="minorHAnsi"/>
          <w:sz w:val="24"/>
          <w:szCs w:val="24"/>
        </w:rPr>
        <w:t xml:space="preserve"> </w:t>
      </w:r>
      <w:r w:rsidR="00CB23C7">
        <w:rPr>
          <w:rFonts w:cstheme="minorHAnsi"/>
          <w:sz w:val="24"/>
          <w:szCs w:val="24"/>
        </w:rPr>
        <w:t xml:space="preserve">recommendation </w:t>
      </w:r>
      <w:r w:rsidR="007035DF">
        <w:rPr>
          <w:rFonts w:cstheme="minorHAnsi"/>
          <w:sz w:val="24"/>
          <w:szCs w:val="24"/>
        </w:rPr>
        <w:t>for tackling inflat</w:t>
      </w:r>
      <w:r w:rsidR="00707B9E">
        <w:rPr>
          <w:rFonts w:cstheme="minorHAnsi"/>
          <w:sz w:val="24"/>
          <w:szCs w:val="24"/>
        </w:rPr>
        <w:t>ion</w:t>
      </w:r>
      <w:r w:rsidR="001C6162" w:rsidRPr="001C6162">
        <w:rPr>
          <w:rFonts w:cstheme="minorHAnsi"/>
          <w:sz w:val="24"/>
          <w:szCs w:val="24"/>
        </w:rPr>
        <w:t xml:space="preserve"> </w:t>
      </w:r>
      <w:r w:rsidR="00707B9E">
        <w:rPr>
          <w:rFonts w:cstheme="minorHAnsi"/>
          <w:sz w:val="24"/>
          <w:szCs w:val="24"/>
        </w:rPr>
        <w:t>is by slowly increasing park prices, to run alongside gradual inflation</w:t>
      </w:r>
      <w:r w:rsidR="00CB23C7">
        <w:rPr>
          <w:rFonts w:cstheme="minorHAnsi"/>
          <w:sz w:val="24"/>
          <w:szCs w:val="24"/>
        </w:rPr>
        <w:t>.</w:t>
      </w:r>
      <w:r w:rsidR="00707B9E">
        <w:rPr>
          <w:rFonts w:cstheme="minorHAnsi"/>
          <w:sz w:val="24"/>
          <w:szCs w:val="24"/>
        </w:rPr>
        <w:t xml:space="preserve"> </w:t>
      </w:r>
      <w:r w:rsidR="001C6162" w:rsidRPr="001C6162">
        <w:rPr>
          <w:rFonts w:cstheme="minorHAnsi"/>
          <w:sz w:val="24"/>
          <w:szCs w:val="24"/>
        </w:rPr>
        <w:t xml:space="preserve">Additionally, suppliers increasing costs could also be having a negative impact on the gross profit. In order to counteract this, </w:t>
      </w:r>
      <w:r w:rsidR="00CB23C7">
        <w:rPr>
          <w:rFonts w:cstheme="minorHAnsi"/>
          <w:sz w:val="24"/>
          <w:szCs w:val="24"/>
        </w:rPr>
        <w:t xml:space="preserve">it is recommended that </w:t>
      </w:r>
      <w:r w:rsidR="001C6162" w:rsidRPr="001C6162">
        <w:rPr>
          <w:rFonts w:cstheme="minorHAnsi"/>
          <w:sz w:val="24"/>
          <w:szCs w:val="24"/>
        </w:rPr>
        <w:t xml:space="preserve">Merlin </w:t>
      </w:r>
      <w:r w:rsidR="00CB23C7">
        <w:rPr>
          <w:rFonts w:cstheme="minorHAnsi"/>
          <w:sz w:val="24"/>
          <w:szCs w:val="24"/>
        </w:rPr>
        <w:t>c</w:t>
      </w:r>
      <w:r w:rsidR="001C6162" w:rsidRPr="001C6162">
        <w:rPr>
          <w:rFonts w:cstheme="minorHAnsi"/>
          <w:sz w:val="24"/>
          <w:szCs w:val="24"/>
        </w:rPr>
        <w:t xml:space="preserve">onsider re-negotiating with supplier’s in order to ensure the best deals for the goods are being secured. Merlin could also consider </w:t>
      </w:r>
      <w:r w:rsidR="001C6162" w:rsidRPr="001C6162">
        <w:rPr>
          <w:rFonts w:cstheme="minorHAnsi"/>
          <w:sz w:val="24"/>
          <w:szCs w:val="24"/>
        </w:rPr>
        <w:lastRenderedPageBreak/>
        <w:t xml:space="preserve">alternate suppliers. Furthermore, another potential reason for this decrease could also be the decreasing of ticket prices or discounting tickets in order to generate sales. Value-creation and affordable prices </w:t>
      </w:r>
      <w:r w:rsidR="000476CB">
        <w:rPr>
          <w:rFonts w:cstheme="minorHAnsi"/>
          <w:sz w:val="24"/>
          <w:szCs w:val="24"/>
        </w:rPr>
        <w:t>are often</w:t>
      </w:r>
      <w:r w:rsidR="001C6162" w:rsidRPr="001C6162">
        <w:rPr>
          <w:rFonts w:cstheme="minorHAnsi"/>
          <w:sz w:val="24"/>
          <w:szCs w:val="24"/>
        </w:rPr>
        <w:t xml:space="preserve"> seen as just as important for the business as it’s accountancy performance. However, in order to maintain gross profit, decreasing prices should not be considered a continual or long-term solution. There should be more focus on brand-image and marketing to maintain sales rather than reduced ticket pricing. </w:t>
      </w:r>
    </w:p>
    <w:p w14:paraId="79D18AC3" w14:textId="77777777" w:rsidR="001C6162" w:rsidRPr="001C6162" w:rsidRDefault="001C6162" w:rsidP="001C6162">
      <w:pPr>
        <w:spacing w:line="360" w:lineRule="auto"/>
        <w:jc w:val="both"/>
        <w:rPr>
          <w:rFonts w:cstheme="minorHAnsi"/>
          <w:sz w:val="24"/>
          <w:szCs w:val="24"/>
        </w:rPr>
      </w:pPr>
    </w:p>
    <w:p w14:paraId="76C554F8" w14:textId="7304AB0E" w:rsidR="001C6162" w:rsidRPr="001C6162" w:rsidRDefault="001C6162" w:rsidP="001C6162">
      <w:pPr>
        <w:spacing w:line="360" w:lineRule="auto"/>
        <w:jc w:val="both"/>
        <w:rPr>
          <w:rFonts w:cstheme="minorHAnsi"/>
          <w:sz w:val="24"/>
          <w:szCs w:val="24"/>
        </w:rPr>
      </w:pPr>
      <w:r w:rsidRPr="001C6162">
        <w:rPr>
          <w:rFonts w:cstheme="minorHAnsi"/>
          <w:sz w:val="24"/>
          <w:szCs w:val="24"/>
        </w:rPr>
        <w:t xml:space="preserve">An additional KPI that has been analysed is the Net Profit margin. The Merlin accounts show that between 2015 and 2016 </w:t>
      </w:r>
      <w:r w:rsidR="0091564D">
        <w:rPr>
          <w:rFonts w:cstheme="minorHAnsi"/>
          <w:sz w:val="24"/>
          <w:szCs w:val="24"/>
        </w:rPr>
        <w:t xml:space="preserve">there was an increase in the net profit. </w:t>
      </w:r>
      <w:r w:rsidRPr="001C6162">
        <w:rPr>
          <w:rFonts w:cstheme="minorHAnsi"/>
          <w:sz w:val="24"/>
          <w:szCs w:val="24"/>
        </w:rPr>
        <w:t>One potential reason for this could</w:t>
      </w:r>
      <w:r w:rsidR="00506A17">
        <w:rPr>
          <w:rFonts w:cstheme="minorHAnsi"/>
          <w:sz w:val="24"/>
          <w:szCs w:val="24"/>
        </w:rPr>
        <w:t xml:space="preserve"> be the 0.9% footfall increase</w:t>
      </w:r>
      <w:r w:rsidR="0091564D">
        <w:rPr>
          <w:rFonts w:cstheme="minorHAnsi"/>
          <w:sz w:val="24"/>
          <w:szCs w:val="24"/>
        </w:rPr>
        <w:t xml:space="preserve"> between the two years.</w:t>
      </w:r>
      <w:r w:rsidRPr="001C6162">
        <w:rPr>
          <w:rFonts w:cstheme="minorHAnsi"/>
          <w:sz w:val="24"/>
          <w:szCs w:val="24"/>
        </w:rPr>
        <w:t xml:space="preserve"> </w:t>
      </w:r>
      <w:r w:rsidR="005854F6">
        <w:rPr>
          <w:rFonts w:cstheme="minorHAnsi"/>
          <w:sz w:val="24"/>
          <w:szCs w:val="24"/>
        </w:rPr>
        <w:t xml:space="preserve">Another potential factor could </w:t>
      </w:r>
      <w:r w:rsidRPr="001C6162">
        <w:rPr>
          <w:rFonts w:cstheme="minorHAnsi"/>
          <w:sz w:val="24"/>
          <w:szCs w:val="24"/>
        </w:rPr>
        <w:t xml:space="preserve">be reduction in costs and expenses. Overall, the Merlin accounts indicate that the total expenses were far greater in 2016 than 2015. However, operating expenses decreased by £5,000,000 and was the only expense shown to be reduced in 2016. Ultimately, this decrease in expenses related to business operation has potentially allowed for a significant increase in the net profit. This is evidently a key area to continue to aim to reduce as despite being the only expense reduction, it has largely played a role in the increase in the net profit margin. The accounts also indicate that the largest expense for Merlin is salaries. </w:t>
      </w:r>
      <w:r w:rsidR="00707442">
        <w:rPr>
          <w:rFonts w:cstheme="minorHAnsi"/>
          <w:sz w:val="24"/>
          <w:szCs w:val="24"/>
        </w:rPr>
        <w:t>This suggests that there is</w:t>
      </w:r>
      <w:r w:rsidR="000476CB">
        <w:rPr>
          <w:rFonts w:cstheme="minorHAnsi"/>
          <w:sz w:val="24"/>
          <w:szCs w:val="24"/>
        </w:rPr>
        <w:t xml:space="preserve"> a further</w:t>
      </w:r>
      <w:r w:rsidR="007D0711">
        <w:rPr>
          <w:rFonts w:cstheme="minorHAnsi"/>
          <w:sz w:val="24"/>
          <w:szCs w:val="24"/>
        </w:rPr>
        <w:t xml:space="preserve"> overlap in the roles of the finance</w:t>
      </w:r>
      <w:r w:rsidR="00E20A87">
        <w:rPr>
          <w:rFonts w:cstheme="minorHAnsi"/>
          <w:sz w:val="24"/>
          <w:szCs w:val="24"/>
        </w:rPr>
        <w:t xml:space="preserve"> team</w:t>
      </w:r>
      <w:r w:rsidR="007D0711">
        <w:rPr>
          <w:rFonts w:cstheme="minorHAnsi"/>
          <w:sz w:val="24"/>
          <w:szCs w:val="24"/>
        </w:rPr>
        <w:t xml:space="preserve"> and the human resources department.</w:t>
      </w:r>
      <w:r w:rsidR="00B63934">
        <w:rPr>
          <w:rFonts w:cstheme="minorHAnsi"/>
          <w:sz w:val="24"/>
          <w:szCs w:val="24"/>
        </w:rPr>
        <w:t xml:space="preserve"> </w:t>
      </w:r>
      <w:r w:rsidR="000B1A66">
        <w:rPr>
          <w:rFonts w:cstheme="minorHAnsi"/>
          <w:sz w:val="24"/>
          <w:szCs w:val="24"/>
        </w:rPr>
        <w:t xml:space="preserve">As discussed by Millian </w:t>
      </w:r>
      <w:r w:rsidR="000B1A66" w:rsidRPr="000B1A66">
        <w:rPr>
          <w:rFonts w:cstheme="minorHAnsi"/>
          <w:sz w:val="24"/>
          <w:szCs w:val="24"/>
        </w:rPr>
        <w:t xml:space="preserve">(2018) “The overlap is that a bad hire costs a firm time, energy and money”. </w:t>
      </w:r>
      <w:r w:rsidR="007D0711" w:rsidRPr="000B1A66">
        <w:rPr>
          <w:rFonts w:cstheme="minorHAnsi"/>
          <w:sz w:val="24"/>
          <w:szCs w:val="24"/>
        </w:rPr>
        <w:t xml:space="preserve">The finance </w:t>
      </w:r>
      <w:r w:rsidR="00E20A87" w:rsidRPr="000B1A66">
        <w:rPr>
          <w:rFonts w:cstheme="minorHAnsi"/>
          <w:sz w:val="24"/>
          <w:szCs w:val="24"/>
        </w:rPr>
        <w:t xml:space="preserve">team </w:t>
      </w:r>
      <w:r w:rsidR="007D0711" w:rsidRPr="000B1A66">
        <w:rPr>
          <w:rFonts w:cstheme="minorHAnsi"/>
          <w:sz w:val="24"/>
          <w:szCs w:val="24"/>
        </w:rPr>
        <w:t xml:space="preserve">could look to reduce </w:t>
      </w:r>
      <w:r w:rsidR="007D0711">
        <w:rPr>
          <w:rFonts w:cstheme="minorHAnsi"/>
          <w:sz w:val="24"/>
          <w:szCs w:val="24"/>
        </w:rPr>
        <w:t xml:space="preserve">this </w:t>
      </w:r>
      <w:r w:rsidRPr="001C6162">
        <w:rPr>
          <w:rFonts w:cstheme="minorHAnsi"/>
          <w:sz w:val="24"/>
          <w:szCs w:val="24"/>
        </w:rPr>
        <w:t>expense</w:t>
      </w:r>
      <w:r w:rsidR="007D0711">
        <w:rPr>
          <w:rFonts w:cstheme="minorHAnsi"/>
          <w:sz w:val="24"/>
          <w:szCs w:val="24"/>
        </w:rPr>
        <w:t xml:space="preserve"> through the strategies of the human resources </w:t>
      </w:r>
      <w:r w:rsidR="00E20A87">
        <w:rPr>
          <w:rFonts w:cstheme="minorHAnsi"/>
          <w:sz w:val="24"/>
          <w:szCs w:val="24"/>
        </w:rPr>
        <w:t>department</w:t>
      </w:r>
      <w:r w:rsidR="007D0711">
        <w:rPr>
          <w:rFonts w:cstheme="minorHAnsi"/>
          <w:sz w:val="24"/>
          <w:szCs w:val="24"/>
        </w:rPr>
        <w:t xml:space="preserve"> in </w:t>
      </w:r>
      <w:r w:rsidRPr="001C6162">
        <w:rPr>
          <w:rFonts w:cstheme="minorHAnsi"/>
          <w:sz w:val="24"/>
          <w:szCs w:val="24"/>
        </w:rPr>
        <w:t xml:space="preserve">reducing employee turnover rates and aiming to cross-train employees. The net profit margin is also a vital area for the business in terms of investors. As discussed by Elliott et al. (2012, p.72) “investors need to be confident that the company can deliver above average rates of return i.e. achieve growth”. It is therefore recommended that Merlin put a larger focus on either improving sales or managing expenses in order to continue to increase the net profit and remain both an appealing and reliable business option for investors. </w:t>
      </w:r>
    </w:p>
    <w:p w14:paraId="0B59B14C" w14:textId="77777777" w:rsidR="001C6162" w:rsidRPr="001C6162" w:rsidRDefault="001C6162" w:rsidP="001C6162">
      <w:pPr>
        <w:spacing w:line="360" w:lineRule="auto"/>
        <w:jc w:val="both"/>
        <w:rPr>
          <w:rFonts w:cstheme="minorHAnsi"/>
          <w:sz w:val="24"/>
          <w:szCs w:val="24"/>
        </w:rPr>
      </w:pPr>
    </w:p>
    <w:p w14:paraId="0AF36630" w14:textId="0CC5245A" w:rsidR="001C6162" w:rsidRPr="001C6162" w:rsidRDefault="001C6162" w:rsidP="001C6162">
      <w:pPr>
        <w:spacing w:line="360" w:lineRule="auto"/>
        <w:jc w:val="both"/>
        <w:rPr>
          <w:rFonts w:cstheme="minorHAnsi"/>
          <w:sz w:val="24"/>
          <w:szCs w:val="24"/>
        </w:rPr>
      </w:pPr>
      <w:r w:rsidRPr="001C6162">
        <w:rPr>
          <w:rFonts w:cstheme="minorHAnsi"/>
          <w:sz w:val="24"/>
          <w:szCs w:val="24"/>
        </w:rPr>
        <w:t xml:space="preserve">Return on Capital Employed (ROCE) indicates how efficiently Merlin is spending its capital by comparing inputs with outputs. As discussed by Atrill et al. (2008, p.211), “this comparison is </w:t>
      </w:r>
      <w:r w:rsidRPr="001C6162">
        <w:rPr>
          <w:rFonts w:cstheme="minorHAnsi"/>
          <w:sz w:val="24"/>
          <w:szCs w:val="24"/>
        </w:rPr>
        <w:lastRenderedPageBreak/>
        <w:t xml:space="preserve">vital in assessing the effectiveness with which funds have been deployed”. Between 2015 and 2016, Merlin accounts show that the ROCE percentage has increased. A result of 20% or more is often seen as the industry benchmark for an acceptable ROCE percentage. However, it does depend on each individual organisation. Generally, consistency is a more important aspect when considering ROCE and the similar figures between 2015 and 2016 indicates that the ROCE for Merlin is remaining consistent. </w:t>
      </w:r>
      <w:r w:rsidR="004A7A33">
        <w:rPr>
          <w:rFonts w:cstheme="minorHAnsi"/>
          <w:sz w:val="24"/>
          <w:szCs w:val="24"/>
        </w:rPr>
        <w:t>However, o</w:t>
      </w:r>
      <w:r w:rsidRPr="001C6162">
        <w:rPr>
          <w:rFonts w:cstheme="minorHAnsi"/>
          <w:sz w:val="24"/>
          <w:szCs w:val="24"/>
        </w:rPr>
        <w:t xml:space="preserve">ne </w:t>
      </w:r>
      <w:r w:rsidR="00B27D4E">
        <w:rPr>
          <w:rFonts w:cstheme="minorHAnsi"/>
          <w:sz w:val="24"/>
          <w:szCs w:val="24"/>
        </w:rPr>
        <w:t xml:space="preserve">recommended </w:t>
      </w:r>
      <w:r w:rsidRPr="001C6162">
        <w:rPr>
          <w:rFonts w:cstheme="minorHAnsi"/>
          <w:sz w:val="24"/>
          <w:szCs w:val="24"/>
        </w:rPr>
        <w:t xml:space="preserve">method for improving Merlin’s ROCE percentage </w:t>
      </w:r>
      <w:r w:rsidR="001072E0">
        <w:rPr>
          <w:rFonts w:cstheme="minorHAnsi"/>
          <w:sz w:val="24"/>
          <w:szCs w:val="24"/>
        </w:rPr>
        <w:t>further c</w:t>
      </w:r>
      <w:r w:rsidRPr="001C6162">
        <w:rPr>
          <w:rFonts w:cstheme="minorHAnsi"/>
          <w:sz w:val="24"/>
          <w:szCs w:val="24"/>
        </w:rPr>
        <w:t xml:space="preserve">ould be to use Merlin’s asset’s more efficiently. One way of doing this could be to sell unnecessary or unproductive company assets such as vehicle’s that are no longer in use or funds that are residual in company bank accounts. Liquidating unused or obsolete assets could also help to improve the asset turnover ratios. </w:t>
      </w:r>
      <w:bookmarkStart w:id="10" w:name="_Hlk7177478"/>
      <w:r w:rsidRPr="001C6162">
        <w:rPr>
          <w:rFonts w:cstheme="minorHAnsi"/>
          <w:sz w:val="24"/>
          <w:szCs w:val="24"/>
        </w:rPr>
        <w:t xml:space="preserve">Merlin’s accounts show </w:t>
      </w:r>
      <w:r w:rsidR="001072E0">
        <w:rPr>
          <w:rFonts w:cstheme="minorHAnsi"/>
          <w:sz w:val="24"/>
          <w:szCs w:val="24"/>
        </w:rPr>
        <w:t xml:space="preserve">a decrease in both Merlin’s total asset turnover and the </w:t>
      </w:r>
      <w:r w:rsidRPr="001C6162">
        <w:rPr>
          <w:rFonts w:cstheme="minorHAnsi"/>
          <w:sz w:val="24"/>
          <w:szCs w:val="24"/>
        </w:rPr>
        <w:t xml:space="preserve">fixed asset turnover. These reductions could indicate less efficient use of Merlin’s assets. They could also indicate that there are assets that aren’t contributing to the business or profits, and therefore liquidating these assets could improve both the ROCE figure as well as increasing the asset turnover ratios. </w:t>
      </w:r>
    </w:p>
    <w:p w14:paraId="36A3EE0B" w14:textId="4C760C40" w:rsidR="001C6162" w:rsidRPr="001C6162" w:rsidRDefault="00067B98" w:rsidP="001C6162">
      <w:pPr>
        <w:spacing w:line="360" w:lineRule="auto"/>
        <w:jc w:val="both"/>
        <w:rPr>
          <w:rFonts w:cstheme="minorHAnsi"/>
          <w:sz w:val="24"/>
          <w:szCs w:val="24"/>
        </w:rPr>
      </w:pPr>
      <w:r>
        <w:rPr>
          <w:rFonts w:cstheme="minorHAnsi"/>
          <w:sz w:val="24"/>
          <w:szCs w:val="24"/>
        </w:rPr>
        <w:t>Similarly, selling any long-term assets for cash, such as property or equipment, will also help improve Merlin’s working capital. Wo</w:t>
      </w:r>
      <w:r w:rsidR="001C6162" w:rsidRPr="001C6162">
        <w:rPr>
          <w:rFonts w:cstheme="minorHAnsi"/>
          <w:sz w:val="24"/>
          <w:szCs w:val="24"/>
        </w:rPr>
        <w:t>rking capital turnover is a</w:t>
      </w:r>
      <w:r>
        <w:rPr>
          <w:rFonts w:cstheme="minorHAnsi"/>
          <w:sz w:val="24"/>
          <w:szCs w:val="24"/>
        </w:rPr>
        <w:t>nother k</w:t>
      </w:r>
      <w:r w:rsidR="001C6162" w:rsidRPr="001C6162">
        <w:rPr>
          <w:rFonts w:cstheme="minorHAnsi"/>
          <w:sz w:val="24"/>
          <w:szCs w:val="24"/>
        </w:rPr>
        <w:t xml:space="preserve">ey area of </w:t>
      </w:r>
      <w:r>
        <w:rPr>
          <w:rFonts w:cstheme="minorHAnsi"/>
          <w:sz w:val="24"/>
          <w:szCs w:val="24"/>
        </w:rPr>
        <w:t>the a</w:t>
      </w:r>
      <w:r w:rsidR="001C6162" w:rsidRPr="001C6162">
        <w:rPr>
          <w:rFonts w:cstheme="minorHAnsi"/>
          <w:sz w:val="24"/>
          <w:szCs w:val="24"/>
        </w:rPr>
        <w:t xml:space="preserve">sset turnover ratios. </w:t>
      </w:r>
      <w:bookmarkEnd w:id="10"/>
      <w:r w:rsidR="001C6162" w:rsidRPr="001C6162">
        <w:rPr>
          <w:rFonts w:cstheme="minorHAnsi"/>
          <w:sz w:val="24"/>
          <w:szCs w:val="24"/>
        </w:rPr>
        <w:t xml:space="preserve">The Merlin accounts indicate a slight decrease in this area. This indicates less efficient utilization of Merlin’s capital between 2015 and 2016. The working capital needs of a business are constantly changing as a result of internal business changes and the external business environment. As discussed by Atrill et al. (2008, p.12) “Managers must try to identify changes in an attempt to ensure that the level of investment in working capital is appropriate”. An example of the external and internal risks to monitor are interest rates, market demand and changes in production methods. It is recommended that Merlin monitor these changes closely in order to improve efficient investment in working capital. </w:t>
      </w:r>
    </w:p>
    <w:p w14:paraId="49EFF516" w14:textId="77777777" w:rsidR="001C6162" w:rsidRPr="001C6162" w:rsidRDefault="001C6162" w:rsidP="001C6162">
      <w:pPr>
        <w:spacing w:line="360" w:lineRule="auto"/>
        <w:jc w:val="both"/>
        <w:rPr>
          <w:rFonts w:cstheme="minorHAnsi"/>
          <w:sz w:val="24"/>
          <w:szCs w:val="24"/>
        </w:rPr>
      </w:pPr>
    </w:p>
    <w:p w14:paraId="159A25B6" w14:textId="0C0A64E7" w:rsidR="001C6162" w:rsidRPr="001C6162" w:rsidRDefault="001C6162" w:rsidP="001C6162">
      <w:pPr>
        <w:spacing w:line="360" w:lineRule="auto"/>
        <w:jc w:val="both"/>
        <w:rPr>
          <w:rFonts w:cstheme="minorHAnsi"/>
          <w:sz w:val="24"/>
          <w:szCs w:val="24"/>
        </w:rPr>
      </w:pPr>
      <w:r w:rsidRPr="001C6162">
        <w:rPr>
          <w:rFonts w:cstheme="minorHAnsi"/>
          <w:sz w:val="24"/>
          <w:szCs w:val="24"/>
        </w:rPr>
        <w:t>Further analysing of Merlin’s accounts show</w:t>
      </w:r>
      <w:r w:rsidR="00476412">
        <w:rPr>
          <w:rFonts w:cstheme="minorHAnsi"/>
          <w:sz w:val="24"/>
          <w:szCs w:val="24"/>
        </w:rPr>
        <w:t xml:space="preserve"> </w:t>
      </w:r>
      <w:r w:rsidRPr="001C6162">
        <w:rPr>
          <w:rFonts w:cstheme="minorHAnsi"/>
          <w:sz w:val="24"/>
          <w:szCs w:val="24"/>
        </w:rPr>
        <w:t xml:space="preserve">a reduction in the current ratio percentage between 2015 and 2016. However, this is not necessarily a large concern for the business as the reduction itself is minor and the figures for both years are still within the industry benchmark of an ‘acceptable’ current ratio. This figure does still need to be monitored closely as it can often be an indicator of  a cash flow shortage. In order to maintain this figure and </w:t>
      </w:r>
      <w:r w:rsidRPr="001C6162">
        <w:rPr>
          <w:rFonts w:cstheme="minorHAnsi"/>
          <w:sz w:val="24"/>
          <w:szCs w:val="24"/>
        </w:rPr>
        <w:lastRenderedPageBreak/>
        <w:t xml:space="preserve">avoid any further reduction, there are some strategies that Merlin could put in place. One strategy could be to focus on paying off any current labilities. The current ratio depends on current liabilities as much as it does current assets. By paying off liabilities early and often, it will help to improve the overall current ratio percentage. This strategy will also help to improve the quick ratio percentage. Between 2015 and 2016, Merlin’s quick ratio percentage has remained unchanged. This indicates consistency, which despite being a positive for the business, Merlin could still benefit from increasing this figure. </w:t>
      </w:r>
    </w:p>
    <w:p w14:paraId="55A56CFD" w14:textId="77777777" w:rsidR="001C6162" w:rsidRPr="001C6162" w:rsidRDefault="001C6162" w:rsidP="001C6162">
      <w:pPr>
        <w:spacing w:line="360" w:lineRule="auto"/>
        <w:jc w:val="both"/>
        <w:rPr>
          <w:rFonts w:cstheme="minorHAnsi"/>
          <w:sz w:val="24"/>
          <w:szCs w:val="24"/>
        </w:rPr>
      </w:pPr>
    </w:p>
    <w:p w14:paraId="465316C1" w14:textId="77777777" w:rsidR="001C6162" w:rsidRPr="001C6162" w:rsidRDefault="001C6162" w:rsidP="001C6162">
      <w:pPr>
        <w:spacing w:line="360" w:lineRule="auto"/>
        <w:jc w:val="both"/>
        <w:rPr>
          <w:rFonts w:cstheme="minorHAnsi"/>
          <w:sz w:val="24"/>
          <w:szCs w:val="24"/>
        </w:rPr>
      </w:pPr>
      <w:r w:rsidRPr="001C6162">
        <w:rPr>
          <w:rFonts w:cstheme="minorHAnsi"/>
          <w:sz w:val="24"/>
          <w:szCs w:val="24"/>
        </w:rPr>
        <w:t xml:space="preserve">The accounts show between 2015 and 2016, the number of debtor days for Merlin has remained steady at 365 days. The benchmark number of days that is mostly acceptable in the tourism industry is generally between 30-36 days. Similarly, the number of days for Merlin’s creditor days ratio has seen a significant increase between 2015 and 2016 and therefore indicates that Merlin has taken longer to pay its suppliers. However, the large number of days for Merlin could suggest that Merlin is involved with a greater number of long term arrangements, or arrangements with organisation’s that trade using credit. This is also indicated by the figure remaining consistent between the two years. If this is the case, it does not necessarily indicate a negative result. It could also be reflective of Merlin’s debt with its partner companies, such as operators. This could suggest that there is a good relationship between the firms, again indicating that a large number of debtor days in this instance should not be large concern for Merlin.  In relation to debt, Merlin’s accounts indicate a consistently low debt ratio percentage across both 2015 and 2016. This indicates that the company has acquired a significantly low amount of risk and therefore the business has a low leverage. In order to maintain this leverage, it is recommended that Merlin continue to monitor assets and depreciation, as well as any loans or loan losses that the business may have. </w:t>
      </w:r>
    </w:p>
    <w:bookmarkEnd w:id="9"/>
    <w:p w14:paraId="64639DD7" w14:textId="77777777" w:rsidR="00BA0EB2" w:rsidRPr="00BA0EB2" w:rsidRDefault="00BA0EB2" w:rsidP="00BA0EB2"/>
    <w:p w14:paraId="6F54E003" w14:textId="77777777" w:rsidR="009324A6" w:rsidRDefault="009324A6" w:rsidP="009324A6">
      <w:pPr>
        <w:pStyle w:val="Heading1"/>
      </w:pPr>
    </w:p>
    <w:p w14:paraId="2622B3AD" w14:textId="77777777" w:rsidR="009324A6" w:rsidRDefault="009324A6" w:rsidP="00A77FC5">
      <w:pPr>
        <w:pStyle w:val="Heading2"/>
      </w:pPr>
      <w:bookmarkStart w:id="11" w:name="_Toc5348068"/>
      <w:bookmarkStart w:id="12" w:name="_Toc7186197"/>
      <w:r>
        <w:t>SMART objectives</w:t>
      </w:r>
      <w:bookmarkEnd w:id="11"/>
      <w:bookmarkEnd w:id="12"/>
    </w:p>
    <w:p w14:paraId="1C53AC92" w14:textId="77777777" w:rsidR="009324A6" w:rsidRDefault="009324A6" w:rsidP="009324A6">
      <w:pPr>
        <w:pStyle w:val="Heading1"/>
      </w:pPr>
    </w:p>
    <w:p w14:paraId="5F13B4DC" w14:textId="4A95012D" w:rsidR="00370097" w:rsidRDefault="00370097" w:rsidP="00370097">
      <w:pPr>
        <w:spacing w:line="360" w:lineRule="auto"/>
        <w:jc w:val="both"/>
        <w:rPr>
          <w:rFonts w:cstheme="minorHAnsi"/>
          <w:sz w:val="24"/>
          <w:szCs w:val="24"/>
        </w:rPr>
      </w:pPr>
      <w:r w:rsidRPr="00370097">
        <w:rPr>
          <w:rFonts w:cstheme="minorHAnsi"/>
          <w:sz w:val="24"/>
          <w:szCs w:val="24"/>
        </w:rPr>
        <w:t>In order to maintain a consistent and positive business performance, the following SMART objectives have been set using the aforementioned recommendations:</w:t>
      </w:r>
    </w:p>
    <w:p w14:paraId="515AFB54" w14:textId="77777777" w:rsidR="00293823" w:rsidRDefault="00293823" w:rsidP="00370097">
      <w:pPr>
        <w:spacing w:line="360" w:lineRule="auto"/>
        <w:jc w:val="both"/>
        <w:rPr>
          <w:rFonts w:cstheme="minorHAnsi"/>
          <w:sz w:val="24"/>
          <w:szCs w:val="24"/>
        </w:rPr>
      </w:pPr>
    </w:p>
    <w:p w14:paraId="32D8A9AB" w14:textId="5F77C78C" w:rsidR="00F25D7D" w:rsidRDefault="00F25D7D" w:rsidP="001C6162">
      <w:pPr>
        <w:pStyle w:val="ListParagraph"/>
        <w:numPr>
          <w:ilvl w:val="0"/>
          <w:numId w:val="3"/>
        </w:numPr>
        <w:spacing w:line="360" w:lineRule="auto"/>
        <w:jc w:val="both"/>
        <w:rPr>
          <w:rFonts w:asciiTheme="minorHAnsi" w:hAnsiTheme="minorHAnsi" w:cstheme="minorHAnsi"/>
          <w:sz w:val="24"/>
          <w:szCs w:val="24"/>
        </w:rPr>
      </w:pPr>
      <w:r w:rsidRPr="001C6162">
        <w:rPr>
          <w:rFonts w:asciiTheme="minorHAnsi" w:hAnsiTheme="minorHAnsi" w:cstheme="minorHAnsi"/>
          <w:sz w:val="24"/>
          <w:szCs w:val="24"/>
        </w:rPr>
        <w:t xml:space="preserve">Analyse company assets in order to identify those which are unused or obsolete. These assets can then be liquidated to ensure that there is a return on capital investments as well as an increase in asset turnover. </w:t>
      </w:r>
    </w:p>
    <w:p w14:paraId="112F3030" w14:textId="77E0EA4A" w:rsidR="001C6162" w:rsidRDefault="001C6162" w:rsidP="001C6162">
      <w:pPr>
        <w:pStyle w:val="ListParagraph"/>
        <w:numPr>
          <w:ilvl w:val="0"/>
          <w:numId w:val="3"/>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Reducing salaries as an expense through cross-training employees and aiming to decrease employee turnover rates. The employee turnover rates can be improved through sufficient recruitment and selection. </w:t>
      </w:r>
    </w:p>
    <w:p w14:paraId="41F65EB5" w14:textId="57D49E3E" w:rsidR="00E646C5" w:rsidRDefault="00E646C5" w:rsidP="001C6162">
      <w:pPr>
        <w:pStyle w:val="ListParagraph"/>
        <w:numPr>
          <w:ilvl w:val="0"/>
          <w:numId w:val="3"/>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Having consistent open communication between the Human Resources and Finance departments to ensure that the departments are working in unison to achieve corporate goals. </w:t>
      </w:r>
    </w:p>
    <w:p w14:paraId="12C7A5DD" w14:textId="7E15A0E3" w:rsidR="006A053E" w:rsidRPr="000C77E3" w:rsidRDefault="006A053E" w:rsidP="001C6162">
      <w:pPr>
        <w:pStyle w:val="ListParagraph"/>
        <w:numPr>
          <w:ilvl w:val="0"/>
          <w:numId w:val="3"/>
        </w:num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Increase revenue through the use of strategic and engaging marketing platforms. </w:t>
      </w:r>
    </w:p>
    <w:p w14:paraId="35A069C4" w14:textId="120E43B3" w:rsidR="00370097" w:rsidRDefault="00370097" w:rsidP="00370097">
      <w:pPr>
        <w:spacing w:line="360" w:lineRule="auto"/>
        <w:jc w:val="both"/>
        <w:rPr>
          <w:rFonts w:cstheme="minorHAnsi"/>
        </w:rPr>
      </w:pPr>
      <w:r>
        <w:rPr>
          <w:rFonts w:cstheme="minorHAnsi"/>
        </w:rPr>
        <w:t xml:space="preserve"> </w:t>
      </w:r>
    </w:p>
    <w:p w14:paraId="511023C5" w14:textId="77777777" w:rsidR="00A77FC5" w:rsidRDefault="00A77FC5" w:rsidP="00A77FC5"/>
    <w:p w14:paraId="73392863" w14:textId="77777777" w:rsidR="00A77FC5" w:rsidRDefault="00A77FC5" w:rsidP="00A77FC5"/>
    <w:p w14:paraId="72CF466A" w14:textId="77777777" w:rsidR="00A77FC5" w:rsidRDefault="00A77FC5" w:rsidP="00A77FC5"/>
    <w:p w14:paraId="14CD3271" w14:textId="77777777" w:rsidR="00A77FC5" w:rsidRDefault="00A77FC5" w:rsidP="00A77FC5"/>
    <w:p w14:paraId="1F14DC1D" w14:textId="77777777" w:rsidR="00A77FC5" w:rsidRDefault="00A77FC5" w:rsidP="00A77FC5"/>
    <w:p w14:paraId="6D17D720" w14:textId="77777777" w:rsidR="009324A6" w:rsidRDefault="009324A6" w:rsidP="009324A6">
      <w:pPr>
        <w:pStyle w:val="Heading1"/>
      </w:pPr>
    </w:p>
    <w:p w14:paraId="46A4DC7D" w14:textId="77777777" w:rsidR="009324A6" w:rsidRDefault="009324A6" w:rsidP="009324A6">
      <w:pPr>
        <w:pStyle w:val="Heading1"/>
      </w:pPr>
    </w:p>
    <w:p w14:paraId="3DAB769C" w14:textId="77777777" w:rsidR="009324A6" w:rsidRDefault="009324A6" w:rsidP="009324A6">
      <w:pPr>
        <w:pStyle w:val="Heading1"/>
      </w:pPr>
    </w:p>
    <w:p w14:paraId="75F21848" w14:textId="77777777" w:rsidR="009324A6" w:rsidRDefault="009324A6" w:rsidP="009324A6">
      <w:pPr>
        <w:pStyle w:val="Heading1"/>
      </w:pPr>
    </w:p>
    <w:p w14:paraId="639A8BA6" w14:textId="77777777" w:rsidR="009324A6" w:rsidRDefault="009324A6" w:rsidP="009324A6">
      <w:pPr>
        <w:pStyle w:val="Heading1"/>
      </w:pPr>
    </w:p>
    <w:p w14:paraId="3AEC4522" w14:textId="77777777" w:rsidR="009324A6" w:rsidRDefault="009324A6" w:rsidP="009324A6">
      <w:pPr>
        <w:pStyle w:val="Heading1"/>
      </w:pPr>
    </w:p>
    <w:p w14:paraId="1524FD6D" w14:textId="77777777" w:rsidR="009324A6" w:rsidRDefault="009324A6" w:rsidP="009324A6">
      <w:pPr>
        <w:pStyle w:val="Heading1"/>
      </w:pPr>
    </w:p>
    <w:p w14:paraId="01C1C726" w14:textId="155A16DF" w:rsidR="00293823" w:rsidRDefault="00293823" w:rsidP="00A77FC5"/>
    <w:p w14:paraId="3C2C1D63" w14:textId="77777777" w:rsidR="00497A3F" w:rsidRDefault="00497A3F" w:rsidP="00A77FC5"/>
    <w:p w14:paraId="36035D58" w14:textId="4D3B2898" w:rsidR="00293823" w:rsidRDefault="00293823" w:rsidP="00A77FC5"/>
    <w:p w14:paraId="71913425" w14:textId="6A8A62FB" w:rsidR="00911809" w:rsidRDefault="00911809" w:rsidP="00A77FC5"/>
    <w:p w14:paraId="5A04149E" w14:textId="77777777" w:rsidR="00911809" w:rsidRDefault="00911809" w:rsidP="00A77FC5"/>
    <w:p w14:paraId="7486A571" w14:textId="66B478E2" w:rsidR="00A77FC5" w:rsidRDefault="00BA24E9" w:rsidP="00BA24E9">
      <w:pPr>
        <w:pStyle w:val="Heading1"/>
      </w:pPr>
      <w:bookmarkStart w:id="13" w:name="_Toc7186198"/>
      <w:r>
        <w:t>Management and Human Resources</w:t>
      </w:r>
      <w:bookmarkEnd w:id="13"/>
      <w:r>
        <w:t xml:space="preserve"> </w:t>
      </w:r>
    </w:p>
    <w:p w14:paraId="6C85C607" w14:textId="77777777" w:rsidR="00A77FC5" w:rsidRDefault="00A77FC5" w:rsidP="00A77FC5"/>
    <w:p w14:paraId="27890207" w14:textId="1FF6F366" w:rsidR="00340628" w:rsidRPr="00340628" w:rsidRDefault="00340628" w:rsidP="00340628">
      <w:pPr>
        <w:tabs>
          <w:tab w:val="left" w:pos="6899"/>
        </w:tabs>
        <w:spacing w:after="165" w:line="360" w:lineRule="auto"/>
        <w:jc w:val="both"/>
        <w:rPr>
          <w:rFonts w:eastAsia="Times New Roman" w:cstheme="minorHAnsi"/>
          <w:sz w:val="24"/>
          <w:szCs w:val="24"/>
          <w:lang w:eastAsia="en-GB"/>
        </w:rPr>
      </w:pPr>
      <w:r w:rsidRPr="00340628">
        <w:rPr>
          <w:rFonts w:cstheme="minorHAnsi"/>
          <w:sz w:val="24"/>
          <w:szCs w:val="24"/>
          <w:lang w:val="en"/>
        </w:rPr>
        <w:t>One of the key areas of management and human resources is recruitment and selection. Stoilkovska</w:t>
      </w:r>
      <w:r w:rsidRPr="00340628">
        <w:rPr>
          <w:rFonts w:eastAsia="Times New Roman" w:cstheme="minorHAnsi"/>
          <w:sz w:val="24"/>
          <w:szCs w:val="24"/>
          <w:lang w:eastAsia="en-GB"/>
        </w:rPr>
        <w:t xml:space="preserve"> et al. (2015) defines recruitment as “a process of creating a group of qualified candidates for the vacancies within the organizations”. Insufficient recruitment will ultimately lead to a higher employee turnover rate, which will in turn effect the organisations finances negatively. According to Merlin Entertainments Group (2019) “</w:t>
      </w:r>
      <w:r w:rsidRPr="00340628">
        <w:rPr>
          <w:rFonts w:cstheme="minorHAnsi"/>
          <w:sz w:val="24"/>
          <w:szCs w:val="24"/>
        </w:rPr>
        <w:t>We have deliberately created a down-to-earth culture where everyone can speak up, stand out and feel valued for who they are as well as what they do”. This statement suggests that Merlin has an extremely distinct workplace culture, and that its recruitment process will ultimately involve seeking candidates who fit and support the culture they have created. This could be seen as a positive movement from Merlin. As discussed by Price (p.193, 2007) “Hiring candidates who fit the organization’s culture is more effective than recruiting solely on the basis of skills that fit a particular job”. This could be beneficial to Merlin as hiring candidates who are proud of their workplace culture and contribute to the ethos of the company are more likely to perform better within their roles. However, there are certain argument’s that argue against this method of recruitment. According to Smykal (2015) “</w:t>
      </w:r>
      <w:r w:rsidRPr="00340628">
        <w:rPr>
          <w:rFonts w:cstheme="minorHAnsi"/>
          <w:sz w:val="24"/>
          <w:szCs w:val="24"/>
          <w:lang w:val="en-US"/>
        </w:rPr>
        <w:t xml:space="preserve">multiple studies have shown that reducing diversity by recruiting “people like me” can be detrimental to the success of your business. Homogeneity can lead to complacency and overconfidence, as like-minded employees repeat and reinforce the same ideas over and over”. This suggests that this mindset may lead to a lack of diversity, as well as a reduction in creativity and new ideas among staff. Recruiting candidates with a different outlook to that of current staff, may result in the organization seeing the business from a different perspective. This could allow the business to grow in other ways than it currently is. It is therefore recommended that Merlin continue to recognize and appreciate those candidates who appear to ‘fit’ with their current work culture, but that they do not discriminate against individuals who don’t immediately fit and are open to the outlook that these individuals could add to the business. </w:t>
      </w:r>
      <w:r w:rsidRPr="00340628">
        <w:rPr>
          <w:rFonts w:cstheme="minorHAnsi"/>
          <w:sz w:val="24"/>
          <w:szCs w:val="24"/>
        </w:rPr>
        <w:t xml:space="preserve">In addition to this, Merlin also conducts an extremely varied multiple-stage recruitment process. According to Merlin Entertainments group (2019), the recruitment process involves personality tests, assessment centres, presentations and interviews. This suggests that this process allows </w:t>
      </w:r>
      <w:r w:rsidRPr="00340628">
        <w:rPr>
          <w:rFonts w:cstheme="minorHAnsi"/>
          <w:sz w:val="24"/>
          <w:szCs w:val="24"/>
        </w:rPr>
        <w:lastRenderedPageBreak/>
        <w:t xml:space="preserve">Merlin to view candidates in a variety of situations, and therefore gather as much information about them and their adaptability as possible. Hiring the right candidates is extremely important to any business. As discussed by Torrington et al. (p.47, 2009) “Unless good people can be recruited and subsequently retained for a reasonable period of time it becomes very difficult to maximise levels of performance and hence to achieve any degree of sustained competitive advantage”. If an organisation continually selects inadequate employees, it could also cause financial detriment to the </w:t>
      </w:r>
      <w:r w:rsidR="0003722F">
        <w:rPr>
          <w:rFonts w:cstheme="minorHAnsi"/>
          <w:sz w:val="24"/>
          <w:szCs w:val="24"/>
        </w:rPr>
        <w:t>business results such as the net profit.</w:t>
      </w:r>
      <w:r w:rsidRPr="00340628">
        <w:rPr>
          <w:rFonts w:cstheme="minorHAnsi"/>
          <w:sz w:val="24"/>
          <w:szCs w:val="24"/>
        </w:rPr>
        <w:t xml:space="preserve"> This notion is discussed by Henderson (p.80, 2008) who suggests that if a newly employee does not perform well, the organisation “will either have to accept a lower level or performance in the job or take some form of remedial action at a later stage- e.g.- initial training- either of which would Incur additional costs to the organisation”. It is therefore recommended that Merlin continue with its diverse and unique recruitment and selection process in order to ensure it is hiring candidates who can perform well</w:t>
      </w:r>
      <w:r w:rsidR="007344DB">
        <w:rPr>
          <w:rFonts w:cstheme="minorHAnsi"/>
          <w:sz w:val="24"/>
          <w:szCs w:val="24"/>
        </w:rPr>
        <w:t xml:space="preserve"> under a variety of situations</w:t>
      </w:r>
      <w:r w:rsidRPr="00340628">
        <w:rPr>
          <w:rFonts w:cstheme="minorHAnsi"/>
          <w:sz w:val="24"/>
          <w:szCs w:val="24"/>
        </w:rPr>
        <w:t xml:space="preserve"> and </w:t>
      </w:r>
      <w:r w:rsidR="007344DB">
        <w:rPr>
          <w:rFonts w:cstheme="minorHAnsi"/>
          <w:sz w:val="24"/>
          <w:szCs w:val="24"/>
        </w:rPr>
        <w:t xml:space="preserve">have the innovation and creativity to add to the business. </w:t>
      </w:r>
    </w:p>
    <w:p w14:paraId="4E1F9EE2" w14:textId="77777777" w:rsidR="00340628" w:rsidRPr="00340628" w:rsidRDefault="00340628" w:rsidP="00340628">
      <w:pPr>
        <w:tabs>
          <w:tab w:val="left" w:pos="6899"/>
        </w:tabs>
        <w:spacing w:after="165" w:line="360" w:lineRule="auto"/>
        <w:jc w:val="both"/>
        <w:rPr>
          <w:rFonts w:eastAsia="Times New Roman" w:cstheme="minorHAnsi"/>
          <w:sz w:val="24"/>
          <w:szCs w:val="24"/>
          <w:lang w:eastAsia="en-GB"/>
        </w:rPr>
      </w:pPr>
    </w:p>
    <w:p w14:paraId="2E1F23DD" w14:textId="3F46695B" w:rsidR="00340628" w:rsidRPr="00340628" w:rsidRDefault="00340628" w:rsidP="00340628">
      <w:pPr>
        <w:spacing w:after="165" w:line="360" w:lineRule="auto"/>
        <w:jc w:val="both"/>
        <w:rPr>
          <w:rFonts w:eastAsia="Times New Roman" w:cstheme="minorHAnsi"/>
          <w:sz w:val="24"/>
          <w:szCs w:val="24"/>
          <w:lang w:eastAsia="en-GB"/>
        </w:rPr>
      </w:pPr>
      <w:r w:rsidRPr="00340628">
        <w:rPr>
          <w:rFonts w:cstheme="minorHAnsi"/>
          <w:sz w:val="24"/>
          <w:szCs w:val="24"/>
        </w:rPr>
        <w:t xml:space="preserve">Another vital aspect of human resources is equality and diversity. As discussed by </w:t>
      </w:r>
      <w:r w:rsidRPr="00340628">
        <w:rPr>
          <w:rFonts w:cstheme="minorHAnsi"/>
          <w:sz w:val="24"/>
          <w:szCs w:val="24"/>
          <w:lang w:val="en"/>
        </w:rPr>
        <w:t>Sharma</w:t>
      </w:r>
      <w:r w:rsidRPr="00340628">
        <w:rPr>
          <w:rFonts w:cstheme="minorHAnsi"/>
          <w:sz w:val="24"/>
          <w:szCs w:val="24"/>
        </w:rPr>
        <w:t xml:space="preserve"> (2016) a “Diverse workforce consists of individuals belonging to unique cultures who will have different characteristics, aspirations, and expectations”. Gender and gender pay are often a key issue in relation to both equality and diversity within the workplace. According to Merlin’s official statistics, Merlin had a mean gender pay gap for 2018 of 15.68%. Despite this figure decreasing from 2017, and being below the UK average of 17.1%, it still reflects that there is a difference between gender pay within the organisation, and therefore within Alton Towers.  According to the Equality and Human rights Commission, equal pay is one of the most vital aspects of an organisation. The commission notes how it</w:t>
      </w:r>
      <w:r w:rsidR="002066E9">
        <w:rPr>
          <w:rFonts w:cstheme="minorHAnsi"/>
          <w:sz w:val="24"/>
          <w:szCs w:val="24"/>
        </w:rPr>
        <w:t xml:space="preserve"> is “</w:t>
      </w:r>
      <w:r w:rsidRPr="00340628">
        <w:rPr>
          <w:rFonts w:eastAsia="Times New Roman" w:cstheme="minorHAnsi"/>
          <w:sz w:val="24"/>
          <w:szCs w:val="24"/>
          <w:lang w:eastAsia="en-GB"/>
        </w:rPr>
        <w:t xml:space="preserve">increasingly important for many stakeholders, including shareholders, the people you do business with and your customers. Failing to ensure equal pay in your organisation could lead to legal claims, reputational damage and, ultimately, affect your commercial success”. However, it is evident that Merlin are currently attempting to tackle this indifference. Fiona Eastwood, who is currently a managing director at Merlin stated that she was “personally keen that we support the development of female leaders in attraction management as well as encourage more women into operational roles so that they can share their insights and experiences for the benefit of </w:t>
      </w:r>
      <w:r w:rsidRPr="00340628">
        <w:rPr>
          <w:rFonts w:eastAsia="Times New Roman" w:cstheme="minorHAnsi"/>
          <w:sz w:val="24"/>
          <w:szCs w:val="24"/>
          <w:lang w:eastAsia="en-GB"/>
        </w:rPr>
        <w:lastRenderedPageBreak/>
        <w:t xml:space="preserve">Merlin”. This attitude of encouraging women in the business and supporting their development into higher roles is a positive system and the improving gender pay results are reflective of this efficient management. </w:t>
      </w:r>
      <w:r w:rsidRPr="00340628">
        <w:rPr>
          <w:rFonts w:cstheme="minorHAnsi"/>
          <w:sz w:val="24"/>
          <w:szCs w:val="24"/>
        </w:rPr>
        <w:t xml:space="preserve">Silverman (2018) reported that the gender pay gap at Channel 5 “is 2.85% per cent in favour of female employees”. Channel 5 is similarly a large organisation and it is evident that the organisation has followed multiple practices in order to have a greater balance between males and females in senior positions. Channel 5 is therefore a good example of equality within the workplace and a company that should be seen as an example to follow. </w:t>
      </w:r>
      <w:r w:rsidRPr="00340628">
        <w:rPr>
          <w:rFonts w:eastAsia="Times New Roman" w:cstheme="minorHAnsi"/>
          <w:sz w:val="24"/>
          <w:szCs w:val="24"/>
          <w:lang w:eastAsia="en-GB"/>
        </w:rPr>
        <w:t xml:space="preserve">Sex is also a protected characteristic under the Equality Act 2010 and so despite social responsibility, it is also a legal requirement that there be no discrimination based on sex. Merlin however has noted that it has recently taken multiple steps in a bid to reduce gender inequality, including setting up a ”Diversity and Inclusion Council which is led by two of our Executive Committee members to ensure senior business leader support”. </w:t>
      </w:r>
      <w:r w:rsidR="00601851">
        <w:rPr>
          <w:rFonts w:eastAsia="Times New Roman" w:cstheme="minorHAnsi"/>
          <w:sz w:val="24"/>
          <w:szCs w:val="24"/>
          <w:lang w:eastAsia="en-GB"/>
        </w:rPr>
        <w:t xml:space="preserve">It </w:t>
      </w:r>
      <w:r w:rsidRPr="00340628">
        <w:rPr>
          <w:rFonts w:eastAsia="Times New Roman" w:cstheme="minorHAnsi"/>
          <w:sz w:val="24"/>
          <w:szCs w:val="24"/>
          <w:lang w:eastAsia="en-GB"/>
        </w:rPr>
        <w:t>is recommended that this council be run in all sectors and at all levels of the business</w:t>
      </w:r>
      <w:r w:rsidR="00601851">
        <w:rPr>
          <w:rFonts w:eastAsia="Times New Roman" w:cstheme="minorHAnsi"/>
          <w:sz w:val="24"/>
          <w:szCs w:val="24"/>
          <w:lang w:eastAsia="en-GB"/>
        </w:rPr>
        <w:t xml:space="preserve"> and be </w:t>
      </w:r>
      <w:r w:rsidRPr="00340628">
        <w:rPr>
          <w:rFonts w:eastAsia="Times New Roman" w:cstheme="minorHAnsi"/>
          <w:sz w:val="24"/>
          <w:szCs w:val="24"/>
          <w:lang w:eastAsia="en-GB"/>
        </w:rPr>
        <w:t xml:space="preserve">continually developed and consistently implemented to ensure the highest level of equality right through the organisation. </w:t>
      </w:r>
    </w:p>
    <w:p w14:paraId="7BAF8E01" w14:textId="77777777" w:rsidR="00340628" w:rsidRPr="00340628" w:rsidRDefault="00340628" w:rsidP="00340628">
      <w:pPr>
        <w:spacing w:after="165" w:line="360" w:lineRule="auto"/>
        <w:jc w:val="both"/>
        <w:rPr>
          <w:rFonts w:eastAsia="Times New Roman" w:cstheme="minorHAnsi"/>
          <w:sz w:val="24"/>
          <w:szCs w:val="24"/>
          <w:lang w:eastAsia="en-GB"/>
        </w:rPr>
      </w:pPr>
    </w:p>
    <w:p w14:paraId="18E7A976" w14:textId="77777777" w:rsidR="00340628" w:rsidRPr="00340628" w:rsidRDefault="00340628" w:rsidP="00340628">
      <w:pPr>
        <w:spacing w:after="165" w:line="360" w:lineRule="auto"/>
        <w:jc w:val="both"/>
        <w:rPr>
          <w:rFonts w:cstheme="minorHAnsi"/>
          <w:sz w:val="24"/>
          <w:szCs w:val="24"/>
          <w:lang w:val="en"/>
        </w:rPr>
      </w:pPr>
      <w:r w:rsidRPr="00340628">
        <w:rPr>
          <w:rFonts w:eastAsia="Times New Roman" w:cstheme="minorHAnsi"/>
          <w:sz w:val="24"/>
          <w:szCs w:val="24"/>
          <w:lang w:eastAsia="en-GB"/>
        </w:rPr>
        <w:t xml:space="preserve">According to Armstrong (2008), one of the “most important, if not the most important, responsibilities as a manager is to ensure that the members of your team achieve high levels of performance”. This is classed as performance management and is a key area when managing staff and a vital aspect of human resources. According to Merlin Entertainment Group (2019) Merlin employees are consistently encouraged to speak up regarding their ideas for the business through a system they have created called the ‘SPARK’ initiative. This system allows Merlin’s employees to have a voice within the business and feel that their opinion is not only heard but valued. This notion is one of the key employee-related variables discussed within the AMO performance management model. </w:t>
      </w:r>
      <w:r w:rsidRPr="00340628">
        <w:rPr>
          <w:rFonts w:cstheme="minorHAnsi"/>
          <w:sz w:val="24"/>
          <w:szCs w:val="24"/>
          <w:lang w:val="en"/>
        </w:rPr>
        <w:t>Almutawa</w:t>
      </w:r>
      <w:r w:rsidRPr="00340628">
        <w:rPr>
          <w:rFonts w:eastAsia="Times New Roman" w:cstheme="minorHAnsi"/>
          <w:sz w:val="24"/>
          <w:szCs w:val="24"/>
          <w:lang w:eastAsia="en-GB"/>
        </w:rPr>
        <w:t xml:space="preserve"> et al. (2016) notes how “The AMO model suggests that organizational performance is affected by changes in employees’ ability, motivation and opportunity to participate”. The ‘SPARK initiative’ created by Merlin provides employees with this ‘opportunity to participate’ and therefore contributes to the performance of the organisation. However, there are other model’s such as the expectancy theory of motivation (Vroom, 1964) that argue that valued goals are the most important factor for an employee to perform well. Lee et al. (2019) discusses the expectancy theory </w:t>
      </w:r>
      <w:r w:rsidRPr="00340628">
        <w:rPr>
          <w:rFonts w:eastAsia="Times New Roman" w:cstheme="minorHAnsi"/>
          <w:sz w:val="24"/>
          <w:szCs w:val="24"/>
          <w:lang w:eastAsia="en-GB"/>
        </w:rPr>
        <w:lastRenderedPageBreak/>
        <w:t>further noting how</w:t>
      </w:r>
      <w:r w:rsidRPr="00340628">
        <w:rPr>
          <w:rFonts w:cstheme="minorHAnsi"/>
          <w:sz w:val="24"/>
          <w:szCs w:val="24"/>
          <w:lang w:val="en"/>
        </w:rPr>
        <w:t xml:space="preserve"> “overall employee motivation will be enhanced because it makes employees have a clear expectation for organizational rewards such as pay and promotion”. Merlin Entertainment offers an online ‘STAR’ system whereby employees are nominated and recognized across the business for the work they have done. Merlin also offers a share scheme at a discounted rate for employees so that they themselves can own a part of the business. Both of these initiatives could be seen as motivation for individuals to perform better. Merlin is seen to have multiple strategies in place that complies with both the AMO model and the expectancy theory which is a positive approach in relation to Merlin’s performance management. One recommendation to maintain and improve Merlin’s performance management within Alton Towers could be further delegation in the business. This will allow employees to grow outside of their role and will create a sense of trust between different staffing structures within the company. </w:t>
      </w:r>
    </w:p>
    <w:p w14:paraId="630ADC9F" w14:textId="77777777" w:rsidR="00A77FC5" w:rsidRDefault="00A77FC5" w:rsidP="00A77FC5"/>
    <w:p w14:paraId="32BEB720" w14:textId="77777777" w:rsidR="00A77FC5" w:rsidRDefault="00A77FC5" w:rsidP="00A77FC5"/>
    <w:p w14:paraId="598407A9" w14:textId="77777777" w:rsidR="00A77FC5" w:rsidRPr="00A77FC5" w:rsidRDefault="00A77FC5" w:rsidP="00A77FC5"/>
    <w:p w14:paraId="3926D1B6" w14:textId="77777777" w:rsidR="009324A6" w:rsidRDefault="009324A6" w:rsidP="009324A6">
      <w:pPr>
        <w:pStyle w:val="Heading1"/>
      </w:pPr>
    </w:p>
    <w:p w14:paraId="2147FB80" w14:textId="77777777" w:rsidR="009324A6" w:rsidRDefault="009324A6" w:rsidP="009324A6">
      <w:pPr>
        <w:pStyle w:val="Heading1"/>
      </w:pPr>
    </w:p>
    <w:p w14:paraId="618822CF" w14:textId="77777777" w:rsidR="009324A6" w:rsidRDefault="009324A6" w:rsidP="009324A6">
      <w:pPr>
        <w:pStyle w:val="Heading1"/>
      </w:pPr>
    </w:p>
    <w:p w14:paraId="3EAC39B7" w14:textId="77777777" w:rsidR="009324A6" w:rsidRDefault="009324A6" w:rsidP="009324A6">
      <w:pPr>
        <w:pStyle w:val="Heading1"/>
      </w:pPr>
    </w:p>
    <w:p w14:paraId="702EE523" w14:textId="77777777" w:rsidR="009324A6" w:rsidRDefault="009324A6" w:rsidP="009324A6">
      <w:pPr>
        <w:pStyle w:val="Heading1"/>
      </w:pPr>
    </w:p>
    <w:p w14:paraId="521970BE" w14:textId="77777777" w:rsidR="00A77FC5" w:rsidRDefault="00A77FC5" w:rsidP="00A77FC5"/>
    <w:p w14:paraId="3506FAC5" w14:textId="63D2A607" w:rsidR="00A77FC5" w:rsidRDefault="00A77FC5" w:rsidP="00A77FC5"/>
    <w:p w14:paraId="23383D3A" w14:textId="3F919603" w:rsidR="00340628" w:rsidRDefault="00340628" w:rsidP="00A77FC5"/>
    <w:p w14:paraId="4F34D6EB" w14:textId="3925C971" w:rsidR="00340628" w:rsidRDefault="00340628" w:rsidP="00A77FC5"/>
    <w:p w14:paraId="79ADC63E" w14:textId="77777777" w:rsidR="00340628" w:rsidRDefault="00340628" w:rsidP="00A77FC5"/>
    <w:p w14:paraId="5311909D" w14:textId="71E0E531" w:rsidR="000D1A77" w:rsidRDefault="000D1A77" w:rsidP="00A77FC5"/>
    <w:p w14:paraId="5BC56DE1" w14:textId="34498F59" w:rsidR="00D0315F" w:rsidRDefault="00D0315F" w:rsidP="00A77FC5"/>
    <w:p w14:paraId="050D28B8" w14:textId="77777777" w:rsidR="00471BC8" w:rsidRDefault="00471BC8" w:rsidP="00A77FC5"/>
    <w:p w14:paraId="0742FF1D" w14:textId="288BD45B" w:rsidR="00D0315F" w:rsidRDefault="00D0315F" w:rsidP="00D0315F">
      <w:pPr>
        <w:pStyle w:val="Heading1"/>
      </w:pPr>
      <w:bookmarkStart w:id="14" w:name="_Toc7186199"/>
      <w:r>
        <w:lastRenderedPageBreak/>
        <w:t>Conclusion</w:t>
      </w:r>
      <w:bookmarkEnd w:id="14"/>
      <w:r>
        <w:t xml:space="preserve"> </w:t>
      </w:r>
    </w:p>
    <w:p w14:paraId="175E7955" w14:textId="1E61764A" w:rsidR="00D0315F" w:rsidRDefault="00D0315F" w:rsidP="00D0315F"/>
    <w:p w14:paraId="55CC25A2" w14:textId="32330C85" w:rsidR="001A52CF" w:rsidRDefault="001A52CF" w:rsidP="001A52CF">
      <w:pPr>
        <w:spacing w:line="360" w:lineRule="auto"/>
        <w:jc w:val="both"/>
        <w:rPr>
          <w:sz w:val="24"/>
          <w:szCs w:val="24"/>
        </w:rPr>
      </w:pPr>
      <w:r>
        <w:rPr>
          <w:sz w:val="24"/>
          <w:szCs w:val="24"/>
        </w:rPr>
        <w:t>The main recommendations given in this report include:</w:t>
      </w:r>
    </w:p>
    <w:p w14:paraId="2D4B1EF4"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lang w:val="en"/>
        </w:rPr>
        <w:t>Decide whether it is best to adopt a straight-line or accelerated depreciation method for the remaining life of Alton Towers’ fixed assets to tackle depreciation.</w:t>
      </w:r>
    </w:p>
    <w:p w14:paraId="35EF39B4"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lang w:val="en"/>
        </w:rPr>
        <w:t>Minimize investments that would be affected by currency exchange.</w:t>
      </w:r>
    </w:p>
    <w:p w14:paraId="358577AC"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lang w:val="en"/>
        </w:rPr>
        <w:t>Ensure that social media and internet use play a key role in targeting wider audiences and encourage engagement with customers.</w:t>
      </w:r>
    </w:p>
    <w:p w14:paraId="5C4CCDAF"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lang w:val="en"/>
        </w:rPr>
        <w:t xml:space="preserve">Market Alton Towers as an ideal family ‘staycation’ within the United Kingdom. </w:t>
      </w:r>
    </w:p>
    <w:p w14:paraId="097BA85D"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lang w:val="en"/>
        </w:rPr>
      </w:pPr>
      <w:r w:rsidRPr="001A52CF">
        <w:rPr>
          <w:rFonts w:asciiTheme="minorHAnsi" w:hAnsiTheme="minorHAnsi" w:cstheme="minorHAnsi"/>
          <w:sz w:val="24"/>
          <w:szCs w:val="24"/>
          <w:lang w:val="en"/>
        </w:rPr>
        <w:t xml:space="preserve">Reducing the use of single-use plastics across the park, eradicating unnecessary items and actively promoting and increasing recycling methods. </w:t>
      </w:r>
    </w:p>
    <w:p w14:paraId="67F6BFF0"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rPr>
        <w:t>Review the business’s gender pay gap, and actively encourage and support both genders but specifically females in fulfilling higher roles within the organisation.</w:t>
      </w:r>
    </w:p>
    <w:p w14:paraId="002E5752"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rPr>
        <w:t xml:space="preserve">Consider re-negotiating with supplier’s in order to ensure the best deals for the goods are being secured. </w:t>
      </w:r>
    </w:p>
    <w:p w14:paraId="0CD8A54E"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rPr>
        <w:t>Liquidating unproductive or inactive assets.</w:t>
      </w:r>
    </w:p>
    <w:p w14:paraId="6E4A63DF"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lang w:val="en-US"/>
        </w:rPr>
        <w:t xml:space="preserve">Actively seek work candidates that ‘fit’ the work culture but that will bring fresh and creative ideas. </w:t>
      </w:r>
    </w:p>
    <w:p w14:paraId="36E6559E" w14:textId="77777777" w:rsidR="001A52CF" w:rsidRPr="001A52CF" w:rsidRDefault="001A52CF" w:rsidP="001A52CF">
      <w:pPr>
        <w:pStyle w:val="ListParagraph"/>
        <w:numPr>
          <w:ilvl w:val="0"/>
          <w:numId w:val="8"/>
        </w:numPr>
        <w:spacing w:line="360" w:lineRule="auto"/>
        <w:jc w:val="both"/>
        <w:rPr>
          <w:rFonts w:asciiTheme="minorHAnsi" w:hAnsiTheme="minorHAnsi" w:cstheme="minorHAnsi"/>
          <w:sz w:val="24"/>
          <w:szCs w:val="24"/>
        </w:rPr>
      </w:pPr>
      <w:r w:rsidRPr="001A52CF">
        <w:rPr>
          <w:rFonts w:asciiTheme="minorHAnsi" w:hAnsiTheme="minorHAnsi" w:cstheme="minorHAnsi"/>
          <w:sz w:val="24"/>
          <w:szCs w:val="24"/>
          <w:lang w:val="en-US"/>
        </w:rPr>
        <w:t xml:space="preserve">Offer further delegation of receptibilities within roles. </w:t>
      </w:r>
    </w:p>
    <w:p w14:paraId="7546C61B" w14:textId="77777777" w:rsidR="001A52CF" w:rsidRDefault="001A52CF" w:rsidP="00480059">
      <w:pPr>
        <w:spacing w:line="360" w:lineRule="auto"/>
        <w:jc w:val="both"/>
        <w:rPr>
          <w:sz w:val="24"/>
          <w:szCs w:val="24"/>
        </w:rPr>
      </w:pPr>
    </w:p>
    <w:p w14:paraId="624450E9" w14:textId="6B7429B3" w:rsidR="00D0315F" w:rsidRPr="001A52CF" w:rsidRDefault="00D0315F" w:rsidP="001A52CF">
      <w:pPr>
        <w:spacing w:line="360" w:lineRule="auto"/>
        <w:jc w:val="both"/>
        <w:rPr>
          <w:sz w:val="24"/>
          <w:szCs w:val="24"/>
        </w:rPr>
      </w:pPr>
      <w:r w:rsidRPr="00480059">
        <w:rPr>
          <w:sz w:val="24"/>
          <w:szCs w:val="24"/>
        </w:rPr>
        <w:t>To conclude</w:t>
      </w:r>
      <w:r w:rsidR="001A52CF">
        <w:rPr>
          <w:sz w:val="24"/>
          <w:szCs w:val="24"/>
        </w:rPr>
        <w:t xml:space="preserve">, </w:t>
      </w:r>
      <w:r w:rsidRPr="00480059">
        <w:rPr>
          <w:sz w:val="24"/>
          <w:szCs w:val="24"/>
        </w:rPr>
        <w:t>it is evident that finance, economics and human resources are three vital areas of any business that all impact on one another. In order for a business to be successful, it cannot look at each area subjectively, but rather in conjunction with the other areas. Alton Towers has shown strong evidence of a thriving financial business with efficient human resource practice and the right strategies in place to tackle external environmental factors. However, it is recommended that the organisation take into consideration the further recommendations</w:t>
      </w:r>
      <w:r w:rsidR="006D7827">
        <w:rPr>
          <w:sz w:val="24"/>
          <w:szCs w:val="24"/>
        </w:rPr>
        <w:t xml:space="preserve"> given in this report </w:t>
      </w:r>
      <w:r w:rsidR="007B658B">
        <w:rPr>
          <w:sz w:val="24"/>
          <w:szCs w:val="24"/>
        </w:rPr>
        <w:t>in relation to tackling threat</w:t>
      </w:r>
      <w:r w:rsidR="00886ECC">
        <w:rPr>
          <w:sz w:val="24"/>
          <w:szCs w:val="24"/>
        </w:rPr>
        <w:t>’s</w:t>
      </w:r>
      <w:r w:rsidR="007B658B">
        <w:rPr>
          <w:sz w:val="24"/>
          <w:szCs w:val="24"/>
        </w:rPr>
        <w:t xml:space="preserve"> and capitalizing opportunity </w:t>
      </w:r>
      <w:r w:rsidR="006D7827">
        <w:rPr>
          <w:sz w:val="24"/>
          <w:szCs w:val="24"/>
        </w:rPr>
        <w:t>and ensure that these three key managerial concepts work in unison to achieve a greater level of profitability and performance</w:t>
      </w:r>
      <w:r w:rsidRPr="00480059">
        <w:rPr>
          <w:sz w:val="24"/>
          <w:szCs w:val="24"/>
        </w:rPr>
        <w:t xml:space="preserve"> in the coming year. </w:t>
      </w:r>
      <w:bookmarkStart w:id="15" w:name="_Toc5348070"/>
    </w:p>
    <w:p w14:paraId="5577F42E" w14:textId="77777777" w:rsidR="00497A3F" w:rsidRPr="00497A3F" w:rsidRDefault="00497A3F" w:rsidP="00497A3F">
      <w:bookmarkStart w:id="16" w:name="_GoBack"/>
      <w:bookmarkEnd w:id="16"/>
    </w:p>
    <w:p w14:paraId="67CF37EC" w14:textId="2115F427" w:rsidR="009324A6" w:rsidRDefault="009324A6" w:rsidP="009324A6">
      <w:pPr>
        <w:pStyle w:val="Heading1"/>
      </w:pPr>
      <w:bookmarkStart w:id="17" w:name="_Toc7186200"/>
      <w:r>
        <w:lastRenderedPageBreak/>
        <w:t>Reference List</w:t>
      </w:r>
      <w:bookmarkEnd w:id="15"/>
      <w:bookmarkEnd w:id="17"/>
    </w:p>
    <w:p w14:paraId="13A14934" w14:textId="77777777" w:rsidR="00A77FC5" w:rsidRDefault="00A77FC5" w:rsidP="00A77FC5"/>
    <w:p w14:paraId="4B83D041"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Almutawa, Zeyad, 2016. THE EFFECT OF HUMAN RESOURCE MANAGEMENT SYSTEM ON EMPLOYEES’ COMMITMENT: THE MEDIATING ROLE OF THE AMO MODEL. </w:t>
      </w:r>
      <w:r w:rsidRPr="005574A5">
        <w:rPr>
          <w:rFonts w:asciiTheme="minorHAnsi" w:hAnsiTheme="minorHAnsi" w:cstheme="minorHAnsi"/>
          <w:i/>
          <w:iCs/>
          <w:sz w:val="24"/>
          <w:szCs w:val="24"/>
          <w:lang w:val="en"/>
        </w:rPr>
        <w:t>Journal of Developing Areas</w:t>
      </w:r>
      <w:r w:rsidRPr="005574A5">
        <w:rPr>
          <w:rFonts w:asciiTheme="minorHAnsi" w:hAnsiTheme="minorHAnsi" w:cstheme="minorHAnsi"/>
          <w:sz w:val="24"/>
          <w:szCs w:val="24"/>
          <w:lang w:val="en"/>
        </w:rPr>
        <w:t>, 50(6), pp.17–30.</w:t>
      </w:r>
    </w:p>
    <w:p w14:paraId="1AD923EF"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rPr>
        <w:t xml:space="preserve">America’s SBDC. (2013) </w:t>
      </w:r>
      <w:r w:rsidRPr="005574A5">
        <w:rPr>
          <w:rFonts w:asciiTheme="minorHAnsi" w:hAnsiTheme="minorHAnsi" w:cstheme="minorHAnsi"/>
          <w:i/>
          <w:sz w:val="24"/>
          <w:szCs w:val="24"/>
        </w:rPr>
        <w:t>“How can Businesses protect themselves during a recession”</w:t>
      </w:r>
      <w:r w:rsidRPr="005574A5">
        <w:rPr>
          <w:rFonts w:asciiTheme="minorHAnsi" w:hAnsiTheme="minorHAnsi" w:cstheme="minorHAnsi"/>
          <w:sz w:val="24"/>
          <w:szCs w:val="24"/>
        </w:rPr>
        <w:t xml:space="preserve">, [Online]. Available: </w:t>
      </w:r>
      <w:hyperlink r:id="rId14" w:history="1">
        <w:r w:rsidRPr="005574A5">
          <w:rPr>
            <w:rStyle w:val="Hyperlink"/>
            <w:rFonts w:asciiTheme="minorHAnsi" w:hAnsiTheme="minorHAnsi" w:cstheme="minorHAnsi"/>
            <w:sz w:val="24"/>
            <w:szCs w:val="24"/>
          </w:rPr>
          <w:t>https://americassbdc.org/how-can-businesses-protect-themselves-during-a-recession/</w:t>
        </w:r>
      </w:hyperlink>
      <w:r w:rsidRPr="005574A5">
        <w:rPr>
          <w:rFonts w:asciiTheme="minorHAnsi" w:hAnsiTheme="minorHAnsi" w:cstheme="minorHAnsi"/>
          <w:sz w:val="24"/>
          <w:szCs w:val="24"/>
        </w:rPr>
        <w:t xml:space="preserve">, [2019, March 04]. </w:t>
      </w:r>
    </w:p>
    <w:p w14:paraId="174444E5"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kern w:val="36"/>
          <w:sz w:val="24"/>
          <w:szCs w:val="24"/>
          <w:lang w:val="en-US"/>
        </w:rPr>
        <w:t xml:space="preserve">Armstrong, M. (2008, p.90) </w:t>
      </w:r>
      <w:r w:rsidRPr="005574A5">
        <w:rPr>
          <w:rFonts w:asciiTheme="minorHAnsi" w:hAnsiTheme="minorHAnsi" w:cstheme="minorHAnsi"/>
          <w:i/>
          <w:kern w:val="36"/>
          <w:sz w:val="24"/>
          <w:szCs w:val="24"/>
          <w:lang w:val="en-US"/>
        </w:rPr>
        <w:t>“Managing Performance”</w:t>
      </w:r>
      <w:r w:rsidRPr="005574A5">
        <w:rPr>
          <w:rFonts w:asciiTheme="minorHAnsi" w:hAnsiTheme="minorHAnsi" w:cstheme="minorHAnsi"/>
          <w:kern w:val="36"/>
          <w:sz w:val="24"/>
          <w:szCs w:val="24"/>
          <w:lang w:val="en-US"/>
        </w:rPr>
        <w:t xml:space="preserve">, London: Kogan Page Ltd. </w:t>
      </w:r>
    </w:p>
    <w:p w14:paraId="3113BA18"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rPr>
        <w:t xml:space="preserve">Atrill, P  &amp; McLaney, E. (2008, p.12) </w:t>
      </w:r>
      <w:r w:rsidRPr="005574A5">
        <w:rPr>
          <w:rFonts w:asciiTheme="minorHAnsi" w:hAnsiTheme="minorHAnsi" w:cstheme="minorHAnsi"/>
          <w:i/>
          <w:sz w:val="24"/>
          <w:szCs w:val="24"/>
        </w:rPr>
        <w:t>“Accounting and Finance for Non-specialists”</w:t>
      </w:r>
      <w:r w:rsidRPr="005574A5">
        <w:rPr>
          <w:rFonts w:asciiTheme="minorHAnsi" w:hAnsiTheme="minorHAnsi" w:cstheme="minorHAnsi"/>
          <w:sz w:val="24"/>
          <w:szCs w:val="24"/>
        </w:rPr>
        <w:t>, (6</w:t>
      </w:r>
      <w:r w:rsidRPr="005574A5">
        <w:rPr>
          <w:rFonts w:asciiTheme="minorHAnsi" w:hAnsiTheme="minorHAnsi" w:cstheme="minorHAnsi"/>
          <w:sz w:val="24"/>
          <w:szCs w:val="24"/>
          <w:vertAlign w:val="superscript"/>
        </w:rPr>
        <w:t>th</w:t>
      </w:r>
      <w:r w:rsidRPr="005574A5">
        <w:rPr>
          <w:rFonts w:asciiTheme="minorHAnsi" w:hAnsiTheme="minorHAnsi" w:cstheme="minorHAnsi"/>
          <w:sz w:val="24"/>
          <w:szCs w:val="24"/>
        </w:rPr>
        <w:t xml:space="preserve"> Ed), Harlow: Pearson Education Limited. </w:t>
      </w:r>
    </w:p>
    <w:p w14:paraId="5CD6E756"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rPr>
        <w:t xml:space="preserve">Atrill, P  &amp; McLaney, E. (2008, p.211) </w:t>
      </w:r>
      <w:r w:rsidRPr="005574A5">
        <w:rPr>
          <w:rFonts w:asciiTheme="minorHAnsi" w:hAnsiTheme="minorHAnsi" w:cstheme="minorHAnsi"/>
          <w:i/>
          <w:sz w:val="24"/>
          <w:szCs w:val="24"/>
        </w:rPr>
        <w:t>“Financial Accounting for Decision Makers”</w:t>
      </w:r>
      <w:r w:rsidRPr="005574A5">
        <w:rPr>
          <w:rFonts w:asciiTheme="minorHAnsi" w:hAnsiTheme="minorHAnsi" w:cstheme="minorHAnsi"/>
          <w:sz w:val="24"/>
          <w:szCs w:val="24"/>
        </w:rPr>
        <w:t>, (5</w:t>
      </w:r>
      <w:r w:rsidRPr="005574A5">
        <w:rPr>
          <w:rFonts w:asciiTheme="minorHAnsi" w:hAnsiTheme="minorHAnsi" w:cstheme="minorHAnsi"/>
          <w:sz w:val="24"/>
          <w:szCs w:val="24"/>
          <w:vertAlign w:val="superscript"/>
        </w:rPr>
        <w:t>th</w:t>
      </w:r>
      <w:r w:rsidRPr="005574A5">
        <w:rPr>
          <w:rFonts w:asciiTheme="minorHAnsi" w:hAnsiTheme="minorHAnsi" w:cstheme="minorHAnsi"/>
          <w:sz w:val="24"/>
          <w:szCs w:val="24"/>
        </w:rPr>
        <w:t xml:space="preserve"> Ed), Harlow: Pearson Education Limited. </w:t>
      </w:r>
    </w:p>
    <w:p w14:paraId="3B75A60F"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rPr>
        <w:t xml:space="preserve">Butler, S. (2016) </w:t>
      </w:r>
      <w:r w:rsidRPr="005574A5">
        <w:rPr>
          <w:rFonts w:asciiTheme="minorHAnsi" w:hAnsiTheme="minorHAnsi" w:cstheme="minorHAnsi"/>
          <w:i/>
          <w:sz w:val="24"/>
          <w:szCs w:val="24"/>
        </w:rPr>
        <w:t>“UK s</w:t>
      </w:r>
      <w:r>
        <w:rPr>
          <w:rFonts w:asciiTheme="minorHAnsi" w:hAnsiTheme="minorHAnsi" w:cstheme="minorHAnsi"/>
          <w:i/>
          <w:sz w:val="24"/>
          <w:szCs w:val="24"/>
        </w:rPr>
        <w:t>t</w:t>
      </w:r>
      <w:r w:rsidRPr="005574A5">
        <w:rPr>
          <w:rFonts w:asciiTheme="minorHAnsi" w:hAnsiTheme="minorHAnsi" w:cstheme="minorHAnsi"/>
          <w:i/>
          <w:sz w:val="24"/>
          <w:szCs w:val="24"/>
        </w:rPr>
        <w:t>aycations grow in strength as pound weakens”,</w:t>
      </w:r>
      <w:r w:rsidRPr="005574A5">
        <w:rPr>
          <w:rFonts w:asciiTheme="minorHAnsi" w:hAnsiTheme="minorHAnsi" w:cstheme="minorHAnsi"/>
          <w:sz w:val="24"/>
          <w:szCs w:val="24"/>
        </w:rPr>
        <w:t xml:space="preserve"> [Online]. Available: </w:t>
      </w:r>
      <w:hyperlink r:id="rId15" w:history="1">
        <w:r w:rsidRPr="005574A5">
          <w:rPr>
            <w:rStyle w:val="Hyperlink"/>
            <w:rFonts w:asciiTheme="minorHAnsi" w:hAnsiTheme="minorHAnsi" w:cstheme="minorHAnsi"/>
            <w:sz w:val="24"/>
            <w:szCs w:val="24"/>
          </w:rPr>
          <w:t>https://www.theguardian.com/business/2016/aug/26/uk-staycations-grow-in-strength-as-pound-weakens</w:t>
        </w:r>
      </w:hyperlink>
      <w:r w:rsidRPr="005574A5">
        <w:rPr>
          <w:rFonts w:asciiTheme="minorHAnsi" w:hAnsiTheme="minorHAnsi" w:cstheme="minorHAnsi"/>
          <w:sz w:val="24"/>
          <w:szCs w:val="24"/>
        </w:rPr>
        <w:t xml:space="preserve">, [2019, March 25]. </w:t>
      </w:r>
    </w:p>
    <w:p w14:paraId="2B7062CB"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Deloitte (2018) </w:t>
      </w:r>
      <w:r w:rsidRPr="005574A5">
        <w:rPr>
          <w:rFonts w:asciiTheme="minorHAnsi" w:hAnsiTheme="minorHAnsi" w:cstheme="minorHAnsi"/>
          <w:i/>
          <w:sz w:val="24"/>
          <w:szCs w:val="24"/>
          <w:lang w:val="en"/>
        </w:rPr>
        <w:t>“Consumer confidence grows but spending stutters”,</w:t>
      </w:r>
      <w:r w:rsidRPr="005574A5">
        <w:rPr>
          <w:rFonts w:asciiTheme="minorHAnsi" w:hAnsiTheme="minorHAnsi" w:cstheme="minorHAnsi"/>
          <w:sz w:val="24"/>
          <w:szCs w:val="24"/>
          <w:lang w:val="en"/>
        </w:rPr>
        <w:t xml:space="preserve"> [Online]. Available: </w:t>
      </w:r>
      <w:hyperlink r:id="rId16" w:history="1">
        <w:r w:rsidRPr="005574A5">
          <w:rPr>
            <w:rStyle w:val="Hyperlink"/>
            <w:rFonts w:asciiTheme="minorHAnsi" w:hAnsiTheme="minorHAnsi" w:cstheme="minorHAnsi"/>
            <w:sz w:val="24"/>
            <w:szCs w:val="24"/>
            <w:lang w:val="en"/>
          </w:rPr>
          <w:t>https://www2.deloitte.com/uk/en/pages/press-releases/articles/deloitte-consumer-tracker-q1-2018.html</w:t>
        </w:r>
      </w:hyperlink>
      <w:r w:rsidRPr="005574A5">
        <w:rPr>
          <w:rFonts w:asciiTheme="minorHAnsi" w:hAnsiTheme="minorHAnsi" w:cstheme="minorHAnsi"/>
          <w:sz w:val="24"/>
          <w:szCs w:val="24"/>
          <w:lang w:val="en"/>
        </w:rPr>
        <w:t xml:space="preserve">, [2019, March 18]. </w:t>
      </w:r>
    </w:p>
    <w:p w14:paraId="118ADB51"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rPr>
        <w:t xml:space="preserve">Elliott, B &amp; Elliott, J. (2012, p.72) </w:t>
      </w:r>
      <w:r w:rsidRPr="005574A5">
        <w:rPr>
          <w:rFonts w:asciiTheme="minorHAnsi" w:hAnsiTheme="minorHAnsi" w:cstheme="minorHAnsi"/>
          <w:i/>
          <w:sz w:val="24"/>
          <w:szCs w:val="24"/>
        </w:rPr>
        <w:t>“Financial Accounting and Reporting”</w:t>
      </w:r>
      <w:r w:rsidRPr="005574A5">
        <w:rPr>
          <w:rFonts w:asciiTheme="minorHAnsi" w:hAnsiTheme="minorHAnsi" w:cstheme="minorHAnsi"/>
          <w:sz w:val="24"/>
          <w:szCs w:val="24"/>
        </w:rPr>
        <w:t>, (15</w:t>
      </w:r>
      <w:r w:rsidRPr="005574A5">
        <w:rPr>
          <w:rFonts w:asciiTheme="minorHAnsi" w:hAnsiTheme="minorHAnsi" w:cstheme="minorHAnsi"/>
          <w:sz w:val="24"/>
          <w:szCs w:val="24"/>
          <w:vertAlign w:val="superscript"/>
        </w:rPr>
        <w:t>th</w:t>
      </w:r>
      <w:r w:rsidRPr="005574A5">
        <w:rPr>
          <w:rFonts w:asciiTheme="minorHAnsi" w:hAnsiTheme="minorHAnsi" w:cstheme="minorHAnsi"/>
          <w:sz w:val="24"/>
          <w:szCs w:val="24"/>
        </w:rPr>
        <w:t xml:space="preserve"> Ed), Harlow: Pearson Education Limited. </w:t>
      </w:r>
    </w:p>
    <w:p w14:paraId="170C768A"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rPr>
        <w:t xml:space="preserve">Elliott, L. (2017) </w:t>
      </w:r>
      <w:r w:rsidRPr="005574A5">
        <w:rPr>
          <w:rFonts w:asciiTheme="minorHAnsi" w:hAnsiTheme="minorHAnsi" w:cstheme="minorHAnsi"/>
          <w:i/>
          <w:sz w:val="24"/>
          <w:szCs w:val="24"/>
        </w:rPr>
        <w:t>“Falling real wages show the British economy is still struggling”,</w:t>
      </w:r>
      <w:r w:rsidRPr="005574A5">
        <w:rPr>
          <w:rFonts w:asciiTheme="minorHAnsi" w:hAnsiTheme="minorHAnsi" w:cstheme="minorHAnsi"/>
          <w:sz w:val="24"/>
          <w:szCs w:val="24"/>
        </w:rPr>
        <w:t xml:space="preserve"> [Online]. Available: </w:t>
      </w:r>
      <w:hyperlink r:id="rId17" w:history="1">
        <w:r w:rsidRPr="005574A5">
          <w:rPr>
            <w:rStyle w:val="Hyperlink"/>
            <w:rFonts w:asciiTheme="minorHAnsi" w:hAnsiTheme="minorHAnsi" w:cstheme="minorHAnsi"/>
            <w:sz w:val="24"/>
            <w:szCs w:val="24"/>
          </w:rPr>
          <w:t>https://www.theguardian.com/business/2017/may/07/falling-real-pay-shows-the-british-economy-is-still-struggling</w:t>
        </w:r>
      </w:hyperlink>
      <w:r w:rsidRPr="005574A5">
        <w:rPr>
          <w:rFonts w:asciiTheme="minorHAnsi" w:hAnsiTheme="minorHAnsi" w:cstheme="minorHAnsi"/>
          <w:sz w:val="24"/>
          <w:szCs w:val="24"/>
        </w:rPr>
        <w:t xml:space="preserve">, [2019, April 23]. </w:t>
      </w:r>
    </w:p>
    <w:p w14:paraId="542C43E1"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rPr>
        <w:t xml:space="preserve">Elliott, L. (2018) </w:t>
      </w:r>
      <w:r w:rsidRPr="005574A5">
        <w:rPr>
          <w:rFonts w:asciiTheme="minorHAnsi" w:hAnsiTheme="minorHAnsi" w:cstheme="minorHAnsi"/>
          <w:i/>
          <w:sz w:val="24"/>
          <w:szCs w:val="24"/>
        </w:rPr>
        <w:t>“Never mind the Brexit sideshow – recession is the real worry”</w:t>
      </w:r>
      <w:r w:rsidRPr="005574A5">
        <w:rPr>
          <w:rFonts w:asciiTheme="minorHAnsi" w:hAnsiTheme="minorHAnsi" w:cstheme="minorHAnsi"/>
          <w:sz w:val="24"/>
          <w:szCs w:val="24"/>
        </w:rPr>
        <w:t xml:space="preserve">, [Online]. Available: </w:t>
      </w:r>
      <w:hyperlink r:id="rId18" w:history="1">
        <w:r w:rsidRPr="005574A5">
          <w:rPr>
            <w:rStyle w:val="Hyperlink"/>
            <w:rFonts w:asciiTheme="minorHAnsi" w:hAnsiTheme="minorHAnsi" w:cstheme="minorHAnsi"/>
            <w:sz w:val="24"/>
            <w:szCs w:val="24"/>
          </w:rPr>
          <w:t>https://www.theguardian.com/business/2018/dec/09/never-mind-the-brexit-sideshow-recession-is-the-real-worry</w:t>
        </w:r>
      </w:hyperlink>
      <w:r w:rsidRPr="005574A5">
        <w:rPr>
          <w:rFonts w:asciiTheme="minorHAnsi" w:hAnsiTheme="minorHAnsi" w:cstheme="minorHAnsi"/>
          <w:sz w:val="24"/>
          <w:szCs w:val="24"/>
        </w:rPr>
        <w:t xml:space="preserve">, [2019, March 04]. </w:t>
      </w:r>
    </w:p>
    <w:p w14:paraId="4134EDF9"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rPr>
        <w:t xml:space="preserve">Equality and Diversity Commission (2019) </w:t>
      </w:r>
      <w:r w:rsidRPr="005574A5">
        <w:rPr>
          <w:rFonts w:asciiTheme="minorHAnsi" w:hAnsiTheme="minorHAnsi" w:cstheme="minorHAnsi"/>
          <w:i/>
          <w:sz w:val="24"/>
          <w:szCs w:val="24"/>
        </w:rPr>
        <w:t>“Why is equal pay important?</w:t>
      </w:r>
      <w:r w:rsidRPr="005574A5">
        <w:rPr>
          <w:rFonts w:asciiTheme="minorHAnsi" w:hAnsiTheme="minorHAnsi" w:cstheme="minorHAnsi"/>
          <w:sz w:val="24"/>
          <w:szCs w:val="24"/>
        </w:rPr>
        <w:t xml:space="preserve">”, [Online]. Available: </w:t>
      </w:r>
      <w:hyperlink r:id="rId19" w:history="1">
        <w:r w:rsidRPr="005574A5">
          <w:rPr>
            <w:rStyle w:val="Hyperlink"/>
            <w:rFonts w:asciiTheme="minorHAnsi" w:hAnsiTheme="minorHAnsi" w:cstheme="minorHAnsi"/>
            <w:sz w:val="24"/>
            <w:szCs w:val="24"/>
          </w:rPr>
          <w:t>https://www.equalityhumanrights.com/en/advice-and-guidance/why-equal-pay-important</w:t>
        </w:r>
      </w:hyperlink>
      <w:r w:rsidRPr="005574A5">
        <w:rPr>
          <w:rFonts w:asciiTheme="minorHAnsi" w:hAnsiTheme="minorHAnsi" w:cstheme="minorHAnsi"/>
          <w:sz w:val="24"/>
          <w:szCs w:val="24"/>
        </w:rPr>
        <w:t xml:space="preserve">, [Accessed: March 27, 2019]. </w:t>
      </w:r>
    </w:p>
    <w:p w14:paraId="269A3E21"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kern w:val="36"/>
          <w:sz w:val="24"/>
          <w:szCs w:val="24"/>
          <w:lang w:val="en-US"/>
        </w:rPr>
        <w:t xml:space="preserve">Henderson, I. (2008, p.80) </w:t>
      </w:r>
      <w:r w:rsidRPr="005574A5">
        <w:rPr>
          <w:rFonts w:asciiTheme="minorHAnsi" w:hAnsiTheme="minorHAnsi" w:cstheme="minorHAnsi"/>
          <w:i/>
          <w:kern w:val="36"/>
          <w:sz w:val="24"/>
          <w:szCs w:val="24"/>
          <w:lang w:val="en-US"/>
        </w:rPr>
        <w:t>“Human Resource Management for MBA students”,</w:t>
      </w:r>
      <w:r w:rsidRPr="005574A5">
        <w:rPr>
          <w:rFonts w:asciiTheme="minorHAnsi" w:hAnsiTheme="minorHAnsi" w:cstheme="minorHAnsi"/>
          <w:kern w:val="36"/>
          <w:sz w:val="24"/>
          <w:szCs w:val="24"/>
          <w:lang w:val="en-US"/>
        </w:rPr>
        <w:t xml:space="preserve"> London: Chartered Institute of Personnel and Development. </w:t>
      </w:r>
    </w:p>
    <w:p w14:paraId="064E3535"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lang w:val="en"/>
        </w:rPr>
        <w:lastRenderedPageBreak/>
        <w:t xml:space="preserve">Lee, Hyung-Woo, 2019. Moderators of the Motivational Effects of Performance Management: A Comprehensive Exploration Based on Expectancy Theory. </w:t>
      </w:r>
      <w:r w:rsidRPr="005574A5">
        <w:rPr>
          <w:rFonts w:asciiTheme="minorHAnsi" w:hAnsiTheme="minorHAnsi" w:cstheme="minorHAnsi"/>
          <w:i/>
          <w:iCs/>
          <w:sz w:val="24"/>
          <w:szCs w:val="24"/>
          <w:lang w:val="en"/>
        </w:rPr>
        <w:t>Public Personnel Management</w:t>
      </w:r>
      <w:r w:rsidRPr="005574A5">
        <w:rPr>
          <w:rFonts w:asciiTheme="minorHAnsi" w:hAnsiTheme="minorHAnsi" w:cstheme="minorHAnsi"/>
          <w:sz w:val="24"/>
          <w:szCs w:val="24"/>
          <w:lang w:val="en"/>
        </w:rPr>
        <w:t>, 48(1), pp.27–56.</w:t>
      </w:r>
    </w:p>
    <w:p w14:paraId="015BF518"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LONG, B.D., 2000. The triumph of monetarism? </w:t>
      </w:r>
      <w:r w:rsidRPr="005574A5">
        <w:rPr>
          <w:rFonts w:asciiTheme="minorHAnsi" w:hAnsiTheme="minorHAnsi" w:cstheme="minorHAnsi"/>
          <w:i/>
          <w:iCs/>
          <w:sz w:val="24"/>
          <w:szCs w:val="24"/>
          <w:lang w:val="en"/>
        </w:rPr>
        <w:t xml:space="preserve">The Journal of Economic Perspectives, </w:t>
      </w:r>
      <w:r w:rsidRPr="005574A5">
        <w:rPr>
          <w:rFonts w:asciiTheme="minorHAnsi" w:hAnsiTheme="minorHAnsi" w:cstheme="minorHAnsi"/>
          <w:b/>
          <w:bCs/>
          <w:sz w:val="24"/>
          <w:szCs w:val="24"/>
          <w:lang w:val="en"/>
        </w:rPr>
        <w:t>14</w:t>
      </w:r>
      <w:r w:rsidRPr="005574A5">
        <w:rPr>
          <w:rFonts w:asciiTheme="minorHAnsi" w:hAnsiTheme="minorHAnsi" w:cstheme="minorHAnsi"/>
          <w:sz w:val="24"/>
          <w:szCs w:val="24"/>
          <w:lang w:val="en"/>
        </w:rPr>
        <w:t>(1), pp. 83-94.</w:t>
      </w:r>
    </w:p>
    <w:p w14:paraId="3FD64E18"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Maté Trujillo &amp; Mylopoulos, 2017. Specification and derivation of key performance indicators for business analytics: A semantic approach. </w:t>
      </w:r>
      <w:r w:rsidRPr="005574A5">
        <w:rPr>
          <w:rFonts w:asciiTheme="minorHAnsi" w:hAnsiTheme="minorHAnsi" w:cstheme="minorHAnsi"/>
          <w:i/>
          <w:iCs/>
          <w:sz w:val="24"/>
          <w:szCs w:val="24"/>
          <w:lang w:val="en"/>
        </w:rPr>
        <w:t>Data &amp; Knowledge Engineering</w:t>
      </w:r>
      <w:r w:rsidRPr="005574A5">
        <w:rPr>
          <w:rFonts w:asciiTheme="minorHAnsi" w:hAnsiTheme="minorHAnsi" w:cstheme="minorHAnsi"/>
          <w:sz w:val="24"/>
          <w:szCs w:val="24"/>
          <w:lang w:val="en"/>
        </w:rPr>
        <w:t>, 108, pp.30–49.</w:t>
      </w:r>
    </w:p>
    <w:p w14:paraId="1B7EC74A"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McCombie, J. S. L. and Spreafico, M. R. M. (2018) ‘Brexit and its possible implications for the UK economy and its regions: A post‐Keynesian perspective’, </w:t>
      </w:r>
      <w:r w:rsidRPr="005574A5">
        <w:rPr>
          <w:rFonts w:asciiTheme="minorHAnsi" w:hAnsiTheme="minorHAnsi" w:cstheme="minorHAnsi"/>
          <w:i/>
          <w:iCs/>
          <w:sz w:val="24"/>
          <w:szCs w:val="24"/>
          <w:lang w:val="en"/>
        </w:rPr>
        <w:t>Papers in Regional Science</w:t>
      </w:r>
      <w:r w:rsidRPr="005574A5">
        <w:rPr>
          <w:rFonts w:asciiTheme="minorHAnsi" w:hAnsiTheme="minorHAnsi" w:cstheme="minorHAnsi"/>
          <w:sz w:val="24"/>
          <w:szCs w:val="24"/>
          <w:lang w:val="en"/>
        </w:rPr>
        <w:t>,</w:t>
      </w:r>
      <w:r w:rsidRPr="005574A5">
        <w:rPr>
          <w:rFonts w:asciiTheme="minorHAnsi" w:hAnsiTheme="minorHAnsi" w:cstheme="minorHAnsi"/>
          <w:b/>
          <w:sz w:val="24"/>
          <w:szCs w:val="24"/>
          <w:lang w:val="en"/>
        </w:rPr>
        <w:t xml:space="preserve"> 97</w:t>
      </w:r>
      <w:r w:rsidRPr="005574A5">
        <w:rPr>
          <w:rFonts w:asciiTheme="minorHAnsi" w:hAnsiTheme="minorHAnsi" w:cstheme="minorHAnsi"/>
          <w:sz w:val="24"/>
          <w:szCs w:val="24"/>
          <w:lang w:val="en"/>
        </w:rPr>
        <w:t>(1), pp. 133–149.</w:t>
      </w:r>
    </w:p>
    <w:p w14:paraId="69B01548"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rPr>
        <w:t xml:space="preserve">Merlin Entertainments annual accounts (2016) </w:t>
      </w:r>
      <w:r w:rsidRPr="005574A5">
        <w:rPr>
          <w:rFonts w:asciiTheme="minorHAnsi" w:hAnsiTheme="minorHAnsi" w:cstheme="minorHAnsi"/>
          <w:i/>
          <w:sz w:val="24"/>
          <w:szCs w:val="24"/>
        </w:rPr>
        <w:t>“Merlin Entertainments: Annual accounts and report 2016”,</w:t>
      </w:r>
      <w:r w:rsidRPr="005574A5">
        <w:rPr>
          <w:rFonts w:asciiTheme="minorHAnsi" w:hAnsiTheme="minorHAnsi" w:cstheme="minorHAnsi"/>
          <w:sz w:val="24"/>
          <w:szCs w:val="24"/>
        </w:rPr>
        <w:t xml:space="preserve"> [Online]. Available: </w:t>
      </w:r>
      <w:hyperlink r:id="rId20" w:history="1">
        <w:r w:rsidRPr="005574A5">
          <w:rPr>
            <w:rStyle w:val="Hyperlink"/>
            <w:rFonts w:asciiTheme="minorHAnsi" w:hAnsiTheme="minorHAnsi" w:cstheme="minorHAnsi"/>
            <w:sz w:val="24"/>
            <w:szCs w:val="24"/>
          </w:rPr>
          <w:t>https://moodle.uwtsd.ac.uk/pluginfile.php/241740/mod_resource/content/1/merlin%20entertainment%20annual%20accounts.pdf</w:t>
        </w:r>
      </w:hyperlink>
      <w:r w:rsidRPr="005574A5">
        <w:rPr>
          <w:rFonts w:asciiTheme="minorHAnsi" w:hAnsiTheme="minorHAnsi" w:cstheme="minorHAnsi"/>
          <w:sz w:val="24"/>
          <w:szCs w:val="24"/>
        </w:rPr>
        <w:t xml:space="preserve">, [2019, April 24]. </w:t>
      </w:r>
    </w:p>
    <w:p w14:paraId="232D5C3A" w14:textId="77777777" w:rsidR="006406FA" w:rsidRDefault="006406FA" w:rsidP="005574A5">
      <w:pPr>
        <w:pStyle w:val="ListParagraph"/>
        <w:numPr>
          <w:ilvl w:val="0"/>
          <w:numId w:val="2"/>
        </w:numPr>
        <w:spacing w:line="360" w:lineRule="auto"/>
        <w:rPr>
          <w:rFonts w:asciiTheme="minorHAnsi" w:hAnsiTheme="minorHAnsi" w:cstheme="minorHAnsi"/>
          <w:sz w:val="24"/>
          <w:szCs w:val="24"/>
        </w:rPr>
      </w:pPr>
      <w:r>
        <w:rPr>
          <w:rFonts w:asciiTheme="minorHAnsi" w:hAnsiTheme="minorHAnsi" w:cstheme="minorHAnsi"/>
          <w:sz w:val="24"/>
          <w:szCs w:val="24"/>
        </w:rPr>
        <w:t xml:space="preserve">Millian, V. (2018) </w:t>
      </w:r>
      <w:r w:rsidRPr="006406FA">
        <w:rPr>
          <w:rFonts w:asciiTheme="minorHAnsi" w:hAnsiTheme="minorHAnsi" w:cstheme="minorHAnsi"/>
          <w:i/>
          <w:sz w:val="24"/>
          <w:szCs w:val="24"/>
        </w:rPr>
        <w:t>“How the collaboration between HR and finance can improve business”</w:t>
      </w:r>
      <w:r>
        <w:rPr>
          <w:rFonts w:asciiTheme="minorHAnsi" w:hAnsiTheme="minorHAnsi" w:cstheme="minorHAnsi"/>
          <w:sz w:val="24"/>
          <w:szCs w:val="24"/>
        </w:rPr>
        <w:t xml:space="preserve">, [Online]. Available: </w:t>
      </w:r>
      <w:hyperlink r:id="rId21" w:history="1">
        <w:r w:rsidRPr="003D6A56">
          <w:rPr>
            <w:rStyle w:val="Hyperlink"/>
            <w:rFonts w:asciiTheme="minorHAnsi" w:hAnsiTheme="minorHAnsi" w:cstheme="minorHAnsi"/>
            <w:sz w:val="24"/>
            <w:szCs w:val="24"/>
          </w:rPr>
          <w:t>https://www.adp.com/spark/articles/2018/12/how-the-collaboration-between-hr-and-finance-can-improve-business.aspx</w:t>
        </w:r>
      </w:hyperlink>
      <w:r>
        <w:rPr>
          <w:rFonts w:asciiTheme="minorHAnsi" w:hAnsiTheme="minorHAnsi" w:cstheme="minorHAnsi"/>
          <w:sz w:val="24"/>
          <w:szCs w:val="24"/>
        </w:rPr>
        <w:t xml:space="preserve">, [2019, April 26]. </w:t>
      </w:r>
    </w:p>
    <w:p w14:paraId="1E37D438"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lang w:val="en"/>
        </w:rPr>
      </w:pPr>
      <w:r w:rsidRPr="005574A5">
        <w:rPr>
          <w:rFonts w:asciiTheme="minorHAnsi" w:hAnsiTheme="minorHAnsi" w:cstheme="minorHAnsi"/>
          <w:sz w:val="24"/>
          <w:szCs w:val="24"/>
          <w:lang w:val="en"/>
        </w:rPr>
        <w:t xml:space="preserve">Nguyen et al., 2015. Brand innovation and social media: Knowledge acquisition from social media, market orientation, and the moderating role of social media strategic capability. </w:t>
      </w:r>
      <w:r w:rsidRPr="005574A5">
        <w:rPr>
          <w:rFonts w:asciiTheme="minorHAnsi" w:hAnsiTheme="minorHAnsi" w:cstheme="minorHAnsi"/>
          <w:i/>
          <w:iCs/>
          <w:sz w:val="24"/>
          <w:szCs w:val="24"/>
          <w:lang w:val="en"/>
        </w:rPr>
        <w:t>Industrial Marketing Management</w:t>
      </w:r>
      <w:r w:rsidRPr="005574A5">
        <w:rPr>
          <w:rFonts w:asciiTheme="minorHAnsi" w:hAnsiTheme="minorHAnsi" w:cstheme="minorHAnsi"/>
          <w:sz w:val="24"/>
          <w:szCs w:val="24"/>
          <w:lang w:val="en"/>
        </w:rPr>
        <w:t xml:space="preserve">, </w:t>
      </w:r>
      <w:r w:rsidRPr="005574A5">
        <w:rPr>
          <w:rFonts w:asciiTheme="minorHAnsi" w:hAnsiTheme="minorHAnsi" w:cstheme="minorHAnsi"/>
          <w:b/>
          <w:sz w:val="24"/>
          <w:szCs w:val="24"/>
          <w:lang w:val="en"/>
        </w:rPr>
        <w:t>51</w:t>
      </w:r>
      <w:r w:rsidRPr="005574A5">
        <w:rPr>
          <w:rFonts w:asciiTheme="minorHAnsi" w:hAnsiTheme="minorHAnsi" w:cstheme="minorHAnsi"/>
          <w:sz w:val="24"/>
          <w:szCs w:val="24"/>
          <w:lang w:val="en"/>
        </w:rPr>
        <w:t>(C), pp.11–25.</w:t>
      </w:r>
    </w:p>
    <w:p w14:paraId="5ED53631"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Office for National Statistics (2018) “Internet access – households and individuals, Great Britain: 2018”, [Online]. Available: </w:t>
      </w:r>
      <w:hyperlink r:id="rId22" w:history="1">
        <w:r w:rsidRPr="005574A5">
          <w:rPr>
            <w:rStyle w:val="Hyperlink"/>
            <w:rFonts w:asciiTheme="minorHAnsi" w:hAnsiTheme="minorHAnsi" w:cstheme="minorHAnsi"/>
            <w:sz w:val="24"/>
            <w:szCs w:val="24"/>
            <w:lang w:val="en"/>
          </w:rPr>
          <w:t>https://www.ons.gov.uk/peoplepopulationandcommunity/householdcharacteristics/homeinternetandsocialmediausage/bulletins/internetaccesshouseholdsandindividuals/2018</w:t>
        </w:r>
      </w:hyperlink>
      <w:r w:rsidRPr="005574A5">
        <w:rPr>
          <w:rFonts w:asciiTheme="minorHAnsi" w:hAnsiTheme="minorHAnsi" w:cstheme="minorHAnsi"/>
          <w:sz w:val="24"/>
          <w:szCs w:val="24"/>
          <w:lang w:val="en"/>
        </w:rPr>
        <w:t xml:space="preserve">, [2019, March 05]. </w:t>
      </w:r>
    </w:p>
    <w:p w14:paraId="348CEB70"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rPr>
        <w:t xml:space="preserve">Pendlebury, M &amp; Groves, R. (2001, p.23) </w:t>
      </w:r>
      <w:r w:rsidRPr="005574A5">
        <w:rPr>
          <w:rFonts w:asciiTheme="minorHAnsi" w:hAnsiTheme="minorHAnsi" w:cstheme="minorHAnsi"/>
          <w:i/>
          <w:sz w:val="24"/>
          <w:szCs w:val="24"/>
        </w:rPr>
        <w:t>“Company Accounts: Analysis, interpretation and understanding”</w:t>
      </w:r>
      <w:r w:rsidRPr="005574A5">
        <w:rPr>
          <w:rFonts w:asciiTheme="minorHAnsi" w:hAnsiTheme="minorHAnsi" w:cstheme="minorHAnsi"/>
          <w:sz w:val="24"/>
          <w:szCs w:val="24"/>
        </w:rPr>
        <w:t>, (5</w:t>
      </w:r>
      <w:r w:rsidRPr="005574A5">
        <w:rPr>
          <w:rFonts w:asciiTheme="minorHAnsi" w:hAnsiTheme="minorHAnsi" w:cstheme="minorHAnsi"/>
          <w:sz w:val="24"/>
          <w:szCs w:val="24"/>
          <w:vertAlign w:val="superscript"/>
        </w:rPr>
        <w:t>th</w:t>
      </w:r>
      <w:r w:rsidRPr="005574A5">
        <w:rPr>
          <w:rFonts w:asciiTheme="minorHAnsi" w:hAnsiTheme="minorHAnsi" w:cstheme="minorHAnsi"/>
          <w:sz w:val="24"/>
          <w:szCs w:val="24"/>
        </w:rPr>
        <w:t xml:space="preserve"> Ed), High Holborn: Thomson Learning. </w:t>
      </w:r>
    </w:p>
    <w:p w14:paraId="1D310846"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rPr>
        <w:t>Price, A. (2007, p.193), “</w:t>
      </w:r>
      <w:r w:rsidRPr="005574A5">
        <w:rPr>
          <w:rFonts w:asciiTheme="minorHAnsi" w:hAnsiTheme="minorHAnsi" w:cstheme="minorHAnsi"/>
          <w:i/>
          <w:sz w:val="24"/>
          <w:szCs w:val="24"/>
        </w:rPr>
        <w:t>Human Resource Management in a Business Context”</w:t>
      </w:r>
      <w:r w:rsidRPr="005574A5">
        <w:rPr>
          <w:rFonts w:asciiTheme="minorHAnsi" w:hAnsiTheme="minorHAnsi" w:cstheme="minorHAnsi"/>
          <w:sz w:val="24"/>
          <w:szCs w:val="24"/>
        </w:rPr>
        <w:t>, (3</w:t>
      </w:r>
      <w:r w:rsidRPr="005574A5">
        <w:rPr>
          <w:rFonts w:asciiTheme="minorHAnsi" w:hAnsiTheme="minorHAnsi" w:cstheme="minorHAnsi"/>
          <w:sz w:val="24"/>
          <w:szCs w:val="24"/>
          <w:vertAlign w:val="superscript"/>
        </w:rPr>
        <w:t>rd</w:t>
      </w:r>
      <w:r w:rsidRPr="005574A5">
        <w:rPr>
          <w:rFonts w:asciiTheme="minorHAnsi" w:hAnsiTheme="minorHAnsi" w:cstheme="minorHAnsi"/>
          <w:sz w:val="24"/>
          <w:szCs w:val="24"/>
        </w:rPr>
        <w:t xml:space="preserve"> Ed), London: Thomson Learning. </w:t>
      </w:r>
    </w:p>
    <w:p w14:paraId="7D171E12"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Primary Facts  (2014) </w:t>
      </w:r>
      <w:r w:rsidRPr="00ED489F">
        <w:rPr>
          <w:rFonts w:asciiTheme="minorHAnsi" w:hAnsiTheme="minorHAnsi" w:cstheme="minorHAnsi"/>
          <w:i/>
          <w:sz w:val="24"/>
          <w:szCs w:val="24"/>
        </w:rPr>
        <w:t>“Alton Towers Facts and Information”</w:t>
      </w:r>
      <w:r>
        <w:rPr>
          <w:rFonts w:asciiTheme="minorHAnsi" w:hAnsiTheme="minorHAnsi" w:cstheme="minorHAnsi"/>
          <w:sz w:val="24"/>
          <w:szCs w:val="24"/>
        </w:rPr>
        <w:t xml:space="preserve">, [Online]. Available: </w:t>
      </w:r>
      <w:hyperlink r:id="rId23" w:history="1">
        <w:r w:rsidRPr="007C1721">
          <w:rPr>
            <w:rStyle w:val="Hyperlink"/>
            <w:rFonts w:asciiTheme="minorHAnsi" w:hAnsiTheme="minorHAnsi" w:cstheme="minorHAnsi"/>
            <w:sz w:val="24"/>
            <w:szCs w:val="24"/>
          </w:rPr>
          <w:t>http://primaryfacts.com/4789/alton-towers-facts-and-information/</w:t>
        </w:r>
      </w:hyperlink>
      <w:r>
        <w:rPr>
          <w:rFonts w:asciiTheme="minorHAnsi" w:hAnsiTheme="minorHAnsi" w:cstheme="minorHAnsi"/>
          <w:sz w:val="24"/>
          <w:szCs w:val="24"/>
        </w:rPr>
        <w:t xml:space="preserve">, [2019, April 24]. </w:t>
      </w:r>
    </w:p>
    <w:p w14:paraId="7AE9A507"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Rade Stanković Milan Velimirović &amp; Dragana Velimirović 2011. ROLE AND IMPORTANCE OF KEY PERFORMANCE INDICATORS MEASUREMENT. </w:t>
      </w:r>
      <w:r w:rsidRPr="005574A5">
        <w:rPr>
          <w:rFonts w:asciiTheme="minorHAnsi" w:hAnsiTheme="minorHAnsi" w:cstheme="minorHAnsi"/>
          <w:i/>
          <w:iCs/>
          <w:sz w:val="24"/>
          <w:szCs w:val="24"/>
          <w:lang w:val="en"/>
        </w:rPr>
        <w:t>Serbian Journal of Management</w:t>
      </w:r>
      <w:r w:rsidRPr="005574A5">
        <w:rPr>
          <w:rFonts w:asciiTheme="minorHAnsi" w:hAnsiTheme="minorHAnsi" w:cstheme="minorHAnsi"/>
          <w:sz w:val="24"/>
          <w:szCs w:val="24"/>
          <w:lang w:val="en"/>
        </w:rPr>
        <w:t xml:space="preserve">, </w:t>
      </w:r>
      <w:r w:rsidRPr="005574A5">
        <w:rPr>
          <w:rFonts w:asciiTheme="minorHAnsi" w:hAnsiTheme="minorHAnsi" w:cstheme="minorHAnsi"/>
          <w:b/>
          <w:sz w:val="24"/>
          <w:szCs w:val="24"/>
          <w:lang w:val="en"/>
        </w:rPr>
        <w:t>6</w:t>
      </w:r>
      <w:r w:rsidRPr="005574A5">
        <w:rPr>
          <w:rFonts w:asciiTheme="minorHAnsi" w:hAnsiTheme="minorHAnsi" w:cstheme="minorHAnsi"/>
          <w:sz w:val="24"/>
          <w:szCs w:val="24"/>
          <w:lang w:val="en"/>
        </w:rPr>
        <w:t>(1), pp.63–72.</w:t>
      </w:r>
    </w:p>
    <w:p w14:paraId="706CED8F"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Sharma, A.  2016. Managing diversity and equality in the workplace. </w:t>
      </w:r>
      <w:r w:rsidRPr="005574A5">
        <w:rPr>
          <w:rFonts w:asciiTheme="minorHAnsi" w:hAnsiTheme="minorHAnsi" w:cstheme="minorHAnsi"/>
          <w:i/>
          <w:iCs/>
          <w:sz w:val="24"/>
          <w:szCs w:val="24"/>
          <w:lang w:val="en"/>
        </w:rPr>
        <w:t>Cogent Business &amp; Management</w:t>
      </w:r>
      <w:r w:rsidRPr="005574A5">
        <w:rPr>
          <w:rFonts w:asciiTheme="minorHAnsi" w:hAnsiTheme="minorHAnsi" w:cstheme="minorHAnsi"/>
          <w:sz w:val="24"/>
          <w:szCs w:val="24"/>
          <w:lang w:val="en"/>
        </w:rPr>
        <w:t xml:space="preserve">, 3(1), pp.2. </w:t>
      </w:r>
    </w:p>
    <w:p w14:paraId="1DE27612"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sz w:val="24"/>
          <w:szCs w:val="24"/>
          <w:lang w:val="en"/>
        </w:rPr>
        <w:t xml:space="preserve">Silverman, R. (2018) </w:t>
      </w:r>
      <w:r w:rsidRPr="005574A5">
        <w:rPr>
          <w:rFonts w:asciiTheme="minorHAnsi" w:hAnsiTheme="minorHAnsi" w:cstheme="minorHAnsi"/>
          <w:i/>
          <w:sz w:val="24"/>
          <w:szCs w:val="24"/>
          <w:lang w:val="en"/>
        </w:rPr>
        <w:t>“The British companies with no gender pay gap – and how they did it”</w:t>
      </w:r>
      <w:r w:rsidRPr="005574A5">
        <w:rPr>
          <w:rFonts w:asciiTheme="minorHAnsi" w:hAnsiTheme="minorHAnsi" w:cstheme="minorHAnsi"/>
          <w:sz w:val="24"/>
          <w:szCs w:val="24"/>
          <w:lang w:val="en"/>
        </w:rPr>
        <w:t xml:space="preserve">, [Online]. Available: </w:t>
      </w:r>
      <w:hyperlink r:id="rId24" w:history="1">
        <w:r w:rsidRPr="005574A5">
          <w:rPr>
            <w:rStyle w:val="Hyperlink"/>
            <w:rFonts w:asciiTheme="minorHAnsi" w:eastAsiaTheme="minorEastAsia" w:hAnsiTheme="minorHAnsi" w:cstheme="minorHAnsi"/>
            <w:sz w:val="24"/>
            <w:szCs w:val="24"/>
            <w:lang w:val="en"/>
          </w:rPr>
          <w:t>https://www.telegraph.co.uk/women/life/british-companies-no-gender-pay-gap-did/</w:t>
        </w:r>
      </w:hyperlink>
      <w:r w:rsidRPr="005574A5">
        <w:rPr>
          <w:rFonts w:asciiTheme="minorHAnsi" w:hAnsiTheme="minorHAnsi" w:cstheme="minorHAnsi"/>
          <w:sz w:val="24"/>
          <w:szCs w:val="24"/>
          <w:lang w:val="en"/>
        </w:rPr>
        <w:t xml:space="preserve">, [2019, April 24]. </w:t>
      </w:r>
    </w:p>
    <w:p w14:paraId="13D85267"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proofErr w:type="spellStart"/>
      <w:r w:rsidRPr="005574A5">
        <w:rPr>
          <w:rFonts w:asciiTheme="minorHAnsi" w:hAnsiTheme="minorHAnsi" w:cstheme="minorHAnsi"/>
          <w:sz w:val="24"/>
          <w:szCs w:val="24"/>
        </w:rPr>
        <w:t>Smykal</w:t>
      </w:r>
      <w:proofErr w:type="spellEnd"/>
      <w:r w:rsidRPr="005574A5">
        <w:rPr>
          <w:rFonts w:asciiTheme="minorHAnsi" w:hAnsiTheme="minorHAnsi" w:cstheme="minorHAnsi"/>
          <w:sz w:val="24"/>
          <w:szCs w:val="24"/>
        </w:rPr>
        <w:t xml:space="preserve">, E. (2015) </w:t>
      </w:r>
      <w:r w:rsidRPr="005574A5">
        <w:rPr>
          <w:rFonts w:asciiTheme="minorHAnsi" w:hAnsiTheme="minorHAnsi" w:cstheme="minorHAnsi"/>
          <w:i/>
          <w:sz w:val="24"/>
          <w:szCs w:val="24"/>
        </w:rPr>
        <w:t>“</w:t>
      </w:r>
      <w:r w:rsidRPr="005574A5">
        <w:rPr>
          <w:rFonts w:asciiTheme="minorHAnsi" w:hAnsiTheme="minorHAnsi" w:cstheme="minorHAnsi"/>
          <w:i/>
          <w:kern w:val="36"/>
          <w:sz w:val="24"/>
          <w:szCs w:val="24"/>
          <w:lang w:val="en-US"/>
        </w:rPr>
        <w:t>Why Hiring for Cultural Fit Might Not Be the Right Strategy”,</w:t>
      </w:r>
      <w:r w:rsidRPr="005574A5">
        <w:rPr>
          <w:rFonts w:asciiTheme="minorHAnsi" w:hAnsiTheme="minorHAnsi" w:cstheme="minorHAnsi"/>
          <w:kern w:val="36"/>
          <w:sz w:val="24"/>
          <w:szCs w:val="24"/>
          <w:lang w:val="en-US"/>
        </w:rPr>
        <w:t xml:space="preserve"> [Online]. Available: </w:t>
      </w:r>
      <w:hyperlink r:id="rId25" w:history="1">
        <w:r w:rsidRPr="005574A5">
          <w:rPr>
            <w:rStyle w:val="Hyperlink"/>
            <w:rFonts w:asciiTheme="minorHAnsi" w:eastAsiaTheme="minorEastAsia" w:hAnsiTheme="minorHAnsi" w:cstheme="minorHAnsi"/>
            <w:kern w:val="36"/>
            <w:sz w:val="24"/>
            <w:szCs w:val="24"/>
          </w:rPr>
          <w:t>https://www.jibe.com/blog/why-hiring-for-cultural-fit-might-not-be-the-right-strategy/</w:t>
        </w:r>
      </w:hyperlink>
      <w:r w:rsidRPr="005574A5">
        <w:rPr>
          <w:rFonts w:asciiTheme="minorHAnsi" w:hAnsiTheme="minorHAnsi" w:cstheme="minorHAnsi"/>
          <w:kern w:val="36"/>
          <w:sz w:val="24"/>
          <w:szCs w:val="24"/>
          <w:lang w:val="en-US"/>
        </w:rPr>
        <w:t xml:space="preserve">, [Accessed: April 09, 2019]. </w:t>
      </w:r>
    </w:p>
    <w:p w14:paraId="6CDE064B"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proofErr w:type="spellStart"/>
      <w:r w:rsidRPr="005574A5">
        <w:rPr>
          <w:rFonts w:asciiTheme="minorHAnsi" w:hAnsiTheme="minorHAnsi" w:cstheme="minorHAnsi"/>
          <w:sz w:val="24"/>
          <w:szCs w:val="24"/>
          <w:lang w:val="en"/>
        </w:rPr>
        <w:t>Stoilkovska</w:t>
      </w:r>
      <w:proofErr w:type="spellEnd"/>
      <w:r w:rsidRPr="005574A5">
        <w:rPr>
          <w:rFonts w:asciiTheme="minorHAnsi" w:hAnsiTheme="minorHAnsi" w:cstheme="minorHAnsi"/>
          <w:sz w:val="24"/>
          <w:szCs w:val="24"/>
          <w:lang w:val="en"/>
        </w:rPr>
        <w:t xml:space="preserve">, A., Ilieva, J. &amp; Gjakovski, S., 2015. EQUAL EMPLOYMENT OPPORTUNITIES IN THE RECRUITMENT AND SELECTION PROCESS OF HUMAN RESOURCES. </w:t>
      </w:r>
      <w:r w:rsidRPr="005574A5">
        <w:rPr>
          <w:rFonts w:asciiTheme="minorHAnsi" w:hAnsiTheme="minorHAnsi" w:cstheme="minorHAnsi"/>
          <w:i/>
          <w:iCs/>
          <w:sz w:val="24"/>
          <w:szCs w:val="24"/>
          <w:lang w:val="en"/>
        </w:rPr>
        <w:t>UTMS Journal of Economics</w:t>
      </w:r>
      <w:r w:rsidRPr="005574A5">
        <w:rPr>
          <w:rFonts w:asciiTheme="minorHAnsi" w:hAnsiTheme="minorHAnsi" w:cstheme="minorHAnsi"/>
          <w:sz w:val="24"/>
          <w:szCs w:val="24"/>
          <w:lang w:val="en"/>
        </w:rPr>
        <w:t>, 6(2), pp.281–292.</w:t>
      </w:r>
    </w:p>
    <w:p w14:paraId="1CA45306" w14:textId="77777777" w:rsidR="006406FA" w:rsidRPr="005574A5" w:rsidRDefault="006406FA" w:rsidP="005574A5">
      <w:pPr>
        <w:pStyle w:val="ListParagraph"/>
        <w:numPr>
          <w:ilvl w:val="0"/>
          <w:numId w:val="2"/>
        </w:numPr>
        <w:spacing w:after="165" w:line="360" w:lineRule="auto"/>
        <w:rPr>
          <w:rFonts w:asciiTheme="minorHAnsi" w:hAnsiTheme="minorHAnsi" w:cstheme="minorHAnsi"/>
          <w:sz w:val="24"/>
          <w:szCs w:val="24"/>
        </w:rPr>
      </w:pPr>
      <w:r w:rsidRPr="005574A5">
        <w:rPr>
          <w:rFonts w:asciiTheme="minorHAnsi" w:hAnsiTheme="minorHAnsi" w:cstheme="minorHAnsi"/>
          <w:kern w:val="36"/>
          <w:sz w:val="24"/>
          <w:szCs w:val="24"/>
          <w:lang w:val="en-US"/>
        </w:rPr>
        <w:t xml:space="preserve">Torrington, D &amp; Hall, L &amp; Taylor, S &amp; Atkinson, C. (2009, p. 47) </w:t>
      </w:r>
      <w:r w:rsidRPr="005574A5">
        <w:rPr>
          <w:rFonts w:asciiTheme="minorHAnsi" w:hAnsiTheme="minorHAnsi" w:cstheme="minorHAnsi"/>
          <w:i/>
          <w:kern w:val="36"/>
          <w:sz w:val="24"/>
          <w:szCs w:val="24"/>
          <w:lang w:val="en-US"/>
        </w:rPr>
        <w:t>“Fundamentals of Human Resource Management”</w:t>
      </w:r>
      <w:r w:rsidRPr="005574A5">
        <w:rPr>
          <w:rFonts w:asciiTheme="minorHAnsi" w:hAnsiTheme="minorHAnsi" w:cstheme="minorHAnsi"/>
          <w:kern w:val="36"/>
          <w:sz w:val="24"/>
          <w:szCs w:val="24"/>
          <w:lang w:val="en-US"/>
        </w:rPr>
        <w:t xml:space="preserve">, Harlow: Pearson Education Limited. </w:t>
      </w:r>
    </w:p>
    <w:p w14:paraId="6711D6AF" w14:textId="77777777" w:rsidR="006406FA" w:rsidRPr="005574A5"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rPr>
        <w:t xml:space="preserve">Waller, J. (2018) </w:t>
      </w:r>
      <w:r w:rsidRPr="005574A5">
        <w:rPr>
          <w:rFonts w:asciiTheme="minorHAnsi" w:hAnsiTheme="minorHAnsi" w:cstheme="minorHAnsi"/>
          <w:i/>
          <w:sz w:val="24"/>
          <w:szCs w:val="24"/>
        </w:rPr>
        <w:t>“The new laws which are coming into force in 2019 – and how they will affect you”,</w:t>
      </w:r>
      <w:r w:rsidRPr="005574A5">
        <w:rPr>
          <w:rFonts w:asciiTheme="minorHAnsi" w:hAnsiTheme="minorHAnsi" w:cstheme="minorHAnsi"/>
          <w:sz w:val="24"/>
          <w:szCs w:val="24"/>
        </w:rPr>
        <w:t xml:space="preserve"> [Online]. Available: </w:t>
      </w:r>
      <w:hyperlink r:id="rId26" w:history="1">
        <w:r w:rsidRPr="005574A5">
          <w:rPr>
            <w:rStyle w:val="Hyperlink"/>
            <w:rFonts w:asciiTheme="minorHAnsi" w:hAnsiTheme="minorHAnsi" w:cstheme="minorHAnsi"/>
            <w:sz w:val="24"/>
            <w:szCs w:val="24"/>
          </w:rPr>
          <w:t>https://www.manchestereveningnews.co.uk/news/uk-news/new-laws-coming-force-2019-15562458</w:t>
        </w:r>
      </w:hyperlink>
      <w:r w:rsidRPr="005574A5">
        <w:rPr>
          <w:rFonts w:asciiTheme="minorHAnsi" w:hAnsiTheme="minorHAnsi" w:cstheme="minorHAnsi"/>
          <w:sz w:val="24"/>
          <w:szCs w:val="24"/>
        </w:rPr>
        <w:t xml:space="preserve">, [2019, March 05]. </w:t>
      </w:r>
    </w:p>
    <w:p w14:paraId="3265D8AF" w14:textId="77777777" w:rsidR="006406FA" w:rsidRDefault="006406FA" w:rsidP="005574A5">
      <w:pPr>
        <w:pStyle w:val="ListParagraph"/>
        <w:numPr>
          <w:ilvl w:val="0"/>
          <w:numId w:val="2"/>
        </w:numPr>
        <w:spacing w:line="360" w:lineRule="auto"/>
        <w:rPr>
          <w:rFonts w:asciiTheme="minorHAnsi" w:hAnsiTheme="minorHAnsi" w:cstheme="minorHAnsi"/>
          <w:sz w:val="24"/>
          <w:szCs w:val="24"/>
        </w:rPr>
      </w:pPr>
      <w:r w:rsidRPr="005574A5">
        <w:rPr>
          <w:rFonts w:asciiTheme="minorHAnsi" w:hAnsiTheme="minorHAnsi" w:cstheme="minorHAnsi"/>
          <w:sz w:val="24"/>
          <w:szCs w:val="24"/>
        </w:rPr>
        <w:t xml:space="preserve">WWF (2018) </w:t>
      </w:r>
      <w:r w:rsidRPr="005574A5">
        <w:rPr>
          <w:rFonts w:asciiTheme="minorHAnsi" w:hAnsiTheme="minorHAnsi" w:cstheme="minorHAnsi"/>
          <w:i/>
          <w:sz w:val="24"/>
          <w:szCs w:val="24"/>
        </w:rPr>
        <w:t>“Budget 2018: Urgency needed to tackle the plastic crisis”</w:t>
      </w:r>
      <w:r w:rsidRPr="005574A5">
        <w:rPr>
          <w:rFonts w:asciiTheme="minorHAnsi" w:hAnsiTheme="minorHAnsi" w:cstheme="minorHAnsi"/>
          <w:sz w:val="24"/>
          <w:szCs w:val="24"/>
        </w:rPr>
        <w:t xml:space="preserve">, [Online]. Available: </w:t>
      </w:r>
      <w:hyperlink r:id="rId27" w:history="1">
        <w:r w:rsidRPr="005574A5">
          <w:rPr>
            <w:rStyle w:val="Hyperlink"/>
            <w:rFonts w:asciiTheme="minorHAnsi" w:hAnsiTheme="minorHAnsi" w:cstheme="minorHAnsi"/>
            <w:sz w:val="24"/>
            <w:szCs w:val="24"/>
          </w:rPr>
          <w:t>https://www.wwf.org.uk/updates/budget-2018-urgency-needed-tackle-plastic-crisis</w:t>
        </w:r>
      </w:hyperlink>
      <w:r w:rsidRPr="005574A5">
        <w:rPr>
          <w:rFonts w:asciiTheme="minorHAnsi" w:hAnsiTheme="minorHAnsi" w:cstheme="minorHAnsi"/>
          <w:sz w:val="24"/>
          <w:szCs w:val="24"/>
        </w:rPr>
        <w:t xml:space="preserve">, [2019, March 05]. </w:t>
      </w:r>
    </w:p>
    <w:p w14:paraId="2E7D0882" w14:textId="77777777" w:rsidR="00293823" w:rsidRDefault="00293823" w:rsidP="005574A5">
      <w:pPr>
        <w:pStyle w:val="ListParagraph"/>
        <w:spacing w:line="360" w:lineRule="auto"/>
        <w:rPr>
          <w:rFonts w:asciiTheme="minorHAnsi" w:hAnsiTheme="minorHAnsi" w:cstheme="minorHAnsi"/>
          <w:sz w:val="24"/>
          <w:szCs w:val="24"/>
        </w:rPr>
      </w:pPr>
    </w:p>
    <w:p w14:paraId="1C596792" w14:textId="77777777" w:rsidR="000D1A77" w:rsidRDefault="000D1A77" w:rsidP="000D1A77">
      <w:pPr>
        <w:rPr>
          <w:rFonts w:cstheme="minorHAnsi"/>
          <w:sz w:val="24"/>
          <w:szCs w:val="24"/>
        </w:rPr>
      </w:pPr>
    </w:p>
    <w:p w14:paraId="2D821C05" w14:textId="77777777" w:rsidR="00A77FC5" w:rsidRDefault="00A77FC5" w:rsidP="00A77FC5"/>
    <w:p w14:paraId="7379B445" w14:textId="77777777" w:rsidR="00A77FC5" w:rsidRDefault="00A77FC5" w:rsidP="00A77FC5"/>
    <w:p w14:paraId="1F05ADB6" w14:textId="77777777" w:rsidR="00A77FC5" w:rsidRDefault="00A77FC5" w:rsidP="00A77FC5"/>
    <w:p w14:paraId="37E5CF4C" w14:textId="77777777" w:rsidR="00A77FC5" w:rsidRDefault="00A77FC5" w:rsidP="00A77FC5"/>
    <w:p w14:paraId="064E6896" w14:textId="77777777" w:rsidR="00A77FC5" w:rsidRDefault="00A77FC5" w:rsidP="00A77FC5"/>
    <w:p w14:paraId="090EEB08" w14:textId="77777777" w:rsidR="00A77FC5" w:rsidRDefault="00A77FC5" w:rsidP="00A77FC5"/>
    <w:p w14:paraId="1C5B4FA6" w14:textId="77777777" w:rsidR="00A77FC5" w:rsidRDefault="00A77FC5" w:rsidP="00A77FC5"/>
    <w:p w14:paraId="46B05B71" w14:textId="77777777" w:rsidR="00A77FC5" w:rsidRDefault="00A77FC5" w:rsidP="00A77FC5"/>
    <w:p w14:paraId="76B0C6CE" w14:textId="77777777" w:rsidR="00A77FC5" w:rsidRDefault="00A77FC5" w:rsidP="00A77FC5"/>
    <w:p w14:paraId="76C7B4FC" w14:textId="2991A8EF" w:rsidR="00A77FC5" w:rsidRDefault="00A77FC5" w:rsidP="00A77FC5">
      <w:pPr>
        <w:pStyle w:val="Heading1"/>
      </w:pPr>
      <w:bookmarkStart w:id="18" w:name="_Toc5348071"/>
      <w:bookmarkStart w:id="19" w:name="_Toc7186201"/>
      <w:r>
        <w:t>Appendix</w:t>
      </w:r>
      <w:bookmarkEnd w:id="18"/>
      <w:bookmarkEnd w:id="19"/>
    </w:p>
    <w:p w14:paraId="540A9D15" w14:textId="36391AAD" w:rsidR="00AA165A" w:rsidRDefault="00AA165A" w:rsidP="0069346A">
      <w:pPr>
        <w:pStyle w:val="Heading2"/>
      </w:pPr>
    </w:p>
    <w:p w14:paraId="47C135D7" w14:textId="08708C0F" w:rsidR="00AA165A" w:rsidRDefault="00AA165A" w:rsidP="0069346A">
      <w:pPr>
        <w:pStyle w:val="Heading2"/>
      </w:pPr>
      <w:bookmarkStart w:id="20" w:name="_Toc7186202"/>
      <w:r>
        <w:t>Appendix A: PESTLE analysis</w:t>
      </w:r>
      <w:bookmarkEnd w:id="20"/>
    </w:p>
    <w:p w14:paraId="60B9D6CA" w14:textId="5471FE30" w:rsidR="00AA165A" w:rsidRDefault="00AA165A" w:rsidP="00AA165A"/>
    <w:p w14:paraId="34316C7A" w14:textId="73DD1B1B"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 xml:space="preserve">Political: </w:t>
      </w:r>
      <w:r w:rsidRPr="0005383A">
        <w:rPr>
          <w:rFonts w:cstheme="minorHAnsi"/>
          <w:sz w:val="24"/>
          <w:szCs w:val="24"/>
        </w:rPr>
        <w:t>Brexit – could affect exchange rate which could damage supply and demand. Could cause a fall in real wage. Could cause depreciation which might affect value of assets or of goods being purchased. May be more difficult to import goods.</w:t>
      </w:r>
    </w:p>
    <w:p w14:paraId="1BB3CB4F" w14:textId="6389DC7F"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Economic:</w:t>
      </w:r>
      <w:r w:rsidR="0069346A" w:rsidRPr="0005383A">
        <w:rPr>
          <w:rFonts w:cstheme="minorHAnsi"/>
          <w:color w:val="FF0000"/>
          <w:sz w:val="24"/>
          <w:szCs w:val="24"/>
        </w:rPr>
        <w:t xml:space="preserve"> </w:t>
      </w:r>
      <w:r w:rsidR="0069346A" w:rsidRPr="0005383A">
        <w:rPr>
          <w:rFonts w:cstheme="minorHAnsi"/>
          <w:sz w:val="24"/>
          <w:szCs w:val="24"/>
        </w:rPr>
        <w:t xml:space="preserve">Possible financial recession – this would mean people have less disposable income and may be less likely to spend. It may then cause a decrease in profits and so company will have to retain profits in other areas. </w:t>
      </w:r>
    </w:p>
    <w:p w14:paraId="013D68C8" w14:textId="7D5CE55B"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Social:</w:t>
      </w:r>
      <w:r w:rsidR="0069346A" w:rsidRPr="0005383A">
        <w:rPr>
          <w:rFonts w:cstheme="minorHAnsi"/>
          <w:color w:val="FF0000"/>
          <w:sz w:val="24"/>
          <w:szCs w:val="24"/>
        </w:rPr>
        <w:t xml:space="preserve"> </w:t>
      </w:r>
      <w:r w:rsidR="0069346A" w:rsidRPr="0005383A">
        <w:rPr>
          <w:rFonts w:cstheme="minorHAnsi"/>
          <w:sz w:val="24"/>
          <w:szCs w:val="24"/>
        </w:rPr>
        <w:t xml:space="preserve">People spending more time on the internet, technology is advancing rapidly. Alton towers needs to adapt with technology in order to continue to reach wider audience. Also, to remain competitive in the industry. </w:t>
      </w:r>
    </w:p>
    <w:p w14:paraId="46BEDDB8" w14:textId="6E5656F2"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Technological:</w:t>
      </w:r>
      <w:r w:rsidR="0069346A" w:rsidRPr="0005383A">
        <w:rPr>
          <w:rFonts w:cstheme="minorHAnsi"/>
          <w:color w:val="FF0000"/>
          <w:sz w:val="24"/>
          <w:szCs w:val="24"/>
        </w:rPr>
        <w:t xml:space="preserve"> </w:t>
      </w:r>
      <w:r w:rsidR="0069346A" w:rsidRPr="0005383A">
        <w:rPr>
          <w:rFonts w:cstheme="minorHAnsi"/>
          <w:sz w:val="24"/>
          <w:szCs w:val="24"/>
        </w:rPr>
        <w:t>People spending more time on the internet, technology is advancing rapidly. Alton towers needs to adapt with technology in order to continue to reach wider audience. Also, to remain competitive in the industry.</w:t>
      </w:r>
    </w:p>
    <w:p w14:paraId="3465A628" w14:textId="0908CF3F"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Legal:</w:t>
      </w:r>
      <w:r w:rsidR="0069346A" w:rsidRPr="0005383A">
        <w:rPr>
          <w:rFonts w:cstheme="minorHAnsi"/>
          <w:color w:val="FF0000"/>
          <w:sz w:val="24"/>
          <w:szCs w:val="24"/>
        </w:rPr>
        <w:t xml:space="preserve"> </w:t>
      </w:r>
      <w:r w:rsidR="0069346A" w:rsidRPr="0005383A">
        <w:rPr>
          <w:rFonts w:cstheme="minorHAnsi"/>
          <w:sz w:val="24"/>
          <w:szCs w:val="24"/>
        </w:rPr>
        <w:t xml:space="preserve">Laws have recently changed. Companies with over 200 employees now have to publish gender pay gap. If the gender pay gap is high this may cause reputational damage. Living wage has also increased. This means staff will have to be paid more. Alton towers will have to manage increasing income to balance the now further outgoing. </w:t>
      </w:r>
    </w:p>
    <w:p w14:paraId="50751F53" w14:textId="0C185890"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 xml:space="preserve">Environmental: </w:t>
      </w:r>
      <w:r w:rsidR="0069346A" w:rsidRPr="0005383A">
        <w:rPr>
          <w:rFonts w:cstheme="minorHAnsi"/>
          <w:sz w:val="24"/>
          <w:szCs w:val="24"/>
        </w:rPr>
        <w:t xml:space="preserve">Plastic crisis. Customers now more aware of plastic use and wanting to reduce it. Increase awareness on climate change and pollution. Alton towers needs to be seen to be adhering to improving the environment to maintain a good environmental reputation. </w:t>
      </w:r>
    </w:p>
    <w:p w14:paraId="77BD8D34" w14:textId="3DDEF735" w:rsidR="00AA165A" w:rsidRPr="0005383A" w:rsidRDefault="00AA165A" w:rsidP="0005383A">
      <w:pPr>
        <w:spacing w:line="360" w:lineRule="auto"/>
        <w:jc w:val="both"/>
        <w:rPr>
          <w:rFonts w:cstheme="minorHAnsi"/>
          <w:sz w:val="24"/>
          <w:szCs w:val="24"/>
        </w:rPr>
      </w:pPr>
    </w:p>
    <w:p w14:paraId="2DBE74B6" w14:textId="1D0A4470" w:rsidR="00AA165A" w:rsidRPr="0005383A" w:rsidRDefault="00AA165A" w:rsidP="0005383A">
      <w:pPr>
        <w:pStyle w:val="Heading2"/>
        <w:spacing w:line="360" w:lineRule="auto"/>
        <w:jc w:val="both"/>
        <w:rPr>
          <w:rFonts w:asciiTheme="minorHAnsi" w:hAnsiTheme="minorHAnsi" w:cstheme="minorHAnsi"/>
          <w:sz w:val="24"/>
          <w:szCs w:val="24"/>
        </w:rPr>
      </w:pPr>
      <w:bookmarkStart w:id="21" w:name="_Toc7186203"/>
      <w:r w:rsidRPr="0005383A">
        <w:rPr>
          <w:rFonts w:asciiTheme="minorHAnsi" w:hAnsiTheme="minorHAnsi" w:cstheme="minorHAnsi"/>
          <w:sz w:val="24"/>
          <w:szCs w:val="24"/>
        </w:rPr>
        <w:lastRenderedPageBreak/>
        <w:t>Appendix B: SWOT analysis</w:t>
      </w:r>
      <w:bookmarkEnd w:id="21"/>
      <w:r w:rsidRPr="0005383A">
        <w:rPr>
          <w:rFonts w:asciiTheme="minorHAnsi" w:hAnsiTheme="minorHAnsi" w:cstheme="minorHAnsi"/>
          <w:sz w:val="24"/>
          <w:szCs w:val="24"/>
        </w:rPr>
        <w:t xml:space="preserve"> </w:t>
      </w:r>
    </w:p>
    <w:p w14:paraId="2DF0320A" w14:textId="77777777" w:rsidR="0069346A" w:rsidRPr="0005383A" w:rsidRDefault="0069346A" w:rsidP="0005383A">
      <w:pPr>
        <w:spacing w:line="360" w:lineRule="auto"/>
        <w:jc w:val="both"/>
        <w:rPr>
          <w:rFonts w:cstheme="minorHAnsi"/>
          <w:sz w:val="24"/>
          <w:szCs w:val="24"/>
        </w:rPr>
      </w:pPr>
    </w:p>
    <w:p w14:paraId="714E7D4A" w14:textId="77777777"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 xml:space="preserve">Strengths: </w:t>
      </w:r>
      <w:r w:rsidRPr="0005383A">
        <w:rPr>
          <w:rFonts w:cstheme="minorHAnsi"/>
          <w:sz w:val="24"/>
          <w:szCs w:val="24"/>
        </w:rPr>
        <w:t>Strong brand name/ reputation =</w:t>
      </w:r>
      <w:r w:rsidRPr="0005383A">
        <w:rPr>
          <w:rFonts w:cstheme="minorHAnsi"/>
          <w:color w:val="FF0000"/>
          <w:sz w:val="24"/>
          <w:szCs w:val="24"/>
        </w:rPr>
        <w:t xml:space="preserve"> </w:t>
      </w:r>
      <w:r w:rsidRPr="0005383A">
        <w:rPr>
          <w:rFonts w:cstheme="minorHAnsi"/>
          <w:sz w:val="24"/>
          <w:szCs w:val="24"/>
        </w:rPr>
        <w:t xml:space="preserve">Ability to bounce back after ride crash which caused massive reputation damage due to the strong brand name, dealt with it professionally and efficiently. Park appeals to people of all ages and all types of people. Developing e-tickets. Has a large number of food outlets available in the parks. </w:t>
      </w:r>
    </w:p>
    <w:p w14:paraId="6B296C4D" w14:textId="77777777"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 xml:space="preserve">Weaknesses: </w:t>
      </w:r>
      <w:r w:rsidRPr="0005383A">
        <w:rPr>
          <w:rFonts w:cstheme="minorHAnsi"/>
          <w:sz w:val="24"/>
          <w:szCs w:val="24"/>
        </w:rPr>
        <w:t xml:space="preserve">Legal disputes over crash – fines that affected profits. Some people still hesitant to attend park over ride crash. Alton Towers is the most expensive theme park in the UK. Location – slightly out of the way, not great transport links. Can’t build rides over a certain height because of residents so they have to build down before building up which requires a lot of planning permission. Layout of park – quite spread out. </w:t>
      </w:r>
    </w:p>
    <w:p w14:paraId="2F2CBFE2" w14:textId="77777777"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 xml:space="preserve">Opportunity: </w:t>
      </w:r>
      <w:r w:rsidRPr="0005383A">
        <w:rPr>
          <w:rFonts w:cstheme="minorHAnsi"/>
          <w:sz w:val="24"/>
          <w:szCs w:val="24"/>
        </w:rPr>
        <w:t xml:space="preserve">Option for more recycling and green methods to lead the way for other large organisations. Option for more vegan restaurants as it’s becoming a trend and could be the first park to do this. Possibility of expansion due to location. As it’s a rural location – could use local farmers and produce to give back to the area. If harder to go abroad due to Brexit, more people may remain to Britain for holidays – could utilize this. </w:t>
      </w:r>
    </w:p>
    <w:p w14:paraId="62CA08F5" w14:textId="77777777" w:rsidR="00AA165A" w:rsidRPr="0005383A" w:rsidRDefault="00AA165A" w:rsidP="0005383A">
      <w:pPr>
        <w:spacing w:line="360" w:lineRule="auto"/>
        <w:jc w:val="both"/>
        <w:rPr>
          <w:rFonts w:cstheme="minorHAnsi"/>
          <w:sz w:val="24"/>
          <w:szCs w:val="24"/>
        </w:rPr>
      </w:pPr>
      <w:r w:rsidRPr="0005383A">
        <w:rPr>
          <w:rFonts w:cstheme="minorHAnsi"/>
          <w:color w:val="FF0000"/>
          <w:sz w:val="24"/>
          <w:szCs w:val="24"/>
        </w:rPr>
        <w:t xml:space="preserve">Threat: </w:t>
      </w:r>
      <w:r w:rsidRPr="0005383A">
        <w:rPr>
          <w:rFonts w:cstheme="minorHAnsi"/>
          <w:sz w:val="24"/>
          <w:szCs w:val="24"/>
        </w:rPr>
        <w:t xml:space="preserve">Weather conditions. Brexit. Other theme park competition. Articles online/on social media remaining online and re-occurring/ being re-shared and causing further damage to reputation. </w:t>
      </w:r>
    </w:p>
    <w:p w14:paraId="317BB153" w14:textId="77777777" w:rsidR="00AA165A" w:rsidRPr="0005383A" w:rsidRDefault="00AA165A" w:rsidP="00AA165A">
      <w:pPr>
        <w:rPr>
          <w:rFonts w:cstheme="minorHAnsi"/>
          <w:sz w:val="24"/>
          <w:szCs w:val="24"/>
        </w:rPr>
      </w:pPr>
    </w:p>
    <w:sectPr w:rsidR="00AA165A" w:rsidRPr="0005383A" w:rsidSect="0073241A">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8C869C" w14:textId="77777777" w:rsidR="002D4452" w:rsidRDefault="002D4452" w:rsidP="00A77FC5">
      <w:pPr>
        <w:spacing w:after="0" w:line="240" w:lineRule="auto"/>
      </w:pPr>
      <w:r>
        <w:separator/>
      </w:r>
    </w:p>
  </w:endnote>
  <w:endnote w:type="continuationSeparator" w:id="0">
    <w:p w14:paraId="06C3F448" w14:textId="77777777" w:rsidR="002D4452" w:rsidRDefault="002D4452"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14:paraId="23C03FE4" w14:textId="77777777" w:rsidR="00A77FC5" w:rsidRDefault="00A77FC5">
        <w:pPr>
          <w:pStyle w:val="Footer"/>
          <w:jc w:val="center"/>
        </w:pPr>
        <w:r>
          <w:fldChar w:fldCharType="begin"/>
        </w:r>
        <w:r>
          <w:instrText xml:space="preserve"> PAGE   \* MERGEFORMAT </w:instrText>
        </w:r>
        <w:r>
          <w:fldChar w:fldCharType="separate"/>
        </w:r>
        <w:r w:rsidR="00E150F5">
          <w:rPr>
            <w:noProof/>
          </w:rPr>
          <w:t>6</w:t>
        </w:r>
        <w:r>
          <w:rPr>
            <w:noProof/>
          </w:rPr>
          <w:fldChar w:fldCharType="end"/>
        </w:r>
      </w:p>
    </w:sdtContent>
  </w:sdt>
  <w:p w14:paraId="215FE007" w14:textId="77777777"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778FF" w14:textId="77777777" w:rsidR="002D4452" w:rsidRDefault="002D4452" w:rsidP="00A77FC5">
      <w:pPr>
        <w:spacing w:after="0" w:line="240" w:lineRule="auto"/>
      </w:pPr>
      <w:r>
        <w:separator/>
      </w:r>
    </w:p>
  </w:footnote>
  <w:footnote w:type="continuationSeparator" w:id="0">
    <w:p w14:paraId="0C8CD764" w14:textId="77777777" w:rsidR="002D4452" w:rsidRDefault="002D4452"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EC1E42"/>
    <w:multiLevelType w:val="hybridMultilevel"/>
    <w:tmpl w:val="1FBCC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872DE"/>
    <w:multiLevelType w:val="hybridMultilevel"/>
    <w:tmpl w:val="C196307A"/>
    <w:lvl w:ilvl="0" w:tplc="25E2B8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1257E"/>
    <w:multiLevelType w:val="hybridMultilevel"/>
    <w:tmpl w:val="3076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B30B07"/>
    <w:multiLevelType w:val="hybridMultilevel"/>
    <w:tmpl w:val="A5A415BC"/>
    <w:lvl w:ilvl="0" w:tplc="61F8C95E">
      <w:start w:val="1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D71619"/>
    <w:multiLevelType w:val="hybridMultilevel"/>
    <w:tmpl w:val="E87C6B6E"/>
    <w:lvl w:ilvl="0" w:tplc="F0269C64">
      <w:start w:val="1"/>
      <w:numFmt w:val="bullet"/>
      <w:lvlText w:val=""/>
      <w:lvlJc w:val="left"/>
      <w:pPr>
        <w:tabs>
          <w:tab w:val="num" w:pos="720"/>
        </w:tabs>
        <w:ind w:left="720" w:hanging="360"/>
      </w:pPr>
      <w:rPr>
        <w:rFonts w:ascii="Wingdings" w:hAnsi="Wingdings" w:hint="default"/>
      </w:rPr>
    </w:lvl>
    <w:lvl w:ilvl="1" w:tplc="2E7CA830" w:tentative="1">
      <w:start w:val="1"/>
      <w:numFmt w:val="bullet"/>
      <w:lvlText w:val=""/>
      <w:lvlJc w:val="left"/>
      <w:pPr>
        <w:tabs>
          <w:tab w:val="num" w:pos="1440"/>
        </w:tabs>
        <w:ind w:left="1440" w:hanging="360"/>
      </w:pPr>
      <w:rPr>
        <w:rFonts w:ascii="Wingdings" w:hAnsi="Wingdings" w:hint="default"/>
      </w:rPr>
    </w:lvl>
    <w:lvl w:ilvl="2" w:tplc="DF96FA10" w:tentative="1">
      <w:start w:val="1"/>
      <w:numFmt w:val="bullet"/>
      <w:lvlText w:val=""/>
      <w:lvlJc w:val="left"/>
      <w:pPr>
        <w:tabs>
          <w:tab w:val="num" w:pos="2160"/>
        </w:tabs>
        <w:ind w:left="2160" w:hanging="360"/>
      </w:pPr>
      <w:rPr>
        <w:rFonts w:ascii="Wingdings" w:hAnsi="Wingdings" w:hint="default"/>
      </w:rPr>
    </w:lvl>
    <w:lvl w:ilvl="3" w:tplc="E506D9B6" w:tentative="1">
      <w:start w:val="1"/>
      <w:numFmt w:val="bullet"/>
      <w:lvlText w:val=""/>
      <w:lvlJc w:val="left"/>
      <w:pPr>
        <w:tabs>
          <w:tab w:val="num" w:pos="2880"/>
        </w:tabs>
        <w:ind w:left="2880" w:hanging="360"/>
      </w:pPr>
      <w:rPr>
        <w:rFonts w:ascii="Wingdings" w:hAnsi="Wingdings" w:hint="default"/>
      </w:rPr>
    </w:lvl>
    <w:lvl w:ilvl="4" w:tplc="BEE03762" w:tentative="1">
      <w:start w:val="1"/>
      <w:numFmt w:val="bullet"/>
      <w:lvlText w:val=""/>
      <w:lvlJc w:val="left"/>
      <w:pPr>
        <w:tabs>
          <w:tab w:val="num" w:pos="3600"/>
        </w:tabs>
        <w:ind w:left="3600" w:hanging="360"/>
      </w:pPr>
      <w:rPr>
        <w:rFonts w:ascii="Wingdings" w:hAnsi="Wingdings" w:hint="default"/>
      </w:rPr>
    </w:lvl>
    <w:lvl w:ilvl="5" w:tplc="135E76CE" w:tentative="1">
      <w:start w:val="1"/>
      <w:numFmt w:val="bullet"/>
      <w:lvlText w:val=""/>
      <w:lvlJc w:val="left"/>
      <w:pPr>
        <w:tabs>
          <w:tab w:val="num" w:pos="4320"/>
        </w:tabs>
        <w:ind w:left="4320" w:hanging="360"/>
      </w:pPr>
      <w:rPr>
        <w:rFonts w:ascii="Wingdings" w:hAnsi="Wingdings" w:hint="default"/>
      </w:rPr>
    </w:lvl>
    <w:lvl w:ilvl="6" w:tplc="23EC7748" w:tentative="1">
      <w:start w:val="1"/>
      <w:numFmt w:val="bullet"/>
      <w:lvlText w:val=""/>
      <w:lvlJc w:val="left"/>
      <w:pPr>
        <w:tabs>
          <w:tab w:val="num" w:pos="5040"/>
        </w:tabs>
        <w:ind w:left="5040" w:hanging="360"/>
      </w:pPr>
      <w:rPr>
        <w:rFonts w:ascii="Wingdings" w:hAnsi="Wingdings" w:hint="default"/>
      </w:rPr>
    </w:lvl>
    <w:lvl w:ilvl="7" w:tplc="87C4FCB2" w:tentative="1">
      <w:start w:val="1"/>
      <w:numFmt w:val="bullet"/>
      <w:lvlText w:val=""/>
      <w:lvlJc w:val="left"/>
      <w:pPr>
        <w:tabs>
          <w:tab w:val="num" w:pos="5760"/>
        </w:tabs>
        <w:ind w:left="5760" w:hanging="360"/>
      </w:pPr>
      <w:rPr>
        <w:rFonts w:ascii="Wingdings" w:hAnsi="Wingdings" w:hint="default"/>
      </w:rPr>
    </w:lvl>
    <w:lvl w:ilvl="8" w:tplc="BA806CA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05C6D7A"/>
    <w:multiLevelType w:val="hybridMultilevel"/>
    <w:tmpl w:val="6CCAF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5D6EBB"/>
    <w:multiLevelType w:val="hybridMultilevel"/>
    <w:tmpl w:val="A9EC55F8"/>
    <w:lvl w:ilvl="0" w:tplc="979A64A2">
      <w:start w:val="1"/>
      <w:numFmt w:val="bullet"/>
      <w:lvlText w:val="•"/>
      <w:lvlJc w:val="left"/>
      <w:pPr>
        <w:tabs>
          <w:tab w:val="num" w:pos="720"/>
        </w:tabs>
        <w:ind w:left="720" w:hanging="360"/>
      </w:pPr>
      <w:rPr>
        <w:rFonts w:ascii="Arial" w:hAnsi="Arial" w:hint="default"/>
      </w:rPr>
    </w:lvl>
    <w:lvl w:ilvl="1" w:tplc="21726936" w:tentative="1">
      <w:start w:val="1"/>
      <w:numFmt w:val="bullet"/>
      <w:lvlText w:val="•"/>
      <w:lvlJc w:val="left"/>
      <w:pPr>
        <w:tabs>
          <w:tab w:val="num" w:pos="1440"/>
        </w:tabs>
        <w:ind w:left="1440" w:hanging="360"/>
      </w:pPr>
      <w:rPr>
        <w:rFonts w:ascii="Arial" w:hAnsi="Arial" w:hint="default"/>
      </w:rPr>
    </w:lvl>
    <w:lvl w:ilvl="2" w:tplc="C4FEFE72" w:tentative="1">
      <w:start w:val="1"/>
      <w:numFmt w:val="bullet"/>
      <w:lvlText w:val="•"/>
      <w:lvlJc w:val="left"/>
      <w:pPr>
        <w:tabs>
          <w:tab w:val="num" w:pos="2160"/>
        </w:tabs>
        <w:ind w:left="2160" w:hanging="360"/>
      </w:pPr>
      <w:rPr>
        <w:rFonts w:ascii="Arial" w:hAnsi="Arial" w:hint="default"/>
      </w:rPr>
    </w:lvl>
    <w:lvl w:ilvl="3" w:tplc="E2D6EE6E" w:tentative="1">
      <w:start w:val="1"/>
      <w:numFmt w:val="bullet"/>
      <w:lvlText w:val="•"/>
      <w:lvlJc w:val="left"/>
      <w:pPr>
        <w:tabs>
          <w:tab w:val="num" w:pos="2880"/>
        </w:tabs>
        <w:ind w:left="2880" w:hanging="360"/>
      </w:pPr>
      <w:rPr>
        <w:rFonts w:ascii="Arial" w:hAnsi="Arial" w:hint="default"/>
      </w:rPr>
    </w:lvl>
    <w:lvl w:ilvl="4" w:tplc="83665170" w:tentative="1">
      <w:start w:val="1"/>
      <w:numFmt w:val="bullet"/>
      <w:lvlText w:val="•"/>
      <w:lvlJc w:val="left"/>
      <w:pPr>
        <w:tabs>
          <w:tab w:val="num" w:pos="3600"/>
        </w:tabs>
        <w:ind w:left="3600" w:hanging="360"/>
      </w:pPr>
      <w:rPr>
        <w:rFonts w:ascii="Arial" w:hAnsi="Arial" w:hint="default"/>
      </w:rPr>
    </w:lvl>
    <w:lvl w:ilvl="5" w:tplc="9F0E671E" w:tentative="1">
      <w:start w:val="1"/>
      <w:numFmt w:val="bullet"/>
      <w:lvlText w:val="•"/>
      <w:lvlJc w:val="left"/>
      <w:pPr>
        <w:tabs>
          <w:tab w:val="num" w:pos="4320"/>
        </w:tabs>
        <w:ind w:left="4320" w:hanging="360"/>
      </w:pPr>
      <w:rPr>
        <w:rFonts w:ascii="Arial" w:hAnsi="Arial" w:hint="default"/>
      </w:rPr>
    </w:lvl>
    <w:lvl w:ilvl="6" w:tplc="60E6E2A2" w:tentative="1">
      <w:start w:val="1"/>
      <w:numFmt w:val="bullet"/>
      <w:lvlText w:val="•"/>
      <w:lvlJc w:val="left"/>
      <w:pPr>
        <w:tabs>
          <w:tab w:val="num" w:pos="5040"/>
        </w:tabs>
        <w:ind w:left="5040" w:hanging="360"/>
      </w:pPr>
      <w:rPr>
        <w:rFonts w:ascii="Arial" w:hAnsi="Arial" w:hint="default"/>
      </w:rPr>
    </w:lvl>
    <w:lvl w:ilvl="7" w:tplc="1BE813DE" w:tentative="1">
      <w:start w:val="1"/>
      <w:numFmt w:val="bullet"/>
      <w:lvlText w:val="•"/>
      <w:lvlJc w:val="left"/>
      <w:pPr>
        <w:tabs>
          <w:tab w:val="num" w:pos="5760"/>
        </w:tabs>
        <w:ind w:left="5760" w:hanging="360"/>
      </w:pPr>
      <w:rPr>
        <w:rFonts w:ascii="Arial" w:hAnsi="Arial" w:hint="default"/>
      </w:rPr>
    </w:lvl>
    <w:lvl w:ilvl="8" w:tplc="8DD2591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CBC1E48"/>
    <w:multiLevelType w:val="hybridMultilevel"/>
    <w:tmpl w:val="2E92F0A2"/>
    <w:lvl w:ilvl="0" w:tplc="0B3670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7"/>
  </w:num>
  <w:num w:numId="5">
    <w:abstractNumId w:val="3"/>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3E20"/>
    <w:rsid w:val="00024957"/>
    <w:rsid w:val="0003722F"/>
    <w:rsid w:val="0004430B"/>
    <w:rsid w:val="000476CB"/>
    <w:rsid w:val="00050F72"/>
    <w:rsid w:val="0005181D"/>
    <w:rsid w:val="0005383A"/>
    <w:rsid w:val="00067B98"/>
    <w:rsid w:val="00070F7F"/>
    <w:rsid w:val="000740C8"/>
    <w:rsid w:val="00086840"/>
    <w:rsid w:val="00087E3A"/>
    <w:rsid w:val="0009272A"/>
    <w:rsid w:val="00094B8D"/>
    <w:rsid w:val="000A406C"/>
    <w:rsid w:val="000A660B"/>
    <w:rsid w:val="000B1A66"/>
    <w:rsid w:val="000B378A"/>
    <w:rsid w:val="000C51AC"/>
    <w:rsid w:val="000C77E3"/>
    <w:rsid w:val="000D01B0"/>
    <w:rsid w:val="000D1A77"/>
    <w:rsid w:val="000D5B46"/>
    <w:rsid w:val="000D6CCA"/>
    <w:rsid w:val="000E2C64"/>
    <w:rsid w:val="000F755C"/>
    <w:rsid w:val="001072E0"/>
    <w:rsid w:val="00107EC2"/>
    <w:rsid w:val="00113719"/>
    <w:rsid w:val="001176B8"/>
    <w:rsid w:val="001259EF"/>
    <w:rsid w:val="00134681"/>
    <w:rsid w:val="00134787"/>
    <w:rsid w:val="00161ACE"/>
    <w:rsid w:val="00171421"/>
    <w:rsid w:val="001801D8"/>
    <w:rsid w:val="00181098"/>
    <w:rsid w:val="0019172E"/>
    <w:rsid w:val="00192516"/>
    <w:rsid w:val="001A52CF"/>
    <w:rsid w:val="001A5899"/>
    <w:rsid w:val="001B16BD"/>
    <w:rsid w:val="001B582F"/>
    <w:rsid w:val="001B6C28"/>
    <w:rsid w:val="001C3831"/>
    <w:rsid w:val="001C6162"/>
    <w:rsid w:val="001C61A1"/>
    <w:rsid w:val="001D7C8B"/>
    <w:rsid w:val="001E040B"/>
    <w:rsid w:val="001F07A6"/>
    <w:rsid w:val="00202659"/>
    <w:rsid w:val="00202BA4"/>
    <w:rsid w:val="0020617B"/>
    <w:rsid w:val="002066E9"/>
    <w:rsid w:val="00217E0D"/>
    <w:rsid w:val="00233B36"/>
    <w:rsid w:val="0023402A"/>
    <w:rsid w:val="00234F04"/>
    <w:rsid w:val="00235BFC"/>
    <w:rsid w:val="00236CD1"/>
    <w:rsid w:val="00247229"/>
    <w:rsid w:val="00247573"/>
    <w:rsid w:val="002567BA"/>
    <w:rsid w:val="0025715E"/>
    <w:rsid w:val="00275320"/>
    <w:rsid w:val="00280132"/>
    <w:rsid w:val="00293823"/>
    <w:rsid w:val="0029517B"/>
    <w:rsid w:val="002A2980"/>
    <w:rsid w:val="002D100F"/>
    <w:rsid w:val="002D4452"/>
    <w:rsid w:val="002F151E"/>
    <w:rsid w:val="002F518C"/>
    <w:rsid w:val="002F602E"/>
    <w:rsid w:val="003032D1"/>
    <w:rsid w:val="0031043F"/>
    <w:rsid w:val="00337970"/>
    <w:rsid w:val="00340628"/>
    <w:rsid w:val="00343CE7"/>
    <w:rsid w:val="00356D9E"/>
    <w:rsid w:val="00370097"/>
    <w:rsid w:val="00394244"/>
    <w:rsid w:val="003A001E"/>
    <w:rsid w:val="003B3E2E"/>
    <w:rsid w:val="003C0C1E"/>
    <w:rsid w:val="003C3C87"/>
    <w:rsid w:val="003D379E"/>
    <w:rsid w:val="003D78C0"/>
    <w:rsid w:val="003E5746"/>
    <w:rsid w:val="003F3148"/>
    <w:rsid w:val="00403D4C"/>
    <w:rsid w:val="00471BC8"/>
    <w:rsid w:val="00473C1D"/>
    <w:rsid w:val="00476412"/>
    <w:rsid w:val="00476663"/>
    <w:rsid w:val="00480059"/>
    <w:rsid w:val="00480FDD"/>
    <w:rsid w:val="004872EE"/>
    <w:rsid w:val="00497A3F"/>
    <w:rsid w:val="004A0756"/>
    <w:rsid w:val="004A18A5"/>
    <w:rsid w:val="004A7822"/>
    <w:rsid w:val="004A7A33"/>
    <w:rsid w:val="004B2454"/>
    <w:rsid w:val="004B590D"/>
    <w:rsid w:val="004C23DF"/>
    <w:rsid w:val="004C53C5"/>
    <w:rsid w:val="004E2AF0"/>
    <w:rsid w:val="004E41FD"/>
    <w:rsid w:val="004E4B07"/>
    <w:rsid w:val="004E4B23"/>
    <w:rsid w:val="004E7F63"/>
    <w:rsid w:val="00504966"/>
    <w:rsid w:val="00506A17"/>
    <w:rsid w:val="0051565D"/>
    <w:rsid w:val="00515945"/>
    <w:rsid w:val="0051597C"/>
    <w:rsid w:val="00515B3F"/>
    <w:rsid w:val="005306C5"/>
    <w:rsid w:val="00546051"/>
    <w:rsid w:val="00551756"/>
    <w:rsid w:val="005574A5"/>
    <w:rsid w:val="00560D8D"/>
    <w:rsid w:val="00560EE1"/>
    <w:rsid w:val="005639A0"/>
    <w:rsid w:val="0056496E"/>
    <w:rsid w:val="00571F84"/>
    <w:rsid w:val="00576663"/>
    <w:rsid w:val="005854F6"/>
    <w:rsid w:val="00585FE9"/>
    <w:rsid w:val="00586AEE"/>
    <w:rsid w:val="00587451"/>
    <w:rsid w:val="005B0A0A"/>
    <w:rsid w:val="005B1CBB"/>
    <w:rsid w:val="005C11AA"/>
    <w:rsid w:val="005C482E"/>
    <w:rsid w:val="005D71C6"/>
    <w:rsid w:val="005E0BCC"/>
    <w:rsid w:val="005E2F29"/>
    <w:rsid w:val="005E6224"/>
    <w:rsid w:val="00601851"/>
    <w:rsid w:val="006159A7"/>
    <w:rsid w:val="00616AEF"/>
    <w:rsid w:val="0062109C"/>
    <w:rsid w:val="006277A9"/>
    <w:rsid w:val="006406FA"/>
    <w:rsid w:val="0064563A"/>
    <w:rsid w:val="00650125"/>
    <w:rsid w:val="00651B4B"/>
    <w:rsid w:val="006542B8"/>
    <w:rsid w:val="0066329E"/>
    <w:rsid w:val="0069346A"/>
    <w:rsid w:val="00695343"/>
    <w:rsid w:val="00697058"/>
    <w:rsid w:val="006A053E"/>
    <w:rsid w:val="006A268B"/>
    <w:rsid w:val="006A312E"/>
    <w:rsid w:val="006A6F73"/>
    <w:rsid w:val="006C309D"/>
    <w:rsid w:val="006D7827"/>
    <w:rsid w:val="006E3849"/>
    <w:rsid w:val="006F2CCD"/>
    <w:rsid w:val="006F5473"/>
    <w:rsid w:val="007035DF"/>
    <w:rsid w:val="00704598"/>
    <w:rsid w:val="00707442"/>
    <w:rsid w:val="00707B9E"/>
    <w:rsid w:val="00713AF4"/>
    <w:rsid w:val="007167DD"/>
    <w:rsid w:val="00727485"/>
    <w:rsid w:val="0073241A"/>
    <w:rsid w:val="007344DB"/>
    <w:rsid w:val="00734F53"/>
    <w:rsid w:val="00751709"/>
    <w:rsid w:val="00751B99"/>
    <w:rsid w:val="00752A66"/>
    <w:rsid w:val="007565A1"/>
    <w:rsid w:val="007668F6"/>
    <w:rsid w:val="00793908"/>
    <w:rsid w:val="00795391"/>
    <w:rsid w:val="007A72AD"/>
    <w:rsid w:val="007B5D5A"/>
    <w:rsid w:val="007B658B"/>
    <w:rsid w:val="007C57CA"/>
    <w:rsid w:val="007D0711"/>
    <w:rsid w:val="007D5781"/>
    <w:rsid w:val="00805D2B"/>
    <w:rsid w:val="00822D61"/>
    <w:rsid w:val="00822E3E"/>
    <w:rsid w:val="00824D0A"/>
    <w:rsid w:val="008368F8"/>
    <w:rsid w:val="008407E6"/>
    <w:rsid w:val="00851D7E"/>
    <w:rsid w:val="00866A93"/>
    <w:rsid w:val="00872B02"/>
    <w:rsid w:val="00886ECC"/>
    <w:rsid w:val="0089038C"/>
    <w:rsid w:val="00897D37"/>
    <w:rsid w:val="008A1240"/>
    <w:rsid w:val="008B327B"/>
    <w:rsid w:val="008B47A5"/>
    <w:rsid w:val="008D09E9"/>
    <w:rsid w:val="008D1DA0"/>
    <w:rsid w:val="008D630E"/>
    <w:rsid w:val="008E04F4"/>
    <w:rsid w:val="008E1539"/>
    <w:rsid w:val="008E5D6D"/>
    <w:rsid w:val="008F2567"/>
    <w:rsid w:val="00911809"/>
    <w:rsid w:val="00914569"/>
    <w:rsid w:val="0091564D"/>
    <w:rsid w:val="0092120C"/>
    <w:rsid w:val="009244B3"/>
    <w:rsid w:val="009301B7"/>
    <w:rsid w:val="009324A6"/>
    <w:rsid w:val="00932515"/>
    <w:rsid w:val="00944153"/>
    <w:rsid w:val="009443F5"/>
    <w:rsid w:val="00950F6C"/>
    <w:rsid w:val="00952B79"/>
    <w:rsid w:val="0095332B"/>
    <w:rsid w:val="00966CA8"/>
    <w:rsid w:val="00975177"/>
    <w:rsid w:val="009901F7"/>
    <w:rsid w:val="009A2F43"/>
    <w:rsid w:val="009A6A9B"/>
    <w:rsid w:val="009C22E3"/>
    <w:rsid w:val="009C3D87"/>
    <w:rsid w:val="009C6A92"/>
    <w:rsid w:val="009D4CA7"/>
    <w:rsid w:val="009E74DB"/>
    <w:rsid w:val="00A04E5E"/>
    <w:rsid w:val="00A05B23"/>
    <w:rsid w:val="00A227A8"/>
    <w:rsid w:val="00A23942"/>
    <w:rsid w:val="00A47673"/>
    <w:rsid w:val="00A52380"/>
    <w:rsid w:val="00A60CA1"/>
    <w:rsid w:val="00A635FF"/>
    <w:rsid w:val="00A77FC5"/>
    <w:rsid w:val="00A91402"/>
    <w:rsid w:val="00A93AE9"/>
    <w:rsid w:val="00A95B2F"/>
    <w:rsid w:val="00A9654B"/>
    <w:rsid w:val="00AA165A"/>
    <w:rsid w:val="00AE114A"/>
    <w:rsid w:val="00AE164F"/>
    <w:rsid w:val="00AE6713"/>
    <w:rsid w:val="00AF172D"/>
    <w:rsid w:val="00AF6033"/>
    <w:rsid w:val="00B10726"/>
    <w:rsid w:val="00B17258"/>
    <w:rsid w:val="00B20BA1"/>
    <w:rsid w:val="00B27D4E"/>
    <w:rsid w:val="00B4411B"/>
    <w:rsid w:val="00B44602"/>
    <w:rsid w:val="00B63934"/>
    <w:rsid w:val="00B66605"/>
    <w:rsid w:val="00B70FA3"/>
    <w:rsid w:val="00B72470"/>
    <w:rsid w:val="00B80B3C"/>
    <w:rsid w:val="00B86F82"/>
    <w:rsid w:val="00BA0EB2"/>
    <w:rsid w:val="00BA24E9"/>
    <w:rsid w:val="00BC6FFC"/>
    <w:rsid w:val="00BD2EDB"/>
    <w:rsid w:val="00BD715B"/>
    <w:rsid w:val="00BE2A5D"/>
    <w:rsid w:val="00BE541C"/>
    <w:rsid w:val="00BF31F1"/>
    <w:rsid w:val="00C04C5C"/>
    <w:rsid w:val="00C136BA"/>
    <w:rsid w:val="00C30841"/>
    <w:rsid w:val="00C31440"/>
    <w:rsid w:val="00C346A1"/>
    <w:rsid w:val="00C402AC"/>
    <w:rsid w:val="00C4410F"/>
    <w:rsid w:val="00C44E45"/>
    <w:rsid w:val="00C51CBF"/>
    <w:rsid w:val="00C57FAA"/>
    <w:rsid w:val="00C620CB"/>
    <w:rsid w:val="00C6433E"/>
    <w:rsid w:val="00C765EF"/>
    <w:rsid w:val="00C8279C"/>
    <w:rsid w:val="00C83DAD"/>
    <w:rsid w:val="00C8583F"/>
    <w:rsid w:val="00C87E12"/>
    <w:rsid w:val="00C94EAC"/>
    <w:rsid w:val="00CA3CEA"/>
    <w:rsid w:val="00CB23C7"/>
    <w:rsid w:val="00CB78A5"/>
    <w:rsid w:val="00CC4CC8"/>
    <w:rsid w:val="00CD2ED8"/>
    <w:rsid w:val="00CD3F3C"/>
    <w:rsid w:val="00CE2C2D"/>
    <w:rsid w:val="00CF410E"/>
    <w:rsid w:val="00D0315F"/>
    <w:rsid w:val="00D20A93"/>
    <w:rsid w:val="00D27B44"/>
    <w:rsid w:val="00D35ED3"/>
    <w:rsid w:val="00D4320C"/>
    <w:rsid w:val="00D55A82"/>
    <w:rsid w:val="00D60C38"/>
    <w:rsid w:val="00D8184D"/>
    <w:rsid w:val="00D85267"/>
    <w:rsid w:val="00D906AD"/>
    <w:rsid w:val="00DA5A8B"/>
    <w:rsid w:val="00DE51AA"/>
    <w:rsid w:val="00E150F5"/>
    <w:rsid w:val="00E172EB"/>
    <w:rsid w:val="00E20A87"/>
    <w:rsid w:val="00E34461"/>
    <w:rsid w:val="00E3462A"/>
    <w:rsid w:val="00E40F5D"/>
    <w:rsid w:val="00E52726"/>
    <w:rsid w:val="00E61C9B"/>
    <w:rsid w:val="00E646C5"/>
    <w:rsid w:val="00E723FB"/>
    <w:rsid w:val="00E7307D"/>
    <w:rsid w:val="00E97E07"/>
    <w:rsid w:val="00ED46CD"/>
    <w:rsid w:val="00ED489F"/>
    <w:rsid w:val="00EE3A2F"/>
    <w:rsid w:val="00EE58BA"/>
    <w:rsid w:val="00F01C3E"/>
    <w:rsid w:val="00F124EC"/>
    <w:rsid w:val="00F20025"/>
    <w:rsid w:val="00F25D7D"/>
    <w:rsid w:val="00F2777F"/>
    <w:rsid w:val="00F4092F"/>
    <w:rsid w:val="00F45C83"/>
    <w:rsid w:val="00F54445"/>
    <w:rsid w:val="00F77FFB"/>
    <w:rsid w:val="00F87A27"/>
    <w:rsid w:val="00F90D9B"/>
    <w:rsid w:val="00F93EB5"/>
    <w:rsid w:val="00FA1B22"/>
    <w:rsid w:val="00FA5906"/>
    <w:rsid w:val="00FA6ABD"/>
    <w:rsid w:val="00FA78A1"/>
    <w:rsid w:val="00FC31DF"/>
    <w:rsid w:val="00FC49FE"/>
    <w:rsid w:val="00FD39FB"/>
    <w:rsid w:val="00FD3C03"/>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59FB4"/>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paragraph" w:styleId="ListParagraph">
    <w:name w:val="List Paragraph"/>
    <w:basedOn w:val="Normal"/>
    <w:uiPriority w:val="34"/>
    <w:qFormat/>
    <w:rsid w:val="000D1A77"/>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ED48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149393">
      <w:bodyDiv w:val="1"/>
      <w:marLeft w:val="0"/>
      <w:marRight w:val="0"/>
      <w:marTop w:val="0"/>
      <w:marBottom w:val="0"/>
      <w:divBdr>
        <w:top w:val="none" w:sz="0" w:space="0" w:color="auto"/>
        <w:left w:val="none" w:sz="0" w:space="0" w:color="auto"/>
        <w:bottom w:val="none" w:sz="0" w:space="0" w:color="auto"/>
        <w:right w:val="none" w:sz="0" w:space="0" w:color="auto"/>
      </w:divBdr>
      <w:divsChild>
        <w:div w:id="748620782">
          <w:marLeft w:val="446"/>
          <w:marRight w:val="0"/>
          <w:marTop w:val="0"/>
          <w:marBottom w:val="0"/>
          <w:divBdr>
            <w:top w:val="none" w:sz="0" w:space="0" w:color="auto"/>
            <w:left w:val="none" w:sz="0" w:space="0" w:color="auto"/>
            <w:bottom w:val="none" w:sz="0" w:space="0" w:color="auto"/>
            <w:right w:val="none" w:sz="0" w:space="0" w:color="auto"/>
          </w:divBdr>
        </w:div>
        <w:div w:id="1245725560">
          <w:marLeft w:val="446"/>
          <w:marRight w:val="0"/>
          <w:marTop w:val="0"/>
          <w:marBottom w:val="0"/>
          <w:divBdr>
            <w:top w:val="none" w:sz="0" w:space="0" w:color="auto"/>
            <w:left w:val="none" w:sz="0" w:space="0" w:color="auto"/>
            <w:bottom w:val="none" w:sz="0" w:space="0" w:color="auto"/>
            <w:right w:val="none" w:sz="0" w:space="0" w:color="auto"/>
          </w:divBdr>
        </w:div>
        <w:div w:id="1892230733">
          <w:marLeft w:val="446"/>
          <w:marRight w:val="0"/>
          <w:marTop w:val="0"/>
          <w:marBottom w:val="0"/>
          <w:divBdr>
            <w:top w:val="none" w:sz="0" w:space="0" w:color="auto"/>
            <w:left w:val="none" w:sz="0" w:space="0" w:color="auto"/>
            <w:bottom w:val="none" w:sz="0" w:space="0" w:color="auto"/>
            <w:right w:val="none" w:sz="0" w:space="0" w:color="auto"/>
          </w:divBdr>
        </w:div>
        <w:div w:id="889344158">
          <w:marLeft w:val="446"/>
          <w:marRight w:val="0"/>
          <w:marTop w:val="0"/>
          <w:marBottom w:val="0"/>
          <w:divBdr>
            <w:top w:val="none" w:sz="0" w:space="0" w:color="auto"/>
            <w:left w:val="none" w:sz="0" w:space="0" w:color="auto"/>
            <w:bottom w:val="none" w:sz="0" w:space="0" w:color="auto"/>
            <w:right w:val="none" w:sz="0" w:space="0" w:color="auto"/>
          </w:divBdr>
        </w:div>
        <w:div w:id="597517773">
          <w:marLeft w:val="446"/>
          <w:marRight w:val="0"/>
          <w:marTop w:val="0"/>
          <w:marBottom w:val="0"/>
          <w:divBdr>
            <w:top w:val="none" w:sz="0" w:space="0" w:color="auto"/>
            <w:left w:val="none" w:sz="0" w:space="0" w:color="auto"/>
            <w:bottom w:val="none" w:sz="0" w:space="0" w:color="auto"/>
            <w:right w:val="none" w:sz="0" w:space="0" w:color="auto"/>
          </w:divBdr>
        </w:div>
        <w:div w:id="1686639020">
          <w:marLeft w:val="446"/>
          <w:marRight w:val="0"/>
          <w:marTop w:val="0"/>
          <w:marBottom w:val="0"/>
          <w:divBdr>
            <w:top w:val="none" w:sz="0" w:space="0" w:color="auto"/>
            <w:left w:val="none" w:sz="0" w:space="0" w:color="auto"/>
            <w:bottom w:val="none" w:sz="0" w:space="0" w:color="auto"/>
            <w:right w:val="none" w:sz="0" w:space="0" w:color="auto"/>
          </w:divBdr>
        </w:div>
        <w:div w:id="1795171190">
          <w:marLeft w:val="446"/>
          <w:marRight w:val="0"/>
          <w:marTop w:val="0"/>
          <w:marBottom w:val="0"/>
          <w:divBdr>
            <w:top w:val="none" w:sz="0" w:space="0" w:color="auto"/>
            <w:left w:val="none" w:sz="0" w:space="0" w:color="auto"/>
            <w:bottom w:val="none" w:sz="0" w:space="0" w:color="auto"/>
            <w:right w:val="none" w:sz="0" w:space="0" w:color="auto"/>
          </w:divBdr>
        </w:div>
        <w:div w:id="710494690">
          <w:marLeft w:val="446"/>
          <w:marRight w:val="0"/>
          <w:marTop w:val="0"/>
          <w:marBottom w:val="0"/>
          <w:divBdr>
            <w:top w:val="none" w:sz="0" w:space="0" w:color="auto"/>
            <w:left w:val="none" w:sz="0" w:space="0" w:color="auto"/>
            <w:bottom w:val="none" w:sz="0" w:space="0" w:color="auto"/>
            <w:right w:val="none" w:sz="0" w:space="0" w:color="auto"/>
          </w:divBdr>
        </w:div>
        <w:div w:id="1161578581">
          <w:marLeft w:val="446"/>
          <w:marRight w:val="0"/>
          <w:marTop w:val="0"/>
          <w:marBottom w:val="0"/>
          <w:divBdr>
            <w:top w:val="none" w:sz="0" w:space="0" w:color="auto"/>
            <w:left w:val="none" w:sz="0" w:space="0" w:color="auto"/>
            <w:bottom w:val="none" w:sz="0" w:space="0" w:color="auto"/>
            <w:right w:val="none" w:sz="0" w:space="0" w:color="auto"/>
          </w:divBdr>
        </w:div>
        <w:div w:id="1581334743">
          <w:marLeft w:val="446"/>
          <w:marRight w:val="0"/>
          <w:marTop w:val="0"/>
          <w:marBottom w:val="0"/>
          <w:divBdr>
            <w:top w:val="none" w:sz="0" w:space="0" w:color="auto"/>
            <w:left w:val="none" w:sz="0" w:space="0" w:color="auto"/>
            <w:bottom w:val="none" w:sz="0" w:space="0" w:color="auto"/>
            <w:right w:val="none" w:sz="0" w:space="0" w:color="auto"/>
          </w:divBdr>
        </w:div>
        <w:div w:id="1236284602">
          <w:marLeft w:val="446"/>
          <w:marRight w:val="0"/>
          <w:marTop w:val="0"/>
          <w:marBottom w:val="0"/>
          <w:divBdr>
            <w:top w:val="none" w:sz="0" w:space="0" w:color="auto"/>
            <w:left w:val="none" w:sz="0" w:space="0" w:color="auto"/>
            <w:bottom w:val="none" w:sz="0" w:space="0" w:color="auto"/>
            <w:right w:val="none" w:sz="0" w:space="0" w:color="auto"/>
          </w:divBdr>
        </w:div>
        <w:div w:id="191962707">
          <w:marLeft w:val="446"/>
          <w:marRight w:val="0"/>
          <w:marTop w:val="0"/>
          <w:marBottom w:val="0"/>
          <w:divBdr>
            <w:top w:val="none" w:sz="0" w:space="0" w:color="auto"/>
            <w:left w:val="none" w:sz="0" w:space="0" w:color="auto"/>
            <w:bottom w:val="none" w:sz="0" w:space="0" w:color="auto"/>
            <w:right w:val="none" w:sz="0" w:space="0" w:color="auto"/>
          </w:divBdr>
        </w:div>
        <w:div w:id="1349597930">
          <w:marLeft w:val="446"/>
          <w:marRight w:val="0"/>
          <w:marTop w:val="0"/>
          <w:marBottom w:val="0"/>
          <w:divBdr>
            <w:top w:val="none" w:sz="0" w:space="0" w:color="auto"/>
            <w:left w:val="none" w:sz="0" w:space="0" w:color="auto"/>
            <w:bottom w:val="none" w:sz="0" w:space="0" w:color="auto"/>
            <w:right w:val="none" w:sz="0" w:space="0" w:color="auto"/>
          </w:divBdr>
        </w:div>
      </w:divsChild>
    </w:div>
    <w:div w:id="1562206840">
      <w:bodyDiv w:val="1"/>
      <w:marLeft w:val="0"/>
      <w:marRight w:val="0"/>
      <w:marTop w:val="0"/>
      <w:marBottom w:val="0"/>
      <w:divBdr>
        <w:top w:val="none" w:sz="0" w:space="0" w:color="auto"/>
        <w:left w:val="none" w:sz="0" w:space="0" w:color="auto"/>
        <w:bottom w:val="none" w:sz="0" w:space="0" w:color="auto"/>
        <w:right w:val="none" w:sz="0" w:space="0" w:color="auto"/>
      </w:divBdr>
      <w:divsChild>
        <w:div w:id="752091175">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hyperlink" Target="https://www.theguardian.com/business/2018/dec/09/never-mind-the-brexit-sideshow-recession-is-the-real-worry" TargetMode="External"/><Relationship Id="rId26" Type="http://schemas.openxmlformats.org/officeDocument/2006/relationships/hyperlink" Target="https://www.manchestereveningnews.co.uk/news/uk-news/new-laws-coming-force-2019-15562458" TargetMode="External"/><Relationship Id="rId3" Type="http://schemas.openxmlformats.org/officeDocument/2006/relationships/numbering" Target="numbering.xml"/><Relationship Id="rId21" Type="http://schemas.openxmlformats.org/officeDocument/2006/relationships/hyperlink" Target="https://www.adp.com/spark/articles/2018/12/how-the-collaboration-between-hr-and-finance-can-improve-business.aspx" TargetMode="External"/><Relationship Id="rId7" Type="http://schemas.openxmlformats.org/officeDocument/2006/relationships/footnotes" Target="footnotes.xml"/><Relationship Id="rId12" Type="http://schemas.openxmlformats.org/officeDocument/2006/relationships/hyperlink" Target="https://www.theguardian.com/business/2016/aug/19/the-post-brexit-pound-how-sterlings-fall-affects-the-uk-economy" TargetMode="External"/><Relationship Id="rId17" Type="http://schemas.openxmlformats.org/officeDocument/2006/relationships/hyperlink" Target="https://www.theguardian.com/business/2017/may/07/falling-real-pay-shows-the-british-economy-is-still-struggling" TargetMode="External"/><Relationship Id="rId25" Type="http://schemas.openxmlformats.org/officeDocument/2006/relationships/hyperlink" Target="https://www.jibe.com/blog/why-hiring-for-cultural-fit-might-not-be-the-right-strategy/" TargetMode="External"/><Relationship Id="rId2" Type="http://schemas.openxmlformats.org/officeDocument/2006/relationships/customXml" Target="../customXml/item2.xml"/><Relationship Id="rId16" Type="http://schemas.openxmlformats.org/officeDocument/2006/relationships/hyperlink" Target="https://www2.deloitte.com/uk/en/pages/press-releases/articles/deloitte-consumer-tracker-q1-2018.html" TargetMode="External"/><Relationship Id="rId20" Type="http://schemas.openxmlformats.org/officeDocument/2006/relationships/hyperlink" Target="https://moodle.uwtsd.ac.uk/pluginfile.php/241740/mod_resource/content/1/merlin%20entertainment%20annual%20account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2018/aug/02/bank-of-england-raises-interest-rates" TargetMode="External"/><Relationship Id="rId24" Type="http://schemas.openxmlformats.org/officeDocument/2006/relationships/hyperlink" Target="https://www.telegraph.co.uk/women/life/british-companies-no-gender-pay-gap-did/" TargetMode="External"/><Relationship Id="rId5" Type="http://schemas.openxmlformats.org/officeDocument/2006/relationships/settings" Target="settings.xml"/><Relationship Id="rId15" Type="http://schemas.openxmlformats.org/officeDocument/2006/relationships/hyperlink" Target="https://www.theguardian.com/business/2016/aug/26/uk-staycations-grow-in-strength-as-pound-weakens" TargetMode="External"/><Relationship Id="rId23" Type="http://schemas.openxmlformats.org/officeDocument/2006/relationships/hyperlink" Target="http://primaryfacts.com/4789/alton-towers-facts-and-information/"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equalityhumanrights.com/en/advice-and-guidance/why-equal-pay-importa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mericassbdc.org/how-can-businesses-protect-themselves-during-a-recession/" TargetMode="External"/><Relationship Id="rId22" Type="http://schemas.openxmlformats.org/officeDocument/2006/relationships/hyperlink" Target="https://www.ons.gov.uk/peoplepopulationandcommunity/householdcharacteristics/homeinternetandsocialmediausage/bulletins/internetaccesshouseholdsandindividuals/2018" TargetMode="External"/><Relationship Id="rId27" Type="http://schemas.openxmlformats.org/officeDocument/2006/relationships/hyperlink" Target="https://www.wwf.org.uk/updates/budget-2018-urgency-needed-tackle-plastic-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1704737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13BA7E-C871-4072-A8E7-A6910FB84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24</Pages>
  <Words>6725</Words>
  <Characters>38335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Management in practice</vt:lpstr>
    </vt:vector>
  </TitlesOfParts>
  <Company>University of Wales Trinity Saint David</Company>
  <LinksUpToDate>false</LinksUpToDate>
  <CharactersWithSpaces>44971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practice</dc:title>
  <dc:subject>M5X02110</dc:subject>
  <dc:creator>Caitlin James-Deane</dc:creator>
  <cp:keywords/>
  <dc:description/>
  <cp:lastModifiedBy>Caitlin James-Deane</cp:lastModifiedBy>
  <cp:revision>32</cp:revision>
  <dcterms:created xsi:type="dcterms:W3CDTF">2019-04-26T12:24:00Z</dcterms:created>
  <dcterms:modified xsi:type="dcterms:W3CDTF">2019-04-26T15:06:00Z</dcterms:modified>
</cp:coreProperties>
</file>