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1427" w:rsidRDefault="00371427" w:rsidP="00371427">
      <w:pPr>
        <w:pStyle w:val="NormalWeb"/>
        <w:spacing w:before="0" w:beforeAutospacing="0" w:after="0" w:afterAutospacing="0"/>
        <w:ind w:left="-180" w:right="-334"/>
      </w:pPr>
      <w:r>
        <w:rPr>
          <w:noProof/>
        </w:rPr>
        <w:drawing>
          <wp:inline distT="0" distB="0" distL="0" distR="0">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rsidR="00371427" w:rsidRDefault="00371427" w:rsidP="00371427">
      <w:pPr>
        <w:pStyle w:val="NormalWeb"/>
        <w:spacing w:before="0" w:beforeAutospacing="0" w:after="0" w:afterAutospacing="0"/>
        <w:ind w:left="-180" w:right="-334"/>
      </w:pPr>
    </w:p>
    <w:p w:rsidR="00371427" w:rsidRDefault="00371427" w:rsidP="00371427">
      <w:pPr>
        <w:pStyle w:val="NormalWeb"/>
        <w:spacing w:before="0" w:beforeAutospacing="0" w:after="0" w:afterAutospacing="0"/>
        <w:ind w:left="-180" w:right="-334"/>
      </w:pPr>
    </w:p>
    <w:p w:rsidR="00371427" w:rsidRDefault="00371427" w:rsidP="0037142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371427" w:rsidRPr="00230F35" w:rsidRDefault="00371427" w:rsidP="0037142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371427" w:rsidRPr="00230F35" w:rsidRDefault="00371427" w:rsidP="00371427">
      <w:pPr>
        <w:rPr>
          <w:rFonts w:ascii="Arial" w:hAnsi="Arial" w:cs="Arial"/>
          <w:sz w:val="28"/>
          <w:szCs w:val="28"/>
          <w:lang w:val="cy-GB"/>
        </w:rPr>
      </w:pPr>
    </w:p>
    <w:p w:rsidR="00371427" w:rsidRDefault="00371427" w:rsidP="00371427">
      <w:pPr>
        <w:pStyle w:val="Heading3"/>
        <w:jc w:val="center"/>
        <w:rPr>
          <w:lang w:val="cy-GB"/>
        </w:rPr>
      </w:pPr>
      <w:r>
        <w:rPr>
          <w:lang w:val="cy-GB"/>
        </w:rPr>
        <w:t>THIS SHEET MUST BE THE FIRST PAGE OF THE ASSIGNMENT YOU ARE SUBMITTING  (DO NOT SEND AS A SEPARATE FILE)</w:t>
      </w:r>
    </w:p>
    <w:p w:rsidR="00371427" w:rsidRDefault="00371427" w:rsidP="0037142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71427" w:rsidRPr="00230F35" w:rsidTr="00953EC4">
        <w:trPr>
          <w:trHeight w:val="614"/>
        </w:trPr>
        <w:tc>
          <w:tcPr>
            <w:tcW w:w="8856" w:type="dxa"/>
            <w:gridSpan w:val="5"/>
          </w:tcPr>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71427" w:rsidRPr="00230F35" w:rsidTr="00953EC4">
        <w:trPr>
          <w:trHeight w:val="718"/>
        </w:trPr>
        <w:tc>
          <w:tcPr>
            <w:tcW w:w="8856" w:type="dxa"/>
            <w:gridSpan w:val="5"/>
          </w:tcPr>
          <w:p w:rsidR="00371427"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371427" w:rsidRPr="00230F35" w:rsidRDefault="00371427" w:rsidP="00953EC4">
            <w:pPr>
              <w:pStyle w:val="NormalWeb"/>
              <w:spacing w:before="0" w:beforeAutospacing="0" w:after="0" w:afterAutospacing="0"/>
              <w:ind w:right="34"/>
              <w:rPr>
                <w:rFonts w:ascii="Arial" w:hAnsi="Arial" w:cs="Arial"/>
                <w:sz w:val="22"/>
                <w:szCs w:val="22"/>
              </w:rPr>
            </w:pPr>
            <w:r>
              <w:rPr>
                <w:rFonts w:ascii="Arial" w:hAnsi="Arial" w:cs="Arial"/>
                <w:sz w:val="22"/>
                <w:szCs w:val="22"/>
              </w:rPr>
              <w:t>Iza Steiner</w:t>
            </w:r>
          </w:p>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1811470@student.uwtsd.ac.uk</w:t>
            </w:r>
          </w:p>
        </w:tc>
      </w:tr>
      <w:tr w:rsidR="00371427" w:rsidRPr="00230F35" w:rsidTr="00953EC4">
        <w:trPr>
          <w:trHeight w:val="849"/>
        </w:trPr>
        <w:tc>
          <w:tcPr>
            <w:tcW w:w="4788" w:type="dxa"/>
          </w:tcPr>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gramStart"/>
            <w:r w:rsidRPr="00230F35">
              <w:rPr>
                <w:rFonts w:ascii="Arial" w:hAnsi="Arial" w:cs="Arial"/>
                <w:sz w:val="22"/>
                <w:szCs w:val="22"/>
              </w:rPr>
              <w:t>code:</w:t>
            </w:r>
            <w:r>
              <w:rPr>
                <w:rFonts w:ascii="Arial" w:hAnsi="Arial" w:cs="Arial"/>
                <w:sz w:val="22"/>
                <w:szCs w:val="22"/>
              </w:rPr>
              <w:t>HPCA</w:t>
            </w:r>
            <w:proofErr w:type="gramEnd"/>
            <w:r>
              <w:rPr>
                <w:rFonts w:ascii="Arial" w:hAnsi="Arial" w:cs="Arial"/>
                <w:sz w:val="22"/>
                <w:szCs w:val="22"/>
              </w:rPr>
              <w:t>7001</w:t>
            </w:r>
          </w:p>
          <w:p w:rsidR="00371427" w:rsidRPr="00230F35" w:rsidRDefault="00371427" w:rsidP="00953EC4">
            <w:pPr>
              <w:pStyle w:val="NormalWeb"/>
              <w:spacing w:before="0" w:beforeAutospacing="0" w:after="0" w:afterAutospacing="0"/>
              <w:ind w:right="34"/>
              <w:rPr>
                <w:rFonts w:ascii="Arial" w:hAnsi="Arial" w:cs="Arial"/>
                <w:sz w:val="22"/>
                <w:szCs w:val="22"/>
              </w:rPr>
            </w:pPr>
          </w:p>
          <w:p w:rsidR="00371427"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rsidR="00371427" w:rsidRDefault="00371427" w:rsidP="00953EC4">
            <w:pPr>
              <w:pStyle w:val="NormalWeb"/>
              <w:spacing w:before="0" w:beforeAutospacing="0" w:after="0" w:afterAutospacing="0"/>
              <w:ind w:right="34"/>
              <w:rPr>
                <w:rFonts w:ascii="Arial" w:hAnsi="Arial" w:cs="Arial"/>
                <w:sz w:val="22"/>
                <w:szCs w:val="22"/>
              </w:rPr>
            </w:pPr>
            <w:r>
              <w:rPr>
                <w:rFonts w:ascii="Arial" w:hAnsi="Arial" w:cs="Arial"/>
                <w:sz w:val="22"/>
                <w:szCs w:val="22"/>
              </w:rPr>
              <w:t>Foundations in Cultural Astronomy and Astrology</w:t>
            </w:r>
          </w:p>
          <w:p w:rsidR="00371427" w:rsidRPr="00230F35" w:rsidRDefault="00371427" w:rsidP="00953EC4">
            <w:pPr>
              <w:pStyle w:val="NormalWeb"/>
              <w:spacing w:before="0" w:beforeAutospacing="0" w:after="0" w:afterAutospacing="0"/>
              <w:ind w:right="34"/>
              <w:rPr>
                <w:rFonts w:ascii="Arial" w:hAnsi="Arial" w:cs="Arial"/>
                <w:sz w:val="22"/>
                <w:szCs w:val="22"/>
              </w:rPr>
            </w:pPr>
          </w:p>
        </w:tc>
        <w:tc>
          <w:tcPr>
            <w:tcW w:w="2266" w:type="dxa"/>
            <w:gridSpan w:val="3"/>
          </w:tcPr>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1811470</w:t>
            </w:r>
          </w:p>
        </w:tc>
        <w:tc>
          <w:tcPr>
            <w:tcW w:w="1802" w:type="dxa"/>
          </w:tcPr>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371427" w:rsidRPr="00230F35" w:rsidTr="00953EC4">
        <w:trPr>
          <w:trHeight w:val="1139"/>
        </w:trPr>
        <w:tc>
          <w:tcPr>
            <w:tcW w:w="8856" w:type="dxa"/>
            <w:gridSpan w:val="5"/>
          </w:tcPr>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2</w:t>
            </w:r>
          </w:p>
          <w:p w:rsidR="00371427" w:rsidRPr="00230F35" w:rsidRDefault="00371427" w:rsidP="00953EC4">
            <w:pPr>
              <w:pStyle w:val="NormalWeb"/>
              <w:spacing w:before="0" w:beforeAutospacing="0" w:after="0" w:afterAutospacing="0"/>
              <w:ind w:right="34"/>
              <w:rPr>
                <w:rFonts w:ascii="Arial" w:hAnsi="Arial" w:cs="Arial"/>
                <w:sz w:val="22"/>
                <w:szCs w:val="22"/>
              </w:rPr>
            </w:pPr>
          </w:p>
          <w:p w:rsidR="00371427" w:rsidRDefault="00371427" w:rsidP="00953EC4">
            <w:pPr>
              <w:pStyle w:val="NormalWeb"/>
              <w:spacing w:before="0" w:beforeAutospacing="0" w:after="0" w:afterAutospacing="0"/>
              <w:ind w:right="34"/>
              <w:rPr>
                <w:rFonts w:ascii="Arial" w:hAnsi="Arial" w:cs="Arial"/>
                <w:sz w:val="22"/>
                <w:szCs w:val="22"/>
              </w:rPr>
            </w:pPr>
          </w:p>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Dec 16, 2019</w:t>
            </w:r>
          </w:p>
        </w:tc>
      </w:tr>
      <w:tr w:rsidR="00371427" w:rsidRPr="00230F35" w:rsidTr="00953EC4">
        <w:trPr>
          <w:trHeight w:val="978"/>
        </w:trPr>
        <w:tc>
          <w:tcPr>
            <w:tcW w:w="8856" w:type="dxa"/>
            <w:gridSpan w:val="5"/>
            <w:tcBorders>
              <w:bottom w:val="single" w:sz="4" w:space="0" w:color="000000"/>
            </w:tcBorders>
          </w:tcPr>
          <w:p w:rsidR="00371427" w:rsidRPr="00230F35" w:rsidRDefault="00371427" w:rsidP="00953EC4">
            <w:pPr>
              <w:rPr>
                <w:rFonts w:ascii="Arial" w:hAnsi="Arial" w:cs="Arial"/>
              </w:rPr>
            </w:pPr>
            <w:r w:rsidRPr="00230F35">
              <w:rPr>
                <w:rFonts w:ascii="Arial" w:hAnsi="Arial" w:cs="Arial"/>
              </w:rPr>
              <w:t>This assignment is for the       1</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sidR="00A86F57">
              <w:rPr>
                <w:rFonts w:ascii="Arial" w:hAnsi="Arial" w:cs="Arial"/>
              </w:rPr>
            </w:r>
            <w:r w:rsidR="00A86F57">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A86F57">
              <w:rPr>
                <w:rFonts w:ascii="Arial" w:hAnsi="Arial" w:cs="Arial"/>
              </w:rPr>
            </w:r>
            <w:r w:rsidR="00A86F57">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A86F57">
              <w:rPr>
                <w:rFonts w:ascii="Arial" w:hAnsi="Arial" w:cs="Arial"/>
              </w:rPr>
            </w:r>
            <w:r w:rsidR="00A86F57">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A86F57">
              <w:rPr>
                <w:rFonts w:ascii="Arial" w:hAnsi="Arial" w:cs="Arial"/>
              </w:rPr>
            </w:r>
            <w:r w:rsidR="00A86F57">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A86F57">
              <w:rPr>
                <w:rFonts w:ascii="Arial" w:hAnsi="Arial" w:cs="Arial"/>
              </w:rPr>
            </w:r>
            <w:r w:rsidR="00A86F57">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A86F57">
              <w:rPr>
                <w:rFonts w:ascii="Arial" w:hAnsi="Arial" w:cs="Arial"/>
              </w:rPr>
            </w:r>
            <w:r w:rsidR="00A86F57">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71427" w:rsidRPr="00230F35" w:rsidTr="00953EC4">
        <w:trPr>
          <w:trHeight w:val="978"/>
        </w:trPr>
        <w:tc>
          <w:tcPr>
            <w:tcW w:w="8856" w:type="dxa"/>
            <w:gridSpan w:val="5"/>
            <w:shd w:val="clear" w:color="auto" w:fill="D9D9D9"/>
          </w:tcPr>
          <w:p w:rsidR="00371427" w:rsidRPr="00230F35"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371427" w:rsidRDefault="00371427" w:rsidP="00953EC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371427" w:rsidRDefault="00371427" w:rsidP="00953EC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Yes</w:t>
            </w:r>
          </w:p>
          <w:p w:rsidR="00371427" w:rsidRPr="00230F35" w:rsidRDefault="00371427" w:rsidP="00953EC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371427" w:rsidRPr="00230F35" w:rsidTr="00953EC4">
        <w:trPr>
          <w:trHeight w:val="3972"/>
        </w:trPr>
        <w:tc>
          <w:tcPr>
            <w:tcW w:w="8856" w:type="dxa"/>
            <w:gridSpan w:val="5"/>
          </w:tcPr>
          <w:p w:rsidR="00371427" w:rsidRDefault="00371427" w:rsidP="00953EC4">
            <w:pPr>
              <w:rPr>
                <w:rFonts w:ascii="Arial" w:hAnsi="Arial"/>
                <w:b/>
              </w:rPr>
            </w:pPr>
          </w:p>
          <w:p w:rsidR="00371427" w:rsidRPr="00116CE6" w:rsidRDefault="00371427" w:rsidP="00953EC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71427" w:rsidRPr="00116CE6" w:rsidTr="00953EC4">
              <w:tc>
                <w:tcPr>
                  <w:tcW w:w="6970" w:type="dxa"/>
                </w:tcPr>
                <w:p w:rsidR="00371427" w:rsidRPr="00116CE6" w:rsidRDefault="00371427" w:rsidP="00953EC4">
                  <w:pPr>
                    <w:rPr>
                      <w:rFonts w:ascii="Arial" w:hAnsi="Arial"/>
                      <w:sz w:val="20"/>
                      <w:szCs w:val="20"/>
                    </w:rPr>
                  </w:pPr>
                </w:p>
                <w:p w:rsidR="00371427" w:rsidRPr="00116CE6" w:rsidRDefault="00371427" w:rsidP="00953EC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371427" w:rsidRPr="00116CE6" w:rsidRDefault="00371427" w:rsidP="00953EC4">
                  <w:pPr>
                    <w:rPr>
                      <w:rFonts w:ascii="Arial" w:hAnsi="Arial"/>
                      <w:sz w:val="20"/>
                      <w:szCs w:val="20"/>
                    </w:rPr>
                  </w:pPr>
                </w:p>
              </w:tc>
            </w:tr>
            <w:tr w:rsidR="00371427" w:rsidRPr="00116CE6" w:rsidTr="00953EC4">
              <w:tc>
                <w:tcPr>
                  <w:tcW w:w="6970" w:type="dxa"/>
                </w:tcPr>
                <w:p w:rsidR="00371427" w:rsidRPr="00116CE6" w:rsidRDefault="00371427" w:rsidP="00953EC4">
                  <w:pPr>
                    <w:rPr>
                      <w:rFonts w:ascii="Arial" w:hAnsi="Arial"/>
                      <w:sz w:val="20"/>
                      <w:szCs w:val="20"/>
                    </w:rPr>
                  </w:pPr>
                </w:p>
                <w:p w:rsidR="00371427" w:rsidRPr="00116CE6" w:rsidRDefault="00371427" w:rsidP="00953EC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371427" w:rsidRPr="00116CE6" w:rsidRDefault="00371427" w:rsidP="00953EC4">
                  <w:pPr>
                    <w:rPr>
                      <w:rFonts w:ascii="Arial" w:hAnsi="Arial"/>
                      <w:sz w:val="20"/>
                      <w:szCs w:val="20"/>
                    </w:rPr>
                  </w:pPr>
                </w:p>
              </w:tc>
            </w:tr>
            <w:tr w:rsidR="00371427" w:rsidRPr="00116CE6" w:rsidTr="00953EC4">
              <w:tc>
                <w:tcPr>
                  <w:tcW w:w="6970" w:type="dxa"/>
                </w:tcPr>
                <w:p w:rsidR="00371427" w:rsidRPr="00116CE6" w:rsidRDefault="00371427" w:rsidP="00953EC4">
                  <w:pPr>
                    <w:rPr>
                      <w:rFonts w:ascii="Arial" w:hAnsi="Arial"/>
                      <w:sz w:val="20"/>
                      <w:szCs w:val="20"/>
                    </w:rPr>
                  </w:pPr>
                </w:p>
                <w:p w:rsidR="00371427" w:rsidRPr="00116CE6" w:rsidRDefault="00371427" w:rsidP="00953EC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371427" w:rsidRPr="00116CE6" w:rsidRDefault="00371427" w:rsidP="00953EC4">
                  <w:pPr>
                    <w:rPr>
                      <w:rFonts w:ascii="Arial" w:hAnsi="Arial"/>
                      <w:sz w:val="20"/>
                      <w:szCs w:val="20"/>
                    </w:rPr>
                  </w:pPr>
                </w:p>
              </w:tc>
            </w:tr>
            <w:tr w:rsidR="00371427" w:rsidRPr="00116CE6" w:rsidTr="00953EC4">
              <w:tc>
                <w:tcPr>
                  <w:tcW w:w="6970" w:type="dxa"/>
                </w:tcPr>
                <w:p w:rsidR="00371427" w:rsidRDefault="00371427" w:rsidP="00953EC4">
                  <w:pPr>
                    <w:rPr>
                      <w:rFonts w:ascii="Arial" w:hAnsi="Arial"/>
                      <w:sz w:val="20"/>
                      <w:szCs w:val="20"/>
                    </w:rPr>
                  </w:pPr>
                </w:p>
                <w:p w:rsidR="00371427" w:rsidRPr="00022345" w:rsidRDefault="00371427" w:rsidP="00953EC4">
                  <w:pPr>
                    <w:rPr>
                      <w:rFonts w:ascii="Arial" w:hAnsi="Arial"/>
                      <w:b/>
                      <w:sz w:val="20"/>
                      <w:szCs w:val="20"/>
                    </w:rPr>
                  </w:pPr>
                  <w:r w:rsidRPr="00022345">
                    <w:rPr>
                      <w:rFonts w:ascii="Arial" w:hAnsi="Arial"/>
                      <w:b/>
                      <w:sz w:val="20"/>
                      <w:szCs w:val="20"/>
                    </w:rPr>
                    <w:t>Final Mark</w:t>
                  </w:r>
                </w:p>
                <w:p w:rsidR="00371427" w:rsidRPr="00116CE6" w:rsidRDefault="00371427" w:rsidP="00953EC4">
                  <w:pPr>
                    <w:rPr>
                      <w:rFonts w:ascii="Arial" w:hAnsi="Arial"/>
                      <w:sz w:val="20"/>
                      <w:szCs w:val="20"/>
                    </w:rPr>
                  </w:pPr>
                </w:p>
              </w:tc>
              <w:tc>
                <w:tcPr>
                  <w:tcW w:w="1660" w:type="dxa"/>
                </w:tcPr>
                <w:p w:rsidR="00371427" w:rsidRPr="00116CE6" w:rsidRDefault="00371427" w:rsidP="00953EC4">
                  <w:pPr>
                    <w:rPr>
                      <w:rFonts w:ascii="Arial" w:hAnsi="Arial"/>
                      <w:sz w:val="20"/>
                      <w:szCs w:val="20"/>
                    </w:rPr>
                  </w:pPr>
                </w:p>
              </w:tc>
            </w:tr>
          </w:tbl>
          <w:p w:rsidR="00371427" w:rsidRDefault="00371427" w:rsidP="00953EC4">
            <w:pPr>
              <w:pStyle w:val="NormalWeb"/>
              <w:spacing w:before="0" w:beforeAutospacing="0" w:after="0" w:afterAutospacing="0"/>
              <w:ind w:left="142" w:right="34"/>
              <w:rPr>
                <w:rFonts w:ascii="Arial" w:hAnsi="Arial" w:cs="Arial"/>
                <w:b/>
                <w:sz w:val="22"/>
                <w:szCs w:val="22"/>
              </w:rPr>
            </w:pPr>
          </w:p>
          <w:p w:rsidR="00371427" w:rsidRPr="00230F35" w:rsidRDefault="00371427" w:rsidP="00953EC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371427" w:rsidRDefault="00371427" w:rsidP="00953EC4">
            <w:pPr>
              <w:pStyle w:val="NormalWeb"/>
              <w:spacing w:before="0" w:beforeAutospacing="0" w:after="0" w:afterAutospacing="0"/>
              <w:rPr>
                <w:rFonts w:ascii="Arial" w:hAnsi="Arial" w:cs="Arial"/>
                <w:b/>
                <w:sz w:val="22"/>
                <w:szCs w:val="22"/>
              </w:rPr>
            </w:pPr>
          </w:p>
          <w:p w:rsidR="00371427" w:rsidRDefault="00371427" w:rsidP="00953EC4">
            <w:pPr>
              <w:pStyle w:val="NormalWeb"/>
              <w:spacing w:before="0" w:beforeAutospacing="0" w:after="0" w:afterAutospacing="0"/>
              <w:rPr>
                <w:rFonts w:ascii="Arial" w:hAnsi="Arial" w:cs="Arial"/>
                <w:b/>
                <w:sz w:val="22"/>
                <w:szCs w:val="22"/>
              </w:rPr>
            </w:pPr>
          </w:p>
          <w:p w:rsidR="00371427" w:rsidRDefault="00371427" w:rsidP="00953EC4">
            <w:pPr>
              <w:pStyle w:val="NormalWeb"/>
              <w:spacing w:before="0" w:beforeAutospacing="0" w:after="0" w:afterAutospacing="0"/>
              <w:rPr>
                <w:rFonts w:ascii="Arial" w:hAnsi="Arial" w:cs="Arial"/>
                <w:b/>
                <w:sz w:val="22"/>
                <w:szCs w:val="22"/>
              </w:rPr>
            </w:pPr>
          </w:p>
          <w:p w:rsidR="00371427" w:rsidRDefault="00371427" w:rsidP="00953EC4">
            <w:pPr>
              <w:pStyle w:val="NormalWeb"/>
              <w:spacing w:before="0" w:beforeAutospacing="0" w:after="0" w:afterAutospacing="0"/>
              <w:rPr>
                <w:rFonts w:ascii="Arial" w:hAnsi="Arial" w:cs="Arial"/>
                <w:b/>
                <w:sz w:val="22"/>
                <w:szCs w:val="22"/>
              </w:rPr>
            </w:pPr>
          </w:p>
          <w:p w:rsidR="00371427" w:rsidRDefault="00371427" w:rsidP="00953EC4">
            <w:pPr>
              <w:pStyle w:val="NormalWeb"/>
              <w:spacing w:before="0" w:beforeAutospacing="0" w:after="0" w:afterAutospacing="0"/>
              <w:rPr>
                <w:rFonts w:ascii="Arial" w:hAnsi="Arial" w:cs="Arial"/>
                <w:b/>
                <w:sz w:val="22"/>
                <w:szCs w:val="22"/>
              </w:rPr>
            </w:pPr>
          </w:p>
          <w:p w:rsidR="00371427" w:rsidRPr="00230F35" w:rsidRDefault="00371427" w:rsidP="00953EC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371427" w:rsidRDefault="00371427" w:rsidP="00953EC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371427" w:rsidRPr="00001C3B" w:rsidRDefault="00371427" w:rsidP="00953EC4">
            <w:pPr>
              <w:pStyle w:val="NormalWeb"/>
              <w:rPr>
                <w:rFonts w:ascii="Arial" w:hAnsi="Arial" w:cs="Arial"/>
                <w:sz w:val="22"/>
                <w:szCs w:val="22"/>
              </w:rPr>
            </w:pPr>
          </w:p>
        </w:tc>
      </w:tr>
      <w:tr w:rsidR="00371427" w:rsidRPr="00230F35" w:rsidTr="00953EC4">
        <w:trPr>
          <w:trHeight w:val="492"/>
        </w:trPr>
        <w:tc>
          <w:tcPr>
            <w:tcW w:w="6768" w:type="dxa"/>
            <w:gridSpan w:val="3"/>
          </w:tcPr>
          <w:p w:rsidR="00371427" w:rsidRPr="00230F35" w:rsidRDefault="00371427" w:rsidP="00953EC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371427" w:rsidRPr="00230F35" w:rsidRDefault="00371427" w:rsidP="00953EC4">
            <w:pPr>
              <w:pStyle w:val="NormalWeb"/>
              <w:spacing w:after="0"/>
              <w:ind w:left="142" w:right="34"/>
              <w:rPr>
                <w:rFonts w:ascii="Arial" w:hAnsi="Arial" w:cs="Arial"/>
                <w:sz w:val="22"/>
                <w:szCs w:val="22"/>
              </w:rPr>
            </w:pPr>
            <w:r w:rsidRPr="00230F35">
              <w:rPr>
                <w:rFonts w:ascii="Arial" w:hAnsi="Arial" w:cs="Arial"/>
                <w:sz w:val="22"/>
                <w:szCs w:val="22"/>
              </w:rPr>
              <w:t>Date:</w:t>
            </w:r>
          </w:p>
        </w:tc>
      </w:tr>
      <w:tr w:rsidR="00371427" w:rsidRPr="002F467C" w:rsidTr="00953EC4">
        <w:tc>
          <w:tcPr>
            <w:tcW w:w="8856" w:type="dxa"/>
            <w:gridSpan w:val="5"/>
          </w:tcPr>
          <w:p w:rsidR="00371427" w:rsidRPr="00230F35" w:rsidRDefault="00371427" w:rsidP="00953EC4">
            <w:pPr>
              <w:pStyle w:val="NormalWeb"/>
              <w:spacing w:before="0" w:beforeAutospacing="0" w:after="0" w:afterAutospacing="0"/>
              <w:ind w:right="-334"/>
              <w:rPr>
                <w:rFonts w:ascii="Arial" w:hAnsi="Arial" w:cs="Arial"/>
                <w:bCs/>
                <w:i/>
                <w:sz w:val="22"/>
                <w:szCs w:val="22"/>
              </w:rPr>
            </w:pPr>
          </w:p>
          <w:p w:rsidR="00371427" w:rsidRPr="00230F35" w:rsidRDefault="00371427" w:rsidP="00953EC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371427" w:rsidRPr="00230F35" w:rsidRDefault="00371427" w:rsidP="00953EC4">
            <w:pPr>
              <w:pStyle w:val="NormalWeb"/>
              <w:spacing w:before="0" w:beforeAutospacing="0" w:after="0" w:afterAutospacing="0"/>
              <w:ind w:right="-334"/>
              <w:rPr>
                <w:rFonts w:ascii="Arial" w:hAnsi="Arial" w:cs="Arial"/>
                <w:b/>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tc>
      </w:tr>
      <w:tr w:rsidR="00371427" w:rsidRPr="002F467C" w:rsidTr="00953EC4">
        <w:trPr>
          <w:trHeight w:val="720"/>
        </w:trPr>
        <w:tc>
          <w:tcPr>
            <w:tcW w:w="5211" w:type="dxa"/>
            <w:gridSpan w:val="2"/>
          </w:tcPr>
          <w:p w:rsidR="00371427" w:rsidRPr="00230F35" w:rsidRDefault="00371427" w:rsidP="00953EC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rsidR="00371427" w:rsidRPr="00230F35" w:rsidRDefault="00371427" w:rsidP="00953EC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71427" w:rsidRPr="002F467C" w:rsidTr="00953EC4">
        <w:trPr>
          <w:trHeight w:val="720"/>
        </w:trPr>
        <w:tc>
          <w:tcPr>
            <w:tcW w:w="8856" w:type="dxa"/>
            <w:gridSpan w:val="5"/>
          </w:tcPr>
          <w:p w:rsidR="00371427" w:rsidRPr="00B34964" w:rsidRDefault="00371427" w:rsidP="00953EC4">
            <w:pPr>
              <w:rPr>
                <w:rFonts w:ascii="Arial" w:hAnsi="Arial" w:cs="Arial"/>
                <w:b/>
              </w:rPr>
            </w:pPr>
            <w:r w:rsidRPr="00B34964">
              <w:rPr>
                <w:rFonts w:ascii="Arial" w:hAnsi="Arial" w:cs="Arial"/>
                <w:b/>
              </w:rPr>
              <w:t>External Examiner’s comments (if relevant)</w:t>
            </w: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p w:rsidR="00371427" w:rsidRPr="00230F35" w:rsidRDefault="00371427" w:rsidP="00953EC4">
            <w:pPr>
              <w:pStyle w:val="NormalWeb"/>
              <w:spacing w:before="0" w:beforeAutospacing="0" w:after="0" w:afterAutospacing="0"/>
              <w:ind w:right="-334"/>
              <w:rPr>
                <w:rFonts w:ascii="Arial" w:hAnsi="Arial" w:cs="Arial"/>
                <w:bCs/>
                <w:sz w:val="22"/>
                <w:szCs w:val="22"/>
              </w:rPr>
            </w:pPr>
          </w:p>
        </w:tc>
      </w:tr>
      <w:tr w:rsidR="00371427" w:rsidRPr="002F467C" w:rsidTr="00953EC4">
        <w:trPr>
          <w:trHeight w:val="720"/>
        </w:trPr>
        <w:tc>
          <w:tcPr>
            <w:tcW w:w="5211" w:type="dxa"/>
            <w:gridSpan w:val="2"/>
          </w:tcPr>
          <w:p w:rsidR="00371427" w:rsidRPr="00230F35" w:rsidRDefault="00371427" w:rsidP="00953EC4">
            <w:pPr>
              <w:rPr>
                <w:rFonts w:ascii="Arial" w:hAnsi="Arial" w:cs="Arial"/>
              </w:rPr>
            </w:pPr>
            <w:r w:rsidRPr="00230F35">
              <w:rPr>
                <w:rFonts w:ascii="Arial" w:hAnsi="Arial" w:cs="Arial"/>
              </w:rPr>
              <w:t>External Examiner’s Signature:</w:t>
            </w:r>
          </w:p>
        </w:tc>
        <w:tc>
          <w:tcPr>
            <w:tcW w:w="3645" w:type="dxa"/>
            <w:gridSpan w:val="3"/>
          </w:tcPr>
          <w:p w:rsidR="00371427" w:rsidRPr="00230F35" w:rsidRDefault="00371427" w:rsidP="00953EC4">
            <w:pPr>
              <w:rPr>
                <w:rFonts w:ascii="Arial" w:hAnsi="Arial" w:cs="Arial"/>
              </w:rPr>
            </w:pPr>
            <w:r w:rsidRPr="00230F35">
              <w:rPr>
                <w:rFonts w:ascii="Arial" w:hAnsi="Arial" w:cs="Arial"/>
              </w:rPr>
              <w:t>Date:</w:t>
            </w:r>
          </w:p>
        </w:tc>
      </w:tr>
    </w:tbl>
    <w:p w:rsidR="00371427" w:rsidRPr="00D67BF8" w:rsidRDefault="00371427" w:rsidP="00371427">
      <w:pPr>
        <w:pStyle w:val="NormalWeb"/>
        <w:spacing w:before="0" w:beforeAutospacing="0" w:after="0" w:afterAutospacing="0"/>
        <w:ind w:right="-334"/>
        <w:rPr>
          <w:rFonts w:ascii="Trebuchet MS" w:hAnsi="Trebuchet MS" w:cs="Tahoma"/>
          <w:bCs/>
          <w:sz w:val="24"/>
          <w:szCs w:val="24"/>
        </w:rPr>
      </w:pPr>
    </w:p>
    <w:p w:rsidR="00371427" w:rsidRDefault="00371427">
      <w:pPr>
        <w:rPr>
          <w:rFonts w:asciiTheme="majorHAnsi" w:eastAsiaTheme="majorEastAsia" w:hAnsiTheme="majorHAnsi" w:cstheme="majorBidi"/>
          <w:color w:val="2E74B5" w:themeColor="accent1" w:themeShade="BF"/>
          <w:sz w:val="32"/>
          <w:szCs w:val="32"/>
        </w:rPr>
      </w:pPr>
      <w:r>
        <w:br w:type="page"/>
      </w:r>
    </w:p>
    <w:p w:rsidR="00371427" w:rsidRDefault="00371427" w:rsidP="004E326B">
      <w:pPr>
        <w:pStyle w:val="Heading1"/>
      </w:pPr>
    </w:p>
    <w:p w:rsidR="00AF144E" w:rsidRDefault="00AF144E" w:rsidP="00AF144E">
      <w:pPr>
        <w:pStyle w:val="Heading1"/>
        <w:ind w:left="864"/>
        <w:contextualSpacing/>
      </w:pPr>
      <w:r>
        <w:t>The Universe is Expanding: The Cultural Rift in Contemporary Cosmology</w:t>
      </w:r>
    </w:p>
    <w:p w:rsidR="00AF144E" w:rsidRPr="00D17782" w:rsidRDefault="00AF144E" w:rsidP="00AF144E">
      <w:pPr>
        <w:pStyle w:val="Heading3"/>
        <w:ind w:left="864"/>
        <w:contextualSpacing/>
      </w:pPr>
      <w:r w:rsidRPr="00D17782">
        <w:t>Introduction</w:t>
      </w:r>
    </w:p>
    <w:p w:rsidR="00AF144E" w:rsidRDefault="00AF144E" w:rsidP="00AF144E">
      <w:pPr>
        <w:ind w:left="864" w:firstLine="576"/>
        <w:contextualSpacing/>
      </w:pPr>
      <w:r>
        <w:t xml:space="preserve">Questions of cosmology are among the most ubiquitous and ancient questions that humans have posed. Cultures vary widely in their concepts of the nature and origin of the cosmos, which often encompasses the nature of reality. This essay explores how human understanding of the cosmos is inextricably woven into language, perceptions, and paradigms, which are culturally conditioned. Since a thorough understanding of an alien culture is impossible without cultural and linguistic indoctrination from birth, the sample cultures contrasted in this essay are Western scientists in the Newtonian tradition, referred to here as ‘mainstream’ and Western scientists who are exploring the implications of quantum physics as a manifestation of consciousness, referred to here as ‘non-dualists’. The study of cosmology is so vulnerable to cultural influences that there are deep rifts between these subcultures within the subculture of scientists who study cosmology and quantum physics. </w:t>
      </w:r>
    </w:p>
    <w:p w:rsidR="00AF144E" w:rsidRDefault="00AF144E" w:rsidP="00AF144E">
      <w:pPr>
        <w:pStyle w:val="Heading3"/>
        <w:ind w:left="864"/>
        <w:contextualSpacing/>
      </w:pPr>
      <w:r>
        <w:t>The Question</w:t>
      </w:r>
    </w:p>
    <w:p w:rsidR="00AF144E" w:rsidRDefault="00AF144E" w:rsidP="00AF144E">
      <w:pPr>
        <w:ind w:left="864" w:firstLine="576"/>
        <w:contextualSpacing/>
      </w:pPr>
      <w:r>
        <w:t>Is cosmology culturally conditioned? Despite a broad range of definitions for both ‘culture’ and ‘cosmology’, this question is easily resolved. The simplest definition of ‘cosmology’ is the ‘study of the nature and origin of the universe.’</w:t>
      </w:r>
      <w:r>
        <w:rPr>
          <w:rStyle w:val="FootnoteReference"/>
        </w:rPr>
        <w:footnoteReference w:id="1"/>
      </w:r>
      <w:r>
        <w:t xml:space="preserve"> The only part of the universe, or cosmos directly tangible to humans is the air we breathe and the weather we experience. We can see stars and planets, but they are so distant and removed from our other senses, that any conjecture about their nature, movements, or origin is an abstraction. ‘Culture’ can also be defined across a spectrum of social behaviors and phenomena, but at a minimum every culture shares a language. Because cosmology is an abstraction and can only be communicated through language, it will be inherently subject to cultural conditioning.</w:t>
      </w:r>
    </w:p>
    <w:p w:rsidR="00AF144E" w:rsidRDefault="00AF144E" w:rsidP="00AF144E">
      <w:pPr>
        <w:pStyle w:val="Heading3"/>
        <w:ind w:left="864"/>
        <w:contextualSpacing/>
      </w:pPr>
      <w:r>
        <w:t xml:space="preserve">Defining Culture and Subculture </w:t>
      </w:r>
    </w:p>
    <w:p w:rsidR="00AF144E" w:rsidRDefault="00AF144E" w:rsidP="00AF144E">
      <w:pPr>
        <w:ind w:left="864" w:firstLine="576"/>
        <w:contextualSpacing/>
      </w:pPr>
      <w:r>
        <w:t>The classic definition of culture by Edward B. Tylor (1832-1917, ‘is that complex whole which includes knowledge, belief, art, law, morals, custom and any other capabilities and habits acquired by man as a member of society.’</w:t>
      </w:r>
      <w:r>
        <w:rPr>
          <w:rStyle w:val="FootnoteReference"/>
        </w:rPr>
        <w:footnoteReference w:id="2"/>
      </w:r>
      <w:r>
        <w:t xml:space="preserve"> Tylor considered ‘culture’ universal to all humanity and never used the plural, while Franz Boas </w:t>
      </w:r>
      <w:r w:rsidRPr="00E4064C">
        <w:rPr>
          <w:rFonts w:cstheme="minorHAnsi"/>
          <w:shd w:val="clear" w:color="auto" w:fill="FFFFFF"/>
        </w:rPr>
        <w:t>(1858–1942)</w:t>
      </w:r>
      <w:r w:rsidRPr="00E4064C">
        <w:rPr>
          <w:rFonts w:ascii="Roboto" w:hAnsi="Roboto"/>
          <w:sz w:val="21"/>
          <w:szCs w:val="21"/>
          <w:shd w:val="clear" w:color="auto" w:fill="FFFFFF"/>
        </w:rPr>
        <w:t> </w:t>
      </w:r>
      <w:r>
        <w:t>distinguished between cultures and his students initiated cultural relativism, which recognized that subgroups of humans have distinct cultures.</w:t>
      </w:r>
      <w:r>
        <w:rPr>
          <w:rStyle w:val="FootnoteReference"/>
        </w:rPr>
        <w:footnoteReference w:id="3"/>
      </w:r>
      <w:r>
        <w:t xml:space="preserve"> Few definitions of ‘culture’ in the anthropological literature </w:t>
      </w:r>
      <w:r>
        <w:lastRenderedPageBreak/>
        <w:t xml:space="preserve">explicitly mention language, but David </w:t>
      </w:r>
      <w:proofErr w:type="spellStart"/>
      <w:r>
        <w:t>Bidney</w:t>
      </w:r>
      <w:proofErr w:type="spellEnd"/>
      <w:r>
        <w:t xml:space="preserve"> concludes, ‘</w:t>
      </w:r>
      <w:r w:rsidRPr="00A5314D">
        <w:t>Anthropologists and sociologists are in general agreement that human culture is acquired or created by man as a member of society and that it is communicated largely by language</w:t>
      </w:r>
      <w:r>
        <w:t>.’</w:t>
      </w:r>
      <w:r>
        <w:rPr>
          <w:rStyle w:val="FootnoteReference"/>
        </w:rPr>
        <w:footnoteReference w:id="4"/>
      </w:r>
      <w:r>
        <w:t xml:space="preserve"> Gerald Weiss uses the definition ‘all human non-genetic phenomena’ for culture and suggests language isolates cultures, just as genetic differences isolate species.</w:t>
      </w:r>
      <w:r>
        <w:rPr>
          <w:rStyle w:val="FootnoteReference"/>
        </w:rPr>
        <w:footnoteReference w:id="5"/>
      </w:r>
      <w:r>
        <w:t xml:space="preserve"> For the purposes of this paper, ‘culture’ is the shared languages, symbols, and paradigms of any specific subgroup for the purpose of communicating meaning among its members. </w:t>
      </w:r>
    </w:p>
    <w:p w:rsidR="00AF144E" w:rsidRDefault="00AF144E" w:rsidP="00AF144E">
      <w:pPr>
        <w:pStyle w:val="Heading3"/>
        <w:ind w:left="864"/>
        <w:contextualSpacing/>
      </w:pPr>
      <w:r>
        <w:t xml:space="preserve">Defining Cosmology </w:t>
      </w:r>
    </w:p>
    <w:p w:rsidR="00AF144E" w:rsidRDefault="00AF144E" w:rsidP="00AF144E">
      <w:pPr>
        <w:ind w:left="864" w:firstLine="576"/>
        <w:contextualSpacing/>
        <w:rPr>
          <w:rFonts w:ascii="Calibri" w:hAnsi="Calibri" w:cs="Calibri"/>
        </w:rPr>
      </w:pPr>
      <w:r>
        <w:t xml:space="preserve">Although ‘culture’ seems to include all ideas, thoughts, symbols, and languages conceived by the human mind, ‘cosmology’ opens the door to everything that has ever been, is, or will be. The Greek word </w:t>
      </w:r>
      <w:r>
        <w:rPr>
          <w:i/>
          <w:iCs/>
        </w:rPr>
        <w:t>c</w:t>
      </w:r>
      <w:r w:rsidRPr="00842DFD">
        <w:rPr>
          <w:i/>
          <w:iCs/>
        </w:rPr>
        <w:t>osmos</w:t>
      </w:r>
      <w:r>
        <w:t xml:space="preserve"> meant order, arrangement, decency, glory, ornament, world, regularity, and universe.</w:t>
      </w:r>
      <w:r>
        <w:rPr>
          <w:rStyle w:val="FootnoteReference"/>
        </w:rPr>
        <w:footnoteReference w:id="6"/>
      </w:r>
      <w:r>
        <w:t xml:space="preserve"> Plato </w:t>
      </w:r>
      <w:r w:rsidRPr="004A360E">
        <w:rPr>
          <w:rFonts w:cstheme="minorHAnsi"/>
        </w:rPr>
        <w:t>(</w:t>
      </w:r>
      <w:r w:rsidRPr="004A360E">
        <w:rPr>
          <w:rFonts w:cstheme="minorHAnsi"/>
          <w:color w:val="222222"/>
          <w:shd w:val="clear" w:color="auto" w:fill="FFFFFF"/>
        </w:rPr>
        <w:t>428/427 or 424/423 – 348/347 BC</w:t>
      </w:r>
      <w:r>
        <w:rPr>
          <w:rFonts w:cstheme="minorHAnsi"/>
          <w:color w:val="222222"/>
          <w:shd w:val="clear" w:color="auto" w:fill="FFFFFF"/>
        </w:rPr>
        <w:t>E</w:t>
      </w:r>
      <w:r w:rsidRPr="004A360E">
        <w:rPr>
          <w:rFonts w:cstheme="minorHAnsi"/>
          <w:color w:val="222222"/>
          <w:shd w:val="clear" w:color="auto" w:fill="FFFFFF"/>
        </w:rPr>
        <w:t xml:space="preserve">) </w:t>
      </w:r>
      <w:r>
        <w:t>was following a long tradition when he looked for order and harmony in the regular cycles of the stars and the vast space, to which the term cosmology applies today. There are more restrictive definitions of cosmology, such as the one used by NASA, ‘the scientific study of large scale properties of the universe as a whole.’</w:t>
      </w:r>
      <w:r>
        <w:rPr>
          <w:rStyle w:val="FootnoteReference"/>
        </w:rPr>
        <w:footnoteReference w:id="7"/>
      </w:r>
      <w:r>
        <w:t xml:space="preserve"> Brian Greene refers to cosmology as ‘the study of the origin and evolution of the entire cosmos.’</w:t>
      </w:r>
      <w:r>
        <w:rPr>
          <w:rStyle w:val="FootnoteReference"/>
        </w:rPr>
        <w:footnoteReference w:id="8"/>
      </w:r>
      <w:r>
        <w:t xml:space="preserve"> From a cultural perspective, Joel Primack defines cosmology as ‘</w:t>
      </w:r>
      <w:r>
        <w:rPr>
          <w:rFonts w:ascii="Calibri" w:hAnsi="Calibri" w:cs="Calibri"/>
        </w:rPr>
        <w:t>what gives its members their fundamental sense of where they come from, who they are, and what their personal role in life's larger picture might be. Cosmology is whatever picture of the universe a culture agrees on.’</w:t>
      </w:r>
      <w:r>
        <w:rPr>
          <w:rStyle w:val="FootnoteReference"/>
          <w:rFonts w:ascii="Calibri" w:hAnsi="Calibri" w:cs="Calibri"/>
        </w:rPr>
        <w:footnoteReference w:id="9"/>
      </w:r>
      <w:r>
        <w:rPr>
          <w:rFonts w:ascii="Calibri" w:hAnsi="Calibri" w:cs="Calibri"/>
        </w:rPr>
        <w:t> Virtually all traditional cultures expressed this ‘picture’ in creation myths, which describe the ‘fundamental reality, primal causes, and understanding of man’s place in space and time, as well as the cosmos,’ according to Barbara Sproul.</w:t>
      </w:r>
      <w:r>
        <w:rPr>
          <w:rStyle w:val="FootnoteReference"/>
          <w:rFonts w:ascii="Calibri" w:hAnsi="Calibri" w:cs="Calibri"/>
        </w:rPr>
        <w:footnoteReference w:id="10"/>
      </w:r>
      <w:r>
        <w:rPr>
          <w:rFonts w:ascii="Calibri" w:hAnsi="Calibri" w:cs="Calibri"/>
        </w:rPr>
        <w:t xml:space="preserve"> The non-dualist perspective stated by Fred Alan Wolf, PhD. is, ‘There is no “out there”, out there, independent of what’s going on “in here.”’</w:t>
      </w:r>
      <w:r w:rsidRPr="00B162F4">
        <w:rPr>
          <w:rStyle w:val="FootnoteReference"/>
          <w:rFonts w:ascii="Calibri" w:hAnsi="Calibri" w:cs="Calibri"/>
        </w:rPr>
        <w:t xml:space="preserve"> </w:t>
      </w:r>
      <w:r>
        <w:rPr>
          <w:rStyle w:val="FootnoteReference"/>
          <w:rFonts w:ascii="Calibri" w:hAnsi="Calibri" w:cs="Calibri"/>
        </w:rPr>
        <w:footnoteReference w:id="11"/>
      </w:r>
      <w:r>
        <w:rPr>
          <w:rFonts w:ascii="Calibri" w:hAnsi="Calibri" w:cs="Calibri"/>
        </w:rPr>
        <w:t xml:space="preserve"> In other words, consciousness is a key component of the cosmos, which includes all thoughts, dreams, and emotions.</w:t>
      </w:r>
    </w:p>
    <w:p w:rsidR="00AF144E" w:rsidRDefault="00AF144E" w:rsidP="00AF144E">
      <w:pPr>
        <w:pStyle w:val="Heading3"/>
        <w:ind w:left="864"/>
        <w:contextualSpacing/>
      </w:pPr>
      <w:r>
        <w:t>Linguistic Conditioning</w:t>
      </w:r>
    </w:p>
    <w:p w:rsidR="00AF144E" w:rsidRDefault="00AF144E" w:rsidP="00AF144E">
      <w:pPr>
        <w:ind w:left="864" w:firstLine="576"/>
        <w:contextualSpacing/>
      </w:pPr>
      <w:r>
        <w:t xml:space="preserve">Language begins to condition our understanding of the universe, starting with the first words we learn.  A simple example is the English reference to the sun and moon as neutral, like all impersonal nouns; in French </w:t>
      </w:r>
      <w:r w:rsidRPr="001A5B52">
        <w:rPr>
          <w:i/>
        </w:rPr>
        <w:t>le soleil</w:t>
      </w:r>
      <w:r>
        <w:t xml:space="preserve"> is masculine</w:t>
      </w:r>
      <w:r w:rsidRPr="00182D72">
        <w:rPr>
          <w:i/>
        </w:rPr>
        <w:t xml:space="preserve"> </w:t>
      </w:r>
      <w:r>
        <w:t>and</w:t>
      </w:r>
      <w:r>
        <w:rPr>
          <w:i/>
        </w:rPr>
        <w:t xml:space="preserve"> la lune </w:t>
      </w:r>
      <w:r>
        <w:t xml:space="preserve">is feminine, while in Germany </w:t>
      </w:r>
      <w:r w:rsidRPr="001A5B52">
        <w:rPr>
          <w:i/>
        </w:rPr>
        <w:t xml:space="preserve">die </w:t>
      </w:r>
      <w:proofErr w:type="spellStart"/>
      <w:r w:rsidRPr="001A5B52">
        <w:rPr>
          <w:i/>
        </w:rPr>
        <w:t>Sonne</w:t>
      </w:r>
      <w:proofErr w:type="spellEnd"/>
      <w:r>
        <w:t xml:space="preserve"> is feminine</w:t>
      </w:r>
      <w:r w:rsidRPr="00182D72">
        <w:rPr>
          <w:i/>
        </w:rPr>
        <w:t xml:space="preserve"> </w:t>
      </w:r>
      <w:r>
        <w:t xml:space="preserve">and </w:t>
      </w:r>
      <w:r w:rsidRPr="001A5B52">
        <w:rPr>
          <w:i/>
        </w:rPr>
        <w:t>der Mond</w:t>
      </w:r>
      <w:r>
        <w:t xml:space="preserve"> is masculine. Without language we can’t express </w:t>
      </w:r>
      <w:r>
        <w:lastRenderedPageBreak/>
        <w:t>time. In the few languages, which lack future or past tenses of verbs, relative time is expressed through other linguistic constructs.</w:t>
      </w:r>
      <w:r>
        <w:rPr>
          <w:rStyle w:val="FootnoteReference"/>
        </w:rPr>
        <w:footnoteReference w:id="12"/>
      </w:r>
      <w:r>
        <w:t xml:space="preserve"> Levinson point out that language may determine [spatial] categories rather than the other way around.</w:t>
      </w:r>
      <w:r>
        <w:rPr>
          <w:rStyle w:val="FootnoteReference"/>
        </w:rPr>
        <w:footnoteReference w:id="13"/>
      </w:r>
      <w:r>
        <w:t xml:space="preserve"> He goes on to note that even everyday spatial concepts vary widely and influence nonlinguistic reasoning between cultures. The discussion of cosmologies is inconceivable without the linguistic constructs of time and space, as many include origin stories and require the spatial location of distant stars. </w:t>
      </w:r>
    </w:p>
    <w:p w:rsidR="00AF144E" w:rsidRDefault="00AF144E" w:rsidP="00AF144E">
      <w:pPr>
        <w:ind w:left="864" w:firstLine="576"/>
        <w:contextualSpacing/>
      </w:pPr>
      <w:r>
        <w:t>English has become the universal language among Western scientists, but among quantum physicists, the shared language is advanced mathematics. Only 0.01% of the Western population has the education to understand the mathematics and language of quantum physics.</w:t>
      </w:r>
      <w:r>
        <w:rPr>
          <w:rStyle w:val="FootnoteReference"/>
        </w:rPr>
        <w:footnoteReference w:id="14"/>
      </w:r>
      <w:r>
        <w:t xml:space="preserve"> Have the unique symbolism, language, ideas, values, and behaviors bonded quantum physicists into a subculture?</w:t>
      </w:r>
      <w:r w:rsidRPr="008F6841">
        <w:t xml:space="preserve"> </w:t>
      </w:r>
      <w:r>
        <w:t xml:space="preserve">According to </w:t>
      </w:r>
      <w:proofErr w:type="spellStart"/>
      <w:r>
        <w:t>Cathrine</w:t>
      </w:r>
      <w:proofErr w:type="spellEnd"/>
      <w:r>
        <w:t xml:space="preserve"> </w:t>
      </w:r>
      <w:proofErr w:type="spellStart"/>
      <w:r>
        <w:t>Hasse</w:t>
      </w:r>
      <w:proofErr w:type="spellEnd"/>
      <w:r>
        <w:t xml:space="preserve">, in the global community of particle physicists, it is shared experience and learning that distinguishes subcultures. This essay examines how cultural differences between two subgroups of scientists alters their perception of the cosmos, even when they use the same data and theories. ‘Mainstream’ scientists are defined as those who pursue the Platonic ideal of a mathematical order underlying a universe, which can only be understood through rational thought and objective, scientific methods. ‘Non-dualist’ scientists, including physicists, neuroscientists, and biologists </w:t>
      </w:r>
      <w:r>
        <w:rPr>
          <w:rFonts w:ascii="Calibri" w:hAnsi="Calibri" w:cs="Calibri"/>
        </w:rPr>
        <w:t>are incorporating ‘consciousness’, ‘intention’, ‘mind’ and ‘spirit’ into the discussion of the nature of the universe in addition to ‘mainstream concepts.</w:t>
      </w:r>
      <w:r>
        <w:rPr>
          <w:rStyle w:val="FootnoteReference"/>
          <w:rFonts w:ascii="Calibri" w:hAnsi="Calibri" w:cs="Calibri"/>
        </w:rPr>
        <w:footnoteReference w:id="15"/>
      </w:r>
      <w:r>
        <w:t xml:space="preserve">  </w:t>
      </w:r>
      <w:r>
        <w:rPr>
          <w:rFonts w:ascii="Calibri" w:hAnsi="Calibri" w:cs="Calibri"/>
        </w:rPr>
        <w:t>Non-dualists intuit that the universe functions as an organism rather than as the ‘mainstream’ deterministic machine, which can be taken apart and analyzed.</w:t>
      </w:r>
      <w:r>
        <w:rPr>
          <w:rStyle w:val="FootnoteReference"/>
          <w:rFonts w:ascii="Calibri" w:hAnsi="Calibri" w:cs="Calibri"/>
        </w:rPr>
        <w:footnoteReference w:id="16"/>
      </w:r>
    </w:p>
    <w:p w:rsidR="00AF144E" w:rsidRDefault="00AF144E" w:rsidP="00AF144E">
      <w:pPr>
        <w:ind w:left="864" w:firstLine="576"/>
        <w:contextualSpacing/>
        <w:rPr>
          <w:rFonts w:ascii="Calibri" w:hAnsi="Calibri" w:cs="Calibri"/>
        </w:rPr>
      </w:pPr>
      <w:r>
        <w:t>Mainstream scientists complain that language and even mathematics fail to describe the phenomena of quantum physics. Greene describes the ‘theoretician’s nightmare: the absence of mathematical tools with which to analyze a vital realm that lies beyond experimental accessibility.’</w:t>
      </w:r>
      <w:r>
        <w:rPr>
          <w:rStyle w:val="FootnoteReference"/>
        </w:rPr>
        <w:footnoteReference w:id="17"/>
      </w:r>
      <w:r>
        <w:t xml:space="preserve"> An additional layer of difficulty is the creation of a narrative that will be accessible to general public.</w:t>
      </w:r>
      <w:r>
        <w:rPr>
          <w:rStyle w:val="FootnoteReference"/>
        </w:rPr>
        <w:footnoteReference w:id="18"/>
      </w:r>
      <w:r>
        <w:t xml:space="preserve"> ‘</w:t>
      </w:r>
      <w:r>
        <w:rPr>
          <w:rFonts w:ascii="Calibri" w:hAnsi="Calibri" w:cs="Calibri"/>
        </w:rPr>
        <w:t xml:space="preserve">To a highly unusual degree, Heisenberg is gripped by a sense of the responsibility of the modern quantum physicist to convey, in language immediately intelligible to the thinking public, his most serious and far-reaching reflections on the metaphysical implications of his scientific work,’ according to Thomas </w:t>
      </w:r>
      <w:proofErr w:type="spellStart"/>
      <w:r>
        <w:rPr>
          <w:rFonts w:ascii="Calibri" w:hAnsi="Calibri" w:cs="Calibri"/>
        </w:rPr>
        <w:t>Pangle</w:t>
      </w:r>
      <w:proofErr w:type="spellEnd"/>
      <w:r>
        <w:rPr>
          <w:rFonts w:ascii="Calibri" w:hAnsi="Calibri" w:cs="Calibri"/>
        </w:rPr>
        <w:t>.</w:t>
      </w:r>
      <w:r>
        <w:rPr>
          <w:rStyle w:val="FootnoteReference"/>
        </w:rPr>
        <w:footnoteReference w:id="19"/>
      </w:r>
      <w:r>
        <w:rPr>
          <w:rFonts w:ascii="Calibri" w:hAnsi="Calibri" w:cs="Calibri"/>
        </w:rPr>
        <w:t xml:space="preserve"> </w:t>
      </w:r>
    </w:p>
    <w:p w:rsidR="00AF144E" w:rsidRDefault="00AF144E" w:rsidP="00AF144E">
      <w:pPr>
        <w:ind w:left="864" w:firstLine="576"/>
        <w:contextualSpacing/>
        <w:rPr>
          <w:rFonts w:ascii="Calibri" w:hAnsi="Calibri" w:cs="Calibri"/>
        </w:rPr>
      </w:pPr>
      <w:r>
        <w:rPr>
          <w:rFonts w:ascii="Calibri" w:hAnsi="Calibri" w:cs="Calibri"/>
        </w:rPr>
        <w:t xml:space="preserve">Language is also a factor in the rift between mainstream and non-dualist scientists. Greene states that, ‘Physics addresses only things we can measure… that </w:t>
      </w:r>
      <w:r w:rsidRPr="00360FE2">
        <w:rPr>
          <w:rFonts w:ascii="Calibri" w:hAnsi="Calibri" w:cs="Calibri"/>
          <w:i/>
          <w:iCs/>
        </w:rPr>
        <w:t>is</w:t>
      </w:r>
      <w:r>
        <w:rPr>
          <w:rFonts w:ascii="Calibri" w:hAnsi="Calibri" w:cs="Calibri"/>
        </w:rPr>
        <w:t xml:space="preserve"> reality. Trying to </w:t>
      </w:r>
      <w:r>
        <w:rPr>
          <w:rFonts w:ascii="Calibri" w:hAnsi="Calibri" w:cs="Calibri"/>
        </w:rPr>
        <w:lastRenderedPageBreak/>
        <w:t>use physics to analyze a “deeper” reality’ is illogical.</w:t>
      </w:r>
      <w:r>
        <w:rPr>
          <w:rStyle w:val="FootnoteReference"/>
          <w:rFonts w:ascii="Calibri" w:hAnsi="Calibri" w:cs="Calibri"/>
        </w:rPr>
        <w:footnoteReference w:id="20"/>
      </w:r>
      <w:r>
        <w:rPr>
          <w:rFonts w:ascii="Calibri" w:hAnsi="Calibri" w:cs="Calibri"/>
        </w:rPr>
        <w:t xml:space="preserve"> M</w:t>
      </w:r>
      <w:r w:rsidRPr="00AC50FF">
        <w:rPr>
          <w:rFonts w:ascii="Calibri" w:hAnsi="Calibri" w:cs="Calibri"/>
        </w:rPr>
        <w:t>ainstream scien</w:t>
      </w:r>
      <w:r>
        <w:rPr>
          <w:rFonts w:ascii="Calibri" w:hAnsi="Calibri" w:cs="Calibri"/>
        </w:rPr>
        <w:t>tists</w:t>
      </w:r>
      <w:r w:rsidRPr="00AC50FF">
        <w:rPr>
          <w:rFonts w:ascii="Calibri" w:hAnsi="Calibri" w:cs="Calibri"/>
        </w:rPr>
        <w:t xml:space="preserve"> maintain that </w:t>
      </w:r>
      <w:r>
        <w:rPr>
          <w:rFonts w:ascii="Calibri" w:hAnsi="Calibri" w:cs="Calibri"/>
        </w:rPr>
        <w:t>cosmology</w:t>
      </w:r>
      <w:r w:rsidRPr="00AC50FF">
        <w:rPr>
          <w:rFonts w:ascii="Calibri" w:hAnsi="Calibri" w:cs="Calibri"/>
        </w:rPr>
        <w:t xml:space="preserve"> is rigorously based on experiential evidence, established laws, and mathematical principles</w:t>
      </w:r>
      <w:r>
        <w:rPr>
          <w:rFonts w:ascii="Calibri" w:hAnsi="Calibri" w:cs="Calibri"/>
        </w:rPr>
        <w:t xml:space="preserve">, even though theories like the Big Bang </w:t>
      </w:r>
      <w:r w:rsidRPr="00AC50FF">
        <w:rPr>
          <w:rFonts w:ascii="Calibri" w:hAnsi="Calibri" w:cs="Calibri"/>
        </w:rPr>
        <w:t>are well beyond our ability to measure directly and the prediction of ever smaller sub-particles precedes the ability to measure them.</w:t>
      </w:r>
      <w:r>
        <w:rPr>
          <w:rStyle w:val="FootnoteReference"/>
          <w:rFonts w:ascii="Calibri" w:hAnsi="Calibri" w:cs="Calibri"/>
        </w:rPr>
        <w:footnoteReference w:id="21"/>
      </w:r>
      <w:r w:rsidRPr="00AC50FF">
        <w:rPr>
          <w:rFonts w:ascii="Calibri" w:hAnsi="Calibri" w:cs="Calibri"/>
        </w:rPr>
        <w:t xml:space="preserve"> </w:t>
      </w:r>
      <w:r>
        <w:rPr>
          <w:rFonts w:ascii="Calibri" w:hAnsi="Calibri" w:cs="Calibri"/>
        </w:rPr>
        <w:t xml:space="preserve">Whether the use of sophisticated tools, mathematical formulae, and concepts substantiate contemporary theories remains to be </w:t>
      </w:r>
      <w:r w:rsidRPr="00C7161C">
        <w:rPr>
          <w:rFonts w:ascii="Calibri" w:hAnsi="Calibri" w:cs="Calibri"/>
        </w:rPr>
        <w:t xml:space="preserve">determined, but it should be noted that the experiential data in cosmology is filtered through an increasingly complex layer of cultural and technological </w:t>
      </w:r>
      <w:r w:rsidRPr="007F25C9">
        <w:rPr>
          <w:rFonts w:ascii="Calibri" w:hAnsi="Calibri" w:cs="Calibri"/>
        </w:rPr>
        <w:t xml:space="preserve">constructs. While accepting the precepts and language of mainstream science, </w:t>
      </w:r>
      <w:r>
        <w:rPr>
          <w:rFonts w:ascii="Calibri" w:hAnsi="Calibri" w:cs="Calibri"/>
        </w:rPr>
        <w:t xml:space="preserve">the </w:t>
      </w:r>
      <w:r w:rsidRPr="007F25C9">
        <w:rPr>
          <w:rFonts w:ascii="Calibri" w:hAnsi="Calibri" w:cs="Calibri"/>
        </w:rPr>
        <w:t xml:space="preserve">non-dualist Dean </w:t>
      </w:r>
      <w:proofErr w:type="spellStart"/>
      <w:r w:rsidRPr="007F25C9">
        <w:rPr>
          <w:rFonts w:ascii="Calibri" w:hAnsi="Calibri" w:cs="Calibri"/>
        </w:rPr>
        <w:t>Radin</w:t>
      </w:r>
      <w:proofErr w:type="spellEnd"/>
      <w:r w:rsidRPr="007F25C9">
        <w:rPr>
          <w:rFonts w:ascii="Calibri" w:hAnsi="Calibri" w:cs="Calibri"/>
        </w:rPr>
        <w:t xml:space="preserve"> ask</w:t>
      </w:r>
      <w:r>
        <w:rPr>
          <w:rFonts w:ascii="Calibri" w:hAnsi="Calibri" w:cs="Calibri"/>
        </w:rPr>
        <w:t>s</w:t>
      </w:r>
      <w:r w:rsidRPr="007F25C9">
        <w:rPr>
          <w:rFonts w:ascii="Calibri" w:hAnsi="Calibri" w:cs="Calibri"/>
        </w:rPr>
        <w:t xml:space="preserve"> if it logical for mainstream scientists to concepts, such as ‘psychic phenomena’, and ‘magic’ as taboo?</w:t>
      </w:r>
      <w:r w:rsidRPr="007F25C9">
        <w:rPr>
          <w:rStyle w:val="FootnoteReference"/>
          <w:rFonts w:ascii="Calibri" w:hAnsi="Calibri" w:cs="Calibri"/>
        </w:rPr>
        <w:footnoteReference w:id="22"/>
      </w:r>
      <w:r w:rsidRPr="007F25C9">
        <w:rPr>
          <w:rFonts w:ascii="Calibri" w:hAnsi="Calibri" w:cs="Calibri"/>
        </w:rPr>
        <w:t xml:space="preserve"> The search for a ‘theory of everything’, should</w:t>
      </w:r>
      <w:r>
        <w:rPr>
          <w:rFonts w:ascii="Calibri" w:hAnsi="Calibri" w:cs="Calibri"/>
        </w:rPr>
        <w:t xml:space="preserve"> consider all types of consciousness and phenomena, not just the material world.</w:t>
      </w:r>
    </w:p>
    <w:p w:rsidR="00AF144E" w:rsidRDefault="00AF144E" w:rsidP="00AF144E">
      <w:pPr>
        <w:pStyle w:val="Heading3"/>
        <w:ind w:left="864"/>
        <w:contextualSpacing/>
      </w:pPr>
      <w:r>
        <w:t>Perceptional Conditioning</w:t>
      </w:r>
    </w:p>
    <w:p w:rsidR="00AF144E" w:rsidRDefault="00AF144E" w:rsidP="00AF144E">
      <w:pPr>
        <w:ind w:left="864" w:firstLine="576"/>
        <w:contextualSpacing/>
      </w:pPr>
      <w:r>
        <w:t xml:space="preserve">While language is clearly a learned trait inextricably interwoven through one’s culture, science has traditionally perceived perception as an objective biological function, relatively impervious to cultural conditioning. There is a full spectrum of evidence leading to the conclusion that human perception is a mental construct. At a minimum, studies by David Dunning and Emily </w:t>
      </w:r>
      <w:proofErr w:type="spellStart"/>
      <w:r>
        <w:t>Balcetis</w:t>
      </w:r>
      <w:proofErr w:type="spellEnd"/>
      <w:r>
        <w:t xml:space="preserve"> into ‘wishful seeing’, show a perceptual bias relative to desirability.</w:t>
      </w:r>
      <w:r>
        <w:rPr>
          <w:rStyle w:val="FootnoteReference"/>
        </w:rPr>
        <w:footnoteReference w:id="23"/>
      </w:r>
      <w:r>
        <w:t xml:space="preserve"> Emotions affect perceptual attention, according </w:t>
      </w:r>
      <w:r w:rsidRPr="004D5EE7">
        <w:rPr>
          <w:rFonts w:cstheme="minorHAnsi"/>
        </w:rPr>
        <w:t xml:space="preserve">to </w:t>
      </w:r>
      <w:proofErr w:type="spellStart"/>
      <w:r w:rsidRPr="004D5EE7">
        <w:rPr>
          <w:rFonts w:cstheme="minorHAnsi"/>
          <w:color w:val="333333"/>
          <w:shd w:val="clear" w:color="auto" w:fill="FFFFFF"/>
        </w:rPr>
        <w:t>Patrik</w:t>
      </w:r>
      <w:proofErr w:type="spellEnd"/>
      <w:r w:rsidRPr="004D5EE7">
        <w:rPr>
          <w:rFonts w:cstheme="minorHAnsi"/>
          <w:color w:val="333333"/>
          <w:shd w:val="clear" w:color="auto" w:fill="FFFFFF"/>
        </w:rPr>
        <w:t xml:space="preserve"> </w:t>
      </w:r>
      <w:proofErr w:type="spellStart"/>
      <w:r w:rsidRPr="004D5EE7">
        <w:rPr>
          <w:rFonts w:cstheme="minorHAnsi"/>
          <w:color w:val="333333"/>
          <w:shd w:val="clear" w:color="auto" w:fill="FFFFFF"/>
        </w:rPr>
        <w:t>Vuilleumier</w:t>
      </w:r>
      <w:proofErr w:type="spellEnd"/>
      <w:r w:rsidRPr="004D5EE7">
        <w:rPr>
          <w:rFonts w:cstheme="minorHAnsi"/>
          <w:color w:val="333333"/>
          <w:shd w:val="clear" w:color="auto" w:fill="FFFFFF"/>
        </w:rPr>
        <w:t xml:space="preserve"> and Yang-Ming Huang</w:t>
      </w:r>
      <w:r w:rsidRPr="004D5EE7">
        <w:rPr>
          <w:rFonts w:cstheme="minorHAnsi"/>
        </w:rPr>
        <w:t>.</w:t>
      </w:r>
      <w:r w:rsidRPr="004D5EE7">
        <w:rPr>
          <w:rStyle w:val="FootnoteReference"/>
          <w:rFonts w:cstheme="minorHAnsi"/>
        </w:rPr>
        <w:footnoteReference w:id="24"/>
      </w:r>
      <w:r w:rsidRPr="004D5EE7">
        <w:rPr>
          <w:rFonts w:cstheme="minorHAnsi"/>
        </w:rPr>
        <w:t xml:space="preserve"> Theory-</w:t>
      </w:r>
      <w:proofErr w:type="spellStart"/>
      <w:r w:rsidRPr="004D5EE7">
        <w:rPr>
          <w:rFonts w:cstheme="minorHAnsi"/>
        </w:rPr>
        <w:t>ladenness</w:t>
      </w:r>
      <w:proofErr w:type="spellEnd"/>
      <w:r w:rsidRPr="004D5EE7">
        <w:rPr>
          <w:rFonts w:cstheme="minorHAnsi"/>
        </w:rPr>
        <w:t>, ‘the possibility that scientific theory</w:t>
      </w:r>
      <w:r>
        <w:t xml:space="preserve"> influences scientific observation,’ affects perception and subsequent data processing</w:t>
      </w:r>
      <w:r w:rsidRPr="00EA21EF">
        <w:t xml:space="preserve"> </w:t>
      </w:r>
      <w:r>
        <w:t>among scientists, according to William Brewer and Bruce Lambert.</w:t>
      </w:r>
      <w:r>
        <w:rPr>
          <w:rStyle w:val="FootnoteReference"/>
        </w:rPr>
        <w:footnoteReference w:id="25"/>
      </w:r>
      <w:r>
        <w:t xml:space="preserve">  Humans appear to be data selectors, rather than simply data processors.</w:t>
      </w:r>
    </w:p>
    <w:p w:rsidR="00AF144E" w:rsidRDefault="00AF144E" w:rsidP="00AF144E">
      <w:pPr>
        <w:ind w:left="864" w:firstLine="576"/>
        <w:contextualSpacing/>
      </w:pPr>
      <w:r>
        <w:t>Donald Hoffman doesn’t just see preferences or bias, but makes the ‘claim that all your sensations and perceptions are your constructions.’</w:t>
      </w:r>
      <w:r>
        <w:rPr>
          <w:rStyle w:val="FootnoteReference"/>
        </w:rPr>
        <w:footnoteReference w:id="26"/>
      </w:r>
      <w:r>
        <w:t xml:space="preserve"> He compares visual cognition to the graphic user interface on the computer, which reduces complex software and hardware functions into a usable icon like the trash can.</w:t>
      </w:r>
      <w:r>
        <w:rPr>
          <w:rStyle w:val="FootnoteReference"/>
        </w:rPr>
        <w:footnoteReference w:id="27"/>
      </w:r>
      <w:r>
        <w:t xml:space="preserve"> Our brains have developed a shorthand language of visual representations, to enable quick and efficient responses. </w:t>
      </w:r>
      <w:r w:rsidRPr="00AC50FF">
        <w:t xml:space="preserve">While there are few papers on cross-cultural visual cognition, </w:t>
      </w:r>
      <w:proofErr w:type="spellStart"/>
      <w:r w:rsidRPr="00AC50FF">
        <w:t>Chiao</w:t>
      </w:r>
      <w:proofErr w:type="spellEnd"/>
      <w:r w:rsidRPr="00AC50FF">
        <w:t xml:space="preserve"> and </w:t>
      </w:r>
      <w:proofErr w:type="spellStart"/>
      <w:r w:rsidRPr="00AC50FF">
        <w:t>Immording</w:t>
      </w:r>
      <w:proofErr w:type="spellEnd"/>
      <w:r w:rsidRPr="00AC50FF">
        <w:t>-Yang have detected differences in where and how the brain recognizes faces in Western versus Eastern cultures.</w:t>
      </w:r>
      <w:r w:rsidRPr="00AC50FF">
        <w:rPr>
          <w:rStyle w:val="FootnoteReference"/>
        </w:rPr>
        <w:footnoteReference w:id="28"/>
      </w:r>
      <w:r w:rsidRPr="00AC50FF">
        <w:t xml:space="preserve"> Bill Thompson, et al. studied biological constraints on language acquisition and concluded ‘We </w:t>
      </w:r>
      <w:r w:rsidRPr="00AC50FF">
        <w:lastRenderedPageBreak/>
        <w:t>therefore expect culture to have dramatically shaped the evolution of the human mind.’</w:t>
      </w:r>
      <w:r w:rsidRPr="00AC50FF">
        <w:rPr>
          <w:rStyle w:val="FootnoteReference"/>
        </w:rPr>
        <w:footnoteReference w:id="29"/>
      </w:r>
      <w:r w:rsidRPr="00AC50FF">
        <w:t xml:space="preserve"> They anticipated those findings would hold with any culturally acquired learning. Is visual perception culturally acquired? To Hoffman, visual intelligence is a complex method of processing symbols, rather than an objective and d</w:t>
      </w:r>
      <w:r>
        <w:t>irect reading of the external world. If visual cognition uses a language of symbols and representations, then it is among the first stages of learning ‘culture’.</w:t>
      </w:r>
    </w:p>
    <w:p w:rsidR="00AF144E" w:rsidRDefault="00AF144E" w:rsidP="00AF144E">
      <w:pPr>
        <w:ind w:left="864"/>
        <w:contextualSpacing/>
      </w:pPr>
      <w:r>
        <w:t xml:space="preserve"> </w:t>
      </w:r>
      <w:r>
        <w:tab/>
        <w:t>Non-dualists claim that of the 400 billion stimuli which enter our senses every second only 2000 bytes are perceived. Humans cherry pick their reality, or as non-dualists say, ‘we create our own reality.’ Amit Goswami compares the current understanding of reality and cognition to the Vedantic concept of</w:t>
      </w:r>
      <w:r w:rsidRPr="002C34D6">
        <w:rPr>
          <w:i/>
          <w:iCs/>
        </w:rPr>
        <w:t xml:space="preserve"> </w:t>
      </w:r>
      <w:proofErr w:type="spellStart"/>
      <w:r w:rsidRPr="002C34D6">
        <w:rPr>
          <w:i/>
          <w:iCs/>
        </w:rPr>
        <w:t>maya</w:t>
      </w:r>
      <w:proofErr w:type="spellEnd"/>
      <w:r>
        <w:t>, in which the material world is an illusion.</w:t>
      </w:r>
      <w:r>
        <w:rPr>
          <w:rStyle w:val="FootnoteReference"/>
        </w:rPr>
        <w:footnoteReference w:id="30"/>
      </w:r>
      <w:r>
        <w:t xml:space="preserve"> Goswami also cites Plato’s ‘projections’ as the Western interpretation.</w:t>
      </w:r>
      <w:r>
        <w:rPr>
          <w:rStyle w:val="FootnoteReference"/>
        </w:rPr>
        <w:footnoteReference w:id="31"/>
      </w:r>
      <w:r>
        <w:t xml:space="preserve"> In contrast, mainstream scientists, like </w:t>
      </w:r>
      <w:proofErr w:type="spellStart"/>
      <w:r>
        <w:t>Cathrine</w:t>
      </w:r>
      <w:proofErr w:type="spellEnd"/>
      <w:r>
        <w:t xml:space="preserve"> </w:t>
      </w:r>
      <w:proofErr w:type="spellStart"/>
      <w:r>
        <w:t>Hasse</w:t>
      </w:r>
      <w:proofErr w:type="spellEnd"/>
      <w:r>
        <w:t xml:space="preserve"> and Don </w:t>
      </w:r>
      <w:proofErr w:type="spellStart"/>
      <w:r>
        <w:t>Idhe</w:t>
      </w:r>
      <w:proofErr w:type="spellEnd"/>
      <w:r>
        <w:t xml:space="preserve"> reject the ‘transcendental’ approach and embrace </w:t>
      </w:r>
      <w:proofErr w:type="spellStart"/>
      <w:r>
        <w:t>postphenomenology</w:t>
      </w:r>
      <w:proofErr w:type="spellEnd"/>
      <w:r>
        <w:t>, which begins with subjective, embodied experience, then adds the embodied experiences of others in the community to create ‘</w:t>
      </w:r>
      <w:proofErr w:type="spellStart"/>
      <w:r>
        <w:t>multistable</w:t>
      </w:r>
      <w:proofErr w:type="spellEnd"/>
      <w:r>
        <w:t>’ representations of reality, which can be pragmatically applied to science and technology.</w:t>
      </w:r>
      <w:r>
        <w:rPr>
          <w:rStyle w:val="FootnoteReference"/>
        </w:rPr>
        <w:footnoteReference w:id="32"/>
      </w:r>
      <w:r>
        <w:t xml:space="preserve"> </w:t>
      </w:r>
      <w:proofErr w:type="spellStart"/>
      <w:r>
        <w:t>Postphenomenology</w:t>
      </w:r>
      <w:proofErr w:type="spellEnd"/>
      <w:r>
        <w:t xml:space="preserve"> also validates the use of technology to extend the human capacity to experience the environment. </w:t>
      </w:r>
    </w:p>
    <w:p w:rsidR="00AF144E" w:rsidRDefault="00AF144E" w:rsidP="00AF144E">
      <w:pPr>
        <w:pStyle w:val="Heading3"/>
        <w:ind w:left="864"/>
        <w:contextualSpacing/>
      </w:pPr>
      <w:r>
        <w:t>Paradigm Framing</w:t>
      </w:r>
    </w:p>
    <w:p w:rsidR="00AF144E" w:rsidRPr="000E0E4F" w:rsidRDefault="00AF144E" w:rsidP="00AF144E">
      <w:pPr>
        <w:pStyle w:val="Heading4"/>
        <w:ind w:left="864"/>
        <w:contextualSpacing/>
      </w:pPr>
      <w:r>
        <w:t>Is seeing believing or creating?</w:t>
      </w:r>
    </w:p>
    <w:p w:rsidR="00AF144E" w:rsidRDefault="00AF144E" w:rsidP="00AF144E">
      <w:pPr>
        <w:ind w:left="864" w:firstLine="576"/>
        <w:contextualSpacing/>
      </w:pPr>
      <w:r>
        <w:t>Science experienced phenomenal technological advances utilizing Newtonian laws, Cartesian dualities, and a Platonic fidelity to finding mathematical order. The scientific method implements objective methods to gather measurable and repeatable results used to develop rational theories, which in turn are tested by the accuracy of their predictions. Early in the 20</w:t>
      </w:r>
      <w:r w:rsidRPr="00EA5B0F">
        <w:rPr>
          <w:vertAlign w:val="superscript"/>
        </w:rPr>
        <w:t>th</w:t>
      </w:r>
      <w:r>
        <w:t xml:space="preserve"> century, </w:t>
      </w:r>
      <w:r w:rsidRPr="00AC50FF">
        <w:t>Albert Einstein</w:t>
      </w:r>
      <w:r>
        <w:t>’s</w:t>
      </w:r>
      <w:r w:rsidRPr="00AC50FF">
        <w:t xml:space="preserve"> (1879-1955) </w:t>
      </w:r>
      <w:r>
        <w:t xml:space="preserve">theory of </w:t>
      </w:r>
      <w:r w:rsidRPr="00AC50FF">
        <w:t xml:space="preserve">special relativity postulated that the </w:t>
      </w:r>
      <w:r>
        <w:t>state</w:t>
      </w:r>
      <w:r w:rsidRPr="00AC50FF">
        <w:t xml:space="preserve"> and position of an observer affects what is being observed. </w:t>
      </w:r>
      <w:r>
        <w:t>In 1927</w:t>
      </w:r>
      <w:r w:rsidRPr="00AC50FF">
        <w:t xml:space="preserve">, Werner Heisenberg (1901-1976) proposed that subatomic particles do not act according to predictable laws and we can at best define them by probabilities in his Uncertainty Principle. </w:t>
      </w:r>
      <w:r>
        <w:t xml:space="preserve">Erwin </w:t>
      </w:r>
      <w:r w:rsidRPr="00AC50FF">
        <w:t>Schr</w:t>
      </w:r>
      <w:r w:rsidRPr="00AC50FF">
        <w:rPr>
          <w:rFonts w:cstheme="minorHAnsi"/>
        </w:rPr>
        <w:t>ö</w:t>
      </w:r>
      <w:r w:rsidRPr="00AC50FF">
        <w:t xml:space="preserve">dinger (1887-1961) maintained that his cat in a box would be both dead and alive until the moment when someone opened the box, at which point the act of observing would cause a ‘wave function collapse’ and the probabilities would </w:t>
      </w:r>
      <w:proofErr w:type="spellStart"/>
      <w:r w:rsidRPr="00AC50FF">
        <w:t>gel</w:t>
      </w:r>
      <w:proofErr w:type="spellEnd"/>
      <w:r w:rsidRPr="00AC50FF">
        <w:t xml:space="preserve"> into one reality: dead or alive.</w:t>
      </w:r>
      <w:r>
        <w:t xml:space="preserve"> In both Heisenberg’s and </w:t>
      </w:r>
      <w:r w:rsidRPr="00AC50FF">
        <w:t>Schr</w:t>
      </w:r>
      <w:r w:rsidRPr="00AC50FF">
        <w:rPr>
          <w:rFonts w:cstheme="minorHAnsi"/>
        </w:rPr>
        <w:t>ö</w:t>
      </w:r>
      <w:r w:rsidRPr="00AC50FF">
        <w:t>dinger</w:t>
      </w:r>
      <w:r>
        <w:t>’s theories quantum particles are indeterminate waves of possible states until an observer collapses the wave into a distinct state or position.</w:t>
      </w:r>
      <w:r w:rsidRPr="00AC50FF">
        <w:t xml:space="preserve"> The combination of these theories led non-dualists to conclude that we must abandon the illusion of being objective observers of an orderly, mechanical universe and embrace being active participants in the creation of reality through the power of attention.  Mainstream scientists continue to explore </w:t>
      </w:r>
      <w:r w:rsidRPr="00AC50FF">
        <w:lastRenderedPageBreak/>
        <w:t>the underlying equations</w:t>
      </w:r>
      <w:r>
        <w:t>.</w:t>
      </w:r>
      <w:r w:rsidRPr="00AC50FF">
        <w:rPr>
          <w:rFonts w:ascii="Calibri" w:hAnsi="Calibri" w:cs="Calibri"/>
        </w:rPr>
        <w:t xml:space="preserve"> Greene points out that the mathematical combination of quantum physics (subatomic realm) and the theory of relativity (cosmological realm) consistently yields the incomprehensible answer of infinite probabilities, even though each is supposed to be a universal law.</w:t>
      </w:r>
      <w:r w:rsidRPr="00AC50FF">
        <w:rPr>
          <w:rStyle w:val="FootnoteReference"/>
          <w:rFonts w:ascii="Calibri" w:hAnsi="Calibri" w:cs="Calibri"/>
        </w:rPr>
        <w:footnoteReference w:id="33"/>
      </w:r>
      <w:r w:rsidRPr="00AC50FF">
        <w:rPr>
          <w:rFonts w:ascii="Calibri" w:hAnsi="Calibri" w:cs="Calibri"/>
        </w:rPr>
        <w:t xml:space="preserve"> </w:t>
      </w:r>
    </w:p>
    <w:p w:rsidR="00AF144E" w:rsidRDefault="00AF144E" w:rsidP="00AF144E">
      <w:pPr>
        <w:pStyle w:val="Heading4"/>
        <w:ind w:left="864"/>
        <w:contextualSpacing/>
      </w:pPr>
      <w:r>
        <w:t>Is the real world real?</w:t>
      </w:r>
    </w:p>
    <w:p w:rsidR="00AF144E" w:rsidRDefault="00AF144E" w:rsidP="00AF144E">
      <w:pPr>
        <w:ind w:left="864" w:firstLine="576"/>
        <w:contextualSpacing/>
      </w:pPr>
      <w:r>
        <w:t>The inability to determine whether fundamental matter acts as a wave or a particle, was just the beginning of the theoretical erosion of solid matter.  If the nucleus of a hydrogen atom were as big as a basketball, the empty space to the electron would be 20 miles, assuming the electron and even the proton are more than just vibration.</w:t>
      </w:r>
      <w:r>
        <w:rPr>
          <w:rStyle w:val="FootnoteReference"/>
        </w:rPr>
        <w:footnoteReference w:id="34"/>
      </w:r>
      <w:r>
        <w:t xml:space="preserve"> String theories developed in the 1970s and 80s described the ‘jittery’ subatomic world as a tapestry of fibers with zero spatial dimensions, vibrating at specific frequencies. On the cosmic scale, the gravitational mass of the universe is nearly 20 times more than the known matter of stars and other celestial bodies, leading to the conclusion that 70% of the universe is ‘dark energy’, about 25% is ‘dark matter’ and 5% is ‘matter’.</w:t>
      </w:r>
      <w:r>
        <w:rPr>
          <w:rStyle w:val="FootnoteReference"/>
        </w:rPr>
        <w:footnoteReference w:id="35"/>
      </w:r>
      <w:r>
        <w:t xml:space="preserve"> Jeffrey </w:t>
      </w:r>
      <w:proofErr w:type="spellStart"/>
      <w:r>
        <w:t>Satinover</w:t>
      </w:r>
      <w:proofErr w:type="spellEnd"/>
      <w:r>
        <w:t xml:space="preserve"> gives voice to the non-dualist assessment, ‘There is essentially nothing to matter whatsoever. The most solid thing that you could say about all this insubstantial matter is that it is more like a thought; it’s like a concentrated bit of information.’</w:t>
      </w:r>
      <w:r>
        <w:rPr>
          <w:rStyle w:val="FootnoteReference"/>
        </w:rPr>
        <w:footnoteReference w:id="36"/>
      </w:r>
      <w:r>
        <w:t xml:space="preserve"> Mainstream physicists, like Greene, cite the incredible scientific discoveries and applied technology that has been developed on the basis of quantum theories, in spite of the conundrums. They focus on designing better experiments or getting funding for better tools to measure matter. </w:t>
      </w:r>
    </w:p>
    <w:p w:rsidR="00AF144E" w:rsidRDefault="00AF144E" w:rsidP="00AF144E">
      <w:pPr>
        <w:pStyle w:val="Heading4"/>
        <w:ind w:left="864"/>
        <w:contextualSpacing/>
      </w:pPr>
      <w:r>
        <w:t>Are we perceiving the universe or projecting?</w:t>
      </w:r>
    </w:p>
    <w:p w:rsidR="00AF144E" w:rsidRDefault="00AF144E" w:rsidP="00AF144E">
      <w:pPr>
        <w:ind w:left="864" w:firstLine="576"/>
        <w:contextualSpacing/>
      </w:pPr>
      <w:r>
        <w:t>Mainstream scientists distinguish their approach as rational, in contrast to an intuitive approach from non-dualists. Both groups incorporate both rational and intuitive insights, but they may value them differently. Einstein famously said that ‘Imagination is more important than knowledge,’ but he also said, ‘I believe in intuitions and inspirations.’</w:t>
      </w:r>
      <w:r>
        <w:rPr>
          <w:rStyle w:val="FootnoteReference"/>
        </w:rPr>
        <w:footnoteReference w:id="37"/>
      </w:r>
      <w:r>
        <w:t xml:space="preserve"> Based on the apparent rapid movement of galaxies away from us and background radiation mainstream scientists have developed the Big Bang theory: from a singularity no larger than an atom, all the material and energy of the universe exploded, or inflated and it is continuing to expand. Has the Big Bang theory arisen from a culturally conditioned imagination? Is this genesis the fantasy of the 21</w:t>
      </w:r>
      <w:r w:rsidRPr="008C06E3">
        <w:rPr>
          <w:vertAlign w:val="superscript"/>
        </w:rPr>
        <w:t>st</w:t>
      </w:r>
      <w:r>
        <w:t xml:space="preserve"> century male acculturated in linear religions, or are there other ways to conceptualize cosmogony, given the evidence? Ernest J. </w:t>
      </w:r>
      <w:proofErr w:type="spellStart"/>
      <w:r>
        <w:t>Sternglass</w:t>
      </w:r>
      <w:proofErr w:type="spellEnd"/>
      <w:r>
        <w:t>, one of the cosmological rebels, sees a singularity, which folds onto itself and into an infinity loop. Thus, polarities are created, which in turn split and reproduce, so that universes are being born and are growing all the time.</w:t>
      </w:r>
      <w:r>
        <w:rPr>
          <w:rStyle w:val="FootnoteReference"/>
        </w:rPr>
        <w:footnoteReference w:id="38"/>
      </w:r>
      <w:r>
        <w:t xml:space="preserve"> Eric Thompson, another rebel, developed the theory of </w:t>
      </w:r>
      <w:proofErr w:type="spellStart"/>
      <w:r>
        <w:t>Hydrocosmica</w:t>
      </w:r>
      <w:proofErr w:type="spellEnd"/>
      <w:r>
        <w:t xml:space="preserve">, which explains the phenomena of gravity as highly subtle, </w:t>
      </w:r>
      <w:proofErr w:type="spellStart"/>
      <w:r>
        <w:t>noncompressible</w:t>
      </w:r>
      <w:proofErr w:type="spellEnd"/>
      <w:r>
        <w:t xml:space="preserve"> liquid ‘</w:t>
      </w:r>
      <w:proofErr w:type="spellStart"/>
      <w:r>
        <w:t>aether</w:t>
      </w:r>
      <w:proofErr w:type="spellEnd"/>
      <w:r>
        <w:t xml:space="preserve">’, which </w:t>
      </w:r>
      <w:r>
        <w:lastRenderedPageBreak/>
        <w:t>flows into matter and creates the attraction of celestial bodies through the low- pressure states between them.</w:t>
      </w:r>
      <w:r>
        <w:rPr>
          <w:rStyle w:val="FootnoteReference"/>
        </w:rPr>
        <w:footnoteReference w:id="39"/>
      </w:r>
      <w:r>
        <w:t xml:space="preserve"> Would theories like these be considered more seriously if the predominant culture valued the birth process or the liquid component of our environment more?</w:t>
      </w:r>
    </w:p>
    <w:p w:rsidR="00AF144E" w:rsidRDefault="00AF144E" w:rsidP="00AF144E">
      <w:pPr>
        <w:pStyle w:val="Heading4"/>
        <w:ind w:left="864"/>
        <w:contextualSpacing/>
      </w:pPr>
      <w:r>
        <w:t>Is the cosmos mechanistic or magical?</w:t>
      </w:r>
    </w:p>
    <w:p w:rsidR="00AF144E" w:rsidRDefault="00AF144E" w:rsidP="00AF144E">
      <w:pPr>
        <w:ind w:left="864" w:firstLine="576"/>
        <w:contextualSpacing/>
      </w:pPr>
      <w:r>
        <w:t xml:space="preserve">The Big Bang theory is widely accepted by non-dualists, who also embrace the theory of quantum entanglement, in which particles, created simultaneously, remain forever ‘entangled’ and share information and state changes instantaneously across spacetime. If all particles arose from a singularity before Big Bang, then the whole universe has been entangled ever since. Dr. John </w:t>
      </w:r>
      <w:proofErr w:type="spellStart"/>
      <w:r>
        <w:t>Hagelin</w:t>
      </w:r>
      <w:proofErr w:type="spellEnd"/>
      <w:r>
        <w:t xml:space="preserve"> describes the connection as wormholes: two black holes that meet at the base of the vortex, mirroring each other, potentially leading to parallel universes or multiverses.</w:t>
      </w:r>
      <w:r>
        <w:rPr>
          <w:rStyle w:val="FootnoteReference"/>
        </w:rPr>
        <w:footnoteReference w:id="40"/>
      </w:r>
      <w:r>
        <w:t xml:space="preserve"> If Einstein warped spacetime with the General Theory of Relativity, then quantum entanglement has evaporated it. The universe is non-local, </w:t>
      </w:r>
      <w:proofErr w:type="spellStart"/>
      <w:proofErr w:type="gramStart"/>
      <w:r>
        <w:t>ac,ausal</w:t>
      </w:r>
      <w:proofErr w:type="spellEnd"/>
      <w:proofErr w:type="gramEnd"/>
      <w:r>
        <w:t>, and timeless. Mainstream physicists are elated that they may have discovered the ‘unified field’, which is the basis of all matter, and a way to resolve the mathematical conundrums between quantum physics and relativity. For non-dualists like George Musser, non-locality implies an acausal, interconnected cosmos, beyond our ability to comprehend and infused with mystery.</w:t>
      </w:r>
      <w:r>
        <w:rPr>
          <w:rStyle w:val="FootnoteReference"/>
        </w:rPr>
        <w:footnoteReference w:id="41"/>
      </w:r>
    </w:p>
    <w:p w:rsidR="00AF144E" w:rsidRDefault="00AF144E" w:rsidP="00AF144E">
      <w:pPr>
        <w:pStyle w:val="Heading4"/>
        <w:ind w:left="864"/>
        <w:contextualSpacing/>
      </w:pPr>
      <w:r>
        <w:t>Is the rabbit hole circular or linear?</w:t>
      </w:r>
    </w:p>
    <w:p w:rsidR="00AF144E" w:rsidRDefault="00AF144E" w:rsidP="00AF144E">
      <w:pPr>
        <w:ind w:left="864" w:firstLine="576"/>
        <w:contextualSpacing/>
      </w:pPr>
      <w:r>
        <w:t>In the evolution of modern cosmology strings became superstrings. Then, Edward Witten devised a way to interpret the five different versions of string theory into one equation introducing M-Theory, in which the strings terminate on and are woven through membranes.</w:t>
      </w:r>
      <w:r>
        <w:rPr>
          <w:rStyle w:val="FootnoteReference"/>
        </w:rPr>
        <w:footnoteReference w:id="42"/>
      </w:r>
      <w:r>
        <w:t xml:space="preserve"> The unification of the various string theories only succeeded when ten dimensions were ascribed to the universe. All but three of these dimensions are invisible to us, even though they share the same spacetime with us. When it was discovered that the membranes were separating from one another, the ‘Splat Theory’ brought them back together, until repulsive forces bounced them away again in a cyclic process of expansion and contraction. For the first time in decades modern cosmology sees the universe in a cyclic process, in contrast to one directional movement of the Big Bang toward universe death.</w:t>
      </w:r>
      <w:r>
        <w:rPr>
          <w:rStyle w:val="FootnoteReference"/>
        </w:rPr>
        <w:footnoteReference w:id="43"/>
      </w:r>
      <w:r>
        <w:t xml:space="preserve"> With M-Theory, the universe is much older than 13.7 billion years and may be eternal. Mainstream scientists imagine using the M-Theory for time machines and teleporting.</w:t>
      </w:r>
      <w:r>
        <w:rPr>
          <w:rStyle w:val="FootnoteReference"/>
        </w:rPr>
        <w:footnoteReference w:id="44"/>
      </w:r>
      <w:r>
        <w:t xml:space="preserve">  The imaginations of nondualists of like </w:t>
      </w:r>
      <w:r>
        <w:lastRenderedPageBreak/>
        <w:t>Ervin Laszlo can’t help but recall an organism, whose membrane encased cells are breathing.</w:t>
      </w:r>
      <w:r>
        <w:rPr>
          <w:rStyle w:val="FootnoteReference"/>
        </w:rPr>
        <w:footnoteReference w:id="45"/>
      </w:r>
      <w:r>
        <w:t xml:space="preserve"> As the nondualists like to say, ‘as above, so below, as within, so without.’</w:t>
      </w:r>
      <w:r>
        <w:rPr>
          <w:rStyle w:val="FootnoteReference"/>
        </w:rPr>
        <w:footnoteReference w:id="46"/>
      </w:r>
      <w:r>
        <w:t xml:space="preserve"> </w:t>
      </w:r>
    </w:p>
    <w:p w:rsidR="00AF144E" w:rsidRDefault="00AF144E" w:rsidP="00AF144E">
      <w:pPr>
        <w:pStyle w:val="Heading3"/>
        <w:ind w:left="864"/>
        <w:contextualSpacing/>
      </w:pPr>
      <w:r>
        <w:t>Conclusion</w:t>
      </w:r>
    </w:p>
    <w:p w:rsidR="00AF144E" w:rsidRPr="002C0787" w:rsidRDefault="00AF144E" w:rsidP="00AF144E">
      <w:pPr>
        <w:pStyle w:val="Heading3"/>
        <w:ind w:left="864"/>
        <w:contextualSpacing/>
      </w:pPr>
      <w:r>
        <w:t>Defining all that is, was, or shall be</w:t>
      </w:r>
    </w:p>
    <w:p w:rsidR="00AF144E" w:rsidRDefault="00AF144E" w:rsidP="00AF144E">
      <w:pPr>
        <w:ind w:left="864" w:firstLine="576"/>
        <w:contextualSpacing/>
      </w:pPr>
      <w:r>
        <w:t>In a world where even our most basic perceptions are mental constructs, the communication of which require culturally acquired languages, abstract concepts must be transmitted within the framework of culture. Cosmology is among the most abstract concepts in every culture.  Even among two groups of Western scientists, who share the same data and theories, there are linguistic, perceptual, and paradigm rifts leading to vastly different conclusions about the universe, its origin, and nature. To discuss whether cosmology is culturally conditioned is the logical equivalent of physicists trying to reconcile quantum equations with relativity: the answer is always ‘infinity.’ We are virtually standing between the opposing mirrors of our conscious construct to perceive the cosmos, which in turn may be a universal consciousness, which has created human conscious as a tool to perceive itself.</w:t>
      </w:r>
    </w:p>
    <w:p w:rsidR="00AF144E" w:rsidRDefault="00AF144E" w:rsidP="00AF144E">
      <w:pPr>
        <w:ind w:left="864"/>
        <w:contextualSpacing/>
      </w:pPr>
      <w:r>
        <w:t xml:space="preserve">Could cosmology not be culturally conditioned? Based on the findings of post-Newtonian physics, the question is no longer whether we can have an objective perception of the universe, but whether there is an essential reality. </w:t>
      </w:r>
      <w:proofErr w:type="spellStart"/>
      <w:r>
        <w:t>Postphenomenology</w:t>
      </w:r>
      <w:proofErr w:type="spellEnd"/>
      <w:r>
        <w:t xml:space="preserve"> has sought to reinsert objectivity by recognizing multiple viewpoints</w:t>
      </w:r>
      <w:r w:rsidRPr="00296FCA">
        <w:t xml:space="preserve"> </w:t>
      </w:r>
      <w:r>
        <w:t>of its community members, based on their subjective experiences within the culture. It is substituting cultural communities for the single ‘objective’ observer, but if the mental and perceptual cognition of groups are conditioned, then it is still a reflection of cultural constructs. Research into the effects of theory-</w:t>
      </w:r>
      <w:proofErr w:type="spellStart"/>
      <w:r>
        <w:t>ladenness</w:t>
      </w:r>
      <w:proofErr w:type="spellEnd"/>
      <w:r>
        <w:t>, indicate that scientists find or see evidence as supporting their theories, especially when data that is not directly measurable. Cosmology is highly vulnerable to theory-</w:t>
      </w:r>
      <w:proofErr w:type="spellStart"/>
      <w:r>
        <w:t>ladenness</w:t>
      </w:r>
      <w:proofErr w:type="spellEnd"/>
      <w:r>
        <w:t>, due to the remoteness of the Big Bang and the stars. Delving deeper and deeper into the external world of matter, using the narrow framework of the scientific method, theory-</w:t>
      </w:r>
      <w:proofErr w:type="spellStart"/>
      <w:r>
        <w:t>ladenness</w:t>
      </w:r>
      <w:proofErr w:type="spellEnd"/>
      <w:r>
        <w:t xml:space="preserve"> predicts mainstream scientists will continue to deliver results that reflect their cultural and scientific constructs. Does theory-</w:t>
      </w:r>
      <w:proofErr w:type="spellStart"/>
      <w:r>
        <w:t>ladenness</w:t>
      </w:r>
      <w:proofErr w:type="spellEnd"/>
      <w:r>
        <w:t xml:space="preserve"> also enable the shaman to see evidence of the effectiveness of his magic?  </w:t>
      </w:r>
    </w:p>
    <w:p w:rsidR="00AF144E" w:rsidRDefault="00AF144E" w:rsidP="00AF144E">
      <w:pPr>
        <w:ind w:left="864" w:firstLine="576"/>
        <w:contextualSpacing/>
      </w:pPr>
      <w:r>
        <w:t>By exploring cosmologies conceived by ancient and non-Western cultures, non-dualists have found parallels to modern physics. Cross-cultural comparisons allow us to see the size and shape of box from which we perceive reality. If nontechnological cultures have been able to develop profound cosmologies, did they gather their information through journeys deep into their own consciousness, such as meditation, shamanic practices, dreaming, music, and the use of psychotropic plants? Does the Western cultural construct of cosmology limit our access to the perception of dimensions behind the veils?  Carlos Castaneda’s Don Juan insists that he must learn to ‘stop the world’ and develop a ‘second attention’ in order to ‘see’ reality, in which humans are ‘luminous being of connected fibers.’</w:t>
      </w:r>
      <w:r>
        <w:rPr>
          <w:rStyle w:val="FootnoteReference"/>
        </w:rPr>
        <w:footnoteReference w:id="47"/>
      </w:r>
      <w:r>
        <w:t xml:space="preserve"> Have we learned not see the things, which are unacceptable to the cultural paradigm?</w:t>
      </w:r>
    </w:p>
    <w:p w:rsidR="00AF144E" w:rsidRDefault="00AF144E" w:rsidP="00AF144E">
      <w:pPr>
        <w:ind w:left="864" w:firstLine="576"/>
        <w:contextualSpacing/>
      </w:pPr>
      <w:r>
        <w:lastRenderedPageBreak/>
        <w:t>Linguistic frameworks have changed over time and are used by subgroups differently. By dismissing myths as fantasy we may be overlooking cosmological information that was conveyed through the only ‘tech language’</w:t>
      </w:r>
      <w:r>
        <w:t xml:space="preserve"> </w:t>
      </w:r>
      <w:bookmarkStart w:id="8" w:name="_GoBack"/>
      <w:bookmarkEnd w:id="8"/>
      <w:r>
        <w:t>once</w:t>
      </w:r>
      <w:r>
        <w:t xml:space="preserve"> available.</w:t>
      </w:r>
      <w:r>
        <w:rPr>
          <w:rStyle w:val="FootnoteReference"/>
        </w:rPr>
        <w:footnoteReference w:id="48"/>
      </w:r>
      <w:r>
        <w:t xml:space="preserve"> Was Hesiod inventing divine personalities in </w:t>
      </w:r>
      <w:r w:rsidRPr="00B9202C">
        <w:rPr>
          <w:i/>
          <w:iCs/>
        </w:rPr>
        <w:t>Theogony</w:t>
      </w:r>
      <w:r>
        <w:t>, or using gods as tangible symbols for the abstract concepts of matter (Gaia, or earth), dark energy (Nyx, or night) and dark matter (</w:t>
      </w:r>
      <w:proofErr w:type="spellStart"/>
      <w:r>
        <w:t>Erebos</w:t>
      </w:r>
      <w:proofErr w:type="spellEnd"/>
      <w:r>
        <w:t>, or dark underworld) being the first born from primordial chaos (</w:t>
      </w:r>
      <w:proofErr w:type="spellStart"/>
      <w:r>
        <w:t>Khaos</w:t>
      </w:r>
      <w:proofErr w:type="spellEnd"/>
      <w:r>
        <w:t>)?The subsequent birth of space (Uranus, or sky), followed by time (Cronos) and movement (Rhea, or flow) put faces to the concepts still debated in cosmology.</w:t>
      </w:r>
      <w:r>
        <w:rPr>
          <w:rStyle w:val="FootnoteReference"/>
        </w:rPr>
        <w:footnoteReference w:id="49"/>
      </w:r>
      <w:r>
        <w:t xml:space="preserve"> </w:t>
      </w:r>
    </w:p>
    <w:p w:rsidR="00AF144E" w:rsidRDefault="00AF144E" w:rsidP="00AF144E">
      <w:pPr>
        <w:ind w:left="864" w:firstLine="576"/>
        <w:contextualSpacing/>
      </w:pPr>
      <w:r>
        <w:t xml:space="preserve">The technological success of the mechanistic, law-abiding, and </w:t>
      </w:r>
      <w:r w:rsidRPr="00B9202C">
        <w:t>divinely inspired</w:t>
      </w:r>
      <w:r>
        <w:t xml:space="preserve"> Newtonian cosmology construct has been unparalleled. We can build seemingly anything. But a cosmology that defines humans at the mercy of an external god, or his laws, is missing the key to creativity implied by new physics. We are not victims or observers, but shapers of cosmologies. Reality is like unset </w:t>
      </w:r>
      <w:proofErr w:type="spellStart"/>
      <w:r>
        <w:t>Jell-o</w:t>
      </w:r>
      <w:proofErr w:type="spellEnd"/>
      <w:r>
        <w:t xml:space="preserve"> and it is our attention that causes ‘wave function collapse’ and matter to set.</w:t>
      </w:r>
      <w:r>
        <w:rPr>
          <w:rStyle w:val="FootnoteReference"/>
        </w:rPr>
        <w:footnoteReference w:id="50"/>
      </w:r>
      <w:r>
        <w:t xml:space="preserve"> Understanding, taming, or modifying nature may have originated as an urge to impose harmony and order on the chaos of the material world, but dominance is now the value. In the cosmologies of ‘primitive’ cultures</w:t>
      </w:r>
      <w:r w:rsidRPr="00DF3183">
        <w:t xml:space="preserve"> </w:t>
      </w:r>
      <w:r>
        <w:t>as described by Lucien Levy-</w:t>
      </w:r>
      <w:proofErr w:type="spellStart"/>
      <w:r>
        <w:t>Br</w:t>
      </w:r>
      <w:r>
        <w:rPr>
          <w:rFonts w:cstheme="minorHAnsi"/>
        </w:rPr>
        <w:t>ȕ</w:t>
      </w:r>
      <w:r>
        <w:t>hl</w:t>
      </w:r>
      <w:proofErr w:type="spellEnd"/>
      <w:r>
        <w:t>, ‘natives’ had the power and obligation to maintain the universal harmony through their actions and rituals. ‘The natural environment… appears in their collective representations… as an unstable ensemble of mystic actions and reactions, of which persons, things, phenomena are but vehicles and manifestations?</w:t>
      </w:r>
      <w:r>
        <w:rPr>
          <w:rStyle w:val="FootnoteReference"/>
        </w:rPr>
        <w:footnoteReference w:id="51"/>
      </w:r>
      <w:r w:rsidRPr="002B3796">
        <w:t xml:space="preserve"> </w:t>
      </w:r>
      <w:r>
        <w:t>The ‘magic’ of working with the mystical influences, which connect everything  in their universe could be described as ‘spooky action at a distance,’ which was Einstein’s definition of quantum entanglement.</w:t>
      </w:r>
      <w:r>
        <w:rPr>
          <w:rStyle w:val="FootnoteReference"/>
        </w:rPr>
        <w:footnoteReference w:id="52"/>
      </w:r>
      <w:r>
        <w:t xml:space="preserve"> </w:t>
      </w:r>
    </w:p>
    <w:p w:rsidR="00AF144E" w:rsidRDefault="00AF144E" w:rsidP="00AF144E">
      <w:pPr>
        <w:ind w:left="864" w:firstLine="576"/>
        <w:contextualSpacing/>
      </w:pPr>
      <w:r>
        <w:t>The new frontier of cosmology may not be outer space, but inner space. If we wish to bring harmony and order back into our world, we will have to begin at home, by shifting to a cultural cosmology, which embraces the power of human creativity, multiple dimensions and intelligences, and deep awe for the cosmos, of which we are a part. Maybe the universe really is cyclic</w:t>
      </w:r>
      <w:r>
        <w:t>,</w:t>
      </w:r>
      <w:r>
        <w:t xml:space="preserve"> and we can look to our past to see our future.</w:t>
      </w:r>
    </w:p>
    <w:p w:rsidR="00AF144E" w:rsidRDefault="00AF144E">
      <w:r>
        <w:br w:type="page"/>
      </w:r>
    </w:p>
    <w:p w:rsidR="00AF144E" w:rsidRDefault="00AF144E" w:rsidP="00AF144E">
      <w:pPr>
        <w:ind w:left="864" w:firstLine="576"/>
        <w:contextualSpacing/>
      </w:pPr>
    </w:p>
    <w:p w:rsidR="00AA2807" w:rsidRDefault="00AA2807" w:rsidP="00AF144E">
      <w:pPr>
        <w:pStyle w:val="Heading1"/>
        <w:tabs>
          <w:tab w:val="left" w:pos="6448"/>
        </w:tabs>
      </w:pPr>
      <w:r>
        <w:t>Bibliography</w:t>
      </w:r>
      <w:r w:rsidR="00AF144E">
        <w:tab/>
      </w:r>
    </w:p>
    <w:p w:rsidR="00AF144E" w:rsidRPr="00AF144E" w:rsidRDefault="00AF144E" w:rsidP="00AF144E"/>
    <w:p w:rsidR="00AA2807" w:rsidRDefault="00AA2807" w:rsidP="00AA2807">
      <w:pPr>
        <w:rPr>
          <w:b/>
          <w:bCs/>
        </w:rPr>
      </w:pPr>
    </w:p>
    <w:p w:rsidR="00AA2807" w:rsidRDefault="00AA2807" w:rsidP="00AA2807">
      <w:pPr>
        <w:pStyle w:val="Heading2"/>
      </w:pPr>
      <w:r>
        <w:t>Primary Sources</w:t>
      </w:r>
    </w:p>
    <w:p w:rsidR="00AA2807" w:rsidRDefault="00AA2807" w:rsidP="00AA2807">
      <w:pPr>
        <w:rPr>
          <w:b/>
          <w:bCs/>
        </w:rPr>
      </w:pPr>
    </w:p>
    <w:p w:rsidR="00AA2807" w:rsidRDefault="00AA2807" w:rsidP="00AA2807">
      <w:pPr>
        <w:pStyle w:val="FootnoteText"/>
        <w:rPr>
          <w:rFonts w:cstheme="minorHAnsi"/>
        </w:rPr>
      </w:pPr>
      <w:proofErr w:type="spellStart"/>
      <w:r w:rsidRPr="00255D34">
        <w:rPr>
          <w:rFonts w:cstheme="minorHAnsi"/>
        </w:rPr>
        <w:t>Arnatz</w:t>
      </w:r>
      <w:proofErr w:type="spellEnd"/>
      <w:r>
        <w:rPr>
          <w:rFonts w:cstheme="minorHAnsi"/>
        </w:rPr>
        <w:t>,</w:t>
      </w:r>
      <w:r w:rsidRPr="00204E5D">
        <w:rPr>
          <w:rFonts w:cstheme="minorHAnsi"/>
        </w:rPr>
        <w:t xml:space="preserve"> </w:t>
      </w:r>
      <w:r w:rsidRPr="00255D34">
        <w:rPr>
          <w:rFonts w:cstheme="minorHAnsi"/>
        </w:rPr>
        <w:t xml:space="preserve">William, Betsy Chase and Mark Vincente, </w:t>
      </w:r>
      <w:r w:rsidRPr="00F74587">
        <w:rPr>
          <w:rFonts w:cstheme="minorHAnsi"/>
          <w:i/>
          <w:iCs/>
        </w:rPr>
        <w:t xml:space="preserve">What the Bleep Do We </w:t>
      </w:r>
      <w:proofErr w:type="gramStart"/>
      <w:r w:rsidRPr="00F74587">
        <w:rPr>
          <w:rFonts w:cstheme="minorHAnsi"/>
          <w:i/>
          <w:iCs/>
        </w:rPr>
        <w:t>Know?:</w:t>
      </w:r>
      <w:proofErr w:type="gramEnd"/>
      <w:r w:rsidRPr="00F74587">
        <w:rPr>
          <w:rFonts w:cstheme="minorHAnsi"/>
          <w:i/>
          <w:iCs/>
        </w:rPr>
        <w:t xml:space="preserve"> Discovering the Endless Possibilities for Altering Your Everyday Reality</w:t>
      </w:r>
      <w:r w:rsidRPr="00255D34">
        <w:rPr>
          <w:rFonts w:cstheme="minorHAnsi"/>
        </w:rPr>
        <w:t xml:space="preserve"> (Deerfield Beach, Florida: Health Communications, Inc.</w:t>
      </w:r>
      <w:r>
        <w:rPr>
          <w:rFonts w:cstheme="minorHAnsi"/>
        </w:rPr>
        <w:t>,</w:t>
      </w:r>
      <w:r w:rsidRPr="00255D34">
        <w:rPr>
          <w:rFonts w:cstheme="minorHAnsi"/>
        </w:rPr>
        <w:t xml:space="preserve"> 2005</w:t>
      </w:r>
      <w:r>
        <w:rPr>
          <w:rFonts w:cstheme="minorHAnsi"/>
        </w:rPr>
        <w:t>)</w:t>
      </w:r>
    </w:p>
    <w:p w:rsidR="00AA2807" w:rsidRDefault="00AA2807" w:rsidP="00AA2807">
      <w:pPr>
        <w:pStyle w:val="FootnoteText"/>
        <w:rPr>
          <w:rFonts w:cstheme="minorHAnsi"/>
        </w:rPr>
      </w:pPr>
    </w:p>
    <w:p w:rsidR="00A01C4C" w:rsidRDefault="00A01C4C" w:rsidP="00A01C4C">
      <w:pPr>
        <w:pStyle w:val="FootnoteText"/>
        <w:rPr>
          <w:i/>
          <w:iCs/>
        </w:rPr>
      </w:pPr>
      <w:r>
        <w:t>Castaneda,</w:t>
      </w:r>
      <w:r w:rsidRPr="00A01C4C">
        <w:t xml:space="preserve"> </w:t>
      </w:r>
      <w:r>
        <w:t xml:space="preserve">Carlos, </w:t>
      </w:r>
      <w:r>
        <w:rPr>
          <w:i/>
          <w:iCs/>
        </w:rPr>
        <w:t>The Eagle’s Gift (New York: Simon and Schuster, 1981)</w:t>
      </w:r>
    </w:p>
    <w:p w:rsidR="00A01C4C" w:rsidRPr="00315BD4" w:rsidRDefault="00A01C4C" w:rsidP="00A01C4C">
      <w:pPr>
        <w:pStyle w:val="FootnoteText"/>
        <w:rPr>
          <w:i/>
          <w:iCs/>
        </w:rPr>
      </w:pPr>
    </w:p>
    <w:p w:rsidR="00A01C4C" w:rsidRDefault="00A01C4C" w:rsidP="00A01C4C">
      <w:pPr>
        <w:pStyle w:val="FootnoteText"/>
      </w:pPr>
      <w:r>
        <w:t xml:space="preserve">de </w:t>
      </w:r>
      <w:proofErr w:type="spellStart"/>
      <w:r>
        <w:t>Santillana</w:t>
      </w:r>
      <w:proofErr w:type="spellEnd"/>
      <w:r>
        <w:t xml:space="preserve">, Giorgio and Hertha von </w:t>
      </w:r>
      <w:proofErr w:type="spellStart"/>
      <w:r>
        <w:t>Dechend</w:t>
      </w:r>
      <w:proofErr w:type="spellEnd"/>
      <w:r>
        <w:t xml:space="preserve">, </w:t>
      </w:r>
      <w:r>
        <w:rPr>
          <w:i/>
          <w:iCs/>
        </w:rPr>
        <w:t xml:space="preserve">Hamlet’s Mill </w:t>
      </w:r>
      <w:r>
        <w:t xml:space="preserve">(Boston: David R. </w:t>
      </w:r>
      <w:proofErr w:type="spellStart"/>
      <w:r>
        <w:t>Godine</w:t>
      </w:r>
      <w:proofErr w:type="spellEnd"/>
      <w:r>
        <w:t xml:space="preserve"> Publisher, Inc., 1967) </w:t>
      </w:r>
    </w:p>
    <w:p w:rsidR="00AF144E" w:rsidRDefault="00AF144E" w:rsidP="00A01C4C">
      <w:pPr>
        <w:pStyle w:val="FootnoteText"/>
      </w:pPr>
    </w:p>
    <w:p w:rsidR="00AF144E" w:rsidRPr="0086255F" w:rsidRDefault="00AF144E" w:rsidP="00A01C4C">
      <w:pPr>
        <w:pStyle w:val="FootnoteText"/>
      </w:pPr>
      <w:r>
        <w:t>Einstein</w:t>
      </w:r>
      <w:r>
        <w:t>,</w:t>
      </w:r>
      <w:r>
        <w:t xml:space="preserve"> Albert cited in </w:t>
      </w:r>
      <w:r w:rsidRPr="008F3E40">
        <w:t>"</w:t>
      </w:r>
      <w:hyperlink r:id="rId8" w:history="1">
        <w:r w:rsidRPr="008F3E40">
          <w:rPr>
            <w:rStyle w:val="Hyperlink"/>
          </w:rPr>
          <w:t>What Life Means to Eins</w:t>
        </w:r>
        <w:r w:rsidRPr="008F3E40">
          <w:rPr>
            <w:rStyle w:val="Hyperlink"/>
          </w:rPr>
          <w:t>t</w:t>
        </w:r>
        <w:r w:rsidRPr="008F3E40">
          <w:rPr>
            <w:rStyle w:val="Hyperlink"/>
          </w:rPr>
          <w:t>ein: An Interview by George Sylvester Viereck</w:t>
        </w:r>
      </w:hyperlink>
      <w:r w:rsidRPr="008F3E40">
        <w:t>" in The Saturday Evening Post (October 26</w:t>
      </w:r>
      <w:r>
        <w:t>,</w:t>
      </w:r>
      <w:r w:rsidRPr="008F3E40">
        <w:t xml:space="preserve"> 1929)</w:t>
      </w:r>
      <w:r>
        <w:t xml:space="preserve">  </w:t>
      </w:r>
      <w:hyperlink r:id="rId9" w:history="1">
        <w:r w:rsidRPr="00CE449C">
          <w:rPr>
            <w:rStyle w:val="Hyperlink"/>
          </w:rPr>
          <w:t>http://www.saturdayeveningpost.com/wp-content/uploads/satevepost/what_life_means_to_einstein.pdf</w:t>
        </w:r>
      </w:hyperlink>
      <w:r>
        <w:t xml:space="preserve"> </w:t>
      </w:r>
    </w:p>
    <w:p w:rsidR="00A01C4C" w:rsidRDefault="00A01C4C" w:rsidP="00AA2807">
      <w:pPr>
        <w:pStyle w:val="FootnoteText"/>
        <w:rPr>
          <w:rFonts w:cstheme="minorHAnsi"/>
        </w:rPr>
      </w:pPr>
    </w:p>
    <w:p w:rsidR="00AA2807" w:rsidRDefault="00AA2807" w:rsidP="00AA2807">
      <w:pPr>
        <w:pStyle w:val="FootnoteText"/>
      </w:pPr>
      <w:r w:rsidRPr="001B73A4">
        <w:rPr>
          <w:rFonts w:cstheme="minorHAnsi"/>
          <w:color w:val="333333"/>
          <w:shd w:val="clear" w:color="auto" w:fill="FFFFFF"/>
        </w:rPr>
        <w:t>Goswami</w:t>
      </w:r>
      <w:r>
        <w:rPr>
          <w:rFonts w:cstheme="minorHAnsi"/>
          <w:color w:val="333333"/>
          <w:shd w:val="clear" w:color="auto" w:fill="FFFFFF"/>
        </w:rPr>
        <w:t>,</w:t>
      </w:r>
      <w:r w:rsidRPr="00204E5D">
        <w:rPr>
          <w:rFonts w:cstheme="minorHAnsi"/>
          <w:color w:val="333333"/>
          <w:shd w:val="clear" w:color="auto" w:fill="FFFFFF"/>
        </w:rPr>
        <w:t xml:space="preserve"> </w:t>
      </w:r>
      <w:r w:rsidRPr="001B73A4">
        <w:rPr>
          <w:rFonts w:cstheme="minorHAnsi"/>
          <w:color w:val="333333"/>
          <w:shd w:val="clear" w:color="auto" w:fill="FFFFFF"/>
        </w:rPr>
        <w:t xml:space="preserve">Amit, </w:t>
      </w:r>
      <w:r>
        <w:rPr>
          <w:rFonts w:cstheme="minorHAnsi"/>
          <w:color w:val="333333"/>
          <w:shd w:val="clear" w:color="auto" w:fill="FFFFFF"/>
        </w:rPr>
        <w:t>‘</w:t>
      </w:r>
      <w:r w:rsidRPr="001B73A4">
        <w:rPr>
          <w:rFonts w:cstheme="minorHAnsi"/>
          <w:color w:val="333333"/>
          <w:shd w:val="clear" w:color="auto" w:fill="FFFFFF"/>
        </w:rPr>
        <w:t>Physics within Nondual Consciousness</w:t>
      </w:r>
      <w:r>
        <w:rPr>
          <w:rFonts w:cstheme="minorHAnsi"/>
          <w:color w:val="333333"/>
          <w:shd w:val="clear" w:color="auto" w:fill="FFFFFF"/>
        </w:rPr>
        <w:t>’,</w:t>
      </w:r>
      <w:r w:rsidRPr="001B73A4">
        <w:rPr>
          <w:rFonts w:cstheme="minorHAnsi"/>
          <w:color w:val="333333"/>
          <w:shd w:val="clear" w:color="auto" w:fill="FFFFFF"/>
        </w:rPr>
        <w:t> </w:t>
      </w:r>
      <w:r w:rsidRPr="001B73A4">
        <w:rPr>
          <w:rFonts w:cstheme="minorHAnsi"/>
          <w:i/>
          <w:iCs/>
          <w:color w:val="333333"/>
          <w:shd w:val="clear" w:color="auto" w:fill="FFFFFF"/>
        </w:rPr>
        <w:t>Philosophy East and West</w:t>
      </w:r>
      <w:r w:rsidRPr="001B73A4">
        <w:rPr>
          <w:rFonts w:cstheme="minorHAnsi"/>
          <w:color w:val="333333"/>
          <w:shd w:val="clear" w:color="auto" w:fill="FFFFFF"/>
        </w:rPr>
        <w:t xml:space="preserve">, 51 </w:t>
      </w:r>
      <w:r>
        <w:rPr>
          <w:rFonts w:cstheme="minorHAnsi"/>
          <w:color w:val="333333"/>
          <w:shd w:val="clear" w:color="auto" w:fill="FFFFFF"/>
        </w:rPr>
        <w:t>(</w:t>
      </w:r>
      <w:r w:rsidRPr="001B73A4">
        <w:rPr>
          <w:rFonts w:cstheme="minorHAnsi"/>
          <w:color w:val="333333"/>
          <w:shd w:val="clear" w:color="auto" w:fill="FFFFFF"/>
        </w:rPr>
        <w:t>2001</w:t>
      </w:r>
      <w:r>
        <w:rPr>
          <w:rFonts w:cstheme="minorHAnsi"/>
          <w:color w:val="333333"/>
          <w:shd w:val="clear" w:color="auto" w:fill="FFFFFF"/>
        </w:rPr>
        <w:t>)</w:t>
      </w:r>
      <w:r w:rsidRPr="001B73A4">
        <w:rPr>
          <w:rFonts w:cstheme="minorHAnsi"/>
          <w:color w:val="333333"/>
          <w:shd w:val="clear" w:color="auto" w:fill="FFFFFF"/>
        </w:rPr>
        <w:t>, no. 4, 535–544. </w:t>
      </w:r>
    </w:p>
    <w:p w:rsidR="00AA2807" w:rsidRDefault="00AA2807" w:rsidP="00AA2807">
      <w:pPr>
        <w:pStyle w:val="FootnoteText"/>
        <w:rPr>
          <w:rFonts w:cstheme="minorHAnsi"/>
        </w:rPr>
      </w:pPr>
    </w:p>
    <w:p w:rsidR="00AA2807" w:rsidRDefault="00AA2807" w:rsidP="00AA2807">
      <w:pPr>
        <w:pStyle w:val="FootnoteText"/>
      </w:pPr>
      <w:r w:rsidRPr="00255D34">
        <w:t>Greene</w:t>
      </w:r>
      <w:r>
        <w:t>,</w:t>
      </w:r>
      <w:r w:rsidRPr="00204E5D">
        <w:t xml:space="preserve"> </w:t>
      </w:r>
      <w:r w:rsidRPr="00255D34">
        <w:t>Br</w:t>
      </w:r>
      <w:r>
        <w:t>ia</w:t>
      </w:r>
      <w:r w:rsidRPr="00255D34">
        <w:t xml:space="preserve">n, </w:t>
      </w:r>
      <w:r w:rsidRPr="00255D34">
        <w:rPr>
          <w:i/>
          <w:iCs/>
        </w:rPr>
        <w:t xml:space="preserve">The Fabric of the Cosmos </w:t>
      </w:r>
      <w:r w:rsidRPr="00255D34">
        <w:t>(New York: Alfred A. Knopf, 2004)</w:t>
      </w:r>
    </w:p>
    <w:p w:rsidR="00AA2807" w:rsidRPr="00255D34" w:rsidRDefault="00AA2807" w:rsidP="00AA2807">
      <w:pPr>
        <w:pStyle w:val="FootnoteText"/>
      </w:pPr>
    </w:p>
    <w:p w:rsidR="00AA2807" w:rsidRDefault="00AA2807" w:rsidP="00AA2807">
      <w:pPr>
        <w:pStyle w:val="FootnoteText"/>
      </w:pPr>
      <w:proofErr w:type="spellStart"/>
      <w:r>
        <w:t>Hagelin</w:t>
      </w:r>
      <w:proofErr w:type="spellEnd"/>
      <w:r>
        <w:t>,</w:t>
      </w:r>
      <w:r w:rsidRPr="00204E5D">
        <w:t xml:space="preserve"> </w:t>
      </w:r>
      <w:r>
        <w:t xml:space="preserve">John, ‘Consciousness: Down the Rabbit Hole: Entanglement, Space-Time Wormholes and Brain’, Presentation at the Science and Non-Duality Conference, 2014, San Jose, California, </w:t>
      </w:r>
      <w:hyperlink r:id="rId10" w:history="1">
        <w:r>
          <w:rPr>
            <w:rStyle w:val="Hyperlink"/>
          </w:rPr>
          <w:t>https://www.scienceandnonduality.com/video/entanglement-space-time-wormholes-and-the-brain-john-hagelin</w:t>
        </w:r>
      </w:hyperlink>
      <w:r>
        <w:t xml:space="preserve"> [accessed December 9, 2019]</w:t>
      </w:r>
    </w:p>
    <w:p w:rsidR="00AA2807" w:rsidRDefault="00AA2807" w:rsidP="00AA2807">
      <w:pPr>
        <w:pStyle w:val="FootnoteText"/>
      </w:pPr>
    </w:p>
    <w:p w:rsidR="00A01C4C" w:rsidRPr="0086255F" w:rsidRDefault="00A01C4C" w:rsidP="00A01C4C">
      <w:pPr>
        <w:pStyle w:val="FootnoteText"/>
        <w:rPr>
          <w:i/>
          <w:iCs/>
        </w:rPr>
      </w:pPr>
      <w:r w:rsidRPr="00B4118E">
        <w:rPr>
          <w:rFonts w:cstheme="minorHAnsi"/>
        </w:rPr>
        <w:t xml:space="preserve">Hesiod, </w:t>
      </w:r>
      <w:r w:rsidRPr="00AD2E9F">
        <w:rPr>
          <w:i/>
          <w:iCs/>
        </w:rPr>
        <w:t xml:space="preserve">Homeric Hymns, Epic Cycle, </w:t>
      </w:r>
      <w:proofErr w:type="spellStart"/>
      <w:r w:rsidRPr="00AD2E9F">
        <w:rPr>
          <w:i/>
          <w:iCs/>
        </w:rPr>
        <w:t>Homerica</w:t>
      </w:r>
      <w:proofErr w:type="spellEnd"/>
      <w:r w:rsidRPr="00AD2E9F">
        <w:rPr>
          <w:i/>
          <w:iCs/>
        </w:rPr>
        <w:t>.</w:t>
      </w:r>
      <w:r w:rsidRPr="00AD2E9F">
        <w:t xml:space="preserve"> Translated by Evelyn-White, H G. Loeb Classical Library Volume 57 (London: William Heinemann, 1914)</w:t>
      </w:r>
      <w:r>
        <w:t xml:space="preserve"> </w:t>
      </w:r>
      <w:r w:rsidRPr="00977A40">
        <w:rPr>
          <w:i/>
          <w:iCs/>
        </w:rPr>
        <w:t>Theogony</w:t>
      </w:r>
      <w:r>
        <w:t xml:space="preserve"> </w:t>
      </w:r>
    </w:p>
    <w:p w:rsidR="00A01C4C" w:rsidRDefault="00A01C4C" w:rsidP="00AA2807">
      <w:pPr>
        <w:pStyle w:val="FootnoteText"/>
      </w:pPr>
    </w:p>
    <w:p w:rsidR="00AA2807" w:rsidRDefault="00AA2807" w:rsidP="00AA2807">
      <w:pPr>
        <w:pStyle w:val="FootnoteText"/>
      </w:pPr>
      <w:r>
        <w:t>Laszlo</w:t>
      </w:r>
      <w:r w:rsidRPr="00204E5D">
        <w:t xml:space="preserve"> </w:t>
      </w:r>
      <w:r>
        <w:t xml:space="preserve">Ervin, </w:t>
      </w:r>
      <w:r w:rsidRPr="0046399E">
        <w:rPr>
          <w:i/>
          <w:iCs/>
        </w:rPr>
        <w:t>Science and the Akashic Field: An Integral Theory of Everything</w:t>
      </w:r>
      <w:r>
        <w:t xml:space="preserve"> (Rochester, Vermont: Inner Traditions, 2004)</w:t>
      </w:r>
    </w:p>
    <w:p w:rsidR="00AF144E" w:rsidRDefault="00AF144E" w:rsidP="00AA2807">
      <w:pPr>
        <w:pStyle w:val="FootnoteText"/>
      </w:pPr>
    </w:p>
    <w:p w:rsidR="00AF144E" w:rsidRDefault="00AF144E" w:rsidP="00AA2807">
      <w:pPr>
        <w:pStyle w:val="FootnoteText"/>
      </w:pPr>
      <w:r>
        <w:t>Musser</w:t>
      </w:r>
      <w:r>
        <w:t>,</w:t>
      </w:r>
      <w:r w:rsidRPr="00AF144E">
        <w:t xml:space="preserve"> </w:t>
      </w:r>
      <w:r>
        <w:t xml:space="preserve">George, </w:t>
      </w:r>
      <w:r>
        <w:rPr>
          <w:i/>
          <w:iCs/>
        </w:rPr>
        <w:t xml:space="preserve">Spooky Action at a Distance: The Phenomenon that Reimagines Space and Time- and What It Means for Black Holes, the Big Bang and Theories of Everything </w:t>
      </w:r>
      <w:r w:rsidRPr="00C9189C">
        <w:t>(New York: Scientific American / Farrar, Straus and Giroux, 2015</w:t>
      </w:r>
      <w:r>
        <w:t>)</w:t>
      </w:r>
    </w:p>
    <w:p w:rsidR="00AA2807" w:rsidRPr="00255D34" w:rsidRDefault="00AA2807" w:rsidP="00AA2807">
      <w:pPr>
        <w:pStyle w:val="FootnoteText"/>
        <w:rPr>
          <w:rFonts w:cstheme="minorHAnsi"/>
        </w:rPr>
      </w:pPr>
    </w:p>
    <w:p w:rsidR="00AA2807" w:rsidRDefault="00AA2807" w:rsidP="00AA2807">
      <w:pPr>
        <w:pStyle w:val="FootnoteText"/>
      </w:pPr>
      <w:proofErr w:type="spellStart"/>
      <w:r>
        <w:t>Sternglass</w:t>
      </w:r>
      <w:proofErr w:type="spellEnd"/>
      <w:r>
        <w:t>,</w:t>
      </w:r>
      <w:r w:rsidRPr="00204E5D">
        <w:t xml:space="preserve"> </w:t>
      </w:r>
      <w:r>
        <w:t xml:space="preserve">Ernest J., </w:t>
      </w:r>
      <w:r>
        <w:rPr>
          <w:i/>
          <w:iCs/>
        </w:rPr>
        <w:t>Before the Big Bang</w:t>
      </w:r>
      <w:r>
        <w:t>, Basic Books, 2001</w:t>
      </w:r>
    </w:p>
    <w:p w:rsidR="00AA2807" w:rsidRDefault="00AA2807" w:rsidP="00AA2807">
      <w:pPr>
        <w:pStyle w:val="FootnoteText"/>
      </w:pPr>
    </w:p>
    <w:p w:rsidR="00AA2807" w:rsidRPr="005328D9" w:rsidRDefault="00AA2807" w:rsidP="00AA2807">
      <w:pPr>
        <w:pStyle w:val="FootnoteText"/>
      </w:pPr>
      <w:r w:rsidRPr="005328D9">
        <w:t>Thompson</w:t>
      </w:r>
      <w:r>
        <w:t>,</w:t>
      </w:r>
      <w:r w:rsidRPr="00204E5D">
        <w:t xml:space="preserve"> </w:t>
      </w:r>
      <w:r w:rsidRPr="005328D9">
        <w:t>Eric, ‘</w:t>
      </w:r>
      <w:proofErr w:type="spellStart"/>
      <w:r w:rsidRPr="005328D9">
        <w:t>Hydrocosmica</w:t>
      </w:r>
      <w:proofErr w:type="spellEnd"/>
      <w:r w:rsidRPr="005328D9">
        <w:t>’ vixra.org/abs/1504.0023 [accessed December 4, 2019]</w:t>
      </w:r>
    </w:p>
    <w:p w:rsidR="00AA2807" w:rsidRDefault="00AA2807" w:rsidP="00AA2807">
      <w:pPr>
        <w:rPr>
          <w:b/>
          <w:bCs/>
        </w:rPr>
      </w:pPr>
    </w:p>
    <w:p w:rsidR="00AA2807" w:rsidRDefault="00AA2807" w:rsidP="00AA2807">
      <w:pPr>
        <w:pStyle w:val="Heading2"/>
      </w:pPr>
      <w:r>
        <w:t>Secondary Sources</w:t>
      </w:r>
      <w:r w:rsidRPr="00E23C25">
        <w:t xml:space="preserve"> </w:t>
      </w:r>
    </w:p>
    <w:p w:rsidR="00AA2807" w:rsidRDefault="00AA2807" w:rsidP="00AA2807">
      <w:pPr>
        <w:pStyle w:val="FootnoteText"/>
      </w:pPr>
    </w:p>
    <w:p w:rsidR="00AA2807" w:rsidRDefault="00AA2807" w:rsidP="00AA2807">
      <w:pPr>
        <w:pStyle w:val="FootnoteText"/>
      </w:pPr>
      <w:proofErr w:type="spellStart"/>
      <w:r w:rsidRPr="00A5314D">
        <w:t>Bidney</w:t>
      </w:r>
      <w:proofErr w:type="spellEnd"/>
      <w:r w:rsidRPr="00A5314D">
        <w:t>,</w:t>
      </w:r>
      <w:r>
        <w:t xml:space="preserve"> David,</w:t>
      </w:r>
      <w:r w:rsidRPr="00A5314D">
        <w:t xml:space="preserve"> </w:t>
      </w:r>
      <w:r>
        <w:t>‘</w:t>
      </w:r>
      <w:r w:rsidRPr="00A5314D">
        <w:t>On the Concept of Culture and Some Cultural Fallacies</w:t>
      </w:r>
      <w:r>
        <w:t>’,</w:t>
      </w:r>
      <w:r w:rsidRPr="00A5314D">
        <w:t xml:space="preserve"> </w:t>
      </w:r>
      <w:r w:rsidRPr="00B162F4">
        <w:rPr>
          <w:i/>
          <w:iCs/>
        </w:rPr>
        <w:t>American Anthropologist</w:t>
      </w:r>
      <w:r w:rsidRPr="00A5314D">
        <w:t xml:space="preserve"> 46</w:t>
      </w:r>
      <w:r>
        <w:t xml:space="preserve"> (</w:t>
      </w:r>
      <w:r w:rsidRPr="00A5314D">
        <w:t>1944</w:t>
      </w:r>
      <w:r>
        <w:t xml:space="preserve">), </w:t>
      </w:r>
      <w:r w:rsidRPr="00A5314D">
        <w:t>30-44.</w:t>
      </w:r>
      <w:r w:rsidRPr="005328D9">
        <w:t xml:space="preserve"> </w:t>
      </w:r>
    </w:p>
    <w:p w:rsidR="00AA2807" w:rsidRDefault="00AA2807" w:rsidP="00AA2807">
      <w:pPr>
        <w:pStyle w:val="FootnoteText"/>
      </w:pPr>
    </w:p>
    <w:p w:rsidR="00AA2807" w:rsidRDefault="00AA2807" w:rsidP="00AA2807">
      <w:pPr>
        <w:pStyle w:val="FootnoteText"/>
        <w:rPr>
          <w:rStyle w:val="Hyperlink"/>
          <w:rFonts w:cstheme="minorHAnsi"/>
          <w:color w:val="006FB7"/>
          <w:bdr w:val="none" w:sz="0" w:space="0" w:color="auto" w:frame="1"/>
          <w:shd w:val="clear" w:color="auto" w:fill="FFFFFF"/>
        </w:rPr>
      </w:pPr>
      <w:r w:rsidRPr="00255D34">
        <w:rPr>
          <w:rFonts w:cstheme="minorHAnsi"/>
          <w:color w:val="2A2A2A"/>
          <w:shd w:val="clear" w:color="auto" w:fill="FFFFFF"/>
        </w:rPr>
        <w:t>Bittner</w:t>
      </w:r>
      <w:r>
        <w:rPr>
          <w:rFonts w:cstheme="minorHAnsi"/>
          <w:color w:val="2A2A2A"/>
          <w:shd w:val="clear" w:color="auto" w:fill="FFFFFF"/>
        </w:rPr>
        <w:t>,</w:t>
      </w:r>
      <w:r w:rsidRPr="00204E5D">
        <w:rPr>
          <w:rFonts w:cstheme="minorHAnsi"/>
          <w:color w:val="2A2A2A"/>
          <w:shd w:val="clear" w:color="auto" w:fill="FFFFFF"/>
        </w:rPr>
        <w:t xml:space="preserve"> </w:t>
      </w:r>
      <w:r w:rsidRPr="00255D34">
        <w:rPr>
          <w:rFonts w:cstheme="minorHAnsi"/>
          <w:color w:val="2A2A2A"/>
          <w:shd w:val="clear" w:color="auto" w:fill="FFFFFF"/>
        </w:rPr>
        <w:t xml:space="preserve">Maria, </w:t>
      </w:r>
      <w:r>
        <w:rPr>
          <w:rFonts w:cstheme="minorHAnsi"/>
          <w:color w:val="2A2A2A"/>
          <w:shd w:val="clear" w:color="auto" w:fill="FFFFFF"/>
        </w:rPr>
        <w:t>‘</w:t>
      </w:r>
      <w:r w:rsidRPr="00255D34">
        <w:rPr>
          <w:rFonts w:cstheme="minorHAnsi"/>
          <w:color w:val="2A2A2A"/>
          <w:shd w:val="clear" w:color="auto" w:fill="FFFFFF"/>
        </w:rPr>
        <w:t>Future Discourse in a Tenseless Language</w:t>
      </w:r>
      <w:r>
        <w:rPr>
          <w:rFonts w:cstheme="minorHAnsi"/>
          <w:color w:val="2A2A2A"/>
          <w:shd w:val="clear" w:color="auto" w:fill="FFFFFF"/>
        </w:rPr>
        <w:t>’</w:t>
      </w:r>
      <w:r w:rsidRPr="00255D34">
        <w:rPr>
          <w:rFonts w:cstheme="minorHAnsi"/>
          <w:color w:val="2A2A2A"/>
          <w:shd w:val="clear" w:color="auto" w:fill="FFFFFF"/>
        </w:rPr>
        <w:t>, </w:t>
      </w:r>
      <w:r w:rsidRPr="00255D34">
        <w:rPr>
          <w:rStyle w:val="Emphasis"/>
          <w:rFonts w:cstheme="minorHAnsi"/>
          <w:color w:val="2A2A2A"/>
          <w:bdr w:val="none" w:sz="0" w:space="0" w:color="auto" w:frame="1"/>
          <w:shd w:val="clear" w:color="auto" w:fill="FFFFFF"/>
        </w:rPr>
        <w:t>Journal of Semantics</w:t>
      </w:r>
      <w:r w:rsidRPr="00255D34">
        <w:rPr>
          <w:rFonts w:cstheme="minorHAnsi"/>
          <w:color w:val="2A2A2A"/>
          <w:shd w:val="clear" w:color="auto" w:fill="FFFFFF"/>
        </w:rPr>
        <w:t xml:space="preserve">, 22, </w:t>
      </w:r>
      <w:r>
        <w:rPr>
          <w:rFonts w:cstheme="minorHAnsi"/>
          <w:color w:val="2A2A2A"/>
          <w:shd w:val="clear" w:color="auto" w:fill="FFFFFF"/>
        </w:rPr>
        <w:t>(</w:t>
      </w:r>
      <w:r w:rsidRPr="00255D34">
        <w:rPr>
          <w:rFonts w:cstheme="minorHAnsi"/>
          <w:color w:val="2A2A2A"/>
          <w:shd w:val="clear" w:color="auto" w:fill="FFFFFF"/>
        </w:rPr>
        <w:t>November 2005</w:t>
      </w:r>
      <w:r>
        <w:rPr>
          <w:rFonts w:cstheme="minorHAnsi"/>
          <w:color w:val="2A2A2A"/>
          <w:shd w:val="clear" w:color="auto" w:fill="FFFFFF"/>
        </w:rPr>
        <w:t xml:space="preserve">), </w:t>
      </w:r>
      <w:r w:rsidRPr="00255D34">
        <w:rPr>
          <w:rFonts w:cstheme="minorHAnsi"/>
          <w:color w:val="2A2A2A"/>
          <w:shd w:val="clear" w:color="auto" w:fill="FFFFFF"/>
        </w:rPr>
        <w:t>Issue 4, 339–387, </w:t>
      </w:r>
      <w:hyperlink r:id="rId11" w:history="1">
        <w:r w:rsidRPr="00255D34">
          <w:rPr>
            <w:rStyle w:val="Hyperlink"/>
            <w:rFonts w:cstheme="minorHAnsi"/>
            <w:color w:val="006FB7"/>
            <w:bdr w:val="none" w:sz="0" w:space="0" w:color="auto" w:frame="1"/>
            <w:shd w:val="clear" w:color="auto" w:fill="FFFFFF"/>
          </w:rPr>
          <w:t>https://doi.org/10.1093/jos/ffh029</w:t>
        </w:r>
      </w:hyperlink>
    </w:p>
    <w:p w:rsidR="00AA2807" w:rsidRPr="00255D34" w:rsidRDefault="00AA2807" w:rsidP="00AA2807">
      <w:pPr>
        <w:pStyle w:val="FootnoteText"/>
        <w:rPr>
          <w:rFonts w:cstheme="minorHAnsi"/>
        </w:rPr>
      </w:pPr>
    </w:p>
    <w:p w:rsidR="00AA2807" w:rsidRDefault="00AA2807" w:rsidP="00AA2807">
      <w:pPr>
        <w:pStyle w:val="FootnoteText"/>
        <w:rPr>
          <w:rFonts w:cstheme="minorHAnsi"/>
          <w:color w:val="333333"/>
          <w:shd w:val="clear" w:color="auto" w:fill="FFFFFF"/>
        </w:rPr>
      </w:pPr>
      <w:r w:rsidRPr="00255D34">
        <w:rPr>
          <w:rFonts w:cstheme="minorHAnsi"/>
          <w:color w:val="333333"/>
          <w:shd w:val="clear" w:color="auto" w:fill="FFFFFF"/>
        </w:rPr>
        <w:lastRenderedPageBreak/>
        <w:t>Brewer</w:t>
      </w:r>
      <w:r>
        <w:rPr>
          <w:rFonts w:cstheme="minorHAnsi"/>
          <w:color w:val="333333"/>
          <w:shd w:val="clear" w:color="auto" w:fill="FFFFFF"/>
        </w:rPr>
        <w:t>,</w:t>
      </w:r>
      <w:r w:rsidRPr="00204E5D">
        <w:rPr>
          <w:rFonts w:cstheme="minorHAnsi"/>
          <w:color w:val="333333"/>
          <w:shd w:val="clear" w:color="auto" w:fill="FFFFFF"/>
        </w:rPr>
        <w:t xml:space="preserve"> </w:t>
      </w:r>
      <w:r w:rsidRPr="00255D34">
        <w:rPr>
          <w:rFonts w:cstheme="minorHAnsi"/>
          <w:color w:val="333333"/>
          <w:shd w:val="clear" w:color="auto" w:fill="FFFFFF"/>
        </w:rPr>
        <w:t>William F. and Bruce L. Lambert</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The Theory-</w:t>
      </w:r>
      <w:proofErr w:type="spellStart"/>
      <w:r w:rsidRPr="00255D34">
        <w:rPr>
          <w:rFonts w:cstheme="minorHAnsi"/>
          <w:color w:val="333333"/>
          <w:shd w:val="clear" w:color="auto" w:fill="FFFFFF"/>
        </w:rPr>
        <w:t>Ladenness</w:t>
      </w:r>
      <w:proofErr w:type="spellEnd"/>
      <w:r w:rsidRPr="00255D34">
        <w:rPr>
          <w:rFonts w:cstheme="minorHAnsi"/>
          <w:color w:val="333333"/>
          <w:shd w:val="clear" w:color="auto" w:fill="FFFFFF"/>
        </w:rPr>
        <w:t xml:space="preserve"> of Observation and the Theory-</w:t>
      </w:r>
      <w:proofErr w:type="spellStart"/>
      <w:r w:rsidRPr="00255D34">
        <w:rPr>
          <w:rFonts w:cstheme="minorHAnsi"/>
          <w:color w:val="333333"/>
          <w:shd w:val="clear" w:color="auto" w:fill="FFFFFF"/>
        </w:rPr>
        <w:t>Ladenness</w:t>
      </w:r>
      <w:proofErr w:type="spellEnd"/>
      <w:r w:rsidRPr="00255D34">
        <w:rPr>
          <w:rFonts w:cstheme="minorHAnsi"/>
          <w:color w:val="333333"/>
          <w:shd w:val="clear" w:color="auto" w:fill="FFFFFF"/>
        </w:rPr>
        <w:t xml:space="preserve"> of the Rest of the Scientific Process</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Philosophy of Science</w:t>
      </w:r>
      <w:r w:rsidRPr="00255D34">
        <w:rPr>
          <w:rFonts w:cstheme="minorHAnsi"/>
          <w:color w:val="333333"/>
          <w:shd w:val="clear" w:color="auto" w:fill="FFFFFF"/>
        </w:rPr>
        <w:t>, 68</w:t>
      </w:r>
      <w:r>
        <w:rPr>
          <w:rFonts w:cstheme="minorHAnsi"/>
          <w:color w:val="333333"/>
          <w:shd w:val="clear" w:color="auto" w:fill="FFFFFF"/>
        </w:rPr>
        <w:t xml:space="preserve"> (</w:t>
      </w:r>
      <w:r w:rsidRPr="00255D34">
        <w:rPr>
          <w:rFonts w:cstheme="minorHAnsi"/>
          <w:color w:val="333333"/>
          <w:shd w:val="clear" w:color="auto" w:fill="FFFFFF"/>
        </w:rPr>
        <w:t>2001</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3, S176–S186. </w:t>
      </w:r>
    </w:p>
    <w:p w:rsidR="00AA2807" w:rsidRPr="00255D34" w:rsidRDefault="00AA2807" w:rsidP="00AA2807">
      <w:pPr>
        <w:pStyle w:val="FootnoteText"/>
        <w:rPr>
          <w:rFonts w:cstheme="minorHAnsi"/>
        </w:rPr>
      </w:pPr>
    </w:p>
    <w:p w:rsidR="00AA2807" w:rsidRDefault="00AA2807" w:rsidP="00AA2807">
      <w:pPr>
        <w:pStyle w:val="FootnoteText"/>
        <w:rPr>
          <w:rFonts w:cstheme="minorHAnsi"/>
          <w:i/>
          <w:iCs/>
          <w:color w:val="333333"/>
          <w:shd w:val="clear" w:color="auto" w:fill="FFFFFF"/>
        </w:rPr>
      </w:pPr>
      <w:proofErr w:type="spellStart"/>
      <w:r w:rsidRPr="00255D34">
        <w:rPr>
          <w:rFonts w:cstheme="minorHAnsi"/>
          <w:color w:val="333333"/>
          <w:shd w:val="clear" w:color="auto" w:fill="FFFFFF"/>
        </w:rPr>
        <w:t>Chiao</w:t>
      </w:r>
      <w:proofErr w:type="spellEnd"/>
      <w:r>
        <w:rPr>
          <w:rFonts w:cstheme="minorHAnsi"/>
          <w:color w:val="333333"/>
          <w:shd w:val="clear" w:color="auto" w:fill="FFFFFF"/>
        </w:rPr>
        <w:t>,</w:t>
      </w:r>
      <w:r w:rsidRPr="00255D34">
        <w:rPr>
          <w:rFonts w:cstheme="minorHAnsi"/>
          <w:color w:val="333333"/>
          <w:shd w:val="clear" w:color="auto" w:fill="FFFFFF"/>
        </w:rPr>
        <w:t xml:space="preserve"> Joan Y</w:t>
      </w:r>
      <w:r>
        <w:rPr>
          <w:rFonts w:cstheme="minorHAnsi"/>
          <w:color w:val="333333"/>
          <w:shd w:val="clear" w:color="auto" w:fill="FFFFFF"/>
        </w:rPr>
        <w:t>.</w:t>
      </w:r>
      <w:r w:rsidRPr="00255D34">
        <w:rPr>
          <w:rFonts w:cstheme="minorHAnsi"/>
          <w:color w:val="333333"/>
          <w:shd w:val="clear" w:color="auto" w:fill="FFFFFF"/>
        </w:rPr>
        <w:t xml:space="preserve"> and Mary Helen </w:t>
      </w:r>
      <w:proofErr w:type="spellStart"/>
      <w:r w:rsidRPr="00255D34">
        <w:rPr>
          <w:rFonts w:cstheme="minorHAnsi"/>
          <w:color w:val="333333"/>
          <w:shd w:val="clear" w:color="auto" w:fill="FFFFFF"/>
        </w:rPr>
        <w:t>Immordino</w:t>
      </w:r>
      <w:proofErr w:type="spellEnd"/>
      <w:r w:rsidRPr="00255D34">
        <w:rPr>
          <w:rFonts w:cstheme="minorHAnsi"/>
          <w:color w:val="333333"/>
          <w:shd w:val="clear" w:color="auto" w:fill="FFFFFF"/>
        </w:rPr>
        <w:t>-Yang</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Modularity and the Cultural Mind: Contributions of Cultural Neuroscience to Cognitive Theory</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Perspectives on Psychological Science</w:t>
      </w:r>
      <w:r w:rsidRPr="00255D34">
        <w:rPr>
          <w:rFonts w:cstheme="minorHAnsi"/>
          <w:color w:val="333333"/>
          <w:shd w:val="clear" w:color="auto" w:fill="FFFFFF"/>
        </w:rPr>
        <w:t xml:space="preserve">, 8 </w:t>
      </w:r>
      <w:r>
        <w:rPr>
          <w:rFonts w:cstheme="minorHAnsi"/>
          <w:color w:val="333333"/>
          <w:shd w:val="clear" w:color="auto" w:fill="FFFFFF"/>
        </w:rPr>
        <w:t>(</w:t>
      </w:r>
      <w:r w:rsidRPr="00255D34">
        <w:rPr>
          <w:rFonts w:cstheme="minorHAnsi"/>
          <w:color w:val="333333"/>
          <w:shd w:val="clear" w:color="auto" w:fill="FFFFFF"/>
        </w:rPr>
        <w:t>2013</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1, pp. 56–61. </w:t>
      </w:r>
    </w:p>
    <w:p w:rsidR="00AA2807" w:rsidRPr="00255D34" w:rsidRDefault="00AA2807" w:rsidP="00AA2807">
      <w:pPr>
        <w:pStyle w:val="FootnoteText"/>
        <w:rPr>
          <w:rFonts w:cstheme="minorHAnsi"/>
        </w:rPr>
      </w:pPr>
    </w:p>
    <w:p w:rsidR="00AA2807" w:rsidRDefault="00AA2807" w:rsidP="00AA2807">
      <w:pPr>
        <w:pStyle w:val="FootnoteText"/>
        <w:rPr>
          <w:rFonts w:cstheme="minorHAnsi"/>
          <w:color w:val="333333"/>
          <w:shd w:val="clear" w:color="auto" w:fill="FFFFFF"/>
        </w:rPr>
      </w:pPr>
      <w:r w:rsidRPr="00255D34">
        <w:rPr>
          <w:rFonts w:cstheme="minorHAnsi"/>
          <w:color w:val="333333"/>
          <w:shd w:val="clear" w:color="auto" w:fill="FFFFFF"/>
        </w:rPr>
        <w:t>Dunning</w:t>
      </w:r>
      <w:r>
        <w:rPr>
          <w:rFonts w:cstheme="minorHAnsi"/>
          <w:color w:val="333333"/>
          <w:shd w:val="clear" w:color="auto" w:fill="FFFFFF"/>
        </w:rPr>
        <w:t xml:space="preserve">, </w:t>
      </w:r>
      <w:r w:rsidRPr="00255D34">
        <w:rPr>
          <w:rFonts w:cstheme="minorHAnsi"/>
          <w:color w:val="333333"/>
          <w:shd w:val="clear" w:color="auto" w:fill="FFFFFF"/>
        </w:rPr>
        <w:t xml:space="preserve">David and Emily </w:t>
      </w:r>
      <w:proofErr w:type="spellStart"/>
      <w:r w:rsidRPr="00255D34">
        <w:rPr>
          <w:rFonts w:cstheme="minorHAnsi"/>
          <w:color w:val="333333"/>
          <w:shd w:val="clear" w:color="auto" w:fill="FFFFFF"/>
        </w:rPr>
        <w:t>Balcetis</w:t>
      </w:r>
      <w:proofErr w:type="spellEnd"/>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Wishful Seeing: How Preferences Shape Visual Perception</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Current Directions in Psychological Science</w:t>
      </w:r>
      <w:r w:rsidRPr="00255D34">
        <w:rPr>
          <w:rFonts w:cstheme="minorHAnsi"/>
          <w:color w:val="333333"/>
          <w:shd w:val="clear" w:color="auto" w:fill="FFFFFF"/>
        </w:rPr>
        <w:t xml:space="preserve">, 22, </w:t>
      </w:r>
      <w:r>
        <w:rPr>
          <w:rFonts w:cstheme="minorHAnsi"/>
          <w:color w:val="333333"/>
          <w:shd w:val="clear" w:color="auto" w:fill="FFFFFF"/>
        </w:rPr>
        <w:t>(</w:t>
      </w:r>
      <w:r w:rsidRPr="00255D34">
        <w:rPr>
          <w:rFonts w:cstheme="minorHAnsi"/>
          <w:color w:val="333333"/>
          <w:shd w:val="clear" w:color="auto" w:fill="FFFFFF"/>
        </w:rPr>
        <w:t>2013</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1, 33–37</w:t>
      </w:r>
    </w:p>
    <w:p w:rsidR="00AA2807" w:rsidRDefault="00AA2807" w:rsidP="00AA2807">
      <w:pPr>
        <w:pStyle w:val="FootnoteText"/>
      </w:pPr>
    </w:p>
    <w:p w:rsidR="00AA2807" w:rsidRDefault="00AA2807" w:rsidP="00AA2807">
      <w:pPr>
        <w:pStyle w:val="FootnoteText"/>
      </w:pPr>
      <w:r w:rsidRPr="00255D34">
        <w:t>Greene</w:t>
      </w:r>
      <w:r>
        <w:t>,</w:t>
      </w:r>
      <w:r w:rsidRPr="00204E5D">
        <w:t xml:space="preserve"> </w:t>
      </w:r>
      <w:r w:rsidRPr="00255D34">
        <w:t>Br</w:t>
      </w:r>
      <w:r>
        <w:t>ia</w:t>
      </w:r>
      <w:r w:rsidRPr="00255D34">
        <w:t xml:space="preserve">n, </w:t>
      </w:r>
      <w:r w:rsidRPr="00255D34">
        <w:rPr>
          <w:i/>
          <w:iCs/>
        </w:rPr>
        <w:t xml:space="preserve">The Fabric of the Cosmos </w:t>
      </w:r>
      <w:r w:rsidRPr="00255D34">
        <w:t>(New York: Alfred A. Knopf, 2004)</w:t>
      </w:r>
    </w:p>
    <w:p w:rsidR="00AA2807" w:rsidRPr="00255D34" w:rsidRDefault="00AA2807" w:rsidP="00AA2807">
      <w:pPr>
        <w:pStyle w:val="FootnoteText"/>
        <w:rPr>
          <w:rFonts w:cstheme="minorHAnsi"/>
        </w:rPr>
      </w:pPr>
    </w:p>
    <w:p w:rsidR="00AA2807" w:rsidRDefault="00AA2807" w:rsidP="00AA2807">
      <w:pPr>
        <w:pStyle w:val="FootnoteText"/>
        <w:rPr>
          <w:rFonts w:cstheme="minorHAnsi"/>
          <w:i/>
          <w:iCs/>
          <w:color w:val="333333"/>
          <w:shd w:val="clear" w:color="auto" w:fill="FFFFFF"/>
        </w:rPr>
      </w:pPr>
      <w:proofErr w:type="spellStart"/>
      <w:r w:rsidRPr="008525D3">
        <w:rPr>
          <w:rFonts w:cstheme="minorHAnsi"/>
          <w:color w:val="333333"/>
          <w:shd w:val="clear" w:color="auto" w:fill="FFFFFF"/>
        </w:rPr>
        <w:t>Hasse</w:t>
      </w:r>
      <w:proofErr w:type="spellEnd"/>
      <w:r>
        <w:rPr>
          <w:rFonts w:cstheme="minorHAnsi"/>
          <w:color w:val="333333"/>
          <w:shd w:val="clear" w:color="auto" w:fill="FFFFFF"/>
        </w:rPr>
        <w:t>,</w:t>
      </w:r>
      <w:r w:rsidRPr="00204E5D">
        <w:rPr>
          <w:rFonts w:cstheme="minorHAnsi"/>
          <w:color w:val="333333"/>
          <w:shd w:val="clear" w:color="auto" w:fill="FFFFFF"/>
        </w:rPr>
        <w:t xml:space="preserve"> </w:t>
      </w:r>
      <w:proofErr w:type="spellStart"/>
      <w:r w:rsidRPr="008525D3">
        <w:rPr>
          <w:rFonts w:cstheme="minorHAnsi"/>
          <w:color w:val="333333"/>
          <w:shd w:val="clear" w:color="auto" w:fill="FFFFFF"/>
        </w:rPr>
        <w:t>Cathrine</w:t>
      </w:r>
      <w:proofErr w:type="spellEnd"/>
      <w:r w:rsidRPr="008525D3">
        <w:rPr>
          <w:rFonts w:cstheme="minorHAnsi"/>
          <w:color w:val="333333"/>
          <w:shd w:val="clear" w:color="auto" w:fill="FFFFFF"/>
        </w:rPr>
        <w:t>, ‘</w:t>
      </w:r>
      <w:proofErr w:type="spellStart"/>
      <w:r w:rsidRPr="008525D3">
        <w:rPr>
          <w:rFonts w:cstheme="minorHAnsi"/>
          <w:color w:val="333333"/>
          <w:shd w:val="clear" w:color="auto" w:fill="FFFFFF"/>
        </w:rPr>
        <w:t>Postphenomenology</w:t>
      </w:r>
      <w:proofErr w:type="spellEnd"/>
      <w:r w:rsidRPr="008525D3">
        <w:rPr>
          <w:rFonts w:cstheme="minorHAnsi"/>
          <w:color w:val="333333"/>
          <w:shd w:val="clear" w:color="auto" w:fill="FFFFFF"/>
        </w:rPr>
        <w:t>: Learning Cultural Perception in Science’, </w:t>
      </w:r>
      <w:r w:rsidRPr="008525D3">
        <w:rPr>
          <w:rFonts w:cstheme="minorHAnsi"/>
          <w:i/>
          <w:iCs/>
          <w:color w:val="333333"/>
          <w:shd w:val="clear" w:color="auto" w:fill="FFFFFF"/>
        </w:rPr>
        <w:t>Human Studies</w:t>
      </w:r>
      <w:r w:rsidRPr="008525D3">
        <w:rPr>
          <w:rFonts w:cstheme="minorHAnsi"/>
          <w:color w:val="333333"/>
          <w:shd w:val="clear" w:color="auto" w:fill="FFFFFF"/>
        </w:rPr>
        <w:t>, 31 (2008), No. 1, 43–61. </w:t>
      </w:r>
    </w:p>
    <w:p w:rsidR="00AA2807" w:rsidRDefault="00AA2807" w:rsidP="00AA2807">
      <w:pPr>
        <w:pStyle w:val="FootnoteText"/>
        <w:rPr>
          <w:rFonts w:cstheme="minorHAnsi"/>
          <w:i/>
          <w:iCs/>
          <w:color w:val="333333"/>
          <w:shd w:val="clear" w:color="auto" w:fill="FFFFFF"/>
        </w:rPr>
      </w:pPr>
    </w:p>
    <w:p w:rsidR="00AA2807" w:rsidRPr="00CE11B5" w:rsidRDefault="00AA2807" w:rsidP="00AA2807">
      <w:pPr>
        <w:pStyle w:val="FootnoteText"/>
        <w:rPr>
          <w:rFonts w:cstheme="minorHAnsi"/>
          <w:i/>
          <w:iCs/>
        </w:rPr>
      </w:pPr>
      <w:r w:rsidRPr="00255D34">
        <w:rPr>
          <w:rFonts w:cstheme="minorHAnsi"/>
        </w:rPr>
        <w:t>Hoffman</w:t>
      </w:r>
      <w:r>
        <w:rPr>
          <w:rFonts w:cstheme="minorHAnsi"/>
        </w:rPr>
        <w:t>,</w:t>
      </w:r>
      <w:r w:rsidRPr="00204E5D">
        <w:rPr>
          <w:rFonts w:cstheme="minorHAnsi"/>
        </w:rPr>
        <w:t xml:space="preserve"> </w:t>
      </w:r>
      <w:r w:rsidRPr="00255D34">
        <w:rPr>
          <w:rFonts w:cstheme="minorHAnsi"/>
        </w:rPr>
        <w:t xml:space="preserve">Donald D., </w:t>
      </w:r>
      <w:r w:rsidRPr="00255D34">
        <w:rPr>
          <w:rFonts w:cstheme="minorHAnsi"/>
          <w:i/>
          <w:iCs/>
        </w:rPr>
        <w:t xml:space="preserve">Visual Intelligence </w:t>
      </w:r>
      <w:r w:rsidRPr="00255D34">
        <w:rPr>
          <w:rFonts w:cstheme="minorHAnsi"/>
        </w:rPr>
        <w:t xml:space="preserve">(New York: W.W. Norton and Company, Inc., 1998) </w:t>
      </w:r>
    </w:p>
    <w:p w:rsidR="00AA2807" w:rsidRPr="008525D3" w:rsidRDefault="00AA2807" w:rsidP="00AA2807">
      <w:pPr>
        <w:pStyle w:val="FootnoteText"/>
        <w:rPr>
          <w:rFonts w:cstheme="minorHAnsi"/>
        </w:rPr>
      </w:pPr>
    </w:p>
    <w:p w:rsidR="00AA2807" w:rsidRDefault="00AA2807" w:rsidP="00AA2807">
      <w:pPr>
        <w:pStyle w:val="FootnoteText"/>
        <w:rPr>
          <w:rFonts w:cstheme="minorHAnsi"/>
          <w:i/>
          <w:iCs/>
          <w:color w:val="333333"/>
          <w:shd w:val="clear" w:color="auto" w:fill="FFFFFF"/>
        </w:rPr>
      </w:pPr>
      <w:proofErr w:type="spellStart"/>
      <w:r w:rsidRPr="00255D34">
        <w:rPr>
          <w:rFonts w:cstheme="minorHAnsi"/>
          <w:color w:val="333333"/>
          <w:shd w:val="clear" w:color="auto" w:fill="FFFFFF"/>
        </w:rPr>
        <w:t>Ihde</w:t>
      </w:r>
      <w:proofErr w:type="spellEnd"/>
      <w:r>
        <w:rPr>
          <w:rFonts w:cstheme="minorHAnsi"/>
          <w:color w:val="333333"/>
          <w:shd w:val="clear" w:color="auto" w:fill="FFFFFF"/>
        </w:rPr>
        <w:t>,</w:t>
      </w:r>
      <w:r w:rsidRPr="00255D34">
        <w:rPr>
          <w:rFonts w:cstheme="minorHAnsi"/>
          <w:color w:val="333333"/>
          <w:shd w:val="clear" w:color="auto" w:fill="FFFFFF"/>
        </w:rPr>
        <w:t xml:space="preserve"> Don</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 xml:space="preserve">Introduction: </w:t>
      </w:r>
      <w:proofErr w:type="spellStart"/>
      <w:r w:rsidRPr="00255D34">
        <w:rPr>
          <w:rFonts w:cstheme="minorHAnsi"/>
          <w:color w:val="333333"/>
          <w:shd w:val="clear" w:color="auto" w:fill="FFFFFF"/>
        </w:rPr>
        <w:t>Postphenomenological</w:t>
      </w:r>
      <w:proofErr w:type="spellEnd"/>
      <w:r w:rsidRPr="00255D34">
        <w:rPr>
          <w:rFonts w:cstheme="minorHAnsi"/>
          <w:color w:val="333333"/>
          <w:shd w:val="clear" w:color="auto" w:fill="FFFFFF"/>
        </w:rPr>
        <w:t xml:space="preserve"> Research</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Human Studies</w:t>
      </w:r>
      <w:r w:rsidRPr="00255D34">
        <w:rPr>
          <w:rFonts w:cstheme="minorHAnsi"/>
          <w:color w:val="333333"/>
          <w:shd w:val="clear" w:color="auto" w:fill="FFFFFF"/>
        </w:rPr>
        <w:t xml:space="preserve">, 31 </w:t>
      </w:r>
      <w:r>
        <w:rPr>
          <w:rFonts w:cstheme="minorHAnsi"/>
          <w:color w:val="333333"/>
          <w:shd w:val="clear" w:color="auto" w:fill="FFFFFF"/>
        </w:rPr>
        <w:t>(</w:t>
      </w:r>
      <w:r w:rsidRPr="00255D34">
        <w:rPr>
          <w:rFonts w:cstheme="minorHAnsi"/>
          <w:color w:val="333333"/>
          <w:shd w:val="clear" w:color="auto" w:fill="FFFFFF"/>
        </w:rPr>
        <w:t>2008</w:t>
      </w:r>
      <w:r>
        <w:rPr>
          <w:rFonts w:cstheme="minorHAnsi"/>
          <w:color w:val="333333"/>
          <w:shd w:val="clear" w:color="auto" w:fill="FFFFFF"/>
        </w:rPr>
        <w:t>), N</w:t>
      </w:r>
      <w:r w:rsidRPr="00255D34">
        <w:rPr>
          <w:rFonts w:cstheme="minorHAnsi"/>
          <w:color w:val="333333"/>
          <w:shd w:val="clear" w:color="auto" w:fill="FFFFFF"/>
        </w:rPr>
        <w:t>o. 1,</w:t>
      </w:r>
      <w:r>
        <w:rPr>
          <w:rFonts w:cstheme="minorHAnsi"/>
          <w:color w:val="333333"/>
          <w:shd w:val="clear" w:color="auto" w:fill="FFFFFF"/>
        </w:rPr>
        <w:t xml:space="preserve"> </w:t>
      </w:r>
      <w:r w:rsidRPr="00255D34">
        <w:rPr>
          <w:rFonts w:cstheme="minorHAnsi"/>
          <w:color w:val="333333"/>
          <w:shd w:val="clear" w:color="auto" w:fill="FFFFFF"/>
        </w:rPr>
        <w:t>1–9. </w:t>
      </w:r>
    </w:p>
    <w:p w:rsidR="00AA2807" w:rsidRDefault="00AA2807" w:rsidP="00AA2807">
      <w:pPr>
        <w:pStyle w:val="FootnoteText"/>
      </w:pPr>
    </w:p>
    <w:p w:rsidR="00AA2807" w:rsidRDefault="00AA2807" w:rsidP="00AA2807">
      <w:pPr>
        <w:pStyle w:val="FootnoteText"/>
        <w:rPr>
          <w:rFonts w:cstheme="minorHAnsi"/>
          <w:color w:val="333333"/>
          <w:shd w:val="clear" w:color="auto" w:fill="FFFFFF"/>
        </w:rPr>
      </w:pPr>
      <w:r w:rsidRPr="00255D34">
        <w:rPr>
          <w:rFonts w:cstheme="minorHAnsi"/>
          <w:color w:val="333333"/>
          <w:shd w:val="clear" w:color="auto" w:fill="FFFFFF"/>
        </w:rPr>
        <w:t>Levinson</w:t>
      </w:r>
      <w:r>
        <w:rPr>
          <w:rFonts w:cstheme="minorHAnsi"/>
          <w:color w:val="333333"/>
          <w:shd w:val="clear" w:color="auto" w:fill="FFFFFF"/>
        </w:rPr>
        <w:t>,</w:t>
      </w:r>
      <w:r w:rsidRPr="00204E5D">
        <w:rPr>
          <w:rFonts w:cstheme="minorHAnsi"/>
          <w:color w:val="333333"/>
          <w:shd w:val="clear" w:color="auto" w:fill="FFFFFF"/>
        </w:rPr>
        <w:t xml:space="preserve"> </w:t>
      </w:r>
      <w:r w:rsidRPr="00255D34">
        <w:rPr>
          <w:rFonts w:cstheme="minorHAnsi"/>
          <w:color w:val="333333"/>
          <w:shd w:val="clear" w:color="auto" w:fill="FFFFFF"/>
        </w:rPr>
        <w:t xml:space="preserve">Stephen C., </w:t>
      </w:r>
      <w:r>
        <w:rPr>
          <w:rFonts w:cstheme="minorHAnsi"/>
          <w:color w:val="333333"/>
          <w:shd w:val="clear" w:color="auto" w:fill="FFFFFF"/>
        </w:rPr>
        <w:t>‘</w:t>
      </w:r>
      <w:r w:rsidRPr="00255D34">
        <w:rPr>
          <w:rFonts w:cstheme="minorHAnsi"/>
          <w:color w:val="333333"/>
          <w:shd w:val="clear" w:color="auto" w:fill="FFFFFF"/>
        </w:rPr>
        <w:t>Language and Space</w:t>
      </w:r>
      <w:r>
        <w:rPr>
          <w:rFonts w:cstheme="minorHAnsi"/>
          <w:color w:val="333333"/>
          <w:shd w:val="clear" w:color="auto" w:fill="FFFFFF"/>
        </w:rPr>
        <w:t xml:space="preserve">’, </w:t>
      </w:r>
      <w:r w:rsidRPr="00255D34">
        <w:rPr>
          <w:rFonts w:cstheme="minorHAnsi"/>
          <w:i/>
          <w:iCs/>
          <w:color w:val="333333"/>
          <w:shd w:val="clear" w:color="auto" w:fill="FFFFFF"/>
        </w:rPr>
        <w:t>Annual Review of Anthropology</w:t>
      </w:r>
      <w:r w:rsidRPr="00255D34">
        <w:rPr>
          <w:rFonts w:cstheme="minorHAnsi"/>
          <w:color w:val="333333"/>
          <w:shd w:val="clear" w:color="auto" w:fill="FFFFFF"/>
        </w:rPr>
        <w:t xml:space="preserve">, 25 </w:t>
      </w:r>
      <w:r>
        <w:rPr>
          <w:rFonts w:cstheme="minorHAnsi"/>
          <w:color w:val="333333"/>
          <w:shd w:val="clear" w:color="auto" w:fill="FFFFFF"/>
        </w:rPr>
        <w:t>(</w:t>
      </w:r>
      <w:r w:rsidRPr="00255D34">
        <w:rPr>
          <w:rFonts w:cstheme="minorHAnsi"/>
          <w:color w:val="333333"/>
          <w:shd w:val="clear" w:color="auto" w:fill="FFFFFF"/>
        </w:rPr>
        <w:t>1996</w:t>
      </w:r>
      <w:r>
        <w:rPr>
          <w:rFonts w:cstheme="minorHAnsi"/>
          <w:color w:val="333333"/>
          <w:shd w:val="clear" w:color="auto" w:fill="FFFFFF"/>
        </w:rPr>
        <w:t>)</w:t>
      </w:r>
      <w:r w:rsidRPr="00255D34">
        <w:rPr>
          <w:rFonts w:cstheme="minorHAnsi"/>
          <w:color w:val="333333"/>
          <w:shd w:val="clear" w:color="auto" w:fill="FFFFFF"/>
        </w:rPr>
        <w:t>, 356.</w:t>
      </w:r>
    </w:p>
    <w:p w:rsidR="00AA2807" w:rsidRDefault="00AA2807" w:rsidP="00AA2807">
      <w:pPr>
        <w:pStyle w:val="FootnoteText"/>
        <w:rPr>
          <w:rFonts w:cstheme="minorHAnsi"/>
          <w:color w:val="333333"/>
          <w:shd w:val="clear" w:color="auto" w:fill="FFFFFF"/>
        </w:rPr>
      </w:pPr>
    </w:p>
    <w:p w:rsidR="00AA2807" w:rsidRPr="000B61F7" w:rsidRDefault="00AA2807" w:rsidP="00AA2807">
      <w:pPr>
        <w:pStyle w:val="FootnoteText"/>
      </w:pPr>
      <w:r>
        <w:t>Levy-</w:t>
      </w:r>
      <w:proofErr w:type="spellStart"/>
      <w:r>
        <w:t>Br</w:t>
      </w:r>
      <w:r>
        <w:rPr>
          <w:rFonts w:cstheme="minorHAnsi"/>
        </w:rPr>
        <w:t>ȕ</w:t>
      </w:r>
      <w:r>
        <w:t>hl</w:t>
      </w:r>
      <w:proofErr w:type="spellEnd"/>
      <w:r>
        <w:t>,</w:t>
      </w:r>
      <w:r w:rsidRPr="00204E5D">
        <w:t xml:space="preserve"> </w:t>
      </w:r>
      <w:r>
        <w:t xml:space="preserve">Lucien, </w:t>
      </w:r>
      <w:r>
        <w:rPr>
          <w:i/>
          <w:iCs/>
        </w:rPr>
        <w:t xml:space="preserve">How Natives Think </w:t>
      </w:r>
      <w:r>
        <w:t xml:space="preserve">(Princeton: Princeton University Press, 1985) </w:t>
      </w:r>
    </w:p>
    <w:p w:rsidR="00AA2807" w:rsidRDefault="00AA2807" w:rsidP="00AA2807">
      <w:pPr>
        <w:pStyle w:val="FootnoteText"/>
        <w:rPr>
          <w:rFonts w:cstheme="minorHAnsi"/>
          <w:color w:val="333333"/>
          <w:shd w:val="clear" w:color="auto" w:fill="FFFFFF"/>
        </w:rPr>
      </w:pPr>
    </w:p>
    <w:p w:rsidR="00AA2807" w:rsidRPr="00255D34" w:rsidRDefault="00AA2807" w:rsidP="00AA2807">
      <w:pPr>
        <w:pStyle w:val="FootnoteText"/>
        <w:rPr>
          <w:rFonts w:cstheme="minorHAnsi"/>
        </w:rPr>
      </w:pPr>
      <w:proofErr w:type="spellStart"/>
      <w:r w:rsidRPr="00255D34">
        <w:rPr>
          <w:rFonts w:cstheme="minorHAnsi"/>
        </w:rPr>
        <w:t>P</w:t>
      </w:r>
      <w:r>
        <w:rPr>
          <w:rFonts w:cstheme="minorHAnsi"/>
        </w:rPr>
        <w:t>angle</w:t>
      </w:r>
      <w:proofErr w:type="spellEnd"/>
      <w:r>
        <w:rPr>
          <w:rFonts w:cstheme="minorHAnsi"/>
        </w:rPr>
        <w:t>,</w:t>
      </w:r>
      <w:r w:rsidRPr="00204E5D">
        <w:rPr>
          <w:rFonts w:cstheme="minorHAnsi"/>
        </w:rPr>
        <w:t xml:space="preserve"> </w:t>
      </w:r>
      <w:r>
        <w:rPr>
          <w:rFonts w:cstheme="minorHAnsi"/>
        </w:rPr>
        <w:t>Thomas</w:t>
      </w:r>
      <w:r w:rsidRPr="00255D34">
        <w:rPr>
          <w:rFonts w:cstheme="minorHAnsi"/>
        </w:rPr>
        <w:t xml:space="preserve"> L.</w:t>
      </w:r>
      <w:r>
        <w:rPr>
          <w:rFonts w:cstheme="minorHAnsi"/>
        </w:rPr>
        <w:t>,</w:t>
      </w:r>
      <w:r w:rsidRPr="00255D34">
        <w:rPr>
          <w:rFonts w:cstheme="minorHAnsi"/>
        </w:rPr>
        <w:t xml:space="preserve"> </w:t>
      </w:r>
      <w:r>
        <w:rPr>
          <w:rFonts w:cstheme="minorHAnsi"/>
        </w:rPr>
        <w:t>‘</w:t>
      </w:r>
      <w:r w:rsidRPr="00255D34">
        <w:rPr>
          <w:rFonts w:cstheme="minorHAnsi"/>
        </w:rPr>
        <w:t>O</w:t>
      </w:r>
      <w:r>
        <w:rPr>
          <w:rFonts w:cstheme="minorHAnsi"/>
        </w:rPr>
        <w:t>n</w:t>
      </w:r>
      <w:r w:rsidRPr="00255D34">
        <w:rPr>
          <w:rFonts w:cstheme="minorHAnsi"/>
        </w:rPr>
        <w:t xml:space="preserve"> H</w:t>
      </w:r>
      <w:r>
        <w:rPr>
          <w:rFonts w:cstheme="minorHAnsi"/>
        </w:rPr>
        <w:t xml:space="preserve">eisenberg’s </w:t>
      </w:r>
      <w:r w:rsidRPr="00255D34">
        <w:rPr>
          <w:rFonts w:cstheme="minorHAnsi"/>
        </w:rPr>
        <w:t>K</w:t>
      </w:r>
      <w:r>
        <w:rPr>
          <w:rFonts w:cstheme="minorHAnsi"/>
        </w:rPr>
        <w:t>ey</w:t>
      </w:r>
      <w:r w:rsidRPr="00255D34">
        <w:rPr>
          <w:rFonts w:cstheme="minorHAnsi"/>
        </w:rPr>
        <w:t xml:space="preserve"> S</w:t>
      </w:r>
      <w:r>
        <w:rPr>
          <w:rFonts w:cstheme="minorHAnsi"/>
        </w:rPr>
        <w:t>tatement</w:t>
      </w:r>
      <w:r w:rsidRPr="00255D34">
        <w:rPr>
          <w:rFonts w:cstheme="minorHAnsi"/>
        </w:rPr>
        <w:t xml:space="preserve"> C</w:t>
      </w:r>
      <w:r>
        <w:rPr>
          <w:rFonts w:cstheme="minorHAnsi"/>
        </w:rPr>
        <w:t>oncerning</w:t>
      </w:r>
      <w:r w:rsidRPr="00255D34">
        <w:rPr>
          <w:rFonts w:cstheme="minorHAnsi"/>
        </w:rPr>
        <w:t xml:space="preserve"> O</w:t>
      </w:r>
      <w:r>
        <w:rPr>
          <w:rFonts w:cstheme="minorHAnsi"/>
        </w:rPr>
        <w:t xml:space="preserve">ntology’, </w:t>
      </w:r>
      <w:r w:rsidRPr="00E501D3">
        <w:rPr>
          <w:rFonts w:cstheme="minorHAnsi"/>
          <w:i/>
          <w:iCs/>
        </w:rPr>
        <w:t>The Review of Metaphysics</w:t>
      </w:r>
      <w:r w:rsidRPr="00255D34">
        <w:rPr>
          <w:rFonts w:cstheme="minorHAnsi"/>
        </w:rPr>
        <w:t>, 67, (JUNE 2014), No. 4</w:t>
      </w:r>
      <w:r>
        <w:rPr>
          <w:rFonts w:cstheme="minorHAnsi"/>
        </w:rPr>
        <w:t>,</w:t>
      </w:r>
      <w:r w:rsidRPr="00255D34">
        <w:rPr>
          <w:rFonts w:cstheme="minorHAnsi"/>
        </w:rPr>
        <w:t xml:space="preserve"> 835-859 </w:t>
      </w:r>
    </w:p>
    <w:p w:rsidR="00AA2807" w:rsidRPr="00255D34" w:rsidRDefault="00AA2807" w:rsidP="00AA2807">
      <w:pPr>
        <w:pStyle w:val="FootnoteText"/>
      </w:pPr>
    </w:p>
    <w:p w:rsidR="00AA2807" w:rsidRDefault="00AA2807" w:rsidP="00AA2807">
      <w:pPr>
        <w:pStyle w:val="FootnoteText"/>
        <w:rPr>
          <w:rFonts w:cstheme="minorHAnsi"/>
        </w:rPr>
      </w:pPr>
      <w:r w:rsidRPr="00255D34">
        <w:t>Primack</w:t>
      </w:r>
      <w:r>
        <w:t>,</w:t>
      </w:r>
      <w:r w:rsidRPr="00204E5D">
        <w:t xml:space="preserve"> </w:t>
      </w:r>
      <w:r w:rsidRPr="00255D34">
        <w:t xml:space="preserve">Joel R., ‘Cosmology and Culture’ </w:t>
      </w:r>
      <w:hyperlink r:id="rId12" w:history="1">
        <w:r w:rsidRPr="00255D34">
          <w:rPr>
            <w:rStyle w:val="Hyperlink"/>
          </w:rPr>
          <w:t>http://physics.ucsc.edu/cosmo/primack_abrams/COSMO.HTM</w:t>
        </w:r>
      </w:hyperlink>
      <w:r w:rsidRPr="00255D34">
        <w:t xml:space="preserve"> </w:t>
      </w:r>
      <w:r>
        <w:t>[</w:t>
      </w:r>
      <w:r w:rsidRPr="00255D34">
        <w:t xml:space="preserve">accessed </w:t>
      </w:r>
      <w:r>
        <w:t>December 3, 2019]</w:t>
      </w:r>
      <w:r w:rsidRPr="005328D9">
        <w:rPr>
          <w:rFonts w:cstheme="minorHAnsi"/>
        </w:rPr>
        <w:t xml:space="preserve"> </w:t>
      </w:r>
    </w:p>
    <w:p w:rsidR="00AA2807" w:rsidRDefault="00AA2807" w:rsidP="00AA2807">
      <w:pPr>
        <w:pStyle w:val="FootnoteText"/>
        <w:rPr>
          <w:rFonts w:cstheme="minorHAnsi"/>
        </w:rPr>
      </w:pPr>
    </w:p>
    <w:p w:rsidR="00AA2807" w:rsidRPr="00255D34" w:rsidRDefault="00AA2807" w:rsidP="00AA2807">
      <w:pPr>
        <w:pStyle w:val="FootnoteText"/>
        <w:rPr>
          <w:rFonts w:cstheme="minorHAnsi"/>
          <w:i/>
          <w:iCs/>
        </w:rPr>
      </w:pPr>
      <w:r w:rsidRPr="00255D34">
        <w:rPr>
          <w:rFonts w:cstheme="minorHAnsi"/>
        </w:rPr>
        <w:t>Sproul</w:t>
      </w:r>
      <w:r>
        <w:rPr>
          <w:rFonts w:cstheme="minorHAnsi"/>
        </w:rPr>
        <w:t>,</w:t>
      </w:r>
      <w:r w:rsidRPr="00204E5D">
        <w:rPr>
          <w:rFonts w:cstheme="minorHAnsi"/>
        </w:rPr>
        <w:t xml:space="preserve"> </w:t>
      </w:r>
      <w:r w:rsidRPr="00255D34">
        <w:rPr>
          <w:rFonts w:cstheme="minorHAnsi"/>
        </w:rPr>
        <w:t xml:space="preserve">Barbara C., </w:t>
      </w:r>
      <w:r w:rsidRPr="00255D34">
        <w:rPr>
          <w:rFonts w:cstheme="minorHAnsi"/>
          <w:i/>
          <w:iCs/>
        </w:rPr>
        <w:t xml:space="preserve">Primal Myths: Creation Myths around the World </w:t>
      </w:r>
      <w:r w:rsidRPr="00CE11B5">
        <w:rPr>
          <w:rFonts w:cstheme="minorHAnsi"/>
        </w:rPr>
        <w:t xml:space="preserve">(San Francisco: </w:t>
      </w:r>
      <w:proofErr w:type="spellStart"/>
      <w:r w:rsidRPr="00CE11B5">
        <w:rPr>
          <w:rFonts w:cstheme="minorHAnsi"/>
        </w:rPr>
        <w:t>HarperSanFrancisco</w:t>
      </w:r>
      <w:proofErr w:type="spellEnd"/>
      <w:r w:rsidRPr="00CE11B5">
        <w:rPr>
          <w:rFonts w:cstheme="minorHAnsi"/>
        </w:rPr>
        <w:t>, 1991)</w:t>
      </w:r>
    </w:p>
    <w:p w:rsidR="00AA2807" w:rsidRDefault="00AA2807" w:rsidP="00AA2807">
      <w:pPr>
        <w:pStyle w:val="FootnoteText"/>
      </w:pPr>
    </w:p>
    <w:p w:rsidR="00AA2807" w:rsidRDefault="00AA2807" w:rsidP="00AA2807">
      <w:pPr>
        <w:pStyle w:val="FootnoteText"/>
      </w:pPr>
      <w:r w:rsidRPr="005328D9">
        <w:t>Stocking</w:t>
      </w:r>
      <w:r>
        <w:t>,</w:t>
      </w:r>
      <w:r w:rsidRPr="00204E5D">
        <w:t xml:space="preserve"> </w:t>
      </w:r>
      <w:r w:rsidRPr="005328D9">
        <w:t xml:space="preserve">George W., Jr., ‘Matthew Arnold, E. B. Tylor, and the uses of invention, </w:t>
      </w:r>
      <w:r w:rsidRPr="005328D9">
        <w:rPr>
          <w:i/>
        </w:rPr>
        <w:t xml:space="preserve">with an appendix on </w:t>
      </w:r>
      <w:r w:rsidRPr="005328D9">
        <w:t>Evolutionary ethnology and the growth of cultural relativism, 1871-1915: from culture to cultures.’ Paper presented to the Conference on the History of Anthropology and Social Science Research Council. (1962), 35-36, cited in Stocking</w:t>
      </w:r>
      <w:r w:rsidRPr="005D66BF">
        <w:t xml:space="preserve"> </w:t>
      </w:r>
      <w:r w:rsidRPr="005328D9">
        <w:t xml:space="preserve">George W., Jr., ‘Franz Boas and the Culture Concept in Historical Perspective’, </w:t>
      </w:r>
      <w:r w:rsidRPr="005328D9">
        <w:rPr>
          <w:i/>
        </w:rPr>
        <w:t>American Anthropologist</w:t>
      </w:r>
      <w:r w:rsidRPr="005328D9">
        <w:t xml:space="preserve"> (1966), 871, online </w:t>
      </w:r>
      <w:proofErr w:type="gramStart"/>
      <w:r w:rsidRPr="005328D9">
        <w:t>https:anthrosource.onlinelibrary.wiley.com</w:t>
      </w:r>
      <w:proofErr w:type="gramEnd"/>
      <w:r w:rsidRPr="005328D9">
        <w:t xml:space="preserve">/doi/pdf/10.1525/aa.1966.68.4.02a00010 </w:t>
      </w:r>
    </w:p>
    <w:p w:rsidR="00AA2807" w:rsidRDefault="00AA2807" w:rsidP="00AA2807">
      <w:pPr>
        <w:pStyle w:val="FootnoteText"/>
      </w:pPr>
    </w:p>
    <w:p w:rsidR="00AA2807" w:rsidRPr="00255D34" w:rsidRDefault="00AA2807" w:rsidP="00AA2807">
      <w:pPr>
        <w:pStyle w:val="FootnoteText"/>
        <w:rPr>
          <w:rFonts w:cstheme="minorHAnsi"/>
        </w:rPr>
      </w:pPr>
      <w:r w:rsidRPr="00255D34">
        <w:rPr>
          <w:rFonts w:cstheme="minorHAnsi"/>
          <w:color w:val="333333"/>
          <w:shd w:val="clear" w:color="auto" w:fill="FFFFFF"/>
        </w:rPr>
        <w:t>Thompson</w:t>
      </w:r>
      <w:r>
        <w:rPr>
          <w:rFonts w:cstheme="minorHAnsi"/>
          <w:color w:val="333333"/>
          <w:shd w:val="clear" w:color="auto" w:fill="FFFFFF"/>
        </w:rPr>
        <w:t>,</w:t>
      </w:r>
      <w:r w:rsidRPr="005D66BF">
        <w:rPr>
          <w:rFonts w:cstheme="minorHAnsi"/>
          <w:color w:val="333333"/>
          <w:shd w:val="clear" w:color="auto" w:fill="FFFFFF"/>
        </w:rPr>
        <w:t xml:space="preserve"> </w:t>
      </w:r>
      <w:r w:rsidRPr="00255D34">
        <w:rPr>
          <w:rFonts w:cstheme="minorHAnsi"/>
          <w:color w:val="333333"/>
          <w:shd w:val="clear" w:color="auto" w:fill="FFFFFF"/>
        </w:rPr>
        <w:t>Bill</w:t>
      </w:r>
      <w:r>
        <w:rPr>
          <w:rFonts w:cstheme="minorHAnsi"/>
          <w:color w:val="333333"/>
          <w:shd w:val="clear" w:color="auto" w:fill="FFFFFF"/>
        </w:rPr>
        <w:t xml:space="preserve"> and </w:t>
      </w:r>
      <w:r w:rsidRPr="005D66BF">
        <w:rPr>
          <w:rFonts w:cstheme="minorHAnsi"/>
          <w:color w:val="333333"/>
          <w:shd w:val="clear" w:color="auto" w:fill="FFFFFF"/>
        </w:rPr>
        <w:t>Simon Kirby and Kenny Smit</w:t>
      </w:r>
      <w:r>
        <w:rPr>
          <w:rFonts w:cstheme="minorHAnsi"/>
          <w:color w:val="333333"/>
          <w:shd w:val="clear" w:color="auto" w:fill="FFFFFF"/>
        </w:rPr>
        <w:t>h</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Culture Shapes the Evolution of Cognition</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Proceedings of the National Academy of Sciences of the United States of America</w:t>
      </w:r>
      <w:r w:rsidRPr="00255D34">
        <w:rPr>
          <w:rFonts w:cstheme="minorHAnsi"/>
          <w:color w:val="333333"/>
          <w:shd w:val="clear" w:color="auto" w:fill="FFFFFF"/>
        </w:rPr>
        <w:t>, 113</w:t>
      </w:r>
      <w:r w:rsidRPr="008525D3">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2016</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16, pp. 4530–4535. </w:t>
      </w:r>
    </w:p>
    <w:p w:rsidR="00AA2807" w:rsidRDefault="00AA2807" w:rsidP="00AA2807">
      <w:pPr>
        <w:rPr>
          <w:sz w:val="20"/>
          <w:szCs w:val="20"/>
        </w:rPr>
      </w:pPr>
    </w:p>
    <w:p w:rsidR="00AA2807" w:rsidRPr="005328D9" w:rsidRDefault="00AA2807" w:rsidP="00AA2807">
      <w:pPr>
        <w:rPr>
          <w:sz w:val="20"/>
          <w:szCs w:val="20"/>
        </w:rPr>
      </w:pPr>
      <w:r w:rsidRPr="005328D9">
        <w:rPr>
          <w:sz w:val="20"/>
          <w:szCs w:val="20"/>
        </w:rPr>
        <w:t>Tylor</w:t>
      </w:r>
      <w:r>
        <w:rPr>
          <w:sz w:val="20"/>
          <w:szCs w:val="20"/>
        </w:rPr>
        <w:t>,</w:t>
      </w:r>
      <w:r w:rsidRPr="005D66BF">
        <w:rPr>
          <w:sz w:val="20"/>
          <w:szCs w:val="20"/>
        </w:rPr>
        <w:t xml:space="preserve"> </w:t>
      </w:r>
      <w:r w:rsidRPr="005328D9">
        <w:rPr>
          <w:sz w:val="20"/>
          <w:szCs w:val="20"/>
        </w:rPr>
        <w:t xml:space="preserve">Edward B., </w:t>
      </w:r>
      <w:r w:rsidRPr="005328D9">
        <w:rPr>
          <w:i/>
          <w:sz w:val="20"/>
          <w:szCs w:val="20"/>
        </w:rPr>
        <w:t xml:space="preserve">Primitive Culture: Researches into the Development of Mythology, Philosophy, Religion, Language, Art and Custom </w:t>
      </w:r>
      <w:r w:rsidRPr="005328D9">
        <w:rPr>
          <w:iCs/>
          <w:sz w:val="20"/>
          <w:szCs w:val="20"/>
        </w:rPr>
        <w:t xml:space="preserve">(London: John Murray, </w:t>
      </w:r>
      <w:r w:rsidRPr="005328D9">
        <w:rPr>
          <w:sz w:val="20"/>
          <w:szCs w:val="20"/>
        </w:rPr>
        <w:t>1871), Vol I</w:t>
      </w:r>
    </w:p>
    <w:p w:rsidR="00AA2807" w:rsidRPr="00255D34" w:rsidRDefault="00AA2807" w:rsidP="00AA2807">
      <w:pPr>
        <w:pStyle w:val="FootnoteText"/>
        <w:rPr>
          <w:rFonts w:cstheme="minorHAnsi"/>
        </w:rPr>
      </w:pPr>
      <w:proofErr w:type="spellStart"/>
      <w:r w:rsidRPr="00255D34">
        <w:rPr>
          <w:rFonts w:cstheme="minorHAnsi"/>
          <w:color w:val="333333"/>
          <w:shd w:val="clear" w:color="auto" w:fill="FFFFFF"/>
        </w:rPr>
        <w:t>Vuilleumier</w:t>
      </w:r>
      <w:proofErr w:type="spellEnd"/>
      <w:r>
        <w:rPr>
          <w:rFonts w:cstheme="minorHAnsi"/>
          <w:color w:val="333333"/>
          <w:shd w:val="clear" w:color="auto" w:fill="FFFFFF"/>
        </w:rPr>
        <w:t>,</w:t>
      </w:r>
      <w:r w:rsidRPr="00255D34">
        <w:rPr>
          <w:rFonts w:cstheme="minorHAnsi"/>
          <w:color w:val="333333"/>
          <w:shd w:val="clear" w:color="auto" w:fill="FFFFFF"/>
        </w:rPr>
        <w:t xml:space="preserve"> </w:t>
      </w:r>
      <w:proofErr w:type="spellStart"/>
      <w:r w:rsidRPr="00255D34">
        <w:rPr>
          <w:rFonts w:cstheme="minorHAnsi"/>
          <w:color w:val="333333"/>
          <w:shd w:val="clear" w:color="auto" w:fill="FFFFFF"/>
        </w:rPr>
        <w:t>Patrik</w:t>
      </w:r>
      <w:proofErr w:type="spellEnd"/>
      <w:r>
        <w:rPr>
          <w:rFonts w:cstheme="minorHAnsi"/>
          <w:color w:val="333333"/>
          <w:shd w:val="clear" w:color="auto" w:fill="FFFFFF"/>
        </w:rPr>
        <w:t>,</w:t>
      </w:r>
      <w:r w:rsidRPr="00255D34">
        <w:rPr>
          <w:rFonts w:cstheme="minorHAnsi"/>
          <w:color w:val="333333"/>
          <w:shd w:val="clear" w:color="auto" w:fill="FFFFFF"/>
        </w:rPr>
        <w:t xml:space="preserve"> and Yang-Ming Huang</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Emotional Attention: Uncovering the Mechanisms of Affective Biases in Perception</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Current Directions in Psychological Science</w:t>
      </w:r>
      <w:r w:rsidRPr="00255D34">
        <w:rPr>
          <w:rFonts w:cstheme="minorHAnsi"/>
          <w:color w:val="333333"/>
          <w:shd w:val="clear" w:color="auto" w:fill="FFFFFF"/>
        </w:rPr>
        <w:t xml:space="preserve">, 18, </w:t>
      </w:r>
      <w:r>
        <w:rPr>
          <w:rFonts w:cstheme="minorHAnsi"/>
          <w:color w:val="333333"/>
          <w:shd w:val="clear" w:color="auto" w:fill="FFFFFF"/>
        </w:rPr>
        <w:t>(</w:t>
      </w:r>
      <w:r w:rsidRPr="00255D34">
        <w:rPr>
          <w:rFonts w:cstheme="minorHAnsi"/>
          <w:color w:val="333333"/>
          <w:shd w:val="clear" w:color="auto" w:fill="FFFFFF"/>
        </w:rPr>
        <w:t>2009</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3, 148–152. </w:t>
      </w:r>
    </w:p>
    <w:p w:rsidR="00AA2807" w:rsidRDefault="00AA2807" w:rsidP="00AA2807">
      <w:pPr>
        <w:rPr>
          <w:sz w:val="20"/>
          <w:szCs w:val="20"/>
        </w:rPr>
      </w:pPr>
    </w:p>
    <w:p w:rsidR="00AA2807" w:rsidRPr="005328D9" w:rsidRDefault="00AA2807" w:rsidP="00AA2807">
      <w:pPr>
        <w:rPr>
          <w:b/>
          <w:bCs/>
          <w:sz w:val="20"/>
          <w:szCs w:val="20"/>
        </w:rPr>
      </w:pPr>
      <w:r w:rsidRPr="005328D9">
        <w:rPr>
          <w:sz w:val="20"/>
          <w:szCs w:val="20"/>
        </w:rPr>
        <w:t>Weiss</w:t>
      </w:r>
      <w:r>
        <w:rPr>
          <w:sz w:val="20"/>
          <w:szCs w:val="20"/>
        </w:rPr>
        <w:t>,</w:t>
      </w:r>
      <w:r w:rsidRPr="005D66BF">
        <w:rPr>
          <w:sz w:val="20"/>
          <w:szCs w:val="20"/>
        </w:rPr>
        <w:t xml:space="preserve"> </w:t>
      </w:r>
      <w:r w:rsidRPr="005328D9">
        <w:rPr>
          <w:sz w:val="20"/>
          <w:szCs w:val="20"/>
        </w:rPr>
        <w:t xml:space="preserve">Gerald, ‘A Scientific Concept of Culture’, </w:t>
      </w:r>
      <w:r w:rsidRPr="005328D9">
        <w:rPr>
          <w:i/>
          <w:iCs/>
          <w:sz w:val="20"/>
          <w:szCs w:val="20"/>
        </w:rPr>
        <w:t>American Anthropologist</w:t>
      </w:r>
      <w:r w:rsidRPr="005328D9">
        <w:rPr>
          <w:sz w:val="20"/>
          <w:szCs w:val="20"/>
        </w:rPr>
        <w:t>, New Series, Vol. 75, No. 5 (</w:t>
      </w:r>
      <w:proofErr w:type="gramStart"/>
      <w:r w:rsidRPr="005328D9">
        <w:rPr>
          <w:sz w:val="20"/>
          <w:szCs w:val="20"/>
        </w:rPr>
        <w:t>Oct.,</w:t>
      </w:r>
      <w:proofErr w:type="gramEnd"/>
      <w:r w:rsidRPr="005328D9">
        <w:rPr>
          <w:sz w:val="20"/>
          <w:szCs w:val="20"/>
        </w:rPr>
        <w:t xml:space="preserve"> 1973), 1376-1413 Published by: Wiley on behalf of the American Anthropological Association</w:t>
      </w:r>
    </w:p>
    <w:p w:rsidR="00AA2807" w:rsidRDefault="00AA2807" w:rsidP="00AA2807">
      <w:pPr>
        <w:pStyle w:val="Heading2"/>
      </w:pPr>
      <w:r>
        <w:t>Tertiary Sources</w:t>
      </w:r>
    </w:p>
    <w:p w:rsidR="00AA2807" w:rsidRPr="00E23C25" w:rsidRDefault="00AA2807" w:rsidP="00AA2807"/>
    <w:p w:rsidR="00AA2807" w:rsidRDefault="00AA2807" w:rsidP="00AA2807">
      <w:pPr>
        <w:pStyle w:val="FootnoteText"/>
      </w:pPr>
      <w:r>
        <w:lastRenderedPageBreak/>
        <w:t xml:space="preserve">Cambridge Dictionary </w:t>
      </w:r>
      <w:hyperlink r:id="rId13" w:history="1">
        <w:r w:rsidRPr="007304E6">
          <w:rPr>
            <w:rStyle w:val="Hyperlink"/>
          </w:rPr>
          <w:t>https://dictionary.cambridge.org/us/dictionary/english/cosmology</w:t>
        </w:r>
      </w:hyperlink>
      <w:r>
        <w:t xml:space="preserve"> [accessed December 7, 2019]</w:t>
      </w:r>
    </w:p>
    <w:p w:rsidR="00AA2807" w:rsidRDefault="00AA2807" w:rsidP="00AA2807">
      <w:pPr>
        <w:pStyle w:val="FootnoteText"/>
      </w:pPr>
    </w:p>
    <w:p w:rsidR="00AA2807" w:rsidRPr="00255D34" w:rsidRDefault="00AA2807" w:rsidP="00AA2807">
      <w:pPr>
        <w:pStyle w:val="FootnoteText"/>
        <w:rPr>
          <w:rFonts w:cstheme="minorHAnsi"/>
        </w:rPr>
      </w:pPr>
      <w:r w:rsidRPr="00E23C25">
        <w:rPr>
          <w:rFonts w:cstheme="minorHAnsi"/>
          <w:color w:val="1D1D1D"/>
          <w:shd w:val="clear" w:color="auto" w:fill="EDEDED"/>
        </w:rPr>
        <w:t xml:space="preserve">How Many People Actually Understand QM? Thread starter Giuseppe </w:t>
      </w:r>
      <w:proofErr w:type="spellStart"/>
      <w:r w:rsidRPr="00E23C25">
        <w:rPr>
          <w:rFonts w:cstheme="minorHAnsi"/>
          <w:color w:val="1D1D1D"/>
          <w:shd w:val="clear" w:color="auto" w:fill="EDEDED"/>
        </w:rPr>
        <w:t>Mayart</w:t>
      </w:r>
      <w:proofErr w:type="spellEnd"/>
      <w:r w:rsidRPr="00E23C25">
        <w:rPr>
          <w:rFonts w:cstheme="minorHAnsi"/>
          <w:color w:val="1D1D1D"/>
          <w:shd w:val="clear" w:color="auto" w:fill="EDEDED"/>
        </w:rPr>
        <w:t xml:space="preserve"> Start date Apr 12, 2007</w:t>
      </w:r>
      <w:r w:rsidRPr="00E23C25">
        <w:rPr>
          <w:rFonts w:cstheme="minorHAnsi"/>
          <w:color w:val="1D1D1D"/>
        </w:rPr>
        <w:br/>
      </w:r>
      <w:r w:rsidRPr="00E23C25">
        <w:rPr>
          <w:rFonts w:cstheme="minorHAnsi"/>
          <w:color w:val="1D1D1D"/>
          <w:shd w:val="clear" w:color="auto" w:fill="EDEDED"/>
        </w:rPr>
        <w:t>Source https://www.physicsforums.com/threads/how-many-people-actually-understand-qm.165443/</w:t>
      </w:r>
    </w:p>
    <w:p w:rsidR="00AA2807" w:rsidRDefault="00AA2807" w:rsidP="00AA2807">
      <w:pPr>
        <w:pStyle w:val="FootnoteText"/>
      </w:pPr>
    </w:p>
    <w:p w:rsidR="00AA2807" w:rsidRDefault="00AA2807" w:rsidP="00AA2807">
      <w:pPr>
        <w:pStyle w:val="FootnoteText"/>
      </w:pPr>
    </w:p>
    <w:p w:rsidR="00AA2807" w:rsidRPr="00255D34" w:rsidRDefault="00AA2807" w:rsidP="00AA2807">
      <w:pPr>
        <w:rPr>
          <w:sz w:val="20"/>
          <w:szCs w:val="20"/>
        </w:rPr>
      </w:pPr>
      <w:r>
        <w:rPr>
          <w:sz w:val="20"/>
          <w:szCs w:val="20"/>
        </w:rPr>
        <w:t xml:space="preserve">NASA website </w:t>
      </w:r>
      <w:hyperlink r:id="rId14" w:history="1">
        <w:r w:rsidRPr="007304E6">
          <w:rPr>
            <w:rStyle w:val="Hyperlink"/>
            <w:sz w:val="20"/>
            <w:szCs w:val="20"/>
          </w:rPr>
          <w:t>https://map.gsfc.nasa.gov/universe/</w:t>
        </w:r>
      </w:hyperlink>
      <w:r w:rsidRPr="00255D34">
        <w:rPr>
          <w:sz w:val="20"/>
          <w:szCs w:val="20"/>
        </w:rPr>
        <w:t xml:space="preserve"> </w:t>
      </w:r>
      <w:r>
        <w:rPr>
          <w:sz w:val="20"/>
          <w:szCs w:val="20"/>
        </w:rPr>
        <w:t>[</w:t>
      </w:r>
      <w:r w:rsidRPr="00255D34">
        <w:rPr>
          <w:sz w:val="20"/>
          <w:szCs w:val="20"/>
        </w:rPr>
        <w:t xml:space="preserve">accessed </w:t>
      </w:r>
      <w:r>
        <w:rPr>
          <w:sz w:val="20"/>
          <w:szCs w:val="20"/>
        </w:rPr>
        <w:t>December 3, 2019]</w:t>
      </w:r>
    </w:p>
    <w:p w:rsidR="00AA2807" w:rsidRDefault="00AA2807" w:rsidP="00AA2807">
      <w:pPr>
        <w:pStyle w:val="FootnoteText"/>
      </w:pPr>
    </w:p>
    <w:p w:rsidR="00AA2807" w:rsidRDefault="00AA2807" w:rsidP="00AA2807">
      <w:pPr>
        <w:pStyle w:val="FootnoteText"/>
      </w:pPr>
      <w:r>
        <w:t>The Pocket Oxford Classical Greek Dictionary (Oxford: Oxford University Press, 2002)</w:t>
      </w:r>
    </w:p>
    <w:p w:rsidR="00AA2807" w:rsidRPr="00255D34" w:rsidRDefault="00AA2807" w:rsidP="00AA2807">
      <w:pPr>
        <w:pStyle w:val="FootnoteText"/>
      </w:pPr>
    </w:p>
    <w:p w:rsidR="00AA2807" w:rsidRDefault="00AA2807" w:rsidP="00AA2807">
      <w:pPr>
        <w:pStyle w:val="FootnoteText"/>
        <w:rPr>
          <w:rFonts w:cstheme="minorHAnsi"/>
        </w:rPr>
      </w:pPr>
    </w:p>
    <w:p w:rsidR="00AA2807" w:rsidRDefault="00AA2807" w:rsidP="00AA2807">
      <w:pPr>
        <w:pStyle w:val="FootnoteText"/>
        <w:rPr>
          <w:rFonts w:cstheme="minorHAnsi"/>
          <w:i/>
          <w:iCs/>
          <w:color w:val="333333"/>
          <w:shd w:val="clear" w:color="auto" w:fill="FFFFFF"/>
        </w:rPr>
      </w:pPr>
    </w:p>
    <w:p w:rsidR="00AA2807" w:rsidRPr="00255D34" w:rsidRDefault="00AA2807" w:rsidP="00AA2807">
      <w:pPr>
        <w:pStyle w:val="FootnoteText"/>
        <w:rPr>
          <w:rFonts w:cstheme="minorHAnsi"/>
        </w:rPr>
      </w:pPr>
    </w:p>
    <w:p w:rsidR="00CE11B5" w:rsidRDefault="00CE11B5"/>
    <w:p w:rsidR="00CE11B5" w:rsidRDefault="00CE11B5"/>
    <w:p w:rsidR="00CE11B5" w:rsidRDefault="00CE11B5"/>
    <w:p w:rsidR="00CE11B5" w:rsidRDefault="00CE11B5"/>
    <w:p w:rsidR="00CE11B5" w:rsidRDefault="00CE11B5"/>
    <w:sectPr w:rsidR="00CE11B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6F57" w:rsidRDefault="00A86F57" w:rsidP="00427C46">
      <w:pPr>
        <w:spacing w:after="0" w:line="240" w:lineRule="auto"/>
      </w:pPr>
      <w:r>
        <w:separator/>
      </w:r>
    </w:p>
  </w:endnote>
  <w:endnote w:type="continuationSeparator" w:id="0">
    <w:p w:rsidR="00A86F57" w:rsidRDefault="00A86F57" w:rsidP="00427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6F57" w:rsidRDefault="00A86F57" w:rsidP="00427C46">
      <w:pPr>
        <w:spacing w:after="0" w:line="240" w:lineRule="auto"/>
      </w:pPr>
      <w:r>
        <w:separator/>
      </w:r>
    </w:p>
  </w:footnote>
  <w:footnote w:type="continuationSeparator" w:id="0">
    <w:p w:rsidR="00A86F57" w:rsidRDefault="00A86F57" w:rsidP="00427C46">
      <w:pPr>
        <w:spacing w:after="0" w:line="240" w:lineRule="auto"/>
      </w:pPr>
      <w:r>
        <w:continuationSeparator/>
      </w:r>
    </w:p>
  </w:footnote>
  <w:footnote w:id="1">
    <w:p w:rsidR="00AF144E" w:rsidRDefault="00AF144E" w:rsidP="00AF144E">
      <w:pPr>
        <w:pStyle w:val="FootnoteText"/>
      </w:pPr>
      <w:r>
        <w:rPr>
          <w:rStyle w:val="FootnoteReference"/>
        </w:rPr>
        <w:footnoteRef/>
      </w:r>
      <w:r>
        <w:t xml:space="preserve"> Cambridge Dictionary </w:t>
      </w:r>
      <w:hyperlink r:id="rId1" w:history="1">
        <w:r w:rsidRPr="007304E6">
          <w:rPr>
            <w:rStyle w:val="Hyperlink"/>
          </w:rPr>
          <w:t>https://dictionary.cambridge.org/us/dictionary/english/cosmology</w:t>
        </w:r>
      </w:hyperlink>
      <w:r>
        <w:t xml:space="preserve"> [accessed December 7, 2019]</w:t>
      </w:r>
    </w:p>
  </w:footnote>
  <w:footnote w:id="2">
    <w:p w:rsidR="00AF144E" w:rsidRPr="00C86158" w:rsidRDefault="00AF144E" w:rsidP="00AF144E">
      <w:pPr>
        <w:pStyle w:val="FootnoteText"/>
      </w:pPr>
      <w:r>
        <w:rPr>
          <w:rStyle w:val="FootnoteReference"/>
        </w:rPr>
        <w:footnoteRef/>
      </w:r>
      <w:r>
        <w:t xml:space="preserve"> Edward B. Tylor, </w:t>
      </w:r>
      <w:r>
        <w:rPr>
          <w:i/>
        </w:rPr>
        <w:t xml:space="preserve">Primitive Culture: Researches into the Development of Mythology, Philosophy, Religion, Language, Art and Custom </w:t>
      </w:r>
      <w:r>
        <w:rPr>
          <w:iCs/>
        </w:rPr>
        <w:t xml:space="preserve">(London: John Murray, </w:t>
      </w:r>
      <w:r>
        <w:t>1871), Vol I, p. 1</w:t>
      </w:r>
    </w:p>
  </w:footnote>
  <w:footnote w:id="3">
    <w:p w:rsidR="00AF144E" w:rsidRDefault="00AF144E" w:rsidP="00AF144E">
      <w:pPr>
        <w:pStyle w:val="FootnoteText"/>
      </w:pPr>
      <w:r>
        <w:rPr>
          <w:rStyle w:val="FootnoteReference"/>
        </w:rPr>
        <w:footnoteRef/>
      </w:r>
      <w:r>
        <w:t xml:space="preserve"> George W. Stocking, Jr., ‘Matthew Arnold, E. B. Tylor, and the uses of invention, </w:t>
      </w:r>
      <w:r>
        <w:rPr>
          <w:i/>
        </w:rPr>
        <w:t xml:space="preserve">with an appendix on </w:t>
      </w:r>
      <w:r>
        <w:t xml:space="preserve">Evolutionary ethnology and the growth of cultural relativism, 1871-1915: from culture to cultures.’ Paper presented to the Conference on the History of Anthropology and Social Science Research Council. (1962), 35-36, cited in George W. Stocking, Jr., ‘Franz Boas and the Culture Concept in Historical Perspective’, </w:t>
      </w:r>
      <w:r w:rsidRPr="007916DE">
        <w:rPr>
          <w:i/>
        </w:rPr>
        <w:t>American Anthropologist</w:t>
      </w:r>
      <w:r>
        <w:rPr>
          <w:i/>
        </w:rPr>
        <w:t>,</w:t>
      </w:r>
      <w:r>
        <w:t xml:space="preserve"> (1966), 871, online </w:t>
      </w:r>
      <w:proofErr w:type="gramStart"/>
      <w:r>
        <w:t>https:anthrosource.onlinelibrary.wiley.com</w:t>
      </w:r>
      <w:proofErr w:type="gramEnd"/>
      <w:r>
        <w:t>/doi/pdf/10.1525/aa.1966.68.4.02a00010 [accessed November 25, 2019]</w:t>
      </w:r>
      <w:r w:rsidRPr="00F74587">
        <w:t xml:space="preserve"> </w:t>
      </w:r>
    </w:p>
    <w:p w:rsidR="00AF144E" w:rsidRPr="007916DE" w:rsidRDefault="00AF144E" w:rsidP="00AF144E">
      <w:pPr>
        <w:pStyle w:val="FootnoteText"/>
      </w:pPr>
    </w:p>
  </w:footnote>
  <w:footnote w:id="4">
    <w:p w:rsidR="00AF144E" w:rsidRDefault="00AF144E" w:rsidP="00AF144E">
      <w:pPr>
        <w:pStyle w:val="FootnoteText"/>
      </w:pPr>
      <w:r>
        <w:rPr>
          <w:rStyle w:val="FootnoteReference"/>
        </w:rPr>
        <w:footnoteRef/>
      </w:r>
      <w:r>
        <w:t xml:space="preserve"> </w:t>
      </w:r>
      <w:r w:rsidRPr="00A5314D">
        <w:t xml:space="preserve"> David </w:t>
      </w:r>
      <w:proofErr w:type="spellStart"/>
      <w:r w:rsidRPr="00A5314D">
        <w:t>Bidney</w:t>
      </w:r>
      <w:proofErr w:type="spellEnd"/>
      <w:r w:rsidRPr="00A5314D">
        <w:t xml:space="preserve">, </w:t>
      </w:r>
      <w:r>
        <w:t>‘</w:t>
      </w:r>
      <w:r w:rsidRPr="00A5314D">
        <w:t>On the Concept of Culture and Some Cultural Fallacies</w:t>
      </w:r>
      <w:r>
        <w:t>’,</w:t>
      </w:r>
      <w:r w:rsidRPr="00A5314D">
        <w:t xml:space="preserve"> </w:t>
      </w:r>
      <w:r w:rsidRPr="00B162F4">
        <w:rPr>
          <w:i/>
          <w:iCs/>
        </w:rPr>
        <w:t>American Anthropologist</w:t>
      </w:r>
      <w:r w:rsidRPr="00A5314D">
        <w:t xml:space="preserve"> 46</w:t>
      </w:r>
      <w:r>
        <w:t xml:space="preserve"> (</w:t>
      </w:r>
      <w:r w:rsidRPr="00A5314D">
        <w:t>1944</w:t>
      </w:r>
      <w:r>
        <w:t xml:space="preserve">), </w:t>
      </w:r>
      <w:r w:rsidRPr="00A5314D">
        <w:t>30-44</w:t>
      </w:r>
      <w:r>
        <w:t>. p. 30</w:t>
      </w:r>
    </w:p>
  </w:footnote>
  <w:footnote w:id="5">
    <w:p w:rsidR="00AF144E" w:rsidRDefault="00AF144E" w:rsidP="00AF144E">
      <w:pPr>
        <w:pStyle w:val="FootnoteText"/>
      </w:pPr>
      <w:r>
        <w:rPr>
          <w:rStyle w:val="FootnoteReference"/>
        </w:rPr>
        <w:footnoteRef/>
      </w:r>
      <w:r>
        <w:t xml:space="preserve"> </w:t>
      </w:r>
      <w:r w:rsidRPr="00A320AF">
        <w:t>Gerald</w:t>
      </w:r>
      <w:r>
        <w:t xml:space="preserve"> Weiss, ‘</w:t>
      </w:r>
      <w:r w:rsidRPr="00A320AF">
        <w:t>A Scientific Concept of Culture</w:t>
      </w:r>
      <w:r>
        <w:t>’,</w:t>
      </w:r>
      <w:r w:rsidRPr="00A320AF">
        <w:t xml:space="preserve"> </w:t>
      </w:r>
      <w:r w:rsidRPr="00F74587">
        <w:rPr>
          <w:i/>
          <w:iCs/>
        </w:rPr>
        <w:t>American Anthropologist</w:t>
      </w:r>
      <w:r w:rsidRPr="00A320AF">
        <w:t xml:space="preserve">, </w:t>
      </w:r>
      <w:r w:rsidRPr="004A360E">
        <w:rPr>
          <w:i/>
          <w:iCs/>
        </w:rPr>
        <w:t>New Series</w:t>
      </w:r>
      <w:r w:rsidRPr="00A320AF">
        <w:t>, 75, No. 5 (Oct. 1973), pp. 1376-1413</w:t>
      </w:r>
      <w:r>
        <w:t>. p. 1389,</w:t>
      </w:r>
      <w:r w:rsidRPr="00A320AF">
        <w:t xml:space="preserve"> Published by: Wiley on behalf of the American Anthropological Association</w:t>
      </w:r>
    </w:p>
  </w:footnote>
  <w:footnote w:id="6">
    <w:p w:rsidR="00AF144E" w:rsidRDefault="00AF144E" w:rsidP="00AF144E">
      <w:pPr>
        <w:pStyle w:val="FootnoteText"/>
      </w:pPr>
      <w:r>
        <w:rPr>
          <w:rStyle w:val="FootnoteReference"/>
        </w:rPr>
        <w:footnoteRef/>
      </w:r>
      <w:r>
        <w:t xml:space="preserve"> The Pocket Oxford Classical Greek Dictionary (Oxford: Oxford University Press, 2002), p. 190.</w:t>
      </w:r>
    </w:p>
  </w:footnote>
  <w:footnote w:id="7">
    <w:p w:rsidR="00AF144E" w:rsidRPr="00255D34" w:rsidRDefault="00AF144E" w:rsidP="00AF144E">
      <w:pPr>
        <w:rPr>
          <w:sz w:val="20"/>
          <w:szCs w:val="20"/>
        </w:rPr>
      </w:pPr>
      <w:r w:rsidRPr="00255D34">
        <w:rPr>
          <w:rStyle w:val="FootnoteReference"/>
          <w:sz w:val="20"/>
          <w:szCs w:val="20"/>
        </w:rPr>
        <w:footnoteRef/>
      </w:r>
      <w:r>
        <w:rPr>
          <w:sz w:val="20"/>
          <w:szCs w:val="20"/>
        </w:rPr>
        <w:t xml:space="preserve"> </w:t>
      </w:r>
      <w:proofErr w:type="gramStart"/>
      <w:r>
        <w:rPr>
          <w:sz w:val="20"/>
          <w:szCs w:val="20"/>
        </w:rPr>
        <w:t xml:space="preserve">NASA </w:t>
      </w:r>
      <w:r w:rsidRPr="00255D34">
        <w:rPr>
          <w:sz w:val="20"/>
          <w:szCs w:val="20"/>
        </w:rPr>
        <w:t xml:space="preserve"> </w:t>
      </w:r>
      <w:r>
        <w:rPr>
          <w:sz w:val="20"/>
          <w:szCs w:val="20"/>
        </w:rPr>
        <w:t>website</w:t>
      </w:r>
      <w:proofErr w:type="gramEnd"/>
      <w:r>
        <w:rPr>
          <w:sz w:val="20"/>
          <w:szCs w:val="20"/>
        </w:rPr>
        <w:t xml:space="preserve"> </w:t>
      </w:r>
      <w:hyperlink r:id="rId2" w:history="1">
        <w:r w:rsidRPr="007304E6">
          <w:rPr>
            <w:rStyle w:val="Hyperlink"/>
            <w:sz w:val="20"/>
            <w:szCs w:val="20"/>
          </w:rPr>
          <w:t>https://map.gsfc.nasa.gov/universe/</w:t>
        </w:r>
      </w:hyperlink>
      <w:r w:rsidRPr="00255D34">
        <w:rPr>
          <w:sz w:val="20"/>
          <w:szCs w:val="20"/>
        </w:rPr>
        <w:t xml:space="preserve"> </w:t>
      </w:r>
      <w:r>
        <w:rPr>
          <w:sz w:val="20"/>
          <w:szCs w:val="20"/>
        </w:rPr>
        <w:t>[</w:t>
      </w:r>
      <w:r w:rsidRPr="00255D34">
        <w:rPr>
          <w:sz w:val="20"/>
          <w:szCs w:val="20"/>
        </w:rPr>
        <w:t xml:space="preserve">accessed </w:t>
      </w:r>
      <w:r>
        <w:rPr>
          <w:sz w:val="20"/>
          <w:szCs w:val="20"/>
        </w:rPr>
        <w:t>December 3, 2019]</w:t>
      </w:r>
    </w:p>
  </w:footnote>
  <w:footnote w:id="8">
    <w:p w:rsidR="00AF144E" w:rsidRPr="00255D34" w:rsidRDefault="00AF144E" w:rsidP="00AF144E">
      <w:pPr>
        <w:pStyle w:val="FootnoteText"/>
      </w:pPr>
      <w:r w:rsidRPr="00255D34">
        <w:rPr>
          <w:rStyle w:val="FootnoteReference"/>
        </w:rPr>
        <w:footnoteRef/>
      </w:r>
      <w:r w:rsidRPr="00255D34">
        <w:t xml:space="preserve"> Br</w:t>
      </w:r>
      <w:r>
        <w:t>ia</w:t>
      </w:r>
      <w:r w:rsidRPr="00255D34">
        <w:t xml:space="preserve">n Greene, </w:t>
      </w:r>
      <w:r w:rsidRPr="00255D34">
        <w:rPr>
          <w:i/>
          <w:iCs/>
        </w:rPr>
        <w:t xml:space="preserve">The Fabric of the Cosmos </w:t>
      </w:r>
      <w:r w:rsidRPr="00255D34">
        <w:t>(New York: Alfred A. Knopf, 2004)</w:t>
      </w:r>
      <w:r>
        <w:t>,</w:t>
      </w:r>
      <w:r w:rsidRPr="00255D34">
        <w:t xml:space="preserve"> p. 14</w:t>
      </w:r>
      <w:r>
        <w:t xml:space="preserve"> [hereafter Greene, </w:t>
      </w:r>
      <w:r w:rsidRPr="00E501D3">
        <w:rPr>
          <w:i/>
          <w:iCs/>
        </w:rPr>
        <w:t>Fabric</w:t>
      </w:r>
      <w:r>
        <w:t>]</w:t>
      </w:r>
    </w:p>
  </w:footnote>
  <w:footnote w:id="9">
    <w:p w:rsidR="00AF144E" w:rsidRPr="00255D34" w:rsidRDefault="00AF144E" w:rsidP="00AF144E">
      <w:pPr>
        <w:pStyle w:val="FootnoteText"/>
      </w:pPr>
      <w:r w:rsidRPr="00255D34">
        <w:rPr>
          <w:rStyle w:val="FootnoteReference"/>
        </w:rPr>
        <w:footnoteRef/>
      </w:r>
      <w:r w:rsidRPr="00255D34">
        <w:t xml:space="preserve"> Joel R. Primack, ‘Cosmology and Culture’ </w:t>
      </w:r>
      <w:hyperlink r:id="rId3" w:history="1">
        <w:r w:rsidRPr="00255D34">
          <w:rPr>
            <w:rStyle w:val="Hyperlink"/>
          </w:rPr>
          <w:t>http://physics.ucsc.edu/cosmo/primack_abrams/COSMO.HTM</w:t>
        </w:r>
      </w:hyperlink>
      <w:r w:rsidRPr="00255D34">
        <w:t xml:space="preserve"> </w:t>
      </w:r>
      <w:r>
        <w:t>[</w:t>
      </w:r>
      <w:r w:rsidRPr="00255D34">
        <w:t xml:space="preserve">accessed </w:t>
      </w:r>
      <w:r>
        <w:t>December 3, 2019] [hereafter Primack, Cosmology]</w:t>
      </w:r>
    </w:p>
  </w:footnote>
  <w:footnote w:id="10">
    <w:p w:rsidR="00AF144E" w:rsidRPr="00255D34" w:rsidRDefault="00AF144E" w:rsidP="00AF144E">
      <w:pPr>
        <w:pStyle w:val="FootnoteText"/>
        <w:rPr>
          <w:rFonts w:cstheme="minorHAnsi"/>
          <w:i/>
          <w:iCs/>
        </w:rPr>
      </w:pPr>
      <w:r w:rsidRPr="00255D34">
        <w:rPr>
          <w:rStyle w:val="FootnoteReference"/>
          <w:rFonts w:cstheme="minorHAnsi"/>
        </w:rPr>
        <w:footnoteRef/>
      </w:r>
      <w:r w:rsidRPr="00255D34">
        <w:rPr>
          <w:rFonts w:cstheme="minorHAnsi"/>
        </w:rPr>
        <w:t xml:space="preserve"> Barbara C. Sproul, </w:t>
      </w:r>
      <w:r w:rsidRPr="00255D34">
        <w:rPr>
          <w:rFonts w:cstheme="minorHAnsi"/>
          <w:i/>
          <w:iCs/>
        </w:rPr>
        <w:t xml:space="preserve">Primal Myths: Creation Myths around the World </w:t>
      </w:r>
      <w:r w:rsidRPr="00CE11B5">
        <w:rPr>
          <w:rFonts w:cstheme="minorHAnsi"/>
        </w:rPr>
        <w:t xml:space="preserve">(San Francisco: </w:t>
      </w:r>
      <w:proofErr w:type="spellStart"/>
      <w:r w:rsidRPr="00CE11B5">
        <w:rPr>
          <w:rFonts w:cstheme="minorHAnsi"/>
        </w:rPr>
        <w:t>HarperSanFrancisco</w:t>
      </w:r>
      <w:proofErr w:type="spellEnd"/>
      <w:r w:rsidRPr="00CE11B5">
        <w:rPr>
          <w:rFonts w:cstheme="minorHAnsi"/>
        </w:rPr>
        <w:t>, 1991),</w:t>
      </w:r>
      <w:r w:rsidRPr="00255D34">
        <w:rPr>
          <w:rFonts w:cstheme="minorHAnsi"/>
          <w:i/>
          <w:iCs/>
        </w:rPr>
        <w:t xml:space="preserve"> </w:t>
      </w:r>
      <w:r w:rsidRPr="003603DC">
        <w:rPr>
          <w:rFonts w:cstheme="minorHAnsi"/>
        </w:rPr>
        <w:t>pp. 2-3</w:t>
      </w:r>
    </w:p>
  </w:footnote>
  <w:footnote w:id="11">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proofErr w:type="spellStart"/>
      <w:r>
        <w:rPr>
          <w:rFonts w:cstheme="minorHAnsi"/>
        </w:rPr>
        <w:t>Arnatz</w:t>
      </w:r>
      <w:proofErr w:type="spellEnd"/>
      <w:r>
        <w:rPr>
          <w:rFonts w:cstheme="minorHAnsi"/>
        </w:rPr>
        <w:t xml:space="preserve">, </w:t>
      </w:r>
      <w:r>
        <w:rPr>
          <w:rFonts w:cstheme="minorHAnsi"/>
          <w:i/>
          <w:iCs/>
        </w:rPr>
        <w:t>Bleep,</w:t>
      </w:r>
      <w:r w:rsidRPr="00255D34">
        <w:rPr>
          <w:rFonts w:cstheme="minorHAnsi"/>
        </w:rPr>
        <w:t xml:space="preserve"> p. 47</w:t>
      </w:r>
      <w:r>
        <w:rPr>
          <w:rFonts w:cstheme="minorHAnsi"/>
        </w:rPr>
        <w:t xml:space="preserve"> </w:t>
      </w:r>
    </w:p>
  </w:footnote>
  <w:footnote w:id="12">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rsidRPr="00255D34">
        <w:rPr>
          <w:rFonts w:cstheme="minorHAnsi"/>
          <w:color w:val="2A2A2A"/>
          <w:shd w:val="clear" w:color="auto" w:fill="FFFFFF"/>
        </w:rPr>
        <w:t xml:space="preserve">Maria Bittner, </w:t>
      </w:r>
      <w:r>
        <w:rPr>
          <w:rFonts w:cstheme="minorHAnsi"/>
          <w:color w:val="2A2A2A"/>
          <w:shd w:val="clear" w:color="auto" w:fill="FFFFFF"/>
        </w:rPr>
        <w:t>‘</w:t>
      </w:r>
      <w:r w:rsidRPr="00255D34">
        <w:rPr>
          <w:rFonts w:cstheme="minorHAnsi"/>
          <w:color w:val="2A2A2A"/>
          <w:shd w:val="clear" w:color="auto" w:fill="FFFFFF"/>
        </w:rPr>
        <w:t>Future Discourse in a Tenseless Language</w:t>
      </w:r>
      <w:r>
        <w:rPr>
          <w:rFonts w:cstheme="minorHAnsi"/>
          <w:color w:val="2A2A2A"/>
          <w:shd w:val="clear" w:color="auto" w:fill="FFFFFF"/>
        </w:rPr>
        <w:t>’</w:t>
      </w:r>
      <w:r w:rsidRPr="00255D34">
        <w:rPr>
          <w:rFonts w:cstheme="minorHAnsi"/>
          <w:color w:val="2A2A2A"/>
          <w:shd w:val="clear" w:color="auto" w:fill="FFFFFF"/>
        </w:rPr>
        <w:t>, </w:t>
      </w:r>
      <w:r w:rsidRPr="00255D34">
        <w:rPr>
          <w:rStyle w:val="Emphasis"/>
          <w:rFonts w:cstheme="minorHAnsi"/>
          <w:color w:val="2A2A2A"/>
          <w:bdr w:val="none" w:sz="0" w:space="0" w:color="auto" w:frame="1"/>
          <w:shd w:val="clear" w:color="auto" w:fill="FFFFFF"/>
        </w:rPr>
        <w:t>Journal of Semantics</w:t>
      </w:r>
      <w:r w:rsidRPr="00255D34">
        <w:rPr>
          <w:rFonts w:cstheme="minorHAnsi"/>
          <w:color w:val="2A2A2A"/>
          <w:shd w:val="clear" w:color="auto" w:fill="FFFFFF"/>
        </w:rPr>
        <w:t xml:space="preserve">, 22, </w:t>
      </w:r>
      <w:r>
        <w:rPr>
          <w:rFonts w:cstheme="minorHAnsi"/>
          <w:color w:val="2A2A2A"/>
          <w:shd w:val="clear" w:color="auto" w:fill="FFFFFF"/>
        </w:rPr>
        <w:t>(</w:t>
      </w:r>
      <w:r w:rsidRPr="00255D34">
        <w:rPr>
          <w:rFonts w:cstheme="minorHAnsi"/>
          <w:color w:val="2A2A2A"/>
          <w:shd w:val="clear" w:color="auto" w:fill="FFFFFF"/>
        </w:rPr>
        <w:t>November 2005</w:t>
      </w:r>
      <w:r>
        <w:rPr>
          <w:rFonts w:cstheme="minorHAnsi"/>
          <w:color w:val="2A2A2A"/>
          <w:shd w:val="clear" w:color="auto" w:fill="FFFFFF"/>
        </w:rPr>
        <w:t xml:space="preserve">), </w:t>
      </w:r>
      <w:r w:rsidRPr="00255D34">
        <w:rPr>
          <w:rFonts w:cstheme="minorHAnsi"/>
          <w:color w:val="2A2A2A"/>
          <w:shd w:val="clear" w:color="auto" w:fill="FFFFFF"/>
        </w:rPr>
        <w:t>Issue 4, 339–387, </w:t>
      </w:r>
      <w:hyperlink r:id="rId4" w:history="1">
        <w:r w:rsidRPr="00255D34">
          <w:rPr>
            <w:rStyle w:val="Hyperlink"/>
            <w:rFonts w:cstheme="minorHAnsi"/>
            <w:color w:val="006FB7"/>
            <w:bdr w:val="none" w:sz="0" w:space="0" w:color="auto" w:frame="1"/>
            <w:shd w:val="clear" w:color="auto" w:fill="FFFFFF"/>
          </w:rPr>
          <w:t>https://doi.org/10.1093/jos/ffh029</w:t>
        </w:r>
      </w:hyperlink>
    </w:p>
  </w:footnote>
  <w:footnote w:id="13">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rsidRPr="00255D34">
        <w:rPr>
          <w:rFonts w:cstheme="minorHAnsi"/>
          <w:color w:val="333333"/>
          <w:shd w:val="clear" w:color="auto" w:fill="FFFFFF"/>
        </w:rPr>
        <w:t xml:space="preserve">Stephen C. Levinson, </w:t>
      </w:r>
      <w:r>
        <w:rPr>
          <w:rFonts w:cstheme="minorHAnsi"/>
          <w:color w:val="333333"/>
          <w:shd w:val="clear" w:color="auto" w:fill="FFFFFF"/>
        </w:rPr>
        <w:t>‘</w:t>
      </w:r>
      <w:r w:rsidRPr="00255D34">
        <w:rPr>
          <w:rFonts w:cstheme="minorHAnsi"/>
          <w:color w:val="333333"/>
          <w:shd w:val="clear" w:color="auto" w:fill="FFFFFF"/>
        </w:rPr>
        <w:t>Language and Space</w:t>
      </w:r>
      <w:r>
        <w:rPr>
          <w:rFonts w:cstheme="minorHAnsi"/>
          <w:color w:val="333333"/>
          <w:shd w:val="clear" w:color="auto" w:fill="FFFFFF"/>
        </w:rPr>
        <w:t xml:space="preserve">’, </w:t>
      </w:r>
      <w:r w:rsidRPr="00255D34">
        <w:rPr>
          <w:rFonts w:cstheme="minorHAnsi"/>
          <w:i/>
          <w:iCs/>
          <w:color w:val="333333"/>
          <w:shd w:val="clear" w:color="auto" w:fill="FFFFFF"/>
        </w:rPr>
        <w:t>Annual Review of Anthropology</w:t>
      </w:r>
      <w:r w:rsidRPr="00255D34">
        <w:rPr>
          <w:rFonts w:cstheme="minorHAnsi"/>
          <w:color w:val="333333"/>
          <w:shd w:val="clear" w:color="auto" w:fill="FFFFFF"/>
        </w:rPr>
        <w:t xml:space="preserve">, 25 </w:t>
      </w:r>
      <w:r>
        <w:rPr>
          <w:rFonts w:cstheme="minorHAnsi"/>
          <w:color w:val="333333"/>
          <w:shd w:val="clear" w:color="auto" w:fill="FFFFFF"/>
        </w:rPr>
        <w:t>(</w:t>
      </w:r>
      <w:r w:rsidRPr="00255D34">
        <w:rPr>
          <w:rFonts w:cstheme="minorHAnsi"/>
          <w:color w:val="333333"/>
          <w:shd w:val="clear" w:color="auto" w:fill="FFFFFF"/>
        </w:rPr>
        <w:t>1996</w:t>
      </w:r>
      <w:r>
        <w:rPr>
          <w:rFonts w:cstheme="minorHAnsi"/>
          <w:color w:val="333333"/>
          <w:shd w:val="clear" w:color="auto" w:fill="FFFFFF"/>
        </w:rPr>
        <w:t>)</w:t>
      </w:r>
      <w:r w:rsidRPr="00255D34">
        <w:rPr>
          <w:rFonts w:cstheme="minorHAnsi"/>
          <w:color w:val="333333"/>
          <w:shd w:val="clear" w:color="auto" w:fill="FFFFFF"/>
        </w:rPr>
        <w:t>,</w:t>
      </w:r>
      <w:r>
        <w:rPr>
          <w:rFonts w:cstheme="minorHAnsi"/>
          <w:color w:val="333333"/>
          <w:shd w:val="clear" w:color="auto" w:fill="FFFFFF"/>
        </w:rPr>
        <w:t xml:space="preserve"> 353-382. p.</w:t>
      </w:r>
      <w:r w:rsidRPr="00255D34">
        <w:rPr>
          <w:rFonts w:cstheme="minorHAnsi"/>
          <w:color w:val="333333"/>
          <w:shd w:val="clear" w:color="auto" w:fill="FFFFFF"/>
        </w:rPr>
        <w:t xml:space="preserve"> 356.</w:t>
      </w:r>
    </w:p>
  </w:footnote>
  <w:footnote w:id="14">
    <w:p w:rsidR="00AF144E" w:rsidRPr="00255D34" w:rsidRDefault="00AF144E" w:rsidP="00AF144E">
      <w:pPr>
        <w:pStyle w:val="FootnoteText"/>
        <w:rPr>
          <w:rFonts w:cstheme="minorHAnsi"/>
        </w:rPr>
      </w:pPr>
      <w:r w:rsidRPr="00255D34">
        <w:rPr>
          <w:rStyle w:val="FootnoteReference"/>
        </w:rPr>
        <w:footnoteRef/>
      </w:r>
      <w:r w:rsidRPr="00255D34">
        <w:t xml:space="preserve"> </w:t>
      </w:r>
      <w:r w:rsidRPr="00C521BD">
        <w:t>How Many People Actually Understand QM? Thread starter</w:t>
      </w:r>
      <w:r>
        <w:t>:</w:t>
      </w:r>
      <w:r w:rsidRPr="00C521BD">
        <w:t xml:space="preserve"> Giuseppe </w:t>
      </w:r>
      <w:proofErr w:type="spellStart"/>
      <w:r w:rsidRPr="00C521BD">
        <w:t>Mayart</w:t>
      </w:r>
      <w:proofErr w:type="spellEnd"/>
      <w:r w:rsidRPr="00C521BD">
        <w:t xml:space="preserve"> Start date Apr 12, 2007</w:t>
      </w:r>
      <w:r w:rsidRPr="00C521BD">
        <w:br/>
        <w:t xml:space="preserve">Source </w:t>
      </w:r>
      <w:hyperlink r:id="rId5" w:history="1">
        <w:r w:rsidRPr="00CE449C">
          <w:rPr>
            <w:rStyle w:val="Hyperlink"/>
          </w:rPr>
          <w:t>https://www.physicsforums.com/threads/how-many-people-actually-understand-qm.165443/</w:t>
        </w:r>
      </w:hyperlink>
      <w:r>
        <w:t xml:space="preserve"> [accessed November 25, 2019]</w:t>
      </w:r>
    </w:p>
  </w:footnote>
  <w:footnote w:id="15">
    <w:p w:rsidR="00AF144E" w:rsidRPr="00255D34" w:rsidRDefault="00AF144E" w:rsidP="00AF144E">
      <w:pPr>
        <w:pStyle w:val="FootnoteText"/>
      </w:pPr>
      <w:r w:rsidRPr="00255D34">
        <w:rPr>
          <w:rStyle w:val="FootnoteReference"/>
        </w:rPr>
        <w:footnoteRef/>
      </w:r>
      <w:r w:rsidRPr="00255D34">
        <w:t xml:space="preserve"> William Tiller, </w:t>
      </w:r>
      <w:r>
        <w:t xml:space="preserve">cited in </w:t>
      </w:r>
      <w:r w:rsidRPr="00255D34">
        <w:rPr>
          <w:rFonts w:cstheme="minorHAnsi"/>
        </w:rPr>
        <w:t xml:space="preserve">William </w:t>
      </w:r>
      <w:proofErr w:type="spellStart"/>
      <w:r w:rsidRPr="00255D34">
        <w:rPr>
          <w:rFonts w:cstheme="minorHAnsi"/>
        </w:rPr>
        <w:t>Arnatz</w:t>
      </w:r>
      <w:proofErr w:type="spellEnd"/>
      <w:r w:rsidRPr="00255D34">
        <w:rPr>
          <w:rFonts w:cstheme="minorHAnsi"/>
        </w:rPr>
        <w:t xml:space="preserve">, Betsy Chase and Mark Vincente, </w:t>
      </w:r>
      <w:r w:rsidRPr="00F74587">
        <w:rPr>
          <w:rFonts w:cstheme="minorHAnsi"/>
          <w:i/>
          <w:iCs/>
        </w:rPr>
        <w:t xml:space="preserve">What the Bleep Do We </w:t>
      </w:r>
      <w:proofErr w:type="gramStart"/>
      <w:r w:rsidRPr="00F74587">
        <w:rPr>
          <w:rFonts w:cstheme="minorHAnsi"/>
          <w:i/>
          <w:iCs/>
        </w:rPr>
        <w:t>Know?:</w:t>
      </w:r>
      <w:proofErr w:type="gramEnd"/>
      <w:r w:rsidRPr="00F74587">
        <w:rPr>
          <w:rFonts w:cstheme="minorHAnsi"/>
          <w:i/>
          <w:iCs/>
        </w:rPr>
        <w:t xml:space="preserve"> Discovering the Endless Possibilities for Altering Your Everyday Reality</w:t>
      </w:r>
      <w:r w:rsidRPr="00255D34">
        <w:rPr>
          <w:rFonts w:cstheme="minorHAnsi"/>
        </w:rPr>
        <w:t xml:space="preserve"> (Deerfield Beach, Florida: Health Communications, Inc.</w:t>
      </w:r>
      <w:r>
        <w:rPr>
          <w:rFonts w:cstheme="minorHAnsi"/>
        </w:rPr>
        <w:t>,</w:t>
      </w:r>
      <w:r w:rsidRPr="00255D34">
        <w:rPr>
          <w:rFonts w:cstheme="minorHAnsi"/>
        </w:rPr>
        <w:t xml:space="preserve"> 2005),</w:t>
      </w:r>
      <w:r>
        <w:rPr>
          <w:rFonts w:cstheme="minorHAnsi"/>
        </w:rPr>
        <w:t xml:space="preserve"> </w:t>
      </w:r>
      <w:r w:rsidRPr="00255D34">
        <w:t>p. 30</w:t>
      </w:r>
      <w:r>
        <w:rPr>
          <w:rFonts w:cstheme="minorHAnsi"/>
        </w:rPr>
        <w:t xml:space="preserve"> [hereafter </w:t>
      </w:r>
      <w:proofErr w:type="spellStart"/>
      <w:r>
        <w:rPr>
          <w:rFonts w:cstheme="minorHAnsi"/>
        </w:rPr>
        <w:t>Arnatz</w:t>
      </w:r>
      <w:proofErr w:type="spellEnd"/>
      <w:r>
        <w:rPr>
          <w:rFonts w:cstheme="minorHAnsi"/>
        </w:rPr>
        <w:t xml:space="preserve">, </w:t>
      </w:r>
      <w:r w:rsidRPr="00E501D3">
        <w:rPr>
          <w:rFonts w:cstheme="minorHAnsi"/>
          <w:i/>
          <w:iCs/>
        </w:rPr>
        <w:t>Bleep</w:t>
      </w:r>
      <w:r>
        <w:rPr>
          <w:rFonts w:cstheme="minorHAnsi"/>
        </w:rPr>
        <w:t>]</w:t>
      </w:r>
    </w:p>
  </w:footnote>
  <w:footnote w:id="16">
    <w:p w:rsidR="00AF144E" w:rsidRPr="00255D34" w:rsidRDefault="00AF144E" w:rsidP="00AF144E">
      <w:pPr>
        <w:pStyle w:val="FootnoteText"/>
      </w:pPr>
      <w:r w:rsidRPr="00255D34">
        <w:rPr>
          <w:rStyle w:val="FootnoteReference"/>
        </w:rPr>
        <w:footnoteRef/>
      </w:r>
      <w:r w:rsidRPr="00255D34">
        <w:t xml:space="preserve"> </w:t>
      </w:r>
      <w:proofErr w:type="spellStart"/>
      <w:r>
        <w:rPr>
          <w:rFonts w:cstheme="minorHAnsi"/>
        </w:rPr>
        <w:t>Arnatz</w:t>
      </w:r>
      <w:proofErr w:type="spellEnd"/>
      <w:r>
        <w:rPr>
          <w:rFonts w:cstheme="minorHAnsi"/>
        </w:rPr>
        <w:t xml:space="preserve">, </w:t>
      </w:r>
      <w:r w:rsidRPr="00E501D3">
        <w:rPr>
          <w:rFonts w:cstheme="minorHAnsi"/>
          <w:i/>
          <w:iCs/>
        </w:rPr>
        <w:t>Bleep</w:t>
      </w:r>
      <w:r>
        <w:rPr>
          <w:rFonts w:cstheme="minorHAnsi"/>
          <w:i/>
          <w:iCs/>
        </w:rPr>
        <w:t>,</w:t>
      </w:r>
      <w:r w:rsidRPr="00255D34">
        <w:t xml:space="preserve"> pp. 15-21, 215-233</w:t>
      </w:r>
    </w:p>
  </w:footnote>
  <w:footnote w:id="17">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t xml:space="preserve">Greene, </w:t>
      </w:r>
      <w:r w:rsidRPr="00E501D3">
        <w:rPr>
          <w:i/>
          <w:iCs/>
        </w:rPr>
        <w:t>Fabric</w:t>
      </w:r>
      <w:r>
        <w:rPr>
          <w:i/>
          <w:iCs/>
        </w:rPr>
        <w:t>,</w:t>
      </w:r>
      <w:r w:rsidRPr="00255D34">
        <w:rPr>
          <w:rFonts w:cstheme="minorHAnsi"/>
        </w:rPr>
        <w:t xml:space="preserve"> p. 15</w:t>
      </w:r>
    </w:p>
  </w:footnote>
  <w:footnote w:id="18">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t>Primack, Cosmology</w:t>
      </w:r>
    </w:p>
  </w:footnote>
  <w:footnote w:id="19">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T</w:t>
      </w:r>
      <w:r>
        <w:rPr>
          <w:rFonts w:cstheme="minorHAnsi"/>
        </w:rPr>
        <w:t>homas</w:t>
      </w:r>
      <w:r w:rsidRPr="00255D34">
        <w:rPr>
          <w:rFonts w:cstheme="minorHAnsi"/>
        </w:rPr>
        <w:t xml:space="preserve"> L. </w:t>
      </w:r>
      <w:proofErr w:type="spellStart"/>
      <w:r w:rsidRPr="00255D34">
        <w:rPr>
          <w:rFonts w:cstheme="minorHAnsi"/>
        </w:rPr>
        <w:t>P</w:t>
      </w:r>
      <w:r>
        <w:rPr>
          <w:rFonts w:cstheme="minorHAnsi"/>
        </w:rPr>
        <w:t>angle</w:t>
      </w:r>
      <w:proofErr w:type="spellEnd"/>
      <w:r>
        <w:rPr>
          <w:rFonts w:cstheme="minorHAnsi"/>
        </w:rPr>
        <w:t>,</w:t>
      </w:r>
      <w:r w:rsidRPr="00255D34">
        <w:rPr>
          <w:rFonts w:cstheme="minorHAnsi"/>
        </w:rPr>
        <w:t xml:space="preserve"> </w:t>
      </w:r>
      <w:r>
        <w:rPr>
          <w:rFonts w:cstheme="minorHAnsi"/>
        </w:rPr>
        <w:t>‘</w:t>
      </w:r>
      <w:r w:rsidRPr="00255D34">
        <w:rPr>
          <w:rFonts w:cstheme="minorHAnsi"/>
        </w:rPr>
        <w:t>O</w:t>
      </w:r>
      <w:r>
        <w:rPr>
          <w:rFonts w:cstheme="minorHAnsi"/>
        </w:rPr>
        <w:t>n</w:t>
      </w:r>
      <w:r w:rsidRPr="00255D34">
        <w:rPr>
          <w:rFonts w:cstheme="minorHAnsi"/>
        </w:rPr>
        <w:t xml:space="preserve"> H</w:t>
      </w:r>
      <w:r>
        <w:rPr>
          <w:rFonts w:cstheme="minorHAnsi"/>
        </w:rPr>
        <w:t xml:space="preserve">eisenberg’s </w:t>
      </w:r>
      <w:r w:rsidRPr="00255D34">
        <w:rPr>
          <w:rFonts w:cstheme="minorHAnsi"/>
        </w:rPr>
        <w:t>K</w:t>
      </w:r>
      <w:r>
        <w:rPr>
          <w:rFonts w:cstheme="minorHAnsi"/>
        </w:rPr>
        <w:t>ey</w:t>
      </w:r>
      <w:r w:rsidRPr="00255D34">
        <w:rPr>
          <w:rFonts w:cstheme="minorHAnsi"/>
        </w:rPr>
        <w:t xml:space="preserve"> S</w:t>
      </w:r>
      <w:r>
        <w:rPr>
          <w:rFonts w:cstheme="minorHAnsi"/>
        </w:rPr>
        <w:t>tatement</w:t>
      </w:r>
      <w:r w:rsidRPr="00255D34">
        <w:rPr>
          <w:rFonts w:cstheme="minorHAnsi"/>
        </w:rPr>
        <w:t xml:space="preserve"> C</w:t>
      </w:r>
      <w:r>
        <w:rPr>
          <w:rFonts w:cstheme="minorHAnsi"/>
        </w:rPr>
        <w:t>oncerning</w:t>
      </w:r>
      <w:r w:rsidRPr="00255D34">
        <w:rPr>
          <w:rFonts w:cstheme="minorHAnsi"/>
        </w:rPr>
        <w:t xml:space="preserve"> O</w:t>
      </w:r>
      <w:r>
        <w:rPr>
          <w:rFonts w:cstheme="minorHAnsi"/>
        </w:rPr>
        <w:t xml:space="preserve">ntology’, </w:t>
      </w:r>
      <w:r w:rsidRPr="00E501D3">
        <w:rPr>
          <w:rFonts w:cstheme="minorHAnsi"/>
          <w:i/>
          <w:iCs/>
        </w:rPr>
        <w:t>The Review of Metaphysics</w:t>
      </w:r>
      <w:r w:rsidRPr="00255D34">
        <w:rPr>
          <w:rFonts w:cstheme="minorHAnsi"/>
        </w:rPr>
        <w:t>, 67, (JUNE 2014), No. 4</w:t>
      </w:r>
      <w:r>
        <w:rPr>
          <w:rFonts w:cstheme="minorHAnsi"/>
        </w:rPr>
        <w:t>,</w:t>
      </w:r>
      <w:r w:rsidRPr="00255D34">
        <w:rPr>
          <w:rFonts w:cstheme="minorHAnsi"/>
        </w:rPr>
        <w:t xml:space="preserve"> 835-859 </w:t>
      </w:r>
    </w:p>
  </w:footnote>
  <w:footnote w:id="20">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t xml:space="preserve">Greene, </w:t>
      </w:r>
      <w:r w:rsidRPr="00E501D3">
        <w:rPr>
          <w:i/>
          <w:iCs/>
        </w:rPr>
        <w:t>Fabric</w:t>
      </w:r>
      <w:r w:rsidRPr="00255D34">
        <w:rPr>
          <w:rFonts w:cstheme="minorHAnsi"/>
        </w:rPr>
        <w:t>, p. 99</w:t>
      </w:r>
    </w:p>
  </w:footnote>
  <w:footnote w:id="21">
    <w:p w:rsidR="00AF144E" w:rsidRPr="00255D34" w:rsidRDefault="00AF144E" w:rsidP="00AF144E">
      <w:pPr>
        <w:pStyle w:val="FootnoteText"/>
        <w:rPr>
          <w:rFonts w:cstheme="minorHAnsi"/>
          <w:i/>
          <w:iCs/>
        </w:rPr>
      </w:pPr>
      <w:r w:rsidRPr="00255D34">
        <w:rPr>
          <w:rStyle w:val="FootnoteReference"/>
          <w:rFonts w:cstheme="minorHAnsi"/>
        </w:rPr>
        <w:footnoteRef/>
      </w:r>
      <w:r w:rsidRPr="00255D34">
        <w:rPr>
          <w:rFonts w:cstheme="minorHAnsi"/>
        </w:rPr>
        <w:t xml:space="preserve"> Greene, </w:t>
      </w:r>
      <w:r w:rsidRPr="00255D34">
        <w:rPr>
          <w:rFonts w:cstheme="minorHAnsi"/>
          <w:i/>
          <w:iCs/>
        </w:rPr>
        <w:t xml:space="preserve">Fabric, </w:t>
      </w:r>
      <w:r w:rsidRPr="00807DAB">
        <w:rPr>
          <w:rFonts w:cstheme="minorHAnsi"/>
        </w:rPr>
        <w:t>pp. 1-495</w:t>
      </w:r>
      <w:r>
        <w:rPr>
          <w:rFonts w:cstheme="minorHAnsi"/>
        </w:rPr>
        <w:t>.</w:t>
      </w:r>
    </w:p>
  </w:footnote>
  <w:footnote w:id="22">
    <w:p w:rsidR="00AF144E" w:rsidRDefault="00AF144E" w:rsidP="00AF144E">
      <w:pPr>
        <w:pStyle w:val="FootnoteText"/>
      </w:pPr>
      <w:r>
        <w:rPr>
          <w:rStyle w:val="FootnoteReference"/>
        </w:rPr>
        <w:footnoteRef/>
      </w:r>
      <w:r>
        <w:t xml:space="preserve"> </w:t>
      </w:r>
      <w:proofErr w:type="spellStart"/>
      <w:r>
        <w:rPr>
          <w:rFonts w:cstheme="minorHAnsi"/>
        </w:rPr>
        <w:t>Arnatz</w:t>
      </w:r>
      <w:proofErr w:type="spellEnd"/>
      <w:r>
        <w:rPr>
          <w:rFonts w:cstheme="minorHAnsi"/>
        </w:rPr>
        <w:t xml:space="preserve">, </w:t>
      </w:r>
      <w:r>
        <w:rPr>
          <w:rFonts w:cstheme="minorHAnsi"/>
          <w:i/>
          <w:iCs/>
        </w:rPr>
        <w:t>Bleep</w:t>
      </w:r>
      <w:r>
        <w:t>, p. 20</w:t>
      </w:r>
    </w:p>
  </w:footnote>
  <w:footnote w:id="23">
    <w:p w:rsidR="00AF144E" w:rsidRPr="00255D34" w:rsidRDefault="00AF144E" w:rsidP="00AF144E">
      <w:pPr>
        <w:pStyle w:val="FootnoteText"/>
        <w:rPr>
          <w:rFonts w:cstheme="minorHAnsi"/>
        </w:rPr>
      </w:pPr>
      <w:r>
        <w:rPr>
          <w:rStyle w:val="FootnoteReference"/>
        </w:rPr>
        <w:footnoteRef/>
      </w:r>
      <w:r>
        <w:t xml:space="preserve"> </w:t>
      </w:r>
      <w:r w:rsidRPr="00255D34">
        <w:rPr>
          <w:rFonts w:cstheme="minorHAnsi"/>
          <w:color w:val="333333"/>
          <w:shd w:val="clear" w:color="auto" w:fill="FFFFFF"/>
        </w:rPr>
        <w:t>David Dunning</w:t>
      </w:r>
      <w:r>
        <w:rPr>
          <w:rFonts w:cstheme="minorHAnsi"/>
          <w:color w:val="333333"/>
          <w:shd w:val="clear" w:color="auto" w:fill="FFFFFF"/>
        </w:rPr>
        <w:t xml:space="preserve"> </w:t>
      </w:r>
      <w:r w:rsidRPr="00255D34">
        <w:rPr>
          <w:rFonts w:cstheme="minorHAnsi"/>
          <w:color w:val="333333"/>
          <w:shd w:val="clear" w:color="auto" w:fill="FFFFFF"/>
        </w:rPr>
        <w:t xml:space="preserve">and Emily </w:t>
      </w:r>
      <w:proofErr w:type="spellStart"/>
      <w:r w:rsidRPr="00255D34">
        <w:rPr>
          <w:rFonts w:cstheme="minorHAnsi"/>
          <w:color w:val="333333"/>
          <w:shd w:val="clear" w:color="auto" w:fill="FFFFFF"/>
        </w:rPr>
        <w:t>Balcetis</w:t>
      </w:r>
      <w:proofErr w:type="spellEnd"/>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Wishful Seeing: How Preferences Shape Visual Perception</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Current Directions in Psychological Science</w:t>
      </w:r>
      <w:r w:rsidRPr="00255D34">
        <w:rPr>
          <w:rFonts w:cstheme="minorHAnsi"/>
          <w:color w:val="333333"/>
          <w:shd w:val="clear" w:color="auto" w:fill="FFFFFF"/>
        </w:rPr>
        <w:t xml:space="preserve">, 22, </w:t>
      </w:r>
      <w:r>
        <w:rPr>
          <w:rFonts w:cstheme="minorHAnsi"/>
          <w:color w:val="333333"/>
          <w:shd w:val="clear" w:color="auto" w:fill="FFFFFF"/>
        </w:rPr>
        <w:t>(</w:t>
      </w:r>
      <w:r w:rsidRPr="00255D34">
        <w:rPr>
          <w:rFonts w:cstheme="minorHAnsi"/>
          <w:color w:val="333333"/>
          <w:shd w:val="clear" w:color="auto" w:fill="FFFFFF"/>
        </w:rPr>
        <w:t>2013</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1, 33–37</w:t>
      </w:r>
      <w:r>
        <w:rPr>
          <w:rFonts w:cstheme="minorHAnsi"/>
          <w:color w:val="333333"/>
          <w:shd w:val="clear" w:color="auto" w:fill="FFFFFF"/>
        </w:rPr>
        <w:t>.</w:t>
      </w:r>
    </w:p>
  </w:footnote>
  <w:footnote w:id="24">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proofErr w:type="spellStart"/>
      <w:r w:rsidRPr="00255D34">
        <w:rPr>
          <w:rFonts w:cstheme="minorHAnsi"/>
          <w:color w:val="333333"/>
          <w:shd w:val="clear" w:color="auto" w:fill="FFFFFF"/>
        </w:rPr>
        <w:t>Patrik</w:t>
      </w:r>
      <w:proofErr w:type="spellEnd"/>
      <w:r w:rsidRPr="00255D34">
        <w:rPr>
          <w:rFonts w:cstheme="minorHAnsi"/>
          <w:color w:val="333333"/>
          <w:shd w:val="clear" w:color="auto" w:fill="FFFFFF"/>
        </w:rPr>
        <w:t xml:space="preserve"> </w:t>
      </w:r>
      <w:proofErr w:type="spellStart"/>
      <w:r w:rsidRPr="00255D34">
        <w:rPr>
          <w:rFonts w:cstheme="minorHAnsi"/>
          <w:color w:val="333333"/>
          <w:shd w:val="clear" w:color="auto" w:fill="FFFFFF"/>
        </w:rPr>
        <w:t>Vuilleumier</w:t>
      </w:r>
      <w:proofErr w:type="spellEnd"/>
      <w:r w:rsidRPr="00255D34">
        <w:rPr>
          <w:rFonts w:cstheme="minorHAnsi"/>
          <w:color w:val="333333"/>
          <w:shd w:val="clear" w:color="auto" w:fill="FFFFFF"/>
        </w:rPr>
        <w:t xml:space="preserve"> and Yang-Ming Huang</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Emotional Attention: Uncovering the Mechanisms of Affective Biases in Perception</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Current Directions in Psychological Science</w:t>
      </w:r>
      <w:r w:rsidRPr="00255D34">
        <w:rPr>
          <w:rFonts w:cstheme="minorHAnsi"/>
          <w:color w:val="333333"/>
          <w:shd w:val="clear" w:color="auto" w:fill="FFFFFF"/>
        </w:rPr>
        <w:t xml:space="preserve">, 18, </w:t>
      </w:r>
      <w:r>
        <w:rPr>
          <w:rFonts w:cstheme="minorHAnsi"/>
          <w:color w:val="333333"/>
          <w:shd w:val="clear" w:color="auto" w:fill="FFFFFF"/>
        </w:rPr>
        <w:t>(</w:t>
      </w:r>
      <w:r w:rsidRPr="00255D34">
        <w:rPr>
          <w:rFonts w:cstheme="minorHAnsi"/>
          <w:color w:val="333333"/>
          <w:shd w:val="clear" w:color="auto" w:fill="FFFFFF"/>
        </w:rPr>
        <w:t>2009</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3, 148–152. </w:t>
      </w:r>
    </w:p>
  </w:footnote>
  <w:footnote w:id="25">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rsidRPr="00255D34">
        <w:rPr>
          <w:rFonts w:cstheme="minorHAnsi"/>
          <w:color w:val="333333"/>
          <w:shd w:val="clear" w:color="auto" w:fill="FFFFFF"/>
        </w:rPr>
        <w:t>William F. Brewer, and Bruce L. Lambert</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The Theory-</w:t>
      </w:r>
      <w:proofErr w:type="spellStart"/>
      <w:r w:rsidRPr="00255D34">
        <w:rPr>
          <w:rFonts w:cstheme="minorHAnsi"/>
          <w:color w:val="333333"/>
          <w:shd w:val="clear" w:color="auto" w:fill="FFFFFF"/>
        </w:rPr>
        <w:t>Ladenness</w:t>
      </w:r>
      <w:proofErr w:type="spellEnd"/>
      <w:r w:rsidRPr="00255D34">
        <w:rPr>
          <w:rFonts w:cstheme="minorHAnsi"/>
          <w:color w:val="333333"/>
          <w:shd w:val="clear" w:color="auto" w:fill="FFFFFF"/>
        </w:rPr>
        <w:t xml:space="preserve"> of Observation and the Theory-</w:t>
      </w:r>
      <w:proofErr w:type="spellStart"/>
      <w:r w:rsidRPr="00255D34">
        <w:rPr>
          <w:rFonts w:cstheme="minorHAnsi"/>
          <w:color w:val="333333"/>
          <w:shd w:val="clear" w:color="auto" w:fill="FFFFFF"/>
        </w:rPr>
        <w:t>Ladenness</w:t>
      </w:r>
      <w:proofErr w:type="spellEnd"/>
      <w:r w:rsidRPr="00255D34">
        <w:rPr>
          <w:rFonts w:cstheme="minorHAnsi"/>
          <w:color w:val="333333"/>
          <w:shd w:val="clear" w:color="auto" w:fill="FFFFFF"/>
        </w:rPr>
        <w:t xml:space="preserve"> of the Rest of the Scientific Process</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Philosophy of Science</w:t>
      </w:r>
      <w:r w:rsidRPr="00255D34">
        <w:rPr>
          <w:rFonts w:cstheme="minorHAnsi"/>
          <w:color w:val="333333"/>
          <w:shd w:val="clear" w:color="auto" w:fill="FFFFFF"/>
        </w:rPr>
        <w:t>, 68</w:t>
      </w:r>
      <w:r>
        <w:rPr>
          <w:rFonts w:cstheme="minorHAnsi"/>
          <w:color w:val="333333"/>
          <w:shd w:val="clear" w:color="auto" w:fill="FFFFFF"/>
        </w:rPr>
        <w:t xml:space="preserve"> (</w:t>
      </w:r>
      <w:r w:rsidRPr="00255D34">
        <w:rPr>
          <w:rFonts w:cstheme="minorHAnsi"/>
          <w:color w:val="333333"/>
          <w:shd w:val="clear" w:color="auto" w:fill="FFFFFF"/>
        </w:rPr>
        <w:t>2001</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3, S176–S186. </w:t>
      </w:r>
    </w:p>
  </w:footnote>
  <w:footnote w:id="26">
    <w:p w:rsidR="00AF144E" w:rsidRPr="00CE11B5" w:rsidRDefault="00AF144E" w:rsidP="00AF144E">
      <w:pPr>
        <w:pStyle w:val="FootnoteText"/>
        <w:rPr>
          <w:rFonts w:cstheme="minorHAnsi"/>
          <w:i/>
          <w:iCs/>
        </w:rPr>
      </w:pPr>
      <w:r w:rsidRPr="00255D34">
        <w:rPr>
          <w:rStyle w:val="FootnoteReference"/>
          <w:rFonts w:cstheme="minorHAnsi"/>
        </w:rPr>
        <w:footnoteRef/>
      </w:r>
      <w:r w:rsidRPr="00255D34">
        <w:rPr>
          <w:rFonts w:cstheme="minorHAnsi"/>
        </w:rPr>
        <w:t xml:space="preserve"> Donald D. Hoffman, </w:t>
      </w:r>
      <w:r w:rsidRPr="00255D34">
        <w:rPr>
          <w:rFonts w:cstheme="minorHAnsi"/>
          <w:i/>
          <w:iCs/>
        </w:rPr>
        <w:t xml:space="preserve">Visual Intelligence </w:t>
      </w:r>
      <w:r w:rsidRPr="00255D34">
        <w:rPr>
          <w:rFonts w:cstheme="minorHAnsi"/>
        </w:rPr>
        <w:t>(New York: W.W. Norton and Company, Inc., 1998), p. 176</w:t>
      </w:r>
      <w:r>
        <w:rPr>
          <w:rFonts w:cstheme="minorHAnsi"/>
        </w:rPr>
        <w:t xml:space="preserve"> [hereafter Hoffman, </w:t>
      </w:r>
      <w:r>
        <w:rPr>
          <w:rFonts w:cstheme="minorHAnsi"/>
          <w:i/>
          <w:iCs/>
        </w:rPr>
        <w:t>Visual]</w:t>
      </w:r>
    </w:p>
  </w:footnote>
  <w:footnote w:id="27">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rPr>
          <w:rFonts w:cstheme="minorHAnsi"/>
        </w:rPr>
        <w:t xml:space="preserve">Hoffman, </w:t>
      </w:r>
      <w:r>
        <w:rPr>
          <w:rFonts w:cstheme="minorHAnsi"/>
          <w:i/>
          <w:iCs/>
        </w:rPr>
        <w:t>Visual</w:t>
      </w:r>
      <w:r w:rsidRPr="00255D34">
        <w:rPr>
          <w:rFonts w:cstheme="minorHAnsi"/>
        </w:rPr>
        <w:t>, pp. 185-196</w:t>
      </w:r>
      <w:r>
        <w:rPr>
          <w:rFonts w:cstheme="minorHAnsi"/>
        </w:rPr>
        <w:t>.</w:t>
      </w:r>
    </w:p>
  </w:footnote>
  <w:footnote w:id="28">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rsidRPr="00255D34">
        <w:rPr>
          <w:rFonts w:cstheme="minorHAnsi"/>
          <w:color w:val="333333"/>
          <w:shd w:val="clear" w:color="auto" w:fill="FFFFFF"/>
        </w:rPr>
        <w:t xml:space="preserve">Joan Y </w:t>
      </w:r>
      <w:proofErr w:type="spellStart"/>
      <w:r w:rsidRPr="00255D34">
        <w:rPr>
          <w:rFonts w:cstheme="minorHAnsi"/>
          <w:color w:val="333333"/>
          <w:shd w:val="clear" w:color="auto" w:fill="FFFFFF"/>
        </w:rPr>
        <w:t>Chiao</w:t>
      </w:r>
      <w:proofErr w:type="spellEnd"/>
      <w:r w:rsidRPr="00255D34">
        <w:rPr>
          <w:rFonts w:cstheme="minorHAnsi"/>
          <w:color w:val="333333"/>
          <w:shd w:val="clear" w:color="auto" w:fill="FFFFFF"/>
        </w:rPr>
        <w:t xml:space="preserve"> and Mary Helen </w:t>
      </w:r>
      <w:proofErr w:type="spellStart"/>
      <w:r w:rsidRPr="00255D34">
        <w:rPr>
          <w:rFonts w:cstheme="minorHAnsi"/>
          <w:color w:val="333333"/>
          <w:shd w:val="clear" w:color="auto" w:fill="FFFFFF"/>
        </w:rPr>
        <w:t>Immordino</w:t>
      </w:r>
      <w:proofErr w:type="spellEnd"/>
      <w:r w:rsidRPr="00255D34">
        <w:rPr>
          <w:rFonts w:cstheme="minorHAnsi"/>
          <w:color w:val="333333"/>
          <w:shd w:val="clear" w:color="auto" w:fill="FFFFFF"/>
        </w:rPr>
        <w:t>-Yang</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Modularity and the Cultural Mind: Contributions of Cultural Neuroscience to Cognitive Theory</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Perspectives on Psychological Science</w:t>
      </w:r>
      <w:r w:rsidRPr="00255D34">
        <w:rPr>
          <w:rFonts w:cstheme="minorHAnsi"/>
          <w:color w:val="333333"/>
          <w:shd w:val="clear" w:color="auto" w:fill="FFFFFF"/>
        </w:rPr>
        <w:t xml:space="preserve">, 8 </w:t>
      </w:r>
      <w:r>
        <w:rPr>
          <w:rFonts w:cstheme="minorHAnsi"/>
          <w:color w:val="333333"/>
          <w:shd w:val="clear" w:color="auto" w:fill="FFFFFF"/>
        </w:rPr>
        <w:t>(</w:t>
      </w:r>
      <w:r w:rsidRPr="00255D34">
        <w:rPr>
          <w:rFonts w:cstheme="minorHAnsi"/>
          <w:color w:val="333333"/>
          <w:shd w:val="clear" w:color="auto" w:fill="FFFFFF"/>
        </w:rPr>
        <w:t>2013</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1, pp. 56–61. </w:t>
      </w:r>
      <w:r>
        <w:rPr>
          <w:rFonts w:cstheme="minorHAnsi"/>
          <w:color w:val="333333"/>
          <w:shd w:val="clear" w:color="auto" w:fill="FFFFFF"/>
        </w:rPr>
        <w:t>p</w:t>
      </w:r>
      <w:r w:rsidRPr="00784CB3">
        <w:rPr>
          <w:rFonts w:cstheme="minorHAnsi"/>
          <w:color w:val="333333"/>
          <w:shd w:val="clear" w:color="auto" w:fill="FFFFFF"/>
        </w:rPr>
        <w:t>. 60</w:t>
      </w:r>
    </w:p>
  </w:footnote>
  <w:footnote w:id="29">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rsidRPr="00255D34">
        <w:rPr>
          <w:rFonts w:cstheme="minorHAnsi"/>
          <w:color w:val="333333"/>
          <w:shd w:val="clear" w:color="auto" w:fill="FFFFFF"/>
        </w:rPr>
        <w:t>Bill Thompson</w:t>
      </w:r>
      <w:r>
        <w:rPr>
          <w:rFonts w:cstheme="minorHAnsi"/>
          <w:color w:val="333333"/>
          <w:shd w:val="clear" w:color="auto" w:fill="FFFFFF"/>
        </w:rPr>
        <w:t xml:space="preserve">, </w:t>
      </w:r>
      <w:r w:rsidRPr="005D66BF">
        <w:rPr>
          <w:rFonts w:cstheme="minorHAnsi"/>
          <w:color w:val="333333"/>
          <w:shd w:val="clear" w:color="auto" w:fill="FFFFFF"/>
        </w:rPr>
        <w:t>Simon Kirby and Kenny Smit</w:t>
      </w:r>
      <w:r>
        <w:rPr>
          <w:rFonts w:cstheme="minorHAnsi"/>
          <w:color w:val="333333"/>
          <w:shd w:val="clear" w:color="auto" w:fill="FFFFFF"/>
        </w:rPr>
        <w:t>h, ‘</w:t>
      </w:r>
      <w:r w:rsidRPr="00255D34">
        <w:rPr>
          <w:rFonts w:cstheme="minorHAnsi"/>
          <w:color w:val="333333"/>
          <w:shd w:val="clear" w:color="auto" w:fill="FFFFFF"/>
        </w:rPr>
        <w:t>Culture Shapes the Evolution of Cognition</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Proceedings of the National Academy of Sciences of the United States of America</w:t>
      </w:r>
      <w:r w:rsidRPr="00255D34">
        <w:rPr>
          <w:rFonts w:cstheme="minorHAnsi"/>
          <w:color w:val="333333"/>
          <w:shd w:val="clear" w:color="auto" w:fill="FFFFFF"/>
        </w:rPr>
        <w:t>, 113</w:t>
      </w:r>
      <w:r w:rsidRPr="008525D3">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2016</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16, 4530–4535. </w:t>
      </w:r>
      <w:r w:rsidRPr="00784CB3">
        <w:rPr>
          <w:rFonts w:cstheme="minorHAnsi"/>
          <w:color w:val="333333"/>
          <w:shd w:val="clear" w:color="auto" w:fill="FFFFFF"/>
        </w:rPr>
        <w:t>p. 4530</w:t>
      </w:r>
    </w:p>
  </w:footnote>
  <w:footnote w:id="30">
    <w:p w:rsidR="00AF144E" w:rsidRDefault="00AF144E" w:rsidP="00AF144E">
      <w:pPr>
        <w:pStyle w:val="FootnoteText"/>
      </w:pPr>
    </w:p>
  </w:footnote>
  <w:footnote w:id="31">
    <w:p w:rsidR="00AF144E" w:rsidRDefault="00AF144E" w:rsidP="00AF144E">
      <w:pPr>
        <w:pStyle w:val="FootnoteText"/>
      </w:pPr>
      <w:r w:rsidRPr="00255D34">
        <w:rPr>
          <w:rStyle w:val="FootnoteReference"/>
          <w:rFonts w:cstheme="minorHAnsi"/>
        </w:rPr>
        <w:footnoteRef/>
      </w:r>
      <w:r w:rsidRPr="00255D34">
        <w:rPr>
          <w:rFonts w:cstheme="minorHAnsi"/>
        </w:rPr>
        <w:t xml:space="preserve"> </w:t>
      </w:r>
      <w:r w:rsidRPr="00255D34">
        <w:rPr>
          <w:rFonts w:cstheme="minorHAnsi"/>
          <w:color w:val="333333"/>
          <w:shd w:val="clear" w:color="auto" w:fill="FFFFFF"/>
        </w:rPr>
        <w:t xml:space="preserve">Amit Goswami, </w:t>
      </w:r>
      <w:r>
        <w:rPr>
          <w:rFonts w:cstheme="minorHAnsi"/>
          <w:color w:val="333333"/>
          <w:shd w:val="clear" w:color="auto" w:fill="FFFFFF"/>
        </w:rPr>
        <w:t>‘</w:t>
      </w:r>
      <w:r w:rsidRPr="00255D34">
        <w:rPr>
          <w:rFonts w:cstheme="minorHAnsi"/>
          <w:color w:val="333333"/>
          <w:shd w:val="clear" w:color="auto" w:fill="FFFFFF"/>
        </w:rPr>
        <w:t>Physics within Nondual Consciousness</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Philosophy East and West</w:t>
      </w:r>
      <w:r w:rsidRPr="00255D34">
        <w:rPr>
          <w:rFonts w:cstheme="minorHAnsi"/>
          <w:color w:val="333333"/>
          <w:shd w:val="clear" w:color="auto" w:fill="FFFFFF"/>
        </w:rPr>
        <w:t xml:space="preserve">, 51 </w:t>
      </w:r>
      <w:r>
        <w:rPr>
          <w:rFonts w:cstheme="minorHAnsi"/>
          <w:color w:val="333333"/>
          <w:shd w:val="clear" w:color="auto" w:fill="FFFFFF"/>
        </w:rPr>
        <w:t>(</w:t>
      </w:r>
      <w:r w:rsidRPr="00255D34">
        <w:rPr>
          <w:rFonts w:cstheme="minorHAnsi"/>
          <w:color w:val="333333"/>
          <w:shd w:val="clear" w:color="auto" w:fill="FFFFFF"/>
        </w:rPr>
        <w:t>2001</w:t>
      </w:r>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N</w:t>
      </w:r>
      <w:r w:rsidRPr="00255D34">
        <w:rPr>
          <w:rFonts w:cstheme="minorHAnsi"/>
          <w:color w:val="333333"/>
          <w:shd w:val="clear" w:color="auto" w:fill="FFFFFF"/>
        </w:rPr>
        <w:t>o. 4, 535–544. </w:t>
      </w:r>
      <w:r>
        <w:rPr>
          <w:rFonts w:cstheme="minorHAnsi"/>
          <w:color w:val="333333"/>
          <w:shd w:val="clear" w:color="auto" w:fill="FFFFFF"/>
        </w:rPr>
        <w:t>p</w:t>
      </w:r>
      <w:r w:rsidRPr="00255D34">
        <w:rPr>
          <w:rFonts w:cstheme="minorHAnsi"/>
          <w:i/>
          <w:iCs/>
          <w:color w:val="333333"/>
          <w:shd w:val="clear" w:color="auto" w:fill="FFFFFF"/>
        </w:rPr>
        <w:t xml:space="preserve">. </w:t>
      </w:r>
      <w:r w:rsidRPr="00807DAB">
        <w:rPr>
          <w:rFonts w:cstheme="minorHAnsi"/>
          <w:color w:val="333333"/>
          <w:shd w:val="clear" w:color="auto" w:fill="FFFFFF"/>
        </w:rPr>
        <w:t>536</w:t>
      </w:r>
    </w:p>
  </w:footnote>
  <w:footnote w:id="32">
    <w:p w:rsidR="00AF144E" w:rsidRPr="008525D3" w:rsidRDefault="00AF144E" w:rsidP="00AF144E">
      <w:pPr>
        <w:pStyle w:val="FootnoteText"/>
        <w:rPr>
          <w:rFonts w:cstheme="minorHAnsi"/>
        </w:rPr>
      </w:pPr>
      <w:r>
        <w:rPr>
          <w:rStyle w:val="FootnoteReference"/>
        </w:rPr>
        <w:footnoteRef/>
      </w:r>
      <w:r>
        <w:t xml:space="preserve"> </w:t>
      </w:r>
      <w:proofErr w:type="spellStart"/>
      <w:r w:rsidRPr="008525D3">
        <w:rPr>
          <w:rFonts w:cstheme="minorHAnsi"/>
          <w:color w:val="333333"/>
          <w:shd w:val="clear" w:color="auto" w:fill="FFFFFF"/>
        </w:rPr>
        <w:t>Cathrine</w:t>
      </w:r>
      <w:proofErr w:type="spellEnd"/>
      <w:r w:rsidRPr="008525D3">
        <w:rPr>
          <w:rFonts w:cstheme="minorHAnsi"/>
          <w:color w:val="333333"/>
          <w:shd w:val="clear" w:color="auto" w:fill="FFFFFF"/>
        </w:rPr>
        <w:t xml:space="preserve"> </w:t>
      </w:r>
      <w:proofErr w:type="spellStart"/>
      <w:r w:rsidRPr="008525D3">
        <w:rPr>
          <w:rFonts w:cstheme="minorHAnsi"/>
          <w:color w:val="333333"/>
          <w:shd w:val="clear" w:color="auto" w:fill="FFFFFF"/>
        </w:rPr>
        <w:t>Hasse</w:t>
      </w:r>
      <w:proofErr w:type="spellEnd"/>
      <w:r w:rsidRPr="008525D3">
        <w:rPr>
          <w:rFonts w:cstheme="minorHAnsi"/>
          <w:color w:val="333333"/>
          <w:shd w:val="clear" w:color="auto" w:fill="FFFFFF"/>
        </w:rPr>
        <w:t>, ‘</w:t>
      </w:r>
      <w:proofErr w:type="spellStart"/>
      <w:r w:rsidRPr="008525D3">
        <w:rPr>
          <w:rFonts w:cstheme="minorHAnsi"/>
          <w:color w:val="333333"/>
          <w:shd w:val="clear" w:color="auto" w:fill="FFFFFF"/>
        </w:rPr>
        <w:t>Postphenomenology</w:t>
      </w:r>
      <w:proofErr w:type="spellEnd"/>
      <w:r w:rsidRPr="008525D3">
        <w:rPr>
          <w:rFonts w:cstheme="minorHAnsi"/>
          <w:color w:val="333333"/>
          <w:shd w:val="clear" w:color="auto" w:fill="FFFFFF"/>
        </w:rPr>
        <w:t>: Learning Cultural Perception in Science’, </w:t>
      </w:r>
      <w:r w:rsidRPr="008525D3">
        <w:rPr>
          <w:rFonts w:cstheme="minorHAnsi"/>
          <w:i/>
          <w:iCs/>
          <w:color w:val="333333"/>
          <w:shd w:val="clear" w:color="auto" w:fill="FFFFFF"/>
        </w:rPr>
        <w:t>Human Studies</w:t>
      </w:r>
      <w:r w:rsidRPr="008525D3">
        <w:rPr>
          <w:rFonts w:cstheme="minorHAnsi"/>
          <w:color w:val="333333"/>
          <w:shd w:val="clear" w:color="auto" w:fill="FFFFFF"/>
        </w:rPr>
        <w:t>, 31 (2008), No. 1, 43–61. </w:t>
      </w:r>
      <w:r>
        <w:rPr>
          <w:rFonts w:cstheme="minorHAnsi"/>
          <w:color w:val="333333"/>
          <w:shd w:val="clear" w:color="auto" w:fill="FFFFFF"/>
        </w:rPr>
        <w:t>p</w:t>
      </w:r>
      <w:r w:rsidRPr="008525D3">
        <w:rPr>
          <w:rFonts w:cstheme="minorHAnsi"/>
          <w:i/>
          <w:iCs/>
          <w:color w:val="333333"/>
          <w:shd w:val="clear" w:color="auto" w:fill="FFFFFF"/>
        </w:rPr>
        <w:t xml:space="preserve">. </w:t>
      </w:r>
      <w:r w:rsidRPr="00807DAB">
        <w:rPr>
          <w:rFonts w:cstheme="minorHAnsi"/>
          <w:color w:val="333333"/>
          <w:shd w:val="clear" w:color="auto" w:fill="FFFFFF"/>
        </w:rPr>
        <w:t>50</w:t>
      </w:r>
    </w:p>
    <w:p w:rsidR="00AF144E" w:rsidRPr="008525D3" w:rsidRDefault="00AF144E" w:rsidP="00AF144E">
      <w:pPr>
        <w:pStyle w:val="FootnoteText"/>
        <w:rPr>
          <w:rFonts w:cstheme="minorHAnsi"/>
        </w:rPr>
      </w:pPr>
    </w:p>
    <w:p w:rsidR="00AF144E" w:rsidRPr="00255D34" w:rsidRDefault="00AF144E" w:rsidP="00AF144E">
      <w:pPr>
        <w:pStyle w:val="FootnoteText"/>
        <w:rPr>
          <w:rFonts w:cstheme="minorHAnsi"/>
        </w:rPr>
      </w:pPr>
      <w:r w:rsidRPr="00255D34">
        <w:rPr>
          <w:rFonts w:cstheme="minorHAnsi"/>
          <w:color w:val="333333"/>
          <w:shd w:val="clear" w:color="auto" w:fill="FFFFFF"/>
        </w:rPr>
        <w:t xml:space="preserve">Don </w:t>
      </w:r>
      <w:proofErr w:type="spellStart"/>
      <w:r w:rsidRPr="00255D34">
        <w:rPr>
          <w:rFonts w:cstheme="minorHAnsi"/>
          <w:color w:val="333333"/>
          <w:shd w:val="clear" w:color="auto" w:fill="FFFFFF"/>
        </w:rPr>
        <w:t>Ihde</w:t>
      </w:r>
      <w:proofErr w:type="spellEnd"/>
      <w:r>
        <w:rPr>
          <w:rFonts w:cstheme="minorHAnsi"/>
          <w:color w:val="333333"/>
          <w:shd w:val="clear" w:color="auto" w:fill="FFFFFF"/>
        </w:rPr>
        <w:t>,</w:t>
      </w:r>
      <w:r w:rsidRPr="00255D34">
        <w:rPr>
          <w:rFonts w:cstheme="minorHAnsi"/>
          <w:color w:val="333333"/>
          <w:shd w:val="clear" w:color="auto" w:fill="FFFFFF"/>
        </w:rPr>
        <w:t xml:space="preserve"> </w:t>
      </w:r>
      <w:r>
        <w:rPr>
          <w:rFonts w:cstheme="minorHAnsi"/>
          <w:color w:val="333333"/>
          <w:shd w:val="clear" w:color="auto" w:fill="FFFFFF"/>
        </w:rPr>
        <w:t>‘</w:t>
      </w:r>
      <w:r w:rsidRPr="00255D34">
        <w:rPr>
          <w:rFonts w:cstheme="minorHAnsi"/>
          <w:color w:val="333333"/>
          <w:shd w:val="clear" w:color="auto" w:fill="FFFFFF"/>
        </w:rPr>
        <w:t xml:space="preserve">Introduction: </w:t>
      </w:r>
      <w:proofErr w:type="spellStart"/>
      <w:r w:rsidRPr="00255D34">
        <w:rPr>
          <w:rFonts w:cstheme="minorHAnsi"/>
          <w:color w:val="333333"/>
          <w:shd w:val="clear" w:color="auto" w:fill="FFFFFF"/>
        </w:rPr>
        <w:t>Postphenomenological</w:t>
      </w:r>
      <w:proofErr w:type="spellEnd"/>
      <w:r w:rsidRPr="00255D34">
        <w:rPr>
          <w:rFonts w:cstheme="minorHAnsi"/>
          <w:color w:val="333333"/>
          <w:shd w:val="clear" w:color="auto" w:fill="FFFFFF"/>
        </w:rPr>
        <w:t xml:space="preserve"> Research</w:t>
      </w:r>
      <w:r>
        <w:rPr>
          <w:rFonts w:cstheme="minorHAnsi"/>
          <w:color w:val="333333"/>
          <w:shd w:val="clear" w:color="auto" w:fill="FFFFFF"/>
        </w:rPr>
        <w:t>’,</w:t>
      </w:r>
      <w:r w:rsidRPr="00255D34">
        <w:rPr>
          <w:rFonts w:cstheme="minorHAnsi"/>
          <w:color w:val="333333"/>
          <w:shd w:val="clear" w:color="auto" w:fill="FFFFFF"/>
        </w:rPr>
        <w:t> </w:t>
      </w:r>
      <w:r w:rsidRPr="00255D34">
        <w:rPr>
          <w:rFonts w:cstheme="minorHAnsi"/>
          <w:i/>
          <w:iCs/>
          <w:color w:val="333333"/>
          <w:shd w:val="clear" w:color="auto" w:fill="FFFFFF"/>
        </w:rPr>
        <w:t>Human Studies</w:t>
      </w:r>
      <w:r w:rsidRPr="00255D34">
        <w:rPr>
          <w:rFonts w:cstheme="minorHAnsi"/>
          <w:color w:val="333333"/>
          <w:shd w:val="clear" w:color="auto" w:fill="FFFFFF"/>
        </w:rPr>
        <w:t xml:space="preserve">, 31 </w:t>
      </w:r>
      <w:r>
        <w:rPr>
          <w:rFonts w:cstheme="minorHAnsi"/>
          <w:color w:val="333333"/>
          <w:shd w:val="clear" w:color="auto" w:fill="FFFFFF"/>
        </w:rPr>
        <w:t>(</w:t>
      </w:r>
      <w:r w:rsidRPr="00255D34">
        <w:rPr>
          <w:rFonts w:cstheme="minorHAnsi"/>
          <w:color w:val="333333"/>
          <w:shd w:val="clear" w:color="auto" w:fill="FFFFFF"/>
        </w:rPr>
        <w:t>2008</w:t>
      </w:r>
      <w:r>
        <w:rPr>
          <w:rFonts w:cstheme="minorHAnsi"/>
          <w:color w:val="333333"/>
          <w:shd w:val="clear" w:color="auto" w:fill="FFFFFF"/>
        </w:rPr>
        <w:t>), N</w:t>
      </w:r>
      <w:r w:rsidRPr="00255D34">
        <w:rPr>
          <w:rFonts w:cstheme="minorHAnsi"/>
          <w:color w:val="333333"/>
          <w:shd w:val="clear" w:color="auto" w:fill="FFFFFF"/>
        </w:rPr>
        <w:t>o. 1,</w:t>
      </w:r>
      <w:r>
        <w:rPr>
          <w:rFonts w:cstheme="minorHAnsi"/>
          <w:color w:val="333333"/>
          <w:shd w:val="clear" w:color="auto" w:fill="FFFFFF"/>
        </w:rPr>
        <w:t xml:space="preserve"> </w:t>
      </w:r>
      <w:r w:rsidRPr="00255D34">
        <w:rPr>
          <w:rFonts w:cstheme="minorHAnsi"/>
          <w:color w:val="333333"/>
          <w:shd w:val="clear" w:color="auto" w:fill="FFFFFF"/>
        </w:rPr>
        <w:t>1–9</w:t>
      </w:r>
      <w:r>
        <w:rPr>
          <w:rFonts w:cstheme="minorHAnsi"/>
          <w:color w:val="333333"/>
          <w:shd w:val="clear" w:color="auto" w:fill="FFFFFF"/>
        </w:rPr>
        <w:t>.</w:t>
      </w:r>
      <w:r w:rsidRPr="00807DAB">
        <w:rPr>
          <w:rFonts w:cstheme="minorHAnsi"/>
          <w:color w:val="333333"/>
          <w:shd w:val="clear" w:color="auto" w:fill="FFFFFF"/>
        </w:rPr>
        <w:t> pp. 6-7</w:t>
      </w:r>
    </w:p>
  </w:footnote>
  <w:footnote w:id="33">
    <w:p w:rsidR="00AF144E" w:rsidRPr="00255D34" w:rsidRDefault="00AF144E" w:rsidP="00AF144E">
      <w:pPr>
        <w:pStyle w:val="FootnoteText"/>
        <w:rPr>
          <w:rFonts w:cstheme="minorHAnsi"/>
        </w:rPr>
      </w:pPr>
      <w:r w:rsidRPr="00255D34">
        <w:rPr>
          <w:rStyle w:val="FootnoteReference"/>
          <w:rFonts w:cstheme="minorHAnsi"/>
        </w:rPr>
        <w:footnoteRef/>
      </w:r>
      <w:r w:rsidRPr="00255D34">
        <w:rPr>
          <w:rFonts w:cstheme="minorHAnsi"/>
        </w:rPr>
        <w:t xml:space="preserve"> </w:t>
      </w:r>
      <w:r>
        <w:t xml:space="preserve">Greene, </w:t>
      </w:r>
      <w:r w:rsidRPr="00E501D3">
        <w:rPr>
          <w:i/>
          <w:iCs/>
        </w:rPr>
        <w:t>Fabric</w:t>
      </w:r>
      <w:r>
        <w:rPr>
          <w:rFonts w:cstheme="minorHAnsi"/>
        </w:rPr>
        <w:t xml:space="preserve">, </w:t>
      </w:r>
      <w:r w:rsidRPr="00255D34">
        <w:rPr>
          <w:rFonts w:cstheme="minorHAnsi"/>
        </w:rPr>
        <w:t>p. 16</w:t>
      </w:r>
    </w:p>
  </w:footnote>
  <w:footnote w:id="34">
    <w:p w:rsidR="00AF144E" w:rsidRPr="008F3E40" w:rsidRDefault="00AF144E" w:rsidP="00AF144E">
      <w:pPr>
        <w:pStyle w:val="FootnoteText"/>
      </w:pPr>
      <w:r>
        <w:rPr>
          <w:rStyle w:val="FootnoteReference"/>
        </w:rPr>
        <w:footnoteRef/>
      </w:r>
      <w:r>
        <w:t xml:space="preserve"> </w:t>
      </w:r>
      <w:proofErr w:type="spellStart"/>
      <w:r>
        <w:t>Arnatz</w:t>
      </w:r>
      <w:proofErr w:type="spellEnd"/>
      <w:r>
        <w:t xml:space="preserve">, </w:t>
      </w:r>
      <w:r>
        <w:rPr>
          <w:i/>
          <w:iCs/>
        </w:rPr>
        <w:t>Bleep</w:t>
      </w:r>
      <w:r>
        <w:t>, pp. 56-57</w:t>
      </w:r>
    </w:p>
  </w:footnote>
  <w:footnote w:id="35">
    <w:p w:rsidR="00AF144E" w:rsidRDefault="00AF144E" w:rsidP="00AF144E">
      <w:pPr>
        <w:pStyle w:val="FootnoteText"/>
      </w:pPr>
      <w:r>
        <w:rPr>
          <w:rStyle w:val="FootnoteReference"/>
        </w:rPr>
        <w:footnoteRef/>
      </w:r>
      <w:r>
        <w:t xml:space="preserve"> Greene, </w:t>
      </w:r>
      <w:r w:rsidRPr="00E501D3">
        <w:rPr>
          <w:i/>
          <w:iCs/>
        </w:rPr>
        <w:t>Fabric</w:t>
      </w:r>
      <w:r>
        <w:rPr>
          <w:rFonts w:cstheme="minorHAnsi"/>
        </w:rPr>
        <w:t xml:space="preserve">, </w:t>
      </w:r>
      <w:r w:rsidRPr="00255D34">
        <w:rPr>
          <w:rFonts w:cstheme="minorHAnsi"/>
        </w:rPr>
        <w:t xml:space="preserve">p. </w:t>
      </w:r>
      <w:r>
        <w:rPr>
          <w:rFonts w:cstheme="minorHAnsi"/>
        </w:rPr>
        <w:t>29</w:t>
      </w:r>
      <w:r w:rsidRPr="00255D34">
        <w:rPr>
          <w:rFonts w:cstheme="minorHAnsi"/>
        </w:rPr>
        <w:t>6</w:t>
      </w:r>
    </w:p>
  </w:footnote>
  <w:footnote w:id="36">
    <w:p w:rsidR="00AF144E" w:rsidRDefault="00AF144E" w:rsidP="00AF144E">
      <w:pPr>
        <w:pStyle w:val="FootnoteText"/>
      </w:pPr>
      <w:r w:rsidRPr="00255D34">
        <w:rPr>
          <w:rStyle w:val="FootnoteReference"/>
          <w:rFonts w:cstheme="minorHAnsi"/>
        </w:rPr>
        <w:footnoteRef/>
      </w:r>
      <w:r w:rsidRPr="00255D34">
        <w:rPr>
          <w:rFonts w:cstheme="minorHAnsi"/>
        </w:rPr>
        <w:t xml:space="preserve"> </w:t>
      </w:r>
      <w:r>
        <w:rPr>
          <w:rFonts w:cstheme="minorHAnsi"/>
        </w:rPr>
        <w:t xml:space="preserve">Jeffrey </w:t>
      </w:r>
      <w:proofErr w:type="spellStart"/>
      <w:r>
        <w:rPr>
          <w:rFonts w:cstheme="minorHAnsi"/>
        </w:rPr>
        <w:t>Satinover</w:t>
      </w:r>
      <w:proofErr w:type="spellEnd"/>
      <w:r>
        <w:rPr>
          <w:rFonts w:cstheme="minorHAnsi"/>
        </w:rPr>
        <w:t xml:space="preserve"> cited in </w:t>
      </w:r>
      <w:proofErr w:type="spellStart"/>
      <w:r>
        <w:rPr>
          <w:rFonts w:cstheme="minorHAnsi"/>
        </w:rPr>
        <w:t>Arnatz</w:t>
      </w:r>
      <w:proofErr w:type="spellEnd"/>
      <w:r>
        <w:rPr>
          <w:rFonts w:cstheme="minorHAnsi"/>
        </w:rPr>
        <w:t xml:space="preserve">, </w:t>
      </w:r>
      <w:r>
        <w:rPr>
          <w:rFonts w:cstheme="minorHAnsi"/>
          <w:i/>
          <w:iCs/>
        </w:rPr>
        <w:t xml:space="preserve">Bleep, </w:t>
      </w:r>
      <w:r w:rsidRPr="00255D34">
        <w:rPr>
          <w:rFonts w:cstheme="minorHAnsi"/>
        </w:rPr>
        <w:t>p.</w:t>
      </w:r>
      <w:r>
        <w:rPr>
          <w:rFonts w:cstheme="minorHAnsi"/>
        </w:rPr>
        <w:t xml:space="preserve"> </w:t>
      </w:r>
      <w:r w:rsidRPr="00255D34">
        <w:rPr>
          <w:rFonts w:cstheme="minorHAnsi"/>
        </w:rPr>
        <w:t>37</w:t>
      </w:r>
    </w:p>
  </w:footnote>
  <w:footnote w:id="37">
    <w:p w:rsidR="00AF144E" w:rsidRDefault="00AF144E" w:rsidP="00AF144E">
      <w:pPr>
        <w:pStyle w:val="FootnoteText"/>
      </w:pPr>
      <w:r>
        <w:rPr>
          <w:rStyle w:val="FootnoteReference"/>
        </w:rPr>
        <w:footnoteRef/>
      </w:r>
      <w:r>
        <w:t xml:space="preserve"> </w:t>
      </w:r>
      <w:bookmarkStart w:id="6" w:name="_Hlk27088895"/>
      <w:r>
        <w:t xml:space="preserve">Albert Einstein cited in </w:t>
      </w:r>
      <w:r w:rsidRPr="008F3E40">
        <w:t>"</w:t>
      </w:r>
      <w:hyperlink r:id="rId6" w:history="1">
        <w:r w:rsidRPr="008F3E40">
          <w:rPr>
            <w:rStyle w:val="Hyperlink"/>
          </w:rPr>
          <w:t>What Life Means to Einstein: An Interview by George Sylvester Viereck</w:t>
        </w:r>
      </w:hyperlink>
      <w:r w:rsidRPr="008F3E40">
        <w:t>" in The Saturday Evening Post (October 26</w:t>
      </w:r>
      <w:r>
        <w:t>,</w:t>
      </w:r>
      <w:r w:rsidRPr="008F3E40">
        <w:t xml:space="preserve"> 1929)</w:t>
      </w:r>
      <w:r>
        <w:t xml:space="preserve"> p. 117  </w:t>
      </w:r>
      <w:hyperlink r:id="rId7" w:history="1">
        <w:r w:rsidRPr="00CE449C">
          <w:rPr>
            <w:rStyle w:val="Hyperlink"/>
          </w:rPr>
          <w:t>http://www.saturdayeveningpost.com/wp-content/uploads/satevepost/what_life_means_to_einstein.pdf</w:t>
        </w:r>
      </w:hyperlink>
      <w:r>
        <w:t xml:space="preserve"> [accessed December 10,2019]</w:t>
      </w:r>
      <w:bookmarkEnd w:id="6"/>
    </w:p>
  </w:footnote>
  <w:footnote w:id="38">
    <w:p w:rsidR="00AF144E" w:rsidRPr="00300A10" w:rsidRDefault="00AF144E" w:rsidP="00AF144E">
      <w:pPr>
        <w:pStyle w:val="FootnoteText"/>
      </w:pPr>
      <w:r>
        <w:rPr>
          <w:rStyle w:val="FootnoteReference"/>
        </w:rPr>
        <w:footnoteRef/>
      </w:r>
      <w:r>
        <w:t xml:space="preserve"> Ernest </w:t>
      </w:r>
      <w:proofErr w:type="spellStart"/>
      <w:r>
        <w:t>Sternglass</w:t>
      </w:r>
      <w:proofErr w:type="spellEnd"/>
      <w:r>
        <w:t xml:space="preserve">, </w:t>
      </w:r>
      <w:r>
        <w:rPr>
          <w:i/>
          <w:iCs/>
        </w:rPr>
        <w:t>Before the Big Bang</w:t>
      </w:r>
      <w:r>
        <w:t>, Basic Books, 2001</w:t>
      </w:r>
    </w:p>
  </w:footnote>
  <w:footnote w:id="39">
    <w:p w:rsidR="00AF144E" w:rsidRDefault="00AF144E" w:rsidP="00AF144E">
      <w:pPr>
        <w:pStyle w:val="FootnoteText"/>
      </w:pPr>
      <w:r>
        <w:rPr>
          <w:rStyle w:val="FootnoteReference"/>
        </w:rPr>
        <w:footnoteRef/>
      </w:r>
      <w:r>
        <w:t xml:space="preserve"> Eric Thompson, ‘</w:t>
      </w:r>
      <w:proofErr w:type="spellStart"/>
      <w:r>
        <w:t>Hydrocosmica</w:t>
      </w:r>
      <w:proofErr w:type="spellEnd"/>
      <w:r>
        <w:t>’ vixra.org/abs/1504.0023 [accessed December 4, 2019]</w:t>
      </w:r>
    </w:p>
  </w:footnote>
  <w:footnote w:id="40">
    <w:p w:rsidR="00AF144E" w:rsidRDefault="00AF144E" w:rsidP="00AF144E">
      <w:pPr>
        <w:pStyle w:val="FootnoteText"/>
      </w:pPr>
      <w:r>
        <w:rPr>
          <w:rStyle w:val="FootnoteReference"/>
        </w:rPr>
        <w:footnoteRef/>
      </w:r>
      <w:r>
        <w:t xml:space="preserve"> John </w:t>
      </w:r>
      <w:proofErr w:type="spellStart"/>
      <w:r>
        <w:t>Hagelin</w:t>
      </w:r>
      <w:proofErr w:type="spellEnd"/>
      <w:r>
        <w:t xml:space="preserve">, ‘Consciousness: Down the Rabbit Hole: Entanglement, Space-Time Wormholes and Brain’, Presentation at the Science and Non-Duality Conference, 2014, San Jose, California, </w:t>
      </w:r>
      <w:hyperlink r:id="rId8" w:history="1">
        <w:r>
          <w:rPr>
            <w:rStyle w:val="Hyperlink"/>
          </w:rPr>
          <w:t>https://www.scienceandnonduality.com/video/entanglement-space-time-wormholes-and-the-brain-john-hagelin</w:t>
        </w:r>
      </w:hyperlink>
      <w:r>
        <w:t xml:space="preserve"> [accessed December 9, 2019]</w:t>
      </w:r>
    </w:p>
  </w:footnote>
  <w:footnote w:id="41">
    <w:p w:rsidR="00AF144E" w:rsidRPr="00C9189C" w:rsidRDefault="00AF144E" w:rsidP="00AF144E">
      <w:pPr>
        <w:pStyle w:val="FootnoteText"/>
      </w:pPr>
      <w:r>
        <w:rPr>
          <w:rStyle w:val="FootnoteReference"/>
        </w:rPr>
        <w:footnoteRef/>
      </w:r>
      <w:r>
        <w:t xml:space="preserve"> </w:t>
      </w:r>
      <w:bookmarkStart w:id="7" w:name="_Hlk27088992"/>
      <w:r>
        <w:t xml:space="preserve">George Musser, </w:t>
      </w:r>
      <w:r>
        <w:rPr>
          <w:i/>
          <w:iCs/>
        </w:rPr>
        <w:t xml:space="preserve">Spooky Action at a Distance: The Phenomenon that Reimagines Space and Time- and What It Means for Black Holes, the Big Bang and Theories of Everything </w:t>
      </w:r>
      <w:r w:rsidRPr="00C9189C">
        <w:t>(New York: Scientific American / Farrar, Straus and Giroux, 2015), pp. 56-57.</w:t>
      </w:r>
      <w:bookmarkEnd w:id="7"/>
    </w:p>
  </w:footnote>
  <w:footnote w:id="42">
    <w:p w:rsidR="00AF144E" w:rsidRDefault="00AF144E" w:rsidP="00AF144E">
      <w:pPr>
        <w:pStyle w:val="FootnoteText"/>
      </w:pPr>
      <w:r>
        <w:rPr>
          <w:rStyle w:val="FootnoteReference"/>
        </w:rPr>
        <w:footnoteRef/>
      </w:r>
      <w:r>
        <w:t xml:space="preserve"> Greene,</w:t>
      </w:r>
      <w:r w:rsidRPr="005F2906">
        <w:rPr>
          <w:i/>
          <w:iCs/>
        </w:rPr>
        <w:t xml:space="preserve"> Fabric</w:t>
      </w:r>
      <w:r>
        <w:rPr>
          <w:i/>
          <w:iCs/>
        </w:rPr>
        <w:t>,</w:t>
      </w:r>
      <w:r>
        <w:t xml:space="preserve"> p. 378-412</w:t>
      </w:r>
    </w:p>
  </w:footnote>
  <w:footnote w:id="43">
    <w:p w:rsidR="00AF144E" w:rsidRDefault="00AF144E" w:rsidP="00AF144E">
      <w:pPr>
        <w:pStyle w:val="FootnoteText"/>
      </w:pPr>
      <w:r>
        <w:rPr>
          <w:rStyle w:val="FootnoteReference"/>
        </w:rPr>
        <w:footnoteRef/>
      </w:r>
      <w:r>
        <w:t xml:space="preserve"> Greene,</w:t>
      </w:r>
      <w:r w:rsidRPr="005F2906">
        <w:rPr>
          <w:i/>
          <w:iCs/>
        </w:rPr>
        <w:t xml:space="preserve"> Fabric</w:t>
      </w:r>
      <w:r>
        <w:rPr>
          <w:i/>
          <w:iCs/>
        </w:rPr>
        <w:t>,</w:t>
      </w:r>
      <w:r>
        <w:t xml:space="preserve"> p. 404-412</w:t>
      </w:r>
    </w:p>
  </w:footnote>
  <w:footnote w:id="44">
    <w:p w:rsidR="00AF144E" w:rsidRDefault="00AF144E" w:rsidP="00AF144E">
      <w:pPr>
        <w:pStyle w:val="FootnoteText"/>
      </w:pPr>
      <w:r>
        <w:rPr>
          <w:rStyle w:val="FootnoteReference"/>
        </w:rPr>
        <w:footnoteRef/>
      </w:r>
      <w:r>
        <w:t xml:space="preserve"> Greene,</w:t>
      </w:r>
      <w:r w:rsidRPr="005F2906">
        <w:rPr>
          <w:i/>
          <w:iCs/>
        </w:rPr>
        <w:t xml:space="preserve"> Fabric</w:t>
      </w:r>
      <w:r>
        <w:rPr>
          <w:i/>
          <w:iCs/>
        </w:rPr>
        <w:t>,</w:t>
      </w:r>
      <w:r>
        <w:t xml:space="preserve"> p. 437-469</w:t>
      </w:r>
    </w:p>
  </w:footnote>
  <w:footnote w:id="45">
    <w:p w:rsidR="00AF144E" w:rsidRDefault="00AF144E" w:rsidP="00AF144E">
      <w:pPr>
        <w:pStyle w:val="FootnoteText"/>
      </w:pPr>
      <w:r>
        <w:rPr>
          <w:rStyle w:val="FootnoteReference"/>
        </w:rPr>
        <w:footnoteRef/>
      </w:r>
      <w:r>
        <w:t xml:space="preserve"> Ervin Laszlo, </w:t>
      </w:r>
      <w:r w:rsidRPr="0046399E">
        <w:rPr>
          <w:i/>
          <w:iCs/>
        </w:rPr>
        <w:t>Science and the Akashic Field: An Integral Theory of Everything</w:t>
      </w:r>
      <w:r>
        <w:t xml:space="preserve"> (Rochester, Vermont: Inner Traditions, 2004), p. 112</w:t>
      </w:r>
    </w:p>
  </w:footnote>
  <w:footnote w:id="46">
    <w:p w:rsidR="00AF144E" w:rsidRPr="00EE0E43" w:rsidRDefault="00AF144E" w:rsidP="00AF144E">
      <w:pPr>
        <w:pStyle w:val="FootnoteText"/>
        <w:rPr>
          <w:i/>
          <w:iCs/>
        </w:rPr>
      </w:pPr>
      <w:r>
        <w:rPr>
          <w:rStyle w:val="FootnoteReference"/>
        </w:rPr>
        <w:footnoteRef/>
      </w:r>
      <w:r>
        <w:t xml:space="preserve"> </w:t>
      </w:r>
      <w:proofErr w:type="spellStart"/>
      <w:r>
        <w:t>Arnatz</w:t>
      </w:r>
      <w:proofErr w:type="spellEnd"/>
      <w:r>
        <w:t xml:space="preserve">, </w:t>
      </w:r>
      <w:r>
        <w:rPr>
          <w:i/>
          <w:iCs/>
        </w:rPr>
        <w:t>Bleep</w:t>
      </w:r>
      <w:r w:rsidRPr="00EE0E43">
        <w:t>, p.</w:t>
      </w:r>
      <w:r>
        <w:t xml:space="preserve"> </w:t>
      </w:r>
      <w:r w:rsidRPr="00EE0E43">
        <w:t>103</w:t>
      </w:r>
    </w:p>
  </w:footnote>
  <w:footnote w:id="47">
    <w:p w:rsidR="00AF144E" w:rsidRPr="00315BD4" w:rsidRDefault="00AF144E" w:rsidP="00AF144E">
      <w:pPr>
        <w:pStyle w:val="FootnoteText"/>
        <w:rPr>
          <w:i/>
          <w:iCs/>
        </w:rPr>
      </w:pPr>
      <w:r>
        <w:rPr>
          <w:rStyle w:val="FootnoteReference"/>
        </w:rPr>
        <w:footnoteRef/>
      </w:r>
      <w:r>
        <w:t xml:space="preserve"> Carlos Castaneda, </w:t>
      </w:r>
      <w:r>
        <w:rPr>
          <w:i/>
          <w:iCs/>
        </w:rPr>
        <w:t>The Eagle’s Gift (New York: Simon and Schuster, 1981), pp. 41-45</w:t>
      </w:r>
    </w:p>
  </w:footnote>
  <w:footnote w:id="48">
    <w:p w:rsidR="00AF144E" w:rsidRPr="0086255F" w:rsidRDefault="00AF144E" w:rsidP="00AF144E">
      <w:pPr>
        <w:pStyle w:val="FootnoteText"/>
      </w:pPr>
      <w:r>
        <w:rPr>
          <w:rStyle w:val="FootnoteReference"/>
        </w:rPr>
        <w:footnoteRef/>
      </w:r>
      <w:r>
        <w:t xml:space="preserve"> Giorgio de </w:t>
      </w:r>
      <w:proofErr w:type="spellStart"/>
      <w:r>
        <w:t>Santillana</w:t>
      </w:r>
      <w:proofErr w:type="spellEnd"/>
      <w:r>
        <w:t xml:space="preserve"> and Hertha von </w:t>
      </w:r>
      <w:proofErr w:type="spellStart"/>
      <w:r>
        <w:t>Dechend</w:t>
      </w:r>
      <w:proofErr w:type="spellEnd"/>
      <w:r>
        <w:t xml:space="preserve">, </w:t>
      </w:r>
      <w:r>
        <w:rPr>
          <w:i/>
          <w:iCs/>
        </w:rPr>
        <w:t xml:space="preserve">Hamlet’s Mill </w:t>
      </w:r>
      <w:r>
        <w:t xml:space="preserve">(Boston: David R. </w:t>
      </w:r>
      <w:proofErr w:type="spellStart"/>
      <w:r>
        <w:t>Godine</w:t>
      </w:r>
      <w:proofErr w:type="spellEnd"/>
      <w:r>
        <w:t xml:space="preserve"> Publisher, Inc., 1967) p. 150</w:t>
      </w:r>
    </w:p>
    <w:p w:rsidR="00AF144E" w:rsidRDefault="00AF144E" w:rsidP="00AF144E">
      <w:pPr>
        <w:pStyle w:val="FootnoteText"/>
      </w:pPr>
    </w:p>
  </w:footnote>
  <w:footnote w:id="49">
    <w:p w:rsidR="00AF144E" w:rsidRPr="0086255F" w:rsidRDefault="00AF144E" w:rsidP="00AF144E">
      <w:pPr>
        <w:pStyle w:val="FootnoteText"/>
        <w:rPr>
          <w:i/>
          <w:iCs/>
        </w:rPr>
      </w:pPr>
      <w:r>
        <w:rPr>
          <w:rStyle w:val="FootnoteReference"/>
        </w:rPr>
        <w:footnoteRef/>
      </w:r>
      <w:r>
        <w:t xml:space="preserve"> </w:t>
      </w:r>
      <w:r w:rsidRPr="004168BE">
        <w:t xml:space="preserve">Hesiod, </w:t>
      </w:r>
      <w:r w:rsidRPr="004168BE">
        <w:rPr>
          <w:i/>
          <w:iCs/>
        </w:rPr>
        <w:t xml:space="preserve">Homeric Hymns, Epic Cycle, </w:t>
      </w:r>
      <w:proofErr w:type="spellStart"/>
      <w:r w:rsidRPr="004168BE">
        <w:rPr>
          <w:i/>
          <w:iCs/>
        </w:rPr>
        <w:t>Homerica</w:t>
      </w:r>
      <w:proofErr w:type="spellEnd"/>
      <w:r>
        <w:rPr>
          <w:i/>
          <w:iCs/>
        </w:rPr>
        <w:t>,</w:t>
      </w:r>
      <w:r w:rsidRPr="004168BE">
        <w:rPr>
          <w:i/>
          <w:iCs/>
        </w:rPr>
        <w:t xml:space="preserve"> </w:t>
      </w:r>
      <w:r w:rsidRPr="004168BE">
        <w:t>Translated by Evelyn-White, H G. Loeb Classical Library Volume 57 (London: William Heinemann, 1914)</w:t>
      </w:r>
    </w:p>
  </w:footnote>
  <w:footnote w:id="50">
    <w:p w:rsidR="00AF144E" w:rsidRPr="00315BD4" w:rsidRDefault="00AF144E" w:rsidP="00AF144E">
      <w:pPr>
        <w:pStyle w:val="FootnoteText"/>
      </w:pPr>
      <w:r>
        <w:rPr>
          <w:rStyle w:val="FootnoteReference"/>
        </w:rPr>
        <w:footnoteRef/>
      </w:r>
      <w:r>
        <w:t xml:space="preserve"> Lynne </w:t>
      </w:r>
      <w:proofErr w:type="spellStart"/>
      <w:r>
        <w:t>McTaggert</w:t>
      </w:r>
      <w:proofErr w:type="spellEnd"/>
      <w:r>
        <w:t xml:space="preserve">, cited in </w:t>
      </w:r>
      <w:proofErr w:type="spellStart"/>
      <w:r>
        <w:t>Arnatz</w:t>
      </w:r>
      <w:proofErr w:type="spellEnd"/>
      <w:r>
        <w:t xml:space="preserve">, </w:t>
      </w:r>
      <w:r>
        <w:rPr>
          <w:i/>
          <w:iCs/>
        </w:rPr>
        <w:t>Bleep</w:t>
      </w:r>
      <w:r>
        <w:t>, p. 66</w:t>
      </w:r>
    </w:p>
  </w:footnote>
  <w:footnote w:id="51">
    <w:p w:rsidR="00AF144E" w:rsidRPr="000B61F7" w:rsidRDefault="00AF144E" w:rsidP="00AF144E">
      <w:pPr>
        <w:pStyle w:val="FootnoteText"/>
      </w:pPr>
      <w:r>
        <w:rPr>
          <w:rStyle w:val="FootnoteReference"/>
        </w:rPr>
        <w:footnoteRef/>
      </w:r>
      <w:r>
        <w:t xml:space="preserve"> Lucien Levy-</w:t>
      </w:r>
      <w:proofErr w:type="spellStart"/>
      <w:r>
        <w:t>Br</w:t>
      </w:r>
      <w:r>
        <w:rPr>
          <w:rFonts w:cstheme="minorHAnsi"/>
        </w:rPr>
        <w:t>ȕ</w:t>
      </w:r>
      <w:r>
        <w:t>hl</w:t>
      </w:r>
      <w:proofErr w:type="spellEnd"/>
      <w:r>
        <w:t xml:space="preserve">, </w:t>
      </w:r>
      <w:r>
        <w:rPr>
          <w:i/>
          <w:iCs/>
        </w:rPr>
        <w:t xml:space="preserve">How Natives Think </w:t>
      </w:r>
      <w:r>
        <w:t>(Princeton: Princeton University Press, 1985) pp. 98-99</w:t>
      </w:r>
    </w:p>
  </w:footnote>
  <w:footnote w:id="52">
    <w:p w:rsidR="00AF144E" w:rsidRPr="00B9202C" w:rsidRDefault="00AF144E" w:rsidP="00AF144E">
      <w:pPr>
        <w:pStyle w:val="FootnoteText"/>
        <w:rPr>
          <w:lang w:val="de-DE"/>
        </w:rPr>
      </w:pPr>
      <w:r>
        <w:rPr>
          <w:rStyle w:val="FootnoteReference"/>
        </w:rPr>
        <w:footnoteRef/>
      </w:r>
      <w:r w:rsidRPr="00B9202C">
        <w:rPr>
          <w:lang w:val="de-DE"/>
        </w:rPr>
        <w:t xml:space="preserve"> </w:t>
      </w:r>
      <w:r w:rsidRPr="00B9202C">
        <w:rPr>
          <w:lang w:val="de-DE"/>
        </w:rPr>
        <w:t xml:space="preserve">Albert Einstein cited in Arnatz, </w:t>
      </w:r>
      <w:r w:rsidRPr="00B9202C">
        <w:rPr>
          <w:i/>
          <w:iCs/>
          <w:lang w:val="de-DE"/>
        </w:rPr>
        <w:t>Bleep</w:t>
      </w:r>
      <w:r w:rsidRPr="00B9202C">
        <w:rPr>
          <w:lang w:val="de-DE"/>
        </w:rPr>
        <w:t>, p. 5</w:t>
      </w:r>
      <w:r>
        <w:rPr>
          <w:lang w:val="de-DE"/>
        </w:rPr>
        <w:t>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7C5"/>
    <w:rsid w:val="00036B41"/>
    <w:rsid w:val="00037E13"/>
    <w:rsid w:val="00055AC5"/>
    <w:rsid w:val="000644FB"/>
    <w:rsid w:val="0008112E"/>
    <w:rsid w:val="0008141C"/>
    <w:rsid w:val="00090BA4"/>
    <w:rsid w:val="000B2501"/>
    <w:rsid w:val="000B61F7"/>
    <w:rsid w:val="000B780F"/>
    <w:rsid w:val="000E0E4F"/>
    <w:rsid w:val="000F0BC0"/>
    <w:rsid w:val="00106D23"/>
    <w:rsid w:val="00116DD4"/>
    <w:rsid w:val="00136A5B"/>
    <w:rsid w:val="0015670E"/>
    <w:rsid w:val="00167C35"/>
    <w:rsid w:val="001718E1"/>
    <w:rsid w:val="001746A7"/>
    <w:rsid w:val="00182D72"/>
    <w:rsid w:val="001A2CA3"/>
    <w:rsid w:val="001A5B52"/>
    <w:rsid w:val="001A644E"/>
    <w:rsid w:val="001B73A4"/>
    <w:rsid w:val="001C59D6"/>
    <w:rsid w:val="001F0B8B"/>
    <w:rsid w:val="001F40CA"/>
    <w:rsid w:val="002357F8"/>
    <w:rsid w:val="00245160"/>
    <w:rsid w:val="00247274"/>
    <w:rsid w:val="00247C01"/>
    <w:rsid w:val="00255D34"/>
    <w:rsid w:val="00257080"/>
    <w:rsid w:val="00260395"/>
    <w:rsid w:val="00275995"/>
    <w:rsid w:val="002770D2"/>
    <w:rsid w:val="00295EA9"/>
    <w:rsid w:val="002B3796"/>
    <w:rsid w:val="002C34D6"/>
    <w:rsid w:val="002C362D"/>
    <w:rsid w:val="002C41E6"/>
    <w:rsid w:val="00300A10"/>
    <w:rsid w:val="003327B9"/>
    <w:rsid w:val="00344101"/>
    <w:rsid w:val="00360FE2"/>
    <w:rsid w:val="00371427"/>
    <w:rsid w:val="00384CB3"/>
    <w:rsid w:val="003A24CB"/>
    <w:rsid w:val="003B206C"/>
    <w:rsid w:val="003B3A3A"/>
    <w:rsid w:val="003C29D2"/>
    <w:rsid w:val="003C2EA0"/>
    <w:rsid w:val="003E0EEC"/>
    <w:rsid w:val="003E5EA1"/>
    <w:rsid w:val="003E7882"/>
    <w:rsid w:val="00427C46"/>
    <w:rsid w:val="0046399E"/>
    <w:rsid w:val="00465F2C"/>
    <w:rsid w:val="00486394"/>
    <w:rsid w:val="004944B4"/>
    <w:rsid w:val="004968B7"/>
    <w:rsid w:val="004B107C"/>
    <w:rsid w:val="004B1BDB"/>
    <w:rsid w:val="004B1FB7"/>
    <w:rsid w:val="004B3ACB"/>
    <w:rsid w:val="004D35D1"/>
    <w:rsid w:val="004D3E56"/>
    <w:rsid w:val="004D5EE7"/>
    <w:rsid w:val="004E326B"/>
    <w:rsid w:val="004E43EA"/>
    <w:rsid w:val="004E475F"/>
    <w:rsid w:val="005219EE"/>
    <w:rsid w:val="00545314"/>
    <w:rsid w:val="00546BB6"/>
    <w:rsid w:val="00550536"/>
    <w:rsid w:val="00560785"/>
    <w:rsid w:val="00577A9C"/>
    <w:rsid w:val="0059330F"/>
    <w:rsid w:val="005955E6"/>
    <w:rsid w:val="00596A92"/>
    <w:rsid w:val="005A0136"/>
    <w:rsid w:val="005A7A26"/>
    <w:rsid w:val="005D37DF"/>
    <w:rsid w:val="005F2906"/>
    <w:rsid w:val="00603821"/>
    <w:rsid w:val="0061504D"/>
    <w:rsid w:val="0062162B"/>
    <w:rsid w:val="0063518F"/>
    <w:rsid w:val="00636569"/>
    <w:rsid w:val="00654092"/>
    <w:rsid w:val="00656EFA"/>
    <w:rsid w:val="00663F6E"/>
    <w:rsid w:val="006752FB"/>
    <w:rsid w:val="00676C67"/>
    <w:rsid w:val="00677E0C"/>
    <w:rsid w:val="006A6BEA"/>
    <w:rsid w:val="006B3C6D"/>
    <w:rsid w:val="006D12AC"/>
    <w:rsid w:val="00706BF0"/>
    <w:rsid w:val="00723CE7"/>
    <w:rsid w:val="007461E4"/>
    <w:rsid w:val="007916DE"/>
    <w:rsid w:val="007A3680"/>
    <w:rsid w:val="007C17FE"/>
    <w:rsid w:val="007D412D"/>
    <w:rsid w:val="007E0C8D"/>
    <w:rsid w:val="007F1CE1"/>
    <w:rsid w:val="0081406F"/>
    <w:rsid w:val="008151C5"/>
    <w:rsid w:val="008163AB"/>
    <w:rsid w:val="00826EDA"/>
    <w:rsid w:val="00827F00"/>
    <w:rsid w:val="00842DFD"/>
    <w:rsid w:val="00852429"/>
    <w:rsid w:val="008525D3"/>
    <w:rsid w:val="0085667C"/>
    <w:rsid w:val="0086255F"/>
    <w:rsid w:val="008753E4"/>
    <w:rsid w:val="00896815"/>
    <w:rsid w:val="008A0ABC"/>
    <w:rsid w:val="008B0DA2"/>
    <w:rsid w:val="008B2774"/>
    <w:rsid w:val="008B7F73"/>
    <w:rsid w:val="008C06E3"/>
    <w:rsid w:val="008C37C9"/>
    <w:rsid w:val="008F6841"/>
    <w:rsid w:val="00912373"/>
    <w:rsid w:val="00956951"/>
    <w:rsid w:val="00960608"/>
    <w:rsid w:val="009645BD"/>
    <w:rsid w:val="00973D55"/>
    <w:rsid w:val="00977B2C"/>
    <w:rsid w:val="00984DB7"/>
    <w:rsid w:val="00984F08"/>
    <w:rsid w:val="00987C7C"/>
    <w:rsid w:val="00996EDB"/>
    <w:rsid w:val="009B5268"/>
    <w:rsid w:val="009F0D62"/>
    <w:rsid w:val="009F5E53"/>
    <w:rsid w:val="009F7703"/>
    <w:rsid w:val="00A01C4C"/>
    <w:rsid w:val="00A03DF9"/>
    <w:rsid w:val="00A24F54"/>
    <w:rsid w:val="00A25B8F"/>
    <w:rsid w:val="00A320AF"/>
    <w:rsid w:val="00A5314D"/>
    <w:rsid w:val="00A83026"/>
    <w:rsid w:val="00A86F57"/>
    <w:rsid w:val="00A964A8"/>
    <w:rsid w:val="00AA2807"/>
    <w:rsid w:val="00AA7658"/>
    <w:rsid w:val="00AB059F"/>
    <w:rsid w:val="00AB1026"/>
    <w:rsid w:val="00AC50FF"/>
    <w:rsid w:val="00AD2BC5"/>
    <w:rsid w:val="00AD4D57"/>
    <w:rsid w:val="00AE3E12"/>
    <w:rsid w:val="00AE6C81"/>
    <w:rsid w:val="00AF144E"/>
    <w:rsid w:val="00B156E7"/>
    <w:rsid w:val="00B162F4"/>
    <w:rsid w:val="00B52BD3"/>
    <w:rsid w:val="00B563C8"/>
    <w:rsid w:val="00B628B7"/>
    <w:rsid w:val="00B70291"/>
    <w:rsid w:val="00B818ED"/>
    <w:rsid w:val="00B85027"/>
    <w:rsid w:val="00BC17C5"/>
    <w:rsid w:val="00BD02B9"/>
    <w:rsid w:val="00BD51A5"/>
    <w:rsid w:val="00BE7A97"/>
    <w:rsid w:val="00BF0A4B"/>
    <w:rsid w:val="00C015B9"/>
    <w:rsid w:val="00C03668"/>
    <w:rsid w:val="00C37AC2"/>
    <w:rsid w:val="00C56B90"/>
    <w:rsid w:val="00C809C8"/>
    <w:rsid w:val="00C85DFF"/>
    <w:rsid w:val="00C86158"/>
    <w:rsid w:val="00C95969"/>
    <w:rsid w:val="00CA1098"/>
    <w:rsid w:val="00CE11B5"/>
    <w:rsid w:val="00D134F8"/>
    <w:rsid w:val="00D17782"/>
    <w:rsid w:val="00D40077"/>
    <w:rsid w:val="00D56C96"/>
    <w:rsid w:val="00D57C97"/>
    <w:rsid w:val="00D62B4D"/>
    <w:rsid w:val="00D75414"/>
    <w:rsid w:val="00D8206D"/>
    <w:rsid w:val="00D90AF1"/>
    <w:rsid w:val="00DD0BD7"/>
    <w:rsid w:val="00DE622E"/>
    <w:rsid w:val="00DF51F8"/>
    <w:rsid w:val="00DF5258"/>
    <w:rsid w:val="00E05DE5"/>
    <w:rsid w:val="00E242E4"/>
    <w:rsid w:val="00E501D3"/>
    <w:rsid w:val="00EA21EF"/>
    <w:rsid w:val="00EA5B0F"/>
    <w:rsid w:val="00EC4888"/>
    <w:rsid w:val="00ED6045"/>
    <w:rsid w:val="00EE0E43"/>
    <w:rsid w:val="00F0682B"/>
    <w:rsid w:val="00F20A2B"/>
    <w:rsid w:val="00F33F33"/>
    <w:rsid w:val="00F414BF"/>
    <w:rsid w:val="00F65EEB"/>
    <w:rsid w:val="00F72F3F"/>
    <w:rsid w:val="00F74587"/>
    <w:rsid w:val="00F94E2D"/>
    <w:rsid w:val="00FA31E5"/>
    <w:rsid w:val="00FC764A"/>
    <w:rsid w:val="00FE7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BF96A"/>
  <w15:chartTrackingRefBased/>
  <w15:docId w15:val="{D3638608-AAE8-41DC-AF82-098050E4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2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7C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72F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E0E4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72F3F"/>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427C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C46"/>
  </w:style>
  <w:style w:type="paragraph" w:styleId="Footer">
    <w:name w:val="footer"/>
    <w:basedOn w:val="Normal"/>
    <w:link w:val="FooterChar"/>
    <w:uiPriority w:val="99"/>
    <w:unhideWhenUsed/>
    <w:rsid w:val="00427C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C46"/>
  </w:style>
  <w:style w:type="character" w:customStyle="1" w:styleId="Heading1Char">
    <w:name w:val="Heading 1 Char"/>
    <w:basedOn w:val="DefaultParagraphFont"/>
    <w:link w:val="Heading1"/>
    <w:uiPriority w:val="9"/>
    <w:rsid w:val="004E326B"/>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C861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6158"/>
    <w:rPr>
      <w:sz w:val="20"/>
      <w:szCs w:val="20"/>
    </w:rPr>
  </w:style>
  <w:style w:type="character" w:styleId="FootnoteReference">
    <w:name w:val="footnote reference"/>
    <w:basedOn w:val="DefaultParagraphFont"/>
    <w:uiPriority w:val="99"/>
    <w:semiHidden/>
    <w:unhideWhenUsed/>
    <w:rsid w:val="00C86158"/>
    <w:rPr>
      <w:vertAlign w:val="superscript"/>
    </w:rPr>
  </w:style>
  <w:style w:type="character" w:styleId="Hyperlink">
    <w:name w:val="Hyperlink"/>
    <w:basedOn w:val="DefaultParagraphFont"/>
    <w:uiPriority w:val="99"/>
    <w:unhideWhenUsed/>
    <w:rsid w:val="00AE3E12"/>
    <w:rPr>
      <w:color w:val="0000FF"/>
      <w:u w:val="single"/>
    </w:rPr>
  </w:style>
  <w:style w:type="character" w:customStyle="1" w:styleId="s3uucc">
    <w:name w:val="s3uucc"/>
    <w:basedOn w:val="DefaultParagraphFont"/>
    <w:rsid w:val="00AE3E12"/>
  </w:style>
  <w:style w:type="character" w:styleId="HTMLCite">
    <w:name w:val="HTML Cite"/>
    <w:basedOn w:val="DefaultParagraphFont"/>
    <w:uiPriority w:val="99"/>
    <w:semiHidden/>
    <w:unhideWhenUsed/>
    <w:rsid w:val="00AE3E12"/>
    <w:rPr>
      <w:i/>
      <w:iCs/>
    </w:rPr>
  </w:style>
  <w:style w:type="character" w:styleId="UnresolvedMention">
    <w:name w:val="Unresolved Mention"/>
    <w:basedOn w:val="DefaultParagraphFont"/>
    <w:uiPriority w:val="99"/>
    <w:semiHidden/>
    <w:unhideWhenUsed/>
    <w:rsid w:val="00AE3E12"/>
    <w:rPr>
      <w:color w:val="605E5C"/>
      <w:shd w:val="clear" w:color="auto" w:fill="E1DFDD"/>
    </w:rPr>
  </w:style>
  <w:style w:type="character" w:customStyle="1" w:styleId="Heading2Char">
    <w:name w:val="Heading 2 Char"/>
    <w:basedOn w:val="DefaultParagraphFont"/>
    <w:link w:val="Heading2"/>
    <w:uiPriority w:val="9"/>
    <w:rsid w:val="00167C35"/>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AD4D57"/>
    <w:rPr>
      <w:i/>
      <w:iCs/>
    </w:rPr>
  </w:style>
  <w:style w:type="character" w:customStyle="1" w:styleId="Heading4Char">
    <w:name w:val="Heading 4 Char"/>
    <w:basedOn w:val="DefaultParagraphFont"/>
    <w:link w:val="Heading4"/>
    <w:uiPriority w:val="9"/>
    <w:rsid w:val="000E0E4F"/>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D17782"/>
    <w:rPr>
      <w:color w:val="954F72" w:themeColor="followedHyperlink"/>
      <w:u w:val="single"/>
    </w:rPr>
  </w:style>
  <w:style w:type="paragraph" w:styleId="NormalWeb">
    <w:name w:val="Normal (Web)"/>
    <w:basedOn w:val="Normal"/>
    <w:rsid w:val="00371427"/>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73462">
      <w:bodyDiv w:val="1"/>
      <w:marLeft w:val="0"/>
      <w:marRight w:val="0"/>
      <w:marTop w:val="0"/>
      <w:marBottom w:val="0"/>
      <w:divBdr>
        <w:top w:val="none" w:sz="0" w:space="0" w:color="auto"/>
        <w:left w:val="none" w:sz="0" w:space="0" w:color="auto"/>
        <w:bottom w:val="none" w:sz="0" w:space="0" w:color="auto"/>
        <w:right w:val="none" w:sz="0" w:space="0" w:color="auto"/>
      </w:divBdr>
      <w:divsChild>
        <w:div w:id="73747021">
          <w:marLeft w:val="0"/>
          <w:marRight w:val="0"/>
          <w:marTop w:val="0"/>
          <w:marBottom w:val="0"/>
          <w:divBdr>
            <w:top w:val="none" w:sz="0" w:space="0" w:color="auto"/>
            <w:left w:val="none" w:sz="0" w:space="0" w:color="auto"/>
            <w:bottom w:val="none" w:sz="0" w:space="0" w:color="auto"/>
            <w:right w:val="none" w:sz="0" w:space="0" w:color="auto"/>
          </w:divBdr>
        </w:div>
      </w:divsChild>
    </w:div>
    <w:div w:id="202539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turdayeveningpost.com/wp-content/uploads/satevepost/what_life_means_to_einstein.pdf" TargetMode="External"/><Relationship Id="rId13" Type="http://schemas.openxmlformats.org/officeDocument/2006/relationships/hyperlink" Target="https://dictionary.cambridge.org/us/dictionary/english/cosmolog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physics.ucsc.edu/cosmo/primack_abrams/COSMO.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93/jos/ffh02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andnonduality.com/video/entanglement-space-time-wormholes-and-the-brain-john-hagelin" TargetMode="External"/><Relationship Id="rId4" Type="http://schemas.openxmlformats.org/officeDocument/2006/relationships/webSettings" Target="webSettings.xml"/><Relationship Id="rId9" Type="http://schemas.openxmlformats.org/officeDocument/2006/relationships/hyperlink" Target="http://www.saturdayeveningpost.com/wp-content/uploads/satevepost/what_life_means_to_einstein.pdf" TargetMode="External"/><Relationship Id="rId14" Type="http://schemas.openxmlformats.org/officeDocument/2006/relationships/hyperlink" Target="https://map.gsfc.nasa.gov/univers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cienceandnonduality.com/video/entanglement-space-time-wormholes-and-the-brain-john-hagelin" TargetMode="External"/><Relationship Id="rId3" Type="http://schemas.openxmlformats.org/officeDocument/2006/relationships/hyperlink" Target="http://physics.ucsc.edu/cosmo/primack_abrams/COSMO.HTM" TargetMode="External"/><Relationship Id="rId7" Type="http://schemas.openxmlformats.org/officeDocument/2006/relationships/hyperlink" Target="http://www.saturdayeveningpost.com/wp-content/uploads/satevepost/what_life_means_to_einstein.pdf" TargetMode="External"/><Relationship Id="rId2" Type="http://schemas.openxmlformats.org/officeDocument/2006/relationships/hyperlink" Target="https://map.gsfc.nasa.gov/universe/" TargetMode="External"/><Relationship Id="rId1" Type="http://schemas.openxmlformats.org/officeDocument/2006/relationships/hyperlink" Target="https://dictionary.cambridge.org/us/dictionary/english/cosmology" TargetMode="External"/><Relationship Id="rId6" Type="http://schemas.openxmlformats.org/officeDocument/2006/relationships/hyperlink" Target="http://www.saturdayeveningpost.com/wp-content/uploads/satevepost/what_life_means_to_einstein.pdf" TargetMode="External"/><Relationship Id="rId5" Type="http://schemas.openxmlformats.org/officeDocument/2006/relationships/hyperlink" Target="https://www.physicsforums.com/threads/how-many-people-actually-understand-qm.165443/" TargetMode="External"/><Relationship Id="rId4" Type="http://schemas.openxmlformats.org/officeDocument/2006/relationships/hyperlink" Target="https://doi.org/10.1093/jos/ffh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489BCE5-0B3B-4884-890A-D1DAF8EB4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4750</Words>
  <Characters>27076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dc:creator>
  <cp:keywords/>
  <dc:description/>
  <cp:lastModifiedBy>Bambi Steiner (1811470)</cp:lastModifiedBy>
  <cp:revision>6</cp:revision>
  <dcterms:created xsi:type="dcterms:W3CDTF">2019-12-09T23:27:00Z</dcterms:created>
  <dcterms:modified xsi:type="dcterms:W3CDTF">2019-12-13T07:31:00Z</dcterms:modified>
</cp:coreProperties>
</file>