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43BCD9" w14:textId="291F2187" w:rsidR="005B544D" w:rsidRDefault="00AC41AB">
      <w:r>
        <w:t>Practice Question: Registered Land</w:t>
      </w:r>
    </w:p>
    <w:p w14:paraId="2A561268" w14:textId="430CFBDE" w:rsidR="00AC41AB" w:rsidRDefault="00AC41AB"/>
    <w:p w14:paraId="31F9F354" w14:textId="77777777" w:rsidR="00AC41AB" w:rsidRDefault="00AC41AB" w:rsidP="00AC41AB">
      <w:pPr>
        <w:pStyle w:val="NormalWeb"/>
      </w:pPr>
      <w:r>
        <w:rPr>
          <w:rFonts w:ascii="Verdana" w:hAnsi="Verdana"/>
          <w:sz w:val="22"/>
          <w:szCs w:val="22"/>
        </w:rPr>
        <w:t xml:space="preserve">Critically assess to what extent the Land Registration Act 2002 has achieved </w:t>
      </w:r>
    </w:p>
    <w:p w14:paraId="5CF8B2C8" w14:textId="77777777" w:rsidR="00AC41AB" w:rsidRDefault="00AC41AB" w:rsidP="00AC41AB">
      <w:pPr>
        <w:pStyle w:val="NormalWeb"/>
      </w:pPr>
      <w:r>
        <w:rPr>
          <w:rFonts w:ascii="Verdana" w:hAnsi="Verdana"/>
          <w:sz w:val="22"/>
          <w:szCs w:val="22"/>
        </w:rPr>
        <w:t xml:space="preserve">its aim of a ‘mirror principle’. </w:t>
      </w:r>
    </w:p>
    <w:p w14:paraId="6427568D" w14:textId="5D372B1C" w:rsidR="00AC41AB" w:rsidRDefault="00AC41AB">
      <w:r>
        <w:t>25 Marks</w:t>
      </w:r>
    </w:p>
    <w:p w14:paraId="287DAACA" w14:textId="780DC426" w:rsidR="00AC41AB" w:rsidRDefault="00AC41AB"/>
    <w:p w14:paraId="543E3BAB" w14:textId="2671FD67" w:rsidR="00AC41AB" w:rsidRPr="00AC41AB" w:rsidRDefault="00AC41AB" w:rsidP="00AC41AB">
      <w:pPr>
        <w:shd w:val="clear" w:color="auto" w:fill="F9E2D3"/>
        <w:spacing w:before="100" w:beforeAutospacing="1" w:after="100" w:afterAutospacing="1"/>
        <w:rPr>
          <w:rFonts w:ascii="Times New Roman" w:eastAsia="Times New Roman" w:hAnsi="Times New Roman" w:cs="Times New Roman"/>
          <w:lang w:eastAsia="en-GB"/>
        </w:rPr>
      </w:pPr>
      <w:r w:rsidRPr="00AC41AB">
        <w:rPr>
          <w:rFonts w:ascii="Verdana" w:eastAsia="Times New Roman" w:hAnsi="Verdana" w:cs="Times New Roman"/>
          <w:sz w:val="22"/>
          <w:szCs w:val="22"/>
          <w:lang w:eastAsia="en-GB"/>
        </w:rPr>
        <w:t>The concept of creating a central register of land in England and Wales is far from a recent invention, dating back at least as far as Oliver Cromwell and arguably presaged even earlier by, for example, the Domesday Book. However, all attempts to create such a system prior to the 21</w:t>
      </w:r>
      <w:proofErr w:type="spellStart"/>
      <w:r w:rsidRPr="00AC41AB">
        <w:rPr>
          <w:rFonts w:ascii="Verdana" w:eastAsia="Times New Roman" w:hAnsi="Verdana" w:cs="Times New Roman"/>
          <w:position w:val="8"/>
          <w:sz w:val="14"/>
          <w:szCs w:val="14"/>
          <w:lang w:eastAsia="en-GB"/>
        </w:rPr>
        <w:t>st</w:t>
      </w:r>
      <w:proofErr w:type="spellEnd"/>
      <w:r w:rsidRPr="00AC41AB">
        <w:rPr>
          <w:rFonts w:ascii="Verdana" w:eastAsia="Times New Roman" w:hAnsi="Verdana" w:cs="Times New Roman"/>
          <w:position w:val="8"/>
          <w:sz w:val="14"/>
          <w:szCs w:val="14"/>
          <w:lang w:eastAsia="en-GB"/>
        </w:rPr>
        <w:t xml:space="preserve"> </w:t>
      </w:r>
      <w:r w:rsidRPr="00AC41AB">
        <w:rPr>
          <w:rFonts w:ascii="Verdana" w:eastAsia="Times New Roman" w:hAnsi="Verdana" w:cs="Times New Roman"/>
          <w:sz w:val="22"/>
          <w:szCs w:val="22"/>
          <w:lang w:eastAsia="en-GB"/>
        </w:rPr>
        <w:t xml:space="preserve">century were limited by either or both their geographical scope and/or the reliance on land owners to voluntarily register their property. </w:t>
      </w:r>
    </w:p>
    <w:p w14:paraId="7283F88B" w14:textId="77777777" w:rsidR="00AC41AB" w:rsidRPr="00AC41AB" w:rsidRDefault="00AC41AB" w:rsidP="00AC41AB">
      <w:pPr>
        <w:shd w:val="clear" w:color="auto" w:fill="F9E2D3"/>
        <w:spacing w:before="100" w:beforeAutospacing="1" w:after="100" w:afterAutospacing="1"/>
        <w:rPr>
          <w:rFonts w:ascii="Times New Roman" w:eastAsia="Times New Roman" w:hAnsi="Times New Roman" w:cs="Times New Roman"/>
          <w:lang w:eastAsia="en-GB"/>
        </w:rPr>
      </w:pPr>
      <w:r w:rsidRPr="00AC41AB">
        <w:rPr>
          <w:rFonts w:ascii="Verdana" w:eastAsia="Times New Roman" w:hAnsi="Verdana" w:cs="Times New Roman"/>
          <w:sz w:val="22"/>
          <w:szCs w:val="22"/>
          <w:lang w:eastAsia="en-GB"/>
        </w:rPr>
        <w:t xml:space="preserve">This changed with the introduction of the Land Registration Act 1925, which was subsequently replaced by the Land Registration Act (LRA) 2002, which sought to finally establish a system of registered land which would take effect across England and Wales, with the eventual goal of comprehensively including all land therein. The LRA 2002 is founded upon three key principles: the mirror, curtain and indemnity principles. The mirror principle states that the Land Register should be an exact mirror of the rights and interests which exist within or over each piece of land. This is partially limited by the curtain principle, which seeks to keep beneficial interests under a trust behind a curtain and thus off the register. The indemnity principle states that the state guarantees the accuracy of registered title and will pay compensation for errors and inaccuracies. </w:t>
      </w:r>
    </w:p>
    <w:p w14:paraId="4BE2DC24" w14:textId="77777777" w:rsidR="00AC41AB" w:rsidRPr="00AC41AB" w:rsidRDefault="00AC41AB" w:rsidP="00AC41AB">
      <w:pPr>
        <w:shd w:val="clear" w:color="auto" w:fill="F9E2D3"/>
        <w:spacing w:before="100" w:beforeAutospacing="1" w:after="100" w:afterAutospacing="1"/>
        <w:rPr>
          <w:rFonts w:ascii="Times New Roman" w:eastAsia="Times New Roman" w:hAnsi="Times New Roman" w:cs="Times New Roman"/>
          <w:lang w:eastAsia="en-GB"/>
        </w:rPr>
      </w:pPr>
      <w:r w:rsidRPr="00AC41AB">
        <w:rPr>
          <w:rFonts w:ascii="Verdana" w:eastAsia="Times New Roman" w:hAnsi="Verdana" w:cs="Times New Roman"/>
          <w:sz w:val="22"/>
          <w:szCs w:val="22"/>
          <w:lang w:eastAsia="en-GB"/>
        </w:rPr>
        <w:t xml:space="preserve">In order for the mirror principle to be met, both the land itself and the interests in or over it must be registered. In order to achieve the former, the LRA 2002 has combined a system of voluntary registration (see s3 of the Act) with a system of compulsory registration when certain ‘triggers’ require it. These triggers are set out in s4 of the Act and include the transfer of the freehold estate, the grant of a legal lease over seven years and the creation of a first legal mortgage. </w:t>
      </w:r>
    </w:p>
    <w:p w14:paraId="59241D6E" w14:textId="77777777" w:rsidR="00AC41AB" w:rsidRPr="00AC41AB" w:rsidRDefault="00AC41AB" w:rsidP="00AC41AB">
      <w:pPr>
        <w:shd w:val="clear" w:color="auto" w:fill="F9E2D3"/>
        <w:spacing w:before="100" w:beforeAutospacing="1" w:after="100" w:afterAutospacing="1"/>
        <w:rPr>
          <w:rFonts w:ascii="Times New Roman" w:eastAsia="Times New Roman" w:hAnsi="Times New Roman" w:cs="Times New Roman"/>
          <w:lang w:eastAsia="en-GB"/>
        </w:rPr>
      </w:pPr>
      <w:r w:rsidRPr="00AC41AB">
        <w:rPr>
          <w:rFonts w:ascii="Verdana" w:eastAsia="Times New Roman" w:hAnsi="Verdana" w:cs="Times New Roman"/>
          <w:sz w:val="22"/>
          <w:szCs w:val="22"/>
          <w:lang w:eastAsia="en-GB"/>
        </w:rPr>
        <w:t xml:space="preserve">Once the land itself is registered, it is then governed by the further provisions of the LRA 2002 and particularly by ss27-30 which concern interests in the land. Under s27 a wide range of interests must now be registered on creation, in order to have legal effect. These include leases of more than seven years, future leases of any duration, legal easements and legal mortgages. It should be noted that, while at present such interests may take effect at equity if not registered, this will not be relevant once e-conveyancing is fully implemented, as creation and registration will then be simultaneous. </w:t>
      </w:r>
    </w:p>
    <w:p w14:paraId="5989E252" w14:textId="77777777" w:rsidR="00AC41AB" w:rsidRPr="00AC41AB" w:rsidRDefault="00AC41AB" w:rsidP="00AC41AB">
      <w:pPr>
        <w:shd w:val="clear" w:color="auto" w:fill="F9E2D3"/>
        <w:spacing w:before="100" w:beforeAutospacing="1" w:after="100" w:afterAutospacing="1"/>
        <w:rPr>
          <w:rFonts w:ascii="Times New Roman" w:eastAsia="Times New Roman" w:hAnsi="Times New Roman" w:cs="Times New Roman"/>
          <w:lang w:eastAsia="en-GB"/>
        </w:rPr>
      </w:pPr>
      <w:r w:rsidRPr="00AC41AB">
        <w:rPr>
          <w:rFonts w:ascii="Verdana" w:eastAsia="Times New Roman" w:hAnsi="Verdana" w:cs="Times New Roman"/>
          <w:sz w:val="22"/>
          <w:szCs w:val="22"/>
          <w:lang w:eastAsia="en-GB"/>
        </w:rPr>
        <w:t xml:space="preserve">Under ss28-30 of the LRA 2002, it is clear that when an estate is transferred in exchange for valuable consideration, interests will take effect in the priority in which they were registered, rather than created. Thus, the combined effect of ss27-30 is to make registration crucial both to create legal interests and to protect one’s interest (whether legal or equitable) against a successor in title. </w:t>
      </w:r>
      <w:r w:rsidRPr="00AC41AB">
        <w:rPr>
          <w:rFonts w:ascii="Verdana" w:eastAsia="Times New Roman" w:hAnsi="Verdana" w:cs="Times New Roman"/>
          <w:sz w:val="22"/>
          <w:szCs w:val="22"/>
          <w:lang w:eastAsia="en-GB"/>
        </w:rPr>
        <w:lastRenderedPageBreak/>
        <w:t xml:space="preserve">Sections 32-47 go on to establish how interests which need protection should be entered in the register, by way of either a notice or a restriction. Thus, </w:t>
      </w:r>
      <w:r w:rsidRPr="00AC41AB">
        <w:rPr>
          <w:rFonts w:ascii="Verdana" w:eastAsia="Times New Roman" w:hAnsi="Verdana" w:cs="Times New Roman"/>
          <w:i/>
          <w:iCs/>
          <w:sz w:val="22"/>
          <w:szCs w:val="22"/>
          <w:lang w:eastAsia="en-GB"/>
        </w:rPr>
        <w:t xml:space="preserve">prima facie </w:t>
      </w:r>
      <w:r w:rsidRPr="00AC41AB">
        <w:rPr>
          <w:rFonts w:ascii="Verdana" w:eastAsia="Times New Roman" w:hAnsi="Verdana" w:cs="Times New Roman"/>
          <w:sz w:val="22"/>
          <w:szCs w:val="22"/>
          <w:lang w:eastAsia="en-GB"/>
        </w:rPr>
        <w:t xml:space="preserve">all interests in or over the land should be registered and may not bind a successor in title if they are not. </w:t>
      </w:r>
    </w:p>
    <w:p w14:paraId="677245B1" w14:textId="27C98E1B" w:rsidR="00AC41AB" w:rsidRPr="00AC41AB" w:rsidRDefault="00AC41AB" w:rsidP="00AC41AB">
      <w:pPr>
        <w:shd w:val="clear" w:color="auto" w:fill="F9E2D3"/>
        <w:spacing w:before="100" w:beforeAutospacing="1" w:after="100" w:afterAutospacing="1"/>
        <w:rPr>
          <w:rFonts w:ascii="Times New Roman" w:eastAsia="Times New Roman" w:hAnsi="Times New Roman" w:cs="Times New Roman"/>
          <w:lang w:eastAsia="en-GB"/>
        </w:rPr>
      </w:pPr>
      <w:r w:rsidRPr="00AC41AB">
        <w:rPr>
          <w:rFonts w:ascii="Verdana" w:eastAsia="Times New Roman" w:hAnsi="Verdana" w:cs="Times New Roman"/>
          <w:sz w:val="22"/>
          <w:szCs w:val="22"/>
          <w:lang w:eastAsia="en-GB"/>
        </w:rPr>
        <w:t>However, one of the most controversial features of the LRA2002 is the retention of the concept of ‘over-riding interests’ (or ‘interests which over- ride’ in the parlance of the Act). While a number of academics and practitioners argued strongly for the abolition of such interests, the Law Commission (somewhat reluctantly) included such interests in their report ‘Land Registration for the 21</w:t>
      </w:r>
      <w:proofErr w:type="spellStart"/>
      <w:r w:rsidRPr="00AC41AB">
        <w:rPr>
          <w:rFonts w:ascii="Verdana" w:eastAsia="Times New Roman" w:hAnsi="Verdana" w:cs="Times New Roman"/>
          <w:position w:val="8"/>
          <w:sz w:val="14"/>
          <w:szCs w:val="14"/>
          <w:lang w:eastAsia="en-GB"/>
        </w:rPr>
        <w:t>st</w:t>
      </w:r>
      <w:proofErr w:type="spellEnd"/>
      <w:r w:rsidRPr="00AC41AB">
        <w:rPr>
          <w:rFonts w:ascii="Verdana" w:eastAsia="Times New Roman" w:hAnsi="Verdana" w:cs="Times New Roman"/>
          <w:position w:val="8"/>
          <w:sz w:val="14"/>
          <w:szCs w:val="14"/>
          <w:lang w:eastAsia="en-GB"/>
        </w:rPr>
        <w:t xml:space="preserve"> </w:t>
      </w:r>
      <w:r w:rsidRPr="00AC41AB">
        <w:rPr>
          <w:rFonts w:ascii="Verdana" w:eastAsia="Times New Roman" w:hAnsi="Verdana" w:cs="Times New Roman"/>
          <w:sz w:val="22"/>
          <w:szCs w:val="22"/>
          <w:lang w:eastAsia="en-GB"/>
        </w:rPr>
        <w:t xml:space="preserve">Century’ which led to the LRA 2002. The number of these interests was limited, and some interests were only over-riding for ten years after the Act came into force. The most important categories of over-riding interests which remain in force are legal leases for no more than seven years; interests of persons in actual occupation; and certain legal easements. The law relating to these interests can be found in Schedules 1 and 3 of the LRA 2002. </w:t>
      </w:r>
    </w:p>
    <w:p w14:paraId="25E87723" w14:textId="77777777" w:rsidR="00AC41AB" w:rsidRPr="00AC41AB" w:rsidRDefault="00AC41AB" w:rsidP="00AC41AB">
      <w:pPr>
        <w:shd w:val="clear" w:color="auto" w:fill="F9E2D3"/>
        <w:spacing w:before="100" w:beforeAutospacing="1" w:after="100" w:afterAutospacing="1"/>
        <w:rPr>
          <w:rFonts w:ascii="Times New Roman" w:eastAsia="Times New Roman" w:hAnsi="Times New Roman" w:cs="Times New Roman"/>
          <w:lang w:eastAsia="en-GB"/>
        </w:rPr>
      </w:pPr>
      <w:r w:rsidRPr="00AC41AB">
        <w:rPr>
          <w:rFonts w:ascii="Verdana" w:eastAsia="Times New Roman" w:hAnsi="Verdana" w:cs="Times New Roman"/>
          <w:sz w:val="22"/>
          <w:szCs w:val="22"/>
          <w:lang w:eastAsia="en-GB"/>
        </w:rPr>
        <w:t xml:space="preserve">Legal leases will bind a purchaser despite not being registered if they are for a duration of no more than seven years and took effect within three months of grant. An unregistered legal easement will bind a purchaser as long as the purchaser knows of it; or the easement is obvious from a reasonably careful inspection of the land; or was exercised in the year before disposition; or is registered under the Commons Registration Act 1965. </w:t>
      </w:r>
    </w:p>
    <w:p w14:paraId="622F3967" w14:textId="77777777" w:rsidR="00AC41AB" w:rsidRPr="00AC41AB" w:rsidRDefault="00AC41AB" w:rsidP="00AC41AB">
      <w:pPr>
        <w:shd w:val="clear" w:color="auto" w:fill="F9E2D3"/>
        <w:spacing w:before="100" w:beforeAutospacing="1" w:after="100" w:afterAutospacing="1"/>
        <w:rPr>
          <w:rFonts w:ascii="Times New Roman" w:eastAsia="Times New Roman" w:hAnsi="Times New Roman" w:cs="Times New Roman"/>
          <w:lang w:eastAsia="en-GB"/>
        </w:rPr>
      </w:pPr>
      <w:r w:rsidRPr="00AC41AB">
        <w:rPr>
          <w:rFonts w:ascii="Verdana" w:eastAsia="Times New Roman" w:hAnsi="Verdana" w:cs="Times New Roman"/>
          <w:sz w:val="22"/>
          <w:szCs w:val="22"/>
          <w:lang w:eastAsia="en-GB"/>
        </w:rPr>
        <w:t xml:space="preserve">However, the most complex law applies to the concept of ‘actual occupation’. In order for this to bind a purchaser as an over-riding interest, the person claiming the interest must show not only that they were in ‘actual occupation’ but that this was known to the purchaser or would have been obvious on a reasonably careful inspection of the land, and that they had some form of equitable interest in the land. Exactly what these concepts entail is not defined under the Act and there is a considerable body of case law as a result. </w:t>
      </w:r>
    </w:p>
    <w:p w14:paraId="48BA0D64" w14:textId="77777777" w:rsidR="00AC41AB" w:rsidRPr="00AC41AB" w:rsidRDefault="00AC41AB" w:rsidP="00AC41AB">
      <w:pPr>
        <w:shd w:val="clear" w:color="auto" w:fill="F9E2D3"/>
        <w:spacing w:before="100" w:beforeAutospacing="1" w:after="100" w:afterAutospacing="1"/>
        <w:rPr>
          <w:rFonts w:ascii="Times New Roman" w:eastAsia="Times New Roman" w:hAnsi="Times New Roman" w:cs="Times New Roman"/>
          <w:lang w:eastAsia="en-GB"/>
        </w:rPr>
      </w:pPr>
      <w:r w:rsidRPr="00AC41AB">
        <w:rPr>
          <w:rFonts w:ascii="Verdana" w:eastAsia="Times New Roman" w:hAnsi="Verdana" w:cs="Times New Roman"/>
          <w:sz w:val="22"/>
          <w:szCs w:val="22"/>
          <w:lang w:eastAsia="en-GB"/>
        </w:rPr>
        <w:t xml:space="preserve">Looking first at what constitutes ‘actual occupation’, cases such as Link Lending v Hussein (2010) have allowed a claim even where the claimant was absent from the land for around a year (albeit with frequent visits to the property) while receiving psychiatric care. In Thomas v Clydesdale Bank (2010), a woman who had never resided at the property but visited very frequently to check up on renovation works was held to potentially be in actual occupation, although in AIB v Turner (2015) a claimant living abroad was not in actual occupation of a cottage in the UK, despite her son using the property. It is clear that the exact boundaries of what constitutes actual occupation (and what is discoverable on a reasonably careful inspection) are unclear. The same could be said of the ‘equitable interest’ required alongside the occupation - while this has traditionally been considered an interest under a trust, the case of Chaudhary v Yavuz (2011) has left open the possibility that other equitable interest such as an equitable easement may suffice, as long as actual occupation can be shown. The occupier must, however, disclose their interest if enquiry is made of them by a purchaser, otherwise it may not then override. </w:t>
      </w:r>
    </w:p>
    <w:p w14:paraId="24A0A187" w14:textId="77777777" w:rsidR="00AC41AB" w:rsidRPr="00AC41AB" w:rsidRDefault="00AC41AB" w:rsidP="00AC41AB">
      <w:pPr>
        <w:shd w:val="clear" w:color="auto" w:fill="F9E2D3"/>
        <w:spacing w:before="100" w:beforeAutospacing="1" w:after="100" w:afterAutospacing="1"/>
        <w:rPr>
          <w:rFonts w:ascii="Times New Roman" w:eastAsia="Times New Roman" w:hAnsi="Times New Roman" w:cs="Times New Roman"/>
          <w:lang w:eastAsia="en-GB"/>
        </w:rPr>
      </w:pPr>
      <w:r w:rsidRPr="00AC41AB">
        <w:rPr>
          <w:rFonts w:ascii="Verdana" w:eastAsia="Times New Roman" w:hAnsi="Verdana" w:cs="Times New Roman"/>
          <w:sz w:val="22"/>
          <w:szCs w:val="22"/>
          <w:lang w:eastAsia="en-GB"/>
        </w:rPr>
        <w:t xml:space="preserve">When analysing the LRA 2002 and how far the mirror principle has been achieved, it is perhaps easiest to consider registration of property separately to </w:t>
      </w:r>
      <w:r w:rsidRPr="00AC41AB">
        <w:rPr>
          <w:rFonts w:ascii="Verdana" w:eastAsia="Times New Roman" w:hAnsi="Verdana" w:cs="Times New Roman"/>
          <w:sz w:val="22"/>
          <w:szCs w:val="22"/>
          <w:lang w:eastAsia="en-GB"/>
        </w:rPr>
        <w:lastRenderedPageBreak/>
        <w:t xml:space="preserve">the registration of interests. Regarding the former, the LRA has been a qualified success, with a large increase in the percentage of land registered as a total of England and Wales. The wide range of triggering events means that most residential properties are now registered, and an increasingly large proportion of other land. Problems do still remain with land held by organisations such as public bodies and charities, which may not be dealt with regularly and thus not trigger registration, but the proportion of unregistered land continues to decrease. </w:t>
      </w:r>
    </w:p>
    <w:p w14:paraId="7BD19B34" w14:textId="7F0FB184" w:rsidR="00AC41AB" w:rsidRPr="00AC41AB" w:rsidRDefault="00AC41AB" w:rsidP="00AC41AB">
      <w:pPr>
        <w:shd w:val="clear" w:color="auto" w:fill="F9E2D3"/>
        <w:spacing w:before="100" w:beforeAutospacing="1" w:after="100" w:afterAutospacing="1"/>
        <w:rPr>
          <w:rFonts w:ascii="Times New Roman" w:eastAsia="Times New Roman" w:hAnsi="Times New Roman" w:cs="Times New Roman"/>
          <w:lang w:eastAsia="en-GB"/>
        </w:rPr>
      </w:pPr>
      <w:r w:rsidRPr="00AC41AB">
        <w:rPr>
          <w:rFonts w:ascii="Verdana" w:eastAsia="Times New Roman" w:hAnsi="Verdana" w:cs="Times New Roman"/>
          <w:sz w:val="22"/>
          <w:szCs w:val="22"/>
          <w:lang w:eastAsia="en-GB"/>
        </w:rPr>
        <w:t xml:space="preserve">Regarding interests affecting registered land, it is more difficult to claim the LRA 2002 has been successful. As was apparent from the 2001 Law Commission report, over-riding interests were always going to create a ‘crack in the mirror’ and this has indeed been the result. It can be argued that the crack has been kept to a minimum, by limiting the number of such interests and in particular the requirement that (for most) they must be discoverable upon inspection. This means that while the register itself is not a perfect mirror, it is still relatively simple for a potential purchaser to discover such interests. However, this argument is flawed in two distinct ways. Firstly, it still requires looking beyond the register, thus not fulfilling the mirror principle. Secondly, such interests may not be easily discoverable (consider the long absent occupier as in Link Lending) and in the case of easements need not be discoverable (if used in the past year). The limitation of such interests is also questionable considering that case law appears to have in some ways expanded their scope since 2002. As such, while the LRA 2002 is certainly a step in the right direction, it cannot be said to have (yet) achieved its ambitions. </w:t>
      </w:r>
    </w:p>
    <w:p w14:paraId="432ACB8F" w14:textId="77777777" w:rsidR="00AC41AB" w:rsidRDefault="00AC41AB"/>
    <w:sectPr w:rsidR="00AC41AB" w:rsidSect="005C6E8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1AB"/>
    <w:rsid w:val="00343970"/>
    <w:rsid w:val="005C6E88"/>
    <w:rsid w:val="00804729"/>
    <w:rsid w:val="00880DB3"/>
    <w:rsid w:val="00AC41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D8F17"/>
  <w15:chartTrackingRefBased/>
  <w15:docId w15:val="{EF5C9CF1-791E-B44C-953F-F0697F2B9E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C41AB"/>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43616467">
      <w:bodyDiv w:val="1"/>
      <w:marLeft w:val="0"/>
      <w:marRight w:val="0"/>
      <w:marTop w:val="0"/>
      <w:marBottom w:val="0"/>
      <w:divBdr>
        <w:top w:val="none" w:sz="0" w:space="0" w:color="auto"/>
        <w:left w:val="none" w:sz="0" w:space="0" w:color="auto"/>
        <w:bottom w:val="none" w:sz="0" w:space="0" w:color="auto"/>
        <w:right w:val="none" w:sz="0" w:space="0" w:color="auto"/>
      </w:divBdr>
      <w:divsChild>
        <w:div w:id="999701503">
          <w:marLeft w:val="0"/>
          <w:marRight w:val="0"/>
          <w:marTop w:val="0"/>
          <w:marBottom w:val="0"/>
          <w:divBdr>
            <w:top w:val="none" w:sz="0" w:space="0" w:color="auto"/>
            <w:left w:val="none" w:sz="0" w:space="0" w:color="auto"/>
            <w:bottom w:val="none" w:sz="0" w:space="0" w:color="auto"/>
            <w:right w:val="none" w:sz="0" w:space="0" w:color="auto"/>
          </w:divBdr>
          <w:divsChild>
            <w:div w:id="1643778256">
              <w:marLeft w:val="0"/>
              <w:marRight w:val="0"/>
              <w:marTop w:val="0"/>
              <w:marBottom w:val="0"/>
              <w:divBdr>
                <w:top w:val="none" w:sz="0" w:space="0" w:color="auto"/>
                <w:left w:val="none" w:sz="0" w:space="0" w:color="auto"/>
                <w:bottom w:val="none" w:sz="0" w:space="0" w:color="auto"/>
                <w:right w:val="none" w:sz="0" w:space="0" w:color="auto"/>
              </w:divBdr>
              <w:divsChild>
                <w:div w:id="479659551">
                  <w:marLeft w:val="0"/>
                  <w:marRight w:val="0"/>
                  <w:marTop w:val="0"/>
                  <w:marBottom w:val="0"/>
                  <w:divBdr>
                    <w:top w:val="none" w:sz="0" w:space="0" w:color="auto"/>
                    <w:left w:val="none" w:sz="0" w:space="0" w:color="auto"/>
                    <w:bottom w:val="none" w:sz="0" w:space="0" w:color="auto"/>
                    <w:right w:val="none" w:sz="0" w:space="0" w:color="auto"/>
                  </w:divBdr>
                  <w:divsChild>
                    <w:div w:id="632098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9373228">
              <w:marLeft w:val="0"/>
              <w:marRight w:val="0"/>
              <w:marTop w:val="0"/>
              <w:marBottom w:val="0"/>
              <w:divBdr>
                <w:top w:val="none" w:sz="0" w:space="0" w:color="auto"/>
                <w:left w:val="none" w:sz="0" w:space="0" w:color="auto"/>
                <w:bottom w:val="none" w:sz="0" w:space="0" w:color="auto"/>
                <w:right w:val="none" w:sz="0" w:space="0" w:color="auto"/>
              </w:divBdr>
              <w:divsChild>
                <w:div w:id="115104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5623410">
          <w:marLeft w:val="0"/>
          <w:marRight w:val="0"/>
          <w:marTop w:val="0"/>
          <w:marBottom w:val="0"/>
          <w:divBdr>
            <w:top w:val="none" w:sz="0" w:space="0" w:color="auto"/>
            <w:left w:val="none" w:sz="0" w:space="0" w:color="auto"/>
            <w:bottom w:val="none" w:sz="0" w:space="0" w:color="auto"/>
            <w:right w:val="none" w:sz="0" w:space="0" w:color="auto"/>
          </w:divBdr>
          <w:divsChild>
            <w:div w:id="1697079729">
              <w:marLeft w:val="0"/>
              <w:marRight w:val="0"/>
              <w:marTop w:val="0"/>
              <w:marBottom w:val="0"/>
              <w:divBdr>
                <w:top w:val="none" w:sz="0" w:space="0" w:color="auto"/>
                <w:left w:val="none" w:sz="0" w:space="0" w:color="auto"/>
                <w:bottom w:val="none" w:sz="0" w:space="0" w:color="auto"/>
                <w:right w:val="none" w:sz="0" w:space="0" w:color="auto"/>
              </w:divBdr>
              <w:divsChild>
                <w:div w:id="941645740">
                  <w:marLeft w:val="0"/>
                  <w:marRight w:val="0"/>
                  <w:marTop w:val="0"/>
                  <w:marBottom w:val="0"/>
                  <w:divBdr>
                    <w:top w:val="none" w:sz="0" w:space="0" w:color="auto"/>
                    <w:left w:val="none" w:sz="0" w:space="0" w:color="auto"/>
                    <w:bottom w:val="none" w:sz="0" w:space="0" w:color="auto"/>
                    <w:right w:val="none" w:sz="0" w:space="0" w:color="auto"/>
                  </w:divBdr>
                  <w:divsChild>
                    <w:div w:id="880287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8486108">
              <w:marLeft w:val="0"/>
              <w:marRight w:val="0"/>
              <w:marTop w:val="0"/>
              <w:marBottom w:val="0"/>
              <w:divBdr>
                <w:top w:val="none" w:sz="0" w:space="0" w:color="auto"/>
                <w:left w:val="none" w:sz="0" w:space="0" w:color="auto"/>
                <w:bottom w:val="none" w:sz="0" w:space="0" w:color="auto"/>
                <w:right w:val="none" w:sz="0" w:space="0" w:color="auto"/>
              </w:divBdr>
              <w:divsChild>
                <w:div w:id="1753355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0832934">
          <w:marLeft w:val="0"/>
          <w:marRight w:val="0"/>
          <w:marTop w:val="0"/>
          <w:marBottom w:val="0"/>
          <w:divBdr>
            <w:top w:val="none" w:sz="0" w:space="0" w:color="auto"/>
            <w:left w:val="none" w:sz="0" w:space="0" w:color="auto"/>
            <w:bottom w:val="none" w:sz="0" w:space="0" w:color="auto"/>
            <w:right w:val="none" w:sz="0" w:space="0" w:color="auto"/>
          </w:divBdr>
          <w:divsChild>
            <w:div w:id="982660956">
              <w:marLeft w:val="0"/>
              <w:marRight w:val="0"/>
              <w:marTop w:val="0"/>
              <w:marBottom w:val="0"/>
              <w:divBdr>
                <w:top w:val="none" w:sz="0" w:space="0" w:color="auto"/>
                <w:left w:val="none" w:sz="0" w:space="0" w:color="auto"/>
                <w:bottom w:val="none" w:sz="0" w:space="0" w:color="auto"/>
                <w:right w:val="none" w:sz="0" w:space="0" w:color="auto"/>
              </w:divBdr>
              <w:divsChild>
                <w:div w:id="2137211273">
                  <w:marLeft w:val="0"/>
                  <w:marRight w:val="0"/>
                  <w:marTop w:val="0"/>
                  <w:marBottom w:val="0"/>
                  <w:divBdr>
                    <w:top w:val="none" w:sz="0" w:space="0" w:color="auto"/>
                    <w:left w:val="none" w:sz="0" w:space="0" w:color="auto"/>
                    <w:bottom w:val="none" w:sz="0" w:space="0" w:color="auto"/>
                    <w:right w:val="none" w:sz="0" w:space="0" w:color="auto"/>
                  </w:divBdr>
                  <w:divsChild>
                    <w:div w:id="1781215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7144449">
              <w:marLeft w:val="0"/>
              <w:marRight w:val="0"/>
              <w:marTop w:val="0"/>
              <w:marBottom w:val="0"/>
              <w:divBdr>
                <w:top w:val="none" w:sz="0" w:space="0" w:color="auto"/>
                <w:left w:val="none" w:sz="0" w:space="0" w:color="auto"/>
                <w:bottom w:val="none" w:sz="0" w:space="0" w:color="auto"/>
                <w:right w:val="none" w:sz="0" w:space="0" w:color="auto"/>
              </w:divBdr>
              <w:divsChild>
                <w:div w:id="1758597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3751368">
          <w:marLeft w:val="0"/>
          <w:marRight w:val="0"/>
          <w:marTop w:val="0"/>
          <w:marBottom w:val="0"/>
          <w:divBdr>
            <w:top w:val="none" w:sz="0" w:space="0" w:color="auto"/>
            <w:left w:val="none" w:sz="0" w:space="0" w:color="auto"/>
            <w:bottom w:val="none" w:sz="0" w:space="0" w:color="auto"/>
            <w:right w:val="none" w:sz="0" w:space="0" w:color="auto"/>
          </w:divBdr>
          <w:divsChild>
            <w:div w:id="2111125181">
              <w:marLeft w:val="0"/>
              <w:marRight w:val="0"/>
              <w:marTop w:val="0"/>
              <w:marBottom w:val="0"/>
              <w:divBdr>
                <w:top w:val="none" w:sz="0" w:space="0" w:color="auto"/>
                <w:left w:val="none" w:sz="0" w:space="0" w:color="auto"/>
                <w:bottom w:val="none" w:sz="0" w:space="0" w:color="auto"/>
                <w:right w:val="none" w:sz="0" w:space="0" w:color="auto"/>
              </w:divBdr>
              <w:divsChild>
                <w:div w:id="1650743642">
                  <w:marLeft w:val="0"/>
                  <w:marRight w:val="0"/>
                  <w:marTop w:val="0"/>
                  <w:marBottom w:val="0"/>
                  <w:divBdr>
                    <w:top w:val="none" w:sz="0" w:space="0" w:color="auto"/>
                    <w:left w:val="none" w:sz="0" w:space="0" w:color="auto"/>
                    <w:bottom w:val="none" w:sz="0" w:space="0" w:color="auto"/>
                    <w:right w:val="none" w:sz="0" w:space="0" w:color="auto"/>
                  </w:divBdr>
                  <w:divsChild>
                    <w:div w:id="1962297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2301416">
      <w:bodyDiv w:val="1"/>
      <w:marLeft w:val="0"/>
      <w:marRight w:val="0"/>
      <w:marTop w:val="0"/>
      <w:marBottom w:val="0"/>
      <w:divBdr>
        <w:top w:val="none" w:sz="0" w:space="0" w:color="auto"/>
        <w:left w:val="none" w:sz="0" w:space="0" w:color="auto"/>
        <w:bottom w:val="none" w:sz="0" w:space="0" w:color="auto"/>
        <w:right w:val="none" w:sz="0" w:space="0" w:color="auto"/>
      </w:divBdr>
      <w:divsChild>
        <w:div w:id="307321037">
          <w:marLeft w:val="0"/>
          <w:marRight w:val="0"/>
          <w:marTop w:val="0"/>
          <w:marBottom w:val="0"/>
          <w:divBdr>
            <w:top w:val="none" w:sz="0" w:space="0" w:color="auto"/>
            <w:left w:val="none" w:sz="0" w:space="0" w:color="auto"/>
            <w:bottom w:val="none" w:sz="0" w:space="0" w:color="auto"/>
            <w:right w:val="none" w:sz="0" w:space="0" w:color="auto"/>
          </w:divBdr>
          <w:divsChild>
            <w:div w:id="1878858184">
              <w:marLeft w:val="0"/>
              <w:marRight w:val="0"/>
              <w:marTop w:val="0"/>
              <w:marBottom w:val="0"/>
              <w:divBdr>
                <w:top w:val="none" w:sz="0" w:space="0" w:color="auto"/>
                <w:left w:val="none" w:sz="0" w:space="0" w:color="auto"/>
                <w:bottom w:val="none" w:sz="0" w:space="0" w:color="auto"/>
                <w:right w:val="none" w:sz="0" w:space="0" w:color="auto"/>
              </w:divBdr>
              <w:divsChild>
                <w:div w:id="317812063">
                  <w:marLeft w:val="0"/>
                  <w:marRight w:val="0"/>
                  <w:marTop w:val="0"/>
                  <w:marBottom w:val="0"/>
                  <w:divBdr>
                    <w:top w:val="none" w:sz="0" w:space="0" w:color="auto"/>
                    <w:left w:val="none" w:sz="0" w:space="0" w:color="auto"/>
                    <w:bottom w:val="none" w:sz="0" w:space="0" w:color="auto"/>
                    <w:right w:val="none" w:sz="0" w:space="0" w:color="auto"/>
                  </w:divBdr>
                </w:div>
              </w:divsChild>
            </w:div>
            <w:div w:id="1073284904">
              <w:marLeft w:val="0"/>
              <w:marRight w:val="0"/>
              <w:marTop w:val="0"/>
              <w:marBottom w:val="0"/>
              <w:divBdr>
                <w:top w:val="none" w:sz="0" w:space="0" w:color="auto"/>
                <w:left w:val="none" w:sz="0" w:space="0" w:color="auto"/>
                <w:bottom w:val="none" w:sz="0" w:space="0" w:color="auto"/>
                <w:right w:val="none" w:sz="0" w:space="0" w:color="auto"/>
              </w:divBdr>
              <w:divsChild>
                <w:div w:id="681903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1229</Words>
  <Characters>7007</Characters>
  <Application>Microsoft Office Word</Application>
  <DocSecurity>0</DocSecurity>
  <Lines>58</Lines>
  <Paragraphs>16</Paragraphs>
  <ScaleCrop>false</ScaleCrop>
  <Company/>
  <LinksUpToDate>false</LinksUpToDate>
  <CharactersWithSpaces>8220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H15HolmesT</dc:creator>
  <cp:keywords/>
  <dc:description/>
  <cp:lastModifiedBy>Louise Holmes</cp:lastModifiedBy>
  <cp:revision>2</cp:revision>
  <dcterms:created xsi:type="dcterms:W3CDTF">2021-02-07T15:51:00Z</dcterms:created>
  <dcterms:modified xsi:type="dcterms:W3CDTF">2021-02-07T15:51:00Z</dcterms:modified>
</cp:coreProperties>
</file>