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52CA" w:rsidRDefault="00E252CA" w:rsidP="00E252CA">
      <w:pPr>
        <w:jc w:val="center"/>
        <w:rPr>
          <w:rFonts w:ascii="Arial" w:hAnsi="Arial" w:cs="Arial"/>
          <w:b/>
          <w:bCs/>
          <w:i/>
          <w:sz w:val="44"/>
          <w:szCs w:val="44"/>
          <w:u w:val="single"/>
        </w:rPr>
      </w:pPr>
      <w:r>
        <w:rPr>
          <w:rFonts w:ascii="Arial" w:hAnsi="Arial" w:cs="Arial"/>
          <w:b/>
          <w:bCs/>
          <w:i/>
          <w:sz w:val="44"/>
          <w:szCs w:val="44"/>
          <w:u w:val="single"/>
        </w:rPr>
        <w:t xml:space="preserve"> </w:t>
      </w:r>
    </w:p>
    <w:p w:rsidR="00E252CA" w:rsidRDefault="00E252CA" w:rsidP="00E252CA">
      <w:pPr>
        <w:jc w:val="center"/>
        <w:rPr>
          <w:rFonts w:ascii="Arial" w:hAnsi="Arial" w:cs="Arial"/>
          <w:b/>
          <w:bCs/>
          <w:i/>
          <w:sz w:val="44"/>
          <w:szCs w:val="44"/>
          <w:u w:val="single"/>
        </w:rPr>
      </w:pPr>
    </w:p>
    <w:p w:rsidR="00E252CA" w:rsidRDefault="00E252CA" w:rsidP="00E252CA">
      <w:pPr>
        <w:jc w:val="center"/>
        <w:rPr>
          <w:rFonts w:ascii="Arial" w:hAnsi="Arial" w:cs="Arial"/>
          <w:b/>
          <w:bCs/>
          <w:i/>
          <w:sz w:val="44"/>
          <w:szCs w:val="44"/>
          <w:u w:val="single"/>
        </w:rPr>
      </w:pPr>
    </w:p>
    <w:p w:rsidR="00E252CA" w:rsidRDefault="00E252CA" w:rsidP="00E252CA">
      <w:pPr>
        <w:jc w:val="center"/>
        <w:rPr>
          <w:rFonts w:ascii="Arial" w:hAnsi="Arial" w:cs="Arial"/>
          <w:b/>
          <w:bCs/>
          <w:i/>
          <w:sz w:val="44"/>
          <w:szCs w:val="44"/>
          <w:u w:val="single"/>
        </w:rPr>
      </w:pPr>
      <w:r>
        <w:rPr>
          <w:rFonts w:ascii="Arial" w:hAnsi="Arial" w:cs="Arial"/>
          <w:b/>
          <w:bCs/>
          <w:i/>
          <w:sz w:val="44"/>
          <w:szCs w:val="44"/>
          <w:u w:val="single"/>
        </w:rPr>
        <w:t xml:space="preserve">Module </w:t>
      </w:r>
      <w:proofErr w:type="spellStart"/>
      <w:r>
        <w:rPr>
          <w:rFonts w:ascii="Arial" w:hAnsi="Arial" w:cs="Arial"/>
          <w:b/>
          <w:bCs/>
          <w:i/>
          <w:sz w:val="44"/>
          <w:szCs w:val="44"/>
          <w:u w:val="single"/>
        </w:rPr>
        <w:t>title</w:t>
      </w:r>
      <w:proofErr w:type="gramStart"/>
      <w:r>
        <w:rPr>
          <w:rFonts w:ascii="Arial" w:hAnsi="Arial" w:cs="Arial"/>
          <w:b/>
          <w:bCs/>
          <w:i/>
          <w:sz w:val="44"/>
          <w:szCs w:val="44"/>
          <w:u w:val="single"/>
        </w:rPr>
        <w:t>:International</w:t>
      </w:r>
      <w:proofErr w:type="spellEnd"/>
      <w:proofErr w:type="gramEnd"/>
      <w:r>
        <w:rPr>
          <w:rFonts w:ascii="Arial" w:hAnsi="Arial" w:cs="Arial"/>
          <w:b/>
          <w:bCs/>
          <w:i/>
          <w:sz w:val="44"/>
          <w:szCs w:val="44"/>
          <w:u w:val="single"/>
        </w:rPr>
        <w:t xml:space="preserve"> Financial Management</w:t>
      </w:r>
    </w:p>
    <w:p w:rsidR="00E252CA" w:rsidRDefault="00E252CA" w:rsidP="00E252CA">
      <w:pPr>
        <w:jc w:val="center"/>
        <w:rPr>
          <w:rFonts w:ascii="Arial" w:hAnsi="Arial" w:cs="Arial"/>
          <w:b/>
          <w:bCs/>
          <w:i/>
          <w:sz w:val="44"/>
          <w:szCs w:val="44"/>
          <w:u w:val="single"/>
        </w:rPr>
      </w:pPr>
      <w:r>
        <w:rPr>
          <w:rFonts w:ascii="Arial" w:hAnsi="Arial" w:cs="Arial"/>
          <w:b/>
          <w:bCs/>
          <w:i/>
          <w:sz w:val="44"/>
          <w:szCs w:val="44"/>
          <w:u w:val="single"/>
        </w:rPr>
        <w:t>Module code</w:t>
      </w:r>
      <w:proofErr w:type="gramStart"/>
      <w:r>
        <w:rPr>
          <w:rFonts w:ascii="Arial" w:hAnsi="Arial" w:cs="Arial"/>
          <w:b/>
          <w:bCs/>
          <w:i/>
          <w:sz w:val="44"/>
          <w:szCs w:val="44"/>
          <w:u w:val="single"/>
        </w:rPr>
        <w:t>:LCBB6002</w:t>
      </w:r>
      <w:proofErr w:type="gramEnd"/>
    </w:p>
    <w:p w:rsidR="00E252CA" w:rsidRDefault="00E252CA" w:rsidP="00E252CA">
      <w:pPr>
        <w:jc w:val="center"/>
        <w:rPr>
          <w:rFonts w:ascii="Arial" w:hAnsi="Arial" w:cs="Arial"/>
          <w:b/>
          <w:bCs/>
          <w:i/>
          <w:sz w:val="44"/>
          <w:szCs w:val="44"/>
          <w:u w:val="single"/>
        </w:rPr>
      </w:pPr>
      <w:r>
        <w:rPr>
          <w:rFonts w:ascii="Arial" w:hAnsi="Arial" w:cs="Arial"/>
          <w:b/>
          <w:bCs/>
          <w:i/>
          <w:sz w:val="44"/>
          <w:szCs w:val="44"/>
          <w:u w:val="single"/>
        </w:rPr>
        <w:t xml:space="preserve">Student </w:t>
      </w:r>
      <w:proofErr w:type="spellStart"/>
      <w:r>
        <w:rPr>
          <w:rFonts w:ascii="Arial" w:hAnsi="Arial" w:cs="Arial"/>
          <w:b/>
          <w:bCs/>
          <w:i/>
          <w:sz w:val="44"/>
          <w:szCs w:val="44"/>
          <w:u w:val="single"/>
        </w:rPr>
        <w:t>name</w:t>
      </w:r>
      <w:proofErr w:type="gramStart"/>
      <w:r>
        <w:rPr>
          <w:rFonts w:ascii="Arial" w:hAnsi="Arial" w:cs="Arial"/>
          <w:b/>
          <w:bCs/>
          <w:i/>
          <w:sz w:val="44"/>
          <w:szCs w:val="44"/>
          <w:u w:val="single"/>
        </w:rPr>
        <w:t>:Elena</w:t>
      </w:r>
      <w:proofErr w:type="spellEnd"/>
      <w:proofErr w:type="gramEnd"/>
      <w:r>
        <w:rPr>
          <w:rFonts w:ascii="Arial" w:hAnsi="Arial" w:cs="Arial"/>
          <w:b/>
          <w:bCs/>
          <w:i/>
          <w:sz w:val="44"/>
          <w:szCs w:val="44"/>
          <w:u w:val="single"/>
        </w:rPr>
        <w:t xml:space="preserve"> Alexandra </w:t>
      </w:r>
      <w:proofErr w:type="spellStart"/>
      <w:r>
        <w:rPr>
          <w:rFonts w:ascii="Arial" w:hAnsi="Arial" w:cs="Arial"/>
          <w:b/>
          <w:bCs/>
          <w:i/>
          <w:sz w:val="44"/>
          <w:szCs w:val="44"/>
          <w:u w:val="single"/>
        </w:rPr>
        <w:t>Antochi</w:t>
      </w:r>
      <w:proofErr w:type="spellEnd"/>
    </w:p>
    <w:p w:rsidR="00E252CA" w:rsidRDefault="00E252CA" w:rsidP="00E252CA">
      <w:pPr>
        <w:jc w:val="center"/>
        <w:rPr>
          <w:rFonts w:ascii="Arial" w:hAnsi="Arial" w:cs="Arial"/>
          <w:b/>
          <w:bCs/>
          <w:i/>
          <w:sz w:val="44"/>
          <w:szCs w:val="44"/>
          <w:u w:val="single"/>
        </w:rPr>
      </w:pPr>
      <w:r>
        <w:rPr>
          <w:rFonts w:ascii="Arial" w:hAnsi="Arial" w:cs="Arial"/>
          <w:b/>
          <w:bCs/>
          <w:i/>
          <w:sz w:val="44"/>
          <w:szCs w:val="44"/>
          <w:u w:val="single"/>
        </w:rPr>
        <w:t>Student ID</w:t>
      </w:r>
      <w:proofErr w:type="gramStart"/>
      <w:r>
        <w:rPr>
          <w:rFonts w:ascii="Arial" w:hAnsi="Arial" w:cs="Arial"/>
          <w:b/>
          <w:bCs/>
          <w:i/>
          <w:sz w:val="44"/>
          <w:szCs w:val="44"/>
          <w:u w:val="single"/>
        </w:rPr>
        <w:t>:2013040</w:t>
      </w:r>
      <w:proofErr w:type="gramEnd"/>
    </w:p>
    <w:p w:rsidR="00E252CA" w:rsidRDefault="00E252CA" w:rsidP="00E252CA">
      <w:pPr>
        <w:jc w:val="center"/>
        <w:rPr>
          <w:rFonts w:ascii="Arial" w:hAnsi="Arial" w:cs="Arial"/>
          <w:b/>
          <w:bCs/>
          <w:sz w:val="36"/>
          <w:szCs w:val="36"/>
        </w:rPr>
      </w:pPr>
      <w:r>
        <w:rPr>
          <w:rFonts w:ascii="Arial" w:hAnsi="Arial" w:cs="Arial"/>
          <w:b/>
          <w:bCs/>
          <w:i/>
          <w:sz w:val="44"/>
          <w:szCs w:val="44"/>
          <w:u w:val="single"/>
        </w:rPr>
        <w:t>Lecturer name:DR.</w:t>
      </w:r>
      <w:bookmarkStart w:id="0" w:name="_GoBack"/>
      <w:bookmarkEnd w:id="0"/>
      <w:r>
        <w:rPr>
          <w:rFonts w:ascii="Arial" w:hAnsi="Arial" w:cs="Arial"/>
          <w:b/>
          <w:bCs/>
          <w:i/>
          <w:sz w:val="44"/>
          <w:szCs w:val="44"/>
          <w:u w:val="single"/>
        </w:rPr>
        <w:t xml:space="preserve"> </w:t>
      </w:r>
      <w:proofErr w:type="spellStart"/>
      <w:r>
        <w:rPr>
          <w:rFonts w:ascii="Arial" w:hAnsi="Arial" w:cs="Arial"/>
          <w:b/>
          <w:bCs/>
          <w:i/>
          <w:sz w:val="44"/>
          <w:szCs w:val="44"/>
          <w:u w:val="single"/>
        </w:rPr>
        <w:t>Taye</w:t>
      </w:r>
      <w:proofErr w:type="spellEnd"/>
      <w:r>
        <w:rPr>
          <w:rFonts w:ascii="Arial" w:hAnsi="Arial" w:cs="Arial"/>
          <w:b/>
          <w:bCs/>
          <w:i/>
          <w:sz w:val="44"/>
          <w:szCs w:val="44"/>
          <w:u w:val="single"/>
        </w:rPr>
        <w:t xml:space="preserve"> Timothy </w:t>
      </w:r>
      <w:proofErr w:type="spellStart"/>
      <w:r>
        <w:rPr>
          <w:rFonts w:ascii="Arial" w:hAnsi="Arial" w:cs="Arial"/>
          <w:b/>
          <w:bCs/>
          <w:i/>
          <w:sz w:val="44"/>
          <w:szCs w:val="44"/>
          <w:u w:val="single"/>
        </w:rPr>
        <w:t>Osadiya</w:t>
      </w:r>
      <w:proofErr w:type="spellEnd"/>
    </w:p>
    <w:p w:rsidR="00170BAE" w:rsidRDefault="00170BAE" w:rsidP="00E252CA">
      <w:pPr>
        <w:jc w:val="center"/>
        <w:rPr>
          <w:rFonts w:eastAsia="Times New Roman" w:cs="Times New Roman"/>
          <w:b/>
          <w:bCs/>
          <w:color w:val="000000"/>
          <w:szCs w:val="24"/>
        </w:rPr>
      </w:pPr>
      <w:r>
        <w:rPr>
          <w:rFonts w:eastAsia="Times New Roman" w:cs="Times New Roman"/>
          <w:b/>
          <w:bCs/>
          <w:color w:val="000000"/>
          <w:szCs w:val="24"/>
        </w:rPr>
        <w:br w:type="page"/>
      </w:r>
    </w:p>
    <w:sdt>
      <w:sdtPr>
        <w:rPr>
          <w:rFonts w:ascii="Times New Roman" w:eastAsiaTheme="minorHAnsi" w:hAnsi="Times New Roman" w:cstheme="minorBidi"/>
          <w:b w:val="0"/>
          <w:bCs w:val="0"/>
          <w:color w:val="auto"/>
          <w:sz w:val="24"/>
          <w:szCs w:val="22"/>
        </w:rPr>
        <w:id w:val="1341127532"/>
        <w:docPartObj>
          <w:docPartGallery w:val="Table of Contents"/>
          <w:docPartUnique/>
        </w:docPartObj>
      </w:sdtPr>
      <w:sdtEndPr/>
      <w:sdtContent>
        <w:p w:rsidR="00170BAE" w:rsidRDefault="00170BAE" w:rsidP="00170BAE">
          <w:pPr>
            <w:pStyle w:val="TOCHeading"/>
            <w:spacing w:before="0" w:line="360" w:lineRule="auto"/>
            <w:jc w:val="center"/>
          </w:pPr>
          <w:r w:rsidRPr="00170BAE">
            <w:rPr>
              <w:color w:val="auto"/>
              <w:sz w:val="24"/>
              <w:szCs w:val="24"/>
            </w:rPr>
            <w:t>Table of Contents</w:t>
          </w:r>
        </w:p>
        <w:p w:rsidR="00170BAE" w:rsidRDefault="00511CAB" w:rsidP="00170BAE">
          <w:pPr>
            <w:pStyle w:val="TOC1"/>
            <w:tabs>
              <w:tab w:val="right" w:leader="dot" w:pos="9350"/>
            </w:tabs>
            <w:spacing w:after="0"/>
            <w:rPr>
              <w:noProof/>
            </w:rPr>
          </w:pPr>
          <w:r>
            <w:fldChar w:fldCharType="begin"/>
          </w:r>
          <w:r w:rsidR="00170BAE">
            <w:instrText xml:space="preserve"> TOC \o "1-3" \h \z \u </w:instrText>
          </w:r>
          <w:r>
            <w:fldChar w:fldCharType="separate"/>
          </w:r>
          <w:hyperlink w:anchor="_Toc123305155" w:history="1">
            <w:r w:rsidR="00170BAE" w:rsidRPr="00294690">
              <w:rPr>
                <w:rStyle w:val="Hyperlink"/>
                <w:rFonts w:eastAsia="Times New Roman"/>
                <w:noProof/>
              </w:rPr>
              <w:t>Introduction</w:t>
            </w:r>
            <w:r w:rsidR="00170BAE">
              <w:rPr>
                <w:noProof/>
                <w:webHidden/>
              </w:rPr>
              <w:tab/>
            </w:r>
            <w:r>
              <w:rPr>
                <w:noProof/>
                <w:webHidden/>
              </w:rPr>
              <w:fldChar w:fldCharType="begin"/>
            </w:r>
            <w:r w:rsidR="00170BAE">
              <w:rPr>
                <w:noProof/>
                <w:webHidden/>
              </w:rPr>
              <w:instrText xml:space="preserve"> PAGEREF _Toc123305155 \h </w:instrText>
            </w:r>
            <w:r>
              <w:rPr>
                <w:noProof/>
                <w:webHidden/>
              </w:rPr>
            </w:r>
            <w:r>
              <w:rPr>
                <w:noProof/>
                <w:webHidden/>
              </w:rPr>
              <w:fldChar w:fldCharType="separate"/>
            </w:r>
            <w:r w:rsidR="00170BAE">
              <w:rPr>
                <w:noProof/>
                <w:webHidden/>
              </w:rPr>
              <w:t>3</w:t>
            </w:r>
            <w:r>
              <w:rPr>
                <w:noProof/>
                <w:webHidden/>
              </w:rPr>
              <w:fldChar w:fldCharType="end"/>
            </w:r>
          </w:hyperlink>
        </w:p>
        <w:p w:rsidR="00170BAE" w:rsidRDefault="00D20B5D" w:rsidP="00170BAE">
          <w:pPr>
            <w:pStyle w:val="TOC1"/>
            <w:tabs>
              <w:tab w:val="right" w:leader="dot" w:pos="9350"/>
            </w:tabs>
            <w:spacing w:after="0"/>
            <w:rPr>
              <w:noProof/>
            </w:rPr>
          </w:pPr>
          <w:hyperlink w:anchor="_Toc123305156" w:history="1">
            <w:r w:rsidR="00170BAE" w:rsidRPr="00294690">
              <w:rPr>
                <w:rStyle w:val="Hyperlink"/>
                <w:rFonts w:eastAsia="Times New Roman"/>
                <w:noProof/>
              </w:rPr>
              <w:t>Main Body</w:t>
            </w:r>
            <w:r w:rsidR="00170BAE">
              <w:rPr>
                <w:noProof/>
                <w:webHidden/>
              </w:rPr>
              <w:tab/>
            </w:r>
            <w:r w:rsidR="00511CAB">
              <w:rPr>
                <w:noProof/>
                <w:webHidden/>
              </w:rPr>
              <w:fldChar w:fldCharType="begin"/>
            </w:r>
            <w:r w:rsidR="00170BAE">
              <w:rPr>
                <w:noProof/>
                <w:webHidden/>
              </w:rPr>
              <w:instrText xml:space="preserve"> PAGEREF _Toc123305156 \h </w:instrText>
            </w:r>
            <w:r w:rsidR="00511CAB">
              <w:rPr>
                <w:noProof/>
                <w:webHidden/>
              </w:rPr>
            </w:r>
            <w:r w:rsidR="00511CAB">
              <w:rPr>
                <w:noProof/>
                <w:webHidden/>
              </w:rPr>
              <w:fldChar w:fldCharType="separate"/>
            </w:r>
            <w:r w:rsidR="00170BAE">
              <w:rPr>
                <w:noProof/>
                <w:webHidden/>
              </w:rPr>
              <w:t>4</w:t>
            </w:r>
            <w:r w:rsidR="00511CAB">
              <w:rPr>
                <w:noProof/>
                <w:webHidden/>
              </w:rPr>
              <w:fldChar w:fldCharType="end"/>
            </w:r>
          </w:hyperlink>
        </w:p>
        <w:p w:rsidR="00170BAE" w:rsidRDefault="00D20B5D" w:rsidP="00170BAE">
          <w:pPr>
            <w:pStyle w:val="TOC1"/>
            <w:tabs>
              <w:tab w:val="right" w:leader="dot" w:pos="9350"/>
            </w:tabs>
            <w:spacing w:after="0"/>
            <w:rPr>
              <w:noProof/>
            </w:rPr>
          </w:pPr>
          <w:hyperlink w:anchor="_Toc123305157" w:history="1">
            <w:r w:rsidR="00170BAE" w:rsidRPr="00294690">
              <w:rPr>
                <w:rStyle w:val="Hyperlink"/>
                <w:rFonts w:eastAsia="Times New Roman"/>
                <w:noProof/>
              </w:rPr>
              <w:t>Conclusion</w:t>
            </w:r>
            <w:r w:rsidR="00170BAE">
              <w:rPr>
                <w:noProof/>
                <w:webHidden/>
              </w:rPr>
              <w:tab/>
            </w:r>
            <w:r w:rsidR="00511CAB">
              <w:rPr>
                <w:noProof/>
                <w:webHidden/>
              </w:rPr>
              <w:fldChar w:fldCharType="begin"/>
            </w:r>
            <w:r w:rsidR="00170BAE">
              <w:rPr>
                <w:noProof/>
                <w:webHidden/>
              </w:rPr>
              <w:instrText xml:space="preserve"> PAGEREF _Toc123305157 \h </w:instrText>
            </w:r>
            <w:r w:rsidR="00511CAB">
              <w:rPr>
                <w:noProof/>
                <w:webHidden/>
              </w:rPr>
            </w:r>
            <w:r w:rsidR="00511CAB">
              <w:rPr>
                <w:noProof/>
                <w:webHidden/>
              </w:rPr>
              <w:fldChar w:fldCharType="separate"/>
            </w:r>
            <w:r w:rsidR="00170BAE">
              <w:rPr>
                <w:noProof/>
                <w:webHidden/>
              </w:rPr>
              <w:t>8</w:t>
            </w:r>
            <w:r w:rsidR="00511CAB">
              <w:rPr>
                <w:noProof/>
                <w:webHidden/>
              </w:rPr>
              <w:fldChar w:fldCharType="end"/>
            </w:r>
          </w:hyperlink>
        </w:p>
        <w:p w:rsidR="00170BAE" w:rsidRDefault="00D20B5D" w:rsidP="00170BAE">
          <w:pPr>
            <w:pStyle w:val="TOC1"/>
            <w:tabs>
              <w:tab w:val="right" w:leader="dot" w:pos="9350"/>
            </w:tabs>
            <w:spacing w:after="0"/>
            <w:rPr>
              <w:noProof/>
            </w:rPr>
          </w:pPr>
          <w:hyperlink w:anchor="_Toc123305158" w:history="1">
            <w:r w:rsidR="00170BAE" w:rsidRPr="00294690">
              <w:rPr>
                <w:rStyle w:val="Hyperlink"/>
                <w:rFonts w:eastAsia="Times New Roman"/>
                <w:noProof/>
              </w:rPr>
              <w:t>References</w:t>
            </w:r>
            <w:r w:rsidR="00170BAE">
              <w:rPr>
                <w:noProof/>
                <w:webHidden/>
              </w:rPr>
              <w:tab/>
            </w:r>
            <w:r w:rsidR="00511CAB">
              <w:rPr>
                <w:noProof/>
                <w:webHidden/>
              </w:rPr>
              <w:fldChar w:fldCharType="begin"/>
            </w:r>
            <w:r w:rsidR="00170BAE">
              <w:rPr>
                <w:noProof/>
                <w:webHidden/>
              </w:rPr>
              <w:instrText xml:space="preserve"> PAGEREF _Toc123305158 \h </w:instrText>
            </w:r>
            <w:r w:rsidR="00511CAB">
              <w:rPr>
                <w:noProof/>
                <w:webHidden/>
              </w:rPr>
            </w:r>
            <w:r w:rsidR="00511CAB">
              <w:rPr>
                <w:noProof/>
                <w:webHidden/>
              </w:rPr>
              <w:fldChar w:fldCharType="separate"/>
            </w:r>
            <w:r w:rsidR="00170BAE">
              <w:rPr>
                <w:noProof/>
                <w:webHidden/>
              </w:rPr>
              <w:t>9</w:t>
            </w:r>
            <w:r w:rsidR="00511CAB">
              <w:rPr>
                <w:noProof/>
                <w:webHidden/>
              </w:rPr>
              <w:fldChar w:fldCharType="end"/>
            </w:r>
          </w:hyperlink>
        </w:p>
        <w:p w:rsidR="00170BAE" w:rsidRDefault="00511CAB" w:rsidP="00170BAE">
          <w:r>
            <w:fldChar w:fldCharType="end"/>
          </w:r>
        </w:p>
      </w:sdtContent>
    </w:sdt>
    <w:p w:rsidR="00170BAE" w:rsidRPr="00170BAE" w:rsidRDefault="00170BAE" w:rsidP="00170BAE">
      <w:pPr>
        <w:rPr>
          <w:rFonts w:eastAsia="Times New Roman" w:cs="Times New Roman"/>
          <w:szCs w:val="24"/>
        </w:rPr>
      </w:pPr>
    </w:p>
    <w:p w:rsidR="00170BAE" w:rsidRDefault="00170BAE" w:rsidP="00170BAE">
      <w:pPr>
        <w:jc w:val="left"/>
        <w:rPr>
          <w:rFonts w:eastAsia="Times New Roman" w:cs="Times New Roman"/>
          <w:b/>
          <w:bCs/>
          <w:color w:val="000000"/>
          <w:szCs w:val="24"/>
        </w:rPr>
      </w:pPr>
      <w:r>
        <w:rPr>
          <w:rFonts w:eastAsia="Times New Roman" w:cs="Times New Roman"/>
          <w:b/>
          <w:bCs/>
          <w:color w:val="000000"/>
          <w:szCs w:val="24"/>
        </w:rPr>
        <w:br w:type="page"/>
      </w:r>
    </w:p>
    <w:p w:rsidR="00170BAE" w:rsidRPr="00170BAE" w:rsidRDefault="00170BAE" w:rsidP="00170BAE">
      <w:pPr>
        <w:pStyle w:val="Heading1"/>
        <w:rPr>
          <w:rFonts w:eastAsia="Times New Roman"/>
        </w:rPr>
      </w:pPr>
      <w:bookmarkStart w:id="1" w:name="_Toc123305155"/>
      <w:r w:rsidRPr="00170BAE">
        <w:rPr>
          <w:rFonts w:eastAsia="Times New Roman"/>
        </w:rPr>
        <w:lastRenderedPageBreak/>
        <w:t>Introduction</w:t>
      </w:r>
      <w:bookmarkEnd w:id="1"/>
      <w:r w:rsidRPr="00170BAE">
        <w:rPr>
          <w:rFonts w:eastAsia="Times New Roman"/>
        </w:rPr>
        <w:t> </w:t>
      </w:r>
    </w:p>
    <w:p w:rsidR="00170BAE" w:rsidRPr="00170BAE" w:rsidRDefault="00170BAE" w:rsidP="00170BAE">
      <w:r w:rsidRPr="00170BAE">
        <w:t>The essay below will be discussing the internal business management and its overall knowledge relating with the multinational corporation of Unilever. Further, the importance and critical evaluation of international finance on the business will be discussed under which the corporate strategy and its discussion will be done. Moreover, the efficiency of market hypothesis theory and its other distribution operations will be concluded under which the empirical event and analysis of the business will be done. Lastly, the methods of appraising and evaluating the methods of appraisal of projects will be discussed which will also be formulating a high range of business and its other reforms which will review down the multinational reforms and development of the organisation. </w:t>
      </w:r>
    </w:p>
    <w:p w:rsidR="00170BAE" w:rsidRDefault="00170BAE" w:rsidP="00170BAE">
      <w:pPr>
        <w:jc w:val="left"/>
        <w:rPr>
          <w:rFonts w:eastAsia="Times New Roman" w:cs="Times New Roman"/>
          <w:b/>
          <w:bCs/>
          <w:color w:val="000000"/>
          <w:szCs w:val="24"/>
        </w:rPr>
      </w:pPr>
      <w:r>
        <w:rPr>
          <w:rFonts w:eastAsia="Times New Roman" w:cs="Times New Roman"/>
          <w:b/>
          <w:bCs/>
          <w:color w:val="000000"/>
          <w:szCs w:val="24"/>
        </w:rPr>
        <w:br w:type="page"/>
      </w:r>
    </w:p>
    <w:p w:rsidR="00170BAE" w:rsidRPr="00170BAE" w:rsidRDefault="00170BAE" w:rsidP="00170BAE">
      <w:pPr>
        <w:pStyle w:val="Heading1"/>
        <w:rPr>
          <w:rFonts w:eastAsia="Times New Roman"/>
        </w:rPr>
      </w:pPr>
      <w:bookmarkStart w:id="2" w:name="_Toc123305156"/>
      <w:r w:rsidRPr="00170BAE">
        <w:rPr>
          <w:rFonts w:eastAsia="Times New Roman"/>
        </w:rPr>
        <w:lastRenderedPageBreak/>
        <w:t>Main Body</w:t>
      </w:r>
      <w:bookmarkEnd w:id="2"/>
    </w:p>
    <w:p w:rsidR="00170BAE" w:rsidRPr="00170BAE" w:rsidRDefault="00170BAE" w:rsidP="00170BAE">
      <w:r w:rsidRPr="00170BAE">
        <w:t xml:space="preserve">The organisation of </w:t>
      </w:r>
      <w:r w:rsidRPr="00170BAE">
        <w:rPr>
          <w:b/>
          <w:bCs/>
          <w:i/>
          <w:iCs/>
        </w:rPr>
        <w:t xml:space="preserve">Unilever </w:t>
      </w:r>
      <w:r w:rsidRPr="00170BAE">
        <w:t xml:space="preserve">follows the objective and policy of providing clarity to its stakeholders in matters of dividend and distributional framework. The Board of Directors of the organisation </w:t>
      </w:r>
      <w:r w:rsidR="00E57D93" w:rsidRPr="00170BAE">
        <w:t>recommends</w:t>
      </w:r>
      <w:r w:rsidRPr="00170BAE">
        <w:t xml:space="preserve"> a dividend</w:t>
      </w:r>
      <w:r>
        <w:t xml:space="preserve"> set of compl</w:t>
      </w:r>
      <w:r w:rsidRPr="00170BAE">
        <w:t>iance under its policy and association. The dividend distribution policy of the company is to ensure the return of its cash which gets managed from its rate of operations in terms of foreseeable and immediate business needs related with the back and long term sustainability of its business (</w:t>
      </w:r>
      <w:r w:rsidRPr="00170BAE">
        <w:rPr>
          <w:color w:val="222222"/>
          <w:shd w:val="clear" w:color="auto" w:fill="FFFFFF"/>
        </w:rPr>
        <w:t>Madura, 2020</w:t>
      </w:r>
      <w:r w:rsidRPr="00170BAE">
        <w:t xml:space="preserve">). The organisation further also believes in the method and process of bringing value enhancement in its business which seeks high rate of sustainability, attractiveness and growth of dividend related with the shareholders of its company. The Board of Directors of the company therefore also includes the prevalent and structured sense of information under which the declaration and dividing of company’s performance gets included. Under this matter, both the internal and external factors of the business and its organisation </w:t>
      </w:r>
      <w:r w:rsidR="00E57D93" w:rsidRPr="00170BAE">
        <w:t>get</w:t>
      </w:r>
      <w:r w:rsidRPr="00170BAE">
        <w:t xml:space="preserve"> included. Moreover, the internal factors of the business explains the expected and existing financial performance which also brings relative changes in the liquidity and cash flow position of the business (</w:t>
      </w:r>
      <w:r w:rsidRPr="00170BAE">
        <w:rPr>
          <w:color w:val="222222"/>
          <w:shd w:val="clear" w:color="auto" w:fill="FFFFFF"/>
        </w:rPr>
        <w:t xml:space="preserve">Shapiro </w:t>
      </w:r>
      <w:r w:rsidRPr="00170BAE">
        <w:rPr>
          <w:i/>
          <w:iCs/>
          <w:color w:val="222222"/>
          <w:shd w:val="clear" w:color="auto" w:fill="FFFFFF"/>
        </w:rPr>
        <w:t>et al</w:t>
      </w:r>
      <w:r w:rsidRPr="00170BAE">
        <w:rPr>
          <w:color w:val="222222"/>
          <w:shd w:val="clear" w:color="auto" w:fill="FFFFFF"/>
        </w:rPr>
        <w:t>., 2019</w:t>
      </w:r>
      <w:r w:rsidRPr="00170BAE">
        <w:t>). Under this, the rate of disposals and acquisitions further gets included as per the terms and future requirements of funds in the organisation.</w:t>
      </w:r>
    </w:p>
    <w:p w:rsidR="00170BAE" w:rsidRPr="00170BAE" w:rsidRDefault="00170BAE" w:rsidP="00170BAE">
      <w:r w:rsidRPr="00170BAE">
        <w:t xml:space="preserve">It also further includes the macro business environment and its formulation under which the consumer trends and market conditions of the organisation gets included. The expectations of shareholders under this utilising and securing of long term services and growth gets included. It also further includes other factors of the Board of Directors which </w:t>
      </w:r>
      <w:r w:rsidR="00E57D93" w:rsidRPr="00170BAE">
        <w:t>utmost</w:t>
      </w:r>
      <w:r w:rsidRPr="00170BAE">
        <w:t xml:space="preserve"> linked with the declaration and distribution of official reforms (</w:t>
      </w:r>
      <w:r w:rsidRPr="00170BAE">
        <w:rPr>
          <w:color w:val="222222"/>
          <w:shd w:val="clear" w:color="auto" w:fill="FFFFFF"/>
        </w:rPr>
        <w:t xml:space="preserve">Borio </w:t>
      </w:r>
      <w:r w:rsidRPr="00170BAE">
        <w:rPr>
          <w:i/>
          <w:iCs/>
          <w:color w:val="222222"/>
          <w:shd w:val="clear" w:color="auto" w:fill="FFFFFF"/>
        </w:rPr>
        <w:t>et al</w:t>
      </w:r>
      <w:r w:rsidRPr="00170BAE">
        <w:rPr>
          <w:color w:val="222222"/>
          <w:shd w:val="clear" w:color="auto" w:fill="FFFFFF"/>
        </w:rPr>
        <w:t>., 2020</w:t>
      </w:r>
      <w:r w:rsidRPr="00170BAE">
        <w:t xml:space="preserve">). The organisation gets financially subtle and organised under these terms of bringing consent and other appropriate exchanging of commission. Moreover, the linking and securing of business formulation is also what gets enormously linked with the authority and formulation of business. It also established the rate of dividend and distribution policy which enhanced the availability and development of the company's website as per its annual report and business establishment. Unilever further also maintains a high rate of business performance and employee engagement under which the benchmarking of industry and its other availability of resources gets included. In order to keep the organisation and its business formulated, the organisation action links a high effective and </w:t>
      </w:r>
      <w:r w:rsidRPr="00170BAE">
        <w:lastRenderedPageBreak/>
        <w:t>developed rate of ingredients under which the constant changes and rate of environmental development gets followed.</w:t>
      </w:r>
    </w:p>
    <w:p w:rsidR="00170BAE" w:rsidRPr="00170BAE" w:rsidRDefault="00170BAE" w:rsidP="00170BAE">
      <w:r w:rsidRPr="00170BAE">
        <w:t xml:space="preserve">The </w:t>
      </w:r>
      <w:r w:rsidRPr="00170BAE">
        <w:rPr>
          <w:b/>
          <w:bCs/>
          <w:i/>
          <w:iCs/>
        </w:rPr>
        <w:t xml:space="preserve">market hypothesis theory </w:t>
      </w:r>
      <w:r w:rsidRPr="00170BAE">
        <w:t>evaluates the information and other sources which reflect the range of prices and other technical analysis relating with the business of Unilever. It is alternatively also known as one of the most effective and hypotheses stages of managing generation. According to this theory, the stock and trade of Unilever along with its value and exchange change of rate gets shown under inflated prices and other undervalued processes. Therefore, it gets to be known as one of the most outperformed and impossible rates of business under which the rate of investors and other purchasing of risk investments get managed. It reflects the trade and other stock exchange of businesses which have fair market values and development in the business (</w:t>
      </w:r>
      <w:r w:rsidRPr="00170BAE">
        <w:rPr>
          <w:color w:val="222222"/>
          <w:shd w:val="clear" w:color="auto" w:fill="FFFFFF"/>
        </w:rPr>
        <w:t xml:space="preserve">García‐Sánchez </w:t>
      </w:r>
      <w:r w:rsidRPr="00170BAE">
        <w:rPr>
          <w:i/>
          <w:iCs/>
          <w:color w:val="222222"/>
          <w:shd w:val="clear" w:color="auto" w:fill="FFFFFF"/>
        </w:rPr>
        <w:t>et al</w:t>
      </w:r>
      <w:r w:rsidRPr="00170BAE">
        <w:rPr>
          <w:color w:val="222222"/>
          <w:shd w:val="clear" w:color="auto" w:fill="FFFFFF"/>
        </w:rPr>
        <w:t>., 2019</w:t>
      </w:r>
      <w:r w:rsidRPr="00170BAE">
        <w:t>). It helps the organisation in assuming and developing the rate of relevant information and other capability of outperforming the market. This theory further helps in developing different levels of management as per the outperformed and evaluated rate of information. It briefly describes the process of bringing implementation and other consistencies which fetch and develop a range of other strategies for the business improvement and developmental ranges. Further, this version of theory helps in securing and</w:t>
      </w:r>
      <w:r>
        <w:t xml:space="preserve"> bringing a wide range of devel</w:t>
      </w:r>
      <w:r w:rsidRPr="00170BAE">
        <w:t>opment which helps in representing the information and public sources which discloses information. It gradually tends to link with the popularity and other gathering of sources under which the managed theoretical and other market participants get involved. </w:t>
      </w:r>
    </w:p>
    <w:p w:rsidR="00170BAE" w:rsidRDefault="00170BAE" w:rsidP="00170BAE">
      <w:r w:rsidRPr="00170BAE">
        <w:t>Thai theory gradually helps in gathering a range of popularity along with its high charges which advocates down the fund and exchange rate of index as per the efficiency and advantages of business known as per the expertise and other beating of market. However, as per the recent share and development of data, the consolidation and other managerial reforms of business begets consistent and outcast under the terms of business formulation and other marketing reforms (</w:t>
      </w:r>
      <w:r w:rsidRPr="00170BAE">
        <w:rPr>
          <w:color w:val="222222"/>
          <w:shd w:val="clear" w:color="auto" w:fill="FFFFFF"/>
        </w:rPr>
        <w:t xml:space="preserve">Ameliawati </w:t>
      </w:r>
      <w:r w:rsidRPr="00170BAE">
        <w:rPr>
          <w:i/>
          <w:iCs/>
          <w:color w:val="222222"/>
          <w:shd w:val="clear" w:color="auto" w:fill="FFFFFF"/>
        </w:rPr>
        <w:t>et al</w:t>
      </w:r>
      <w:r w:rsidRPr="00170BAE">
        <w:rPr>
          <w:color w:val="222222"/>
          <w:shd w:val="clear" w:color="auto" w:fill="FFFFFF"/>
        </w:rPr>
        <w:t>., 2018</w:t>
      </w:r>
      <w:r w:rsidRPr="00170BAE">
        <w:t>). It helps in managing the risk adjustment of Unilever along with the discovery of bringing funds return and other predictability of resources which brings a high and empirical set of development as per the trading and advanced set of technology under which the investor learning and development programs gets developed. There are also various other investors which help in bringing individual sets of development and other forced sources of income which are useful for the participants and individuals of the company.    </w:t>
      </w:r>
    </w:p>
    <w:p w:rsidR="00170BAE" w:rsidRPr="00170BAE" w:rsidRDefault="00170BAE" w:rsidP="00170BAE">
      <w:r w:rsidRPr="00170BAE">
        <w:lastRenderedPageBreak/>
        <w:t xml:space="preserve">Project appraisal refers to the benefits and cost analysis relating to different aspects of the businesses proposed project with a view to adjudge the viability of the project of the company. Unilever is the multinational consumer goods company that has to appraise various alternatives of their business projects before the allocation of the limited resources for the best outcome. The methods that the company uses in appraising the projects which helps them to take account of the variations relative to the expected outflows and inflows of the project that it might face during particular period of </w:t>
      </w:r>
      <w:r w:rsidR="00E57D93" w:rsidRPr="00170BAE">
        <w:t>his</w:t>
      </w:r>
      <w:r w:rsidRPr="00170BAE">
        <w:t xml:space="preserve"> life cycle are as follows</w:t>
      </w:r>
      <w:r w:rsidR="00E57D93">
        <w:t xml:space="preserve"> </w:t>
      </w:r>
      <w:r w:rsidRPr="00170BAE">
        <w:t>-</w:t>
      </w:r>
      <w:r w:rsidR="00E57D93">
        <w:t xml:space="preserve"> </w:t>
      </w:r>
      <w:r w:rsidRPr="00170BAE">
        <w:rPr>
          <w:b/>
          <w:bCs/>
          <w:i/>
          <w:iCs/>
        </w:rPr>
        <w:t>Economic analysis</w:t>
      </w:r>
      <w:r w:rsidRPr="00170BAE">
        <w:t xml:space="preserve"> deals with the benefit and cost of the country as a whole. In economic analysis, Unilever considers the requirements of raw materials that are to be used in the products of products or services</w:t>
      </w:r>
      <w:r>
        <w:t>, the level of utilisation of t</w:t>
      </w:r>
      <w:r w:rsidRPr="00170BAE">
        <w:t>h</w:t>
      </w:r>
      <w:r>
        <w:t>e</w:t>
      </w:r>
      <w:r w:rsidRPr="00170BAE">
        <w:t xml:space="preserve"> capacity, probability of the company’s profits and the anticipated sales and expenses (</w:t>
      </w:r>
      <w:r w:rsidRPr="00170BAE">
        <w:rPr>
          <w:color w:val="222222"/>
          <w:shd w:val="clear" w:color="auto" w:fill="FFFFFF"/>
        </w:rPr>
        <w:t xml:space="preserve">Nielsen </w:t>
      </w:r>
      <w:r w:rsidRPr="00170BAE">
        <w:rPr>
          <w:i/>
          <w:iCs/>
          <w:color w:val="222222"/>
          <w:shd w:val="clear" w:color="auto" w:fill="FFFFFF"/>
        </w:rPr>
        <w:t>et al</w:t>
      </w:r>
      <w:r w:rsidRPr="00170BAE">
        <w:rPr>
          <w:color w:val="222222"/>
          <w:shd w:val="clear" w:color="auto" w:fill="FFFFFF"/>
        </w:rPr>
        <w:t>., 2019</w:t>
      </w:r>
      <w:r w:rsidRPr="00170BAE">
        <w:t>).</w:t>
      </w:r>
    </w:p>
    <w:p w:rsidR="00170BAE" w:rsidRPr="00170BAE" w:rsidRDefault="00170BAE" w:rsidP="00170BAE">
      <w:r w:rsidRPr="00170BAE">
        <w:t xml:space="preserve">Under the </w:t>
      </w:r>
      <w:r w:rsidRPr="00E57D93">
        <w:rPr>
          <w:b/>
          <w:i/>
        </w:rPr>
        <w:t>financial analysis</w:t>
      </w:r>
      <w:r w:rsidRPr="00170BAE">
        <w:t xml:space="preserve">, Unilever assesses the financial requirements relating to the fixed and working capital of the business. Financial analysis is very important as it helps the company to keep track of the funds that are required by the company for various activities and to report the wastages that they can use to make appropriate actions regarding the </w:t>
      </w:r>
      <w:r w:rsidR="00E57D93" w:rsidRPr="00170BAE">
        <w:t>projects. Before</w:t>
      </w:r>
      <w:r w:rsidRPr="00170BAE">
        <w:t xml:space="preserve"> producing certain goods or services, Unilever analyses the </w:t>
      </w:r>
      <w:r w:rsidRPr="00E57D93">
        <w:rPr>
          <w:b/>
          <w:i/>
        </w:rPr>
        <w:t>possible market</w:t>
      </w:r>
      <w:r w:rsidR="00E57D93">
        <w:t xml:space="preserve"> (i.e. </w:t>
      </w:r>
      <w:r w:rsidR="00E57D93" w:rsidRPr="00E57D93">
        <w:rPr>
          <w:bCs/>
          <w:i/>
          <w:iCs/>
        </w:rPr>
        <w:t>Market analysis</w:t>
      </w:r>
      <w:r w:rsidR="00E57D93">
        <w:t>)</w:t>
      </w:r>
      <w:r w:rsidRPr="00170BAE">
        <w:t xml:space="preserve"> in which they will be selling their products or services. The company tries to anticipate the possible or potential customers for their brand who and where and how they are going to sell the product so that the sales remain intact and drives the profit of the company (</w:t>
      </w:r>
      <w:r w:rsidRPr="00170BAE">
        <w:rPr>
          <w:color w:val="222222"/>
          <w:shd w:val="clear" w:color="auto" w:fill="FFFFFF"/>
        </w:rPr>
        <w:t xml:space="preserve">Sweetnam </w:t>
      </w:r>
      <w:r w:rsidRPr="00170BAE">
        <w:rPr>
          <w:i/>
          <w:iCs/>
          <w:color w:val="222222"/>
          <w:shd w:val="clear" w:color="auto" w:fill="FFFFFF"/>
        </w:rPr>
        <w:t>et al</w:t>
      </w:r>
      <w:r w:rsidRPr="00170BAE">
        <w:rPr>
          <w:color w:val="222222"/>
          <w:shd w:val="clear" w:color="auto" w:fill="FFFFFF"/>
        </w:rPr>
        <w:t>., 2022</w:t>
      </w:r>
      <w:r w:rsidRPr="00170BAE">
        <w:t>). To appraise the projects of the business, Unilever first makes sure that the market in which they are going to introduce their products has customers that can become the potential customer of the brand in future.</w:t>
      </w:r>
    </w:p>
    <w:p w:rsidR="00170BAE" w:rsidRPr="00170BAE" w:rsidRDefault="00170BAE" w:rsidP="00170BAE">
      <w:r w:rsidRPr="00170BAE">
        <w:rPr>
          <w:b/>
          <w:bCs/>
          <w:i/>
          <w:iCs/>
        </w:rPr>
        <w:t>Technical feasibility</w:t>
      </w:r>
      <w:r w:rsidRPr="00170BAE">
        <w:t xml:space="preserve"> refers to the adequacy of the proposed equipment and plant relative to the product. Unilever analyses and examines the availability of water, power, land, raw materials and much other related equipment that can help in the production of the consumer goods and helps to boost </w:t>
      </w:r>
      <w:r w:rsidR="00E57D93" w:rsidRPr="00170BAE">
        <w:t>sales. While</w:t>
      </w:r>
      <w:r w:rsidRPr="00170BAE">
        <w:t xml:space="preserve"> doing the appraisal of the business projects, </w:t>
      </w:r>
      <w:r w:rsidRPr="00E57D93">
        <w:rPr>
          <w:b/>
          <w:i/>
        </w:rPr>
        <w:t>management</w:t>
      </w:r>
      <w:r w:rsidRPr="00170BAE">
        <w:t xml:space="preserve"> has to make sure that the process of appraising the projects are aligning with the plan of the business, therefore the competencies of the employees plays a vital role in the success of the enterprises (</w:t>
      </w:r>
      <w:r w:rsidRPr="00170BAE">
        <w:rPr>
          <w:color w:val="222222"/>
          <w:shd w:val="clear" w:color="auto" w:fill="FFFFFF"/>
        </w:rPr>
        <w:t xml:space="preserve">Batra </w:t>
      </w:r>
      <w:r w:rsidRPr="00170BAE">
        <w:rPr>
          <w:i/>
          <w:iCs/>
          <w:color w:val="222222"/>
          <w:shd w:val="clear" w:color="auto" w:fill="FFFFFF"/>
        </w:rPr>
        <w:t>et al</w:t>
      </w:r>
      <w:r w:rsidRPr="00170BAE">
        <w:rPr>
          <w:color w:val="222222"/>
          <w:shd w:val="clear" w:color="auto" w:fill="FFFFFF"/>
        </w:rPr>
        <w:t>., 2018</w:t>
      </w:r>
      <w:r w:rsidRPr="00170BAE">
        <w:t>). Unilever being the multinational company who operates their business on a global scale makes sure that the management is able to recruit talented people from the global world that can ensure flexibility and growth in the business operations.</w:t>
      </w:r>
    </w:p>
    <w:p w:rsidR="00170BAE" w:rsidRPr="00170BAE" w:rsidRDefault="00170BAE" w:rsidP="00170BAE">
      <w:r w:rsidRPr="00170BAE">
        <w:lastRenderedPageBreak/>
        <w:t>This is how Unilever appraises their business projects and ensures smooth functioning of the operational activities of the business.</w:t>
      </w:r>
    </w:p>
    <w:p w:rsidR="00170BAE" w:rsidRPr="00170BAE" w:rsidRDefault="00170BAE" w:rsidP="00170BAE"/>
    <w:p w:rsidR="00170BAE" w:rsidRDefault="00170BAE" w:rsidP="00170BAE">
      <w:pPr>
        <w:jc w:val="left"/>
        <w:rPr>
          <w:rFonts w:eastAsia="Times New Roman" w:cs="Times New Roman"/>
          <w:b/>
          <w:bCs/>
          <w:color w:val="000000"/>
          <w:szCs w:val="24"/>
        </w:rPr>
      </w:pPr>
      <w:r>
        <w:rPr>
          <w:rFonts w:eastAsia="Times New Roman" w:cs="Times New Roman"/>
          <w:b/>
          <w:bCs/>
          <w:color w:val="000000"/>
          <w:szCs w:val="24"/>
        </w:rPr>
        <w:br w:type="page"/>
      </w:r>
    </w:p>
    <w:p w:rsidR="00170BAE" w:rsidRPr="00170BAE" w:rsidRDefault="00170BAE" w:rsidP="00170BAE">
      <w:pPr>
        <w:pStyle w:val="Heading1"/>
        <w:rPr>
          <w:rFonts w:eastAsia="Times New Roman"/>
        </w:rPr>
      </w:pPr>
      <w:bookmarkStart w:id="3" w:name="_Toc123305157"/>
      <w:r w:rsidRPr="00170BAE">
        <w:rPr>
          <w:rFonts w:eastAsia="Times New Roman"/>
        </w:rPr>
        <w:lastRenderedPageBreak/>
        <w:t>Conclusion</w:t>
      </w:r>
      <w:bookmarkEnd w:id="3"/>
    </w:p>
    <w:p w:rsidR="00170BAE" w:rsidRPr="00170BAE" w:rsidRDefault="00170BAE" w:rsidP="00170BAE">
      <w:r w:rsidRPr="00170BAE">
        <w:t>In conclusion to the context above, the easy above has briefly discussed the international financial management of the chosen multinational company of Unilever. Further, it has also discussed the range of valuation which calculated the overall brief reform and valuation relating with the practicality and policy of business. Moreover, the theory of market hypothesis has also been included under which the chosen method of appraising has been provided and included as per its chosen business development and other affirmation needed during the corporation method.</w:t>
      </w:r>
    </w:p>
    <w:p w:rsidR="00170BAE" w:rsidRDefault="00170BAE" w:rsidP="00170BAE">
      <w:pPr>
        <w:jc w:val="left"/>
        <w:rPr>
          <w:rFonts w:eastAsia="Times New Roman" w:cs="Times New Roman"/>
          <w:b/>
          <w:bCs/>
          <w:color w:val="000000"/>
          <w:szCs w:val="24"/>
        </w:rPr>
      </w:pPr>
      <w:r>
        <w:rPr>
          <w:rFonts w:eastAsia="Times New Roman" w:cs="Times New Roman"/>
          <w:b/>
          <w:bCs/>
          <w:color w:val="000000"/>
          <w:szCs w:val="24"/>
        </w:rPr>
        <w:br w:type="page"/>
      </w:r>
    </w:p>
    <w:p w:rsidR="00170BAE" w:rsidRPr="00170BAE" w:rsidRDefault="00170BAE" w:rsidP="00170BAE">
      <w:pPr>
        <w:pStyle w:val="Heading1"/>
        <w:rPr>
          <w:rFonts w:eastAsia="Times New Roman"/>
        </w:rPr>
      </w:pPr>
      <w:bookmarkStart w:id="4" w:name="_Toc123305158"/>
      <w:r w:rsidRPr="00170BAE">
        <w:rPr>
          <w:rFonts w:eastAsia="Times New Roman"/>
        </w:rPr>
        <w:lastRenderedPageBreak/>
        <w:t>References</w:t>
      </w:r>
      <w:bookmarkEnd w:id="4"/>
    </w:p>
    <w:p w:rsidR="00E57D93" w:rsidRPr="00170BAE" w:rsidRDefault="00E57D93" w:rsidP="00E57D93">
      <w:proofErr w:type="gramStart"/>
      <w:r w:rsidRPr="00E57D93">
        <w:rPr>
          <w:shd w:val="clear" w:color="auto" w:fill="FFFFFF"/>
        </w:rPr>
        <w:t xml:space="preserve">Ameliawati, M. and </w:t>
      </w:r>
      <w:proofErr w:type="spellStart"/>
      <w:r w:rsidRPr="00E57D93">
        <w:rPr>
          <w:shd w:val="clear" w:color="auto" w:fill="FFFFFF"/>
        </w:rPr>
        <w:t>Setiyani</w:t>
      </w:r>
      <w:proofErr w:type="spellEnd"/>
      <w:r w:rsidRPr="00E57D93">
        <w:rPr>
          <w:shd w:val="clear" w:color="auto" w:fill="FFFFFF"/>
        </w:rPr>
        <w:t>, R., 2018.</w:t>
      </w:r>
      <w:proofErr w:type="gramEnd"/>
      <w:r w:rsidRPr="00E57D93">
        <w:rPr>
          <w:shd w:val="clear" w:color="auto" w:fill="FFFFFF"/>
        </w:rPr>
        <w:t xml:space="preserve"> </w:t>
      </w:r>
      <w:proofErr w:type="gramStart"/>
      <w:r w:rsidRPr="00E57D93">
        <w:rPr>
          <w:shd w:val="clear" w:color="auto" w:fill="FFFFFF"/>
        </w:rPr>
        <w:t xml:space="preserve">The influence of financial attitude, financial </w:t>
      </w:r>
      <w:proofErr w:type="spellStart"/>
      <w:r w:rsidRPr="00E57D93">
        <w:rPr>
          <w:shd w:val="clear" w:color="auto" w:fill="FFFFFF"/>
        </w:rPr>
        <w:t>socialisation</w:t>
      </w:r>
      <w:proofErr w:type="spellEnd"/>
      <w:r w:rsidRPr="00E57D93">
        <w:rPr>
          <w:shd w:val="clear" w:color="auto" w:fill="FFFFFF"/>
        </w:rPr>
        <w:t xml:space="preserve">, and financial experience to financial management </w:t>
      </w:r>
      <w:proofErr w:type="spellStart"/>
      <w:r w:rsidRPr="00E57D93">
        <w:rPr>
          <w:shd w:val="clear" w:color="auto" w:fill="FFFFFF"/>
        </w:rPr>
        <w:t>behaviour</w:t>
      </w:r>
      <w:proofErr w:type="spellEnd"/>
      <w:r w:rsidRPr="00E57D93">
        <w:rPr>
          <w:shd w:val="clear" w:color="auto" w:fill="FFFFFF"/>
        </w:rPr>
        <w:t xml:space="preserve"> with financial literacy as the mediation variable.</w:t>
      </w:r>
      <w:proofErr w:type="gramEnd"/>
      <w:r w:rsidRPr="00E57D93">
        <w:rPr>
          <w:shd w:val="clear" w:color="auto" w:fill="FFFFFF"/>
        </w:rPr>
        <w:t xml:space="preserve"> </w:t>
      </w:r>
      <w:proofErr w:type="spellStart"/>
      <w:proofErr w:type="gramStart"/>
      <w:r w:rsidRPr="00E57D93">
        <w:rPr>
          <w:i/>
          <w:iCs/>
          <w:shd w:val="clear" w:color="auto" w:fill="FFFFFF"/>
        </w:rPr>
        <w:t>KnE</w:t>
      </w:r>
      <w:proofErr w:type="spellEnd"/>
      <w:r w:rsidRPr="00E57D93">
        <w:rPr>
          <w:i/>
          <w:iCs/>
          <w:shd w:val="clear" w:color="auto" w:fill="FFFFFF"/>
        </w:rPr>
        <w:t xml:space="preserve"> Social Sciences</w:t>
      </w:r>
      <w:r w:rsidRPr="00E57D93">
        <w:rPr>
          <w:shd w:val="clear" w:color="auto" w:fill="FFFFFF"/>
        </w:rPr>
        <w:t>, pp.811-832.</w:t>
      </w:r>
      <w:proofErr w:type="gramEnd"/>
    </w:p>
    <w:p w:rsidR="00E57D93" w:rsidRPr="00170BAE" w:rsidRDefault="00E57D93" w:rsidP="00E57D93">
      <w:r w:rsidRPr="00E57D93">
        <w:rPr>
          <w:shd w:val="clear" w:color="auto" w:fill="FFFFFF"/>
        </w:rPr>
        <w:t xml:space="preserve">Batra, R. and </w:t>
      </w:r>
      <w:proofErr w:type="spellStart"/>
      <w:r w:rsidRPr="00E57D93">
        <w:rPr>
          <w:shd w:val="clear" w:color="auto" w:fill="FFFFFF"/>
        </w:rPr>
        <w:t>Verma</w:t>
      </w:r>
      <w:proofErr w:type="spellEnd"/>
      <w:r w:rsidRPr="00E57D93">
        <w:rPr>
          <w:shd w:val="clear" w:color="auto" w:fill="FFFFFF"/>
        </w:rPr>
        <w:t xml:space="preserve">, S., 2018. Non-financial criteria in project appraisal methodologies: empirical evidence from Indian companies. </w:t>
      </w:r>
      <w:proofErr w:type="gramStart"/>
      <w:r w:rsidRPr="00E57D93">
        <w:rPr>
          <w:i/>
          <w:iCs/>
          <w:shd w:val="clear" w:color="auto" w:fill="FFFFFF"/>
        </w:rPr>
        <w:t>International Journal of Accounting and Finance</w:t>
      </w:r>
      <w:r w:rsidRPr="00E57D93">
        <w:rPr>
          <w:shd w:val="clear" w:color="auto" w:fill="FFFFFF"/>
        </w:rPr>
        <w:t xml:space="preserve">, </w:t>
      </w:r>
      <w:r w:rsidRPr="00E57D93">
        <w:rPr>
          <w:i/>
          <w:iCs/>
          <w:shd w:val="clear" w:color="auto" w:fill="FFFFFF"/>
        </w:rPr>
        <w:t>8</w:t>
      </w:r>
      <w:r w:rsidRPr="00E57D93">
        <w:rPr>
          <w:shd w:val="clear" w:color="auto" w:fill="FFFFFF"/>
        </w:rPr>
        <w:t>(1), pp.80-102.</w:t>
      </w:r>
      <w:proofErr w:type="gramEnd"/>
    </w:p>
    <w:p w:rsidR="00E57D93" w:rsidRPr="00170BAE" w:rsidRDefault="00E57D93" w:rsidP="00E57D93">
      <w:proofErr w:type="spellStart"/>
      <w:proofErr w:type="gramStart"/>
      <w:r w:rsidRPr="00E57D93">
        <w:rPr>
          <w:shd w:val="clear" w:color="auto" w:fill="FFFFFF"/>
        </w:rPr>
        <w:t>Borio</w:t>
      </w:r>
      <w:proofErr w:type="spellEnd"/>
      <w:r w:rsidRPr="00E57D93">
        <w:rPr>
          <w:shd w:val="clear" w:color="auto" w:fill="FFFFFF"/>
        </w:rPr>
        <w:t xml:space="preserve">, C.E., </w:t>
      </w:r>
      <w:proofErr w:type="spellStart"/>
      <w:r w:rsidRPr="00E57D93">
        <w:rPr>
          <w:shd w:val="clear" w:color="auto" w:fill="FFFFFF"/>
        </w:rPr>
        <w:t>Farag</w:t>
      </w:r>
      <w:proofErr w:type="spellEnd"/>
      <w:r w:rsidRPr="00E57D93">
        <w:rPr>
          <w:shd w:val="clear" w:color="auto" w:fill="FFFFFF"/>
        </w:rPr>
        <w:t xml:space="preserve">, M. and </w:t>
      </w:r>
      <w:proofErr w:type="spellStart"/>
      <w:r w:rsidRPr="00E57D93">
        <w:rPr>
          <w:shd w:val="clear" w:color="auto" w:fill="FFFFFF"/>
        </w:rPr>
        <w:t>Tarashev</w:t>
      </w:r>
      <w:proofErr w:type="spellEnd"/>
      <w:r w:rsidRPr="00E57D93">
        <w:rPr>
          <w:shd w:val="clear" w:color="auto" w:fill="FFFFFF"/>
        </w:rPr>
        <w:t>, N.A., 2020.</w:t>
      </w:r>
      <w:proofErr w:type="gramEnd"/>
      <w:r w:rsidRPr="00E57D93">
        <w:rPr>
          <w:shd w:val="clear" w:color="auto" w:fill="FFFFFF"/>
        </w:rPr>
        <w:t xml:space="preserve"> Post-crisis international financial regulatory reforms: a primer.</w:t>
      </w:r>
    </w:p>
    <w:p w:rsidR="00E57D93" w:rsidRPr="00170BAE" w:rsidRDefault="00E57D93" w:rsidP="00E57D93">
      <w:proofErr w:type="spellStart"/>
      <w:proofErr w:type="gramStart"/>
      <w:r w:rsidRPr="00E57D93">
        <w:rPr>
          <w:shd w:val="clear" w:color="auto" w:fill="FFFFFF"/>
        </w:rPr>
        <w:t>García</w:t>
      </w:r>
      <w:proofErr w:type="spellEnd"/>
      <w:r w:rsidRPr="00E57D93">
        <w:rPr>
          <w:shd w:val="clear" w:color="auto" w:fill="FFFFFF"/>
        </w:rPr>
        <w:t>‐Sánchez, I.M., Gómez‐Miranda, M.E., David, F. and Rodríguez‐</w:t>
      </w:r>
      <w:proofErr w:type="spellStart"/>
      <w:r w:rsidRPr="00E57D93">
        <w:rPr>
          <w:shd w:val="clear" w:color="auto" w:fill="FFFFFF"/>
        </w:rPr>
        <w:t>Ariza</w:t>
      </w:r>
      <w:proofErr w:type="spellEnd"/>
      <w:r w:rsidRPr="00E57D93">
        <w:rPr>
          <w:shd w:val="clear" w:color="auto" w:fill="FFFFFF"/>
        </w:rPr>
        <w:t>, L., 2019.</w:t>
      </w:r>
      <w:proofErr w:type="gramEnd"/>
      <w:r w:rsidRPr="00E57D93">
        <w:rPr>
          <w:shd w:val="clear" w:color="auto" w:fill="FFFFFF"/>
        </w:rPr>
        <w:t xml:space="preserve"> Analyst coverage and forecast accuracy when CSR reports improve stakeholder engagement: The Global Reporting Initiative‐International Finance Corporation disclosure strategy. </w:t>
      </w:r>
      <w:proofErr w:type="gramStart"/>
      <w:r w:rsidRPr="00E57D93">
        <w:rPr>
          <w:i/>
          <w:iCs/>
          <w:shd w:val="clear" w:color="auto" w:fill="FFFFFF"/>
        </w:rPr>
        <w:t>Corporate Social Responsibility and Environmental Management</w:t>
      </w:r>
      <w:r w:rsidRPr="00E57D93">
        <w:rPr>
          <w:shd w:val="clear" w:color="auto" w:fill="FFFFFF"/>
        </w:rPr>
        <w:t xml:space="preserve">, </w:t>
      </w:r>
      <w:r w:rsidRPr="00E57D93">
        <w:rPr>
          <w:i/>
          <w:iCs/>
          <w:shd w:val="clear" w:color="auto" w:fill="FFFFFF"/>
        </w:rPr>
        <w:t>26</w:t>
      </w:r>
      <w:r w:rsidRPr="00E57D93">
        <w:rPr>
          <w:shd w:val="clear" w:color="auto" w:fill="FFFFFF"/>
        </w:rPr>
        <w:t>(6), pp.1392-1406.</w:t>
      </w:r>
      <w:proofErr w:type="gramEnd"/>
    </w:p>
    <w:p w:rsidR="00E57D93" w:rsidRPr="00170BAE" w:rsidRDefault="00E57D93" w:rsidP="00E57D93">
      <w:r w:rsidRPr="00E57D93">
        <w:rPr>
          <w:shd w:val="clear" w:color="auto" w:fill="FFFFFF"/>
        </w:rPr>
        <w:t xml:space="preserve">Madura, J., 2020. </w:t>
      </w:r>
      <w:proofErr w:type="gramStart"/>
      <w:r w:rsidRPr="00E57D93">
        <w:rPr>
          <w:i/>
          <w:iCs/>
          <w:shd w:val="clear" w:color="auto" w:fill="FFFFFF"/>
        </w:rPr>
        <w:t>International financial management</w:t>
      </w:r>
      <w:r w:rsidRPr="00E57D93">
        <w:rPr>
          <w:shd w:val="clear" w:color="auto" w:fill="FFFFFF"/>
        </w:rPr>
        <w:t>.</w:t>
      </w:r>
      <w:proofErr w:type="gramEnd"/>
      <w:r w:rsidRPr="00E57D93">
        <w:rPr>
          <w:shd w:val="clear" w:color="auto" w:fill="FFFFFF"/>
        </w:rPr>
        <w:t xml:space="preserve"> Cengage Learning.</w:t>
      </w:r>
    </w:p>
    <w:p w:rsidR="00E57D93" w:rsidRPr="00170BAE" w:rsidRDefault="00E57D93" w:rsidP="00E57D93">
      <w:proofErr w:type="gramStart"/>
      <w:r w:rsidRPr="00E57D93">
        <w:rPr>
          <w:shd w:val="clear" w:color="auto" w:fill="FFFFFF"/>
        </w:rPr>
        <w:t>Nielsen, J.S., Chilton, S. and Metcalf, H., 2019.</w:t>
      </w:r>
      <w:proofErr w:type="gramEnd"/>
      <w:r w:rsidRPr="00E57D93">
        <w:rPr>
          <w:shd w:val="clear" w:color="auto" w:fill="FFFFFF"/>
        </w:rPr>
        <w:t xml:space="preserve"> </w:t>
      </w:r>
      <w:proofErr w:type="gramStart"/>
      <w:r w:rsidRPr="00E57D93">
        <w:rPr>
          <w:shd w:val="clear" w:color="auto" w:fill="FFFFFF"/>
        </w:rPr>
        <w:t>Improving the risk–risk trade-off method for use in safety project appraisal responses.</w:t>
      </w:r>
      <w:proofErr w:type="gramEnd"/>
      <w:r w:rsidRPr="00E57D93">
        <w:rPr>
          <w:shd w:val="clear" w:color="auto" w:fill="FFFFFF"/>
        </w:rPr>
        <w:t xml:space="preserve"> </w:t>
      </w:r>
      <w:r w:rsidRPr="00E57D93">
        <w:rPr>
          <w:i/>
          <w:iCs/>
          <w:shd w:val="clear" w:color="auto" w:fill="FFFFFF"/>
        </w:rPr>
        <w:t>Environmental Economics and Policy Studies</w:t>
      </w:r>
      <w:r w:rsidRPr="00E57D93">
        <w:rPr>
          <w:shd w:val="clear" w:color="auto" w:fill="FFFFFF"/>
        </w:rPr>
        <w:t xml:space="preserve">, </w:t>
      </w:r>
      <w:r w:rsidRPr="00E57D93">
        <w:rPr>
          <w:i/>
          <w:iCs/>
          <w:shd w:val="clear" w:color="auto" w:fill="FFFFFF"/>
        </w:rPr>
        <w:t>21</w:t>
      </w:r>
      <w:r w:rsidRPr="00E57D93">
        <w:rPr>
          <w:shd w:val="clear" w:color="auto" w:fill="FFFFFF"/>
        </w:rPr>
        <w:t>(1), pp.61-86.</w:t>
      </w:r>
    </w:p>
    <w:p w:rsidR="00E57D93" w:rsidRPr="00170BAE" w:rsidRDefault="00E57D93" w:rsidP="00E57D93">
      <w:r w:rsidRPr="00E57D93">
        <w:rPr>
          <w:shd w:val="clear" w:color="auto" w:fill="FFFFFF"/>
        </w:rPr>
        <w:t xml:space="preserve">Robinson, T.R., 2020. </w:t>
      </w:r>
      <w:proofErr w:type="gramStart"/>
      <w:r w:rsidRPr="00E57D93">
        <w:rPr>
          <w:i/>
          <w:iCs/>
          <w:shd w:val="clear" w:color="auto" w:fill="FFFFFF"/>
        </w:rPr>
        <w:t>International financial statement analysis</w:t>
      </w:r>
      <w:r w:rsidRPr="00E57D93">
        <w:rPr>
          <w:shd w:val="clear" w:color="auto" w:fill="FFFFFF"/>
        </w:rPr>
        <w:t>.</w:t>
      </w:r>
      <w:proofErr w:type="gramEnd"/>
      <w:r w:rsidRPr="00E57D93">
        <w:rPr>
          <w:shd w:val="clear" w:color="auto" w:fill="FFFFFF"/>
        </w:rPr>
        <w:t xml:space="preserve"> </w:t>
      </w:r>
      <w:proofErr w:type="gramStart"/>
      <w:r w:rsidRPr="00E57D93">
        <w:rPr>
          <w:shd w:val="clear" w:color="auto" w:fill="FFFFFF"/>
        </w:rPr>
        <w:t>John Wiley &amp; Sons.</w:t>
      </w:r>
      <w:proofErr w:type="gramEnd"/>
    </w:p>
    <w:p w:rsidR="00E57D93" w:rsidRPr="00170BAE" w:rsidRDefault="00E57D93" w:rsidP="00E57D93">
      <w:r w:rsidRPr="00E57D93">
        <w:rPr>
          <w:shd w:val="clear" w:color="auto" w:fill="FFFFFF"/>
        </w:rPr>
        <w:t xml:space="preserve">Shapiro, A.C. and </w:t>
      </w:r>
      <w:proofErr w:type="spellStart"/>
      <w:r w:rsidRPr="00E57D93">
        <w:rPr>
          <w:shd w:val="clear" w:color="auto" w:fill="FFFFFF"/>
        </w:rPr>
        <w:t>Hanouna</w:t>
      </w:r>
      <w:proofErr w:type="spellEnd"/>
      <w:r w:rsidRPr="00E57D93">
        <w:rPr>
          <w:shd w:val="clear" w:color="auto" w:fill="FFFFFF"/>
        </w:rPr>
        <w:t xml:space="preserve">, P., 2019. </w:t>
      </w:r>
      <w:proofErr w:type="gramStart"/>
      <w:r w:rsidRPr="00E57D93">
        <w:rPr>
          <w:i/>
          <w:iCs/>
          <w:shd w:val="clear" w:color="auto" w:fill="FFFFFF"/>
        </w:rPr>
        <w:t>Multinational financial management</w:t>
      </w:r>
      <w:r w:rsidRPr="00E57D93">
        <w:rPr>
          <w:shd w:val="clear" w:color="auto" w:fill="FFFFFF"/>
        </w:rPr>
        <w:t>.</w:t>
      </w:r>
      <w:proofErr w:type="gramEnd"/>
      <w:r w:rsidRPr="00E57D93">
        <w:rPr>
          <w:shd w:val="clear" w:color="auto" w:fill="FFFFFF"/>
        </w:rPr>
        <w:t xml:space="preserve"> </w:t>
      </w:r>
      <w:proofErr w:type="gramStart"/>
      <w:r w:rsidRPr="00E57D93">
        <w:rPr>
          <w:shd w:val="clear" w:color="auto" w:fill="FFFFFF"/>
        </w:rPr>
        <w:t>John Wiley &amp; Sons.</w:t>
      </w:r>
      <w:proofErr w:type="gramEnd"/>
    </w:p>
    <w:p w:rsidR="00E57D93" w:rsidRPr="00170BAE" w:rsidRDefault="00E57D93" w:rsidP="00E57D93">
      <w:proofErr w:type="spellStart"/>
      <w:r w:rsidRPr="00E57D93">
        <w:rPr>
          <w:shd w:val="clear" w:color="auto" w:fill="FFFFFF"/>
        </w:rPr>
        <w:t>Sweetnam</w:t>
      </w:r>
      <w:proofErr w:type="spellEnd"/>
      <w:r w:rsidRPr="00E57D93">
        <w:rPr>
          <w:shd w:val="clear" w:color="auto" w:fill="FFFFFF"/>
        </w:rPr>
        <w:t xml:space="preserve">, C., </w:t>
      </w:r>
      <w:proofErr w:type="spellStart"/>
      <w:r w:rsidRPr="00E57D93">
        <w:rPr>
          <w:shd w:val="clear" w:color="auto" w:fill="FFFFFF"/>
        </w:rPr>
        <w:t>Goulding</w:t>
      </w:r>
      <w:proofErr w:type="spellEnd"/>
      <w:r w:rsidRPr="00E57D93">
        <w:rPr>
          <w:shd w:val="clear" w:color="auto" w:fill="FFFFFF"/>
        </w:rPr>
        <w:t xml:space="preserve">, L., Davis, R.E., </w:t>
      </w:r>
      <w:proofErr w:type="spellStart"/>
      <w:r w:rsidRPr="00E57D93">
        <w:rPr>
          <w:shd w:val="clear" w:color="auto" w:fill="FFFFFF"/>
        </w:rPr>
        <w:t>Khadjesari</w:t>
      </w:r>
      <w:proofErr w:type="spellEnd"/>
      <w:r w:rsidRPr="00E57D93">
        <w:rPr>
          <w:shd w:val="clear" w:color="auto" w:fill="FFFFFF"/>
        </w:rPr>
        <w:t xml:space="preserve">, Z., Boaz, A., Healey, A., </w:t>
      </w:r>
      <w:proofErr w:type="spellStart"/>
      <w:r w:rsidRPr="00E57D93">
        <w:rPr>
          <w:shd w:val="clear" w:color="auto" w:fill="FFFFFF"/>
        </w:rPr>
        <w:t>Sevdalis</w:t>
      </w:r>
      <w:proofErr w:type="spellEnd"/>
      <w:r w:rsidRPr="00E57D93">
        <w:rPr>
          <w:shd w:val="clear" w:color="auto" w:fill="FFFFFF"/>
        </w:rPr>
        <w:t xml:space="preserve">, N., </w:t>
      </w:r>
      <w:proofErr w:type="spellStart"/>
      <w:r w:rsidRPr="00E57D93">
        <w:rPr>
          <w:shd w:val="clear" w:color="auto" w:fill="FFFFFF"/>
        </w:rPr>
        <w:t>Bakolis</w:t>
      </w:r>
      <w:proofErr w:type="spellEnd"/>
      <w:r w:rsidRPr="00E57D93">
        <w:rPr>
          <w:shd w:val="clear" w:color="auto" w:fill="FFFFFF"/>
        </w:rPr>
        <w:t>, I. and Hull, L., 2022. Development and psychometric evaluation of the Implementation Science Research Project Appraisal Criteria (</w:t>
      </w:r>
      <w:proofErr w:type="spellStart"/>
      <w:r w:rsidRPr="00E57D93">
        <w:rPr>
          <w:shd w:val="clear" w:color="auto" w:fill="FFFFFF"/>
        </w:rPr>
        <w:t>ImpResPAC</w:t>
      </w:r>
      <w:proofErr w:type="spellEnd"/>
      <w:r w:rsidRPr="00E57D93">
        <w:rPr>
          <w:shd w:val="clear" w:color="auto" w:fill="FFFFFF"/>
        </w:rPr>
        <w:t xml:space="preserve">) tool: a study protocol. </w:t>
      </w:r>
      <w:proofErr w:type="gramStart"/>
      <w:r w:rsidRPr="00E57D93">
        <w:rPr>
          <w:i/>
          <w:iCs/>
          <w:shd w:val="clear" w:color="auto" w:fill="FFFFFF"/>
        </w:rPr>
        <w:t>BMJ open</w:t>
      </w:r>
      <w:r w:rsidRPr="00E57D93">
        <w:rPr>
          <w:shd w:val="clear" w:color="auto" w:fill="FFFFFF"/>
        </w:rPr>
        <w:t xml:space="preserve">, </w:t>
      </w:r>
      <w:r w:rsidRPr="00E57D93">
        <w:rPr>
          <w:i/>
          <w:iCs/>
          <w:shd w:val="clear" w:color="auto" w:fill="FFFFFF"/>
        </w:rPr>
        <w:t>12</w:t>
      </w:r>
      <w:r w:rsidRPr="00E57D93">
        <w:rPr>
          <w:shd w:val="clear" w:color="auto" w:fill="FFFFFF"/>
        </w:rPr>
        <w:t>(12), p.e061209.</w:t>
      </w:r>
      <w:proofErr w:type="gramEnd"/>
    </w:p>
    <w:sectPr w:rsidR="00E57D93" w:rsidRPr="00170BAE" w:rsidSect="00BB6F70">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0B5D" w:rsidRDefault="00D20B5D" w:rsidP="00170BAE">
      <w:pPr>
        <w:spacing w:line="240" w:lineRule="auto"/>
      </w:pPr>
      <w:r>
        <w:separator/>
      </w:r>
    </w:p>
  </w:endnote>
  <w:endnote w:type="continuationSeparator" w:id="0">
    <w:p w:rsidR="00D20B5D" w:rsidRDefault="00D20B5D" w:rsidP="00170B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1127535"/>
      <w:docPartObj>
        <w:docPartGallery w:val="Page Numbers (Bottom of Page)"/>
        <w:docPartUnique/>
      </w:docPartObj>
    </w:sdtPr>
    <w:sdtEndPr/>
    <w:sdtContent>
      <w:p w:rsidR="00170BAE" w:rsidRDefault="00D20B5D">
        <w:pPr>
          <w:pStyle w:val="Footer"/>
          <w:jc w:val="right"/>
        </w:pPr>
        <w:r>
          <w:fldChar w:fldCharType="begin"/>
        </w:r>
        <w:r>
          <w:instrText xml:space="preserve"> PAGE   \* MERGEFORMAT </w:instrText>
        </w:r>
        <w:r>
          <w:fldChar w:fldCharType="separate"/>
        </w:r>
        <w:r w:rsidR="00E252CA">
          <w:rPr>
            <w:noProof/>
          </w:rPr>
          <w:t>1</w:t>
        </w:r>
        <w:r>
          <w:rPr>
            <w:noProof/>
          </w:rPr>
          <w:fldChar w:fldCharType="end"/>
        </w:r>
      </w:p>
    </w:sdtContent>
  </w:sdt>
  <w:p w:rsidR="00170BAE" w:rsidRDefault="00170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0B5D" w:rsidRDefault="00D20B5D" w:rsidP="00170BAE">
      <w:pPr>
        <w:spacing w:line="240" w:lineRule="auto"/>
      </w:pPr>
      <w:r>
        <w:separator/>
      </w:r>
    </w:p>
  </w:footnote>
  <w:footnote w:type="continuationSeparator" w:id="0">
    <w:p w:rsidR="00D20B5D" w:rsidRDefault="00D20B5D" w:rsidP="00170BA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5C06FA"/>
    <w:multiLevelType w:val="hybridMultilevel"/>
    <w:tmpl w:val="B652F2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70BAE"/>
    <w:rsid w:val="000358F3"/>
    <w:rsid w:val="00170BAE"/>
    <w:rsid w:val="00511CAB"/>
    <w:rsid w:val="005D665C"/>
    <w:rsid w:val="00B52AD4"/>
    <w:rsid w:val="00BB6F70"/>
    <w:rsid w:val="00C64390"/>
    <w:rsid w:val="00D20B5D"/>
    <w:rsid w:val="00D72F0A"/>
    <w:rsid w:val="00E252CA"/>
    <w:rsid w:val="00E57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0BAE"/>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0BAE"/>
    <w:pPr>
      <w:keepNext/>
      <w:keepLines/>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0BAE"/>
    <w:pPr>
      <w:pBdr>
        <w:bottom w:val="single" w:sz="8" w:space="4" w:color="4F81BD" w:themeColor="accent1"/>
      </w:pBdr>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170BAE"/>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170BAE"/>
    <w:rPr>
      <w:rFonts w:ascii="Times New Roman" w:eastAsiaTheme="majorEastAsia" w:hAnsi="Times New Roman" w:cstheme="majorBidi"/>
      <w:b/>
      <w:bCs/>
      <w:sz w:val="24"/>
      <w:szCs w:val="28"/>
    </w:rPr>
  </w:style>
  <w:style w:type="paragraph" w:styleId="NormalWeb">
    <w:name w:val="Normal (Web)"/>
    <w:basedOn w:val="Normal"/>
    <w:uiPriority w:val="99"/>
    <w:semiHidden/>
    <w:unhideWhenUsed/>
    <w:rsid w:val="00170BA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170BAE"/>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70BAE"/>
    <w:pPr>
      <w:spacing w:after="100"/>
    </w:pPr>
  </w:style>
  <w:style w:type="character" w:styleId="Hyperlink">
    <w:name w:val="Hyperlink"/>
    <w:basedOn w:val="DefaultParagraphFont"/>
    <w:uiPriority w:val="99"/>
    <w:unhideWhenUsed/>
    <w:rsid w:val="00170BAE"/>
    <w:rPr>
      <w:color w:val="0000FF" w:themeColor="hyperlink"/>
      <w:u w:val="single"/>
    </w:rPr>
  </w:style>
  <w:style w:type="paragraph" w:styleId="BalloonText">
    <w:name w:val="Balloon Text"/>
    <w:basedOn w:val="Normal"/>
    <w:link w:val="BalloonTextChar"/>
    <w:uiPriority w:val="99"/>
    <w:semiHidden/>
    <w:unhideWhenUsed/>
    <w:rsid w:val="00170B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BAE"/>
    <w:rPr>
      <w:rFonts w:ascii="Tahoma" w:hAnsi="Tahoma" w:cs="Tahoma"/>
      <w:sz w:val="16"/>
      <w:szCs w:val="16"/>
    </w:rPr>
  </w:style>
  <w:style w:type="paragraph" w:styleId="Header">
    <w:name w:val="header"/>
    <w:basedOn w:val="Normal"/>
    <w:link w:val="HeaderChar"/>
    <w:uiPriority w:val="99"/>
    <w:semiHidden/>
    <w:unhideWhenUsed/>
    <w:rsid w:val="00170BA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70BAE"/>
    <w:rPr>
      <w:rFonts w:ascii="Times New Roman" w:hAnsi="Times New Roman"/>
      <w:sz w:val="24"/>
    </w:rPr>
  </w:style>
  <w:style w:type="paragraph" w:styleId="Footer">
    <w:name w:val="footer"/>
    <w:basedOn w:val="Normal"/>
    <w:link w:val="FooterChar"/>
    <w:uiPriority w:val="99"/>
    <w:unhideWhenUsed/>
    <w:rsid w:val="00170BAE"/>
    <w:pPr>
      <w:tabs>
        <w:tab w:val="center" w:pos="4680"/>
        <w:tab w:val="right" w:pos="9360"/>
      </w:tabs>
      <w:spacing w:line="240" w:lineRule="auto"/>
    </w:pPr>
  </w:style>
  <w:style w:type="character" w:customStyle="1" w:styleId="FooterChar">
    <w:name w:val="Footer Char"/>
    <w:basedOn w:val="DefaultParagraphFont"/>
    <w:link w:val="Footer"/>
    <w:uiPriority w:val="99"/>
    <w:rsid w:val="00170BAE"/>
    <w:rPr>
      <w:rFonts w:ascii="Times New Roman" w:hAnsi="Times New Roman"/>
      <w:sz w:val="24"/>
    </w:rPr>
  </w:style>
  <w:style w:type="paragraph" w:styleId="ListParagraph">
    <w:name w:val="List Paragraph"/>
    <w:basedOn w:val="Normal"/>
    <w:uiPriority w:val="34"/>
    <w:qFormat/>
    <w:rsid w:val="00E57D9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928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145EC4-5F28-4914-8BDE-2418BAF6E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1775</Words>
  <Characters>10119</Characters>
  <Application>Microsoft Office Word</Application>
  <DocSecurity>0</DocSecurity>
  <Lines>84</Lines>
  <Paragraphs>23</Paragraphs>
  <ScaleCrop>false</ScaleCrop>
  <Company/>
  <LinksUpToDate>false</LinksUpToDate>
  <CharactersWithSpaces>11871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Nicoll</cp:lastModifiedBy>
  <cp:revision>3</cp:revision>
  <dcterms:created xsi:type="dcterms:W3CDTF">2022-12-31T04:51:00Z</dcterms:created>
  <dcterms:modified xsi:type="dcterms:W3CDTF">2023-01-06T16:03:00Z</dcterms:modified>
</cp:coreProperties>
</file>