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1B079E" w14:textId="77777777" w:rsidR="004F636F" w:rsidRPr="004F636F" w:rsidRDefault="004F636F" w:rsidP="004F636F">
      <w:pPr>
        <w:pStyle w:val="Photo"/>
      </w:pPr>
      <w:r>
        <w:rPr>
          <w:noProof/>
        </w:rPr>
        <w:drawing>
          <wp:inline distT="0" distB="0" distL="0" distR="0" wp14:anchorId="081186C4" wp14:editId="144C1810">
            <wp:extent cx="5274310" cy="3510915"/>
            <wp:effectExtent l="0" t="0" r="2540" b="0"/>
            <wp:docPr id="1616522059" name="Picture 1" descr="A group of people riding bikes in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522059" name="Picture 1" descr="A group of people riding bikes in a city&#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5274310" cy="3510915"/>
                    </a:xfrm>
                    <a:prstGeom prst="rect">
                      <a:avLst/>
                    </a:prstGeom>
                  </pic:spPr>
                </pic:pic>
              </a:graphicData>
            </a:graphic>
          </wp:inline>
        </w:drawing>
      </w:r>
      <w:r>
        <w:t xml:space="preserve"> </w:t>
      </w:r>
      <w:r w:rsidRPr="004F636F">
        <w:rPr>
          <w:rFonts w:ascii="Arial" w:hAnsi="Arial" w:cs="Arial"/>
          <w:sz w:val="16"/>
          <w:szCs w:val="16"/>
        </w:rPr>
        <w:t>(Everstock Development Ltd, 2023)</w:t>
      </w:r>
    </w:p>
    <w:p w14:paraId="02961F62" w14:textId="20001FBA" w:rsidR="00C6554A" w:rsidRPr="008B5277" w:rsidRDefault="00C6554A" w:rsidP="00C6554A">
      <w:pPr>
        <w:pStyle w:val="Photo"/>
      </w:pPr>
    </w:p>
    <w:p w14:paraId="543E92F8" w14:textId="691F3232" w:rsidR="00C6554A" w:rsidRPr="004F636F" w:rsidRDefault="005714BB" w:rsidP="00C6554A">
      <w:pPr>
        <w:pStyle w:val="Title"/>
        <w:rPr>
          <w:rFonts w:ascii="Arial" w:hAnsi="Arial" w:cs="Arial"/>
        </w:rPr>
      </w:pPr>
      <w:r>
        <w:rPr>
          <w:rFonts w:ascii="Arial" w:hAnsi="Arial" w:cs="Arial"/>
        </w:rPr>
        <w:t>Kings Road</w:t>
      </w:r>
      <w:r w:rsidR="00171116" w:rsidRPr="004F636F">
        <w:rPr>
          <w:rFonts w:ascii="Arial" w:hAnsi="Arial" w:cs="Arial"/>
        </w:rPr>
        <w:t xml:space="preserve"> Health and Safety Report</w:t>
      </w:r>
    </w:p>
    <w:p w14:paraId="7F991FEA" w14:textId="1CBE3582" w:rsidR="00C6554A" w:rsidRPr="00D5413C" w:rsidRDefault="00C6554A" w:rsidP="00C6554A">
      <w:pPr>
        <w:pStyle w:val="Subtitle"/>
      </w:pPr>
    </w:p>
    <w:p w14:paraId="5530B5C0" w14:textId="0C43AD15" w:rsidR="00226415" w:rsidRPr="004F636F" w:rsidRDefault="00171116" w:rsidP="00226415">
      <w:pPr>
        <w:pStyle w:val="ContactInfo"/>
        <w:rPr>
          <w:rFonts w:ascii="Arial" w:hAnsi="Arial" w:cs="Arial"/>
          <w:lang w:bidi="en-GB"/>
        </w:rPr>
      </w:pPr>
      <w:r w:rsidRPr="004F636F">
        <w:rPr>
          <w:rFonts w:ascii="Arial" w:hAnsi="Arial" w:cs="Arial"/>
        </w:rPr>
        <w:t>Callum</w:t>
      </w:r>
      <w:r w:rsidRPr="004F636F">
        <w:rPr>
          <w:rFonts w:ascii="Arial" w:hAnsi="Arial" w:cs="Arial"/>
        </w:rPr>
        <w:tab/>
        <w:t>Griffiths</w:t>
      </w:r>
      <w:r w:rsidR="00C6554A" w:rsidRPr="004F636F">
        <w:rPr>
          <w:rFonts w:ascii="Arial" w:hAnsi="Arial" w:cs="Arial"/>
          <w:lang w:bidi="en-GB"/>
        </w:rPr>
        <w:t xml:space="preserve"> | </w:t>
      </w:r>
      <w:r w:rsidRPr="004F636F">
        <w:rPr>
          <w:rFonts w:ascii="Arial" w:hAnsi="Arial" w:cs="Arial"/>
        </w:rPr>
        <w:t>ACBA4023</w:t>
      </w:r>
      <w:r w:rsidR="00C6554A" w:rsidRPr="004F636F">
        <w:rPr>
          <w:rFonts w:ascii="Arial" w:hAnsi="Arial" w:cs="Arial"/>
          <w:lang w:bidi="en-GB"/>
        </w:rPr>
        <w:t xml:space="preserve"> | </w:t>
      </w:r>
      <w:r w:rsidR="00357E28">
        <w:rPr>
          <w:rFonts w:ascii="Arial" w:hAnsi="Arial" w:cs="Arial"/>
        </w:rPr>
        <w:t>15</w:t>
      </w:r>
      <w:r w:rsidRPr="004F636F">
        <w:rPr>
          <w:rFonts w:ascii="Arial" w:hAnsi="Arial" w:cs="Arial"/>
        </w:rPr>
        <w:t>/0</w:t>
      </w:r>
      <w:r w:rsidR="00357E28">
        <w:rPr>
          <w:rFonts w:ascii="Arial" w:hAnsi="Arial" w:cs="Arial"/>
        </w:rPr>
        <w:t>5</w:t>
      </w:r>
      <w:r w:rsidRPr="004F636F">
        <w:rPr>
          <w:rFonts w:ascii="Arial" w:hAnsi="Arial" w:cs="Arial"/>
        </w:rPr>
        <w:t>/2025</w:t>
      </w:r>
      <w:r w:rsidR="00C6554A" w:rsidRPr="004F636F">
        <w:rPr>
          <w:rFonts w:ascii="Arial" w:hAnsi="Arial" w:cs="Arial"/>
          <w:lang w:bidi="en-GB"/>
        </w:rPr>
        <w:br w:type="page"/>
      </w:r>
    </w:p>
    <w:p w14:paraId="4F38DB16" w14:textId="77777777" w:rsidR="00226415" w:rsidRDefault="00226415" w:rsidP="00226415">
      <w:pPr>
        <w:pStyle w:val="ContactInfo"/>
        <w:rPr>
          <w:lang w:bidi="en-GB"/>
        </w:rPr>
      </w:pPr>
    </w:p>
    <w:sdt>
      <w:sdtPr>
        <w:rPr>
          <w:rFonts w:asciiTheme="minorHAnsi" w:eastAsiaTheme="minorHAnsi" w:hAnsiTheme="minorHAnsi" w:cstheme="minorBidi"/>
          <w:color w:val="595959" w:themeColor="text1" w:themeTint="A6"/>
          <w:sz w:val="22"/>
          <w:szCs w:val="22"/>
          <w:lang w:val="en-GB"/>
        </w:rPr>
        <w:id w:val="-1243021282"/>
        <w:docPartObj>
          <w:docPartGallery w:val="Table of Contents"/>
          <w:docPartUnique/>
        </w:docPartObj>
      </w:sdtPr>
      <w:sdtEndPr>
        <w:rPr>
          <w:b/>
          <w:bCs/>
          <w:noProof/>
        </w:rPr>
      </w:sdtEndPr>
      <w:sdtContent>
        <w:p w14:paraId="1EAB8A82" w14:textId="529C8DB3" w:rsidR="00226415" w:rsidRDefault="00226415">
          <w:pPr>
            <w:pStyle w:val="TOCHeading"/>
          </w:pPr>
          <w:r>
            <w:t>Contents</w:t>
          </w:r>
        </w:p>
        <w:p w14:paraId="596E8938" w14:textId="6948263D" w:rsidR="00357E28" w:rsidRDefault="00226415">
          <w:pPr>
            <w:pStyle w:val="TOC1"/>
            <w:tabs>
              <w:tab w:val="right" w:leader="dot" w:pos="8296"/>
            </w:tabs>
            <w:rPr>
              <w:rFonts w:eastAsiaTheme="minorEastAsia"/>
              <w:noProof/>
              <w:color w:val="auto"/>
              <w:kern w:val="2"/>
              <w:sz w:val="24"/>
              <w:szCs w:val="24"/>
              <w:lang w:eastAsia="en-GB"/>
              <w14:ligatures w14:val="standardContextual"/>
            </w:rPr>
          </w:pPr>
          <w:r>
            <w:fldChar w:fldCharType="begin"/>
          </w:r>
          <w:r>
            <w:instrText xml:space="preserve"> TOC \o "1-3" \h \z \u </w:instrText>
          </w:r>
          <w:r>
            <w:fldChar w:fldCharType="separate"/>
          </w:r>
          <w:hyperlink w:anchor="_Toc198193196" w:history="1">
            <w:r w:rsidR="00357E28" w:rsidRPr="00AC333F">
              <w:rPr>
                <w:rStyle w:val="Hyperlink"/>
                <w:rFonts w:ascii="Arial" w:hAnsi="Arial" w:cs="Arial"/>
                <w:noProof/>
              </w:rPr>
              <w:t>Introduction</w:t>
            </w:r>
            <w:r w:rsidR="00357E28">
              <w:rPr>
                <w:noProof/>
                <w:webHidden/>
              </w:rPr>
              <w:tab/>
            </w:r>
            <w:r w:rsidR="00357E28">
              <w:rPr>
                <w:noProof/>
                <w:webHidden/>
              </w:rPr>
              <w:fldChar w:fldCharType="begin"/>
            </w:r>
            <w:r w:rsidR="00357E28">
              <w:rPr>
                <w:noProof/>
                <w:webHidden/>
              </w:rPr>
              <w:instrText xml:space="preserve"> PAGEREF _Toc198193196 \h </w:instrText>
            </w:r>
            <w:r w:rsidR="00357E28">
              <w:rPr>
                <w:noProof/>
                <w:webHidden/>
              </w:rPr>
            </w:r>
            <w:r w:rsidR="00357E28">
              <w:rPr>
                <w:noProof/>
                <w:webHidden/>
              </w:rPr>
              <w:fldChar w:fldCharType="separate"/>
            </w:r>
            <w:r w:rsidR="00357E28">
              <w:rPr>
                <w:noProof/>
                <w:webHidden/>
              </w:rPr>
              <w:t>2</w:t>
            </w:r>
            <w:r w:rsidR="00357E28">
              <w:rPr>
                <w:noProof/>
                <w:webHidden/>
              </w:rPr>
              <w:fldChar w:fldCharType="end"/>
            </w:r>
          </w:hyperlink>
        </w:p>
        <w:p w14:paraId="0093214F" w14:textId="3F24E2A5" w:rsidR="00357E28" w:rsidRDefault="00357E28">
          <w:pPr>
            <w:pStyle w:val="TOC1"/>
            <w:tabs>
              <w:tab w:val="right" w:leader="dot" w:pos="8296"/>
            </w:tabs>
            <w:rPr>
              <w:rFonts w:eastAsiaTheme="minorEastAsia"/>
              <w:noProof/>
              <w:color w:val="auto"/>
              <w:kern w:val="2"/>
              <w:sz w:val="24"/>
              <w:szCs w:val="24"/>
              <w:lang w:eastAsia="en-GB"/>
              <w14:ligatures w14:val="standardContextual"/>
            </w:rPr>
          </w:pPr>
          <w:hyperlink w:anchor="_Toc198193197" w:history="1">
            <w:r w:rsidRPr="00AC333F">
              <w:rPr>
                <w:rStyle w:val="Hyperlink"/>
                <w:rFonts w:ascii="Arial" w:hAnsi="Arial" w:cs="Arial"/>
                <w:noProof/>
              </w:rPr>
              <w:t>Building Safety Act</w:t>
            </w:r>
            <w:r>
              <w:rPr>
                <w:noProof/>
                <w:webHidden/>
              </w:rPr>
              <w:tab/>
            </w:r>
            <w:r>
              <w:rPr>
                <w:noProof/>
                <w:webHidden/>
              </w:rPr>
              <w:fldChar w:fldCharType="begin"/>
            </w:r>
            <w:r>
              <w:rPr>
                <w:noProof/>
                <w:webHidden/>
              </w:rPr>
              <w:instrText xml:space="preserve"> PAGEREF _Toc198193197 \h </w:instrText>
            </w:r>
            <w:r>
              <w:rPr>
                <w:noProof/>
                <w:webHidden/>
              </w:rPr>
            </w:r>
            <w:r>
              <w:rPr>
                <w:noProof/>
                <w:webHidden/>
              </w:rPr>
              <w:fldChar w:fldCharType="separate"/>
            </w:r>
            <w:r>
              <w:rPr>
                <w:noProof/>
                <w:webHidden/>
              </w:rPr>
              <w:t>2</w:t>
            </w:r>
            <w:r>
              <w:rPr>
                <w:noProof/>
                <w:webHidden/>
              </w:rPr>
              <w:fldChar w:fldCharType="end"/>
            </w:r>
          </w:hyperlink>
        </w:p>
        <w:p w14:paraId="27717FC2" w14:textId="29BFEAE6" w:rsidR="00357E28" w:rsidRDefault="00357E28">
          <w:pPr>
            <w:pStyle w:val="TOC1"/>
            <w:tabs>
              <w:tab w:val="right" w:leader="dot" w:pos="8296"/>
            </w:tabs>
            <w:rPr>
              <w:rFonts w:eastAsiaTheme="minorEastAsia"/>
              <w:noProof/>
              <w:color w:val="auto"/>
              <w:kern w:val="2"/>
              <w:sz w:val="24"/>
              <w:szCs w:val="24"/>
              <w:lang w:eastAsia="en-GB"/>
              <w14:ligatures w14:val="standardContextual"/>
            </w:rPr>
          </w:pPr>
          <w:hyperlink w:anchor="_Toc198193198" w:history="1">
            <w:r w:rsidRPr="00AC333F">
              <w:rPr>
                <w:rStyle w:val="Hyperlink"/>
                <w:rFonts w:ascii="Arial" w:hAnsi="Arial" w:cs="Arial"/>
                <w:noProof/>
              </w:rPr>
              <w:t>Health and Safety Legislation</w:t>
            </w:r>
            <w:r>
              <w:rPr>
                <w:noProof/>
                <w:webHidden/>
              </w:rPr>
              <w:tab/>
            </w:r>
            <w:r>
              <w:rPr>
                <w:noProof/>
                <w:webHidden/>
              </w:rPr>
              <w:fldChar w:fldCharType="begin"/>
            </w:r>
            <w:r>
              <w:rPr>
                <w:noProof/>
                <w:webHidden/>
              </w:rPr>
              <w:instrText xml:space="preserve"> PAGEREF _Toc198193198 \h </w:instrText>
            </w:r>
            <w:r>
              <w:rPr>
                <w:noProof/>
                <w:webHidden/>
              </w:rPr>
            </w:r>
            <w:r>
              <w:rPr>
                <w:noProof/>
                <w:webHidden/>
              </w:rPr>
              <w:fldChar w:fldCharType="separate"/>
            </w:r>
            <w:r>
              <w:rPr>
                <w:noProof/>
                <w:webHidden/>
              </w:rPr>
              <w:t>3</w:t>
            </w:r>
            <w:r>
              <w:rPr>
                <w:noProof/>
                <w:webHidden/>
              </w:rPr>
              <w:fldChar w:fldCharType="end"/>
            </w:r>
          </w:hyperlink>
        </w:p>
        <w:p w14:paraId="483F07D3" w14:textId="491FFC52" w:rsidR="00357E28" w:rsidRDefault="00357E28">
          <w:pPr>
            <w:pStyle w:val="TOC1"/>
            <w:tabs>
              <w:tab w:val="right" w:leader="dot" w:pos="8296"/>
            </w:tabs>
            <w:rPr>
              <w:rFonts w:eastAsiaTheme="minorEastAsia"/>
              <w:noProof/>
              <w:color w:val="auto"/>
              <w:kern w:val="2"/>
              <w:sz w:val="24"/>
              <w:szCs w:val="24"/>
              <w:lang w:eastAsia="en-GB"/>
              <w14:ligatures w14:val="standardContextual"/>
            </w:rPr>
          </w:pPr>
          <w:hyperlink w:anchor="_Toc198193199" w:history="1">
            <w:r w:rsidRPr="00AC333F">
              <w:rPr>
                <w:rStyle w:val="Hyperlink"/>
                <w:rFonts w:ascii="Arial" w:hAnsi="Arial" w:cs="Arial"/>
                <w:noProof/>
              </w:rPr>
              <w:t>Barriers To Health and Safety Management</w:t>
            </w:r>
            <w:r>
              <w:rPr>
                <w:noProof/>
                <w:webHidden/>
              </w:rPr>
              <w:tab/>
            </w:r>
            <w:r>
              <w:rPr>
                <w:noProof/>
                <w:webHidden/>
              </w:rPr>
              <w:fldChar w:fldCharType="begin"/>
            </w:r>
            <w:r>
              <w:rPr>
                <w:noProof/>
                <w:webHidden/>
              </w:rPr>
              <w:instrText xml:space="preserve"> PAGEREF _Toc198193199 \h </w:instrText>
            </w:r>
            <w:r>
              <w:rPr>
                <w:noProof/>
                <w:webHidden/>
              </w:rPr>
            </w:r>
            <w:r>
              <w:rPr>
                <w:noProof/>
                <w:webHidden/>
              </w:rPr>
              <w:fldChar w:fldCharType="separate"/>
            </w:r>
            <w:r>
              <w:rPr>
                <w:noProof/>
                <w:webHidden/>
              </w:rPr>
              <w:t>4</w:t>
            </w:r>
            <w:r>
              <w:rPr>
                <w:noProof/>
                <w:webHidden/>
              </w:rPr>
              <w:fldChar w:fldCharType="end"/>
            </w:r>
          </w:hyperlink>
        </w:p>
        <w:p w14:paraId="351C0088" w14:textId="2E037F17" w:rsidR="00357E28" w:rsidRDefault="00357E28">
          <w:pPr>
            <w:pStyle w:val="TOC1"/>
            <w:tabs>
              <w:tab w:val="right" w:leader="dot" w:pos="8296"/>
            </w:tabs>
            <w:rPr>
              <w:rFonts w:eastAsiaTheme="minorEastAsia"/>
              <w:noProof/>
              <w:color w:val="auto"/>
              <w:kern w:val="2"/>
              <w:sz w:val="24"/>
              <w:szCs w:val="24"/>
              <w:lang w:eastAsia="en-GB"/>
              <w14:ligatures w14:val="standardContextual"/>
            </w:rPr>
          </w:pPr>
          <w:hyperlink w:anchor="_Toc198193200" w:history="1">
            <w:r w:rsidRPr="00AC333F">
              <w:rPr>
                <w:rStyle w:val="Hyperlink"/>
                <w:rFonts w:ascii="Arial" w:hAnsi="Arial" w:cs="Arial"/>
                <w:noProof/>
              </w:rPr>
              <w:t>CDM Regulations</w:t>
            </w:r>
            <w:r>
              <w:rPr>
                <w:noProof/>
                <w:webHidden/>
              </w:rPr>
              <w:tab/>
            </w:r>
            <w:r>
              <w:rPr>
                <w:noProof/>
                <w:webHidden/>
              </w:rPr>
              <w:fldChar w:fldCharType="begin"/>
            </w:r>
            <w:r>
              <w:rPr>
                <w:noProof/>
                <w:webHidden/>
              </w:rPr>
              <w:instrText xml:space="preserve"> PAGEREF _Toc198193200 \h </w:instrText>
            </w:r>
            <w:r>
              <w:rPr>
                <w:noProof/>
                <w:webHidden/>
              </w:rPr>
            </w:r>
            <w:r>
              <w:rPr>
                <w:noProof/>
                <w:webHidden/>
              </w:rPr>
              <w:fldChar w:fldCharType="separate"/>
            </w:r>
            <w:r>
              <w:rPr>
                <w:noProof/>
                <w:webHidden/>
              </w:rPr>
              <w:t>5</w:t>
            </w:r>
            <w:r>
              <w:rPr>
                <w:noProof/>
                <w:webHidden/>
              </w:rPr>
              <w:fldChar w:fldCharType="end"/>
            </w:r>
          </w:hyperlink>
        </w:p>
        <w:p w14:paraId="0E4D3F85" w14:textId="66D8D695" w:rsidR="00357E28" w:rsidRDefault="00357E28">
          <w:pPr>
            <w:pStyle w:val="TOC1"/>
            <w:tabs>
              <w:tab w:val="right" w:leader="dot" w:pos="8296"/>
            </w:tabs>
            <w:rPr>
              <w:rFonts w:eastAsiaTheme="minorEastAsia"/>
              <w:noProof/>
              <w:color w:val="auto"/>
              <w:kern w:val="2"/>
              <w:sz w:val="24"/>
              <w:szCs w:val="24"/>
              <w:lang w:eastAsia="en-GB"/>
              <w14:ligatures w14:val="standardContextual"/>
            </w:rPr>
          </w:pPr>
          <w:hyperlink w:anchor="_Toc198193201" w:history="1">
            <w:r w:rsidRPr="00AC333F">
              <w:rPr>
                <w:rStyle w:val="Hyperlink"/>
                <w:rFonts w:ascii="Arial" w:hAnsi="Arial" w:cs="Arial"/>
                <w:noProof/>
              </w:rPr>
              <w:t>Risk Assessment</w:t>
            </w:r>
            <w:r>
              <w:rPr>
                <w:noProof/>
                <w:webHidden/>
              </w:rPr>
              <w:tab/>
            </w:r>
            <w:r>
              <w:rPr>
                <w:noProof/>
                <w:webHidden/>
              </w:rPr>
              <w:fldChar w:fldCharType="begin"/>
            </w:r>
            <w:r>
              <w:rPr>
                <w:noProof/>
                <w:webHidden/>
              </w:rPr>
              <w:instrText xml:space="preserve"> PAGEREF _Toc198193201 \h </w:instrText>
            </w:r>
            <w:r>
              <w:rPr>
                <w:noProof/>
                <w:webHidden/>
              </w:rPr>
            </w:r>
            <w:r>
              <w:rPr>
                <w:noProof/>
                <w:webHidden/>
              </w:rPr>
              <w:fldChar w:fldCharType="separate"/>
            </w:r>
            <w:r>
              <w:rPr>
                <w:noProof/>
                <w:webHidden/>
              </w:rPr>
              <w:t>6</w:t>
            </w:r>
            <w:r>
              <w:rPr>
                <w:noProof/>
                <w:webHidden/>
              </w:rPr>
              <w:fldChar w:fldCharType="end"/>
            </w:r>
          </w:hyperlink>
        </w:p>
        <w:p w14:paraId="448A8A30" w14:textId="19E9ECD4" w:rsidR="00357E28" w:rsidRDefault="00357E28">
          <w:pPr>
            <w:pStyle w:val="TOC1"/>
            <w:tabs>
              <w:tab w:val="right" w:leader="dot" w:pos="8296"/>
            </w:tabs>
            <w:rPr>
              <w:rFonts w:eastAsiaTheme="minorEastAsia"/>
              <w:noProof/>
              <w:color w:val="auto"/>
              <w:kern w:val="2"/>
              <w:sz w:val="24"/>
              <w:szCs w:val="24"/>
              <w:lang w:eastAsia="en-GB"/>
              <w14:ligatures w14:val="standardContextual"/>
            </w:rPr>
          </w:pPr>
          <w:hyperlink w:anchor="_Toc198193202" w:history="1">
            <w:r w:rsidRPr="00AC333F">
              <w:rPr>
                <w:rStyle w:val="Hyperlink"/>
                <w:rFonts w:ascii="Arial" w:hAnsi="Arial" w:cs="Arial"/>
                <w:noProof/>
              </w:rPr>
              <w:t>References</w:t>
            </w:r>
            <w:r>
              <w:rPr>
                <w:noProof/>
                <w:webHidden/>
              </w:rPr>
              <w:tab/>
            </w:r>
            <w:r>
              <w:rPr>
                <w:noProof/>
                <w:webHidden/>
              </w:rPr>
              <w:fldChar w:fldCharType="begin"/>
            </w:r>
            <w:r>
              <w:rPr>
                <w:noProof/>
                <w:webHidden/>
              </w:rPr>
              <w:instrText xml:space="preserve"> PAGEREF _Toc198193202 \h </w:instrText>
            </w:r>
            <w:r>
              <w:rPr>
                <w:noProof/>
                <w:webHidden/>
              </w:rPr>
            </w:r>
            <w:r>
              <w:rPr>
                <w:noProof/>
                <w:webHidden/>
              </w:rPr>
              <w:fldChar w:fldCharType="separate"/>
            </w:r>
            <w:r>
              <w:rPr>
                <w:noProof/>
                <w:webHidden/>
              </w:rPr>
              <w:t>7</w:t>
            </w:r>
            <w:r>
              <w:rPr>
                <w:noProof/>
                <w:webHidden/>
              </w:rPr>
              <w:fldChar w:fldCharType="end"/>
            </w:r>
          </w:hyperlink>
        </w:p>
        <w:p w14:paraId="35ED4D2E" w14:textId="11E4281C" w:rsidR="00226415" w:rsidRDefault="00226415">
          <w:r>
            <w:rPr>
              <w:b/>
              <w:bCs/>
              <w:noProof/>
            </w:rPr>
            <w:fldChar w:fldCharType="end"/>
          </w:r>
        </w:p>
      </w:sdtContent>
    </w:sdt>
    <w:p w14:paraId="68C3F693" w14:textId="77777777" w:rsidR="00226415" w:rsidRDefault="00226415" w:rsidP="00226415">
      <w:pPr>
        <w:pStyle w:val="ContactInfo"/>
        <w:rPr>
          <w:lang w:bidi="en-GB"/>
        </w:rPr>
      </w:pPr>
    </w:p>
    <w:p w14:paraId="1E488C30" w14:textId="77777777" w:rsidR="00226415" w:rsidRDefault="00226415" w:rsidP="00226415">
      <w:pPr>
        <w:pStyle w:val="ContactInfo"/>
        <w:rPr>
          <w:lang w:bidi="en-GB"/>
        </w:rPr>
      </w:pPr>
    </w:p>
    <w:p w14:paraId="30B5F59E" w14:textId="77777777" w:rsidR="00226415" w:rsidRDefault="00226415" w:rsidP="00226415">
      <w:pPr>
        <w:pStyle w:val="ContactInfo"/>
        <w:rPr>
          <w:lang w:bidi="en-GB"/>
        </w:rPr>
      </w:pPr>
    </w:p>
    <w:p w14:paraId="43EF74A6" w14:textId="77777777" w:rsidR="00226415" w:rsidRDefault="00226415" w:rsidP="00226415">
      <w:pPr>
        <w:pStyle w:val="ContactInfo"/>
        <w:rPr>
          <w:lang w:bidi="en-GB"/>
        </w:rPr>
      </w:pPr>
    </w:p>
    <w:p w14:paraId="3F1CCB30" w14:textId="77777777" w:rsidR="00226415" w:rsidRDefault="00226415" w:rsidP="00226415">
      <w:pPr>
        <w:pStyle w:val="ContactInfo"/>
        <w:rPr>
          <w:lang w:bidi="en-GB"/>
        </w:rPr>
      </w:pPr>
    </w:p>
    <w:p w14:paraId="30256FD6" w14:textId="77777777" w:rsidR="00226415" w:rsidRDefault="00226415" w:rsidP="00226415">
      <w:pPr>
        <w:pStyle w:val="ContactInfo"/>
        <w:rPr>
          <w:lang w:bidi="en-GB"/>
        </w:rPr>
      </w:pPr>
    </w:p>
    <w:p w14:paraId="64AB22F3" w14:textId="77777777" w:rsidR="00226415" w:rsidRDefault="00226415" w:rsidP="00226415">
      <w:pPr>
        <w:pStyle w:val="ContactInfo"/>
        <w:rPr>
          <w:lang w:bidi="en-GB"/>
        </w:rPr>
      </w:pPr>
    </w:p>
    <w:p w14:paraId="0DC5C838" w14:textId="77777777" w:rsidR="00226415" w:rsidRDefault="00226415" w:rsidP="00226415">
      <w:pPr>
        <w:pStyle w:val="ContactInfo"/>
        <w:rPr>
          <w:lang w:bidi="en-GB"/>
        </w:rPr>
      </w:pPr>
    </w:p>
    <w:p w14:paraId="209088B2" w14:textId="77777777" w:rsidR="00226415" w:rsidRDefault="00226415" w:rsidP="00226415">
      <w:pPr>
        <w:pStyle w:val="ContactInfo"/>
        <w:rPr>
          <w:lang w:bidi="en-GB"/>
        </w:rPr>
      </w:pPr>
    </w:p>
    <w:p w14:paraId="11124144" w14:textId="77777777" w:rsidR="00226415" w:rsidRDefault="00226415" w:rsidP="00226415">
      <w:pPr>
        <w:pStyle w:val="ContactInfo"/>
        <w:rPr>
          <w:lang w:bidi="en-GB"/>
        </w:rPr>
      </w:pPr>
    </w:p>
    <w:p w14:paraId="3B68B289" w14:textId="77777777" w:rsidR="00226415" w:rsidRDefault="00226415" w:rsidP="00226415">
      <w:pPr>
        <w:pStyle w:val="ContactInfo"/>
        <w:rPr>
          <w:lang w:bidi="en-GB"/>
        </w:rPr>
      </w:pPr>
    </w:p>
    <w:p w14:paraId="27934501" w14:textId="77777777" w:rsidR="00226415" w:rsidRDefault="00226415" w:rsidP="00226415">
      <w:pPr>
        <w:pStyle w:val="ContactInfo"/>
        <w:rPr>
          <w:lang w:bidi="en-GB"/>
        </w:rPr>
      </w:pPr>
    </w:p>
    <w:p w14:paraId="2071B6D4" w14:textId="77777777" w:rsidR="00226415" w:rsidRDefault="00226415" w:rsidP="00226415">
      <w:pPr>
        <w:pStyle w:val="ContactInfo"/>
        <w:rPr>
          <w:lang w:bidi="en-GB"/>
        </w:rPr>
      </w:pPr>
    </w:p>
    <w:p w14:paraId="4E1B8AA6" w14:textId="77777777" w:rsidR="00226415" w:rsidRDefault="00226415" w:rsidP="00226415">
      <w:pPr>
        <w:pStyle w:val="ContactInfo"/>
        <w:rPr>
          <w:lang w:bidi="en-GB"/>
        </w:rPr>
      </w:pPr>
    </w:p>
    <w:p w14:paraId="2E8598E4" w14:textId="77777777" w:rsidR="00226415" w:rsidRDefault="00226415" w:rsidP="00226415">
      <w:pPr>
        <w:pStyle w:val="ContactInfo"/>
        <w:rPr>
          <w:lang w:bidi="en-GB"/>
        </w:rPr>
      </w:pPr>
    </w:p>
    <w:p w14:paraId="06793797" w14:textId="77777777" w:rsidR="00226415" w:rsidRDefault="00226415" w:rsidP="00226415">
      <w:pPr>
        <w:pStyle w:val="ContactInfo"/>
        <w:rPr>
          <w:lang w:bidi="en-GB"/>
        </w:rPr>
      </w:pPr>
    </w:p>
    <w:p w14:paraId="50370CAC" w14:textId="77777777" w:rsidR="00226415" w:rsidRDefault="00226415" w:rsidP="00226415">
      <w:pPr>
        <w:pStyle w:val="ContactInfo"/>
        <w:rPr>
          <w:lang w:bidi="en-GB"/>
        </w:rPr>
      </w:pPr>
    </w:p>
    <w:p w14:paraId="48433ED2" w14:textId="77777777" w:rsidR="00226415" w:rsidRDefault="00226415" w:rsidP="00226415">
      <w:pPr>
        <w:pStyle w:val="ContactInfo"/>
        <w:rPr>
          <w:lang w:bidi="en-GB"/>
        </w:rPr>
      </w:pPr>
    </w:p>
    <w:p w14:paraId="34F7187C" w14:textId="77777777" w:rsidR="00226415" w:rsidRDefault="00226415" w:rsidP="00226415">
      <w:pPr>
        <w:pStyle w:val="ContactInfo"/>
        <w:rPr>
          <w:lang w:bidi="en-GB"/>
        </w:rPr>
      </w:pPr>
    </w:p>
    <w:p w14:paraId="09547367" w14:textId="77777777" w:rsidR="00226415" w:rsidRDefault="00226415" w:rsidP="00226415">
      <w:pPr>
        <w:pStyle w:val="ContactInfo"/>
        <w:rPr>
          <w:lang w:bidi="en-GB"/>
        </w:rPr>
      </w:pPr>
    </w:p>
    <w:p w14:paraId="18BA5E1C" w14:textId="77777777" w:rsidR="00226415" w:rsidRDefault="00226415" w:rsidP="00226415">
      <w:pPr>
        <w:pStyle w:val="ContactInfo"/>
        <w:rPr>
          <w:lang w:bidi="en-GB"/>
        </w:rPr>
      </w:pPr>
    </w:p>
    <w:p w14:paraId="18ACD233" w14:textId="77777777" w:rsidR="00226415" w:rsidRDefault="00226415" w:rsidP="00226415">
      <w:pPr>
        <w:pStyle w:val="ContactInfo"/>
        <w:rPr>
          <w:lang w:bidi="en-GB"/>
        </w:rPr>
      </w:pPr>
    </w:p>
    <w:p w14:paraId="1DA8B61A" w14:textId="77777777" w:rsidR="00226415" w:rsidRDefault="00226415" w:rsidP="00226415">
      <w:pPr>
        <w:pStyle w:val="ContactInfo"/>
        <w:rPr>
          <w:lang w:bidi="en-GB"/>
        </w:rPr>
      </w:pPr>
    </w:p>
    <w:p w14:paraId="0D1FD96C" w14:textId="77777777" w:rsidR="00226415" w:rsidRDefault="00226415" w:rsidP="00226415">
      <w:pPr>
        <w:pStyle w:val="ContactInfo"/>
        <w:rPr>
          <w:lang w:bidi="en-GB"/>
        </w:rPr>
      </w:pPr>
    </w:p>
    <w:p w14:paraId="75491FB8" w14:textId="77777777" w:rsidR="00226415" w:rsidRDefault="00226415" w:rsidP="00226415">
      <w:pPr>
        <w:pStyle w:val="ContactInfo"/>
        <w:rPr>
          <w:lang w:bidi="en-GB"/>
        </w:rPr>
      </w:pPr>
    </w:p>
    <w:p w14:paraId="305DADF4" w14:textId="77777777" w:rsidR="00226415" w:rsidRDefault="00226415" w:rsidP="00226415">
      <w:pPr>
        <w:pStyle w:val="ContactInfo"/>
        <w:rPr>
          <w:lang w:bidi="en-GB"/>
        </w:rPr>
      </w:pPr>
    </w:p>
    <w:p w14:paraId="070BF7BF" w14:textId="77777777" w:rsidR="00226415" w:rsidRDefault="00226415" w:rsidP="00226415">
      <w:pPr>
        <w:pStyle w:val="ContactInfo"/>
        <w:rPr>
          <w:lang w:bidi="en-GB"/>
        </w:rPr>
      </w:pPr>
    </w:p>
    <w:p w14:paraId="0DCC0F3A" w14:textId="77777777" w:rsidR="00226415" w:rsidRDefault="00226415" w:rsidP="00C6554A">
      <w:pPr>
        <w:pStyle w:val="Heading1"/>
        <w:rPr>
          <w:rFonts w:ascii="Arial" w:hAnsi="Arial" w:cs="Arial"/>
        </w:rPr>
      </w:pPr>
    </w:p>
    <w:p w14:paraId="4A189DE8" w14:textId="77777777" w:rsidR="00226415" w:rsidRDefault="00226415" w:rsidP="00C6554A">
      <w:pPr>
        <w:pStyle w:val="Heading1"/>
        <w:rPr>
          <w:rFonts w:ascii="Arial" w:hAnsi="Arial" w:cs="Arial"/>
        </w:rPr>
      </w:pPr>
    </w:p>
    <w:p w14:paraId="06989E42" w14:textId="77777777" w:rsidR="00226415" w:rsidRDefault="00226415" w:rsidP="00C6554A">
      <w:pPr>
        <w:pStyle w:val="Heading1"/>
        <w:rPr>
          <w:rFonts w:ascii="Arial" w:hAnsi="Arial" w:cs="Arial"/>
        </w:rPr>
      </w:pPr>
    </w:p>
    <w:p w14:paraId="7A10AEA7" w14:textId="09FBBE62" w:rsidR="00C6554A" w:rsidRPr="00171116" w:rsidRDefault="00171116" w:rsidP="00C6554A">
      <w:pPr>
        <w:pStyle w:val="Heading1"/>
        <w:rPr>
          <w:rFonts w:ascii="Arial" w:hAnsi="Arial" w:cs="Arial"/>
        </w:rPr>
      </w:pPr>
      <w:bookmarkStart w:id="0" w:name="_Toc198193196"/>
      <w:r w:rsidRPr="00171116">
        <w:rPr>
          <w:rFonts w:ascii="Arial" w:hAnsi="Arial" w:cs="Arial"/>
        </w:rPr>
        <w:t>Introduction</w:t>
      </w:r>
      <w:bookmarkEnd w:id="0"/>
    </w:p>
    <w:p w14:paraId="5121636E" w14:textId="0719CF5C" w:rsidR="00171116" w:rsidRDefault="00171116" w:rsidP="00226415">
      <w:pPr>
        <w:pStyle w:val="ListBullet"/>
        <w:numPr>
          <w:ilvl w:val="0"/>
          <w:numId w:val="0"/>
        </w:numPr>
        <w:jc w:val="both"/>
        <w:rPr>
          <w:rFonts w:ascii="Arial" w:hAnsi="Arial" w:cs="Arial"/>
        </w:rPr>
      </w:pPr>
      <w:r>
        <w:rPr>
          <w:rFonts w:ascii="Arial" w:hAnsi="Arial" w:cs="Arial"/>
        </w:rPr>
        <w:t xml:space="preserve">UWTSD Constriction are planning to build a block of flats on Kings Road in Swansea. </w:t>
      </w:r>
      <w:r w:rsidR="009A3B6E">
        <w:rPr>
          <w:rFonts w:ascii="Arial" w:hAnsi="Arial" w:cs="Arial"/>
        </w:rPr>
        <w:t xml:space="preserve">The flats will be 4-6 storeys, but no overall height is given. </w:t>
      </w:r>
      <w:r>
        <w:rPr>
          <w:rFonts w:ascii="Arial" w:hAnsi="Arial" w:cs="Arial"/>
        </w:rPr>
        <w:t>This report will look into the Building Safety Act and its possible impacts on the project. It will also look at health and safety legislation which is most applicable to the scenario and how potential barriers can be overcome in the scenario. It will delve into CDM regulation before finishing with a risk assessment for the type of scenario discussed.</w:t>
      </w:r>
    </w:p>
    <w:p w14:paraId="04B6B20C" w14:textId="788CBA8F" w:rsidR="00171116" w:rsidRDefault="00171116" w:rsidP="00171116">
      <w:pPr>
        <w:pStyle w:val="Heading1"/>
        <w:rPr>
          <w:rFonts w:ascii="Arial" w:hAnsi="Arial" w:cs="Arial"/>
        </w:rPr>
      </w:pPr>
      <w:bookmarkStart w:id="1" w:name="_Toc198193197"/>
      <w:r>
        <w:rPr>
          <w:rFonts w:ascii="Arial" w:hAnsi="Arial" w:cs="Arial"/>
        </w:rPr>
        <w:t>Building Safety Act</w:t>
      </w:r>
      <w:bookmarkEnd w:id="1"/>
    </w:p>
    <w:p w14:paraId="200E488E" w14:textId="0B8DCE08" w:rsidR="00171116" w:rsidRDefault="00171116" w:rsidP="00171116">
      <w:pPr>
        <w:jc w:val="both"/>
        <w:rPr>
          <w:rFonts w:ascii="Arial" w:hAnsi="Arial" w:cs="Arial"/>
        </w:rPr>
      </w:pPr>
      <w:r>
        <w:rPr>
          <w:rFonts w:ascii="Arial" w:hAnsi="Arial" w:cs="Arial"/>
        </w:rPr>
        <w:t>The</w:t>
      </w:r>
      <w:r w:rsidR="00737AE5">
        <w:rPr>
          <w:rFonts w:ascii="Arial" w:hAnsi="Arial" w:cs="Arial"/>
        </w:rPr>
        <w:t xml:space="preserve"> Building Safety </w:t>
      </w:r>
      <w:r w:rsidR="006332AC">
        <w:rPr>
          <w:rFonts w:ascii="Arial" w:hAnsi="Arial" w:cs="Arial"/>
        </w:rPr>
        <w:t>Act 2022</w:t>
      </w:r>
      <w:r w:rsidR="006754EF">
        <w:rPr>
          <w:rFonts w:ascii="Arial" w:hAnsi="Arial" w:cs="Arial"/>
        </w:rPr>
        <w:t xml:space="preserve"> (BSA)</w:t>
      </w:r>
      <w:r w:rsidR="006332AC">
        <w:rPr>
          <w:rFonts w:ascii="Arial" w:hAnsi="Arial" w:cs="Arial"/>
        </w:rPr>
        <w:t xml:space="preserve"> is</w:t>
      </w:r>
      <w:r w:rsidR="00737AE5">
        <w:rPr>
          <w:rFonts w:ascii="Arial" w:hAnsi="Arial" w:cs="Arial"/>
        </w:rPr>
        <w:t xml:space="preserve"> a piece of legislation brought in to improve building safety</w:t>
      </w:r>
      <w:r w:rsidR="001D0984">
        <w:rPr>
          <w:rFonts w:ascii="Arial" w:hAnsi="Arial" w:cs="Arial"/>
        </w:rPr>
        <w:t xml:space="preserve"> to all buildings but</w:t>
      </w:r>
      <w:r w:rsidR="00737AE5">
        <w:rPr>
          <w:rFonts w:ascii="Arial" w:hAnsi="Arial" w:cs="Arial"/>
        </w:rPr>
        <w:t xml:space="preserve"> particularly in buildings over 18 meters or seven storeys hig</w:t>
      </w:r>
      <w:r w:rsidR="006332AC">
        <w:rPr>
          <w:rFonts w:ascii="Arial" w:hAnsi="Arial" w:cs="Arial"/>
        </w:rPr>
        <w:t>h</w:t>
      </w:r>
      <w:r w:rsidR="006754EF">
        <w:rPr>
          <w:rFonts w:ascii="Arial" w:hAnsi="Arial" w:cs="Arial"/>
        </w:rPr>
        <w:t xml:space="preserve"> which are deemed high risk</w:t>
      </w:r>
      <w:r w:rsidR="006332AC">
        <w:rPr>
          <w:rFonts w:ascii="Arial" w:hAnsi="Arial" w:cs="Arial"/>
        </w:rPr>
        <w:t xml:space="preserve">. This was introduced following the Grenfell Tragedy which resulted in the deaths of 72 people. </w:t>
      </w:r>
      <w:r w:rsidR="006754EF">
        <w:rPr>
          <w:rFonts w:ascii="Arial" w:hAnsi="Arial" w:cs="Arial"/>
        </w:rPr>
        <w:t>The act came into effect on the 1</w:t>
      </w:r>
      <w:r w:rsidR="006754EF" w:rsidRPr="006754EF">
        <w:rPr>
          <w:rFonts w:ascii="Arial" w:hAnsi="Arial" w:cs="Arial"/>
          <w:vertAlign w:val="superscript"/>
        </w:rPr>
        <w:t>st</w:t>
      </w:r>
      <w:r w:rsidR="006754EF">
        <w:rPr>
          <w:rFonts w:ascii="Arial" w:hAnsi="Arial" w:cs="Arial"/>
        </w:rPr>
        <w:t xml:space="preserve"> of April 2023. </w:t>
      </w:r>
    </w:p>
    <w:p w14:paraId="2951F8D5" w14:textId="5733E593" w:rsidR="00D334B1" w:rsidRDefault="004B506A" w:rsidP="006754EF">
      <w:pPr>
        <w:jc w:val="both"/>
        <w:rPr>
          <w:rFonts w:ascii="Arial" w:hAnsi="Arial" w:cs="Arial"/>
        </w:rPr>
      </w:pPr>
      <w:r>
        <w:rPr>
          <w:rFonts w:ascii="Arial" w:hAnsi="Arial" w:cs="Arial"/>
        </w:rPr>
        <w:t xml:space="preserve">The impact of the BSA on this project will be minimal at this stage due to the </w:t>
      </w:r>
      <w:r w:rsidR="0068431A">
        <w:rPr>
          <w:rFonts w:ascii="Arial" w:hAnsi="Arial" w:cs="Arial"/>
        </w:rPr>
        <w:t xml:space="preserve">planned </w:t>
      </w:r>
      <w:r>
        <w:rPr>
          <w:rFonts w:ascii="Arial" w:hAnsi="Arial" w:cs="Arial"/>
        </w:rPr>
        <w:t xml:space="preserve">apartment block being 4-6 </w:t>
      </w:r>
      <w:r w:rsidR="0068431A">
        <w:rPr>
          <w:rFonts w:ascii="Arial" w:hAnsi="Arial" w:cs="Arial"/>
        </w:rPr>
        <w:t>storeys,</w:t>
      </w:r>
      <w:r>
        <w:rPr>
          <w:rFonts w:ascii="Arial" w:hAnsi="Arial" w:cs="Arial"/>
        </w:rPr>
        <w:t xml:space="preserve"> however, below is some general information on the BSA to improve familiarity with the legislation.</w:t>
      </w:r>
    </w:p>
    <w:p w14:paraId="1A6EEC57" w14:textId="4DD2A715" w:rsidR="00D61117" w:rsidRDefault="00D61117" w:rsidP="00D61117">
      <w:pPr>
        <w:jc w:val="both"/>
        <w:rPr>
          <w:rFonts w:ascii="Arial" w:hAnsi="Arial" w:cs="Arial"/>
        </w:rPr>
      </w:pPr>
      <w:r>
        <w:rPr>
          <w:rFonts w:ascii="Arial" w:hAnsi="Arial" w:cs="Arial"/>
        </w:rPr>
        <w:t xml:space="preserve">In Wales, the Building Safety (Wales) Bill is scheduled for introduction in 2025. This bill has some differences to the BSA. </w:t>
      </w:r>
      <w:r w:rsidRPr="00BE2C7A">
        <w:rPr>
          <w:rFonts w:ascii="Arial" w:hAnsi="Arial" w:cs="Arial"/>
        </w:rPr>
        <w:t>These reforms will apply to all multi-occupied residential buildings, not just those 18 metres and over, meaning the changes go further than the original scope of the Building Safety Act.</w:t>
      </w:r>
      <w:r>
        <w:rPr>
          <w:rFonts w:ascii="Arial" w:hAnsi="Arial" w:cs="Arial"/>
        </w:rPr>
        <w:t xml:space="preserve"> </w:t>
      </w:r>
    </w:p>
    <w:p w14:paraId="23D3B461" w14:textId="7F3DE720" w:rsidR="00D61117" w:rsidRDefault="00D61117" w:rsidP="006754EF">
      <w:pPr>
        <w:jc w:val="both"/>
        <w:rPr>
          <w:rFonts w:ascii="Arial" w:hAnsi="Arial" w:cs="Arial"/>
        </w:rPr>
      </w:pPr>
      <w:r w:rsidRPr="00BE2C7A">
        <w:rPr>
          <w:rFonts w:ascii="Arial" w:hAnsi="Arial" w:cs="Arial"/>
        </w:rPr>
        <w:t xml:space="preserve">In Wales, all residential buildings over 11 metres now have a clear pathway for addressing fire safety issues arising from their construction, extending beyond concerns about unsafe cladding. </w:t>
      </w:r>
      <w:r>
        <w:rPr>
          <w:rFonts w:ascii="Arial" w:hAnsi="Arial" w:cs="Arial"/>
        </w:rPr>
        <w:t xml:space="preserve">The </w:t>
      </w:r>
      <w:r w:rsidRPr="00BE2C7A">
        <w:rPr>
          <w:rFonts w:ascii="Arial" w:hAnsi="Arial" w:cs="Arial"/>
        </w:rPr>
        <w:t>Building Safety Programme takes a whole-building approach, considering both internal and external fire safety risks, and prioritising the safety of residents</w:t>
      </w:r>
      <w:r>
        <w:rPr>
          <w:rFonts w:ascii="Arial" w:hAnsi="Arial" w:cs="Arial"/>
        </w:rPr>
        <w:t xml:space="preserve"> </w:t>
      </w:r>
      <w:r w:rsidRPr="00D61117">
        <w:rPr>
          <w:rFonts w:ascii="Arial" w:hAnsi="Arial" w:cs="Arial"/>
        </w:rPr>
        <w:t>(GOV Wales, 2024)</w:t>
      </w:r>
      <w:r>
        <w:rPr>
          <w:rFonts w:ascii="Arial" w:hAnsi="Arial" w:cs="Arial"/>
        </w:rPr>
        <w:t>.</w:t>
      </w:r>
    </w:p>
    <w:p w14:paraId="4F7D288E" w14:textId="19CFB9DF" w:rsidR="001D0984" w:rsidRDefault="006754EF" w:rsidP="001D0984">
      <w:pPr>
        <w:jc w:val="both"/>
        <w:rPr>
          <w:rFonts w:ascii="Arial" w:hAnsi="Arial" w:cs="Arial"/>
        </w:rPr>
      </w:pPr>
      <w:r>
        <w:rPr>
          <w:rFonts w:ascii="Arial" w:hAnsi="Arial" w:cs="Arial"/>
        </w:rPr>
        <w:t xml:space="preserve">The BSA </w:t>
      </w:r>
      <w:r w:rsidR="00D61117">
        <w:rPr>
          <w:rFonts w:ascii="Arial" w:hAnsi="Arial" w:cs="Arial"/>
        </w:rPr>
        <w:t xml:space="preserve">as a piece of legislation </w:t>
      </w:r>
      <w:r>
        <w:rPr>
          <w:rFonts w:ascii="Arial" w:hAnsi="Arial" w:cs="Arial"/>
        </w:rPr>
        <w:t xml:space="preserve">has improved accountability. For </w:t>
      </w:r>
      <w:r w:rsidR="004B506A">
        <w:rPr>
          <w:rFonts w:ascii="Arial" w:hAnsi="Arial" w:cs="Arial"/>
        </w:rPr>
        <w:t>high risk buildings,</w:t>
      </w:r>
      <w:r>
        <w:rPr>
          <w:rFonts w:ascii="Arial" w:hAnsi="Arial" w:cs="Arial"/>
        </w:rPr>
        <w:t xml:space="preserve"> an accountable person or organisation must be appointed</w:t>
      </w:r>
      <w:r w:rsidR="00747441">
        <w:rPr>
          <w:rFonts w:ascii="Arial" w:hAnsi="Arial" w:cs="Arial"/>
        </w:rPr>
        <w:t xml:space="preserve"> if over 18 meters</w:t>
      </w:r>
      <w:r>
        <w:rPr>
          <w:rFonts w:ascii="Arial" w:hAnsi="Arial" w:cs="Arial"/>
        </w:rPr>
        <w:t>. Whoever is appointed is then responsible moving forward for repairing any common parts of the building</w:t>
      </w:r>
      <w:r w:rsidR="001D0984">
        <w:rPr>
          <w:rFonts w:ascii="Arial" w:hAnsi="Arial" w:cs="Arial"/>
        </w:rPr>
        <w:t xml:space="preserve"> as well as ensuring any fire and structural safety is being maintained. As well as this, the accountable person or organisation must register the new building and receive a completion certificate before any of the apartments are lived in </w:t>
      </w:r>
      <w:r w:rsidR="001D0984" w:rsidRPr="001D0984">
        <w:rPr>
          <w:rFonts w:ascii="Arial" w:hAnsi="Arial" w:cs="Arial"/>
        </w:rPr>
        <w:t>(GOV.UK, 2024</w:t>
      </w:r>
      <w:r w:rsidR="00954B70">
        <w:rPr>
          <w:rFonts w:ascii="Arial" w:hAnsi="Arial" w:cs="Arial"/>
        </w:rPr>
        <w:t>b</w:t>
      </w:r>
      <w:r w:rsidR="001D0984" w:rsidRPr="001D0984">
        <w:rPr>
          <w:rFonts w:ascii="Arial" w:hAnsi="Arial" w:cs="Arial"/>
        </w:rPr>
        <w:t>)</w:t>
      </w:r>
      <w:r w:rsidR="001D0984">
        <w:rPr>
          <w:rFonts w:ascii="Arial" w:hAnsi="Arial" w:cs="Arial"/>
        </w:rPr>
        <w:t>.</w:t>
      </w:r>
    </w:p>
    <w:p w14:paraId="06F16A0B" w14:textId="511A5A88" w:rsidR="00CB68F0" w:rsidRDefault="001D0984" w:rsidP="00CB68F0">
      <w:pPr>
        <w:jc w:val="both"/>
        <w:rPr>
          <w:rFonts w:ascii="Arial" w:hAnsi="Arial" w:cs="Arial"/>
        </w:rPr>
      </w:pPr>
      <w:r>
        <w:rPr>
          <w:rFonts w:ascii="Arial" w:hAnsi="Arial" w:cs="Arial"/>
        </w:rPr>
        <w:t xml:space="preserve">As mentioned previously, high risk buildings will need to be registered. These must now be registered with the Building Safety Regulator (BSR) unlike before where the developer had the choice of choosing their own regulator. A BSR oversees compliance and have the ability to stop construction on site if the project is not complying with the legislation. Developers also have to apply to a BSR for building control approval before </w:t>
      </w:r>
      <w:r>
        <w:rPr>
          <w:rFonts w:ascii="Arial" w:hAnsi="Arial" w:cs="Arial"/>
        </w:rPr>
        <w:lastRenderedPageBreak/>
        <w:t xml:space="preserve">any construction work starts and once building work has been completed. This will have an impact on the project and must be considered before and after completion </w:t>
      </w:r>
      <w:r w:rsidR="00CB68F0" w:rsidRPr="00CB68F0">
        <w:rPr>
          <w:rFonts w:ascii="Arial" w:hAnsi="Arial" w:cs="Arial"/>
        </w:rPr>
        <w:t>(GOV.UK, 2024</w:t>
      </w:r>
      <w:r w:rsidR="00954B70">
        <w:rPr>
          <w:rFonts w:ascii="Arial" w:hAnsi="Arial" w:cs="Arial"/>
        </w:rPr>
        <w:t>a</w:t>
      </w:r>
      <w:r w:rsidR="00CB68F0" w:rsidRPr="00CB68F0">
        <w:rPr>
          <w:rFonts w:ascii="Arial" w:hAnsi="Arial" w:cs="Arial"/>
        </w:rPr>
        <w:t>)</w:t>
      </w:r>
      <w:r w:rsidR="00CB68F0">
        <w:rPr>
          <w:rFonts w:ascii="Arial" w:hAnsi="Arial" w:cs="Arial"/>
        </w:rPr>
        <w:t>.</w:t>
      </w:r>
    </w:p>
    <w:p w14:paraId="287E9EF1" w14:textId="2BDF8F8A" w:rsidR="00BE2C7A" w:rsidRDefault="00CB68F0" w:rsidP="00CB68F0">
      <w:pPr>
        <w:jc w:val="both"/>
        <w:rPr>
          <w:rFonts w:ascii="Arial" w:hAnsi="Arial" w:cs="Arial"/>
        </w:rPr>
      </w:pPr>
      <w:r>
        <w:rPr>
          <w:rFonts w:ascii="Arial" w:hAnsi="Arial" w:cs="Arial"/>
        </w:rPr>
        <w:t xml:space="preserve">The BSA has also introduced the requirement for a ‘Golden Thread’ of information. According to ICE, </w:t>
      </w:r>
      <w:r w:rsidRPr="00CB68F0">
        <w:rPr>
          <w:rFonts w:ascii="Arial" w:hAnsi="Arial" w:cs="Arial"/>
        </w:rPr>
        <w:t>the ‘Golden Thread’ is the term used to describe the information and documents that must be collated and stored in order to safely occupy, manage and operate a Higher-Risk Building (HRB) throughout its lifecycle.</w:t>
      </w:r>
      <w:r>
        <w:rPr>
          <w:rFonts w:ascii="Arial" w:hAnsi="Arial" w:cs="Arial"/>
        </w:rPr>
        <w:t xml:space="preserve"> This must be in place before the work has been started and must include information from the design stage. This information must also be available for the emergency services so they can respond if required. Contact details, floor plans and details of firefighting equipment must be available in the secure information box </w:t>
      </w:r>
      <w:r w:rsidRPr="00CB68F0">
        <w:rPr>
          <w:rFonts w:ascii="Arial" w:hAnsi="Arial" w:cs="Arial"/>
        </w:rPr>
        <w:t>(Institution of Civil Engineers, 2024)</w:t>
      </w:r>
      <w:r>
        <w:rPr>
          <w:rFonts w:ascii="Arial" w:hAnsi="Arial" w:cs="Arial"/>
        </w:rPr>
        <w:t>.</w:t>
      </w:r>
    </w:p>
    <w:p w14:paraId="7D1C48DA" w14:textId="7BB0D2C2" w:rsidR="00CB68F0" w:rsidRDefault="002456F0" w:rsidP="002456F0">
      <w:pPr>
        <w:pStyle w:val="Heading1"/>
        <w:rPr>
          <w:rFonts w:ascii="Arial" w:hAnsi="Arial" w:cs="Arial"/>
        </w:rPr>
      </w:pPr>
      <w:bookmarkStart w:id="2" w:name="_Toc198193198"/>
      <w:r>
        <w:rPr>
          <w:rFonts w:ascii="Arial" w:hAnsi="Arial" w:cs="Arial"/>
        </w:rPr>
        <w:t>Health and Safety Legislation</w:t>
      </w:r>
      <w:bookmarkEnd w:id="2"/>
    </w:p>
    <w:p w14:paraId="231A2F96" w14:textId="375FCCFA" w:rsidR="002456F0" w:rsidRDefault="002456F0" w:rsidP="002456F0">
      <w:pPr>
        <w:jc w:val="both"/>
        <w:rPr>
          <w:rFonts w:ascii="Arial" w:hAnsi="Arial" w:cs="Arial"/>
        </w:rPr>
      </w:pPr>
      <w:r>
        <w:rPr>
          <w:rFonts w:ascii="Arial" w:hAnsi="Arial" w:cs="Arial"/>
        </w:rPr>
        <w:t xml:space="preserve">There are several legislations which are applicable for this type of construction work. The first legislation to discuss is the ‘Health and Safety at Work etc Act 1974’. This is the primary piece of legislation covering occupation health and safety in Great Britain. It sets out general duties which employers have towards their staff and the members of public, employees have to themselves, and certain self-employed people have towards themselves and others </w:t>
      </w:r>
      <w:r w:rsidRPr="002456F0">
        <w:rPr>
          <w:rFonts w:ascii="Arial" w:hAnsi="Arial" w:cs="Arial"/>
        </w:rPr>
        <w:t>(HSE, 2020)</w:t>
      </w:r>
      <w:r>
        <w:rPr>
          <w:rFonts w:ascii="Arial" w:hAnsi="Arial" w:cs="Arial"/>
        </w:rPr>
        <w:t xml:space="preserve">. </w:t>
      </w:r>
    </w:p>
    <w:p w14:paraId="0067069A" w14:textId="76258E44" w:rsidR="005C1728" w:rsidRDefault="002456F0" w:rsidP="005C1728">
      <w:pPr>
        <w:jc w:val="both"/>
        <w:rPr>
          <w:rFonts w:ascii="Arial" w:hAnsi="Arial" w:cs="Arial"/>
        </w:rPr>
      </w:pPr>
      <w:r>
        <w:rPr>
          <w:rFonts w:ascii="Arial" w:hAnsi="Arial" w:cs="Arial"/>
        </w:rPr>
        <w:t xml:space="preserve">Another piece of legislation which is suitable for this project is ‘The Work at Height Regulations 2005’. The purpose of this act is to prevent death and injury which can be caused by a fall from height. </w:t>
      </w:r>
      <w:r w:rsidR="005C1728" w:rsidRPr="005C1728">
        <w:rPr>
          <w:rFonts w:ascii="Arial" w:hAnsi="Arial" w:cs="Arial"/>
        </w:rPr>
        <w:t>Employers and those responsible for any work at height must ensure that the work is properly planned, appropriately supervised, and carried out by competent individuals. This also involves selecting the correct equipment for working at height. For low-risk, straightforward tasks, less detailed planning may be sufficient</w:t>
      </w:r>
      <w:r w:rsidR="005C1728">
        <w:rPr>
          <w:rFonts w:ascii="Arial" w:hAnsi="Arial" w:cs="Arial"/>
        </w:rPr>
        <w:t xml:space="preserve">. </w:t>
      </w:r>
      <w:r w:rsidR="005C1728" w:rsidRPr="005C1728">
        <w:rPr>
          <w:rFonts w:ascii="Arial" w:hAnsi="Arial" w:cs="Arial"/>
        </w:rPr>
        <w:t>Before any work begins, employers and those in control must assess the associated risks.</w:t>
      </w:r>
      <w:r w:rsidR="005C1728">
        <w:rPr>
          <w:rFonts w:ascii="Arial" w:hAnsi="Arial" w:cs="Arial"/>
        </w:rPr>
        <w:t xml:space="preserve"> </w:t>
      </w:r>
      <w:r w:rsidR="005C1728" w:rsidRPr="005C1728">
        <w:rPr>
          <w:rFonts w:ascii="Arial" w:hAnsi="Arial" w:cs="Arial"/>
        </w:rPr>
        <w:t xml:space="preserve">Employees also have </w:t>
      </w:r>
      <w:r w:rsidR="005C1728">
        <w:rPr>
          <w:rFonts w:ascii="Arial" w:hAnsi="Arial" w:cs="Arial"/>
        </w:rPr>
        <w:t>a duty of</w:t>
      </w:r>
      <w:r w:rsidR="005C1728" w:rsidRPr="005C1728">
        <w:rPr>
          <w:rFonts w:ascii="Arial" w:hAnsi="Arial" w:cs="Arial"/>
        </w:rPr>
        <w:t xml:space="preserve"> care </w:t>
      </w:r>
      <w:r w:rsidR="005C1728">
        <w:rPr>
          <w:rFonts w:ascii="Arial" w:hAnsi="Arial" w:cs="Arial"/>
        </w:rPr>
        <w:t>for</w:t>
      </w:r>
      <w:r w:rsidR="005C1728" w:rsidRPr="005C1728">
        <w:rPr>
          <w:rFonts w:ascii="Arial" w:hAnsi="Arial" w:cs="Arial"/>
        </w:rPr>
        <w:t xml:space="preserve"> their own health and safety, as well as that of others who may be affected by their actions. They must also co-operate with their employer to help meet health and safety obligations and requirements</w:t>
      </w:r>
      <w:r w:rsidR="005C1728">
        <w:rPr>
          <w:rFonts w:ascii="Arial" w:hAnsi="Arial" w:cs="Arial"/>
        </w:rPr>
        <w:t xml:space="preserve"> </w:t>
      </w:r>
      <w:r w:rsidR="005C1728" w:rsidRPr="005C1728">
        <w:rPr>
          <w:rFonts w:ascii="Arial" w:hAnsi="Arial" w:cs="Arial"/>
        </w:rPr>
        <w:t>(HSE, 2019</w:t>
      </w:r>
      <w:r w:rsidR="00954B70">
        <w:rPr>
          <w:rFonts w:ascii="Arial" w:hAnsi="Arial" w:cs="Arial"/>
        </w:rPr>
        <w:t>b</w:t>
      </w:r>
      <w:r w:rsidR="005C1728" w:rsidRPr="005C1728">
        <w:rPr>
          <w:rFonts w:ascii="Arial" w:hAnsi="Arial" w:cs="Arial"/>
        </w:rPr>
        <w:t>)</w:t>
      </w:r>
      <w:r w:rsidR="005C1728">
        <w:rPr>
          <w:rFonts w:ascii="Arial" w:hAnsi="Arial" w:cs="Arial"/>
        </w:rPr>
        <w:t>.</w:t>
      </w:r>
    </w:p>
    <w:p w14:paraId="65C2C33A" w14:textId="7E795213" w:rsidR="0034325A" w:rsidRDefault="0034325A" w:rsidP="0034325A">
      <w:pPr>
        <w:jc w:val="both"/>
        <w:rPr>
          <w:rFonts w:ascii="Arial" w:hAnsi="Arial" w:cs="Arial"/>
        </w:rPr>
      </w:pPr>
      <w:r>
        <w:rPr>
          <w:rFonts w:ascii="Arial" w:hAnsi="Arial" w:cs="Arial"/>
        </w:rPr>
        <w:t>The next legislation to consider is the ‘</w:t>
      </w:r>
      <w:r w:rsidRPr="0034325A">
        <w:rPr>
          <w:rFonts w:ascii="Arial" w:hAnsi="Arial" w:cs="Arial"/>
        </w:rPr>
        <w:t>Manual Handling Operations Regulations 1992</w:t>
      </w:r>
      <w:r>
        <w:rPr>
          <w:rFonts w:ascii="Arial" w:hAnsi="Arial" w:cs="Arial"/>
        </w:rPr>
        <w:t xml:space="preserve">’. </w:t>
      </w:r>
      <w:r w:rsidRPr="0034325A">
        <w:rPr>
          <w:rFonts w:ascii="Arial" w:hAnsi="Arial" w:cs="Arial"/>
        </w:rPr>
        <w:t>The Manual Handling Regulations explain the steps that must be taken to prevent and manage risks from hazardous manual handling. First, employers should try to avoid hazardous manual handling wherever possible. If it can't be avoided, they must assess the risk of injury and then take action to reduce it as much as they can. Workers also have responsibilities. They need to follow any safety procedures, use equipment properly, cooperate with their employer on health and safety issues, report any changes or new risks they notice, and make sure they don't put others in danger</w:t>
      </w:r>
      <w:r>
        <w:rPr>
          <w:rFonts w:ascii="Arial" w:hAnsi="Arial" w:cs="Arial"/>
        </w:rPr>
        <w:t xml:space="preserve"> </w:t>
      </w:r>
      <w:r w:rsidRPr="0034325A">
        <w:rPr>
          <w:rFonts w:ascii="Arial" w:hAnsi="Arial" w:cs="Arial"/>
        </w:rPr>
        <w:t>(Health and Safety Executive, 2020)</w:t>
      </w:r>
      <w:r>
        <w:rPr>
          <w:rFonts w:ascii="Arial" w:hAnsi="Arial" w:cs="Arial"/>
        </w:rPr>
        <w:t>.</w:t>
      </w:r>
    </w:p>
    <w:p w14:paraId="019FBEEF" w14:textId="536F7698" w:rsidR="00940DE2" w:rsidRDefault="0034325A" w:rsidP="00940DE2">
      <w:pPr>
        <w:jc w:val="both"/>
        <w:rPr>
          <w:rFonts w:ascii="Arial" w:hAnsi="Arial" w:cs="Arial"/>
        </w:rPr>
      </w:pPr>
      <w:r>
        <w:rPr>
          <w:rFonts w:ascii="Arial" w:hAnsi="Arial" w:cs="Arial"/>
        </w:rPr>
        <w:t>Another legislation is the ‘</w:t>
      </w:r>
      <w:r w:rsidRPr="0034325A">
        <w:rPr>
          <w:rFonts w:ascii="Arial" w:hAnsi="Arial" w:cs="Arial"/>
        </w:rPr>
        <w:t>Control of Substances Hazardous to Health Regulations</w:t>
      </w:r>
      <w:r>
        <w:rPr>
          <w:rFonts w:ascii="Arial" w:hAnsi="Arial" w:cs="Arial"/>
        </w:rPr>
        <w:t xml:space="preserve">’. By law you must </w:t>
      </w:r>
      <w:r w:rsidRPr="0034325A">
        <w:rPr>
          <w:rFonts w:ascii="Arial" w:hAnsi="Arial" w:cs="Arial"/>
        </w:rPr>
        <w:t>adequately control exposure to materials in the workplace that cause ill health</w:t>
      </w:r>
      <w:r>
        <w:rPr>
          <w:rFonts w:ascii="Arial" w:hAnsi="Arial" w:cs="Arial"/>
        </w:rPr>
        <w:t xml:space="preserve">. </w:t>
      </w:r>
      <w:r w:rsidR="00940DE2">
        <w:rPr>
          <w:rFonts w:ascii="Arial" w:hAnsi="Arial" w:cs="Arial"/>
        </w:rPr>
        <w:t>According to HSE, t</w:t>
      </w:r>
      <w:r w:rsidR="00940DE2" w:rsidRPr="00940DE2">
        <w:rPr>
          <w:rFonts w:ascii="Arial" w:hAnsi="Arial" w:cs="Arial"/>
        </w:rPr>
        <w:t xml:space="preserve">hese substances might include dusts, gases, or fumes that are breathed in, or liquids, gels, and powders that come into contact with the skin or eyes. Harmful micro-organisms could also be present, which may cause infections, </w:t>
      </w:r>
      <w:r w:rsidR="00940DE2" w:rsidRPr="00940DE2">
        <w:rPr>
          <w:rFonts w:ascii="Arial" w:hAnsi="Arial" w:cs="Arial"/>
        </w:rPr>
        <w:lastRenderedPageBreak/>
        <w:t>allergic reactions, or have toxic effects. Dangerous substances can be found in a wide range of materials, such as paints, cleaning products, flour dust, solder fumes, blood, or waste</w:t>
      </w:r>
      <w:r w:rsidR="00940DE2">
        <w:rPr>
          <w:rFonts w:ascii="Arial" w:hAnsi="Arial" w:cs="Arial"/>
        </w:rPr>
        <w:t xml:space="preserve"> </w:t>
      </w:r>
      <w:r w:rsidR="00940DE2" w:rsidRPr="00940DE2">
        <w:rPr>
          <w:rFonts w:ascii="Arial" w:hAnsi="Arial" w:cs="Arial"/>
        </w:rPr>
        <w:t>(HSE, 2019</w:t>
      </w:r>
      <w:r w:rsidR="00954B70">
        <w:rPr>
          <w:rFonts w:ascii="Arial" w:hAnsi="Arial" w:cs="Arial"/>
        </w:rPr>
        <w:t>a</w:t>
      </w:r>
      <w:r w:rsidR="00940DE2" w:rsidRPr="00940DE2">
        <w:rPr>
          <w:rFonts w:ascii="Arial" w:hAnsi="Arial" w:cs="Arial"/>
        </w:rPr>
        <w:t>)</w:t>
      </w:r>
      <w:r w:rsidR="00940DE2">
        <w:rPr>
          <w:rFonts w:ascii="Arial" w:hAnsi="Arial" w:cs="Arial"/>
        </w:rPr>
        <w:t xml:space="preserve">. Exposure to the hazards can be prevented or reduced by finding out what the health hazards are, running risk assessments and providing measures to limit harm to health. </w:t>
      </w:r>
    </w:p>
    <w:p w14:paraId="767FE1BE" w14:textId="42142442" w:rsidR="00F136E8" w:rsidRDefault="00F136E8" w:rsidP="00F136E8">
      <w:pPr>
        <w:jc w:val="both"/>
        <w:rPr>
          <w:rFonts w:ascii="Arial" w:hAnsi="Arial" w:cs="Arial"/>
        </w:rPr>
      </w:pPr>
      <w:r>
        <w:rPr>
          <w:rFonts w:ascii="Arial" w:hAnsi="Arial" w:cs="Arial"/>
        </w:rPr>
        <w:t xml:space="preserve">The final legislation to look at is the </w:t>
      </w:r>
      <w:r w:rsidRPr="00F136E8">
        <w:rPr>
          <w:rFonts w:ascii="Arial" w:hAnsi="Arial" w:cs="Arial"/>
        </w:rPr>
        <w:t xml:space="preserve">Personal </w:t>
      </w:r>
      <w:r>
        <w:rPr>
          <w:rFonts w:ascii="Arial" w:hAnsi="Arial" w:cs="Arial"/>
        </w:rPr>
        <w:t>P</w:t>
      </w:r>
      <w:r w:rsidRPr="00F136E8">
        <w:rPr>
          <w:rFonts w:ascii="Arial" w:hAnsi="Arial" w:cs="Arial"/>
        </w:rPr>
        <w:t xml:space="preserve">rotective </w:t>
      </w:r>
      <w:r>
        <w:rPr>
          <w:rFonts w:ascii="Arial" w:hAnsi="Arial" w:cs="Arial"/>
        </w:rPr>
        <w:t>E</w:t>
      </w:r>
      <w:r w:rsidRPr="00F136E8">
        <w:rPr>
          <w:rFonts w:ascii="Arial" w:hAnsi="Arial" w:cs="Arial"/>
        </w:rPr>
        <w:t xml:space="preserve">quipment (PPE) at </w:t>
      </w:r>
      <w:r>
        <w:rPr>
          <w:rFonts w:ascii="Arial" w:hAnsi="Arial" w:cs="Arial"/>
        </w:rPr>
        <w:t>W</w:t>
      </w:r>
      <w:r w:rsidRPr="00F136E8">
        <w:rPr>
          <w:rFonts w:ascii="Arial" w:hAnsi="Arial" w:cs="Arial"/>
        </w:rPr>
        <w:t xml:space="preserve">ork </w:t>
      </w:r>
      <w:r>
        <w:rPr>
          <w:rFonts w:ascii="Arial" w:hAnsi="Arial" w:cs="Arial"/>
        </w:rPr>
        <w:t>R</w:t>
      </w:r>
      <w:r w:rsidRPr="00F136E8">
        <w:rPr>
          <w:rFonts w:ascii="Arial" w:hAnsi="Arial" w:cs="Arial"/>
        </w:rPr>
        <w:t>egulation</w:t>
      </w:r>
      <w:r>
        <w:rPr>
          <w:rFonts w:ascii="Arial" w:hAnsi="Arial" w:cs="Arial"/>
        </w:rPr>
        <w:t xml:space="preserve"> 2022. Under the old legislation, the duty was solely on the employer to provide PPE to employees who may be at risk. Under the 2022 legislation, this duty is extended to limb workers for example flexible workers that are not on full time contracts. Under the legislation, e</w:t>
      </w:r>
      <w:r w:rsidRPr="00F136E8">
        <w:rPr>
          <w:rFonts w:ascii="Arial" w:hAnsi="Arial" w:cs="Arial"/>
        </w:rPr>
        <w:t>mployers must give free PPE to all workers, including temporary and self-employed staff. The PPE must fit properly, be in good condition, and be suitable for the work. Employers also need to provide proper training, so workers know how to use the PPE correctly. PPE should be checked regularly and replaced if it gets damaged or worn out</w:t>
      </w:r>
      <w:r>
        <w:rPr>
          <w:rFonts w:ascii="Arial" w:hAnsi="Arial" w:cs="Arial"/>
        </w:rPr>
        <w:t xml:space="preserve"> </w:t>
      </w:r>
      <w:r w:rsidRPr="00F136E8">
        <w:rPr>
          <w:rFonts w:ascii="Arial" w:hAnsi="Arial" w:cs="Arial"/>
        </w:rPr>
        <w:t>(Work Safe UK, 2025)</w:t>
      </w:r>
      <w:r>
        <w:rPr>
          <w:rFonts w:ascii="Arial" w:hAnsi="Arial" w:cs="Arial"/>
        </w:rPr>
        <w:t>.</w:t>
      </w:r>
    </w:p>
    <w:p w14:paraId="6BFE51D5" w14:textId="499253D6" w:rsidR="00F136E8" w:rsidRDefault="000D6A77" w:rsidP="000D6A77">
      <w:pPr>
        <w:pStyle w:val="Heading1"/>
        <w:rPr>
          <w:rFonts w:ascii="Arial" w:hAnsi="Arial" w:cs="Arial"/>
        </w:rPr>
      </w:pPr>
      <w:bookmarkStart w:id="3" w:name="_Toc198193199"/>
      <w:r>
        <w:rPr>
          <w:rFonts w:ascii="Arial" w:hAnsi="Arial" w:cs="Arial"/>
        </w:rPr>
        <w:t>Barriers To Health and Safety Management</w:t>
      </w:r>
      <w:bookmarkEnd w:id="3"/>
    </w:p>
    <w:p w14:paraId="0413D38C" w14:textId="618C4C7C" w:rsidR="000D6A77" w:rsidRDefault="000D6A77" w:rsidP="000D6A77">
      <w:pPr>
        <w:jc w:val="both"/>
        <w:rPr>
          <w:rFonts w:ascii="Arial" w:hAnsi="Arial" w:cs="Arial"/>
        </w:rPr>
      </w:pPr>
      <w:r>
        <w:rPr>
          <w:rFonts w:ascii="Arial" w:hAnsi="Arial" w:cs="Arial"/>
        </w:rPr>
        <w:t>As with any construction project, there will be potential barriers to help the project meet effective health and safety management. There needs to be a strong, clear and straightforward health and safety procedure with regular check-ups.</w:t>
      </w:r>
    </w:p>
    <w:p w14:paraId="6AC3110E" w14:textId="040487B4" w:rsidR="00143440" w:rsidRDefault="000D6A77" w:rsidP="00143440">
      <w:pPr>
        <w:jc w:val="both"/>
        <w:rPr>
          <w:rFonts w:ascii="Arial" w:hAnsi="Arial" w:cs="Arial"/>
        </w:rPr>
      </w:pPr>
      <w:r>
        <w:rPr>
          <w:rFonts w:ascii="Arial" w:hAnsi="Arial" w:cs="Arial"/>
        </w:rPr>
        <w:t xml:space="preserve">One potential barrier to effective health and safety is human factors. </w:t>
      </w:r>
      <w:r w:rsidR="00565287">
        <w:rPr>
          <w:rFonts w:ascii="Arial" w:hAnsi="Arial" w:cs="Arial"/>
        </w:rPr>
        <w:t>For health and safety to work effectively in the workplace, there must be a clear effort from all employees from top to bottom. A lack of communication, risk taking behaviours, poor attitudes towards health and safety are just a few examples of human issues that can hinder health and safety. To overcome this scenario, training and awareness has to be raised to increase skills and change attitudes. Regular site meetings and clear roles can help with communication issues. Site inspections can be introduced to help workers comply with the requirements as well as ongoing health and safety training</w:t>
      </w:r>
      <w:r w:rsidR="00143440">
        <w:rPr>
          <w:rFonts w:ascii="Arial" w:hAnsi="Arial" w:cs="Arial"/>
        </w:rPr>
        <w:t xml:space="preserve">. As well as employees, management must be committed to overcome barriers. A lack of enforcement for the rules will potentially let that attitude drip down to the workers which will put everyone at risk. Pressure to complete the project by certain dates will put stress on workers and must not be at the detriment to the safety of staff members </w:t>
      </w:r>
      <w:r w:rsidR="00143440" w:rsidRPr="00143440">
        <w:rPr>
          <w:rFonts w:ascii="Arial" w:hAnsi="Arial" w:cs="Arial"/>
        </w:rPr>
        <w:t>(Internation</w:t>
      </w:r>
      <w:r w:rsidR="00143440">
        <w:rPr>
          <w:rFonts w:ascii="Arial" w:hAnsi="Arial" w:cs="Arial"/>
        </w:rPr>
        <w:t>al</w:t>
      </w:r>
      <w:r w:rsidR="00143440" w:rsidRPr="00143440">
        <w:rPr>
          <w:rFonts w:ascii="Arial" w:hAnsi="Arial" w:cs="Arial"/>
        </w:rPr>
        <w:t xml:space="preserve"> Workplace, 2024)</w:t>
      </w:r>
      <w:r w:rsidR="00143440">
        <w:rPr>
          <w:rFonts w:ascii="Arial" w:hAnsi="Arial" w:cs="Arial"/>
        </w:rPr>
        <w:t>.</w:t>
      </w:r>
    </w:p>
    <w:p w14:paraId="45BD66E5" w14:textId="1B729ECB" w:rsidR="000D6A77" w:rsidRPr="000D6A77" w:rsidRDefault="004F2C52" w:rsidP="000D6A77">
      <w:pPr>
        <w:jc w:val="both"/>
        <w:rPr>
          <w:rFonts w:ascii="Arial" w:hAnsi="Arial" w:cs="Arial"/>
        </w:rPr>
      </w:pPr>
      <w:r>
        <w:rPr>
          <w:rFonts w:ascii="Arial" w:hAnsi="Arial" w:cs="Arial"/>
        </w:rPr>
        <w:t xml:space="preserve">Another barrier to effective health and safety in the workplace is the complexity of the project and the demands on site. This project in particular is working at height which is a barrier. The working at height legislation previously discussed with need to be adhered too. Physical work at such a height can be dangerous as well as the surrounding environments like weather, temperature and lighting. </w:t>
      </w:r>
      <w:r w:rsidRPr="004F2C52">
        <w:rPr>
          <w:rFonts w:ascii="Arial" w:hAnsi="Arial" w:cs="Arial"/>
        </w:rPr>
        <w:t>Thinking skills like attention, memory, and problem-solving are very important for staying safe in busy and complicated workplaces</w:t>
      </w:r>
      <w:r>
        <w:rPr>
          <w:rFonts w:ascii="Arial" w:hAnsi="Arial" w:cs="Arial"/>
        </w:rPr>
        <w:t xml:space="preserve"> like this project will be</w:t>
      </w:r>
      <w:r w:rsidRPr="004F2C52">
        <w:rPr>
          <w:rFonts w:ascii="Arial" w:hAnsi="Arial" w:cs="Arial"/>
        </w:rPr>
        <w:t>. Jobs that need a lot of focus, like using heavy machinery or handling important systems, can easily lead to mistakes if workers are overloaded or bored. Giving workers a good balance of tasks, using things like task rotation and regular breaks, can help them stay alert and do their jobs properly</w:t>
      </w:r>
      <w:r>
        <w:rPr>
          <w:rFonts w:ascii="Arial" w:hAnsi="Arial" w:cs="Arial"/>
        </w:rPr>
        <w:t xml:space="preserve"> </w:t>
      </w:r>
      <w:r w:rsidRPr="00143440">
        <w:rPr>
          <w:rFonts w:ascii="Arial" w:hAnsi="Arial" w:cs="Arial"/>
        </w:rPr>
        <w:t>(Internation</w:t>
      </w:r>
      <w:r>
        <w:rPr>
          <w:rFonts w:ascii="Arial" w:hAnsi="Arial" w:cs="Arial"/>
        </w:rPr>
        <w:t>al</w:t>
      </w:r>
      <w:r w:rsidRPr="00143440">
        <w:rPr>
          <w:rFonts w:ascii="Arial" w:hAnsi="Arial" w:cs="Arial"/>
        </w:rPr>
        <w:t xml:space="preserve"> Workplace, 2024)</w:t>
      </w:r>
      <w:r>
        <w:rPr>
          <w:rFonts w:ascii="Arial" w:hAnsi="Arial" w:cs="Arial"/>
        </w:rPr>
        <w:t>.</w:t>
      </w:r>
    </w:p>
    <w:p w14:paraId="48BFDC5E" w14:textId="0DA72039" w:rsidR="00F136E8" w:rsidRPr="004F2C52" w:rsidRDefault="004F2C52" w:rsidP="004F2C52">
      <w:pPr>
        <w:pStyle w:val="Heading1"/>
        <w:rPr>
          <w:rFonts w:ascii="Arial" w:hAnsi="Arial" w:cs="Arial"/>
        </w:rPr>
      </w:pPr>
      <w:bookmarkStart w:id="4" w:name="_Toc198193200"/>
      <w:r>
        <w:rPr>
          <w:rFonts w:ascii="Arial" w:hAnsi="Arial" w:cs="Arial"/>
        </w:rPr>
        <w:lastRenderedPageBreak/>
        <w:t>CDM Regulations</w:t>
      </w:r>
      <w:bookmarkEnd w:id="4"/>
    </w:p>
    <w:p w14:paraId="248B1ADC" w14:textId="36759DCF" w:rsidR="00D72407" w:rsidRDefault="00D72407" w:rsidP="00D72407">
      <w:pPr>
        <w:jc w:val="both"/>
        <w:rPr>
          <w:rFonts w:ascii="Arial" w:hAnsi="Arial" w:cs="Arial"/>
        </w:rPr>
      </w:pPr>
      <w:r w:rsidRPr="005714BB">
        <w:rPr>
          <w:rFonts w:ascii="Arial" w:hAnsi="Arial" w:cs="Arial"/>
        </w:rPr>
        <w:t>The Construction (Design and Management) Regulations 2015 aims to improve health, safety and welfare through a construction project and effects a number of different parties involved. Starting with the client who must make sure their project is suitably managed, ensuring the health and safety of all who might be affected by the work like staff members and members of the general public. The client must also employ a suitable principal designer and principal contractor</w:t>
      </w:r>
      <w:r w:rsidR="005714BB" w:rsidRPr="005714BB">
        <w:rPr>
          <w:rFonts w:ascii="Arial" w:hAnsi="Arial" w:cs="Arial"/>
        </w:rPr>
        <w:t xml:space="preserve"> </w:t>
      </w:r>
      <w:r w:rsidR="005714BB" w:rsidRPr="005714BB">
        <w:rPr>
          <w:rFonts w:ascii="Arial" w:hAnsi="Arial" w:cs="Arial"/>
        </w:rPr>
        <w:t>(HSE, 2015a)</w:t>
      </w:r>
      <w:r w:rsidR="005714BB" w:rsidRPr="005714BB">
        <w:rPr>
          <w:rFonts w:ascii="Arial" w:hAnsi="Arial" w:cs="Arial"/>
        </w:rPr>
        <w:t>.</w:t>
      </w:r>
    </w:p>
    <w:p w14:paraId="6A094723" w14:textId="13BF5EBC" w:rsidR="00D72407" w:rsidRDefault="00D72407" w:rsidP="00D72407">
      <w:pPr>
        <w:jc w:val="both"/>
        <w:rPr>
          <w:rFonts w:ascii="Arial" w:hAnsi="Arial" w:cs="Arial"/>
        </w:rPr>
      </w:pPr>
      <w:r>
        <w:rPr>
          <w:rFonts w:ascii="Arial" w:hAnsi="Arial" w:cs="Arial"/>
        </w:rPr>
        <w:t xml:space="preserve">The principal designer </w:t>
      </w:r>
      <w:r w:rsidR="00056C7F">
        <w:rPr>
          <w:rFonts w:ascii="Arial" w:hAnsi="Arial" w:cs="Arial"/>
        </w:rPr>
        <w:t xml:space="preserve">is responsible for planning and managing health and safety in the pre-construction phase. </w:t>
      </w:r>
      <w:r w:rsidR="00056C7F" w:rsidRPr="00056C7F">
        <w:rPr>
          <w:rFonts w:ascii="Arial" w:hAnsi="Arial" w:cs="Arial"/>
        </w:rPr>
        <w:t>Designers must also work together to remove any foreseeable health and safety risks where possible. If risks can't be completely removed, they should take steps to reduce or control them</w:t>
      </w:r>
      <w:r w:rsidR="00056C7F">
        <w:rPr>
          <w:rFonts w:ascii="Arial" w:hAnsi="Arial" w:cs="Arial"/>
        </w:rPr>
        <w:t xml:space="preserve"> </w:t>
      </w:r>
      <w:r w:rsidR="00056C7F" w:rsidRPr="00056C7F">
        <w:rPr>
          <w:rFonts w:ascii="Arial" w:hAnsi="Arial" w:cs="Arial"/>
        </w:rPr>
        <w:t>(HSE, 2015</w:t>
      </w:r>
      <w:r w:rsidR="005714BB">
        <w:rPr>
          <w:rFonts w:ascii="Arial" w:hAnsi="Arial" w:cs="Arial"/>
        </w:rPr>
        <w:t>c</w:t>
      </w:r>
      <w:r w:rsidR="00056C7F" w:rsidRPr="00056C7F">
        <w:rPr>
          <w:rFonts w:ascii="Arial" w:hAnsi="Arial" w:cs="Arial"/>
        </w:rPr>
        <w:t>)</w:t>
      </w:r>
      <w:r w:rsidR="00056C7F">
        <w:rPr>
          <w:rFonts w:ascii="Arial" w:hAnsi="Arial" w:cs="Arial"/>
        </w:rPr>
        <w:t>.</w:t>
      </w:r>
    </w:p>
    <w:p w14:paraId="34E890D7" w14:textId="0799E5B5" w:rsidR="00056C7F" w:rsidRPr="00D72407" w:rsidRDefault="00056C7F" w:rsidP="00D72407">
      <w:pPr>
        <w:jc w:val="both"/>
        <w:rPr>
          <w:rFonts w:ascii="Arial" w:hAnsi="Arial" w:cs="Arial"/>
        </w:rPr>
      </w:pPr>
      <w:r>
        <w:rPr>
          <w:rFonts w:ascii="Arial" w:hAnsi="Arial" w:cs="Arial"/>
        </w:rPr>
        <w:t xml:space="preserve">The principal contractor similarly is responsible for health and safety issues during the construction phase so must have suitable skills for the role. The principal contractor is responsible for planning and monitoring the entire construction phase. They should prepare a construction phase plan before construction begins and make sure it is regularly assessed throughout the construction phase. They should make sure there are suitable facilities available from the start of the project and regularly consult and engage with workers regarding their health and safety </w:t>
      </w:r>
      <w:r w:rsidRPr="00056C7F">
        <w:rPr>
          <w:rFonts w:ascii="Arial" w:hAnsi="Arial" w:cs="Arial"/>
        </w:rPr>
        <w:t>(Health and Safety Executive, 2015)</w:t>
      </w:r>
      <w:r>
        <w:rPr>
          <w:rFonts w:ascii="Arial" w:hAnsi="Arial" w:cs="Arial"/>
        </w:rPr>
        <w:t>.</w:t>
      </w:r>
    </w:p>
    <w:p w14:paraId="0DEA2B24" w14:textId="151EEC55" w:rsidR="00A9246B" w:rsidRDefault="00A9246B" w:rsidP="00A9246B">
      <w:pPr>
        <w:jc w:val="both"/>
        <w:rPr>
          <w:rFonts w:ascii="Arial" w:hAnsi="Arial" w:cs="Arial"/>
        </w:rPr>
      </w:pPr>
      <w:r>
        <w:rPr>
          <w:rFonts w:ascii="Arial" w:hAnsi="Arial" w:cs="Arial"/>
        </w:rPr>
        <w:t xml:space="preserve">Another party involved is the worker. </w:t>
      </w:r>
      <w:r w:rsidRPr="00A9246B">
        <w:rPr>
          <w:rFonts w:ascii="Arial" w:hAnsi="Arial" w:cs="Arial"/>
        </w:rPr>
        <w:t xml:space="preserve">A worker is </w:t>
      </w:r>
      <w:r>
        <w:rPr>
          <w:rFonts w:ascii="Arial" w:hAnsi="Arial" w:cs="Arial"/>
        </w:rPr>
        <w:t xml:space="preserve">classed as </w:t>
      </w:r>
      <w:r w:rsidRPr="00A9246B">
        <w:rPr>
          <w:rFonts w:ascii="Arial" w:hAnsi="Arial" w:cs="Arial"/>
        </w:rPr>
        <w:t>anyone who is working for or under the control of a contractor on a construction site. This includes people like plumbers, electricians, scaffolders, painters,</w:t>
      </w:r>
      <w:r>
        <w:rPr>
          <w:rFonts w:ascii="Arial" w:hAnsi="Arial" w:cs="Arial"/>
        </w:rPr>
        <w:t xml:space="preserve"> </w:t>
      </w:r>
      <w:r w:rsidRPr="00A9246B">
        <w:rPr>
          <w:rFonts w:ascii="Arial" w:hAnsi="Arial" w:cs="Arial"/>
        </w:rPr>
        <w:t>labourers, and supervisors such as foremen and chargehands. Workers play an important role in managing health and safety and should be actively involved. They must only do construction work if they have the right skills, knowledge, training, and experience, or if they are given proper training and supervision to work safely. Workers should also learn about the health and safety risks on each site and understand how these risks are managed. It is important that they always follow site rules and procedures</w:t>
      </w:r>
      <w:r>
        <w:rPr>
          <w:rFonts w:ascii="Arial" w:hAnsi="Arial" w:cs="Arial"/>
        </w:rPr>
        <w:t xml:space="preserve"> </w:t>
      </w:r>
      <w:r w:rsidRPr="00A9246B">
        <w:rPr>
          <w:rFonts w:ascii="Arial" w:hAnsi="Arial" w:cs="Arial"/>
        </w:rPr>
        <w:t>(Health and Safety Executive, 2015)</w:t>
      </w:r>
      <w:r>
        <w:rPr>
          <w:rFonts w:ascii="Arial" w:hAnsi="Arial" w:cs="Arial"/>
        </w:rPr>
        <w:t>.</w:t>
      </w:r>
    </w:p>
    <w:p w14:paraId="5B175025" w14:textId="2FA1FFEE" w:rsidR="00226415" w:rsidRDefault="00226415" w:rsidP="00226415">
      <w:pPr>
        <w:jc w:val="both"/>
        <w:rPr>
          <w:rFonts w:ascii="Arial" w:hAnsi="Arial" w:cs="Arial"/>
        </w:rPr>
      </w:pPr>
      <w:r>
        <w:rPr>
          <w:rFonts w:ascii="Arial" w:hAnsi="Arial" w:cs="Arial"/>
        </w:rPr>
        <w:t xml:space="preserve">As well as principal designers and contractors, projects will also have designers and contractors that will report to the principal designers and contractors if some are appointed. Designers and contractors have to consider any information provided by the client and eliminate any health and safety risks. The designer will have to provide design information to the principal designer </w:t>
      </w:r>
      <w:r w:rsidRPr="00226415">
        <w:rPr>
          <w:rFonts w:ascii="Arial" w:hAnsi="Arial" w:cs="Arial"/>
        </w:rPr>
        <w:t>(Health and Safety Executive, 2015)</w:t>
      </w:r>
      <w:r>
        <w:rPr>
          <w:rFonts w:ascii="Arial" w:hAnsi="Arial" w:cs="Arial"/>
        </w:rPr>
        <w:t xml:space="preserve">. The contractors will have to coordinate their work with others on the project team and comply with instructions given by the principal designer and contractor </w:t>
      </w:r>
      <w:r w:rsidRPr="00226415">
        <w:rPr>
          <w:rFonts w:ascii="Arial" w:hAnsi="Arial" w:cs="Arial"/>
        </w:rPr>
        <w:t>(HSE, 2015</w:t>
      </w:r>
      <w:r w:rsidR="005714BB">
        <w:rPr>
          <w:rFonts w:ascii="Arial" w:hAnsi="Arial" w:cs="Arial"/>
        </w:rPr>
        <w:t>b</w:t>
      </w:r>
      <w:r>
        <w:rPr>
          <w:rFonts w:ascii="Arial" w:hAnsi="Arial" w:cs="Arial"/>
        </w:rPr>
        <w:t>).</w:t>
      </w:r>
    </w:p>
    <w:p w14:paraId="060CB237" w14:textId="3FC4CF6F" w:rsidR="00226415" w:rsidRDefault="006C6C7F" w:rsidP="006C6C7F">
      <w:pPr>
        <w:pStyle w:val="Heading1"/>
        <w:rPr>
          <w:rFonts w:ascii="Arial" w:hAnsi="Arial" w:cs="Arial"/>
        </w:rPr>
      </w:pPr>
      <w:bookmarkStart w:id="5" w:name="_Toc198193201"/>
      <w:r>
        <w:rPr>
          <w:rFonts w:ascii="Arial" w:hAnsi="Arial" w:cs="Arial"/>
        </w:rPr>
        <w:lastRenderedPageBreak/>
        <w:t>Risk Assessment</w:t>
      </w:r>
      <w:bookmarkEnd w:id="5"/>
    </w:p>
    <w:p w14:paraId="29E477AF" w14:textId="58D3DB33" w:rsidR="006C6C7F" w:rsidRPr="006C6C7F" w:rsidRDefault="006C6C7F" w:rsidP="006C6C7F">
      <w:r w:rsidRPr="006C6C7F">
        <w:rPr>
          <w:noProof/>
        </w:rPr>
        <w:drawing>
          <wp:inline distT="0" distB="0" distL="0" distR="0" wp14:anchorId="528D0C64" wp14:editId="7F011119">
            <wp:extent cx="3848298" cy="5245370"/>
            <wp:effectExtent l="0" t="0" r="0" b="0"/>
            <wp:docPr id="14109401" name="Picture 1" descr="A document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9401" name="Picture 1" descr="A document with text and numbers&#10;&#10;AI-generated content may be incorrect."/>
                    <pic:cNvPicPr/>
                  </pic:nvPicPr>
                  <pic:blipFill>
                    <a:blip r:embed="rId8"/>
                    <a:stretch>
                      <a:fillRect/>
                    </a:stretch>
                  </pic:blipFill>
                  <pic:spPr>
                    <a:xfrm>
                      <a:off x="0" y="0"/>
                      <a:ext cx="3848298" cy="5245370"/>
                    </a:xfrm>
                    <a:prstGeom prst="rect">
                      <a:avLst/>
                    </a:prstGeom>
                  </pic:spPr>
                </pic:pic>
              </a:graphicData>
            </a:graphic>
          </wp:inline>
        </w:drawing>
      </w:r>
    </w:p>
    <w:p w14:paraId="1F5B4AB5" w14:textId="286A8A1D" w:rsidR="00226415" w:rsidRPr="00226415" w:rsidRDefault="00226415" w:rsidP="00226415">
      <w:pPr>
        <w:jc w:val="both"/>
        <w:rPr>
          <w:rFonts w:ascii="Arial" w:hAnsi="Arial" w:cs="Arial"/>
        </w:rPr>
      </w:pPr>
    </w:p>
    <w:p w14:paraId="593218B8" w14:textId="0C4DB41C" w:rsidR="00226415" w:rsidRPr="00A9246B" w:rsidRDefault="00226415" w:rsidP="00A9246B">
      <w:pPr>
        <w:jc w:val="both"/>
        <w:rPr>
          <w:rFonts w:ascii="Arial" w:hAnsi="Arial" w:cs="Arial"/>
        </w:rPr>
      </w:pPr>
    </w:p>
    <w:p w14:paraId="0AB29571" w14:textId="6B85AF76" w:rsidR="00940DE2" w:rsidRPr="00940DE2" w:rsidRDefault="00940DE2" w:rsidP="00940DE2">
      <w:pPr>
        <w:jc w:val="both"/>
        <w:rPr>
          <w:rFonts w:ascii="Arial" w:hAnsi="Arial" w:cs="Arial"/>
        </w:rPr>
      </w:pPr>
    </w:p>
    <w:p w14:paraId="4BD8B9E2" w14:textId="686C8BB9" w:rsidR="0034325A" w:rsidRDefault="0034325A" w:rsidP="0034325A">
      <w:pPr>
        <w:jc w:val="both"/>
        <w:rPr>
          <w:rFonts w:ascii="Arial" w:hAnsi="Arial" w:cs="Arial"/>
        </w:rPr>
      </w:pPr>
    </w:p>
    <w:p w14:paraId="3393955B" w14:textId="77777777" w:rsidR="004F636F" w:rsidRDefault="004F636F" w:rsidP="0034325A">
      <w:pPr>
        <w:jc w:val="both"/>
        <w:rPr>
          <w:rFonts w:ascii="Arial" w:hAnsi="Arial" w:cs="Arial"/>
        </w:rPr>
      </w:pPr>
    </w:p>
    <w:p w14:paraId="1E468FE8" w14:textId="77777777" w:rsidR="004F636F" w:rsidRDefault="004F636F" w:rsidP="0034325A">
      <w:pPr>
        <w:jc w:val="both"/>
        <w:rPr>
          <w:rFonts w:ascii="Arial" w:hAnsi="Arial" w:cs="Arial"/>
        </w:rPr>
      </w:pPr>
    </w:p>
    <w:p w14:paraId="194A00C4" w14:textId="77777777" w:rsidR="004F636F" w:rsidRDefault="004F636F" w:rsidP="0034325A">
      <w:pPr>
        <w:jc w:val="both"/>
        <w:rPr>
          <w:rFonts w:ascii="Arial" w:hAnsi="Arial" w:cs="Arial"/>
        </w:rPr>
      </w:pPr>
    </w:p>
    <w:p w14:paraId="399ACC41" w14:textId="77777777" w:rsidR="004F636F" w:rsidRPr="0034325A" w:rsidRDefault="004F636F" w:rsidP="0034325A">
      <w:pPr>
        <w:jc w:val="both"/>
        <w:rPr>
          <w:rFonts w:ascii="Arial" w:hAnsi="Arial" w:cs="Arial"/>
        </w:rPr>
      </w:pPr>
    </w:p>
    <w:p w14:paraId="20CC32B3" w14:textId="46B13004" w:rsidR="004F636F" w:rsidRPr="004F636F" w:rsidRDefault="00C173AA" w:rsidP="004F636F">
      <w:pPr>
        <w:pStyle w:val="Heading1"/>
        <w:rPr>
          <w:rFonts w:ascii="Arial" w:hAnsi="Arial" w:cs="Arial"/>
        </w:rPr>
      </w:pPr>
      <w:bookmarkStart w:id="6" w:name="_Toc198193202"/>
      <w:r>
        <w:rPr>
          <w:rFonts w:ascii="Arial" w:hAnsi="Arial" w:cs="Arial"/>
        </w:rPr>
        <w:lastRenderedPageBreak/>
        <w:t>References</w:t>
      </w:r>
      <w:bookmarkEnd w:id="6"/>
    </w:p>
    <w:p w14:paraId="64D6573F" w14:textId="77777777" w:rsidR="005714BB" w:rsidRPr="005714BB" w:rsidRDefault="005714BB" w:rsidP="005714BB">
      <w:pPr>
        <w:jc w:val="both"/>
        <w:rPr>
          <w:rFonts w:ascii="Arial" w:hAnsi="Arial" w:cs="Arial"/>
        </w:rPr>
      </w:pPr>
      <w:r w:rsidRPr="005714BB">
        <w:rPr>
          <w:rFonts w:ascii="Arial" w:hAnsi="Arial" w:cs="Arial"/>
        </w:rPr>
        <w:t xml:space="preserve">Everstock Development Ltd (2023). </w:t>
      </w:r>
      <w:r w:rsidRPr="005714BB">
        <w:rPr>
          <w:rFonts w:ascii="Arial" w:hAnsi="Arial" w:cs="Arial"/>
          <w:i/>
          <w:iCs/>
        </w:rPr>
        <w:t>Block of 104 ‘affordable’ flats set to be built in Swansea’s SA1</w:t>
      </w:r>
      <w:r w:rsidRPr="005714BB">
        <w:rPr>
          <w:rFonts w:ascii="Arial" w:hAnsi="Arial" w:cs="Arial"/>
        </w:rPr>
        <w:t xml:space="preserve">. </w:t>
      </w:r>
      <w:r w:rsidRPr="005714BB">
        <w:rPr>
          <w:rFonts w:ascii="Arial" w:hAnsi="Arial" w:cs="Arial"/>
          <w:i/>
          <w:iCs/>
        </w:rPr>
        <w:t>Wales Online</w:t>
      </w:r>
      <w:r w:rsidRPr="005714BB">
        <w:rPr>
          <w:rFonts w:ascii="Arial" w:hAnsi="Arial" w:cs="Arial"/>
        </w:rPr>
        <w:t>. Available at: https://www.walesonline.co.uk/news/wales-news/swansea-property-affordable-housing-sa1-28120201 [Accessed 28 Apr. 2025].</w:t>
      </w:r>
    </w:p>
    <w:p w14:paraId="0DDDEF2C" w14:textId="77777777" w:rsidR="005714BB" w:rsidRPr="005714BB" w:rsidRDefault="005714BB" w:rsidP="005714BB">
      <w:pPr>
        <w:jc w:val="both"/>
        <w:rPr>
          <w:rFonts w:ascii="Arial" w:hAnsi="Arial" w:cs="Arial"/>
        </w:rPr>
      </w:pPr>
      <w:r w:rsidRPr="005714BB">
        <w:rPr>
          <w:rFonts w:ascii="Arial" w:hAnsi="Arial" w:cs="Arial"/>
        </w:rPr>
        <w:t xml:space="preserve">GOV Wales (2024). </w:t>
      </w:r>
      <w:r w:rsidRPr="005714BB">
        <w:rPr>
          <w:rFonts w:ascii="Arial" w:hAnsi="Arial" w:cs="Arial"/>
          <w:i/>
          <w:iCs/>
        </w:rPr>
        <w:t>Written Statement: Building Safety in Wales (20 September 2024) | GOV.WALES</w:t>
      </w:r>
      <w:r w:rsidRPr="005714BB">
        <w:rPr>
          <w:rFonts w:ascii="Arial" w:hAnsi="Arial" w:cs="Arial"/>
        </w:rPr>
        <w:t>. [online] GOV.WALES. Available at: https://www.gov.wales/written-statement-building-safety-wales-2 [Accessed 28 Apr. 2025].</w:t>
      </w:r>
    </w:p>
    <w:p w14:paraId="162D11F3" w14:textId="77777777" w:rsidR="005714BB" w:rsidRPr="005714BB" w:rsidRDefault="005714BB" w:rsidP="005714BB">
      <w:pPr>
        <w:jc w:val="both"/>
        <w:rPr>
          <w:rFonts w:ascii="Arial" w:hAnsi="Arial" w:cs="Arial"/>
        </w:rPr>
      </w:pPr>
      <w:r w:rsidRPr="005714BB">
        <w:rPr>
          <w:rFonts w:ascii="Arial" w:hAnsi="Arial" w:cs="Arial"/>
        </w:rPr>
        <w:t xml:space="preserve">GOV.UK (2024a). </w:t>
      </w:r>
      <w:r w:rsidRPr="005714BB">
        <w:rPr>
          <w:rFonts w:ascii="Arial" w:hAnsi="Arial" w:cs="Arial"/>
          <w:i/>
          <w:iCs/>
        </w:rPr>
        <w:t>The Building Safety Regulator is now the Building Control Authority for higher-risk buildings in England - Making Buildings Safer</w:t>
      </w:r>
      <w:r w:rsidRPr="005714BB">
        <w:rPr>
          <w:rFonts w:ascii="Arial" w:hAnsi="Arial" w:cs="Arial"/>
        </w:rPr>
        <w:t>. [online] Making Buildings Safer. Available at: https://buildingsafety.campaign.gov.uk/building-safety-regulator-making-buildings-safer/building-safety-regulator-news/building-safety-regulator-is-now-the-building-control-authority/ [Accessed 27 Apr. 2025].</w:t>
      </w:r>
    </w:p>
    <w:p w14:paraId="5A165C23" w14:textId="77777777" w:rsidR="005714BB" w:rsidRPr="005714BB" w:rsidRDefault="005714BB" w:rsidP="005714BB">
      <w:pPr>
        <w:jc w:val="both"/>
        <w:rPr>
          <w:rFonts w:ascii="Arial" w:hAnsi="Arial" w:cs="Arial"/>
        </w:rPr>
      </w:pPr>
      <w:r w:rsidRPr="005714BB">
        <w:rPr>
          <w:rFonts w:ascii="Arial" w:hAnsi="Arial" w:cs="Arial"/>
        </w:rPr>
        <w:t xml:space="preserve">GOV.UK (2024b). </w:t>
      </w:r>
      <w:r w:rsidRPr="005714BB">
        <w:rPr>
          <w:rFonts w:ascii="Arial" w:hAnsi="Arial" w:cs="Arial"/>
          <w:i/>
          <w:iCs/>
        </w:rPr>
        <w:t>The Role and Responsibilities of Accountable Persons and Principal Accountable Persons - Making Buildings Safer</w:t>
      </w:r>
      <w:r w:rsidRPr="005714BB">
        <w:rPr>
          <w:rFonts w:ascii="Arial" w:hAnsi="Arial" w:cs="Arial"/>
        </w:rPr>
        <w:t>. [online] Making Buildings Safer. Available at: https://buildingsafety.campaign.gov.uk/building-safety-regulator-making-buildings-safer/roles-and-responsibilities-for-high-rise-residential-buildings/role-of-accountable-persons-for-high-rise-residential-buildings/ [Accessed 27 Apr. 2025].</w:t>
      </w:r>
    </w:p>
    <w:p w14:paraId="26D981C9" w14:textId="77777777" w:rsidR="005714BB" w:rsidRPr="005714BB" w:rsidRDefault="005714BB" w:rsidP="005714BB">
      <w:pPr>
        <w:jc w:val="both"/>
        <w:rPr>
          <w:rFonts w:ascii="Arial" w:hAnsi="Arial" w:cs="Arial"/>
        </w:rPr>
      </w:pPr>
      <w:r w:rsidRPr="005714BB">
        <w:rPr>
          <w:rFonts w:ascii="Arial" w:hAnsi="Arial" w:cs="Arial"/>
        </w:rPr>
        <w:t xml:space="preserve">Health and Safety Executive (2015a). </w:t>
      </w:r>
      <w:r w:rsidRPr="005714BB">
        <w:rPr>
          <w:rFonts w:ascii="Arial" w:hAnsi="Arial" w:cs="Arial"/>
          <w:i/>
          <w:iCs/>
        </w:rPr>
        <w:t>Construction - Construction workers: roles and responsibilities CDM 2015</w:t>
      </w:r>
      <w:r w:rsidRPr="005714BB">
        <w:rPr>
          <w:rFonts w:ascii="Arial" w:hAnsi="Arial" w:cs="Arial"/>
        </w:rPr>
        <w:t>. [online] Hse.gov.uk. Available at: https://www.hse.gov.uk/construction/cdm/2015/workers.htm [Accessed 27 Apr. 2025].</w:t>
      </w:r>
    </w:p>
    <w:p w14:paraId="0154B20C" w14:textId="77777777" w:rsidR="005714BB" w:rsidRPr="005714BB" w:rsidRDefault="005714BB" w:rsidP="005714BB">
      <w:pPr>
        <w:jc w:val="both"/>
        <w:rPr>
          <w:rFonts w:ascii="Arial" w:hAnsi="Arial" w:cs="Arial"/>
        </w:rPr>
      </w:pPr>
      <w:r w:rsidRPr="005714BB">
        <w:rPr>
          <w:rFonts w:ascii="Arial" w:hAnsi="Arial" w:cs="Arial"/>
        </w:rPr>
        <w:t xml:space="preserve">Health and Safety Executive (2015b). </w:t>
      </w:r>
      <w:r w:rsidRPr="005714BB">
        <w:rPr>
          <w:rFonts w:ascii="Arial" w:hAnsi="Arial" w:cs="Arial"/>
          <w:i/>
          <w:iCs/>
        </w:rPr>
        <w:t>Construction - Designers: roles and responsibilities CDM 2015</w:t>
      </w:r>
      <w:r w:rsidRPr="005714BB">
        <w:rPr>
          <w:rFonts w:ascii="Arial" w:hAnsi="Arial" w:cs="Arial"/>
        </w:rPr>
        <w:t>. [online] Hse.gov.uk. Available at: https://www.hse.gov.uk/construction/cdm/2015/designers.htm [Accessed 27 Apr. 2025].</w:t>
      </w:r>
    </w:p>
    <w:p w14:paraId="293F286A" w14:textId="77777777" w:rsidR="005714BB" w:rsidRPr="005714BB" w:rsidRDefault="005714BB" w:rsidP="005714BB">
      <w:pPr>
        <w:jc w:val="both"/>
        <w:rPr>
          <w:rFonts w:ascii="Arial" w:hAnsi="Arial" w:cs="Arial"/>
        </w:rPr>
      </w:pPr>
      <w:r w:rsidRPr="005714BB">
        <w:rPr>
          <w:rFonts w:ascii="Arial" w:hAnsi="Arial" w:cs="Arial"/>
        </w:rPr>
        <w:t xml:space="preserve">Health and Safety Executive (2015c). </w:t>
      </w:r>
      <w:r w:rsidRPr="005714BB">
        <w:rPr>
          <w:rFonts w:ascii="Arial" w:hAnsi="Arial" w:cs="Arial"/>
          <w:i/>
          <w:iCs/>
        </w:rPr>
        <w:t>Construction - Principal contractors: roles and responsibilities CDM 2015</w:t>
      </w:r>
      <w:r w:rsidRPr="005714BB">
        <w:rPr>
          <w:rFonts w:ascii="Arial" w:hAnsi="Arial" w:cs="Arial"/>
        </w:rPr>
        <w:t>. [online] Hse.gov.uk. Available at: https://www.hse.gov.uk/construction/cdm/2015/principal-contractors.htm [Accessed 27 Apr. 2025].</w:t>
      </w:r>
    </w:p>
    <w:p w14:paraId="76FE2ADF" w14:textId="77777777" w:rsidR="005714BB" w:rsidRPr="005714BB" w:rsidRDefault="005714BB" w:rsidP="005714BB">
      <w:pPr>
        <w:jc w:val="both"/>
        <w:rPr>
          <w:rFonts w:ascii="Arial" w:hAnsi="Arial" w:cs="Arial"/>
        </w:rPr>
      </w:pPr>
      <w:r w:rsidRPr="005714BB">
        <w:rPr>
          <w:rFonts w:ascii="Arial" w:hAnsi="Arial" w:cs="Arial"/>
        </w:rPr>
        <w:t xml:space="preserve">Health and Safety Executive (2020). </w:t>
      </w:r>
      <w:r w:rsidRPr="005714BB">
        <w:rPr>
          <w:rFonts w:ascii="Arial" w:hAnsi="Arial" w:cs="Arial"/>
          <w:i/>
          <w:iCs/>
        </w:rPr>
        <w:t>Health and Safety Executive Manual handling at work A brief guide</w:t>
      </w:r>
      <w:r w:rsidRPr="005714BB">
        <w:rPr>
          <w:rFonts w:ascii="Arial" w:hAnsi="Arial" w:cs="Arial"/>
        </w:rPr>
        <w:t>. [online] Available at: https://www.hse.gov.uk/pubns/INDG143.pdf [Accessed 27 Apr. 2025].</w:t>
      </w:r>
    </w:p>
    <w:p w14:paraId="0FBF937B" w14:textId="77777777" w:rsidR="005714BB" w:rsidRPr="005714BB" w:rsidRDefault="005714BB" w:rsidP="005714BB">
      <w:pPr>
        <w:jc w:val="both"/>
        <w:rPr>
          <w:rFonts w:ascii="Arial" w:hAnsi="Arial" w:cs="Arial"/>
        </w:rPr>
      </w:pPr>
      <w:r w:rsidRPr="005714BB">
        <w:rPr>
          <w:rFonts w:ascii="Arial" w:hAnsi="Arial" w:cs="Arial"/>
        </w:rPr>
        <w:t xml:space="preserve">HSE (2015a). </w:t>
      </w:r>
      <w:r w:rsidRPr="005714BB">
        <w:rPr>
          <w:rFonts w:ascii="Arial" w:hAnsi="Arial" w:cs="Arial"/>
          <w:i/>
          <w:iCs/>
        </w:rPr>
        <w:t>Construction - Construction Design and Management Regulations 2015</w:t>
      </w:r>
      <w:r w:rsidRPr="005714BB">
        <w:rPr>
          <w:rFonts w:ascii="Arial" w:hAnsi="Arial" w:cs="Arial"/>
        </w:rPr>
        <w:t>. [online] Hse.gov.uk. Available at: https://www.hse.gov.uk/construction/cdm/2015/index.htm [Accessed 15 May 2025].</w:t>
      </w:r>
    </w:p>
    <w:p w14:paraId="4389851D" w14:textId="77777777" w:rsidR="005714BB" w:rsidRPr="005714BB" w:rsidRDefault="005714BB" w:rsidP="005714BB">
      <w:pPr>
        <w:jc w:val="both"/>
        <w:rPr>
          <w:rFonts w:ascii="Arial" w:hAnsi="Arial" w:cs="Arial"/>
        </w:rPr>
      </w:pPr>
      <w:r w:rsidRPr="005714BB">
        <w:rPr>
          <w:rFonts w:ascii="Arial" w:hAnsi="Arial" w:cs="Arial"/>
        </w:rPr>
        <w:t xml:space="preserve">HSE (2015b). </w:t>
      </w:r>
      <w:r w:rsidRPr="005714BB">
        <w:rPr>
          <w:rFonts w:ascii="Arial" w:hAnsi="Arial" w:cs="Arial"/>
          <w:i/>
          <w:iCs/>
        </w:rPr>
        <w:t>Construction - Contractors: roles and responsibilities CDM 2015</w:t>
      </w:r>
      <w:r w:rsidRPr="005714BB">
        <w:rPr>
          <w:rFonts w:ascii="Arial" w:hAnsi="Arial" w:cs="Arial"/>
        </w:rPr>
        <w:t>. [online] Hse.gov.uk. Available at: https://www.hse.gov.uk/construction/cdm/2015/contractors.htm [Accessed 27 Apr. 2025].</w:t>
      </w:r>
    </w:p>
    <w:p w14:paraId="0DC4828E" w14:textId="77777777" w:rsidR="005714BB" w:rsidRPr="005714BB" w:rsidRDefault="005714BB" w:rsidP="005714BB">
      <w:pPr>
        <w:jc w:val="both"/>
        <w:rPr>
          <w:rFonts w:ascii="Arial" w:hAnsi="Arial" w:cs="Arial"/>
        </w:rPr>
      </w:pPr>
      <w:r w:rsidRPr="005714BB">
        <w:rPr>
          <w:rFonts w:ascii="Arial" w:hAnsi="Arial" w:cs="Arial"/>
        </w:rPr>
        <w:t xml:space="preserve">HSE (2015c). </w:t>
      </w:r>
      <w:r w:rsidRPr="005714BB">
        <w:rPr>
          <w:rFonts w:ascii="Arial" w:hAnsi="Arial" w:cs="Arial"/>
          <w:i/>
          <w:iCs/>
        </w:rPr>
        <w:t>Construction - Principal designers: roles and responsibilities CDM 2015</w:t>
      </w:r>
      <w:r w:rsidRPr="005714BB">
        <w:rPr>
          <w:rFonts w:ascii="Arial" w:hAnsi="Arial" w:cs="Arial"/>
        </w:rPr>
        <w:t xml:space="preserve">. [online] Hse.gov.uk. Available at: </w:t>
      </w:r>
      <w:r w:rsidRPr="005714BB">
        <w:rPr>
          <w:rFonts w:ascii="Arial" w:hAnsi="Arial" w:cs="Arial"/>
        </w:rPr>
        <w:lastRenderedPageBreak/>
        <w:t>https://www.hse.gov.uk/construction/cdm/2015/principal-designers.htm [Accessed 27 Apr. 2025].</w:t>
      </w:r>
    </w:p>
    <w:p w14:paraId="46D12CF8" w14:textId="77777777" w:rsidR="005714BB" w:rsidRPr="005714BB" w:rsidRDefault="005714BB" w:rsidP="005714BB">
      <w:pPr>
        <w:jc w:val="both"/>
        <w:rPr>
          <w:rFonts w:ascii="Arial" w:hAnsi="Arial" w:cs="Arial"/>
        </w:rPr>
      </w:pPr>
      <w:r w:rsidRPr="005714BB">
        <w:rPr>
          <w:rFonts w:ascii="Arial" w:hAnsi="Arial" w:cs="Arial"/>
        </w:rPr>
        <w:t xml:space="preserve">HSE (2019a). </w:t>
      </w:r>
      <w:r w:rsidRPr="005714BB">
        <w:rPr>
          <w:rFonts w:ascii="Arial" w:hAnsi="Arial" w:cs="Arial"/>
          <w:i/>
          <w:iCs/>
        </w:rPr>
        <w:t>COSHH Basics - COSHH</w:t>
      </w:r>
      <w:r w:rsidRPr="005714BB">
        <w:rPr>
          <w:rFonts w:ascii="Arial" w:hAnsi="Arial" w:cs="Arial"/>
        </w:rPr>
        <w:t>. [online] Health and Safety Executive. Available at: https://www.hse.gov.uk/coshh/basics/index.htm [Accessed 27 Apr. 2025].</w:t>
      </w:r>
    </w:p>
    <w:p w14:paraId="61B70673" w14:textId="77777777" w:rsidR="005714BB" w:rsidRPr="005714BB" w:rsidRDefault="005714BB" w:rsidP="005714BB">
      <w:pPr>
        <w:jc w:val="both"/>
        <w:rPr>
          <w:rFonts w:ascii="Arial" w:hAnsi="Arial" w:cs="Arial"/>
        </w:rPr>
      </w:pPr>
      <w:r w:rsidRPr="005714BB">
        <w:rPr>
          <w:rFonts w:ascii="Arial" w:hAnsi="Arial" w:cs="Arial"/>
        </w:rPr>
        <w:t xml:space="preserve">HSE (2019b). </w:t>
      </w:r>
      <w:r w:rsidRPr="005714BB">
        <w:rPr>
          <w:rFonts w:ascii="Arial" w:hAnsi="Arial" w:cs="Arial"/>
          <w:i/>
          <w:iCs/>
        </w:rPr>
        <w:t>Work at height - The law</w:t>
      </w:r>
      <w:r w:rsidRPr="005714BB">
        <w:rPr>
          <w:rFonts w:ascii="Arial" w:hAnsi="Arial" w:cs="Arial"/>
        </w:rPr>
        <w:t>. [online] Hse.gov.uk. Available at: https://www.hse.gov.uk/work-at-height/the-law.htm [Accessed 27 Apr. 2025].</w:t>
      </w:r>
    </w:p>
    <w:p w14:paraId="457F5A3F" w14:textId="77777777" w:rsidR="005714BB" w:rsidRPr="005714BB" w:rsidRDefault="005714BB" w:rsidP="005714BB">
      <w:pPr>
        <w:jc w:val="both"/>
        <w:rPr>
          <w:rFonts w:ascii="Arial" w:hAnsi="Arial" w:cs="Arial"/>
        </w:rPr>
      </w:pPr>
      <w:r w:rsidRPr="005714BB">
        <w:rPr>
          <w:rFonts w:ascii="Arial" w:hAnsi="Arial" w:cs="Arial"/>
        </w:rPr>
        <w:t xml:space="preserve">HSE (2020). </w:t>
      </w:r>
      <w:r w:rsidRPr="005714BB">
        <w:rPr>
          <w:rFonts w:ascii="Arial" w:hAnsi="Arial" w:cs="Arial"/>
          <w:i/>
          <w:iCs/>
        </w:rPr>
        <w:t>Health and Safety at Work Act 1974</w:t>
      </w:r>
      <w:r w:rsidRPr="005714BB">
        <w:rPr>
          <w:rFonts w:ascii="Arial" w:hAnsi="Arial" w:cs="Arial"/>
        </w:rPr>
        <w:t>. [online] Hse.gov.uk. Available at: https://www.hse.gov.uk/legislation/hswa.htm [Accessed 27 Apr. 2025].</w:t>
      </w:r>
    </w:p>
    <w:p w14:paraId="41B5EF04" w14:textId="77777777" w:rsidR="005714BB" w:rsidRPr="005714BB" w:rsidRDefault="005714BB" w:rsidP="005714BB">
      <w:pPr>
        <w:jc w:val="both"/>
        <w:rPr>
          <w:rFonts w:ascii="Arial" w:hAnsi="Arial" w:cs="Arial"/>
        </w:rPr>
      </w:pPr>
      <w:r w:rsidRPr="005714BB">
        <w:rPr>
          <w:rFonts w:ascii="Arial" w:hAnsi="Arial" w:cs="Arial"/>
        </w:rPr>
        <w:t xml:space="preserve">Institution of Civil Engineers (2024). </w:t>
      </w:r>
      <w:r w:rsidRPr="005714BB">
        <w:rPr>
          <w:rFonts w:ascii="Arial" w:hAnsi="Arial" w:cs="Arial"/>
          <w:i/>
          <w:iCs/>
        </w:rPr>
        <w:t>The Golden Thread Running through the New Building Safety Act</w:t>
      </w:r>
      <w:r w:rsidRPr="005714BB">
        <w:rPr>
          <w:rFonts w:ascii="Arial" w:hAnsi="Arial" w:cs="Arial"/>
        </w:rPr>
        <w:t>. [online] Institution of Civil Engineers (ICE). Available at: https://www.ice.org.uk/news-views-insights/inside-infrastructure/golden-thread-through-new-building-safety-regime [Accessed 27 Apr. 2025].</w:t>
      </w:r>
    </w:p>
    <w:p w14:paraId="7B9F34E8" w14:textId="77777777" w:rsidR="005714BB" w:rsidRPr="005714BB" w:rsidRDefault="005714BB" w:rsidP="005714BB">
      <w:pPr>
        <w:jc w:val="both"/>
        <w:rPr>
          <w:rFonts w:ascii="Arial" w:hAnsi="Arial" w:cs="Arial"/>
        </w:rPr>
      </w:pPr>
      <w:r w:rsidRPr="005714BB">
        <w:rPr>
          <w:rFonts w:ascii="Arial" w:hAnsi="Arial" w:cs="Arial"/>
        </w:rPr>
        <w:t xml:space="preserve">International Work Place (2024). </w:t>
      </w:r>
      <w:r w:rsidRPr="005714BB">
        <w:rPr>
          <w:rFonts w:ascii="Arial" w:hAnsi="Arial" w:cs="Arial"/>
          <w:i/>
          <w:iCs/>
        </w:rPr>
        <w:t>Human factors: the impact on health and safety</w:t>
      </w:r>
      <w:r w:rsidRPr="005714BB">
        <w:rPr>
          <w:rFonts w:ascii="Arial" w:hAnsi="Arial" w:cs="Arial"/>
        </w:rPr>
        <w:t>. [online] Internationalworkplace.com. Available at: https://www.internationalworkplace.com/community-zone/news/human-factors-the-impact-on-health-and-safety [Accessed 27 Apr. 2025].</w:t>
      </w:r>
    </w:p>
    <w:p w14:paraId="25BD9AEC" w14:textId="77777777" w:rsidR="005714BB" w:rsidRPr="005714BB" w:rsidRDefault="005714BB" w:rsidP="005714BB">
      <w:pPr>
        <w:jc w:val="both"/>
        <w:rPr>
          <w:rFonts w:ascii="Arial" w:hAnsi="Arial" w:cs="Arial"/>
        </w:rPr>
      </w:pPr>
      <w:r w:rsidRPr="005714BB">
        <w:rPr>
          <w:rFonts w:ascii="Arial" w:hAnsi="Arial" w:cs="Arial"/>
        </w:rPr>
        <w:t xml:space="preserve">Work Safe UK (2025). </w:t>
      </w:r>
      <w:r w:rsidRPr="005714BB">
        <w:rPr>
          <w:rFonts w:ascii="Arial" w:hAnsi="Arial" w:cs="Arial"/>
          <w:i/>
          <w:iCs/>
        </w:rPr>
        <w:t>Understanding the Personal Protective Equipment at Work Regulations 2022</w:t>
      </w:r>
      <w:r w:rsidRPr="005714BB">
        <w:rPr>
          <w:rFonts w:ascii="Arial" w:hAnsi="Arial" w:cs="Arial"/>
        </w:rPr>
        <w:t>. [online] Worksafe UK. Available at: https://www.worksafe.uk.com/health-and-safety-law/understanding-the-personal-protective-equipment-at-work-regulations-2022/ [Accessed 27 Apr. 2025].</w:t>
      </w:r>
    </w:p>
    <w:p w14:paraId="0A34C13B" w14:textId="6869D778" w:rsidR="005C1728" w:rsidRPr="00855DFD" w:rsidRDefault="005C1728" w:rsidP="005C1728">
      <w:pPr>
        <w:jc w:val="both"/>
        <w:rPr>
          <w:rFonts w:ascii="Arial" w:hAnsi="Arial" w:cs="Arial"/>
        </w:rPr>
      </w:pPr>
    </w:p>
    <w:p w14:paraId="6D7A84B7" w14:textId="0B74F5CD" w:rsidR="005C1728" w:rsidRPr="005C1728" w:rsidRDefault="005C1728" w:rsidP="005C1728">
      <w:pPr>
        <w:jc w:val="both"/>
        <w:rPr>
          <w:rFonts w:ascii="Arial" w:hAnsi="Arial" w:cs="Arial"/>
        </w:rPr>
      </w:pPr>
    </w:p>
    <w:p w14:paraId="5826CED9" w14:textId="104251ED" w:rsidR="002456F0" w:rsidRPr="002456F0" w:rsidRDefault="002456F0" w:rsidP="002456F0">
      <w:pPr>
        <w:jc w:val="both"/>
        <w:rPr>
          <w:rFonts w:ascii="Arial" w:hAnsi="Arial" w:cs="Arial"/>
        </w:rPr>
      </w:pPr>
    </w:p>
    <w:p w14:paraId="00598AC2" w14:textId="3EA06010" w:rsidR="002456F0" w:rsidRPr="002456F0" w:rsidRDefault="002456F0" w:rsidP="002456F0">
      <w:pPr>
        <w:jc w:val="both"/>
        <w:rPr>
          <w:rFonts w:ascii="Arial" w:hAnsi="Arial" w:cs="Arial"/>
        </w:rPr>
      </w:pPr>
    </w:p>
    <w:p w14:paraId="700F72AF" w14:textId="767DD267" w:rsidR="001D0984" w:rsidRPr="001D0984" w:rsidRDefault="001D0984" w:rsidP="001D0984">
      <w:pPr>
        <w:jc w:val="both"/>
        <w:rPr>
          <w:rFonts w:ascii="Arial" w:hAnsi="Arial" w:cs="Arial"/>
        </w:rPr>
      </w:pPr>
    </w:p>
    <w:p w14:paraId="1CEDDAD1" w14:textId="0F89AA8D" w:rsidR="006754EF" w:rsidRDefault="006754EF" w:rsidP="006754EF">
      <w:pPr>
        <w:jc w:val="both"/>
      </w:pPr>
      <w:r>
        <w:rPr>
          <w:rFonts w:ascii="Arial" w:hAnsi="Arial" w:cs="Arial"/>
        </w:rPr>
        <w:t xml:space="preserve"> </w:t>
      </w:r>
    </w:p>
    <w:sectPr w:rsidR="006754EF" w:rsidSect="00C8610B">
      <w:footerReference w:type="default" r:id="rId9"/>
      <w:pgSz w:w="11906" w:h="16838" w:code="9"/>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ED07E4" w14:textId="77777777" w:rsidR="00194C51" w:rsidRDefault="00194C51" w:rsidP="00C6554A">
      <w:pPr>
        <w:spacing w:before="0" w:after="0" w:line="240" w:lineRule="auto"/>
      </w:pPr>
      <w:r>
        <w:separator/>
      </w:r>
    </w:p>
  </w:endnote>
  <w:endnote w:type="continuationSeparator" w:id="0">
    <w:p w14:paraId="14D415F1" w14:textId="77777777" w:rsidR="00194C51" w:rsidRDefault="00194C51"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C0DF3" w14:textId="77777777" w:rsidR="00D334B1" w:rsidRDefault="00ED7C44">
    <w:pPr>
      <w:pStyle w:val="Footer"/>
    </w:pPr>
    <w:r>
      <w:rPr>
        <w:lang w:bidi="en-GB"/>
      </w:rPr>
      <w:t xml:space="preserve">Page </w:t>
    </w:r>
    <w:r>
      <w:rPr>
        <w:lang w:bidi="en-GB"/>
      </w:rPr>
      <w:fldChar w:fldCharType="begin"/>
    </w:r>
    <w:r>
      <w:rPr>
        <w:lang w:bidi="en-GB"/>
      </w:rPr>
      <w:instrText xml:space="preserve"> PAGE  \* Arabic  \* MERGEFORMAT </w:instrText>
    </w:r>
    <w:r>
      <w:rPr>
        <w:lang w:bidi="en-GB"/>
      </w:rPr>
      <w:fldChar w:fldCharType="separate"/>
    </w:r>
    <w:r w:rsidR="00624D0B">
      <w:rPr>
        <w:noProof/>
        <w:lang w:bidi="en-GB"/>
      </w:rPr>
      <w:t>1</w:t>
    </w:r>
    <w:r>
      <w:rPr>
        <w:lang w:bidi="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842FF6" w14:textId="77777777" w:rsidR="00194C51" w:rsidRDefault="00194C51" w:rsidP="00C6554A">
      <w:pPr>
        <w:spacing w:before="0" w:after="0" w:line="240" w:lineRule="auto"/>
      </w:pPr>
      <w:r>
        <w:separator/>
      </w:r>
    </w:p>
  </w:footnote>
  <w:footnote w:type="continuationSeparator" w:id="0">
    <w:p w14:paraId="2CE27FF9" w14:textId="77777777" w:rsidR="00194C51" w:rsidRDefault="00194C51"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72286896">
    <w:abstractNumId w:val="9"/>
  </w:num>
  <w:num w:numId="2" w16cid:durableId="1982416106">
    <w:abstractNumId w:val="8"/>
  </w:num>
  <w:num w:numId="3" w16cid:durableId="71510236">
    <w:abstractNumId w:val="8"/>
  </w:num>
  <w:num w:numId="4" w16cid:durableId="751395350">
    <w:abstractNumId w:val="9"/>
  </w:num>
  <w:num w:numId="5" w16cid:durableId="1996834593">
    <w:abstractNumId w:val="12"/>
  </w:num>
  <w:num w:numId="6" w16cid:durableId="2070417838">
    <w:abstractNumId w:val="10"/>
  </w:num>
  <w:num w:numId="7" w16cid:durableId="126625490">
    <w:abstractNumId w:val="11"/>
  </w:num>
  <w:num w:numId="8" w16cid:durableId="119229585">
    <w:abstractNumId w:val="7"/>
  </w:num>
  <w:num w:numId="9" w16cid:durableId="5713120">
    <w:abstractNumId w:val="6"/>
  </w:num>
  <w:num w:numId="10" w16cid:durableId="1926839720">
    <w:abstractNumId w:val="5"/>
  </w:num>
  <w:num w:numId="11" w16cid:durableId="339239018">
    <w:abstractNumId w:val="4"/>
  </w:num>
  <w:num w:numId="12" w16cid:durableId="1173571692">
    <w:abstractNumId w:val="3"/>
  </w:num>
  <w:num w:numId="13" w16cid:durableId="1020474762">
    <w:abstractNumId w:val="2"/>
  </w:num>
  <w:num w:numId="14" w16cid:durableId="1008171903">
    <w:abstractNumId w:val="1"/>
  </w:num>
  <w:num w:numId="15" w16cid:durableId="590576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116"/>
    <w:rsid w:val="00056C7F"/>
    <w:rsid w:val="000D6A77"/>
    <w:rsid w:val="00143440"/>
    <w:rsid w:val="00171116"/>
    <w:rsid w:val="00194811"/>
    <w:rsid w:val="00194C51"/>
    <w:rsid w:val="001C007C"/>
    <w:rsid w:val="001D0984"/>
    <w:rsid w:val="001F5F2E"/>
    <w:rsid w:val="00226415"/>
    <w:rsid w:val="002456F0"/>
    <w:rsid w:val="002554CD"/>
    <w:rsid w:val="00293B83"/>
    <w:rsid w:val="002B4294"/>
    <w:rsid w:val="00333D0D"/>
    <w:rsid w:val="0034325A"/>
    <w:rsid w:val="00357E28"/>
    <w:rsid w:val="00413354"/>
    <w:rsid w:val="00426EC3"/>
    <w:rsid w:val="004B506A"/>
    <w:rsid w:val="004C049F"/>
    <w:rsid w:val="004F2C52"/>
    <w:rsid w:val="004F636F"/>
    <w:rsid w:val="005000E2"/>
    <w:rsid w:val="00565287"/>
    <w:rsid w:val="005714BB"/>
    <w:rsid w:val="00584C6F"/>
    <w:rsid w:val="005C1728"/>
    <w:rsid w:val="005E2B95"/>
    <w:rsid w:val="00624D0B"/>
    <w:rsid w:val="006332AC"/>
    <w:rsid w:val="006754EF"/>
    <w:rsid w:val="0068431A"/>
    <w:rsid w:val="006A3CE7"/>
    <w:rsid w:val="006C6C7F"/>
    <w:rsid w:val="006E7FB4"/>
    <w:rsid w:val="00737AE5"/>
    <w:rsid w:val="00747441"/>
    <w:rsid w:val="00797A2F"/>
    <w:rsid w:val="007C7E7A"/>
    <w:rsid w:val="008030B4"/>
    <w:rsid w:val="00855DFD"/>
    <w:rsid w:val="00940DE2"/>
    <w:rsid w:val="00954B70"/>
    <w:rsid w:val="009A3B6E"/>
    <w:rsid w:val="009C10D5"/>
    <w:rsid w:val="00A07445"/>
    <w:rsid w:val="00A9246B"/>
    <w:rsid w:val="00A94D40"/>
    <w:rsid w:val="00AF432B"/>
    <w:rsid w:val="00B86DEA"/>
    <w:rsid w:val="00BE2C7A"/>
    <w:rsid w:val="00C12E67"/>
    <w:rsid w:val="00C173AA"/>
    <w:rsid w:val="00C6554A"/>
    <w:rsid w:val="00C8610B"/>
    <w:rsid w:val="00CB68F0"/>
    <w:rsid w:val="00D334B1"/>
    <w:rsid w:val="00D61117"/>
    <w:rsid w:val="00D72407"/>
    <w:rsid w:val="00ED7C44"/>
    <w:rsid w:val="00F136E8"/>
    <w:rsid w:val="00F22B17"/>
    <w:rsid w:val="00F76273"/>
    <w:rsid w:val="00FE60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373247"/>
  <w15:chartTrackingRefBased/>
  <w15:docId w15:val="{DC3F7809-539D-4B51-A90A-89DB1DA45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rPr>
      <w:lang w:val="en-GB"/>
    </w:rPr>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TOCHeading">
    <w:name w:val="TOC Heading"/>
    <w:basedOn w:val="Heading1"/>
    <w:next w:val="Normal"/>
    <w:uiPriority w:val="39"/>
    <w:unhideWhenUsed/>
    <w:qFormat/>
    <w:rsid w:val="00226415"/>
    <w:pPr>
      <w:spacing w:before="240" w:after="0" w:line="259" w:lineRule="auto"/>
      <w:contextualSpacing w:val="0"/>
      <w:outlineLvl w:val="9"/>
    </w:pPr>
    <w:rPr>
      <w:szCs w:val="32"/>
      <w:lang w:val="en-US"/>
    </w:rPr>
  </w:style>
  <w:style w:type="paragraph" w:styleId="TOC1">
    <w:name w:val="toc 1"/>
    <w:basedOn w:val="Normal"/>
    <w:next w:val="Normal"/>
    <w:autoRedefine/>
    <w:uiPriority w:val="39"/>
    <w:unhideWhenUsed/>
    <w:rsid w:val="0022641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474262">
      <w:bodyDiv w:val="1"/>
      <w:marLeft w:val="0"/>
      <w:marRight w:val="0"/>
      <w:marTop w:val="0"/>
      <w:marBottom w:val="0"/>
      <w:divBdr>
        <w:top w:val="none" w:sz="0" w:space="0" w:color="auto"/>
        <w:left w:val="none" w:sz="0" w:space="0" w:color="auto"/>
        <w:bottom w:val="none" w:sz="0" w:space="0" w:color="auto"/>
        <w:right w:val="none" w:sz="0" w:space="0" w:color="auto"/>
      </w:divBdr>
    </w:div>
    <w:div w:id="81533587">
      <w:bodyDiv w:val="1"/>
      <w:marLeft w:val="0"/>
      <w:marRight w:val="0"/>
      <w:marTop w:val="0"/>
      <w:marBottom w:val="0"/>
      <w:divBdr>
        <w:top w:val="none" w:sz="0" w:space="0" w:color="auto"/>
        <w:left w:val="none" w:sz="0" w:space="0" w:color="auto"/>
        <w:bottom w:val="none" w:sz="0" w:space="0" w:color="auto"/>
        <w:right w:val="none" w:sz="0" w:space="0" w:color="auto"/>
      </w:divBdr>
    </w:div>
    <w:div w:id="179635577">
      <w:bodyDiv w:val="1"/>
      <w:marLeft w:val="0"/>
      <w:marRight w:val="0"/>
      <w:marTop w:val="0"/>
      <w:marBottom w:val="0"/>
      <w:divBdr>
        <w:top w:val="none" w:sz="0" w:space="0" w:color="auto"/>
        <w:left w:val="none" w:sz="0" w:space="0" w:color="auto"/>
        <w:bottom w:val="none" w:sz="0" w:space="0" w:color="auto"/>
        <w:right w:val="none" w:sz="0" w:space="0" w:color="auto"/>
      </w:divBdr>
    </w:div>
    <w:div w:id="202525281">
      <w:bodyDiv w:val="1"/>
      <w:marLeft w:val="0"/>
      <w:marRight w:val="0"/>
      <w:marTop w:val="0"/>
      <w:marBottom w:val="0"/>
      <w:divBdr>
        <w:top w:val="none" w:sz="0" w:space="0" w:color="auto"/>
        <w:left w:val="none" w:sz="0" w:space="0" w:color="auto"/>
        <w:bottom w:val="none" w:sz="0" w:space="0" w:color="auto"/>
        <w:right w:val="none" w:sz="0" w:space="0" w:color="auto"/>
      </w:divBdr>
    </w:div>
    <w:div w:id="204682238">
      <w:bodyDiv w:val="1"/>
      <w:marLeft w:val="0"/>
      <w:marRight w:val="0"/>
      <w:marTop w:val="0"/>
      <w:marBottom w:val="0"/>
      <w:divBdr>
        <w:top w:val="none" w:sz="0" w:space="0" w:color="auto"/>
        <w:left w:val="none" w:sz="0" w:space="0" w:color="auto"/>
        <w:bottom w:val="none" w:sz="0" w:space="0" w:color="auto"/>
        <w:right w:val="none" w:sz="0" w:space="0" w:color="auto"/>
      </w:divBdr>
    </w:div>
    <w:div w:id="233783542">
      <w:bodyDiv w:val="1"/>
      <w:marLeft w:val="0"/>
      <w:marRight w:val="0"/>
      <w:marTop w:val="0"/>
      <w:marBottom w:val="0"/>
      <w:divBdr>
        <w:top w:val="none" w:sz="0" w:space="0" w:color="auto"/>
        <w:left w:val="none" w:sz="0" w:space="0" w:color="auto"/>
        <w:bottom w:val="none" w:sz="0" w:space="0" w:color="auto"/>
        <w:right w:val="none" w:sz="0" w:space="0" w:color="auto"/>
      </w:divBdr>
    </w:div>
    <w:div w:id="265160166">
      <w:bodyDiv w:val="1"/>
      <w:marLeft w:val="0"/>
      <w:marRight w:val="0"/>
      <w:marTop w:val="0"/>
      <w:marBottom w:val="0"/>
      <w:divBdr>
        <w:top w:val="none" w:sz="0" w:space="0" w:color="auto"/>
        <w:left w:val="none" w:sz="0" w:space="0" w:color="auto"/>
        <w:bottom w:val="none" w:sz="0" w:space="0" w:color="auto"/>
        <w:right w:val="none" w:sz="0" w:space="0" w:color="auto"/>
      </w:divBdr>
    </w:div>
    <w:div w:id="294215239">
      <w:bodyDiv w:val="1"/>
      <w:marLeft w:val="0"/>
      <w:marRight w:val="0"/>
      <w:marTop w:val="0"/>
      <w:marBottom w:val="0"/>
      <w:divBdr>
        <w:top w:val="none" w:sz="0" w:space="0" w:color="auto"/>
        <w:left w:val="none" w:sz="0" w:space="0" w:color="auto"/>
        <w:bottom w:val="none" w:sz="0" w:space="0" w:color="auto"/>
        <w:right w:val="none" w:sz="0" w:space="0" w:color="auto"/>
      </w:divBdr>
      <w:divsChild>
        <w:div w:id="683287952">
          <w:marLeft w:val="0"/>
          <w:marRight w:val="0"/>
          <w:marTop w:val="0"/>
          <w:marBottom w:val="0"/>
          <w:divBdr>
            <w:top w:val="none" w:sz="0" w:space="0" w:color="auto"/>
            <w:left w:val="none" w:sz="0" w:space="0" w:color="auto"/>
            <w:bottom w:val="none" w:sz="0" w:space="0" w:color="auto"/>
            <w:right w:val="none" w:sz="0" w:space="0" w:color="auto"/>
          </w:divBdr>
        </w:div>
      </w:divsChild>
    </w:div>
    <w:div w:id="307129627">
      <w:bodyDiv w:val="1"/>
      <w:marLeft w:val="0"/>
      <w:marRight w:val="0"/>
      <w:marTop w:val="0"/>
      <w:marBottom w:val="0"/>
      <w:divBdr>
        <w:top w:val="none" w:sz="0" w:space="0" w:color="auto"/>
        <w:left w:val="none" w:sz="0" w:space="0" w:color="auto"/>
        <w:bottom w:val="none" w:sz="0" w:space="0" w:color="auto"/>
        <w:right w:val="none" w:sz="0" w:space="0" w:color="auto"/>
      </w:divBdr>
    </w:div>
    <w:div w:id="351493561">
      <w:bodyDiv w:val="1"/>
      <w:marLeft w:val="0"/>
      <w:marRight w:val="0"/>
      <w:marTop w:val="0"/>
      <w:marBottom w:val="0"/>
      <w:divBdr>
        <w:top w:val="none" w:sz="0" w:space="0" w:color="auto"/>
        <w:left w:val="none" w:sz="0" w:space="0" w:color="auto"/>
        <w:bottom w:val="none" w:sz="0" w:space="0" w:color="auto"/>
        <w:right w:val="none" w:sz="0" w:space="0" w:color="auto"/>
      </w:divBdr>
      <w:divsChild>
        <w:div w:id="1175539711">
          <w:marLeft w:val="0"/>
          <w:marRight w:val="0"/>
          <w:marTop w:val="0"/>
          <w:marBottom w:val="0"/>
          <w:divBdr>
            <w:top w:val="none" w:sz="0" w:space="0" w:color="auto"/>
            <w:left w:val="none" w:sz="0" w:space="0" w:color="auto"/>
            <w:bottom w:val="none" w:sz="0" w:space="0" w:color="auto"/>
            <w:right w:val="none" w:sz="0" w:space="0" w:color="auto"/>
          </w:divBdr>
        </w:div>
      </w:divsChild>
    </w:div>
    <w:div w:id="353531783">
      <w:bodyDiv w:val="1"/>
      <w:marLeft w:val="0"/>
      <w:marRight w:val="0"/>
      <w:marTop w:val="0"/>
      <w:marBottom w:val="0"/>
      <w:divBdr>
        <w:top w:val="none" w:sz="0" w:space="0" w:color="auto"/>
        <w:left w:val="none" w:sz="0" w:space="0" w:color="auto"/>
        <w:bottom w:val="none" w:sz="0" w:space="0" w:color="auto"/>
        <w:right w:val="none" w:sz="0" w:space="0" w:color="auto"/>
      </w:divBdr>
    </w:div>
    <w:div w:id="442923167">
      <w:bodyDiv w:val="1"/>
      <w:marLeft w:val="0"/>
      <w:marRight w:val="0"/>
      <w:marTop w:val="0"/>
      <w:marBottom w:val="0"/>
      <w:divBdr>
        <w:top w:val="none" w:sz="0" w:space="0" w:color="auto"/>
        <w:left w:val="none" w:sz="0" w:space="0" w:color="auto"/>
        <w:bottom w:val="none" w:sz="0" w:space="0" w:color="auto"/>
        <w:right w:val="none" w:sz="0" w:space="0" w:color="auto"/>
      </w:divBdr>
    </w:div>
    <w:div w:id="518354668">
      <w:bodyDiv w:val="1"/>
      <w:marLeft w:val="0"/>
      <w:marRight w:val="0"/>
      <w:marTop w:val="0"/>
      <w:marBottom w:val="0"/>
      <w:divBdr>
        <w:top w:val="none" w:sz="0" w:space="0" w:color="auto"/>
        <w:left w:val="none" w:sz="0" w:space="0" w:color="auto"/>
        <w:bottom w:val="none" w:sz="0" w:space="0" w:color="auto"/>
        <w:right w:val="none" w:sz="0" w:space="0" w:color="auto"/>
      </w:divBdr>
    </w:div>
    <w:div w:id="554048810">
      <w:bodyDiv w:val="1"/>
      <w:marLeft w:val="0"/>
      <w:marRight w:val="0"/>
      <w:marTop w:val="0"/>
      <w:marBottom w:val="0"/>
      <w:divBdr>
        <w:top w:val="none" w:sz="0" w:space="0" w:color="auto"/>
        <w:left w:val="none" w:sz="0" w:space="0" w:color="auto"/>
        <w:bottom w:val="none" w:sz="0" w:space="0" w:color="auto"/>
        <w:right w:val="none" w:sz="0" w:space="0" w:color="auto"/>
      </w:divBdr>
    </w:div>
    <w:div w:id="620192168">
      <w:bodyDiv w:val="1"/>
      <w:marLeft w:val="0"/>
      <w:marRight w:val="0"/>
      <w:marTop w:val="0"/>
      <w:marBottom w:val="0"/>
      <w:divBdr>
        <w:top w:val="none" w:sz="0" w:space="0" w:color="auto"/>
        <w:left w:val="none" w:sz="0" w:space="0" w:color="auto"/>
        <w:bottom w:val="none" w:sz="0" w:space="0" w:color="auto"/>
        <w:right w:val="none" w:sz="0" w:space="0" w:color="auto"/>
      </w:divBdr>
    </w:div>
    <w:div w:id="750271318">
      <w:bodyDiv w:val="1"/>
      <w:marLeft w:val="0"/>
      <w:marRight w:val="0"/>
      <w:marTop w:val="0"/>
      <w:marBottom w:val="0"/>
      <w:divBdr>
        <w:top w:val="none" w:sz="0" w:space="0" w:color="auto"/>
        <w:left w:val="none" w:sz="0" w:space="0" w:color="auto"/>
        <w:bottom w:val="none" w:sz="0" w:space="0" w:color="auto"/>
        <w:right w:val="none" w:sz="0" w:space="0" w:color="auto"/>
      </w:divBdr>
      <w:divsChild>
        <w:div w:id="1554925514">
          <w:marLeft w:val="0"/>
          <w:marRight w:val="0"/>
          <w:marTop w:val="0"/>
          <w:marBottom w:val="0"/>
          <w:divBdr>
            <w:top w:val="none" w:sz="0" w:space="0" w:color="auto"/>
            <w:left w:val="none" w:sz="0" w:space="0" w:color="auto"/>
            <w:bottom w:val="none" w:sz="0" w:space="0" w:color="auto"/>
            <w:right w:val="none" w:sz="0" w:space="0" w:color="auto"/>
          </w:divBdr>
        </w:div>
      </w:divsChild>
    </w:div>
    <w:div w:id="788009333">
      <w:bodyDiv w:val="1"/>
      <w:marLeft w:val="0"/>
      <w:marRight w:val="0"/>
      <w:marTop w:val="0"/>
      <w:marBottom w:val="0"/>
      <w:divBdr>
        <w:top w:val="none" w:sz="0" w:space="0" w:color="auto"/>
        <w:left w:val="none" w:sz="0" w:space="0" w:color="auto"/>
        <w:bottom w:val="none" w:sz="0" w:space="0" w:color="auto"/>
        <w:right w:val="none" w:sz="0" w:space="0" w:color="auto"/>
      </w:divBdr>
    </w:div>
    <w:div w:id="801580071">
      <w:bodyDiv w:val="1"/>
      <w:marLeft w:val="0"/>
      <w:marRight w:val="0"/>
      <w:marTop w:val="0"/>
      <w:marBottom w:val="0"/>
      <w:divBdr>
        <w:top w:val="none" w:sz="0" w:space="0" w:color="auto"/>
        <w:left w:val="none" w:sz="0" w:space="0" w:color="auto"/>
        <w:bottom w:val="none" w:sz="0" w:space="0" w:color="auto"/>
        <w:right w:val="none" w:sz="0" w:space="0" w:color="auto"/>
      </w:divBdr>
      <w:divsChild>
        <w:div w:id="1734963156">
          <w:marLeft w:val="0"/>
          <w:marRight w:val="0"/>
          <w:marTop w:val="0"/>
          <w:marBottom w:val="0"/>
          <w:divBdr>
            <w:top w:val="none" w:sz="0" w:space="0" w:color="auto"/>
            <w:left w:val="none" w:sz="0" w:space="0" w:color="auto"/>
            <w:bottom w:val="none" w:sz="0" w:space="0" w:color="auto"/>
            <w:right w:val="none" w:sz="0" w:space="0" w:color="auto"/>
          </w:divBdr>
        </w:div>
      </w:divsChild>
    </w:div>
    <w:div w:id="836964915">
      <w:bodyDiv w:val="1"/>
      <w:marLeft w:val="0"/>
      <w:marRight w:val="0"/>
      <w:marTop w:val="0"/>
      <w:marBottom w:val="0"/>
      <w:divBdr>
        <w:top w:val="none" w:sz="0" w:space="0" w:color="auto"/>
        <w:left w:val="none" w:sz="0" w:space="0" w:color="auto"/>
        <w:bottom w:val="none" w:sz="0" w:space="0" w:color="auto"/>
        <w:right w:val="none" w:sz="0" w:space="0" w:color="auto"/>
      </w:divBdr>
    </w:div>
    <w:div w:id="889877217">
      <w:bodyDiv w:val="1"/>
      <w:marLeft w:val="0"/>
      <w:marRight w:val="0"/>
      <w:marTop w:val="0"/>
      <w:marBottom w:val="0"/>
      <w:divBdr>
        <w:top w:val="none" w:sz="0" w:space="0" w:color="auto"/>
        <w:left w:val="none" w:sz="0" w:space="0" w:color="auto"/>
        <w:bottom w:val="none" w:sz="0" w:space="0" w:color="auto"/>
        <w:right w:val="none" w:sz="0" w:space="0" w:color="auto"/>
      </w:divBdr>
    </w:div>
    <w:div w:id="891237561">
      <w:bodyDiv w:val="1"/>
      <w:marLeft w:val="0"/>
      <w:marRight w:val="0"/>
      <w:marTop w:val="0"/>
      <w:marBottom w:val="0"/>
      <w:divBdr>
        <w:top w:val="none" w:sz="0" w:space="0" w:color="auto"/>
        <w:left w:val="none" w:sz="0" w:space="0" w:color="auto"/>
        <w:bottom w:val="none" w:sz="0" w:space="0" w:color="auto"/>
        <w:right w:val="none" w:sz="0" w:space="0" w:color="auto"/>
      </w:divBdr>
      <w:divsChild>
        <w:div w:id="1554846976">
          <w:marLeft w:val="0"/>
          <w:marRight w:val="0"/>
          <w:marTop w:val="0"/>
          <w:marBottom w:val="0"/>
          <w:divBdr>
            <w:top w:val="none" w:sz="0" w:space="0" w:color="auto"/>
            <w:left w:val="none" w:sz="0" w:space="0" w:color="auto"/>
            <w:bottom w:val="none" w:sz="0" w:space="0" w:color="auto"/>
            <w:right w:val="none" w:sz="0" w:space="0" w:color="auto"/>
          </w:divBdr>
        </w:div>
      </w:divsChild>
    </w:div>
    <w:div w:id="932011722">
      <w:bodyDiv w:val="1"/>
      <w:marLeft w:val="0"/>
      <w:marRight w:val="0"/>
      <w:marTop w:val="0"/>
      <w:marBottom w:val="0"/>
      <w:divBdr>
        <w:top w:val="none" w:sz="0" w:space="0" w:color="auto"/>
        <w:left w:val="none" w:sz="0" w:space="0" w:color="auto"/>
        <w:bottom w:val="none" w:sz="0" w:space="0" w:color="auto"/>
        <w:right w:val="none" w:sz="0" w:space="0" w:color="auto"/>
      </w:divBdr>
    </w:div>
    <w:div w:id="1013452647">
      <w:bodyDiv w:val="1"/>
      <w:marLeft w:val="0"/>
      <w:marRight w:val="0"/>
      <w:marTop w:val="0"/>
      <w:marBottom w:val="0"/>
      <w:divBdr>
        <w:top w:val="none" w:sz="0" w:space="0" w:color="auto"/>
        <w:left w:val="none" w:sz="0" w:space="0" w:color="auto"/>
        <w:bottom w:val="none" w:sz="0" w:space="0" w:color="auto"/>
        <w:right w:val="none" w:sz="0" w:space="0" w:color="auto"/>
      </w:divBdr>
    </w:div>
    <w:div w:id="1036001651">
      <w:bodyDiv w:val="1"/>
      <w:marLeft w:val="0"/>
      <w:marRight w:val="0"/>
      <w:marTop w:val="0"/>
      <w:marBottom w:val="0"/>
      <w:divBdr>
        <w:top w:val="none" w:sz="0" w:space="0" w:color="auto"/>
        <w:left w:val="none" w:sz="0" w:space="0" w:color="auto"/>
        <w:bottom w:val="none" w:sz="0" w:space="0" w:color="auto"/>
        <w:right w:val="none" w:sz="0" w:space="0" w:color="auto"/>
      </w:divBdr>
    </w:div>
    <w:div w:id="1037436018">
      <w:bodyDiv w:val="1"/>
      <w:marLeft w:val="0"/>
      <w:marRight w:val="0"/>
      <w:marTop w:val="0"/>
      <w:marBottom w:val="0"/>
      <w:divBdr>
        <w:top w:val="none" w:sz="0" w:space="0" w:color="auto"/>
        <w:left w:val="none" w:sz="0" w:space="0" w:color="auto"/>
        <w:bottom w:val="none" w:sz="0" w:space="0" w:color="auto"/>
        <w:right w:val="none" w:sz="0" w:space="0" w:color="auto"/>
      </w:divBdr>
      <w:divsChild>
        <w:div w:id="758333946">
          <w:marLeft w:val="0"/>
          <w:marRight w:val="0"/>
          <w:marTop w:val="0"/>
          <w:marBottom w:val="0"/>
          <w:divBdr>
            <w:top w:val="none" w:sz="0" w:space="0" w:color="auto"/>
            <w:left w:val="none" w:sz="0" w:space="0" w:color="auto"/>
            <w:bottom w:val="none" w:sz="0" w:space="0" w:color="auto"/>
            <w:right w:val="none" w:sz="0" w:space="0" w:color="auto"/>
          </w:divBdr>
        </w:div>
      </w:divsChild>
    </w:div>
    <w:div w:id="1080634372">
      <w:bodyDiv w:val="1"/>
      <w:marLeft w:val="0"/>
      <w:marRight w:val="0"/>
      <w:marTop w:val="0"/>
      <w:marBottom w:val="0"/>
      <w:divBdr>
        <w:top w:val="none" w:sz="0" w:space="0" w:color="auto"/>
        <w:left w:val="none" w:sz="0" w:space="0" w:color="auto"/>
        <w:bottom w:val="none" w:sz="0" w:space="0" w:color="auto"/>
        <w:right w:val="none" w:sz="0" w:space="0" w:color="auto"/>
      </w:divBdr>
    </w:div>
    <w:div w:id="1132753940">
      <w:bodyDiv w:val="1"/>
      <w:marLeft w:val="0"/>
      <w:marRight w:val="0"/>
      <w:marTop w:val="0"/>
      <w:marBottom w:val="0"/>
      <w:divBdr>
        <w:top w:val="none" w:sz="0" w:space="0" w:color="auto"/>
        <w:left w:val="none" w:sz="0" w:space="0" w:color="auto"/>
        <w:bottom w:val="none" w:sz="0" w:space="0" w:color="auto"/>
        <w:right w:val="none" w:sz="0" w:space="0" w:color="auto"/>
      </w:divBdr>
    </w:div>
    <w:div w:id="1149205887">
      <w:bodyDiv w:val="1"/>
      <w:marLeft w:val="0"/>
      <w:marRight w:val="0"/>
      <w:marTop w:val="0"/>
      <w:marBottom w:val="0"/>
      <w:divBdr>
        <w:top w:val="none" w:sz="0" w:space="0" w:color="auto"/>
        <w:left w:val="none" w:sz="0" w:space="0" w:color="auto"/>
        <w:bottom w:val="none" w:sz="0" w:space="0" w:color="auto"/>
        <w:right w:val="none" w:sz="0" w:space="0" w:color="auto"/>
      </w:divBdr>
    </w:div>
    <w:div w:id="1158230124">
      <w:bodyDiv w:val="1"/>
      <w:marLeft w:val="0"/>
      <w:marRight w:val="0"/>
      <w:marTop w:val="0"/>
      <w:marBottom w:val="0"/>
      <w:divBdr>
        <w:top w:val="none" w:sz="0" w:space="0" w:color="auto"/>
        <w:left w:val="none" w:sz="0" w:space="0" w:color="auto"/>
        <w:bottom w:val="none" w:sz="0" w:space="0" w:color="auto"/>
        <w:right w:val="none" w:sz="0" w:space="0" w:color="auto"/>
      </w:divBdr>
    </w:div>
    <w:div w:id="1248272822">
      <w:bodyDiv w:val="1"/>
      <w:marLeft w:val="0"/>
      <w:marRight w:val="0"/>
      <w:marTop w:val="0"/>
      <w:marBottom w:val="0"/>
      <w:divBdr>
        <w:top w:val="none" w:sz="0" w:space="0" w:color="auto"/>
        <w:left w:val="none" w:sz="0" w:space="0" w:color="auto"/>
        <w:bottom w:val="none" w:sz="0" w:space="0" w:color="auto"/>
        <w:right w:val="none" w:sz="0" w:space="0" w:color="auto"/>
      </w:divBdr>
    </w:div>
    <w:div w:id="1249341235">
      <w:bodyDiv w:val="1"/>
      <w:marLeft w:val="0"/>
      <w:marRight w:val="0"/>
      <w:marTop w:val="0"/>
      <w:marBottom w:val="0"/>
      <w:divBdr>
        <w:top w:val="none" w:sz="0" w:space="0" w:color="auto"/>
        <w:left w:val="none" w:sz="0" w:space="0" w:color="auto"/>
        <w:bottom w:val="none" w:sz="0" w:space="0" w:color="auto"/>
        <w:right w:val="none" w:sz="0" w:space="0" w:color="auto"/>
      </w:divBdr>
    </w:div>
    <w:div w:id="1292639431">
      <w:bodyDiv w:val="1"/>
      <w:marLeft w:val="0"/>
      <w:marRight w:val="0"/>
      <w:marTop w:val="0"/>
      <w:marBottom w:val="0"/>
      <w:divBdr>
        <w:top w:val="none" w:sz="0" w:space="0" w:color="auto"/>
        <w:left w:val="none" w:sz="0" w:space="0" w:color="auto"/>
        <w:bottom w:val="none" w:sz="0" w:space="0" w:color="auto"/>
        <w:right w:val="none" w:sz="0" w:space="0" w:color="auto"/>
      </w:divBdr>
    </w:div>
    <w:div w:id="1293823493">
      <w:bodyDiv w:val="1"/>
      <w:marLeft w:val="0"/>
      <w:marRight w:val="0"/>
      <w:marTop w:val="0"/>
      <w:marBottom w:val="0"/>
      <w:divBdr>
        <w:top w:val="none" w:sz="0" w:space="0" w:color="auto"/>
        <w:left w:val="none" w:sz="0" w:space="0" w:color="auto"/>
        <w:bottom w:val="none" w:sz="0" w:space="0" w:color="auto"/>
        <w:right w:val="none" w:sz="0" w:space="0" w:color="auto"/>
      </w:divBdr>
    </w:div>
    <w:div w:id="1302005682">
      <w:bodyDiv w:val="1"/>
      <w:marLeft w:val="0"/>
      <w:marRight w:val="0"/>
      <w:marTop w:val="0"/>
      <w:marBottom w:val="0"/>
      <w:divBdr>
        <w:top w:val="none" w:sz="0" w:space="0" w:color="auto"/>
        <w:left w:val="none" w:sz="0" w:space="0" w:color="auto"/>
        <w:bottom w:val="none" w:sz="0" w:space="0" w:color="auto"/>
        <w:right w:val="none" w:sz="0" w:space="0" w:color="auto"/>
      </w:divBdr>
    </w:div>
    <w:div w:id="1380280432">
      <w:bodyDiv w:val="1"/>
      <w:marLeft w:val="0"/>
      <w:marRight w:val="0"/>
      <w:marTop w:val="0"/>
      <w:marBottom w:val="0"/>
      <w:divBdr>
        <w:top w:val="none" w:sz="0" w:space="0" w:color="auto"/>
        <w:left w:val="none" w:sz="0" w:space="0" w:color="auto"/>
        <w:bottom w:val="none" w:sz="0" w:space="0" w:color="auto"/>
        <w:right w:val="none" w:sz="0" w:space="0" w:color="auto"/>
      </w:divBdr>
    </w:div>
    <w:div w:id="1386029689">
      <w:bodyDiv w:val="1"/>
      <w:marLeft w:val="0"/>
      <w:marRight w:val="0"/>
      <w:marTop w:val="0"/>
      <w:marBottom w:val="0"/>
      <w:divBdr>
        <w:top w:val="none" w:sz="0" w:space="0" w:color="auto"/>
        <w:left w:val="none" w:sz="0" w:space="0" w:color="auto"/>
        <w:bottom w:val="none" w:sz="0" w:space="0" w:color="auto"/>
        <w:right w:val="none" w:sz="0" w:space="0" w:color="auto"/>
      </w:divBdr>
    </w:div>
    <w:div w:id="1439060574">
      <w:bodyDiv w:val="1"/>
      <w:marLeft w:val="0"/>
      <w:marRight w:val="0"/>
      <w:marTop w:val="0"/>
      <w:marBottom w:val="0"/>
      <w:divBdr>
        <w:top w:val="none" w:sz="0" w:space="0" w:color="auto"/>
        <w:left w:val="none" w:sz="0" w:space="0" w:color="auto"/>
        <w:bottom w:val="none" w:sz="0" w:space="0" w:color="auto"/>
        <w:right w:val="none" w:sz="0" w:space="0" w:color="auto"/>
      </w:divBdr>
    </w:div>
    <w:div w:id="1444031304">
      <w:bodyDiv w:val="1"/>
      <w:marLeft w:val="0"/>
      <w:marRight w:val="0"/>
      <w:marTop w:val="0"/>
      <w:marBottom w:val="0"/>
      <w:divBdr>
        <w:top w:val="none" w:sz="0" w:space="0" w:color="auto"/>
        <w:left w:val="none" w:sz="0" w:space="0" w:color="auto"/>
        <w:bottom w:val="none" w:sz="0" w:space="0" w:color="auto"/>
        <w:right w:val="none" w:sz="0" w:space="0" w:color="auto"/>
      </w:divBdr>
    </w:div>
    <w:div w:id="1449661941">
      <w:bodyDiv w:val="1"/>
      <w:marLeft w:val="0"/>
      <w:marRight w:val="0"/>
      <w:marTop w:val="0"/>
      <w:marBottom w:val="0"/>
      <w:divBdr>
        <w:top w:val="none" w:sz="0" w:space="0" w:color="auto"/>
        <w:left w:val="none" w:sz="0" w:space="0" w:color="auto"/>
        <w:bottom w:val="none" w:sz="0" w:space="0" w:color="auto"/>
        <w:right w:val="none" w:sz="0" w:space="0" w:color="auto"/>
      </w:divBdr>
    </w:div>
    <w:div w:id="1464540443">
      <w:bodyDiv w:val="1"/>
      <w:marLeft w:val="0"/>
      <w:marRight w:val="0"/>
      <w:marTop w:val="0"/>
      <w:marBottom w:val="0"/>
      <w:divBdr>
        <w:top w:val="none" w:sz="0" w:space="0" w:color="auto"/>
        <w:left w:val="none" w:sz="0" w:space="0" w:color="auto"/>
        <w:bottom w:val="none" w:sz="0" w:space="0" w:color="auto"/>
        <w:right w:val="none" w:sz="0" w:space="0" w:color="auto"/>
      </w:divBdr>
    </w:div>
    <w:div w:id="1531063024">
      <w:bodyDiv w:val="1"/>
      <w:marLeft w:val="0"/>
      <w:marRight w:val="0"/>
      <w:marTop w:val="0"/>
      <w:marBottom w:val="0"/>
      <w:divBdr>
        <w:top w:val="none" w:sz="0" w:space="0" w:color="auto"/>
        <w:left w:val="none" w:sz="0" w:space="0" w:color="auto"/>
        <w:bottom w:val="none" w:sz="0" w:space="0" w:color="auto"/>
        <w:right w:val="none" w:sz="0" w:space="0" w:color="auto"/>
      </w:divBdr>
    </w:div>
    <w:div w:id="1539856990">
      <w:bodyDiv w:val="1"/>
      <w:marLeft w:val="0"/>
      <w:marRight w:val="0"/>
      <w:marTop w:val="0"/>
      <w:marBottom w:val="0"/>
      <w:divBdr>
        <w:top w:val="none" w:sz="0" w:space="0" w:color="auto"/>
        <w:left w:val="none" w:sz="0" w:space="0" w:color="auto"/>
        <w:bottom w:val="none" w:sz="0" w:space="0" w:color="auto"/>
        <w:right w:val="none" w:sz="0" w:space="0" w:color="auto"/>
      </w:divBdr>
    </w:div>
    <w:div w:id="1556309119">
      <w:bodyDiv w:val="1"/>
      <w:marLeft w:val="0"/>
      <w:marRight w:val="0"/>
      <w:marTop w:val="0"/>
      <w:marBottom w:val="0"/>
      <w:divBdr>
        <w:top w:val="none" w:sz="0" w:space="0" w:color="auto"/>
        <w:left w:val="none" w:sz="0" w:space="0" w:color="auto"/>
        <w:bottom w:val="none" w:sz="0" w:space="0" w:color="auto"/>
        <w:right w:val="none" w:sz="0" w:space="0" w:color="auto"/>
      </w:divBdr>
    </w:div>
    <w:div w:id="1592860682">
      <w:bodyDiv w:val="1"/>
      <w:marLeft w:val="0"/>
      <w:marRight w:val="0"/>
      <w:marTop w:val="0"/>
      <w:marBottom w:val="0"/>
      <w:divBdr>
        <w:top w:val="none" w:sz="0" w:space="0" w:color="auto"/>
        <w:left w:val="none" w:sz="0" w:space="0" w:color="auto"/>
        <w:bottom w:val="none" w:sz="0" w:space="0" w:color="auto"/>
        <w:right w:val="none" w:sz="0" w:space="0" w:color="auto"/>
      </w:divBdr>
    </w:div>
    <w:div w:id="1710302432">
      <w:bodyDiv w:val="1"/>
      <w:marLeft w:val="0"/>
      <w:marRight w:val="0"/>
      <w:marTop w:val="0"/>
      <w:marBottom w:val="0"/>
      <w:divBdr>
        <w:top w:val="none" w:sz="0" w:space="0" w:color="auto"/>
        <w:left w:val="none" w:sz="0" w:space="0" w:color="auto"/>
        <w:bottom w:val="none" w:sz="0" w:space="0" w:color="auto"/>
        <w:right w:val="none" w:sz="0" w:space="0" w:color="auto"/>
      </w:divBdr>
      <w:divsChild>
        <w:div w:id="1150052435">
          <w:marLeft w:val="0"/>
          <w:marRight w:val="0"/>
          <w:marTop w:val="0"/>
          <w:marBottom w:val="0"/>
          <w:divBdr>
            <w:top w:val="none" w:sz="0" w:space="0" w:color="auto"/>
            <w:left w:val="none" w:sz="0" w:space="0" w:color="auto"/>
            <w:bottom w:val="none" w:sz="0" w:space="0" w:color="auto"/>
            <w:right w:val="none" w:sz="0" w:space="0" w:color="auto"/>
          </w:divBdr>
        </w:div>
      </w:divsChild>
    </w:div>
    <w:div w:id="1879853150">
      <w:bodyDiv w:val="1"/>
      <w:marLeft w:val="0"/>
      <w:marRight w:val="0"/>
      <w:marTop w:val="0"/>
      <w:marBottom w:val="0"/>
      <w:divBdr>
        <w:top w:val="none" w:sz="0" w:space="0" w:color="auto"/>
        <w:left w:val="none" w:sz="0" w:space="0" w:color="auto"/>
        <w:bottom w:val="none" w:sz="0" w:space="0" w:color="auto"/>
        <w:right w:val="none" w:sz="0" w:space="0" w:color="auto"/>
      </w:divBdr>
    </w:div>
    <w:div w:id="1927231070">
      <w:bodyDiv w:val="1"/>
      <w:marLeft w:val="0"/>
      <w:marRight w:val="0"/>
      <w:marTop w:val="0"/>
      <w:marBottom w:val="0"/>
      <w:divBdr>
        <w:top w:val="none" w:sz="0" w:space="0" w:color="auto"/>
        <w:left w:val="none" w:sz="0" w:space="0" w:color="auto"/>
        <w:bottom w:val="none" w:sz="0" w:space="0" w:color="auto"/>
        <w:right w:val="none" w:sz="0" w:space="0" w:color="auto"/>
      </w:divBdr>
    </w:div>
    <w:div w:id="1938757002">
      <w:bodyDiv w:val="1"/>
      <w:marLeft w:val="0"/>
      <w:marRight w:val="0"/>
      <w:marTop w:val="0"/>
      <w:marBottom w:val="0"/>
      <w:divBdr>
        <w:top w:val="none" w:sz="0" w:space="0" w:color="auto"/>
        <w:left w:val="none" w:sz="0" w:space="0" w:color="auto"/>
        <w:bottom w:val="none" w:sz="0" w:space="0" w:color="auto"/>
        <w:right w:val="none" w:sz="0" w:space="0" w:color="auto"/>
      </w:divBdr>
    </w:div>
    <w:div w:id="1952935195">
      <w:bodyDiv w:val="1"/>
      <w:marLeft w:val="0"/>
      <w:marRight w:val="0"/>
      <w:marTop w:val="0"/>
      <w:marBottom w:val="0"/>
      <w:divBdr>
        <w:top w:val="none" w:sz="0" w:space="0" w:color="auto"/>
        <w:left w:val="none" w:sz="0" w:space="0" w:color="auto"/>
        <w:bottom w:val="none" w:sz="0" w:space="0" w:color="auto"/>
        <w:right w:val="none" w:sz="0" w:space="0" w:color="auto"/>
      </w:divBdr>
    </w:div>
    <w:div w:id="2006349617">
      <w:bodyDiv w:val="1"/>
      <w:marLeft w:val="0"/>
      <w:marRight w:val="0"/>
      <w:marTop w:val="0"/>
      <w:marBottom w:val="0"/>
      <w:divBdr>
        <w:top w:val="none" w:sz="0" w:space="0" w:color="auto"/>
        <w:left w:val="none" w:sz="0" w:space="0" w:color="auto"/>
        <w:bottom w:val="none" w:sz="0" w:space="0" w:color="auto"/>
        <w:right w:val="none" w:sz="0" w:space="0" w:color="auto"/>
      </w:divBdr>
    </w:div>
    <w:div w:id="2016415547">
      <w:bodyDiv w:val="1"/>
      <w:marLeft w:val="0"/>
      <w:marRight w:val="0"/>
      <w:marTop w:val="0"/>
      <w:marBottom w:val="0"/>
      <w:divBdr>
        <w:top w:val="none" w:sz="0" w:space="0" w:color="auto"/>
        <w:left w:val="none" w:sz="0" w:space="0" w:color="auto"/>
        <w:bottom w:val="none" w:sz="0" w:space="0" w:color="auto"/>
        <w:right w:val="none" w:sz="0" w:space="0" w:color="auto"/>
      </w:divBdr>
    </w:div>
    <w:div w:id="2047631892">
      <w:bodyDiv w:val="1"/>
      <w:marLeft w:val="0"/>
      <w:marRight w:val="0"/>
      <w:marTop w:val="0"/>
      <w:marBottom w:val="0"/>
      <w:divBdr>
        <w:top w:val="none" w:sz="0" w:space="0" w:color="auto"/>
        <w:left w:val="none" w:sz="0" w:space="0" w:color="auto"/>
        <w:bottom w:val="none" w:sz="0" w:space="0" w:color="auto"/>
        <w:right w:val="none" w:sz="0" w:space="0" w:color="auto"/>
      </w:divBdr>
    </w:div>
    <w:div w:id="2074935812">
      <w:bodyDiv w:val="1"/>
      <w:marLeft w:val="0"/>
      <w:marRight w:val="0"/>
      <w:marTop w:val="0"/>
      <w:marBottom w:val="0"/>
      <w:divBdr>
        <w:top w:val="none" w:sz="0" w:space="0" w:color="auto"/>
        <w:left w:val="none" w:sz="0" w:space="0" w:color="auto"/>
        <w:bottom w:val="none" w:sz="0" w:space="0" w:color="auto"/>
        <w:right w:val="none" w:sz="0" w:space="0" w:color="auto"/>
      </w:divBdr>
    </w:div>
    <w:div w:id="2095469576">
      <w:bodyDiv w:val="1"/>
      <w:marLeft w:val="0"/>
      <w:marRight w:val="0"/>
      <w:marTop w:val="0"/>
      <w:marBottom w:val="0"/>
      <w:divBdr>
        <w:top w:val="none" w:sz="0" w:space="0" w:color="auto"/>
        <w:left w:val="none" w:sz="0" w:space="0" w:color="auto"/>
        <w:bottom w:val="none" w:sz="0" w:space="0" w:color="auto"/>
        <w:right w:val="none" w:sz="0" w:space="0" w:color="auto"/>
      </w:divBdr>
      <w:divsChild>
        <w:div w:id="21189415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llu\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Student report with photo</Template>
  <TotalTime>826</TotalTime>
  <Pages>9</Pages>
  <Words>2555</Words>
  <Characters>14570</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Griffiths</dc:creator>
  <cp:keywords/>
  <dc:description/>
  <cp:lastModifiedBy>Callum Griffiths (2417576)</cp:lastModifiedBy>
  <cp:revision>21</cp:revision>
  <dcterms:created xsi:type="dcterms:W3CDTF">2025-04-27T08:50:00Z</dcterms:created>
  <dcterms:modified xsi:type="dcterms:W3CDTF">2025-05-15T08:21:00Z</dcterms:modified>
</cp:coreProperties>
</file>