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6EE0" w:rsidRDefault="002A6EE0" w:rsidP="002A6EE0">
      <w:pPr>
        <w:pStyle w:val="NormalWeb"/>
        <w:spacing w:before="0" w:beforeAutospacing="0" w:after="0" w:afterAutospacing="0"/>
        <w:ind w:left="-180" w:right="-334"/>
        <w:rPr>
          <w:rFonts w:ascii="Trebuchet MS" w:hAnsi="Trebuchet MS" w:cs="Tahoma"/>
        </w:rPr>
      </w:pPr>
      <w:bookmarkStart w:id="0" w:name="_Hlk497827408"/>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2A6EE0" w:rsidRDefault="002A6EE0" w:rsidP="002A6EE0">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2A6EE0" w:rsidRPr="001E50BB" w:rsidRDefault="002A6EE0" w:rsidP="002A6EE0">
      <w:pPr>
        <w:jc w:val="center"/>
        <w:rPr>
          <w:rFonts w:ascii="Arial" w:hAnsi="Arial" w:cs="Arial"/>
          <w:b/>
          <w:lang w:val="cy-GB"/>
        </w:rPr>
      </w:pPr>
      <w:r w:rsidRPr="001E50BB">
        <w:rPr>
          <w:rFonts w:ascii="Arial" w:hAnsi="Arial" w:cs="Arial"/>
          <w:b/>
          <w:lang w:val="cy-GB"/>
        </w:rPr>
        <w:t>(to be completed by marker)</w:t>
      </w:r>
    </w:p>
    <w:tbl>
      <w:tblPr>
        <w:tblpPr w:leftFromText="180" w:rightFromText="180" w:vertAnchor="text" w:horzAnchor="margin" w:tblpY="1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2A6EE0" w:rsidRPr="0065654E" w:rsidTr="002A6EE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2A6EE0" w:rsidRDefault="002A6EE0" w:rsidP="002A6EE0">
            <w:pPr>
              <w:pStyle w:val="NormalWeb"/>
              <w:spacing w:before="0" w:beforeAutospacing="0" w:after="0" w:afterAutospacing="0"/>
              <w:ind w:right="34"/>
              <w:rPr>
                <w:rFonts w:ascii="Calibri" w:hAnsi="Calibri" w:cs="Tahoma"/>
                <w:i/>
              </w:rPr>
            </w:pPr>
            <w:bookmarkStart w:id="1" w:name="_GoBack"/>
            <w:bookmarkEnd w:id="1"/>
            <w:r w:rsidRPr="0065654E">
              <w:rPr>
                <w:rFonts w:ascii="Calibri" w:hAnsi="Calibri" w:cs="Tahoma"/>
                <w:i/>
              </w:rPr>
              <w:t>Student Na</w:t>
            </w:r>
            <w:r>
              <w:rPr>
                <w:rFonts w:ascii="Calibri" w:hAnsi="Calibri" w:cs="Tahoma"/>
                <w:i/>
              </w:rPr>
              <w:t>me</w:t>
            </w:r>
            <w:r w:rsidRPr="002A6EE0">
              <w:rPr>
                <w:rFonts w:ascii="Calibri" w:hAnsi="Calibri" w:cs="Tahoma"/>
              </w:rPr>
              <w:t>: Daegan Simpson</w:t>
            </w:r>
          </w:p>
          <w:p w:rsidR="002A6EE0" w:rsidRPr="0065654E" w:rsidRDefault="002A6EE0" w:rsidP="002A6EE0">
            <w:pPr>
              <w:pStyle w:val="NormalWeb"/>
              <w:spacing w:before="0" w:beforeAutospacing="0" w:after="0" w:afterAutospacing="0"/>
              <w:ind w:right="34"/>
              <w:rPr>
                <w:rFonts w:ascii="Calibri" w:hAnsi="Calibri" w:cs="Tahoma"/>
                <w:i/>
              </w:rPr>
            </w:pPr>
          </w:p>
        </w:tc>
      </w:tr>
      <w:tr w:rsidR="002A6EE0" w:rsidRPr="0065654E" w:rsidTr="002A6EE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2A6EE0" w:rsidRPr="002A6EE0" w:rsidRDefault="002A6EE0" w:rsidP="002A6EE0">
            <w:pPr>
              <w:pStyle w:val="NormalWeb"/>
              <w:spacing w:before="0" w:beforeAutospacing="0" w:after="0" w:afterAutospacing="0"/>
              <w:ind w:right="34"/>
              <w:rPr>
                <w:rFonts w:ascii="Calibri" w:hAnsi="Calibri" w:cs="Tahoma"/>
              </w:rPr>
            </w:pPr>
            <w:r>
              <w:rPr>
                <w:rFonts w:ascii="Calibri" w:hAnsi="Calibri" w:cs="Tahoma"/>
                <w:i/>
              </w:rPr>
              <w:t xml:space="preserve">Module Code: </w:t>
            </w:r>
            <w:r>
              <w:rPr>
                <w:rFonts w:ascii="Calibri" w:hAnsi="Calibri" w:cs="Tahoma"/>
              </w:rPr>
              <w:t>AHAN5008</w:t>
            </w:r>
          </w:p>
          <w:p w:rsidR="002A6EE0" w:rsidRDefault="002A6EE0" w:rsidP="002A6EE0">
            <w:pPr>
              <w:pStyle w:val="NormalWeb"/>
              <w:spacing w:before="0" w:beforeAutospacing="0" w:after="0" w:afterAutospacing="0"/>
              <w:ind w:right="34"/>
              <w:rPr>
                <w:rFonts w:ascii="Calibri" w:hAnsi="Calibri" w:cs="Tahoma"/>
                <w:i/>
              </w:rPr>
            </w:pPr>
          </w:p>
          <w:p w:rsidR="002A6EE0" w:rsidRPr="002A6EE0" w:rsidRDefault="002A6EE0" w:rsidP="002A6EE0">
            <w:pPr>
              <w:pStyle w:val="NormalWeb"/>
              <w:spacing w:before="0" w:beforeAutospacing="0" w:after="0" w:afterAutospacing="0"/>
              <w:ind w:right="34"/>
              <w:rPr>
                <w:rFonts w:ascii="Calibri" w:hAnsi="Calibri" w:cs="Tahoma"/>
              </w:rPr>
            </w:pPr>
            <w:r>
              <w:rPr>
                <w:rFonts w:ascii="Calibri" w:hAnsi="Calibri" w:cs="Tahoma"/>
                <w:i/>
              </w:rPr>
              <w:t xml:space="preserve">Module </w:t>
            </w:r>
            <w:r w:rsidRPr="0065654E">
              <w:rPr>
                <w:rFonts w:ascii="Calibri" w:hAnsi="Calibri" w:cs="Tahoma"/>
                <w:i/>
              </w:rPr>
              <w:t>title</w:t>
            </w:r>
            <w:r>
              <w:rPr>
                <w:rFonts w:ascii="Calibri" w:hAnsi="Calibri" w:cs="Tahoma"/>
                <w:i/>
              </w:rPr>
              <w:t xml:space="preserve">: </w:t>
            </w:r>
            <w:r>
              <w:rPr>
                <w:rFonts w:ascii="Calibri" w:hAnsi="Calibri" w:cs="Tahoma"/>
              </w:rPr>
              <w:t>Material Worlds: Approaches to Economic Relations</w:t>
            </w:r>
          </w:p>
          <w:p w:rsidR="002A6EE0" w:rsidRPr="0065654E" w:rsidRDefault="002A6EE0" w:rsidP="002A6EE0">
            <w:pPr>
              <w:pStyle w:val="NormalWeb"/>
              <w:spacing w:before="0" w:beforeAutospacing="0" w:after="0" w:afterAutospacing="0"/>
              <w:ind w:right="34"/>
              <w:rPr>
                <w:rFonts w:ascii="Calibri" w:hAnsi="Calibri" w:cs="Tahoma"/>
                <w:i/>
              </w:rPr>
            </w:pPr>
          </w:p>
        </w:tc>
        <w:tc>
          <w:tcPr>
            <w:tcW w:w="3967" w:type="dxa"/>
            <w:gridSpan w:val="2"/>
            <w:tcBorders>
              <w:top w:val="single" w:sz="4" w:space="0" w:color="auto"/>
              <w:left w:val="single" w:sz="4" w:space="0" w:color="auto"/>
              <w:bottom w:val="single" w:sz="4" w:space="0" w:color="auto"/>
              <w:right w:val="single" w:sz="4" w:space="0" w:color="auto"/>
            </w:tcBorders>
          </w:tcPr>
          <w:p w:rsidR="002A6EE0" w:rsidRPr="0065654E" w:rsidRDefault="002A6EE0" w:rsidP="002A6EE0">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r>
              <w:rPr>
                <w:rFonts w:ascii="Calibri" w:hAnsi="Calibri" w:cs="Tahoma"/>
                <w:i/>
              </w:rPr>
              <w:t xml:space="preserve"> 1003107</w:t>
            </w:r>
          </w:p>
        </w:tc>
      </w:tr>
      <w:tr w:rsidR="002A6EE0" w:rsidRPr="0065654E" w:rsidTr="002A6EE0">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2A6EE0" w:rsidRPr="0065654E" w:rsidRDefault="002A6EE0" w:rsidP="002A6EE0">
            <w:pPr>
              <w:pStyle w:val="NormalWeb"/>
              <w:spacing w:before="0" w:beforeAutospacing="0" w:after="0" w:afterAutospacing="0"/>
              <w:rPr>
                <w:rFonts w:ascii="Calibri" w:hAnsi="Calibri" w:cs="Tahoma"/>
                <w:i/>
              </w:rPr>
            </w:pPr>
            <w:r w:rsidRPr="0065654E">
              <w:rPr>
                <w:rFonts w:ascii="Calibri" w:hAnsi="Calibri" w:cs="Tahoma"/>
                <w:i/>
              </w:rPr>
              <w:t>For completion by marker:</w:t>
            </w:r>
          </w:p>
          <w:p w:rsidR="002A6EE0" w:rsidRDefault="002A6EE0" w:rsidP="002A6EE0">
            <w:pPr>
              <w:pStyle w:val="NormalWeb"/>
              <w:rPr>
                <w:rFonts w:ascii="Calibri" w:hAnsi="Calibri" w:cs="Tahoma"/>
                <w:i/>
              </w:rPr>
            </w:pPr>
            <w:r w:rsidRPr="0065654E">
              <w:rPr>
                <w:rFonts w:ascii="Calibri" w:hAnsi="Calibri" w:cs="Tahoma"/>
                <w:i/>
              </w:rPr>
              <w:t>Comments:</w:t>
            </w: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Default="002A6EE0" w:rsidP="002A6EE0">
            <w:pPr>
              <w:pStyle w:val="NormalWeb"/>
              <w:rPr>
                <w:rFonts w:ascii="Calibri" w:hAnsi="Calibri" w:cs="Tahoma"/>
                <w:i/>
              </w:rPr>
            </w:pPr>
          </w:p>
          <w:p w:rsidR="002A6EE0" w:rsidRPr="0065654E" w:rsidRDefault="002A6EE0" w:rsidP="002A6EE0">
            <w:pPr>
              <w:pStyle w:val="NormalWeb"/>
              <w:rPr>
                <w:rFonts w:ascii="Calibri" w:hAnsi="Calibri" w:cs="Tahoma"/>
                <w:i/>
              </w:rPr>
            </w:pPr>
          </w:p>
        </w:tc>
      </w:tr>
      <w:tr w:rsidR="002A6EE0" w:rsidRPr="0065654E" w:rsidTr="002A6EE0">
        <w:trPr>
          <w:trHeight w:val="492"/>
        </w:trPr>
        <w:tc>
          <w:tcPr>
            <w:tcW w:w="6768" w:type="dxa"/>
            <w:gridSpan w:val="2"/>
            <w:tcBorders>
              <w:top w:val="single" w:sz="4" w:space="0" w:color="auto"/>
            </w:tcBorders>
            <w:vAlign w:val="center"/>
          </w:tcPr>
          <w:p w:rsidR="002A6EE0" w:rsidRPr="0065654E" w:rsidRDefault="002A6EE0" w:rsidP="002A6EE0">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rsidR="002A6EE0" w:rsidRPr="0065654E" w:rsidRDefault="002A6EE0" w:rsidP="002A6EE0">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2A6EE0" w:rsidRPr="0065654E" w:rsidTr="002A6EE0">
        <w:tc>
          <w:tcPr>
            <w:tcW w:w="8755" w:type="dxa"/>
            <w:gridSpan w:val="3"/>
            <w:vAlign w:val="center"/>
          </w:tcPr>
          <w:p w:rsidR="002A6EE0" w:rsidRDefault="002A6EE0" w:rsidP="002A6EE0">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rsidR="002A6EE0" w:rsidRPr="0065654E" w:rsidRDefault="002A6EE0" w:rsidP="002A6EE0">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2A6EE0" w:rsidRPr="001E50BB" w:rsidRDefault="002A6EE0" w:rsidP="002A6EE0">
      <w:pPr>
        <w:jc w:val="center"/>
        <w:rPr>
          <w:rFonts w:ascii="Arial" w:hAnsi="Arial" w:cs="Arial"/>
          <w:b/>
          <w:lang w:val="cy-GB"/>
        </w:rPr>
      </w:pPr>
    </w:p>
    <w:p w:rsidR="002A6EE0" w:rsidRDefault="002A6EE0" w:rsidP="002A6EE0">
      <w:pPr>
        <w:pStyle w:val="Heading3"/>
        <w:rPr>
          <w:rFonts w:ascii="Trebuchet MS" w:hAnsi="Trebuchet MS"/>
        </w:rPr>
      </w:pPr>
    </w:p>
    <w:bookmarkEnd w:id="0"/>
    <w:p w:rsidR="002A6EE0" w:rsidRPr="0065654E" w:rsidRDefault="002A6EE0" w:rsidP="002A6EE0">
      <w:pPr>
        <w:pStyle w:val="NormalWeb"/>
        <w:spacing w:before="0" w:beforeAutospacing="0" w:after="0" w:afterAutospacing="0"/>
        <w:ind w:right="-334"/>
        <w:rPr>
          <w:rFonts w:ascii="Trebuchet MS" w:hAnsi="Trebuchet MS" w:cs="Tahoma"/>
          <w:b/>
          <w:bCs/>
        </w:rPr>
      </w:pPr>
    </w:p>
    <w:p w:rsidR="005F0A7E" w:rsidRDefault="005F0A7E" w:rsidP="00B202A5">
      <w:r>
        <w:t>How can material objects have a social life?</w:t>
      </w:r>
      <w:r>
        <w:br/>
      </w:r>
    </w:p>
    <w:p w:rsidR="0003053A" w:rsidRDefault="0003053A" w:rsidP="0003053A">
      <w:r>
        <w:t>The idea of objects having a social life was originally developed as a classic methodological approach by Appadurai and Kopytoff (1986). At the heart of this approach is that objects gather meaning and value as they move through people</w:t>
      </w:r>
      <w:r w:rsidR="00C81806">
        <w:t>’s hands</w:t>
      </w:r>
      <w:r>
        <w:t xml:space="preserve"> and within cultures.</w:t>
      </w:r>
    </w:p>
    <w:p w:rsidR="002A5F56" w:rsidRDefault="002A5F56" w:rsidP="002A5F56">
      <w:r>
        <w:t xml:space="preserve">Within this piece of research, I will aim to examine how material objects can have social lives, and they way in which they interact with people and build biographies. I will use the approach developed by Appadurai and Kopytoff to analyse the biographies described in Gosden and Marshall’s </w:t>
      </w:r>
      <w:r w:rsidRPr="00C81806">
        <w:rPr>
          <w:i/>
        </w:rPr>
        <w:t>The Cultural Biography of Objects</w:t>
      </w:r>
      <w:r>
        <w:rPr>
          <w:i/>
        </w:rPr>
        <w:t xml:space="preserve">, </w:t>
      </w:r>
      <w:r>
        <w:t>1999.</w:t>
      </w:r>
    </w:p>
    <w:p w:rsidR="00800759" w:rsidRPr="002A5F56" w:rsidRDefault="0003053A" w:rsidP="002A5F56">
      <w:r>
        <w:t>According to Kopytoff, like people, objects have a biography. They are created, they live, and their life comes to an end. It is by looking at the object’s path through its life, it becomes possible to understand more about its value and significance in the society it is a part of. These values are gathered through the life of the object as its biography grows; as it is given, shared, or ascribed certain social or religious values.</w:t>
      </w:r>
      <w:r w:rsidR="00800759">
        <w:t xml:space="preserve"> </w:t>
      </w:r>
      <w:r w:rsidR="005717D1">
        <w:t xml:space="preserve">Key to the idea of objects having a social life is that they become imbued with meanings, becoming representative of various relationships and communities. They can become political or religious objects, and act as symbols. </w:t>
      </w:r>
    </w:p>
    <w:p w:rsidR="00C81806" w:rsidRPr="00203A99" w:rsidRDefault="00203A99" w:rsidP="00C81806">
      <w:pPr>
        <w:autoSpaceDE w:val="0"/>
        <w:autoSpaceDN w:val="0"/>
        <w:adjustRightInd w:val="0"/>
        <w:spacing w:after="0" w:line="240" w:lineRule="auto"/>
      </w:pPr>
      <w:r>
        <w:t>One way that objects can have a social life is in the changes and transformation which occur in the objects through their social use. This is demonstrated by a</w:t>
      </w:r>
      <w:r w:rsidR="00C81806">
        <w:t>nthropologists Gosden and Marshall</w:t>
      </w:r>
      <w:r>
        <w:t>, who</w:t>
      </w:r>
      <w:r w:rsidR="00C81806">
        <w:t xml:space="preserve"> made a study of Fijian necklaces in their </w:t>
      </w:r>
      <w:r w:rsidR="00C81806" w:rsidRPr="00C81806">
        <w:rPr>
          <w:i/>
        </w:rPr>
        <w:t>The Cultural Biography of Objects</w:t>
      </w:r>
      <w:r w:rsidR="00C81806">
        <w:rPr>
          <w:i/>
        </w:rPr>
        <w:t xml:space="preserve">, </w:t>
      </w:r>
      <w:r w:rsidR="00C81806">
        <w:t xml:space="preserve">1999. </w:t>
      </w:r>
      <w:r w:rsidR="00C81806">
        <w:rPr>
          <w:rFonts w:cstheme="minorHAnsi"/>
          <w:color w:val="000000"/>
        </w:rPr>
        <w:t>They discuss how o</w:t>
      </w:r>
      <w:r w:rsidR="00C81806" w:rsidRPr="00AD06E9">
        <w:rPr>
          <w:rFonts w:cstheme="minorHAnsi"/>
          <w:color w:val="000000"/>
        </w:rPr>
        <w:t>bjects are integral to human action; as people and objects gather 'time, movement, and change', (Gosden &amp; Marshall</w:t>
      </w:r>
      <w:r w:rsidR="009474BE">
        <w:rPr>
          <w:rFonts w:cstheme="minorHAnsi"/>
          <w:color w:val="000000"/>
        </w:rPr>
        <w:t>, 1999, p.169</w:t>
      </w:r>
      <w:r w:rsidR="00C81806" w:rsidRPr="00AD06E9">
        <w:rPr>
          <w:rFonts w:cstheme="minorHAnsi"/>
          <w:color w:val="000000"/>
        </w:rPr>
        <w:t>), they transform constantly, and these transformations of people and objects are connected</w:t>
      </w:r>
      <w:r>
        <w:rPr>
          <w:rFonts w:cstheme="minorHAnsi"/>
          <w:color w:val="000000"/>
        </w:rPr>
        <w:t>.</w:t>
      </w:r>
    </w:p>
    <w:p w:rsidR="009474BE" w:rsidRDefault="009474BE" w:rsidP="00D2578D">
      <w:pPr>
        <w:autoSpaceDE w:val="0"/>
        <w:autoSpaceDN w:val="0"/>
        <w:adjustRightInd w:val="0"/>
        <w:spacing w:after="0" w:line="240" w:lineRule="auto"/>
        <w:jc w:val="right"/>
        <w:rPr>
          <w:rFonts w:cstheme="minorHAnsi"/>
          <w:color w:val="000000"/>
        </w:rPr>
      </w:pPr>
    </w:p>
    <w:p w:rsidR="00DC3AFA" w:rsidRPr="00F61CCA" w:rsidRDefault="009474BE" w:rsidP="00DC3AFA">
      <w:pPr>
        <w:autoSpaceDE w:val="0"/>
        <w:autoSpaceDN w:val="0"/>
        <w:adjustRightInd w:val="0"/>
        <w:spacing w:after="0" w:line="240" w:lineRule="auto"/>
        <w:rPr>
          <w:rFonts w:cstheme="minorHAnsi"/>
          <w:b/>
          <w:color w:val="000000"/>
        </w:rPr>
      </w:pPr>
      <w:r w:rsidRPr="00AD06E9">
        <w:rPr>
          <w:rFonts w:cstheme="minorHAnsi"/>
          <w:color w:val="000000"/>
        </w:rPr>
        <w:t>The</w:t>
      </w:r>
      <w:r>
        <w:rPr>
          <w:rFonts w:cstheme="minorHAnsi"/>
          <w:color w:val="000000"/>
        </w:rPr>
        <w:t>y use the</w:t>
      </w:r>
      <w:r w:rsidRPr="00AD06E9">
        <w:rPr>
          <w:rFonts w:cstheme="minorHAnsi"/>
          <w:color w:val="000000"/>
        </w:rPr>
        <w:t xml:space="preserve"> concept of use-life</w:t>
      </w:r>
      <w:r>
        <w:rPr>
          <w:rFonts w:cstheme="minorHAnsi"/>
          <w:color w:val="000000"/>
        </w:rPr>
        <w:t>, which</w:t>
      </w:r>
      <w:r w:rsidRPr="00AD06E9">
        <w:rPr>
          <w:rFonts w:cstheme="minorHAnsi"/>
          <w:color w:val="000000"/>
        </w:rPr>
        <w:t xml:space="preserve"> refers to the changes in shape and use of an object</w:t>
      </w:r>
      <w:r w:rsidR="00D725B1">
        <w:rPr>
          <w:rFonts w:cstheme="minorHAnsi"/>
          <w:color w:val="000000"/>
        </w:rPr>
        <w:t>.</w:t>
      </w:r>
      <w:r w:rsidRPr="00AD06E9">
        <w:rPr>
          <w:rFonts w:cstheme="minorHAnsi"/>
          <w:color w:val="000000"/>
        </w:rPr>
        <w:t xml:space="preserve"> </w:t>
      </w:r>
      <w:r w:rsidR="00D725B1">
        <w:rPr>
          <w:rFonts w:cstheme="minorHAnsi"/>
          <w:color w:val="000000"/>
        </w:rPr>
        <w:t>I</w:t>
      </w:r>
      <w:r>
        <w:rPr>
          <w:rFonts w:cstheme="minorHAnsi"/>
          <w:color w:val="000000"/>
        </w:rPr>
        <w:t>n relation to stone tools, for example, ‘</w:t>
      </w:r>
      <w:r w:rsidRPr="00AD06E9">
        <w:rPr>
          <w:rFonts w:cstheme="minorHAnsi"/>
          <w:color w:val="000000"/>
        </w:rPr>
        <w:t>focusing on the way its shape and use change as it gets progressively</w:t>
      </w:r>
      <w:r>
        <w:rPr>
          <w:rFonts w:cstheme="minorHAnsi"/>
          <w:color w:val="000000"/>
        </w:rPr>
        <w:t xml:space="preserve"> smaller</w:t>
      </w:r>
      <w:r w:rsidRPr="00AD06E9">
        <w:rPr>
          <w:rFonts w:cstheme="minorHAnsi"/>
          <w:color w:val="000000"/>
        </w:rPr>
        <w:t xml:space="preserve">' </w:t>
      </w:r>
      <w:r>
        <w:rPr>
          <w:rFonts w:cstheme="minorHAnsi"/>
          <w:color w:val="000000"/>
        </w:rPr>
        <w:t>(Gosden &amp; Marshall, 1999)</w:t>
      </w:r>
      <w:r w:rsidR="00D725B1">
        <w:rPr>
          <w:rFonts w:cstheme="minorHAnsi"/>
          <w:color w:val="000000"/>
        </w:rPr>
        <w:t>, which indicates the uses it has had through its life.</w:t>
      </w:r>
      <w:r w:rsidR="00DC3AFA">
        <w:rPr>
          <w:rFonts w:cstheme="minorHAnsi"/>
          <w:color w:val="000000"/>
        </w:rPr>
        <w:br/>
      </w:r>
      <w:r w:rsidR="00F61CCA">
        <w:rPr>
          <w:rFonts w:cstheme="minorHAnsi"/>
          <w:color w:val="000000"/>
        </w:rPr>
        <w:t>More examples given were</w:t>
      </w:r>
      <w:r w:rsidR="00DC3AFA" w:rsidRPr="00AD06E9">
        <w:rPr>
          <w:rFonts w:cstheme="minorHAnsi"/>
          <w:color w:val="000000"/>
        </w:rPr>
        <w:t xml:space="preserve"> of</w:t>
      </w:r>
      <w:r w:rsidR="00F61CCA">
        <w:rPr>
          <w:rFonts w:cstheme="minorHAnsi"/>
          <w:color w:val="000000"/>
        </w:rPr>
        <w:t xml:space="preserve"> a</w:t>
      </w:r>
      <w:r w:rsidR="00DC3AFA" w:rsidRPr="00AD06E9">
        <w:rPr>
          <w:rFonts w:cstheme="minorHAnsi"/>
          <w:color w:val="000000"/>
        </w:rPr>
        <w:t xml:space="preserve"> whales-teeth necklace given to </w:t>
      </w:r>
      <w:r w:rsidR="00F61CCA">
        <w:rPr>
          <w:rFonts w:cstheme="minorHAnsi"/>
          <w:color w:val="000000"/>
        </w:rPr>
        <w:t>Revere</w:t>
      </w:r>
      <w:r w:rsidR="00D2578D">
        <w:rPr>
          <w:rFonts w:cstheme="minorHAnsi"/>
          <w:color w:val="000000"/>
        </w:rPr>
        <w:t>n</w:t>
      </w:r>
      <w:r w:rsidR="00F61CCA">
        <w:rPr>
          <w:rFonts w:cstheme="minorHAnsi"/>
          <w:color w:val="000000"/>
        </w:rPr>
        <w:t xml:space="preserve">d James </w:t>
      </w:r>
      <w:r w:rsidR="00DC3AFA" w:rsidRPr="00AD06E9">
        <w:rPr>
          <w:rFonts w:cstheme="minorHAnsi"/>
          <w:color w:val="000000"/>
        </w:rPr>
        <w:t>Calvert</w:t>
      </w:r>
      <w:r w:rsidR="00F61CCA">
        <w:rPr>
          <w:rFonts w:cstheme="minorHAnsi"/>
          <w:color w:val="000000"/>
        </w:rPr>
        <w:t xml:space="preserve"> by Chief Thakombau,</w:t>
      </w:r>
      <w:r w:rsidR="00DC3AFA" w:rsidRPr="00AD06E9">
        <w:rPr>
          <w:rFonts w:cstheme="minorHAnsi"/>
          <w:color w:val="000000"/>
        </w:rPr>
        <w:t xml:space="preserve"> in</w:t>
      </w:r>
      <w:r w:rsidR="00F61CCA">
        <w:rPr>
          <w:rFonts w:cstheme="minorHAnsi"/>
          <w:color w:val="000000"/>
        </w:rPr>
        <w:t xml:space="preserve"> a</w:t>
      </w:r>
      <w:r w:rsidR="00DC3AFA" w:rsidRPr="00AD06E9">
        <w:rPr>
          <w:rFonts w:cstheme="minorHAnsi"/>
          <w:color w:val="000000"/>
        </w:rPr>
        <w:t xml:space="preserve"> traditional gifting context of the necklace changing hands, and</w:t>
      </w:r>
      <w:r w:rsidR="00F61CCA">
        <w:rPr>
          <w:rFonts w:cstheme="minorHAnsi"/>
          <w:color w:val="000000"/>
        </w:rPr>
        <w:t xml:space="preserve"> a</w:t>
      </w:r>
      <w:r w:rsidR="00DC3AFA" w:rsidRPr="00AD06E9">
        <w:rPr>
          <w:rFonts w:cstheme="minorHAnsi"/>
          <w:color w:val="000000"/>
        </w:rPr>
        <w:t xml:space="preserve"> war club gifted to Queen Victoria as part of series of </w:t>
      </w:r>
      <w:r w:rsidR="00F61CCA">
        <w:rPr>
          <w:rFonts w:cstheme="minorHAnsi"/>
          <w:color w:val="000000"/>
        </w:rPr>
        <w:t xml:space="preserve">traditional </w:t>
      </w:r>
      <w:r w:rsidR="00DC3AFA" w:rsidRPr="00AD06E9">
        <w:rPr>
          <w:rFonts w:cstheme="minorHAnsi"/>
          <w:color w:val="000000"/>
        </w:rPr>
        <w:t xml:space="preserve">gifts </w:t>
      </w:r>
      <w:r w:rsidR="00F61CCA">
        <w:rPr>
          <w:rFonts w:cstheme="minorHAnsi"/>
          <w:color w:val="000000"/>
        </w:rPr>
        <w:t>when Fiji became a Crown Colony of Britain in 1874.</w:t>
      </w:r>
      <w:r w:rsidR="00DC3AFA" w:rsidRPr="00AD06E9">
        <w:rPr>
          <w:rFonts w:cstheme="minorHAnsi"/>
          <w:color w:val="000000"/>
        </w:rPr>
        <w:t xml:space="preserve"> Outside of its cultural context, the necklace became an ar</w:t>
      </w:r>
      <w:r w:rsidR="00F61CCA">
        <w:rPr>
          <w:rFonts w:cstheme="minorHAnsi"/>
          <w:color w:val="000000"/>
        </w:rPr>
        <w:t>te</w:t>
      </w:r>
      <w:r w:rsidR="00DC3AFA" w:rsidRPr="00AD06E9">
        <w:rPr>
          <w:rFonts w:cstheme="minorHAnsi"/>
          <w:color w:val="000000"/>
        </w:rPr>
        <w:t>fact</w:t>
      </w:r>
      <w:r w:rsidR="00F61CCA">
        <w:rPr>
          <w:rFonts w:cstheme="minorHAnsi"/>
          <w:color w:val="000000"/>
        </w:rPr>
        <w:t>, and</w:t>
      </w:r>
      <w:r w:rsidR="00DC3AFA" w:rsidRPr="00AD06E9">
        <w:rPr>
          <w:rFonts w:cstheme="minorHAnsi"/>
          <w:color w:val="000000"/>
        </w:rPr>
        <w:t xml:space="preserve"> gain</w:t>
      </w:r>
      <w:r w:rsidR="00F61CCA">
        <w:rPr>
          <w:rFonts w:cstheme="minorHAnsi"/>
          <w:color w:val="000000"/>
        </w:rPr>
        <w:t xml:space="preserve">ed </w:t>
      </w:r>
      <w:r w:rsidR="00DC3AFA" w:rsidRPr="00AD06E9">
        <w:rPr>
          <w:rFonts w:cstheme="minorHAnsi"/>
          <w:color w:val="000000"/>
        </w:rPr>
        <w:t xml:space="preserve">sentimental value placed by Calvert and his family members. After </w:t>
      </w:r>
      <w:r w:rsidR="00F61CCA">
        <w:rPr>
          <w:rFonts w:cstheme="minorHAnsi"/>
          <w:color w:val="000000"/>
        </w:rPr>
        <w:t>passing through the hands of some of his descendants, the necklace</w:t>
      </w:r>
      <w:r w:rsidR="00DC3AFA" w:rsidRPr="00AD06E9">
        <w:rPr>
          <w:rFonts w:cstheme="minorHAnsi"/>
          <w:color w:val="000000"/>
        </w:rPr>
        <w:t xml:space="preserve"> was placed in the Pitt Rivers Museum, </w:t>
      </w:r>
      <w:r w:rsidR="00F61CCA">
        <w:rPr>
          <w:rFonts w:cstheme="minorHAnsi"/>
          <w:color w:val="000000"/>
        </w:rPr>
        <w:t xml:space="preserve">where </w:t>
      </w:r>
      <w:r w:rsidR="00DC3AFA" w:rsidRPr="00AD06E9">
        <w:rPr>
          <w:rFonts w:cstheme="minorHAnsi"/>
          <w:color w:val="000000"/>
        </w:rPr>
        <w:t>it became an object of scholarly interest, though still not separate from its biography. The war club</w:t>
      </w:r>
      <w:r w:rsidR="00F61CCA">
        <w:rPr>
          <w:rFonts w:cstheme="minorHAnsi"/>
          <w:color w:val="000000"/>
        </w:rPr>
        <w:t>, however,</w:t>
      </w:r>
      <w:r w:rsidR="00DC3AFA" w:rsidRPr="00AD06E9">
        <w:rPr>
          <w:rFonts w:cstheme="minorHAnsi"/>
          <w:color w:val="000000"/>
        </w:rPr>
        <w:t xml:space="preserve"> changed from an item with little cultural </w:t>
      </w:r>
      <w:r w:rsidR="00F61CCA">
        <w:rPr>
          <w:rFonts w:cstheme="minorHAnsi"/>
          <w:color w:val="000000"/>
        </w:rPr>
        <w:t>significance</w:t>
      </w:r>
      <w:r w:rsidR="00DC3AFA" w:rsidRPr="00AD06E9">
        <w:rPr>
          <w:rFonts w:cstheme="minorHAnsi"/>
          <w:color w:val="000000"/>
        </w:rPr>
        <w:t xml:space="preserve"> to a royal treasure</w:t>
      </w:r>
      <w:r w:rsidR="00F61CCA">
        <w:rPr>
          <w:rFonts w:cstheme="minorHAnsi"/>
          <w:color w:val="000000"/>
        </w:rPr>
        <w:t xml:space="preserve"> kept at Windsor Castle</w:t>
      </w:r>
      <w:r w:rsidR="00DC3AFA" w:rsidRPr="00AD06E9">
        <w:rPr>
          <w:rFonts w:cstheme="minorHAnsi"/>
          <w:color w:val="000000"/>
        </w:rPr>
        <w:t>, and then transformed again into a ceremonial object, becoming the official mace of the Legislative Council of Fiji on its return many years later</w:t>
      </w:r>
      <w:r w:rsidR="00F61CCA">
        <w:rPr>
          <w:rFonts w:cstheme="minorHAnsi"/>
          <w:color w:val="000000"/>
        </w:rPr>
        <w:t>, in 1932</w:t>
      </w:r>
      <w:r w:rsidR="00DC3AFA" w:rsidRPr="00AD06E9">
        <w:rPr>
          <w:rFonts w:cstheme="minorHAnsi"/>
          <w:color w:val="000000"/>
        </w:rPr>
        <w:t xml:space="preserve">. Governor Fletcher </w:t>
      </w:r>
      <w:r w:rsidR="00DC3AFA">
        <w:rPr>
          <w:rFonts w:cstheme="minorHAnsi"/>
          <w:color w:val="000000"/>
        </w:rPr>
        <w:t>said</w:t>
      </w:r>
      <w:r w:rsidR="00DC3AFA" w:rsidRPr="00AD06E9">
        <w:rPr>
          <w:rFonts w:cstheme="minorHAnsi"/>
          <w:color w:val="000000"/>
        </w:rPr>
        <w:t xml:space="preserve"> that 'the mace with its historical associations, adds a new dignity to the proceedings'. This means that the war club transformed from an object with little given meaning, to an object that added meaning to a context simply through its presence.</w:t>
      </w:r>
      <w:r w:rsidR="00D725B1">
        <w:rPr>
          <w:rFonts w:cstheme="minorHAnsi"/>
          <w:color w:val="000000"/>
        </w:rPr>
        <w:t xml:space="preserve"> (Gosden &amp; Marshall, 1999: 172)</w:t>
      </w:r>
    </w:p>
    <w:p w:rsidR="00DB28B6" w:rsidRPr="00AD06E9" w:rsidRDefault="00F61CCA" w:rsidP="00DB28B6">
      <w:pPr>
        <w:autoSpaceDE w:val="0"/>
        <w:autoSpaceDN w:val="0"/>
        <w:adjustRightInd w:val="0"/>
        <w:spacing w:after="0" w:line="240" w:lineRule="auto"/>
        <w:rPr>
          <w:rFonts w:cstheme="minorHAnsi"/>
        </w:rPr>
      </w:pPr>
      <w:r>
        <w:rPr>
          <w:rFonts w:cstheme="minorHAnsi"/>
          <w:color w:val="000000"/>
        </w:rPr>
        <w:t>In this same way, o</w:t>
      </w:r>
      <w:r w:rsidRPr="00AD06E9">
        <w:rPr>
          <w:rFonts w:cstheme="minorHAnsi"/>
          <w:color w:val="000000"/>
        </w:rPr>
        <w:t>bjects can accumulate histories</w:t>
      </w:r>
      <w:r>
        <w:rPr>
          <w:rFonts w:cstheme="minorHAnsi"/>
          <w:color w:val="000000"/>
        </w:rPr>
        <w:t xml:space="preserve"> by</w:t>
      </w:r>
      <w:r w:rsidRPr="00AD06E9">
        <w:rPr>
          <w:rFonts w:cstheme="minorHAnsi"/>
          <w:color w:val="000000"/>
        </w:rPr>
        <w:t xml:space="preserve"> maintaining links to high-standing individuals. However, individuals can also increase their standing through ownership of certain objects</w:t>
      </w:r>
      <w:r>
        <w:rPr>
          <w:rFonts w:cstheme="minorHAnsi"/>
          <w:color w:val="000000"/>
        </w:rPr>
        <w:t>.</w:t>
      </w:r>
      <w:r w:rsidRPr="00AD06E9">
        <w:rPr>
          <w:rFonts w:cstheme="minorHAnsi"/>
          <w:color w:val="000000"/>
        </w:rPr>
        <w:t xml:space="preserve"> This is a process of mutual value creation.</w:t>
      </w:r>
      <w:r w:rsidR="00D725B1">
        <w:rPr>
          <w:rFonts w:cstheme="minorHAnsi"/>
          <w:color w:val="000000"/>
        </w:rPr>
        <w:t xml:space="preserve"> (Gosden &amp; Marshall, 1999:171)</w:t>
      </w:r>
      <w:r w:rsidR="00DB28B6">
        <w:rPr>
          <w:rFonts w:cstheme="minorHAnsi"/>
          <w:color w:val="000000"/>
        </w:rPr>
        <w:t xml:space="preserve"> In some cases, the more ownership an object has undergone, the higher the value can get. An example of this is the ‘tabua’, whole whale’s teeth used in ceremonies in Fiji. </w:t>
      </w:r>
      <w:r w:rsidR="00DB28B6" w:rsidRPr="00AD06E9">
        <w:rPr>
          <w:rFonts w:cstheme="minorHAnsi"/>
          <w:color w:val="000000"/>
        </w:rPr>
        <w:t>Over time, oils from the hands of the</w:t>
      </w:r>
      <w:r w:rsidR="00DB28B6">
        <w:rPr>
          <w:rFonts w:cstheme="minorHAnsi"/>
          <w:color w:val="000000"/>
        </w:rPr>
        <w:t xml:space="preserve"> multiple</w:t>
      </w:r>
      <w:r w:rsidR="00DB28B6" w:rsidRPr="00AD06E9">
        <w:rPr>
          <w:rFonts w:cstheme="minorHAnsi"/>
          <w:color w:val="000000"/>
        </w:rPr>
        <w:t xml:space="preserve"> owners colour the tabua</w:t>
      </w:r>
      <w:r w:rsidR="00DB28B6">
        <w:rPr>
          <w:rFonts w:cstheme="minorHAnsi"/>
          <w:color w:val="000000"/>
        </w:rPr>
        <w:t xml:space="preserve"> darker</w:t>
      </w:r>
      <w:r w:rsidR="00DB28B6" w:rsidRPr="00AD06E9">
        <w:rPr>
          <w:rFonts w:cstheme="minorHAnsi"/>
          <w:color w:val="000000"/>
        </w:rPr>
        <w:t xml:space="preserve">, indicating the length of the biography and increasing the value as it ages. </w:t>
      </w:r>
      <w:r w:rsidR="00DB28B6" w:rsidRPr="00AD06E9">
        <w:rPr>
          <w:rFonts w:cstheme="minorHAnsi"/>
          <w:color w:val="000000"/>
        </w:rPr>
        <w:lastRenderedPageBreak/>
        <w:t xml:space="preserve">The deeper the colour, the higher the value given. </w:t>
      </w:r>
      <w:r w:rsidR="00DB28B6">
        <w:rPr>
          <w:rFonts w:cstheme="minorHAnsi"/>
          <w:color w:val="000000"/>
        </w:rPr>
        <w:t>Tabua, unlike whales-teeth necklaces, rarely have recorded individual histories</w:t>
      </w:r>
      <w:r w:rsidR="00D725B1">
        <w:rPr>
          <w:rFonts w:cstheme="minorHAnsi"/>
          <w:color w:val="000000"/>
        </w:rPr>
        <w:t xml:space="preserve"> (Thomas 1991, cited in Gosden &amp; Marshall 1999.)</w:t>
      </w:r>
    </w:p>
    <w:p w:rsidR="00DC3AFA" w:rsidRPr="00DC3AFA" w:rsidRDefault="00DC3AFA" w:rsidP="00DC3AFA">
      <w:pPr>
        <w:autoSpaceDE w:val="0"/>
        <w:autoSpaceDN w:val="0"/>
        <w:adjustRightInd w:val="0"/>
        <w:spacing w:after="0" w:line="240" w:lineRule="auto"/>
        <w:rPr>
          <w:rFonts w:cstheme="minorHAnsi"/>
          <w:color w:val="000000"/>
        </w:rPr>
      </w:pPr>
    </w:p>
    <w:p w:rsidR="00DB28B6" w:rsidRDefault="00DB3E54" w:rsidP="00DC3AFA">
      <w:pPr>
        <w:autoSpaceDE w:val="0"/>
        <w:autoSpaceDN w:val="0"/>
        <w:adjustRightInd w:val="0"/>
        <w:spacing w:after="0" w:line="240" w:lineRule="auto"/>
        <w:rPr>
          <w:rFonts w:cstheme="minorHAnsi"/>
          <w:color w:val="000000"/>
        </w:rPr>
      </w:pPr>
      <w:r>
        <w:t xml:space="preserve">The biography of an object approach that Gosden &amp; Marshall use is very close, they say, to the life-histories approach taken by Tringham. </w:t>
      </w:r>
      <w:r w:rsidRPr="00AD06E9">
        <w:rPr>
          <w:rFonts w:cstheme="minorHAnsi"/>
          <w:color w:val="000000"/>
        </w:rPr>
        <w:t>Tringham's life-history aims to understand how social interactions invest meaning into the objects involved. These meanings change throughout the life of the object, but this may not necessarily be due to change in the use or physical shape of the object. 'Meaning emerges from social action and the purpose of an artefact biography is to illuminate that process'</w:t>
      </w:r>
      <w:r>
        <w:rPr>
          <w:rFonts w:cstheme="minorHAnsi"/>
          <w:color w:val="000000"/>
        </w:rPr>
        <w:t xml:space="preserve"> </w:t>
      </w:r>
      <w:r w:rsidR="00D725B1">
        <w:rPr>
          <w:rFonts w:cstheme="minorHAnsi"/>
          <w:color w:val="000000"/>
        </w:rPr>
        <w:t>(</w:t>
      </w:r>
      <w:r>
        <w:t xml:space="preserve">Tringham 1995 cited in Gosden &amp; Marshall 1999: p.170). </w:t>
      </w:r>
    </w:p>
    <w:p w:rsidR="00DB28B6" w:rsidRDefault="00DB28B6" w:rsidP="00DC3AFA">
      <w:pPr>
        <w:autoSpaceDE w:val="0"/>
        <w:autoSpaceDN w:val="0"/>
        <w:adjustRightInd w:val="0"/>
        <w:spacing w:after="0" w:line="240" w:lineRule="auto"/>
      </w:pPr>
    </w:p>
    <w:p w:rsidR="00D725B1" w:rsidRDefault="00DC3AFA" w:rsidP="00DC3AFA">
      <w:pPr>
        <w:autoSpaceDE w:val="0"/>
        <w:autoSpaceDN w:val="0"/>
        <w:adjustRightInd w:val="0"/>
        <w:spacing w:after="0" w:line="240" w:lineRule="auto"/>
        <w:rPr>
          <w:rFonts w:cstheme="minorHAnsi"/>
        </w:rPr>
      </w:pPr>
      <w:r>
        <w:t xml:space="preserve">According to Tringham, the term life-history seems to have a more personal meaning than use-life. </w:t>
      </w:r>
    </w:p>
    <w:p w:rsidR="005717D1" w:rsidRDefault="005717D1" w:rsidP="00DC3AFA">
      <w:pPr>
        <w:autoSpaceDE w:val="0"/>
        <w:autoSpaceDN w:val="0"/>
        <w:adjustRightInd w:val="0"/>
        <w:spacing w:after="0" w:line="240" w:lineRule="auto"/>
        <w:rPr>
          <w:rFonts w:cstheme="minorHAnsi"/>
        </w:rPr>
      </w:pPr>
    </w:p>
    <w:p w:rsidR="00DC3AFA" w:rsidRDefault="00DC3AFA" w:rsidP="005717D1">
      <w:pPr>
        <w:autoSpaceDE w:val="0"/>
        <w:autoSpaceDN w:val="0"/>
        <w:adjustRightInd w:val="0"/>
        <w:spacing w:after="0" w:line="240" w:lineRule="auto"/>
        <w:ind w:left="720" w:right="521"/>
      </w:pPr>
      <w:r w:rsidRPr="00AD06E9">
        <w:rPr>
          <w:rFonts w:cstheme="minorHAnsi"/>
        </w:rPr>
        <w:t>It seems to me that the concept of life-history of the house has a more historical and humanistic significance than the term use-life. It concerns the time aspect – the duration of the house, the continuity of its generation (its replacement), its ancestors and descendants, the memories of it that are held by its actors, the ghosts that are held within its walls and under its foundations. In other words, I become interested in its biography.</w:t>
      </w:r>
      <w:r>
        <w:rPr>
          <w:rFonts w:cstheme="minorHAnsi"/>
        </w:rPr>
        <w:t xml:space="preserve"> </w:t>
      </w:r>
      <w:r>
        <w:t>Tringham (1995 cited in Gosden &amp; Marshall 1999: p.1</w:t>
      </w:r>
      <w:r w:rsidR="00942AF6">
        <w:t>69</w:t>
      </w:r>
      <w:r>
        <w:t xml:space="preserve">). </w:t>
      </w:r>
    </w:p>
    <w:p w:rsidR="00DB28B6" w:rsidRDefault="00DB28B6" w:rsidP="00DC3AFA">
      <w:pPr>
        <w:autoSpaceDE w:val="0"/>
        <w:autoSpaceDN w:val="0"/>
        <w:adjustRightInd w:val="0"/>
        <w:spacing w:after="0" w:line="240" w:lineRule="auto"/>
        <w:rPr>
          <w:rFonts w:cstheme="minorHAnsi"/>
          <w:color w:val="000000"/>
        </w:rPr>
      </w:pPr>
    </w:p>
    <w:p w:rsidR="005717D1" w:rsidRDefault="005717D1" w:rsidP="00462CA7">
      <w:pPr>
        <w:autoSpaceDE w:val="0"/>
        <w:autoSpaceDN w:val="0"/>
        <w:adjustRightInd w:val="0"/>
        <w:spacing w:after="0" w:line="240" w:lineRule="auto"/>
        <w:rPr>
          <w:rFonts w:cstheme="minorHAnsi"/>
        </w:rPr>
      </w:pPr>
      <w:r>
        <w:rPr>
          <w:rFonts w:cstheme="minorHAnsi"/>
        </w:rPr>
        <w:t xml:space="preserve">Here, Tringham demonstrates that objects, such as a house, can have social lives through the interwoven biography of the object with the biographies of the people that act within it. </w:t>
      </w:r>
    </w:p>
    <w:p w:rsidR="005717D1" w:rsidRDefault="005717D1" w:rsidP="00462CA7">
      <w:pPr>
        <w:autoSpaceDE w:val="0"/>
        <w:autoSpaceDN w:val="0"/>
        <w:adjustRightInd w:val="0"/>
        <w:spacing w:after="0" w:line="240" w:lineRule="auto"/>
        <w:rPr>
          <w:rFonts w:cstheme="minorHAnsi"/>
        </w:rPr>
      </w:pPr>
    </w:p>
    <w:p w:rsidR="004C7F62" w:rsidRDefault="00DB28B6" w:rsidP="00462CA7">
      <w:pPr>
        <w:autoSpaceDE w:val="0"/>
        <w:autoSpaceDN w:val="0"/>
        <w:adjustRightInd w:val="0"/>
        <w:spacing w:after="0" w:line="240" w:lineRule="auto"/>
        <w:rPr>
          <w:rFonts w:cstheme="minorHAnsi"/>
        </w:rPr>
      </w:pPr>
      <w:r w:rsidRPr="00462CA7">
        <w:rPr>
          <w:rFonts w:cstheme="minorHAnsi"/>
        </w:rPr>
        <w:t>Archaeologists use the term 'life history' instead of 'biographical' to describe the social lives of objects. This is because in archaeology, building a life-history of an object is done with the aim of exploring changes in artefacts and technology; as opposed to the anthropological biography, which usually focuses on single objects and how they relate and identify with other objects and people</w:t>
      </w:r>
      <w:r w:rsidR="002A131A">
        <w:rPr>
          <w:rFonts w:cstheme="minorHAnsi"/>
        </w:rPr>
        <w:t xml:space="preserve"> (Joy, 2009:542).</w:t>
      </w:r>
    </w:p>
    <w:p w:rsidR="004C7F62" w:rsidRDefault="004C7F62" w:rsidP="00462CA7">
      <w:pPr>
        <w:autoSpaceDE w:val="0"/>
        <w:autoSpaceDN w:val="0"/>
        <w:adjustRightInd w:val="0"/>
        <w:spacing w:after="0" w:line="240" w:lineRule="auto"/>
        <w:rPr>
          <w:rFonts w:cstheme="minorHAnsi"/>
        </w:rPr>
      </w:pPr>
    </w:p>
    <w:p w:rsidR="00DB28B6" w:rsidRPr="004C7F62" w:rsidRDefault="00DB28B6" w:rsidP="00462CA7">
      <w:pPr>
        <w:autoSpaceDE w:val="0"/>
        <w:autoSpaceDN w:val="0"/>
        <w:adjustRightInd w:val="0"/>
        <w:spacing w:after="0" w:line="240" w:lineRule="auto"/>
        <w:rPr>
          <w:rFonts w:cstheme="minorHAnsi"/>
        </w:rPr>
      </w:pPr>
      <w:r w:rsidRPr="00462CA7">
        <w:rPr>
          <w:rFonts w:cstheme="minorHAnsi"/>
        </w:rPr>
        <w:t>The issue with applying a biography to a prehistoric object is that the best outcome is finding evidence of the birth of the object, and contextual evidence of its death. Unless the object of examination has recorded history, there is not enough evidence to reveal the full history of the object.</w:t>
      </w:r>
      <w:r w:rsidR="00462CA7" w:rsidRPr="00462CA7">
        <w:rPr>
          <w:rFonts w:cstheme="minorHAnsi"/>
        </w:rPr>
        <w:t xml:space="preserve"> </w:t>
      </w:r>
      <w:r w:rsidR="00462CA7">
        <w:rPr>
          <w:rFonts w:cstheme="minorHAnsi"/>
        </w:rPr>
        <w:t xml:space="preserve">This is illustrated in Joy’s </w:t>
      </w:r>
      <w:r w:rsidR="00462CA7" w:rsidRPr="00462CA7">
        <w:rPr>
          <w:rFonts w:cstheme="minorHAnsi"/>
          <w:i/>
        </w:rPr>
        <w:t>Reinvigorating object biography:</w:t>
      </w:r>
      <w:r w:rsidR="00462CA7">
        <w:rPr>
          <w:rFonts w:cstheme="minorHAnsi"/>
          <w:i/>
        </w:rPr>
        <w:t xml:space="preserve"> </w:t>
      </w:r>
      <w:r w:rsidR="00462CA7" w:rsidRPr="00462CA7">
        <w:rPr>
          <w:rFonts w:cstheme="minorHAnsi"/>
          <w:i/>
        </w:rPr>
        <w:t>reproducing the drama of object lives</w:t>
      </w:r>
      <w:r w:rsidR="00462CA7">
        <w:rPr>
          <w:rFonts w:cstheme="minorHAnsi"/>
          <w:i/>
        </w:rPr>
        <w:t xml:space="preserve"> </w:t>
      </w:r>
      <w:r w:rsidR="00462CA7">
        <w:rPr>
          <w:rFonts w:cstheme="minorHAnsi"/>
        </w:rPr>
        <w:t>(2009), where the example of the Portesham mirror, an Iron Age artefact found i</w:t>
      </w:r>
      <w:r w:rsidR="002A131A">
        <w:rPr>
          <w:rFonts w:cstheme="minorHAnsi"/>
        </w:rPr>
        <w:t>n</w:t>
      </w:r>
      <w:r w:rsidR="00462CA7">
        <w:rPr>
          <w:rFonts w:cstheme="minorHAnsi"/>
        </w:rPr>
        <w:t xml:space="preserve"> Dorset, is discussed. </w:t>
      </w:r>
      <w:r w:rsidR="004C7F62" w:rsidRPr="00AD06E9">
        <w:rPr>
          <w:rFonts w:cstheme="minorHAnsi"/>
          <w:color w:val="000000"/>
        </w:rPr>
        <w:t>Marshall (2008</w:t>
      </w:r>
      <w:r w:rsidR="004C7F62">
        <w:rPr>
          <w:rFonts w:cstheme="minorHAnsi"/>
          <w:color w:val="000000"/>
        </w:rPr>
        <w:t>, cited in Joy 2009</w:t>
      </w:r>
      <w:r w:rsidR="004C7F62" w:rsidRPr="00AD06E9">
        <w:rPr>
          <w:rFonts w:cstheme="minorHAnsi"/>
          <w:color w:val="000000"/>
        </w:rPr>
        <w:t>) creates the distinction between 'inscribed' objects, which are decided to be socially powerful objects at the time of their creation</w:t>
      </w:r>
      <w:r w:rsidR="002A131A">
        <w:rPr>
          <w:rFonts w:cstheme="minorHAnsi"/>
          <w:color w:val="000000"/>
        </w:rPr>
        <w:t>, and</w:t>
      </w:r>
      <w:r w:rsidR="004C7F62" w:rsidRPr="00AD06E9">
        <w:rPr>
          <w:rFonts w:cstheme="minorHAnsi"/>
          <w:color w:val="000000"/>
        </w:rPr>
        <w:t xml:space="preserve"> </w:t>
      </w:r>
      <w:r w:rsidR="002A131A">
        <w:rPr>
          <w:rFonts w:cstheme="minorHAnsi"/>
          <w:color w:val="000000"/>
        </w:rPr>
        <w:t>‘l</w:t>
      </w:r>
      <w:r w:rsidR="004C7F62" w:rsidRPr="00AD06E9">
        <w:rPr>
          <w:rFonts w:cstheme="minorHAnsi"/>
          <w:color w:val="000000"/>
        </w:rPr>
        <w:t>ived' objects</w:t>
      </w:r>
      <w:r w:rsidR="002A131A">
        <w:rPr>
          <w:rFonts w:cstheme="minorHAnsi"/>
          <w:color w:val="000000"/>
        </w:rPr>
        <w:t xml:space="preserve"> which</w:t>
      </w:r>
      <w:r w:rsidR="004C7F62" w:rsidRPr="00AD06E9">
        <w:rPr>
          <w:rFonts w:cstheme="minorHAnsi"/>
          <w:color w:val="000000"/>
        </w:rPr>
        <w:t xml:space="preserve"> are not necessarily deemed powerful at first but gain meaning through different social actions and interactions.</w:t>
      </w:r>
      <w:r w:rsidR="004C7F62">
        <w:rPr>
          <w:rFonts w:cstheme="minorHAnsi"/>
          <w:color w:val="000000"/>
        </w:rPr>
        <w:t xml:space="preserve"> The Portesham mirror is an ‘inscribed’ object, </w:t>
      </w:r>
      <w:r w:rsidR="004C7F62">
        <w:rPr>
          <w:rFonts w:cstheme="minorHAnsi"/>
        </w:rPr>
        <w:t>as its value was set at its creation. Creating a full biography of this object is problematic, as without a recorded history of the individual mirror, we can only speculate on its owners. However, it is possible to use a biographical approach to determine the different steps taken in the production of the mirror</w:t>
      </w:r>
      <w:r w:rsidR="002A131A">
        <w:rPr>
          <w:rFonts w:cstheme="minorHAnsi"/>
        </w:rPr>
        <w:t>.</w:t>
      </w:r>
      <w:r w:rsidR="004C7F62">
        <w:rPr>
          <w:rFonts w:cstheme="minorHAnsi"/>
        </w:rPr>
        <w:t xml:space="preserve"> </w:t>
      </w:r>
      <w:r w:rsidR="002A131A">
        <w:rPr>
          <w:rFonts w:cstheme="minorHAnsi"/>
        </w:rPr>
        <w:t>A</w:t>
      </w:r>
      <w:r w:rsidR="004C7F62">
        <w:rPr>
          <w:rFonts w:cstheme="minorHAnsi"/>
        </w:rPr>
        <w:t xml:space="preserve">nalysis of the rarity of the ores used in the different parts of the mirror show that they were made at different sources, </w:t>
      </w:r>
      <w:r w:rsidR="00B71313">
        <w:rPr>
          <w:rFonts w:cstheme="minorHAnsi"/>
        </w:rPr>
        <w:t xml:space="preserve">the decoration on the plate is obscured by the edging meaning that the plate was decorated before assembly, an unpolished patch at the juncture of the plate and handle show that the mirror was assembled before the finishing touches were applied. Although this does not show the social life of the object, much can be discerned about the style of metalwork at the time. The fact that the parts of the mirror have </w:t>
      </w:r>
      <w:r w:rsidR="002A131A">
        <w:rPr>
          <w:rFonts w:cstheme="minorHAnsi"/>
        </w:rPr>
        <w:t>various sources</w:t>
      </w:r>
      <w:r w:rsidR="00B71313">
        <w:rPr>
          <w:rFonts w:cstheme="minorHAnsi"/>
        </w:rPr>
        <w:t xml:space="preserve"> means that the object has connections to multiple people and locations before being assembled as a final piece.</w:t>
      </w:r>
    </w:p>
    <w:p w:rsidR="00942AF6" w:rsidRDefault="00942AF6" w:rsidP="00942AF6">
      <w:pPr>
        <w:autoSpaceDE w:val="0"/>
        <w:autoSpaceDN w:val="0"/>
        <w:adjustRightInd w:val="0"/>
        <w:spacing w:after="0" w:line="240" w:lineRule="auto"/>
        <w:rPr>
          <w:rFonts w:cstheme="minorHAnsi"/>
          <w:color w:val="000000"/>
        </w:rPr>
      </w:pPr>
      <w:r>
        <w:rPr>
          <w:rFonts w:cstheme="minorHAnsi"/>
          <w:color w:val="000000"/>
        </w:rPr>
        <w:br/>
        <w:t xml:space="preserve">One cannot discuss objects having social lives without discussing the argument on the difference between gifts and commodities. </w:t>
      </w:r>
      <w:r w:rsidRPr="00AD06E9">
        <w:rPr>
          <w:rFonts w:cstheme="minorHAnsi"/>
          <w:color w:val="000000"/>
        </w:rPr>
        <w:t>Gregory (1982</w:t>
      </w:r>
      <w:r>
        <w:rPr>
          <w:rFonts w:cstheme="minorHAnsi"/>
          <w:color w:val="000000"/>
        </w:rPr>
        <w:t xml:space="preserve"> </w:t>
      </w:r>
      <w:r>
        <w:t>cited in Gosden &amp; Marshall 1999: p.173</w:t>
      </w:r>
      <w:r w:rsidRPr="00AD06E9">
        <w:rPr>
          <w:rFonts w:cstheme="minorHAnsi"/>
          <w:color w:val="000000"/>
        </w:rPr>
        <w:t xml:space="preserve">) argues that commodities are alienable and can be exchanged without initiating a lasting relationship between </w:t>
      </w:r>
      <w:r w:rsidRPr="00AD06E9">
        <w:rPr>
          <w:rFonts w:cstheme="minorHAnsi"/>
          <w:color w:val="000000"/>
        </w:rPr>
        <w:lastRenderedPageBreak/>
        <w:t xml:space="preserve">the parties. Gifts, on the other hand, are attempts to produce </w:t>
      </w:r>
      <w:r>
        <w:rPr>
          <w:rFonts w:cstheme="minorHAnsi"/>
          <w:color w:val="000000"/>
        </w:rPr>
        <w:t xml:space="preserve">and maintain </w:t>
      </w:r>
      <w:r w:rsidRPr="00AD06E9">
        <w:rPr>
          <w:rFonts w:cstheme="minorHAnsi"/>
          <w:color w:val="000000"/>
        </w:rPr>
        <w:t>sociability</w:t>
      </w:r>
      <w:r>
        <w:rPr>
          <w:rFonts w:cstheme="minorHAnsi"/>
          <w:color w:val="000000"/>
        </w:rPr>
        <w:t xml:space="preserve"> through social links</w:t>
      </w:r>
      <w:r w:rsidR="002A131A">
        <w:rPr>
          <w:rFonts w:cstheme="minorHAnsi"/>
          <w:color w:val="000000"/>
        </w:rPr>
        <w:t>;</w:t>
      </w:r>
      <w:r w:rsidRPr="00AD06E9">
        <w:rPr>
          <w:rFonts w:cstheme="minorHAnsi"/>
          <w:color w:val="000000"/>
        </w:rPr>
        <w:t xml:space="preserve"> </w:t>
      </w:r>
      <w:r w:rsidR="002A131A">
        <w:rPr>
          <w:rFonts w:cstheme="minorHAnsi"/>
          <w:color w:val="000000"/>
        </w:rPr>
        <w:t>t</w:t>
      </w:r>
      <w:r w:rsidRPr="00AD06E9">
        <w:rPr>
          <w:rFonts w:cstheme="minorHAnsi"/>
          <w:color w:val="000000"/>
        </w:rPr>
        <w:t xml:space="preserve">hey </w:t>
      </w:r>
      <w:r>
        <w:rPr>
          <w:rFonts w:cstheme="minorHAnsi"/>
          <w:color w:val="000000"/>
        </w:rPr>
        <w:t>connect</w:t>
      </w:r>
      <w:r w:rsidRPr="00AD06E9">
        <w:rPr>
          <w:rFonts w:cstheme="minorHAnsi"/>
          <w:color w:val="000000"/>
        </w:rPr>
        <w:t xml:space="preserve"> those who made them and those who have since transacted them.</w:t>
      </w:r>
    </w:p>
    <w:p w:rsidR="00904DFC" w:rsidRPr="00AD06E9" w:rsidRDefault="00904DFC" w:rsidP="00904DFC">
      <w:pPr>
        <w:autoSpaceDE w:val="0"/>
        <w:autoSpaceDN w:val="0"/>
        <w:adjustRightInd w:val="0"/>
        <w:spacing w:after="0" w:line="240" w:lineRule="auto"/>
        <w:rPr>
          <w:rFonts w:cstheme="minorHAnsi"/>
          <w:color w:val="000000"/>
        </w:rPr>
      </w:pPr>
      <w:r w:rsidRPr="00AD06E9">
        <w:rPr>
          <w:rFonts w:cstheme="minorHAnsi"/>
          <w:color w:val="000000"/>
        </w:rPr>
        <w:t>Strathern (1988</w:t>
      </w:r>
      <w:r>
        <w:rPr>
          <w:rFonts w:cstheme="minorHAnsi"/>
          <w:color w:val="000000"/>
        </w:rPr>
        <w:t xml:space="preserve"> </w:t>
      </w:r>
      <w:r>
        <w:t>cited in Gosden &amp; Marshall 1999: p.173</w:t>
      </w:r>
      <w:r w:rsidRPr="00AD06E9">
        <w:rPr>
          <w:rFonts w:cstheme="minorHAnsi"/>
          <w:color w:val="000000"/>
        </w:rPr>
        <w:t>) has built a theory around Melanesian sociability, seeing the people and objects as part of a network of relations. This suggests that the identity of a person or object is dependent on their current network</w:t>
      </w:r>
      <w:r>
        <w:rPr>
          <w:rFonts w:cstheme="minorHAnsi"/>
          <w:color w:val="000000"/>
        </w:rPr>
        <w:t xml:space="preserve"> and their place in it</w:t>
      </w:r>
      <w:r w:rsidRPr="00AD06E9">
        <w:rPr>
          <w:rFonts w:cstheme="minorHAnsi"/>
          <w:color w:val="000000"/>
        </w:rPr>
        <w:t xml:space="preserve">. </w:t>
      </w:r>
    </w:p>
    <w:p w:rsidR="00904DFC" w:rsidRPr="00AD06E9" w:rsidRDefault="002A131A" w:rsidP="00904DFC">
      <w:pPr>
        <w:autoSpaceDE w:val="0"/>
        <w:autoSpaceDN w:val="0"/>
        <w:adjustRightInd w:val="0"/>
        <w:spacing w:after="0" w:line="240" w:lineRule="auto"/>
        <w:rPr>
          <w:rFonts w:cstheme="minorHAnsi"/>
        </w:rPr>
      </w:pPr>
      <w:r>
        <w:rPr>
          <w:rFonts w:cstheme="minorHAnsi"/>
          <w:color w:val="000000"/>
        </w:rPr>
        <w:t>Gosden &amp; Marshall explain this idea, saying that i</w:t>
      </w:r>
      <w:r w:rsidR="00904DFC" w:rsidRPr="00AD06E9">
        <w:rPr>
          <w:rFonts w:cstheme="minorHAnsi"/>
          <w:color w:val="000000"/>
        </w:rPr>
        <w:t>f gifts are inalienably attached to those who created and previously transacted them, then they are not just objects but aspects of people moving around the society. The sum total of one's agency is not just composed of themselves, but also of the objects they have created and transacted, meaning their agency can have effect far from their location and even after their death</w:t>
      </w:r>
      <w:r w:rsidR="00904DFC">
        <w:rPr>
          <w:rFonts w:cstheme="minorHAnsi"/>
          <w:color w:val="000000"/>
        </w:rPr>
        <w:t xml:space="preserve">. According to Gosden &amp; Marshall, this means that </w:t>
      </w:r>
      <w:r w:rsidR="00904DFC" w:rsidRPr="00AD06E9">
        <w:rPr>
          <w:rFonts w:cstheme="minorHAnsi"/>
          <w:color w:val="000000"/>
        </w:rPr>
        <w:t>'Material things are not external supports or measures of an internal life, but rather people and things have mutual biographies which unfold in culturally specific ways'</w:t>
      </w:r>
    </w:p>
    <w:p w:rsidR="00904DFC" w:rsidRDefault="00904DFC" w:rsidP="00904DFC">
      <w:pPr>
        <w:autoSpaceDE w:val="0"/>
        <w:autoSpaceDN w:val="0"/>
        <w:adjustRightInd w:val="0"/>
        <w:spacing w:after="0" w:line="240" w:lineRule="auto"/>
        <w:rPr>
          <w:rFonts w:cstheme="minorHAnsi"/>
          <w:color w:val="000000"/>
        </w:rPr>
      </w:pPr>
      <w:r>
        <w:rPr>
          <w:rFonts w:cstheme="minorHAnsi"/>
          <w:color w:val="000000"/>
        </w:rPr>
        <w:t xml:space="preserve"> (Gosden &amp; Marshall, 1999</w:t>
      </w:r>
      <w:r w:rsidR="002A131A">
        <w:rPr>
          <w:rFonts w:cstheme="minorHAnsi"/>
          <w:color w:val="000000"/>
        </w:rPr>
        <w:t>: 173</w:t>
      </w:r>
      <w:r>
        <w:rPr>
          <w:rFonts w:cstheme="minorHAnsi"/>
          <w:color w:val="000000"/>
        </w:rPr>
        <w:t>)</w:t>
      </w:r>
      <w:r>
        <w:rPr>
          <w:rFonts w:cstheme="minorHAnsi"/>
          <w:color w:val="000000"/>
        </w:rPr>
        <w:br/>
      </w:r>
    </w:p>
    <w:p w:rsidR="00007380" w:rsidRPr="00AD06E9" w:rsidRDefault="002A131A" w:rsidP="00007380">
      <w:pPr>
        <w:autoSpaceDE w:val="0"/>
        <w:autoSpaceDN w:val="0"/>
        <w:adjustRightInd w:val="0"/>
        <w:spacing w:after="0" w:line="240" w:lineRule="auto"/>
        <w:rPr>
          <w:rFonts w:cstheme="minorHAnsi"/>
        </w:rPr>
      </w:pPr>
      <w:r>
        <w:rPr>
          <w:rFonts w:cstheme="minorHAnsi"/>
          <w:color w:val="000000"/>
        </w:rPr>
        <w:t>Gosden and Marshall</w:t>
      </w:r>
      <w:r w:rsidR="00904DFC">
        <w:rPr>
          <w:rFonts w:cstheme="minorHAnsi"/>
          <w:color w:val="000000"/>
        </w:rPr>
        <w:t xml:space="preserve"> refer to Appadurai’s </w:t>
      </w:r>
      <w:r w:rsidR="00904DFC">
        <w:rPr>
          <w:rFonts w:cstheme="minorHAnsi"/>
          <w:i/>
          <w:color w:val="000000"/>
        </w:rPr>
        <w:t xml:space="preserve">The Social Life of Things </w:t>
      </w:r>
      <w:r w:rsidR="00904DFC">
        <w:rPr>
          <w:rFonts w:cstheme="minorHAnsi"/>
          <w:color w:val="000000"/>
        </w:rPr>
        <w:t>(1986), claiming that for Appadurai, context is key</w:t>
      </w:r>
      <w:r w:rsidR="00007380" w:rsidRPr="00AD06E9">
        <w:rPr>
          <w:rFonts w:cstheme="minorHAnsi"/>
          <w:color w:val="000000"/>
        </w:rPr>
        <w:t xml:space="preserve">; a watch may be created as a commodity but gifted with the same effect as something made. One may exchange a pig for money in one context, whereas only shell valuables in </w:t>
      </w:r>
      <w:r w:rsidR="00007380">
        <w:rPr>
          <w:rFonts w:cstheme="minorHAnsi"/>
          <w:color w:val="000000"/>
        </w:rPr>
        <w:t>exchange for the pig</w:t>
      </w:r>
      <w:r w:rsidR="00007380" w:rsidRPr="00AD06E9">
        <w:rPr>
          <w:rFonts w:cstheme="minorHAnsi"/>
          <w:color w:val="000000"/>
        </w:rPr>
        <w:t xml:space="preserve"> would be appropriate in another</w:t>
      </w:r>
      <w:r w:rsidR="00007380">
        <w:rPr>
          <w:rFonts w:cstheme="minorHAnsi"/>
          <w:color w:val="000000"/>
        </w:rPr>
        <w:t xml:space="preserve">. </w:t>
      </w:r>
      <w:r w:rsidR="00007380" w:rsidRPr="00AD06E9">
        <w:rPr>
          <w:rFonts w:cstheme="minorHAnsi"/>
          <w:color w:val="000000"/>
        </w:rPr>
        <w:t>Hoskins (1988</w:t>
      </w:r>
      <w:r w:rsidR="00007380">
        <w:rPr>
          <w:rFonts w:cstheme="minorHAnsi"/>
          <w:color w:val="000000"/>
        </w:rPr>
        <w:t xml:space="preserve"> </w:t>
      </w:r>
      <w:r w:rsidR="00007380">
        <w:t>cited in Gosden &amp; Marshall 1999: p.174</w:t>
      </w:r>
      <w:r w:rsidR="00007380" w:rsidRPr="00AD06E9">
        <w:rPr>
          <w:rFonts w:cstheme="minorHAnsi"/>
          <w:color w:val="000000"/>
        </w:rPr>
        <w:t xml:space="preserve">) has a different approach; instead of focusing on objects gathering a biography, she discusses how people use objects to create and sustain the meaning of their lives. </w:t>
      </w:r>
      <w:r w:rsidR="00007380">
        <w:rPr>
          <w:rFonts w:cstheme="minorHAnsi"/>
          <w:color w:val="000000"/>
        </w:rPr>
        <w:t xml:space="preserve">Whilst working in Indonesia, she discovered that questioning people on objects significant to them elicited a much more detailed biographical response than when she questioned them on their own life. </w:t>
      </w:r>
    </w:p>
    <w:p w:rsidR="002A131A" w:rsidRDefault="004D5835" w:rsidP="00904DFC">
      <w:pPr>
        <w:autoSpaceDE w:val="0"/>
        <w:autoSpaceDN w:val="0"/>
        <w:adjustRightInd w:val="0"/>
        <w:spacing w:after="0" w:line="240" w:lineRule="auto"/>
        <w:rPr>
          <w:rFonts w:cstheme="minorHAnsi"/>
          <w:color w:val="000000"/>
        </w:rPr>
      </w:pPr>
      <w:r>
        <w:rPr>
          <w:rFonts w:cstheme="minorHAnsi"/>
          <w:color w:val="000000"/>
        </w:rPr>
        <w:t xml:space="preserve">Also referenced in this article is the work of Bill Holm (1983) on the life of Willie Seaweed, a </w:t>
      </w:r>
      <w:r w:rsidRPr="00AD06E9">
        <w:rPr>
          <w:rFonts w:cstheme="minorHAnsi"/>
          <w:color w:val="000000"/>
        </w:rPr>
        <w:t>Kwakwaka'wakw</w:t>
      </w:r>
      <w:r>
        <w:rPr>
          <w:rFonts w:cstheme="minorHAnsi"/>
          <w:color w:val="000000"/>
        </w:rPr>
        <w:t xml:space="preserve"> chief and artist. In this, he discusses the use of wooden masks in </w:t>
      </w:r>
      <w:r w:rsidRPr="00AD06E9">
        <w:rPr>
          <w:rFonts w:cstheme="minorHAnsi"/>
          <w:color w:val="000000"/>
        </w:rPr>
        <w:t>Kwakwaka'wakw</w:t>
      </w:r>
      <w:r>
        <w:rPr>
          <w:rFonts w:cstheme="minorHAnsi"/>
          <w:color w:val="000000"/>
        </w:rPr>
        <w:t xml:space="preserve"> ceremonies. </w:t>
      </w:r>
    </w:p>
    <w:p w:rsidR="00C44A4B" w:rsidRDefault="00C44A4B" w:rsidP="00904DFC">
      <w:pPr>
        <w:autoSpaceDE w:val="0"/>
        <w:autoSpaceDN w:val="0"/>
        <w:adjustRightInd w:val="0"/>
        <w:spacing w:after="0" w:line="240" w:lineRule="auto"/>
        <w:rPr>
          <w:rFonts w:cstheme="minorHAnsi"/>
          <w:color w:val="000000"/>
        </w:rPr>
      </w:pPr>
    </w:p>
    <w:p w:rsidR="00C44A4B" w:rsidRPr="00C44A4B" w:rsidRDefault="004D5835" w:rsidP="00C44A4B">
      <w:pPr>
        <w:autoSpaceDE w:val="0"/>
        <w:autoSpaceDN w:val="0"/>
        <w:adjustRightInd w:val="0"/>
        <w:spacing w:after="0" w:line="240" w:lineRule="auto"/>
        <w:ind w:left="720" w:right="521"/>
        <w:rPr>
          <w:rFonts w:ascii="Segoe UI" w:hAnsi="Segoe UI" w:cs="Segoe UI"/>
          <w:color w:val="000000"/>
          <w:sz w:val="21"/>
          <w:szCs w:val="21"/>
        </w:rPr>
      </w:pPr>
      <w:r>
        <w:rPr>
          <w:rFonts w:ascii="Segoe UI" w:hAnsi="Segoe UI" w:cs="Segoe UI"/>
          <w:color w:val="000000"/>
          <w:sz w:val="21"/>
          <w:szCs w:val="21"/>
        </w:rPr>
        <w:t>Masks were a vehicle through which ceremonial privileges were made material and the best available carver would be sought because the dramatic impact of a performance depended a great deal on his skill. But, it was the act of showing which was powerful and which established a mask's meaning.</w:t>
      </w:r>
      <w:r>
        <w:rPr>
          <w:rFonts w:cstheme="minorHAnsi"/>
          <w:color w:val="000000"/>
        </w:rPr>
        <w:t>’ (Gosden &amp; Marshall, 1999).</w:t>
      </w:r>
    </w:p>
    <w:p w:rsidR="00C44A4B" w:rsidRDefault="004D5835" w:rsidP="002A131A">
      <w:pPr>
        <w:autoSpaceDE w:val="0"/>
        <w:autoSpaceDN w:val="0"/>
        <w:adjustRightInd w:val="0"/>
        <w:spacing w:after="0" w:line="240" w:lineRule="auto"/>
        <w:ind w:left="720"/>
        <w:rPr>
          <w:rFonts w:cstheme="minorHAnsi"/>
          <w:color w:val="000000"/>
        </w:rPr>
      </w:pPr>
      <w:r>
        <w:rPr>
          <w:rFonts w:cstheme="minorHAnsi"/>
          <w:color w:val="000000"/>
        </w:rPr>
        <w:t xml:space="preserve"> </w:t>
      </w:r>
    </w:p>
    <w:p w:rsidR="004D5835" w:rsidRPr="004D5835" w:rsidRDefault="00C44A4B" w:rsidP="00C44A4B">
      <w:pPr>
        <w:autoSpaceDE w:val="0"/>
        <w:autoSpaceDN w:val="0"/>
        <w:adjustRightInd w:val="0"/>
        <w:spacing w:after="0" w:line="240" w:lineRule="auto"/>
        <w:rPr>
          <w:rFonts w:cstheme="minorHAnsi"/>
          <w:color w:val="000000"/>
        </w:rPr>
      </w:pPr>
      <w:r>
        <w:rPr>
          <w:rFonts w:cstheme="minorHAnsi"/>
          <w:color w:val="000000"/>
        </w:rPr>
        <w:t>In this way, it can be understood that m</w:t>
      </w:r>
      <w:r w:rsidR="004D5835">
        <w:rPr>
          <w:rFonts w:cstheme="minorHAnsi"/>
          <w:color w:val="000000"/>
        </w:rPr>
        <w:t>erely possessing a mask held no meaning</w:t>
      </w:r>
      <w:r>
        <w:rPr>
          <w:rFonts w:cstheme="minorHAnsi"/>
          <w:color w:val="000000"/>
        </w:rPr>
        <w:t>; it was</w:t>
      </w:r>
      <w:r w:rsidR="004D5835">
        <w:rPr>
          <w:rFonts w:cstheme="minorHAnsi"/>
          <w:color w:val="000000"/>
        </w:rPr>
        <w:t xml:space="preserve"> the showing and use of the mask </w:t>
      </w:r>
      <w:r>
        <w:rPr>
          <w:rFonts w:cstheme="minorHAnsi"/>
          <w:color w:val="000000"/>
        </w:rPr>
        <w:t xml:space="preserve">that </w:t>
      </w:r>
      <w:r w:rsidR="004D5835">
        <w:rPr>
          <w:rFonts w:cstheme="minorHAnsi"/>
          <w:color w:val="000000"/>
        </w:rPr>
        <w:t>gave it value</w:t>
      </w:r>
      <w:r>
        <w:rPr>
          <w:rFonts w:cstheme="minorHAnsi"/>
          <w:color w:val="000000"/>
        </w:rPr>
        <w:t xml:space="preserve"> and significance in the social context. </w:t>
      </w:r>
    </w:p>
    <w:p w:rsidR="00007380" w:rsidRDefault="00007380" w:rsidP="00904DFC">
      <w:pPr>
        <w:autoSpaceDE w:val="0"/>
        <w:autoSpaceDN w:val="0"/>
        <w:adjustRightInd w:val="0"/>
        <w:spacing w:after="0" w:line="240" w:lineRule="auto"/>
        <w:rPr>
          <w:rFonts w:cstheme="minorHAnsi"/>
          <w:color w:val="000000"/>
        </w:rPr>
      </w:pPr>
    </w:p>
    <w:p w:rsidR="00462CA7" w:rsidRPr="00AD06E9" w:rsidRDefault="004D5835" w:rsidP="00462CA7">
      <w:pPr>
        <w:autoSpaceDE w:val="0"/>
        <w:autoSpaceDN w:val="0"/>
        <w:adjustRightInd w:val="0"/>
        <w:spacing w:after="0" w:line="240" w:lineRule="auto"/>
        <w:rPr>
          <w:rFonts w:cstheme="minorHAnsi"/>
        </w:rPr>
      </w:pPr>
      <w:r>
        <w:rPr>
          <w:rFonts w:cstheme="minorHAnsi"/>
          <w:color w:val="000000"/>
        </w:rPr>
        <w:t xml:space="preserve">However, </w:t>
      </w:r>
      <w:r w:rsidR="00462CA7">
        <w:rPr>
          <w:rFonts w:cstheme="minorHAnsi"/>
          <w:color w:val="000000"/>
        </w:rPr>
        <w:t>i</w:t>
      </w:r>
      <w:r w:rsidR="00462CA7" w:rsidRPr="00AD06E9">
        <w:rPr>
          <w:rFonts w:cstheme="minorHAnsi"/>
          <w:color w:val="000000"/>
        </w:rPr>
        <w:t>n biographies, there can sometimes be sharp breaks where the meaning of an object has drastically changed, for example, a carved mask becoming alienated from its culture and being housed in a museum. Although the meaning of the item is completely different in the new social context, it still holds ties to earlier meanings.</w:t>
      </w:r>
    </w:p>
    <w:p w:rsidR="00462CA7" w:rsidRPr="00C44A4B" w:rsidRDefault="00C44A4B" w:rsidP="00462CA7">
      <w:pPr>
        <w:autoSpaceDE w:val="0"/>
        <w:autoSpaceDN w:val="0"/>
        <w:adjustRightInd w:val="0"/>
        <w:spacing w:after="0" w:line="240" w:lineRule="auto"/>
        <w:rPr>
          <w:rFonts w:cstheme="minorHAnsi"/>
          <w:color w:val="000000"/>
        </w:rPr>
      </w:pPr>
      <w:r>
        <w:rPr>
          <w:rFonts w:cstheme="minorHAnsi"/>
          <w:color w:val="000000"/>
        </w:rPr>
        <w:t>Joy, in her exploration of object biography, refers to Moreland, who asserts that w</w:t>
      </w:r>
      <w:r w:rsidR="00462CA7" w:rsidRPr="00AD06E9">
        <w:rPr>
          <w:rFonts w:cstheme="minorHAnsi"/>
          <w:color w:val="000000"/>
        </w:rPr>
        <w:t xml:space="preserve">hen an object is re-interpreted with a different use or meaning, it undergoes a 'reincarnation'. It can 'die', leave a social group, and be reborn in </w:t>
      </w:r>
      <w:r w:rsidR="00462CA7" w:rsidRPr="00C44A4B">
        <w:rPr>
          <w:rFonts w:cstheme="minorHAnsi"/>
          <w:color w:val="000000"/>
        </w:rPr>
        <w:t xml:space="preserve">another. </w:t>
      </w:r>
      <w:r w:rsidRPr="00C44A4B">
        <w:rPr>
          <w:rFonts w:cstheme="minorHAnsi"/>
        </w:rPr>
        <w:t>(Moreland 1999: 198, cited in Joy, 2009, 543).</w:t>
      </w:r>
    </w:p>
    <w:p w:rsidR="00462CA7" w:rsidRPr="00C44A4B" w:rsidRDefault="00462CA7" w:rsidP="00904DFC">
      <w:pPr>
        <w:autoSpaceDE w:val="0"/>
        <w:autoSpaceDN w:val="0"/>
        <w:adjustRightInd w:val="0"/>
        <w:spacing w:after="0" w:line="240" w:lineRule="auto"/>
        <w:rPr>
          <w:rFonts w:cstheme="minorHAnsi"/>
        </w:rPr>
      </w:pPr>
      <w:r w:rsidRPr="00C44A4B">
        <w:rPr>
          <w:rFonts w:cstheme="minorHAnsi"/>
          <w:color w:val="000000"/>
        </w:rPr>
        <w:t>This</w:t>
      </w:r>
      <w:r w:rsidR="00C44A4B">
        <w:rPr>
          <w:rFonts w:cstheme="minorHAnsi"/>
          <w:color w:val="000000"/>
        </w:rPr>
        <w:t xml:space="preserve"> concept</w:t>
      </w:r>
      <w:r w:rsidRPr="00C44A4B">
        <w:rPr>
          <w:rFonts w:cstheme="minorHAnsi"/>
          <w:color w:val="000000"/>
        </w:rPr>
        <w:t xml:space="preserve"> is illustrated well in the 1980’s movie 'The Gods Must be Crazy', where a pilot throws a glass Coca-Cola bottle from his plane, which lands amon</w:t>
      </w:r>
      <w:r>
        <w:rPr>
          <w:rFonts w:cstheme="minorHAnsi"/>
          <w:color w:val="000000"/>
        </w:rPr>
        <w:t>gst</w:t>
      </w:r>
      <w:r w:rsidRPr="00AD06E9">
        <w:rPr>
          <w:rFonts w:cstheme="minorHAnsi"/>
          <w:color w:val="000000"/>
        </w:rPr>
        <w:t xml:space="preserve"> a </w:t>
      </w:r>
      <w:r>
        <w:rPr>
          <w:rFonts w:cstheme="minorHAnsi"/>
          <w:color w:val="000000"/>
        </w:rPr>
        <w:t>group</w:t>
      </w:r>
      <w:r w:rsidRPr="00AD06E9">
        <w:rPr>
          <w:rFonts w:cstheme="minorHAnsi"/>
          <w:color w:val="000000"/>
        </w:rPr>
        <w:t xml:space="preserve"> of San Bushmen. To the pilot, the bottle had reached the end of its life and was discarded; but when the bottle landed with the </w:t>
      </w:r>
      <w:r>
        <w:rPr>
          <w:rFonts w:cstheme="minorHAnsi"/>
          <w:color w:val="000000"/>
        </w:rPr>
        <w:t>San Bushmen</w:t>
      </w:r>
      <w:r w:rsidRPr="00AD06E9">
        <w:rPr>
          <w:rFonts w:cstheme="minorHAnsi"/>
          <w:color w:val="000000"/>
        </w:rPr>
        <w:t>, they had never seen anything like it before and discovered many new uses for it, reincarnating the object in an entirely new culture, with a completely different social life and use-life from before.</w:t>
      </w:r>
      <w:r>
        <w:rPr>
          <w:rFonts w:cstheme="minorHAnsi"/>
          <w:color w:val="000000"/>
        </w:rPr>
        <w:t xml:space="preserve"> </w:t>
      </w:r>
      <w:r w:rsidR="00800759">
        <w:rPr>
          <w:rFonts w:cstheme="minorHAnsi"/>
          <w:color w:val="000000"/>
        </w:rPr>
        <w:t>The film illustrates a concept discussed by Joy, that t</w:t>
      </w:r>
      <w:r w:rsidRPr="00AD06E9">
        <w:rPr>
          <w:rFonts w:cstheme="minorHAnsi"/>
          <w:color w:val="000000"/>
        </w:rPr>
        <w:t>he biographies of objects can be said to be non-linear</w:t>
      </w:r>
      <w:r w:rsidR="00800759">
        <w:rPr>
          <w:rFonts w:cstheme="minorHAnsi"/>
          <w:color w:val="000000"/>
        </w:rPr>
        <w:t>. This is bec</w:t>
      </w:r>
      <w:r w:rsidRPr="00AD06E9">
        <w:rPr>
          <w:rFonts w:cstheme="minorHAnsi"/>
          <w:color w:val="000000"/>
        </w:rPr>
        <w:t>a</w:t>
      </w:r>
      <w:r w:rsidR="00800759">
        <w:rPr>
          <w:rFonts w:cstheme="minorHAnsi"/>
          <w:color w:val="000000"/>
        </w:rPr>
        <w:t>u</w:t>
      </w:r>
      <w:r w:rsidRPr="00AD06E9">
        <w:rPr>
          <w:rFonts w:cstheme="minorHAnsi"/>
          <w:color w:val="000000"/>
        </w:rPr>
        <w:t>s</w:t>
      </w:r>
      <w:r w:rsidR="00800759">
        <w:rPr>
          <w:rFonts w:cstheme="minorHAnsi"/>
          <w:color w:val="000000"/>
        </w:rPr>
        <w:t>e</w:t>
      </w:r>
      <w:r w:rsidRPr="00AD06E9">
        <w:rPr>
          <w:rFonts w:cstheme="minorHAnsi"/>
          <w:color w:val="000000"/>
        </w:rPr>
        <w:t xml:space="preserve"> the object can be inactive at some points, and alive within social relationships at others as it experiences multiple lives and deaths</w:t>
      </w:r>
      <w:r w:rsidR="00C44A4B">
        <w:rPr>
          <w:rFonts w:cstheme="minorHAnsi"/>
          <w:color w:val="000000"/>
        </w:rPr>
        <w:t xml:space="preserve"> (Joy, 2009: 544)</w:t>
      </w:r>
    </w:p>
    <w:p w:rsidR="00B202A5" w:rsidRDefault="00B202A5" w:rsidP="0003053A"/>
    <w:p w:rsidR="00901E9C" w:rsidRDefault="00901E9C" w:rsidP="002A5F56"/>
    <w:p w:rsidR="002A5F56" w:rsidRPr="002A5F56" w:rsidRDefault="002A5F56" w:rsidP="002A5F56">
      <w:pPr>
        <w:rPr>
          <w:rStyle w:val="Emphasis"/>
          <w:i w:val="0"/>
        </w:rPr>
      </w:pPr>
      <w:r>
        <w:lastRenderedPageBreak/>
        <w:t xml:space="preserve">Objects can have a social life through the transformation and changes that they undergo during their </w:t>
      </w:r>
      <w:r w:rsidRPr="002A5F56">
        <w:t xml:space="preserve">life. </w:t>
      </w:r>
      <w:r w:rsidR="00994AB3">
        <w:t>By e</w:t>
      </w:r>
      <w:r>
        <w:rPr>
          <w:rStyle w:val="Emphasis"/>
          <w:i w:val="0"/>
        </w:rPr>
        <w:t>xamining an object for signs of its ‘use life’</w:t>
      </w:r>
      <w:r w:rsidR="00994AB3">
        <w:rPr>
          <w:rStyle w:val="Emphasis"/>
          <w:i w:val="0"/>
        </w:rPr>
        <w:t>, one can</w:t>
      </w:r>
      <w:r>
        <w:rPr>
          <w:rStyle w:val="Emphasis"/>
          <w:i w:val="0"/>
        </w:rPr>
        <w:t xml:space="preserve"> reveal details of it</w:t>
      </w:r>
      <w:r w:rsidR="00994AB3">
        <w:rPr>
          <w:rStyle w:val="Emphasis"/>
          <w:i w:val="0"/>
        </w:rPr>
        <w:t>s</w:t>
      </w:r>
      <w:r>
        <w:rPr>
          <w:rStyle w:val="Emphasis"/>
          <w:i w:val="0"/>
        </w:rPr>
        <w:t xml:space="preserve"> materiality that shed light on its origin, technologies</w:t>
      </w:r>
      <w:r w:rsidR="0097155D">
        <w:rPr>
          <w:rStyle w:val="Emphasis"/>
          <w:i w:val="0"/>
        </w:rPr>
        <w:t>,</w:t>
      </w:r>
      <w:r>
        <w:rPr>
          <w:rStyle w:val="Emphasis"/>
          <w:i w:val="0"/>
        </w:rPr>
        <w:t xml:space="preserve"> and significance within its life</w:t>
      </w:r>
      <w:r w:rsidR="0097155D">
        <w:rPr>
          <w:rStyle w:val="Emphasis"/>
          <w:i w:val="0"/>
        </w:rPr>
        <w:t xml:space="preserve">. </w:t>
      </w:r>
      <w:r>
        <w:rPr>
          <w:rStyle w:val="Emphasis"/>
          <w:i w:val="0"/>
        </w:rPr>
        <w:t xml:space="preserve">Objects can accumulate histories through associations with people of status, and visa-versa. Tringham’s approach to this states that </w:t>
      </w:r>
      <w:r w:rsidR="00994AB3">
        <w:rPr>
          <w:rStyle w:val="Emphasis"/>
          <w:i w:val="0"/>
        </w:rPr>
        <w:t xml:space="preserve">meaning is ascribed through social actions, and that these meanings can change without the shape or use of the object doing the same. The meaning of an object can also drastically change, with or without the physical shape becoming different, and without losing its connections to its previous meanings. </w:t>
      </w:r>
    </w:p>
    <w:p w:rsidR="002A5F56" w:rsidRPr="002A5F56" w:rsidRDefault="0097155D" w:rsidP="002A5F56">
      <w:pPr>
        <w:rPr>
          <w:rStyle w:val="Emphasis"/>
          <w:i w:val="0"/>
        </w:rPr>
      </w:pPr>
      <w:r>
        <w:rPr>
          <w:rStyle w:val="Emphasis"/>
          <w:i w:val="0"/>
        </w:rPr>
        <w:t xml:space="preserve">Using a very similar approach to Tringham’s life-history, </w:t>
      </w:r>
      <w:r w:rsidR="00994AB3">
        <w:rPr>
          <w:rStyle w:val="Emphasis"/>
          <w:i w:val="0"/>
        </w:rPr>
        <w:t xml:space="preserve">Gosden and Marshall claim that when an object is given as a gift, it does not become alienated from the previous givers and owners, instead becoming a separate aspect of the person, moving around and through the society. </w:t>
      </w:r>
    </w:p>
    <w:p w:rsidR="002A5F56" w:rsidRDefault="00994AB3" w:rsidP="002A5F56">
      <w:pPr>
        <w:rPr>
          <w:rStyle w:val="Emphasis"/>
          <w:i w:val="0"/>
        </w:rPr>
      </w:pPr>
      <w:r>
        <w:rPr>
          <w:rStyle w:val="Emphasis"/>
          <w:i w:val="0"/>
        </w:rPr>
        <w:t xml:space="preserve">By analysing these biographies, I have been able to examine the way in which material objects have social lives, and how they can interact with people and other objects in these social spheres. </w:t>
      </w:r>
      <w:r w:rsidR="000D2CB4">
        <w:rPr>
          <w:rStyle w:val="Emphasis"/>
          <w:i w:val="0"/>
        </w:rPr>
        <w:t>From this research, I have discovered that material objects can lead a complex web of social lives, living, dying, and being constantly reincarnated in new social contexts with different uses and meanings. An object can physically change without the meaning or use of it changing, but can also change in meaning or use without physically changing whatsoever.</w:t>
      </w:r>
    </w:p>
    <w:p w:rsidR="000D2CB4" w:rsidRDefault="000D2CB4" w:rsidP="002A5F56">
      <w:pPr>
        <w:rPr>
          <w:rStyle w:val="Emphasis"/>
          <w:i w:val="0"/>
        </w:rPr>
      </w:pPr>
    </w:p>
    <w:p w:rsidR="0097155D" w:rsidRPr="002A5F56" w:rsidRDefault="0097155D"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pPr>
        <w:rPr>
          <w:rStyle w:val="Emphasis"/>
          <w:i w:val="0"/>
        </w:rPr>
      </w:pPr>
    </w:p>
    <w:p w:rsidR="002A5F56" w:rsidRPr="002A5F56" w:rsidRDefault="002A5F56" w:rsidP="002A5F56">
      <w:r w:rsidRPr="002A5F56">
        <w:t>Appadurai, A., 1986. The Social Life of Things: Commodities in Cultural Perspective. Cambrudge Universe Press, Cambridge.</w:t>
      </w:r>
    </w:p>
    <w:p w:rsidR="002A5F56" w:rsidRPr="002A5F56" w:rsidRDefault="002A5F56" w:rsidP="002A5F56">
      <w:r w:rsidRPr="002A5F56">
        <w:t>Gosden, C., Marshall, Y., 1999. The cultural biography of objects. World Archaeology 31, 169–179.</w:t>
      </w:r>
    </w:p>
    <w:p w:rsidR="002A5F56" w:rsidRPr="002A5F56" w:rsidRDefault="002A5F56" w:rsidP="002A5F56">
      <w:r w:rsidRPr="002A5F56">
        <w:t>Jenkins, R., Molesworth, M., Scullion, R., n.d. The messy social lives of objects: Inter-personal borrowing and the ambiguity of possession and ownership. Journal of Consumer Behaviour 13, 131–140. https://doi.org/10.1002/cb.1469</w:t>
      </w:r>
    </w:p>
    <w:p w:rsidR="002A5F56" w:rsidRPr="002A5F56" w:rsidRDefault="002A5F56" w:rsidP="002A5F56">
      <w:r w:rsidRPr="002A5F56">
        <w:t>Joy, J., n.d. Reinvigorating object biography: reproducing the drama of object lives. World Archaeology 41, 540–557.</w:t>
      </w:r>
    </w:p>
    <w:p w:rsidR="002A5F56" w:rsidRPr="002A5F56" w:rsidRDefault="002A5F56" w:rsidP="002A5F56">
      <w:r w:rsidRPr="002A5F56">
        <w:t>Köhler, F., 2013. Kaakol und Eletel Zur kulturellen Biografie zweier Objekte der Wodaabe-Frauen in Niger/A cultural biography of kaakol and eletel: Two objects of Wodaabe women in Niger. Zeitschrift fuer Ethnologie 138, 55–84.</w:t>
      </w:r>
    </w:p>
    <w:p w:rsidR="002A5F56" w:rsidRPr="002A5F56" w:rsidRDefault="002A5F56" w:rsidP="002A5F56">
      <w:pPr>
        <w:rPr>
          <w:i/>
        </w:rPr>
      </w:pPr>
      <w:r w:rsidRPr="002A5F56">
        <w:rPr>
          <w:rStyle w:val="Emphasis"/>
          <w:i w:val="0"/>
        </w:rPr>
        <w:t xml:space="preserve">The Gods Must Be Crazy. </w:t>
      </w:r>
      <w:r w:rsidRPr="002A5F56">
        <w:rPr>
          <w:i/>
        </w:rPr>
        <w:t>1980. Jamie Uys. South Africa. Ster Kinekor Pictures, [Film].</w:t>
      </w:r>
    </w:p>
    <w:p w:rsidR="002A5F56" w:rsidRPr="002A5F56" w:rsidRDefault="002A5F56" w:rsidP="002A5F56"/>
    <w:p w:rsidR="00007380" w:rsidRDefault="00007380" w:rsidP="00007380"/>
    <w:p w:rsidR="0095694D" w:rsidRDefault="0095694D"/>
    <w:sectPr w:rsidR="009569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820" w:rsidRDefault="00D14820" w:rsidP="005F0A7E">
      <w:pPr>
        <w:spacing w:after="0" w:line="240" w:lineRule="auto"/>
      </w:pPr>
      <w:r>
        <w:separator/>
      </w:r>
    </w:p>
  </w:endnote>
  <w:endnote w:type="continuationSeparator" w:id="0">
    <w:p w:rsidR="00D14820" w:rsidRDefault="00D14820" w:rsidP="005F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820" w:rsidRDefault="00D14820" w:rsidP="005F0A7E">
      <w:pPr>
        <w:spacing w:after="0" w:line="240" w:lineRule="auto"/>
      </w:pPr>
      <w:r>
        <w:separator/>
      </w:r>
    </w:p>
  </w:footnote>
  <w:footnote w:type="continuationSeparator" w:id="0">
    <w:p w:rsidR="00D14820" w:rsidRDefault="00D14820" w:rsidP="005F0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D96729"/>
    <w:multiLevelType w:val="hybridMultilevel"/>
    <w:tmpl w:val="57C0D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A7E"/>
    <w:rsid w:val="00007380"/>
    <w:rsid w:val="0003053A"/>
    <w:rsid w:val="000565BC"/>
    <w:rsid w:val="000D2CB4"/>
    <w:rsid w:val="00203A99"/>
    <w:rsid w:val="002A131A"/>
    <w:rsid w:val="002A5F56"/>
    <w:rsid w:val="002A6EE0"/>
    <w:rsid w:val="00462CA7"/>
    <w:rsid w:val="00463CE7"/>
    <w:rsid w:val="00480047"/>
    <w:rsid w:val="004C7F62"/>
    <w:rsid w:val="004D5835"/>
    <w:rsid w:val="005717D1"/>
    <w:rsid w:val="005F0A7E"/>
    <w:rsid w:val="00644250"/>
    <w:rsid w:val="006E7FC9"/>
    <w:rsid w:val="00800759"/>
    <w:rsid w:val="00834E75"/>
    <w:rsid w:val="00854CBF"/>
    <w:rsid w:val="008C5E0D"/>
    <w:rsid w:val="00901E9C"/>
    <w:rsid w:val="00904DFC"/>
    <w:rsid w:val="00942AF6"/>
    <w:rsid w:val="009474BE"/>
    <w:rsid w:val="0095694D"/>
    <w:rsid w:val="0097155D"/>
    <w:rsid w:val="00994AB3"/>
    <w:rsid w:val="00A22F9F"/>
    <w:rsid w:val="00B202A5"/>
    <w:rsid w:val="00B71313"/>
    <w:rsid w:val="00B86BD0"/>
    <w:rsid w:val="00BF0E9F"/>
    <w:rsid w:val="00C03BD4"/>
    <w:rsid w:val="00C44A4B"/>
    <w:rsid w:val="00C81806"/>
    <w:rsid w:val="00D14820"/>
    <w:rsid w:val="00D2578D"/>
    <w:rsid w:val="00D725B1"/>
    <w:rsid w:val="00DB28B6"/>
    <w:rsid w:val="00DB3E54"/>
    <w:rsid w:val="00DC3AFA"/>
    <w:rsid w:val="00F61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4B167"/>
  <w15:chartTrackingRefBased/>
  <w15:docId w15:val="{97F3DE9B-BC4D-4E2A-B8B4-319C63B62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A6EE0"/>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2A6EE0"/>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A7E"/>
  </w:style>
  <w:style w:type="paragraph" w:styleId="Footer">
    <w:name w:val="footer"/>
    <w:basedOn w:val="Normal"/>
    <w:link w:val="FooterChar"/>
    <w:uiPriority w:val="99"/>
    <w:unhideWhenUsed/>
    <w:rsid w:val="005F0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A7E"/>
  </w:style>
  <w:style w:type="paragraph" w:styleId="ListParagraph">
    <w:name w:val="List Paragraph"/>
    <w:basedOn w:val="Normal"/>
    <w:uiPriority w:val="34"/>
    <w:qFormat/>
    <w:rsid w:val="005F0A7E"/>
    <w:pPr>
      <w:ind w:left="720"/>
      <w:contextualSpacing/>
    </w:pPr>
  </w:style>
  <w:style w:type="paragraph" w:styleId="NormalWeb">
    <w:name w:val="Normal (Web)"/>
    <w:basedOn w:val="Normal"/>
    <w:unhideWhenUsed/>
    <w:rsid w:val="000073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07380"/>
    <w:rPr>
      <w:i/>
      <w:iCs/>
    </w:rPr>
  </w:style>
  <w:style w:type="character" w:customStyle="1" w:styleId="Heading1Char">
    <w:name w:val="Heading 1 Char"/>
    <w:basedOn w:val="DefaultParagraphFont"/>
    <w:link w:val="Heading1"/>
    <w:rsid w:val="002A6EE0"/>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2A6EE0"/>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4180</TotalTime>
  <Pages>6</Pages>
  <Words>2223</Words>
  <Characters>12675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Daegan</dc:creator>
  <cp:keywords/>
  <dc:description/>
  <cp:lastModifiedBy>Daegan</cp:lastModifiedBy>
  <cp:revision>8</cp:revision>
  <dcterms:created xsi:type="dcterms:W3CDTF">2017-11-24T14:30:00Z</dcterms:created>
  <dcterms:modified xsi:type="dcterms:W3CDTF">2017-12-04T14:22:00Z</dcterms:modified>
</cp:coreProperties>
</file>