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6DE23" w14:textId="77777777" w:rsidR="00E56F49" w:rsidRDefault="00E56F49">
      <w:pPr>
        <w:jc w:val="center"/>
        <w:rPr>
          <w:b/>
          <w:bCs/>
        </w:rPr>
      </w:pPr>
    </w:p>
    <w:p w14:paraId="1FA4CC0B" w14:textId="77777777" w:rsidR="00E56F49" w:rsidRDefault="00000000">
      <w:pPr>
        <w:jc w:val="center"/>
        <w:rPr>
          <w:b/>
          <w:bCs/>
        </w:rPr>
      </w:pPr>
      <w:r>
        <w:rPr>
          <w:b/>
          <w:bCs/>
          <w:noProof/>
        </w:rPr>
        <w:drawing>
          <wp:inline distT="114300" distB="114300" distL="114300" distR="114300" wp14:anchorId="7BD560F9" wp14:editId="43F6399D">
            <wp:extent cx="2076450" cy="981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76450" cy="981075"/>
                    </a:xfrm>
                    <a:prstGeom prst="rect">
                      <a:avLst/>
                    </a:prstGeom>
                    <a:ln/>
                  </pic:spPr>
                </pic:pic>
              </a:graphicData>
            </a:graphic>
          </wp:inline>
        </w:drawing>
      </w:r>
    </w:p>
    <w:p w14:paraId="103487FB" w14:textId="77777777" w:rsidR="00E56F49" w:rsidRDefault="00E56F49">
      <w:pPr>
        <w:jc w:val="center"/>
        <w:rPr>
          <w:b/>
          <w:bCs/>
        </w:rPr>
      </w:pPr>
    </w:p>
    <w:p w14:paraId="4A5174AF" w14:textId="77777777" w:rsidR="00E56F49" w:rsidRDefault="00E56F49">
      <w:pPr>
        <w:jc w:val="center"/>
        <w:rPr>
          <w:b/>
          <w:bCs/>
        </w:rPr>
      </w:pPr>
    </w:p>
    <w:p w14:paraId="31F648DF" w14:textId="51E4AA90" w:rsidR="00E56F49" w:rsidRDefault="00000000">
      <w:pPr>
        <w:jc w:val="center"/>
        <w:rPr>
          <w:b/>
          <w:bCs/>
        </w:rPr>
      </w:pPr>
      <w:r>
        <w:rPr>
          <w:b/>
          <w:bCs/>
        </w:rPr>
        <w:t>LCBB</w:t>
      </w:r>
      <w:r w:rsidR="00607C86">
        <w:rPr>
          <w:b/>
          <w:bCs/>
        </w:rPr>
        <w:t>4012 Academic</w:t>
      </w:r>
      <w:r>
        <w:rPr>
          <w:b/>
          <w:bCs/>
        </w:rPr>
        <w:t xml:space="preserve"> Skills </w:t>
      </w:r>
    </w:p>
    <w:p w14:paraId="5056710C" w14:textId="77777777" w:rsidR="00E56F49" w:rsidRDefault="00000000">
      <w:pPr>
        <w:jc w:val="center"/>
        <w:rPr>
          <w:b/>
          <w:bCs/>
        </w:rPr>
      </w:pPr>
      <w:r>
        <w:rPr>
          <w:b/>
          <w:bCs/>
        </w:rPr>
        <w:t xml:space="preserve">Component 2: Coursework Group Report </w:t>
      </w:r>
    </w:p>
    <w:p w14:paraId="1F3BB1A1" w14:textId="77777777" w:rsidR="00E56F49" w:rsidRDefault="00000000">
      <w:pPr>
        <w:jc w:val="center"/>
        <w:rPr>
          <w:b/>
          <w:bCs/>
        </w:rPr>
      </w:pPr>
      <w:r>
        <w:rPr>
          <w:b/>
          <w:bCs/>
        </w:rPr>
        <w:t>Name of the Student: Alina Simon</w:t>
      </w:r>
    </w:p>
    <w:p w14:paraId="501A1FEA" w14:textId="25E91358" w:rsidR="00E56F49" w:rsidRDefault="00000000">
      <w:pPr>
        <w:jc w:val="center"/>
        <w:rPr>
          <w:b/>
          <w:bCs/>
        </w:rPr>
      </w:pPr>
      <w:r>
        <w:rPr>
          <w:b/>
          <w:bCs/>
        </w:rPr>
        <w:t>Student ID:</w:t>
      </w:r>
      <w:r w:rsidR="00607C86">
        <w:rPr>
          <w:b/>
          <w:bCs/>
        </w:rPr>
        <w:t xml:space="preserve"> 2513662</w:t>
      </w:r>
    </w:p>
    <w:p w14:paraId="15473737" w14:textId="255062B4" w:rsidR="00E56F49" w:rsidRDefault="00000000">
      <w:pPr>
        <w:jc w:val="center"/>
      </w:pPr>
      <w:r>
        <w:rPr>
          <w:b/>
          <w:bCs/>
        </w:rPr>
        <w:t xml:space="preserve">Date of Submission: </w:t>
      </w:r>
      <w:r w:rsidR="00607C86">
        <w:rPr>
          <w:b/>
          <w:bCs/>
        </w:rPr>
        <w:t>05/05/2026</w:t>
      </w:r>
      <w:r>
        <w:br w:type="page"/>
      </w:r>
    </w:p>
    <w:p w14:paraId="681DFF56" w14:textId="77777777" w:rsidR="00E56F49" w:rsidRDefault="00000000">
      <w:pPr>
        <w:jc w:val="center"/>
        <w:rPr>
          <w:b/>
          <w:bCs/>
          <w:sz w:val="28"/>
          <w:szCs w:val="28"/>
        </w:rPr>
      </w:pPr>
      <w:r>
        <w:rPr>
          <w:b/>
          <w:bCs/>
          <w:sz w:val="28"/>
          <w:szCs w:val="28"/>
        </w:rPr>
        <w:lastRenderedPageBreak/>
        <w:t>Table of Contents</w:t>
      </w:r>
    </w:p>
    <w:sdt>
      <w:sdtPr>
        <w:id w:val="831477200"/>
        <w:docPartObj>
          <w:docPartGallery w:val="Table of Contents"/>
          <w:docPartUnique/>
        </w:docPartObj>
      </w:sdtPr>
      <w:sdtContent>
        <w:p w14:paraId="61D97595" w14:textId="77777777" w:rsidR="00E56F49" w:rsidRDefault="00000000">
          <w:pPr>
            <w:widowControl w:val="0"/>
            <w:tabs>
              <w:tab w:val="right" w:pos="12000"/>
            </w:tabs>
            <w:spacing w:before="60"/>
            <w:jc w:val="left"/>
            <w:rPr>
              <w:b/>
              <w:bCs/>
              <w:color w:val="000000"/>
            </w:rPr>
          </w:pPr>
          <w:r>
            <w:fldChar w:fldCharType="begin"/>
          </w:r>
          <w:r>
            <w:instrText xml:space="preserve"> TOC \h \u \z \t "Heading 1,1,Heading 2,2,Heading 3,3,Heading 4,4,Heading 5,5,Heading 6,6,"</w:instrText>
          </w:r>
          <w:r>
            <w:fldChar w:fldCharType="separate"/>
          </w:r>
          <w:hyperlink w:anchor="_9zdvit74agpw">
            <w:r w:rsidR="00E56F49">
              <w:rPr>
                <w:b/>
                <w:bCs/>
                <w:color w:val="000000"/>
                <w:sz w:val="24"/>
                <w:szCs w:val="24"/>
              </w:rPr>
              <w:t>1. Introduction</w:t>
            </w:r>
            <w:r w:rsidR="00E56F49">
              <w:rPr>
                <w:b/>
                <w:bCs/>
                <w:color w:val="000000"/>
                <w:sz w:val="24"/>
                <w:szCs w:val="24"/>
              </w:rPr>
              <w:tab/>
              <w:t>3</w:t>
            </w:r>
          </w:hyperlink>
        </w:p>
        <w:p w14:paraId="6E80D22F" w14:textId="77777777" w:rsidR="00E56F49" w:rsidRDefault="00E56F49">
          <w:pPr>
            <w:widowControl w:val="0"/>
            <w:tabs>
              <w:tab w:val="right" w:pos="12000"/>
            </w:tabs>
            <w:spacing w:before="60"/>
            <w:jc w:val="left"/>
            <w:rPr>
              <w:b/>
              <w:bCs/>
              <w:color w:val="000000"/>
            </w:rPr>
          </w:pPr>
          <w:hyperlink w:anchor="_nlf9y8j1sxl8">
            <w:r>
              <w:rPr>
                <w:b/>
                <w:bCs/>
                <w:color w:val="000000"/>
                <w:sz w:val="24"/>
                <w:szCs w:val="24"/>
              </w:rPr>
              <w:t>2. Definition of the skills</w:t>
            </w:r>
            <w:r>
              <w:rPr>
                <w:b/>
                <w:bCs/>
                <w:color w:val="000000"/>
                <w:sz w:val="24"/>
                <w:szCs w:val="24"/>
              </w:rPr>
              <w:tab/>
              <w:t>3</w:t>
            </w:r>
          </w:hyperlink>
        </w:p>
        <w:p w14:paraId="5F0C34FB" w14:textId="77777777" w:rsidR="00E56F49" w:rsidRDefault="00E56F49">
          <w:pPr>
            <w:widowControl w:val="0"/>
            <w:tabs>
              <w:tab w:val="right" w:pos="12000"/>
            </w:tabs>
            <w:spacing w:before="60"/>
            <w:jc w:val="left"/>
            <w:rPr>
              <w:b/>
              <w:bCs/>
              <w:color w:val="000000"/>
            </w:rPr>
          </w:pPr>
          <w:hyperlink w:anchor="_61slkiumhgud">
            <w:r>
              <w:rPr>
                <w:b/>
                <w:bCs/>
                <w:color w:val="000000"/>
                <w:sz w:val="24"/>
                <w:szCs w:val="24"/>
              </w:rPr>
              <w:t>3. Importance of skill 1: Presentation Skills</w:t>
            </w:r>
            <w:r>
              <w:rPr>
                <w:b/>
                <w:bCs/>
                <w:color w:val="000000"/>
                <w:sz w:val="24"/>
                <w:szCs w:val="24"/>
              </w:rPr>
              <w:tab/>
              <w:t>3</w:t>
            </w:r>
          </w:hyperlink>
        </w:p>
        <w:p w14:paraId="72596E34" w14:textId="77777777" w:rsidR="00E56F49" w:rsidRDefault="00E56F49">
          <w:pPr>
            <w:widowControl w:val="0"/>
            <w:tabs>
              <w:tab w:val="right" w:pos="12000"/>
            </w:tabs>
            <w:spacing w:before="60"/>
            <w:jc w:val="left"/>
            <w:rPr>
              <w:b/>
              <w:bCs/>
              <w:color w:val="000000"/>
            </w:rPr>
          </w:pPr>
          <w:hyperlink w:anchor="_fcmelbc1c0e4">
            <w:r>
              <w:rPr>
                <w:b/>
                <w:bCs/>
                <w:color w:val="000000"/>
                <w:sz w:val="24"/>
                <w:szCs w:val="24"/>
              </w:rPr>
              <w:t>4. Importance of skill 2: Note-Taking Skills</w:t>
            </w:r>
            <w:r>
              <w:rPr>
                <w:b/>
                <w:bCs/>
                <w:color w:val="000000"/>
                <w:sz w:val="24"/>
                <w:szCs w:val="24"/>
              </w:rPr>
              <w:tab/>
              <w:t>4</w:t>
            </w:r>
          </w:hyperlink>
        </w:p>
        <w:p w14:paraId="6BE5A5BE" w14:textId="77777777" w:rsidR="00E56F49" w:rsidRDefault="00E56F49">
          <w:pPr>
            <w:widowControl w:val="0"/>
            <w:tabs>
              <w:tab w:val="right" w:pos="12000"/>
            </w:tabs>
            <w:spacing w:before="60"/>
            <w:jc w:val="left"/>
            <w:rPr>
              <w:b/>
              <w:bCs/>
              <w:color w:val="000000"/>
            </w:rPr>
          </w:pPr>
          <w:hyperlink w:anchor="_q9rl17l2peol">
            <w:r>
              <w:rPr>
                <w:b/>
                <w:bCs/>
                <w:color w:val="000000"/>
                <w:sz w:val="24"/>
                <w:szCs w:val="24"/>
              </w:rPr>
              <w:t>5. Strategies to improve skill 1: Presentation Skills</w:t>
            </w:r>
            <w:r>
              <w:rPr>
                <w:b/>
                <w:bCs/>
                <w:color w:val="000000"/>
                <w:sz w:val="24"/>
                <w:szCs w:val="24"/>
              </w:rPr>
              <w:tab/>
              <w:t>4</w:t>
            </w:r>
          </w:hyperlink>
        </w:p>
        <w:p w14:paraId="641456BE" w14:textId="77777777" w:rsidR="00E56F49" w:rsidRDefault="00E56F49">
          <w:pPr>
            <w:widowControl w:val="0"/>
            <w:tabs>
              <w:tab w:val="right" w:pos="12000"/>
            </w:tabs>
            <w:spacing w:before="60"/>
            <w:jc w:val="left"/>
            <w:rPr>
              <w:b/>
              <w:bCs/>
              <w:color w:val="000000"/>
            </w:rPr>
          </w:pPr>
          <w:hyperlink w:anchor="_z8uqkq40xcl2">
            <w:r>
              <w:rPr>
                <w:b/>
                <w:bCs/>
                <w:color w:val="000000"/>
                <w:sz w:val="24"/>
                <w:szCs w:val="24"/>
              </w:rPr>
              <w:t>6. Strategies to improve skill 2: Note-Taking Skills</w:t>
            </w:r>
            <w:r>
              <w:rPr>
                <w:b/>
                <w:bCs/>
                <w:color w:val="000000"/>
                <w:sz w:val="24"/>
                <w:szCs w:val="24"/>
              </w:rPr>
              <w:tab/>
              <w:t>5</w:t>
            </w:r>
          </w:hyperlink>
        </w:p>
        <w:p w14:paraId="7B50A670" w14:textId="77777777" w:rsidR="00E56F49" w:rsidRDefault="00E56F49">
          <w:pPr>
            <w:widowControl w:val="0"/>
            <w:tabs>
              <w:tab w:val="right" w:pos="12000"/>
            </w:tabs>
            <w:spacing w:before="60"/>
            <w:jc w:val="left"/>
            <w:rPr>
              <w:b/>
              <w:bCs/>
              <w:color w:val="000000"/>
            </w:rPr>
          </w:pPr>
          <w:hyperlink w:anchor="_516bkp47qv8">
            <w:r>
              <w:rPr>
                <w:b/>
                <w:bCs/>
                <w:color w:val="000000"/>
                <w:sz w:val="24"/>
                <w:szCs w:val="24"/>
              </w:rPr>
              <w:t>7. Conclusion</w:t>
            </w:r>
            <w:r>
              <w:rPr>
                <w:b/>
                <w:bCs/>
                <w:color w:val="000000"/>
                <w:sz w:val="24"/>
                <w:szCs w:val="24"/>
              </w:rPr>
              <w:tab/>
              <w:t>5</w:t>
            </w:r>
          </w:hyperlink>
        </w:p>
        <w:p w14:paraId="600E1AB6" w14:textId="77777777" w:rsidR="00E56F49" w:rsidRDefault="00E56F49">
          <w:pPr>
            <w:widowControl w:val="0"/>
            <w:tabs>
              <w:tab w:val="right" w:pos="12000"/>
            </w:tabs>
            <w:spacing w:before="60"/>
            <w:jc w:val="left"/>
            <w:rPr>
              <w:b/>
              <w:bCs/>
              <w:color w:val="000000"/>
            </w:rPr>
          </w:pPr>
          <w:hyperlink w:anchor="_4x1vo31crzuo">
            <w:r>
              <w:rPr>
                <w:b/>
                <w:bCs/>
                <w:color w:val="000000"/>
                <w:sz w:val="24"/>
                <w:szCs w:val="24"/>
              </w:rPr>
              <w:t>8. References</w:t>
            </w:r>
            <w:r>
              <w:rPr>
                <w:b/>
                <w:bCs/>
                <w:color w:val="000000"/>
                <w:sz w:val="24"/>
                <w:szCs w:val="24"/>
              </w:rPr>
              <w:tab/>
              <w:t>6</w:t>
            </w:r>
          </w:hyperlink>
          <w:r w:rsidR="00000000">
            <w:fldChar w:fldCharType="end"/>
          </w:r>
        </w:p>
      </w:sdtContent>
    </w:sdt>
    <w:p w14:paraId="1823940F" w14:textId="77777777" w:rsidR="00E56F49" w:rsidRDefault="00000000">
      <w:pPr>
        <w:jc w:val="center"/>
      </w:pPr>
      <w:r>
        <w:br w:type="page"/>
      </w:r>
    </w:p>
    <w:p w14:paraId="27F3B20E" w14:textId="77777777" w:rsidR="00E56F49" w:rsidRDefault="00000000">
      <w:pPr>
        <w:pStyle w:val="Heading1"/>
      </w:pPr>
      <w:bookmarkStart w:id="0" w:name="_9zdvit74agpw" w:colFirst="0" w:colLast="0"/>
      <w:bookmarkEnd w:id="0"/>
      <w:r>
        <w:lastRenderedPageBreak/>
        <w:t>1. Introduction</w:t>
      </w:r>
    </w:p>
    <w:p w14:paraId="4B029C2D" w14:textId="77777777" w:rsidR="00E56F49" w:rsidRDefault="00000000">
      <w:r>
        <w:t xml:space="preserve">Mastering academic skills is crucial for student wellbeing, achievement and success in higher education. Academic skills include a wider range of abilities that are necessary for engaging effectively with disciplinary content, communicating ideas, thinking critically and constructing meaning. Aranda et al. (2022) argued that, in the recent decades, a profound and continual change has been taking place in labor and social reality. This has necessitated the universities to regularly adapt to the “new professional needs” that the </w:t>
      </w:r>
      <w:proofErr w:type="spellStart"/>
      <w:r>
        <w:t>labour</w:t>
      </w:r>
      <w:proofErr w:type="spellEnd"/>
      <w:r>
        <w:t xml:space="preserve"> market demands from the future graduates. Two such essential skills, “presentation skills” and “note-taking skills” will be discussed in this report. These skills are not only the tools to ensure good grades in the universities, but are essential transferable capabilities. Presentation skills </w:t>
      </w:r>
      <w:proofErr w:type="gramStart"/>
      <w:r>
        <w:t>refers</w:t>
      </w:r>
      <w:proofErr w:type="gramEnd"/>
      <w:r>
        <w:t xml:space="preserve"> to the capability of presenting information persuasively, confidently and clearly to the audience. It can be in a boardroom or seminar-room. Similarly, note-taking skills involve the </w:t>
      </w:r>
      <w:proofErr w:type="spellStart"/>
      <w:r>
        <w:t>organisation</w:t>
      </w:r>
      <w:proofErr w:type="spellEnd"/>
      <w:r>
        <w:t xml:space="preserve"> and systematic recording of information during meetings, lectures or while reading. This allows for better comprehension of the topic. The main purpose of the report is examining the reasons both presentation and note-taking skills matter in professional and academic environments. The purpose also includes identifying practical strategies, based on which both professionals and students can develop those skills actively. </w:t>
      </w:r>
    </w:p>
    <w:p w14:paraId="3E2E4310" w14:textId="77777777" w:rsidR="00E56F49" w:rsidRDefault="00000000">
      <w:pPr>
        <w:pStyle w:val="Heading1"/>
      </w:pPr>
      <w:bookmarkStart w:id="1" w:name="_nlf9y8j1sxl8" w:colFirst="0" w:colLast="0"/>
      <w:bookmarkEnd w:id="1"/>
      <w:r>
        <w:t xml:space="preserve">2. Definition of the skills </w:t>
      </w:r>
    </w:p>
    <w:p w14:paraId="0FCF990D" w14:textId="77777777" w:rsidR="00E56F49" w:rsidRDefault="00000000">
      <w:r>
        <w:t>Employability highly depends on the individual employees' strain and working conditions that help them to continue their business operation effectively. In this scenario, the presentation skills and note-taking skills are beneficial in managing the academic working procedure and increasing confidence in presenting any information effectively without having any consequences. Presentation skills are essential for communicating with others clearly, deeply, effectively and persuasively (</w:t>
      </w:r>
      <w:proofErr w:type="spellStart"/>
      <w:r>
        <w:t>Harefa</w:t>
      </w:r>
      <w:proofErr w:type="spellEnd"/>
      <w:r>
        <w:t xml:space="preserve"> </w:t>
      </w:r>
      <w:r>
        <w:rPr>
          <w:i/>
          <w:iCs/>
        </w:rPr>
        <w:t xml:space="preserve">et al., </w:t>
      </w:r>
      <w:r>
        <w:t xml:space="preserve">2025). Presentation technique incorporates a balanced combination of nonverbal and verbal techniques. Presentation skills involve logical reasoning, integrating different communication channels and techniques to connect with the audience without speaking or verbally communicating. </w:t>
      </w:r>
      <w:proofErr w:type="spellStart"/>
      <w:r>
        <w:t>Utilising</w:t>
      </w:r>
      <w:proofErr w:type="spellEnd"/>
      <w:r>
        <w:t xml:space="preserve"> different tools, such as slides and visual details, can enhance the understanding of the topic. According to the communication theory, presentation skills are essential to provide clarity in the message and maintain a strong audience engagement and confidence that shape how audiences receive the information and interpret the actual data. Presentation skills are interpersonal competency and cognitive skills. </w:t>
      </w:r>
    </w:p>
    <w:p w14:paraId="2A2F5234" w14:textId="77777777" w:rsidR="00E56F49" w:rsidRDefault="00000000">
      <w:r>
        <w:lastRenderedPageBreak/>
        <w:t xml:space="preserve">Similarly, the note-taking skill is a contrast skill as compared to the presentation skill. The note-taking skill defines a structured procedure of acknowledging, </w:t>
      </w:r>
      <w:proofErr w:type="spellStart"/>
      <w:r>
        <w:t>organising</w:t>
      </w:r>
      <w:proofErr w:type="spellEnd"/>
      <w:r>
        <w:t xml:space="preserve">, and creating a reliable synthesis of the crucial information (Al-Sharman </w:t>
      </w:r>
      <w:r>
        <w:rPr>
          <w:i/>
          <w:iCs/>
        </w:rPr>
        <w:t xml:space="preserve">et al., </w:t>
      </w:r>
      <w:r>
        <w:t xml:space="preserve">2025). This technique is mainly </w:t>
      </w:r>
      <w:proofErr w:type="spellStart"/>
      <w:r>
        <w:t>utilised</w:t>
      </w:r>
      <w:proofErr w:type="spellEnd"/>
      <w:r>
        <w:t xml:space="preserve"> during lectures, meetings or conducting independent studies. This is similar to transcription, but it clearly involves other activities that suggest critical acknowledgement, active listening generates new ideas or acknowledging any crucial aspect of the information which has a meaningful contribution to the overall working procedure. Cornell system and mind mapping are also great examples of note-taking skills that showcase how the skills create a </w:t>
      </w:r>
      <w:proofErr w:type="spellStart"/>
      <w:r>
        <w:t>summarisation</w:t>
      </w:r>
      <w:proofErr w:type="spellEnd"/>
      <w:r>
        <w:t xml:space="preserve"> and show the priority of this skill in making any </w:t>
      </w:r>
      <w:proofErr w:type="spellStart"/>
      <w:r>
        <w:t>summarisation</w:t>
      </w:r>
      <w:proofErr w:type="spellEnd"/>
      <w:r>
        <w:t xml:space="preserve"> or highlighting a crucial aspect. This skill is beneficial to reduce the complexity of information and create it into an easily understandable format. Both presentation skills and note-taking skills are beneficial and connected for conducting a critical engagement with information.</w:t>
      </w:r>
    </w:p>
    <w:p w14:paraId="74715D7E" w14:textId="77777777" w:rsidR="00E56F49" w:rsidRDefault="00000000">
      <w:pPr>
        <w:pStyle w:val="Heading1"/>
      </w:pPr>
      <w:bookmarkStart w:id="2" w:name="_61slkiumhgud" w:colFirst="0" w:colLast="0"/>
      <w:bookmarkEnd w:id="2"/>
      <w:r>
        <w:t>3. Importance of skill 1: Presentation Skills</w:t>
      </w:r>
    </w:p>
    <w:p w14:paraId="3C1CAB5A" w14:textId="77777777" w:rsidR="00E56F49" w:rsidRDefault="00000000">
      <w:pPr>
        <w:pStyle w:val="Heading2"/>
      </w:pPr>
      <w:bookmarkStart w:id="3" w:name="_2j9471y4y15m" w:colFirst="0" w:colLast="0"/>
      <w:bookmarkEnd w:id="3"/>
      <w:r>
        <w:t>3.1 Academic importance</w:t>
      </w:r>
    </w:p>
    <w:p w14:paraId="32E669D9" w14:textId="77777777" w:rsidR="00E56F49" w:rsidRDefault="00000000">
      <w:r>
        <w:t xml:space="preserve">Presentation skill is among the most effective skills for students that ensure academic success. This is because the universities are now increasingly assessing the students through group discussions, seminars, and oral presentations. According to </w:t>
      </w:r>
      <w:proofErr w:type="spellStart"/>
      <w:r>
        <w:t>Algouzi</w:t>
      </w:r>
      <w:proofErr w:type="spellEnd"/>
      <w:r>
        <w:t xml:space="preserve"> et al. (2023), presentation skills give the students an effective way to bridge the gap between language use and language study. As per </w:t>
      </w:r>
      <w:proofErr w:type="spellStart"/>
      <w:r>
        <w:t>Apridayani</w:t>
      </w:r>
      <w:proofErr w:type="spellEnd"/>
      <w:r>
        <w:t xml:space="preserve"> et al. (2024), the student-</w:t>
      </w:r>
      <w:proofErr w:type="spellStart"/>
      <w:r>
        <w:t>centred</w:t>
      </w:r>
      <w:proofErr w:type="spellEnd"/>
      <w:r>
        <w:t xml:space="preserve"> classroom activities, including oral presentations can help in boosting student motivation, enhance overall performance of the students, as well as contribute to a more positive environment in the classroom. The capability of communicating ideas confidently and clearly, can influence academic performance directly.  Dahmani et al. (2024) confirmed this by stating that effective communication can significantly influence the academic success of the students, as well as the quality of student-faculty interaction. Moreover, </w:t>
      </w:r>
      <w:proofErr w:type="spellStart"/>
      <w:r>
        <w:t>Zamiri</w:t>
      </w:r>
      <w:proofErr w:type="spellEnd"/>
      <w:r>
        <w:t xml:space="preserve"> and Esmaeili (2024) argued that presentation skills along with other academic skills foster a deeper engagement with the topic or subject matter that leads to a better understanding of the concepts. However, Putra and Kayen (2025) argued that, in a university-level education, although academic presentations are crucial, there are still many students who find it challenging to deliver structured and effective presentations. </w:t>
      </w:r>
    </w:p>
    <w:p w14:paraId="4C776E9E" w14:textId="77777777" w:rsidR="00E56F49" w:rsidRDefault="00000000">
      <w:pPr>
        <w:rPr>
          <w:b/>
          <w:bCs/>
          <w:i/>
          <w:iCs/>
        </w:rPr>
      </w:pPr>
      <w:r>
        <w:rPr>
          <w:b/>
          <w:bCs/>
          <w:i/>
          <w:iCs/>
        </w:rPr>
        <w:t>3.2 Professional and business relevance</w:t>
      </w:r>
    </w:p>
    <w:p w14:paraId="1CDB7380" w14:textId="77777777" w:rsidR="00E56F49" w:rsidRDefault="00000000">
      <w:r>
        <w:t xml:space="preserve">In a professional working environment, presentation skills are among the required competencies by the companies and employers. Strang (2022) quoted what “The National Association of </w:t>
      </w:r>
      <w:r>
        <w:lastRenderedPageBreak/>
        <w:t xml:space="preserve">Colleges and Employers (NACE)” notes to be the top skills from college graduates. NACE has highlighted about 19 skills, among which communication skills are crucial, including oral/verbal and presenting communication skills. In the context of business, professionals need to regularly present their proposals, lead their team briefings, deliver important client pitches, and represent their companies at the conferences. For effective presentation, the employees need to have a command over their communication skills. Sumaiya et al. (2022) noted that effective communication skills </w:t>
      </w:r>
      <w:proofErr w:type="gramStart"/>
      <w:r>
        <w:t>helps</w:t>
      </w:r>
      <w:proofErr w:type="gramEnd"/>
      <w:r>
        <w:t xml:space="preserve"> in facilitating the interactions with others, which can allow the team or individual to operate more successfully and efficiently. If the presentation is poorly-developed, it can not only just undermine credibility, but also stall the project or lose clients, even if the underlying ideas or qualities are good. </w:t>
      </w:r>
      <w:proofErr w:type="spellStart"/>
      <w:r>
        <w:t>Akolgo</w:t>
      </w:r>
      <w:proofErr w:type="spellEnd"/>
      <w:r>
        <w:t xml:space="preserve">, </w:t>
      </w:r>
      <w:proofErr w:type="spellStart"/>
      <w:r>
        <w:t>Robiullah</w:t>
      </w:r>
      <w:proofErr w:type="spellEnd"/>
      <w:r>
        <w:t xml:space="preserve"> and Ramirez, (2025) argued that, during a presentation, if it is high-hassle or has a disrespectful tone, it can trigger negative reactions. Whereas, a low-hassle and respectful tone can bring positive feedback.</w:t>
      </w:r>
    </w:p>
    <w:p w14:paraId="29EAAFA5" w14:textId="77777777" w:rsidR="00E56F49" w:rsidRDefault="00000000">
      <w:pPr>
        <w:pStyle w:val="Heading1"/>
      </w:pPr>
      <w:bookmarkStart w:id="4" w:name="_fcmelbc1c0e4" w:colFirst="0" w:colLast="0"/>
      <w:bookmarkEnd w:id="4"/>
      <w:r>
        <w:t>4. Importance of skill 2: Note-Taking Skills</w:t>
      </w:r>
    </w:p>
    <w:p w14:paraId="2B6124FC" w14:textId="77777777" w:rsidR="00E56F49" w:rsidRDefault="00000000">
      <w:r>
        <w:t xml:space="preserve">Note-taking skill is essential for enhancing academic performance, which involves retention of concentration company </w:t>
      </w:r>
      <w:proofErr w:type="spellStart"/>
      <w:r>
        <w:t>hensive</w:t>
      </w:r>
      <w:proofErr w:type="spellEnd"/>
      <w:r>
        <w:t xml:space="preserve"> heavier and credibility to critically </w:t>
      </w:r>
      <w:proofErr w:type="spellStart"/>
      <w:r>
        <w:t>analyse</w:t>
      </w:r>
      <w:proofErr w:type="spellEnd"/>
      <w:r>
        <w:t xml:space="preserve"> each learning material effectively (</w:t>
      </w:r>
      <w:proofErr w:type="spellStart"/>
      <w:r>
        <w:t>Kitjaroonchai</w:t>
      </w:r>
      <w:proofErr w:type="spellEnd"/>
      <w:r>
        <w:t xml:space="preserve"> </w:t>
      </w:r>
      <w:r>
        <w:rPr>
          <w:i/>
          <w:iCs/>
        </w:rPr>
        <w:t xml:space="preserve">et al., </w:t>
      </w:r>
      <w:r>
        <w:t xml:space="preserve">2025). Students who take active notes during lectures, </w:t>
      </w:r>
      <w:proofErr w:type="spellStart"/>
      <w:r>
        <w:t>analyse</w:t>
      </w:r>
      <w:proofErr w:type="spellEnd"/>
      <w:r>
        <w:t xml:space="preserve"> different seminar presentations and create structured notes, remind people of engaging with more information rather than being a passive listener. Although this process incorporated several procedures, such as </w:t>
      </w:r>
      <w:proofErr w:type="spellStart"/>
      <w:r>
        <w:t>organising</w:t>
      </w:r>
      <w:proofErr w:type="spellEnd"/>
      <w:r>
        <w:t xml:space="preserve">, filtering and </w:t>
      </w:r>
      <w:proofErr w:type="spellStart"/>
      <w:r>
        <w:t>summarising</w:t>
      </w:r>
      <w:proofErr w:type="spellEnd"/>
      <w:r>
        <w:t xml:space="preserve"> the whole content. This skill highly aligns with the information processing theory, which promotes deeper cognitive interaction and enhances long-term memory capability. In the academic environment, note taking skill is essential to achieve higher exam performance, highlighting the crucial information during the assignment creation and its support in making the division process. Additionally, it also helps in developing a </w:t>
      </w:r>
      <w:proofErr w:type="spellStart"/>
      <w:r>
        <w:t>personalised</w:t>
      </w:r>
      <w:proofErr w:type="spellEnd"/>
      <w:r>
        <w:t xml:space="preserve"> and </w:t>
      </w:r>
      <w:proofErr w:type="spellStart"/>
      <w:r>
        <w:t>organised</w:t>
      </w:r>
      <w:proofErr w:type="spellEnd"/>
      <w:r>
        <w:t xml:space="preserve"> learning procedure.</w:t>
      </w:r>
    </w:p>
    <w:p w14:paraId="48D49B6F" w14:textId="77777777" w:rsidR="00E56F49" w:rsidRDefault="00000000">
      <w:r>
        <w:t>Similarly, note-taking is also essential in the professional context; maintaining accountability and accuracy in making strategic decisions is essential (</w:t>
      </w:r>
      <w:proofErr w:type="spellStart"/>
      <w:r>
        <w:t>Волох</w:t>
      </w:r>
      <w:proofErr w:type="spellEnd"/>
      <w:r>
        <w:t xml:space="preserve">, 2025). Especially during meetings, effective note-taking helps in highlighting the key points of the discussion, and it is beneficial during the action implementation procedure or when making a strategic decision integration while documenting. It helps introduce the chances of miscommunication at the workplace and document the crucial information systematically to maintain efficiency in the execution procedure according to the evidence-based </w:t>
      </w:r>
      <w:proofErr w:type="spellStart"/>
      <w:r>
        <w:t>organising</w:t>
      </w:r>
      <w:proofErr w:type="spellEnd"/>
      <w:r>
        <w:t xml:space="preserve"> and structuring.</w:t>
      </w:r>
    </w:p>
    <w:p w14:paraId="1F5BBA88" w14:textId="77777777" w:rsidR="00E56F49" w:rsidRDefault="00000000">
      <w:r>
        <w:lastRenderedPageBreak/>
        <w:t xml:space="preserve">However, note-taking skill is openly acknowledged as an underestimated skill due to the high accessibility of digital recording or shared materials. Being overly dependent on these digital materials does not provide a guarantee of understanding active listening or understanding the information more critically. Instead of having active skills in note-taking aspects, promote critical thinking capabilities where integration of individual participants is </w:t>
      </w:r>
      <w:proofErr w:type="spellStart"/>
      <w:r>
        <w:t>prioritised</w:t>
      </w:r>
      <w:proofErr w:type="spellEnd"/>
      <w:r>
        <w:t xml:space="preserve"> and real-time information is more frequently updated. Due to this reason, note-taking skills are beneficial to promote efficiency, performance and integration of practical knowledge in both professional and academic contexts.</w:t>
      </w:r>
    </w:p>
    <w:p w14:paraId="1D0FB8A4" w14:textId="77777777" w:rsidR="00E56F49" w:rsidRDefault="00E56F49"/>
    <w:p w14:paraId="7F2B3F1F" w14:textId="77777777" w:rsidR="00E56F49" w:rsidRDefault="00000000">
      <w:pPr>
        <w:pStyle w:val="Heading1"/>
      </w:pPr>
      <w:bookmarkStart w:id="5" w:name="_q9rl17l2peol" w:colFirst="0" w:colLast="0"/>
      <w:bookmarkEnd w:id="5"/>
      <w:r>
        <w:t>5. Strategies to improve skill 1: Presentation Skills</w:t>
      </w:r>
    </w:p>
    <w:p w14:paraId="39217668" w14:textId="77777777" w:rsidR="00E56F49" w:rsidRDefault="00000000">
      <w:pPr>
        <w:rPr>
          <w:b/>
          <w:bCs/>
          <w:i/>
          <w:iCs/>
        </w:rPr>
      </w:pPr>
      <w:proofErr w:type="spellStart"/>
      <w:r>
        <w:rPr>
          <w:b/>
          <w:bCs/>
          <w:i/>
          <w:iCs/>
        </w:rPr>
        <w:t>i</w:t>
      </w:r>
      <w:proofErr w:type="spellEnd"/>
      <w:r>
        <w:rPr>
          <w:b/>
          <w:bCs/>
          <w:i/>
          <w:iCs/>
        </w:rPr>
        <w:t>) A well-structured practice routine by focusing on rehearsal</w:t>
      </w:r>
    </w:p>
    <w:p w14:paraId="53C84E38" w14:textId="77777777" w:rsidR="00E56F49" w:rsidRDefault="00000000">
      <w:r>
        <w:t xml:space="preserve">One of the best strategies to improve presentation skills is to ensure rehearsal before the final presentation. Vogel and Viale (2018) highlighted that recording the presentation as well as examining the presentation delivery critically can help in better presentation. The techniques include focusing on voice projection, posture, and eye contact, as these allow one to note the particular weaknesses and correct those in a systematic manner. It is argued that simply reading the notes cannot be considered as sufficient and that students need to practice the presentation in front of the mentors or peers to collect constructive feedback.  Vogel and Viale (2018) found that 89% of the students wanted to get dedicated classes, so that they can improve public speaking. This data confirms that opportunities to rehearse the presentation are not only beneficial, but demanded as well. </w:t>
      </w:r>
    </w:p>
    <w:p w14:paraId="466D9D66" w14:textId="77777777" w:rsidR="00E56F49" w:rsidRDefault="00000000">
      <w:pPr>
        <w:rPr>
          <w:b/>
          <w:bCs/>
          <w:i/>
          <w:iCs/>
        </w:rPr>
      </w:pPr>
      <w:r>
        <w:rPr>
          <w:b/>
          <w:bCs/>
          <w:i/>
          <w:iCs/>
        </w:rPr>
        <w:t xml:space="preserve">ii) Knowing about the audience and develop an impactful delivery </w:t>
      </w:r>
    </w:p>
    <w:p w14:paraId="763C30D6" w14:textId="77777777" w:rsidR="00E56F49" w:rsidRDefault="00000000">
      <w:r>
        <w:t xml:space="preserve">One of the keys to deliver a successful presentation is showing the audience that the speaker cares about them (Cohen, 2015). For the professionals or employees, one of the best critical strategies is researching the audience thoroughly, prior to the presentation. This will help them to tailor the content as well as delivery accordingly. As </w:t>
      </w:r>
      <w:proofErr w:type="spellStart"/>
      <w:r>
        <w:t>emphasised</w:t>
      </w:r>
      <w:proofErr w:type="spellEnd"/>
      <w:r>
        <w:t xml:space="preserve"> by Vogel and Viale (2018), understanding who to be addressed, the background, expectations, as well as levels of expertise, makes the presentation more persuasive and pertinent. Making a casual briefing in the workplace to some colleagues has a different tone, as compared to making a keynote before several industrial professionals. Hence, the professionals also must focus on their delivery mechanisms, such as maintaining proper eye contact, which can help in building rapport, along with ensuring open-handed gestures. This also includes avoiding reading directly from the slide and projecting </w:t>
      </w:r>
      <w:r>
        <w:lastRenderedPageBreak/>
        <w:t xml:space="preserve">enthusiasm. Vogel and Viale (2018) highlighted that the audience needs to have a good impression in the first 15 seconds. </w:t>
      </w:r>
    </w:p>
    <w:p w14:paraId="7E2A7953" w14:textId="77777777" w:rsidR="00E56F49" w:rsidRDefault="00000000">
      <w:pPr>
        <w:pStyle w:val="Heading1"/>
      </w:pPr>
      <w:bookmarkStart w:id="6" w:name="_z8uqkq40xcl2" w:colFirst="0" w:colLast="0"/>
      <w:bookmarkEnd w:id="6"/>
      <w:r>
        <w:t xml:space="preserve">6. Strategies to improve skill 2: Note-Taking Skills </w:t>
      </w:r>
    </w:p>
    <w:p w14:paraId="3E7D6175" w14:textId="77777777" w:rsidR="00E56F49" w:rsidRDefault="00000000">
      <w:r>
        <w:t xml:space="preserve">Improving the note-taking skill required the adoption of several structured techniques that align with cognitive engagement. One of the effective strategies is to </w:t>
      </w:r>
      <w:proofErr w:type="spellStart"/>
      <w:r>
        <w:t>utilise</w:t>
      </w:r>
      <w:proofErr w:type="spellEnd"/>
      <w:r>
        <w:t xml:space="preserve"> systematic note-taking methods according to the Cornell method. This method focuses on creating three major sections in the note-taking procedure by highlighting the key points, detailed information and </w:t>
      </w:r>
      <w:proofErr w:type="spellStart"/>
      <w:r>
        <w:t>summarising</w:t>
      </w:r>
      <w:proofErr w:type="spellEnd"/>
      <w:r>
        <w:t xml:space="preserve"> the whole topic (Seo, 2025). This structure influences learners in implementing these methods during lectures, which is beneficial for them to understand academic topics and review them strategically. This procedure is beneficial to recall the important sections of the lecture, and it provides critical support for an efficient revision procedure. Additionally, this method encourages students to integrate a more critical thinking approach for identifying the crucial argument and linking the concept effectively, which includes their overall academic performance.</w:t>
      </w:r>
    </w:p>
    <w:p w14:paraId="6B10AC87" w14:textId="77777777" w:rsidR="00E56F49" w:rsidRDefault="00000000">
      <w:r>
        <w:t>Moreover, there is also a crucial strategy for enhancing the note-taking skill, which is active listening and selective recording (</w:t>
      </w:r>
      <w:proofErr w:type="spellStart"/>
      <w:r>
        <w:t>Prismantikasari</w:t>
      </w:r>
      <w:proofErr w:type="spellEnd"/>
      <w:r>
        <w:t xml:space="preserve"> </w:t>
      </w:r>
      <w:r>
        <w:rPr>
          <w:i/>
          <w:iCs/>
        </w:rPr>
        <w:t xml:space="preserve">et al., </w:t>
      </w:r>
      <w:r>
        <w:t xml:space="preserve">2025). This strategy focuses on capturing different examples, ideas and explanations throughout the lecture procedure instead of writing everything. Moreover, it is essential to integrate the ability to identify essential and non-essential information during the lecture, which can be developed through everyday practices. In the professional context, this approach is beneficial for maintaining evidence-based procedures, which have a high relevance in making strategic decisions or conducting follow-up actions. Continuously increasing digital tool advantage creates new opportunities for improving the note-taking procedure. Applications such as Notion and OneNote allow users to improve the accessibility of their notes with several features. However, relying on digital tools without implementing critical thinking can reduce the competencies as compared with handwritten notes. Due to this reason, the implementation of a balanced approach is essential for </w:t>
      </w:r>
      <w:proofErr w:type="spellStart"/>
      <w:r>
        <w:t>utilising</w:t>
      </w:r>
      <w:proofErr w:type="spellEnd"/>
      <w:r>
        <w:t xml:space="preserve"> digital tools and active management effectively for ensuring motive of note taking importance. Overall, enhancing the note-taking skill is highly dependent on the strategic approach and the combined method of critical thinking procedures, and maintaining consistent practices. This procedure ensures that only recorded notes do not reflect the critical understanding of the actual content, where integration of a combined method can actually enhance the academic and professional adaptability of knowledge.</w:t>
      </w:r>
    </w:p>
    <w:p w14:paraId="79B7ADE0" w14:textId="77777777" w:rsidR="00E56F49" w:rsidRDefault="00000000">
      <w:pPr>
        <w:pStyle w:val="Heading1"/>
      </w:pPr>
      <w:bookmarkStart w:id="7" w:name="_516bkp47qv8" w:colFirst="0" w:colLast="0"/>
      <w:bookmarkEnd w:id="7"/>
      <w:r>
        <w:lastRenderedPageBreak/>
        <w:t>7. Conclusion</w:t>
      </w:r>
    </w:p>
    <w:p w14:paraId="16966DE1" w14:textId="77777777" w:rsidR="00E56F49" w:rsidRDefault="00000000">
      <w:r>
        <w:t xml:space="preserve">In conclusion, the report has discussed the importance of both presentation and note-taking skills in both professional and academic contexts. In terms of presentation skills, it is found to be important for the students as well as for professionals. It improves overall workplace credibility and can be effectively improved by rehearsing and understanding the audience prior to presentation. In the same way, note-taking skills are equally crucial as it helps in supporting knowledge retention, and there are certain methods of note-taking as well, that helps in a structured note-taking for both students and professionals. From the report, it is evident that digital tools can be used to improve note-taking and enhance accessibility. </w:t>
      </w:r>
    </w:p>
    <w:p w14:paraId="2401FBD3" w14:textId="77777777" w:rsidR="00E56F49" w:rsidRDefault="00000000">
      <w:pPr>
        <w:pStyle w:val="Heading1"/>
      </w:pPr>
      <w:bookmarkStart w:id="8" w:name="_ar3594mfd6t8" w:colFirst="0" w:colLast="0"/>
      <w:bookmarkEnd w:id="8"/>
      <w:r>
        <w:br w:type="page"/>
      </w:r>
    </w:p>
    <w:p w14:paraId="7B269222" w14:textId="77777777" w:rsidR="00E56F49" w:rsidRDefault="00000000">
      <w:pPr>
        <w:pStyle w:val="Heading1"/>
      </w:pPr>
      <w:bookmarkStart w:id="9" w:name="_4x1vo31crzuo" w:colFirst="0" w:colLast="0"/>
      <w:bookmarkEnd w:id="9"/>
      <w:r>
        <w:lastRenderedPageBreak/>
        <w:t>8. References</w:t>
      </w:r>
    </w:p>
    <w:p w14:paraId="73598DF3" w14:textId="77777777" w:rsidR="00192AA2" w:rsidRDefault="00192AA2">
      <w:pPr>
        <w:spacing w:before="200"/>
      </w:pPr>
      <w:proofErr w:type="spellStart"/>
      <w:r>
        <w:t>Akolgo</w:t>
      </w:r>
      <w:proofErr w:type="spellEnd"/>
      <w:r>
        <w:t xml:space="preserve">, D.R., </w:t>
      </w:r>
      <w:proofErr w:type="spellStart"/>
      <w:r>
        <w:t>Robiullah</w:t>
      </w:r>
      <w:proofErr w:type="spellEnd"/>
      <w:r>
        <w:t xml:space="preserve">, A. and Ramirez, G. (2025). ‘The emotional and motivational costs of poorly delivered academic feedback’. </w:t>
      </w:r>
      <w:r>
        <w:rPr>
          <w:i/>
          <w:iCs/>
        </w:rPr>
        <w:t>Frontiers in Psychology</w:t>
      </w:r>
      <w:r>
        <w:t xml:space="preserve">, 16. </w:t>
      </w:r>
    </w:p>
    <w:p w14:paraId="4DA7958B" w14:textId="77777777" w:rsidR="00192AA2" w:rsidRDefault="00192AA2">
      <w:pPr>
        <w:spacing w:before="200"/>
      </w:pPr>
      <w:proofErr w:type="spellStart"/>
      <w:r>
        <w:t>Algouzi</w:t>
      </w:r>
      <w:proofErr w:type="spellEnd"/>
      <w:r>
        <w:t xml:space="preserve">, S., Alzubi, A.A.F. and Nazim, M. (2023). ‘Strengthening English language undergraduates’ presentation skills: A blackboard-mediated intervention program.’ </w:t>
      </w:r>
      <w:proofErr w:type="spellStart"/>
      <w:r>
        <w:rPr>
          <w:i/>
          <w:iCs/>
        </w:rPr>
        <w:t>PLoS</w:t>
      </w:r>
      <w:proofErr w:type="spellEnd"/>
      <w:r>
        <w:rPr>
          <w:i/>
          <w:iCs/>
        </w:rPr>
        <w:t xml:space="preserve"> ONE</w:t>
      </w:r>
      <w:r>
        <w:t xml:space="preserve">, [online] 18(8), pp.1–17. </w:t>
      </w:r>
    </w:p>
    <w:p w14:paraId="3120CF7C" w14:textId="77777777" w:rsidR="00192AA2" w:rsidRDefault="00192AA2">
      <w:pPr>
        <w:spacing w:before="200"/>
      </w:pPr>
      <w:r>
        <w:rPr>
          <w:color w:val="222222"/>
          <w:highlight w:val="white"/>
        </w:rPr>
        <w:t xml:space="preserve">Al-Sharman, A., Shalash, R.J., Omran, T.A., Elsayed, R.M., Warfa, I.A., Adawi, W.S.E.A., </w:t>
      </w:r>
      <w:proofErr w:type="spellStart"/>
      <w:r>
        <w:rPr>
          <w:color w:val="222222"/>
          <w:highlight w:val="white"/>
        </w:rPr>
        <w:t>Aljaberi</w:t>
      </w:r>
      <w:proofErr w:type="spellEnd"/>
      <w:r>
        <w:rPr>
          <w:color w:val="222222"/>
          <w:highlight w:val="white"/>
        </w:rPr>
        <w:t xml:space="preserve">, A.O., </w:t>
      </w:r>
      <w:proofErr w:type="spellStart"/>
      <w:r>
        <w:rPr>
          <w:color w:val="222222"/>
          <w:highlight w:val="white"/>
        </w:rPr>
        <w:t>Alabdooli</w:t>
      </w:r>
      <w:proofErr w:type="spellEnd"/>
      <w:r>
        <w:rPr>
          <w:color w:val="222222"/>
          <w:highlight w:val="white"/>
        </w:rPr>
        <w:t xml:space="preserve">, A.A., Arumugam, A., Ramakrishnan, S. and Saad, N., (2025). ‘Exploring the impact of note taking methods on cognitive function among university </w:t>
      </w:r>
      <w:proofErr w:type="gramStart"/>
      <w:r>
        <w:rPr>
          <w:color w:val="222222"/>
          <w:highlight w:val="white"/>
        </w:rPr>
        <w:t>students’</w:t>
      </w:r>
      <w:proofErr w:type="gramEnd"/>
      <w:r>
        <w:rPr>
          <w:color w:val="222222"/>
          <w:highlight w:val="white"/>
        </w:rPr>
        <w:t xml:space="preserve">. </w:t>
      </w:r>
      <w:r>
        <w:rPr>
          <w:i/>
          <w:iCs/>
          <w:color w:val="222222"/>
          <w:highlight w:val="white"/>
        </w:rPr>
        <w:t>BMC Medical Education</w:t>
      </w:r>
      <w:r>
        <w:rPr>
          <w:color w:val="222222"/>
          <w:highlight w:val="white"/>
        </w:rPr>
        <w:t xml:space="preserve">, </w:t>
      </w:r>
      <w:r>
        <w:rPr>
          <w:i/>
          <w:iCs/>
          <w:color w:val="222222"/>
          <w:highlight w:val="white"/>
        </w:rPr>
        <w:t>25</w:t>
      </w:r>
      <w:r>
        <w:rPr>
          <w:color w:val="222222"/>
          <w:highlight w:val="white"/>
        </w:rPr>
        <w:t>(1), p.1218.</w:t>
      </w:r>
    </w:p>
    <w:p w14:paraId="52C4A7A8" w14:textId="77777777" w:rsidR="00192AA2" w:rsidRDefault="00192AA2">
      <w:pPr>
        <w:spacing w:before="200"/>
      </w:pPr>
      <w:proofErr w:type="spellStart"/>
      <w:r>
        <w:t>Apridayani</w:t>
      </w:r>
      <w:proofErr w:type="spellEnd"/>
      <w:r>
        <w:t xml:space="preserve">, A., Kamaruddin, A. and </w:t>
      </w:r>
      <w:proofErr w:type="spellStart"/>
      <w:r>
        <w:t>Sukkaew</w:t>
      </w:r>
      <w:proofErr w:type="spellEnd"/>
      <w:r>
        <w:t xml:space="preserve">, N. (2024). ‘Challenges and Issues in English Presentation Through Synchronous Online Conference Platforms in Higher Education.’ </w:t>
      </w:r>
      <w:r>
        <w:rPr>
          <w:i/>
          <w:iCs/>
        </w:rPr>
        <w:t>Human Behavior and Emerging Technologies</w:t>
      </w:r>
      <w:r>
        <w:t>, 2024(1).</w:t>
      </w:r>
    </w:p>
    <w:p w14:paraId="5D60A92D" w14:textId="77777777" w:rsidR="00192AA2" w:rsidRDefault="00192AA2">
      <w:pPr>
        <w:spacing w:before="200"/>
      </w:pPr>
      <w:r>
        <w:t xml:space="preserve">Aranda, L., Mena-Rodríguez, E. and Rubio, L. (2022). ‘Basic Skills in Higher Education: An Analysis of Attributed Importance’. </w:t>
      </w:r>
      <w:r>
        <w:rPr>
          <w:i/>
          <w:iCs/>
        </w:rPr>
        <w:t>Frontiers in Psychology</w:t>
      </w:r>
      <w:r>
        <w:t xml:space="preserve">, 13. </w:t>
      </w:r>
    </w:p>
    <w:p w14:paraId="604718AF" w14:textId="77777777" w:rsidR="00192AA2" w:rsidRDefault="00192AA2">
      <w:pPr>
        <w:spacing w:before="200"/>
      </w:pPr>
      <w:r>
        <w:t xml:space="preserve">Cohen, S. (2015). </w:t>
      </w:r>
      <w:r>
        <w:rPr>
          <w:i/>
          <w:iCs/>
        </w:rPr>
        <w:t>Make Your Speech All about the Audience</w:t>
      </w:r>
      <w:r>
        <w:t xml:space="preserve">. [online] Professional Development | Harvard DCE. Available at: </w:t>
      </w:r>
      <w:hyperlink r:id="rId7">
        <w:r>
          <w:rPr>
            <w:color w:val="1155CC"/>
            <w:u w:val="single"/>
          </w:rPr>
          <w:t>https://professional.dce.harvard.edu/blog/make-your-speech-all-about-the-audience/</w:t>
        </w:r>
      </w:hyperlink>
      <w:r>
        <w:t xml:space="preserve"> [Accessed 4 May 2026].</w:t>
      </w:r>
    </w:p>
    <w:p w14:paraId="228ADCA6" w14:textId="77777777" w:rsidR="00192AA2" w:rsidRDefault="00192AA2">
      <w:pPr>
        <w:spacing w:before="200"/>
      </w:pPr>
      <w:r>
        <w:t xml:space="preserve">Dahmani, N., Ali, W., </w:t>
      </w:r>
      <w:proofErr w:type="spellStart"/>
      <w:r>
        <w:t>Aboelenein</w:t>
      </w:r>
      <w:proofErr w:type="spellEnd"/>
      <w:r>
        <w:t xml:space="preserve">, M., Mohammad and Faizi, M. (2024). ‘From classroom interaction to academic success: tracing the mediating role of effective communication in faculty-student </w:t>
      </w:r>
      <w:proofErr w:type="gramStart"/>
      <w:r>
        <w:t>dynamics’</w:t>
      </w:r>
      <w:proofErr w:type="gramEnd"/>
      <w:r>
        <w:t xml:space="preserve">. </w:t>
      </w:r>
      <w:r>
        <w:rPr>
          <w:i/>
          <w:iCs/>
        </w:rPr>
        <w:t>Cogent education</w:t>
      </w:r>
      <w:r>
        <w:t xml:space="preserve">, 11(1). </w:t>
      </w:r>
    </w:p>
    <w:p w14:paraId="443F956F" w14:textId="77777777" w:rsidR="00192AA2" w:rsidRDefault="00192AA2">
      <w:pPr>
        <w:spacing w:before="200"/>
      </w:pPr>
      <w:proofErr w:type="spellStart"/>
      <w:r>
        <w:rPr>
          <w:color w:val="222222"/>
          <w:highlight w:val="white"/>
        </w:rPr>
        <w:t>Harefa</w:t>
      </w:r>
      <w:proofErr w:type="spellEnd"/>
      <w:r>
        <w:rPr>
          <w:color w:val="222222"/>
          <w:highlight w:val="white"/>
        </w:rPr>
        <w:t xml:space="preserve">, W.A., </w:t>
      </w:r>
      <w:proofErr w:type="spellStart"/>
      <w:r>
        <w:rPr>
          <w:color w:val="222222"/>
          <w:highlight w:val="white"/>
        </w:rPr>
        <w:t>Telaumbanua</w:t>
      </w:r>
      <w:proofErr w:type="spellEnd"/>
      <w:r>
        <w:rPr>
          <w:color w:val="222222"/>
          <w:highlight w:val="white"/>
        </w:rPr>
        <w:t xml:space="preserve">, S.H., </w:t>
      </w:r>
      <w:proofErr w:type="spellStart"/>
      <w:r>
        <w:rPr>
          <w:color w:val="222222"/>
          <w:highlight w:val="white"/>
        </w:rPr>
        <w:t>Laoli</w:t>
      </w:r>
      <w:proofErr w:type="spellEnd"/>
      <w:r>
        <w:rPr>
          <w:color w:val="222222"/>
          <w:highlight w:val="white"/>
        </w:rPr>
        <w:t xml:space="preserve">, J., </w:t>
      </w:r>
      <w:proofErr w:type="spellStart"/>
      <w:r>
        <w:rPr>
          <w:color w:val="222222"/>
          <w:highlight w:val="white"/>
        </w:rPr>
        <w:t>Harefa</w:t>
      </w:r>
      <w:proofErr w:type="spellEnd"/>
      <w:r>
        <w:rPr>
          <w:color w:val="222222"/>
          <w:highlight w:val="white"/>
        </w:rPr>
        <w:t xml:space="preserve">, S.T.H., </w:t>
      </w:r>
      <w:proofErr w:type="spellStart"/>
      <w:r>
        <w:rPr>
          <w:color w:val="222222"/>
          <w:highlight w:val="white"/>
        </w:rPr>
        <w:t>Harefa</w:t>
      </w:r>
      <w:proofErr w:type="spellEnd"/>
      <w:r>
        <w:rPr>
          <w:color w:val="222222"/>
          <w:highlight w:val="white"/>
        </w:rPr>
        <w:t xml:space="preserve">, N., </w:t>
      </w:r>
      <w:proofErr w:type="spellStart"/>
      <w:r>
        <w:rPr>
          <w:color w:val="222222"/>
          <w:highlight w:val="white"/>
        </w:rPr>
        <w:t>Zendrato</w:t>
      </w:r>
      <w:proofErr w:type="spellEnd"/>
      <w:r>
        <w:rPr>
          <w:color w:val="222222"/>
          <w:highlight w:val="white"/>
        </w:rPr>
        <w:t xml:space="preserve">, A.F. and </w:t>
      </w:r>
      <w:proofErr w:type="spellStart"/>
      <w:r>
        <w:rPr>
          <w:color w:val="222222"/>
          <w:highlight w:val="white"/>
        </w:rPr>
        <w:t>Waruwu</w:t>
      </w:r>
      <w:proofErr w:type="spellEnd"/>
      <w:r>
        <w:rPr>
          <w:color w:val="222222"/>
          <w:highlight w:val="white"/>
        </w:rPr>
        <w:t xml:space="preserve">, Y., (2025). ‘Modeling Effective Presentation Communication Skills </w:t>
      </w:r>
      <w:proofErr w:type="gramStart"/>
      <w:r>
        <w:rPr>
          <w:color w:val="222222"/>
          <w:highlight w:val="white"/>
        </w:rPr>
        <w:t>For</w:t>
      </w:r>
      <w:proofErr w:type="gramEnd"/>
      <w:r>
        <w:rPr>
          <w:color w:val="222222"/>
          <w:highlight w:val="white"/>
        </w:rPr>
        <w:t xml:space="preserve"> English Education Students’. </w:t>
      </w:r>
      <w:r>
        <w:rPr>
          <w:i/>
          <w:iCs/>
          <w:color w:val="222222"/>
          <w:highlight w:val="white"/>
        </w:rPr>
        <w:t xml:space="preserve">Pendas: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Ilmiah</w:t>
      </w:r>
      <w:proofErr w:type="spellEnd"/>
      <w:r>
        <w:rPr>
          <w:i/>
          <w:iCs/>
          <w:color w:val="222222"/>
          <w:highlight w:val="white"/>
        </w:rPr>
        <w:t xml:space="preserve"> Pendidikan Dasar</w:t>
      </w:r>
      <w:r>
        <w:rPr>
          <w:color w:val="222222"/>
          <w:highlight w:val="white"/>
        </w:rPr>
        <w:t xml:space="preserve">, </w:t>
      </w:r>
      <w:r>
        <w:rPr>
          <w:i/>
          <w:iCs/>
          <w:color w:val="222222"/>
          <w:highlight w:val="white"/>
        </w:rPr>
        <w:t>10</w:t>
      </w:r>
      <w:r>
        <w:rPr>
          <w:color w:val="222222"/>
          <w:highlight w:val="white"/>
        </w:rPr>
        <w:t>(01), pp.331-342.</w:t>
      </w:r>
    </w:p>
    <w:p w14:paraId="5654A7F4" w14:textId="77777777" w:rsidR="00192AA2" w:rsidRDefault="00192AA2">
      <w:pPr>
        <w:spacing w:before="200"/>
        <w:rPr>
          <w:color w:val="222222"/>
          <w:highlight w:val="white"/>
        </w:rPr>
      </w:pPr>
      <w:proofErr w:type="spellStart"/>
      <w:r>
        <w:rPr>
          <w:color w:val="222222"/>
          <w:highlight w:val="white"/>
        </w:rPr>
        <w:t>Kitjaroonchai</w:t>
      </w:r>
      <w:proofErr w:type="spellEnd"/>
      <w:r>
        <w:rPr>
          <w:color w:val="222222"/>
          <w:highlight w:val="white"/>
        </w:rPr>
        <w:t xml:space="preserve">, N., Marshall, P., </w:t>
      </w:r>
      <w:proofErr w:type="spellStart"/>
      <w:r>
        <w:rPr>
          <w:color w:val="222222"/>
          <w:highlight w:val="white"/>
        </w:rPr>
        <w:t>Phasook</w:t>
      </w:r>
      <w:proofErr w:type="spellEnd"/>
      <w:r>
        <w:rPr>
          <w:color w:val="222222"/>
          <w:highlight w:val="white"/>
        </w:rPr>
        <w:t xml:space="preserve">, J. and </w:t>
      </w:r>
      <w:proofErr w:type="spellStart"/>
      <w:r>
        <w:rPr>
          <w:color w:val="222222"/>
          <w:highlight w:val="white"/>
        </w:rPr>
        <w:t>Thararuenroeng</w:t>
      </w:r>
      <w:proofErr w:type="spellEnd"/>
      <w:r>
        <w:rPr>
          <w:color w:val="222222"/>
          <w:highlight w:val="white"/>
        </w:rPr>
        <w:t xml:space="preserve">, N., (2025). ‘University students’ perceptions on Note-Taking and its impact on academic performance’. </w:t>
      </w:r>
      <w:r>
        <w:rPr>
          <w:i/>
          <w:iCs/>
          <w:color w:val="222222"/>
          <w:highlight w:val="white"/>
        </w:rPr>
        <w:t>JET (Journal of English Teaching)</w:t>
      </w:r>
      <w:r>
        <w:rPr>
          <w:color w:val="222222"/>
          <w:highlight w:val="white"/>
        </w:rPr>
        <w:t xml:space="preserve">, </w:t>
      </w:r>
      <w:r>
        <w:rPr>
          <w:i/>
          <w:iCs/>
          <w:color w:val="222222"/>
          <w:highlight w:val="white"/>
        </w:rPr>
        <w:t>11</w:t>
      </w:r>
      <w:r>
        <w:rPr>
          <w:color w:val="222222"/>
          <w:highlight w:val="white"/>
        </w:rPr>
        <w:t>(1), pp.1-19.</w:t>
      </w:r>
    </w:p>
    <w:p w14:paraId="08BC134F" w14:textId="77777777" w:rsidR="00192AA2" w:rsidRDefault="00192AA2">
      <w:pPr>
        <w:spacing w:before="200"/>
      </w:pPr>
      <w:proofErr w:type="spellStart"/>
      <w:r>
        <w:rPr>
          <w:color w:val="222222"/>
          <w:highlight w:val="white"/>
        </w:rPr>
        <w:lastRenderedPageBreak/>
        <w:t>Prismantikasari</w:t>
      </w:r>
      <w:proofErr w:type="spellEnd"/>
      <w:r>
        <w:rPr>
          <w:color w:val="222222"/>
          <w:highlight w:val="white"/>
        </w:rPr>
        <w:t xml:space="preserve">, A., Huda, T. and </w:t>
      </w:r>
      <w:proofErr w:type="spellStart"/>
      <w:r>
        <w:rPr>
          <w:color w:val="222222"/>
          <w:highlight w:val="white"/>
        </w:rPr>
        <w:t>Mufaridah</w:t>
      </w:r>
      <w:proofErr w:type="spellEnd"/>
      <w:r>
        <w:rPr>
          <w:color w:val="222222"/>
          <w:highlight w:val="white"/>
        </w:rPr>
        <w:t xml:space="preserve">, F., (2025). ‘Enhancing Listening Comprehension </w:t>
      </w:r>
      <w:proofErr w:type="gramStart"/>
      <w:r>
        <w:rPr>
          <w:color w:val="222222"/>
          <w:highlight w:val="white"/>
        </w:rPr>
        <w:t>In</w:t>
      </w:r>
      <w:proofErr w:type="gramEnd"/>
      <w:r>
        <w:rPr>
          <w:color w:val="222222"/>
          <w:highlight w:val="white"/>
        </w:rPr>
        <w:t xml:space="preserve"> Grade XI-D at MAN 2 Jember through Note-Taking Techniques’. </w:t>
      </w:r>
      <w:r>
        <w:rPr>
          <w:i/>
          <w:iCs/>
          <w:color w:val="222222"/>
          <w:highlight w:val="white"/>
        </w:rPr>
        <w:t>Journey: Journal of English Language and Pedagogy</w:t>
      </w:r>
      <w:r>
        <w:rPr>
          <w:color w:val="222222"/>
          <w:highlight w:val="white"/>
        </w:rPr>
        <w:t xml:space="preserve">, </w:t>
      </w:r>
      <w:r>
        <w:rPr>
          <w:i/>
          <w:iCs/>
          <w:color w:val="222222"/>
          <w:highlight w:val="white"/>
        </w:rPr>
        <w:t>8</w:t>
      </w:r>
      <w:r>
        <w:rPr>
          <w:color w:val="222222"/>
          <w:highlight w:val="white"/>
        </w:rPr>
        <w:t>(1), pp.81-87.</w:t>
      </w:r>
    </w:p>
    <w:p w14:paraId="323D851B" w14:textId="77777777" w:rsidR="00192AA2" w:rsidRDefault="00192AA2">
      <w:pPr>
        <w:spacing w:before="200"/>
      </w:pPr>
      <w:r>
        <w:t xml:space="preserve">Putra, O.P. and Kayen, H.S. (2025). ‘Enhancing University Students’ Academic Presentation Skills through Mnemonic-Based Strategies’. </w:t>
      </w:r>
      <w:proofErr w:type="gramStart"/>
      <w:r>
        <w:rPr>
          <w:i/>
          <w:iCs/>
        </w:rPr>
        <w:t>Pedagogy :</w:t>
      </w:r>
      <w:proofErr w:type="gramEnd"/>
      <w:r>
        <w:rPr>
          <w:i/>
          <w:iCs/>
        </w:rPr>
        <w:t xml:space="preserve"> Journal of English Language Teaching</w:t>
      </w:r>
      <w:r>
        <w:t>, 13(1), pp.64–76.</w:t>
      </w:r>
    </w:p>
    <w:p w14:paraId="7D283A9E" w14:textId="77777777" w:rsidR="00192AA2" w:rsidRDefault="00192AA2">
      <w:pPr>
        <w:spacing w:before="200"/>
      </w:pPr>
      <w:r>
        <w:rPr>
          <w:color w:val="222222"/>
          <w:highlight w:val="white"/>
        </w:rPr>
        <w:t xml:space="preserve">Seo, J.Y., (2025). ‘Cornell note-taking strategy instruction for Gen Z: enhancing EFL students’ reading comprehension’. </w:t>
      </w:r>
      <w:r>
        <w:rPr>
          <w:i/>
          <w:iCs/>
          <w:color w:val="222222"/>
          <w:highlight w:val="white"/>
        </w:rPr>
        <w:t>Asian-Pacific Journal of Second and Foreign Language Education</w:t>
      </w:r>
      <w:r>
        <w:rPr>
          <w:color w:val="222222"/>
          <w:highlight w:val="white"/>
        </w:rPr>
        <w:t xml:space="preserve">, </w:t>
      </w:r>
      <w:r>
        <w:rPr>
          <w:i/>
          <w:iCs/>
          <w:color w:val="222222"/>
          <w:highlight w:val="white"/>
        </w:rPr>
        <w:t>10</w:t>
      </w:r>
      <w:r>
        <w:rPr>
          <w:color w:val="222222"/>
          <w:highlight w:val="white"/>
        </w:rPr>
        <w:t>(1), p.40.</w:t>
      </w:r>
    </w:p>
    <w:p w14:paraId="0B5DA920" w14:textId="77777777" w:rsidR="00192AA2" w:rsidRDefault="00192AA2">
      <w:pPr>
        <w:spacing w:before="200"/>
      </w:pPr>
      <w:r>
        <w:t xml:space="preserve">Strang, K.D. (2022). ‘How effective is business education in the workplace: structural equation model of soft and hard skill </w:t>
      </w:r>
      <w:proofErr w:type="gramStart"/>
      <w:r>
        <w:t>competencies’</w:t>
      </w:r>
      <w:proofErr w:type="gramEnd"/>
      <w:r>
        <w:t xml:space="preserve">. </w:t>
      </w:r>
      <w:r>
        <w:rPr>
          <w:i/>
          <w:iCs/>
        </w:rPr>
        <w:t>SN Business &amp; Economics</w:t>
      </w:r>
      <w:r>
        <w:t>, 3(1).</w:t>
      </w:r>
    </w:p>
    <w:p w14:paraId="232DEF7E" w14:textId="77777777" w:rsidR="00192AA2" w:rsidRDefault="00192AA2">
      <w:pPr>
        <w:spacing w:before="200"/>
      </w:pPr>
      <w:r>
        <w:t xml:space="preserve">Sumaiya, B., Srivastava, S., Jain, V. and Prakash, V. (2022). ‘The Role of Effective Communication Skills in Professional Life’. </w:t>
      </w:r>
      <w:r>
        <w:rPr>
          <w:i/>
          <w:iCs/>
        </w:rPr>
        <w:t>World Journal of English Language</w:t>
      </w:r>
      <w:r>
        <w:t xml:space="preserve">, 12(3), p.134. </w:t>
      </w:r>
    </w:p>
    <w:p w14:paraId="34497776" w14:textId="77777777" w:rsidR="00192AA2" w:rsidRDefault="00192AA2">
      <w:pPr>
        <w:spacing w:before="200"/>
      </w:pPr>
      <w:r>
        <w:t xml:space="preserve">Vogel, W.H. and Viale, P.H. (2018). ‘Presenting With Confidence’. </w:t>
      </w:r>
      <w:r>
        <w:rPr>
          <w:i/>
          <w:iCs/>
        </w:rPr>
        <w:t>Journal of the Advanced Practitioner in Oncology</w:t>
      </w:r>
      <w:r>
        <w:t xml:space="preserve">, 9(5), p.545. </w:t>
      </w:r>
    </w:p>
    <w:p w14:paraId="0178B6AC" w14:textId="77777777" w:rsidR="00192AA2" w:rsidRDefault="00192AA2">
      <w:pPr>
        <w:spacing w:before="200"/>
      </w:pPr>
      <w:proofErr w:type="spellStart"/>
      <w:r>
        <w:t>Zamiri</w:t>
      </w:r>
      <w:proofErr w:type="spellEnd"/>
      <w:r>
        <w:t xml:space="preserve">, M. and Esmaeili, A. (2024). ‘Strategies, methods, and supports for developing skills within learning communities: A systematic review of the literature’ </w:t>
      </w:r>
      <w:r>
        <w:rPr>
          <w:i/>
          <w:iCs/>
        </w:rPr>
        <w:t>Administrative Sciences</w:t>
      </w:r>
      <w:r>
        <w:t>, 14(9), pp.1–33.</w:t>
      </w:r>
    </w:p>
    <w:p w14:paraId="0F049EEF" w14:textId="77777777" w:rsidR="00192AA2" w:rsidRDefault="00192AA2">
      <w:pPr>
        <w:spacing w:before="200"/>
        <w:rPr>
          <w:color w:val="222222"/>
          <w:highlight w:val="white"/>
        </w:rPr>
      </w:pPr>
      <w:proofErr w:type="spellStart"/>
      <w:r>
        <w:rPr>
          <w:color w:val="222222"/>
          <w:highlight w:val="white"/>
        </w:rPr>
        <w:t>Волох</w:t>
      </w:r>
      <w:proofErr w:type="spellEnd"/>
      <w:r>
        <w:rPr>
          <w:color w:val="222222"/>
          <w:highlight w:val="white"/>
        </w:rPr>
        <w:t xml:space="preserve">, Д.С., (2025). ‘AN EFFECTIVE MANAGEMENT PRACTICE: PUBLIC NOTE-TAKING IN VIRTUAL TEAM COLLABORATION’. </w:t>
      </w:r>
      <w:proofErr w:type="spellStart"/>
      <w:r>
        <w:rPr>
          <w:i/>
          <w:iCs/>
          <w:color w:val="222222"/>
          <w:highlight w:val="white"/>
        </w:rPr>
        <w:t>Управління</w:t>
      </w:r>
      <w:proofErr w:type="spellEnd"/>
      <w:r>
        <w:rPr>
          <w:i/>
          <w:iCs/>
          <w:color w:val="222222"/>
          <w:highlight w:val="white"/>
        </w:rPr>
        <w:t xml:space="preserve"> </w:t>
      </w:r>
      <w:proofErr w:type="spellStart"/>
      <w:r>
        <w:rPr>
          <w:i/>
          <w:iCs/>
          <w:color w:val="222222"/>
          <w:highlight w:val="white"/>
        </w:rPr>
        <w:t>змінами</w:t>
      </w:r>
      <w:proofErr w:type="spellEnd"/>
      <w:r>
        <w:rPr>
          <w:i/>
          <w:iCs/>
          <w:color w:val="222222"/>
          <w:highlight w:val="white"/>
        </w:rPr>
        <w:t xml:space="preserve"> </w:t>
      </w:r>
      <w:proofErr w:type="spellStart"/>
      <w:r>
        <w:rPr>
          <w:i/>
          <w:iCs/>
          <w:color w:val="222222"/>
          <w:highlight w:val="white"/>
        </w:rPr>
        <w:t>та</w:t>
      </w:r>
      <w:proofErr w:type="spellEnd"/>
      <w:r>
        <w:rPr>
          <w:i/>
          <w:iCs/>
          <w:color w:val="222222"/>
          <w:highlight w:val="white"/>
        </w:rPr>
        <w:t xml:space="preserve"> </w:t>
      </w:r>
      <w:proofErr w:type="spellStart"/>
      <w:r>
        <w:rPr>
          <w:i/>
          <w:iCs/>
          <w:color w:val="222222"/>
          <w:highlight w:val="white"/>
        </w:rPr>
        <w:t>інновації</w:t>
      </w:r>
      <w:proofErr w:type="spellEnd"/>
      <w:r>
        <w:rPr>
          <w:color w:val="222222"/>
          <w:highlight w:val="white"/>
        </w:rPr>
        <w:t>, (14), pp.141-144.</w:t>
      </w:r>
    </w:p>
    <w:sectPr w:rsidR="00192AA2">
      <w:footerReference w:type="defaul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1C6F7" w14:textId="77777777" w:rsidR="00001CFE" w:rsidRDefault="00001CFE">
      <w:pPr>
        <w:spacing w:line="240" w:lineRule="auto"/>
      </w:pPr>
      <w:r>
        <w:separator/>
      </w:r>
    </w:p>
  </w:endnote>
  <w:endnote w:type="continuationSeparator" w:id="0">
    <w:p w14:paraId="22795DF1" w14:textId="77777777" w:rsidR="00001CFE" w:rsidRDefault="00001C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5332F036-E49C-9945-A153-B43F836707AE}"/>
    <w:embedBold r:id="rId2" w:fontKey="{32104A49-9180-AE4D-945A-E20894C19CFF}"/>
    <w:embedItalic r:id="rId3" w:fontKey="{94243B90-F46A-B946-8D45-7110EFECE830}"/>
    <w:embedBoldItalic r:id="rId4" w:fontKey="{FB094AA7-AA50-6E41-A266-5810152C71B7}"/>
  </w:font>
  <w:font w:name="Times New Roman">
    <w:panose1 w:val="02020603050405020304"/>
    <w:charset w:val="00"/>
    <w:family w:val="roman"/>
    <w:pitch w:val="variable"/>
    <w:sig w:usb0="E0002EFF" w:usb1="C000785B" w:usb2="00000009" w:usb3="00000000" w:csb0="000001FF" w:csb1="00000000"/>
    <w:embedRegular r:id="rId5" w:fontKey="{19E053B4-F9EA-E247-B51D-C3B9D172B7D7}"/>
  </w:font>
  <w:font w:name="Calibri">
    <w:panose1 w:val="020F0502020204030204"/>
    <w:charset w:val="00"/>
    <w:family w:val="swiss"/>
    <w:pitch w:val="variable"/>
    <w:sig w:usb0="E4002EFF" w:usb1="C200247B" w:usb2="00000009" w:usb3="00000000" w:csb0="000001FF" w:csb1="00000000"/>
    <w:embedRegular r:id="rId6" w:fontKey="{4EE378DA-B830-0E45-874B-715F342079FA}"/>
  </w:font>
  <w:font w:name="Vrinda">
    <w:panose1 w:val="020B0502040204020203"/>
    <w:charset w:val="00"/>
    <w:family w:val="swiss"/>
    <w:pitch w:val="variable"/>
    <w:sig w:usb0="00010003" w:usb1="00000000" w:usb2="00000000" w:usb3="00000000" w:csb0="00000001" w:csb1="00000000"/>
    <w:embedRegular r:id="rId7" w:fontKey="{E5C320B9-687A-FA4B-BF2E-35A2E06C4AD9}"/>
  </w:font>
  <w:font w:name="Cambria">
    <w:panose1 w:val="02040503050406030204"/>
    <w:charset w:val="00"/>
    <w:family w:val="roman"/>
    <w:pitch w:val="variable"/>
    <w:sig w:usb0="E00006FF" w:usb1="420024FF" w:usb2="02000000" w:usb3="00000000" w:csb0="0000019F" w:csb1="00000000"/>
    <w:embedRegular r:id="rId8" w:fontKey="{740A8011-D7A4-184C-8EF3-C717E68786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3EFE9" w14:textId="77777777" w:rsidR="00E56F49" w:rsidRDefault="00000000">
    <w:pPr>
      <w:jc w:val="right"/>
    </w:pPr>
    <w:r>
      <w:fldChar w:fldCharType="begin"/>
    </w:r>
    <w:r>
      <w:instrText>PAGE</w:instrText>
    </w:r>
    <w:r>
      <w:fldChar w:fldCharType="separate"/>
    </w:r>
    <w:r w:rsidR="00192AA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93C1" w14:textId="77777777" w:rsidR="00E56F49" w:rsidRDefault="00E56F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EED4B" w14:textId="77777777" w:rsidR="00001CFE" w:rsidRDefault="00001CFE">
      <w:pPr>
        <w:spacing w:line="240" w:lineRule="auto"/>
      </w:pPr>
      <w:r>
        <w:separator/>
      </w:r>
    </w:p>
  </w:footnote>
  <w:footnote w:type="continuationSeparator" w:id="0">
    <w:p w14:paraId="213B5381" w14:textId="77777777" w:rsidR="00001CFE" w:rsidRDefault="00001CF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F49"/>
    <w:rsid w:val="00001CFE"/>
    <w:rsid w:val="00192AA2"/>
    <w:rsid w:val="00607C86"/>
    <w:rsid w:val="008D7B54"/>
    <w:rsid w:val="00AC429D"/>
    <w:rsid w:val="00E56F49"/>
    <w:rsid w:val="00E7612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24DC"/>
  <w15:docId w15:val="{3FA82BB8-9135-4269-AD1A-2C79CDFE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rofessional.dce.harvard.edu/blog/make-your-speech-all-about-the-audi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2830</Words>
  <Characters>16132</Characters>
  <Application>Microsoft Office Word</Application>
  <DocSecurity>0</DocSecurity>
  <Lines>134</Lines>
  <Paragraphs>37</Paragraphs>
  <ScaleCrop>false</ScaleCrop>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Ilie</cp:lastModifiedBy>
  <cp:revision>2</cp:revision>
  <dcterms:created xsi:type="dcterms:W3CDTF">2026-05-04T10:57:00Z</dcterms:created>
  <dcterms:modified xsi:type="dcterms:W3CDTF">2026-05-04T23:57:00Z</dcterms:modified>
</cp:coreProperties>
</file>