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5EBE" w:rsidRPr="00B50D1A" w:rsidRDefault="00F75EBE" w:rsidP="00F75EBE">
      <w:pPr>
        <w:jc w:val="center"/>
        <w:rPr>
          <w:b/>
          <w:bCs/>
          <w:sz w:val="32"/>
          <w:szCs w:val="32"/>
        </w:rPr>
      </w:pPr>
    </w:p>
    <w:p w:rsidR="00F75EBE" w:rsidRPr="000C6EF2" w:rsidRDefault="00F75EBE" w:rsidP="00F75EBE">
      <w:pPr>
        <w:rPr>
          <w:b/>
          <w:bCs/>
          <w:sz w:val="44"/>
          <w:szCs w:val="44"/>
        </w:rPr>
      </w:pPr>
      <w:r w:rsidRPr="000C6EF2">
        <w:rPr>
          <w:b/>
          <w:bCs/>
          <w:sz w:val="44"/>
          <w:szCs w:val="44"/>
        </w:rPr>
        <w:t xml:space="preserve">Case Study 2 Analysis Report </w:t>
      </w:r>
    </w:p>
    <w:p w:rsidR="00F75EBE" w:rsidRDefault="00F75EBE" w:rsidP="00F75EBE">
      <w:pPr>
        <w:pStyle w:val="normal0"/>
        <w:spacing w:before="120" w:after="120" w:line="480" w:lineRule="auto"/>
        <w:rPr>
          <w:b/>
          <w:bCs/>
          <w:sz w:val="32"/>
          <w:szCs w:val="32"/>
          <w:lang w:val="en-GB"/>
        </w:rPr>
      </w:pPr>
    </w:p>
    <w:p w:rsidR="00F75EBE" w:rsidRDefault="00F75EBE" w:rsidP="00F75EBE">
      <w:pPr>
        <w:pStyle w:val="normal0"/>
        <w:spacing w:before="120" w:after="120" w:line="480" w:lineRule="auto"/>
        <w:rPr>
          <w:rFonts w:ascii="Arial" w:eastAsia="Arial" w:hAnsi="Arial" w:cs="Arial"/>
          <w:b/>
          <w:bCs/>
          <w:sz w:val="28"/>
          <w:szCs w:val="28"/>
        </w:rPr>
      </w:pPr>
      <w:r w:rsidRPr="000C6EF2">
        <w:rPr>
          <w:rFonts w:ascii="Arial" w:eastAsia="Arial" w:hAnsi="Arial" w:cs="Arial"/>
          <w:b/>
          <w:bCs/>
          <w:sz w:val="28"/>
          <w:szCs w:val="28"/>
        </w:rPr>
        <w:t>Programme</w:t>
      </w:r>
      <w:r>
        <w:rPr>
          <w:rFonts w:ascii="Arial" w:eastAsia="Arial" w:hAnsi="Arial" w:cs="Arial"/>
          <w:b/>
          <w:bCs/>
          <w:sz w:val="28"/>
          <w:szCs w:val="28"/>
        </w:rPr>
        <w:t xml:space="preserve">: </w:t>
      </w:r>
      <w:r w:rsidRPr="000C6EF2">
        <w:rPr>
          <w:rFonts w:ascii="Arial" w:eastAsia="Arial" w:hAnsi="Arial" w:cs="Arial"/>
          <w:bCs/>
          <w:sz w:val="28"/>
          <w:szCs w:val="28"/>
        </w:rPr>
        <w:t>MSc Public Health and Social Care in Practice</w:t>
      </w:r>
    </w:p>
    <w:p w:rsidR="00F75EBE" w:rsidRDefault="00F75EBE" w:rsidP="00F75EBE">
      <w:pPr>
        <w:pStyle w:val="normal0"/>
        <w:spacing w:before="120" w:after="120" w:line="480" w:lineRule="auto"/>
        <w:rPr>
          <w:rFonts w:ascii="Arial" w:eastAsia="Arial" w:hAnsi="Arial" w:cs="Arial"/>
          <w:b/>
          <w:bCs/>
          <w:sz w:val="28"/>
          <w:szCs w:val="28"/>
        </w:rPr>
      </w:pPr>
      <w:r>
        <w:rPr>
          <w:rFonts w:ascii="Arial" w:eastAsia="Arial" w:hAnsi="Arial" w:cs="Arial"/>
          <w:b/>
          <w:bCs/>
          <w:sz w:val="28"/>
          <w:szCs w:val="28"/>
        </w:rPr>
        <w:t xml:space="preserve">Module: </w:t>
      </w:r>
      <w:r w:rsidRPr="000C6EF2">
        <w:rPr>
          <w:rFonts w:ascii="Arial" w:eastAsia="Arial" w:hAnsi="Arial" w:cs="Arial"/>
          <w:bCs/>
          <w:sz w:val="28"/>
          <w:szCs w:val="28"/>
        </w:rPr>
        <w:t>Health Care System Organisation and Leadership</w:t>
      </w:r>
    </w:p>
    <w:p w:rsidR="00F75EBE" w:rsidRDefault="00F75EBE" w:rsidP="00F75EBE">
      <w:pPr>
        <w:pStyle w:val="normal0"/>
        <w:spacing w:before="120" w:after="120" w:line="480" w:lineRule="auto"/>
        <w:rPr>
          <w:rFonts w:ascii="Arial" w:eastAsia="Arial" w:hAnsi="Arial" w:cs="Arial"/>
          <w:bCs/>
          <w:sz w:val="28"/>
          <w:szCs w:val="28"/>
        </w:rPr>
      </w:pPr>
      <w:r>
        <w:rPr>
          <w:rFonts w:ascii="Arial" w:eastAsia="Arial" w:hAnsi="Arial" w:cs="Arial"/>
          <w:b/>
          <w:bCs/>
          <w:sz w:val="28"/>
          <w:szCs w:val="28"/>
        </w:rPr>
        <w:t xml:space="preserve">Module Code: </w:t>
      </w:r>
      <w:r w:rsidRPr="000C6EF2">
        <w:rPr>
          <w:rFonts w:ascii="Arial" w:eastAsia="Arial" w:hAnsi="Arial" w:cs="Arial"/>
          <w:bCs/>
          <w:sz w:val="28"/>
          <w:szCs w:val="28"/>
        </w:rPr>
        <w:t>LCHS7002</w:t>
      </w:r>
    </w:p>
    <w:p w:rsidR="00F75EBE" w:rsidRDefault="00F75EBE" w:rsidP="00F75EBE">
      <w:pPr>
        <w:pStyle w:val="normal0"/>
        <w:spacing w:before="120" w:after="120" w:line="480" w:lineRule="auto"/>
        <w:rPr>
          <w:rFonts w:ascii="Arial" w:eastAsia="Arial" w:hAnsi="Arial" w:cs="Arial"/>
          <w:bCs/>
          <w:sz w:val="28"/>
          <w:szCs w:val="28"/>
        </w:rPr>
      </w:pPr>
      <w:r>
        <w:rPr>
          <w:rFonts w:ascii="Arial" w:eastAsia="Arial" w:hAnsi="Arial" w:cs="Arial"/>
          <w:b/>
          <w:bCs/>
          <w:sz w:val="28"/>
          <w:szCs w:val="28"/>
        </w:rPr>
        <w:t xml:space="preserve">Assignment Title: </w:t>
      </w:r>
      <w:r w:rsidRPr="000C6EF2">
        <w:rPr>
          <w:rFonts w:ascii="Arial" w:eastAsia="Arial" w:hAnsi="Arial" w:cs="Arial"/>
          <w:bCs/>
          <w:sz w:val="28"/>
          <w:szCs w:val="28"/>
        </w:rPr>
        <w:t>Case Study Analysis Report</w:t>
      </w:r>
    </w:p>
    <w:p w:rsidR="00F75EBE" w:rsidRDefault="00F75EBE" w:rsidP="00F75EBE">
      <w:pPr>
        <w:pStyle w:val="normal0"/>
        <w:spacing w:before="120" w:after="120" w:line="480" w:lineRule="auto"/>
        <w:rPr>
          <w:rFonts w:ascii="Arial" w:eastAsia="Arial" w:hAnsi="Arial" w:cs="Arial"/>
          <w:bCs/>
          <w:i/>
          <w:iCs/>
          <w:sz w:val="28"/>
          <w:szCs w:val="28"/>
        </w:rPr>
      </w:pPr>
      <w:r w:rsidRPr="007C5F54">
        <w:rPr>
          <w:rFonts w:ascii="Arial" w:eastAsia="Arial" w:hAnsi="Arial" w:cs="Arial"/>
          <w:b/>
          <w:bCs/>
          <w:i/>
          <w:iCs/>
          <w:sz w:val="28"/>
          <w:szCs w:val="28"/>
        </w:rPr>
        <w:t>Lecturer:</w:t>
      </w:r>
      <w:r>
        <w:rPr>
          <w:rFonts w:ascii="Arial" w:eastAsia="Arial" w:hAnsi="Arial" w:cs="Arial"/>
          <w:b/>
          <w:bCs/>
          <w:i/>
          <w:iCs/>
          <w:sz w:val="28"/>
          <w:szCs w:val="28"/>
        </w:rPr>
        <w:t xml:space="preserve"> </w:t>
      </w:r>
      <w:r w:rsidRPr="007C5F54">
        <w:rPr>
          <w:rFonts w:ascii="Arial" w:eastAsia="Arial" w:hAnsi="Arial" w:cs="Arial"/>
          <w:bCs/>
          <w:i/>
          <w:iCs/>
          <w:sz w:val="28"/>
          <w:szCs w:val="28"/>
        </w:rPr>
        <w:t>Dr Pascal Navelle</w:t>
      </w:r>
    </w:p>
    <w:p w:rsidR="00F75EBE" w:rsidRDefault="00F75EBE" w:rsidP="00F75EBE">
      <w:pPr>
        <w:pStyle w:val="normal0"/>
        <w:spacing w:before="120" w:after="120" w:line="480" w:lineRule="auto"/>
        <w:rPr>
          <w:rFonts w:ascii="Arial" w:eastAsia="Arial" w:hAnsi="Arial" w:cs="Arial"/>
          <w:b/>
          <w:bCs/>
          <w:i/>
          <w:iCs/>
          <w:sz w:val="28"/>
          <w:szCs w:val="28"/>
        </w:rPr>
      </w:pPr>
      <w:r>
        <w:rPr>
          <w:rFonts w:ascii="Arial" w:eastAsia="Arial" w:hAnsi="Arial" w:cs="Arial"/>
          <w:b/>
          <w:bCs/>
          <w:i/>
          <w:iCs/>
          <w:sz w:val="28"/>
          <w:szCs w:val="28"/>
        </w:rPr>
        <w:t>Student name:  Radhikaben Vijaybhai Savaliya</w:t>
      </w:r>
    </w:p>
    <w:p w:rsidR="00F75EBE" w:rsidRDefault="00F75EBE" w:rsidP="00F75EBE">
      <w:pPr>
        <w:pStyle w:val="normal0"/>
        <w:spacing w:before="120" w:after="120" w:line="480" w:lineRule="auto"/>
        <w:rPr>
          <w:rFonts w:ascii="Arial" w:eastAsia="Arial" w:hAnsi="Arial" w:cs="Arial"/>
          <w:b/>
          <w:bCs/>
          <w:i/>
          <w:iCs/>
          <w:sz w:val="28"/>
          <w:szCs w:val="28"/>
        </w:rPr>
      </w:pPr>
      <w:r>
        <w:rPr>
          <w:rFonts w:ascii="Arial" w:eastAsia="Arial" w:hAnsi="Arial" w:cs="Arial"/>
          <w:b/>
          <w:bCs/>
          <w:i/>
          <w:iCs/>
          <w:sz w:val="28"/>
          <w:szCs w:val="28"/>
        </w:rPr>
        <w:t>Student id: 2531274</w:t>
      </w:r>
    </w:p>
    <w:p w:rsidR="00F75EBE" w:rsidRDefault="00F75EBE" w:rsidP="00F75EBE">
      <w:pPr>
        <w:pStyle w:val="normal0"/>
        <w:spacing w:before="120" w:after="120" w:line="480" w:lineRule="auto"/>
        <w:jc w:val="center"/>
        <w:rPr>
          <w:rFonts w:ascii="Arial" w:eastAsia="Arial" w:hAnsi="Arial" w:cs="Arial"/>
          <w:b/>
          <w:bCs/>
          <w:i/>
          <w:iCs/>
          <w:sz w:val="28"/>
          <w:szCs w:val="28"/>
        </w:rPr>
      </w:pPr>
    </w:p>
    <w:p w:rsidR="00F75EBE" w:rsidRPr="000C6EF2" w:rsidRDefault="00F75EBE" w:rsidP="00F75EBE">
      <w:pPr>
        <w:pStyle w:val="normal0"/>
        <w:spacing w:before="120" w:after="120" w:line="480" w:lineRule="auto"/>
        <w:jc w:val="center"/>
        <w:rPr>
          <w:rFonts w:ascii="Arial" w:eastAsia="Arial" w:hAnsi="Arial" w:cs="Arial"/>
          <w:bCs/>
          <w:sz w:val="28"/>
          <w:szCs w:val="28"/>
        </w:rPr>
      </w:pPr>
    </w:p>
    <w:p w:rsidR="00F75EBE" w:rsidRDefault="00F75EBE" w:rsidP="00F75EBE">
      <w:pPr>
        <w:pStyle w:val="normal0"/>
        <w:spacing w:before="120" w:after="120" w:line="480" w:lineRule="auto"/>
        <w:rPr>
          <w:b/>
          <w:bCs/>
          <w:sz w:val="32"/>
          <w:szCs w:val="32"/>
          <w:lang w:val="en-GB"/>
        </w:rPr>
      </w:pPr>
    </w:p>
    <w:p w:rsidR="00F75EBE" w:rsidRPr="00B50D1A" w:rsidRDefault="00F75EBE" w:rsidP="00F75EBE">
      <w:pPr>
        <w:jc w:val="center"/>
        <w:rPr>
          <w:b/>
          <w:bCs/>
          <w:sz w:val="32"/>
          <w:szCs w:val="32"/>
        </w:rPr>
      </w:pPr>
    </w:p>
    <w:p w:rsidR="00F75EBE" w:rsidRPr="00B50D1A" w:rsidRDefault="00F75EBE" w:rsidP="00F75EBE">
      <w:pPr>
        <w:pStyle w:val="Heading1"/>
      </w:pPr>
      <w:bookmarkStart w:id="0" w:name="_kx3df2q3tuhc" w:colFirst="0" w:colLast="0"/>
      <w:bookmarkEnd w:id="0"/>
      <w:r w:rsidRPr="00B50D1A">
        <w:br w:type="page"/>
      </w:r>
    </w:p>
    <w:bookmarkStart w:id="1" w:name="_9zub5bwfnd2x" w:colFirst="0" w:colLast="0" w:displacedByCustomXml="next"/>
    <w:bookmarkEnd w:id="1" w:displacedByCustomXml="next"/>
    <w:sdt>
      <w:sdtPr>
        <w:rPr>
          <w:rFonts w:ascii="Times New Roman" w:eastAsia="Times New Roman" w:hAnsi="Times New Roman" w:cs="Times New Roman"/>
          <w:color w:val="auto"/>
          <w:sz w:val="24"/>
          <w:szCs w:val="24"/>
          <w:lang w:val="en-GB"/>
        </w:rPr>
        <w:id w:val="1417128787"/>
        <w:docPartObj>
          <w:docPartGallery w:val="Table of Contents"/>
          <w:docPartUnique/>
        </w:docPartObj>
      </w:sdtPr>
      <w:sdtEndPr>
        <w:rPr>
          <w:b/>
          <w:bCs/>
          <w:noProof/>
        </w:rPr>
      </w:sdtEndPr>
      <w:sdtContent>
        <w:p w:rsidR="00F75EBE" w:rsidRPr="006035EB" w:rsidRDefault="00F75EBE" w:rsidP="00F75EBE">
          <w:pPr>
            <w:pStyle w:val="TOCHeading"/>
            <w:jc w:val="center"/>
            <w:rPr>
              <w:rFonts w:ascii="Times New Roman" w:hAnsi="Times New Roman" w:cs="Times New Roman"/>
              <w:b/>
              <w:bCs/>
              <w:color w:val="000000" w:themeColor="text1"/>
              <w:sz w:val="28"/>
              <w:szCs w:val="28"/>
            </w:rPr>
          </w:pPr>
          <w:r w:rsidRPr="006035EB">
            <w:rPr>
              <w:rFonts w:ascii="Times New Roman" w:hAnsi="Times New Roman" w:cs="Times New Roman"/>
              <w:b/>
              <w:bCs/>
              <w:color w:val="000000" w:themeColor="text1"/>
              <w:sz w:val="28"/>
              <w:szCs w:val="28"/>
            </w:rPr>
            <w:t>Table of Contents</w:t>
          </w:r>
        </w:p>
        <w:p w:rsidR="00F75EBE" w:rsidRDefault="00F75EBE" w:rsidP="00F75EBE">
          <w:pPr>
            <w:pStyle w:val="TOC1"/>
            <w:tabs>
              <w:tab w:val="right" w:leader="dot" w:pos="9350"/>
            </w:tabs>
            <w:rPr>
              <w:rFonts w:asciiTheme="minorHAnsi" w:eastAsiaTheme="minorEastAsia" w:hAnsiTheme="minorHAnsi" w:cstheme="minorBidi"/>
              <w:noProof/>
              <w:kern w:val="2"/>
              <w:lang w:val="en-US"/>
            </w:rPr>
          </w:pPr>
          <w:r w:rsidRPr="008917EE">
            <w:fldChar w:fldCharType="begin"/>
          </w:r>
          <w:r>
            <w:instrText xml:space="preserve"> TOC \o "1-3" \h \z \u </w:instrText>
          </w:r>
          <w:r w:rsidRPr="008917EE">
            <w:fldChar w:fldCharType="separate"/>
          </w:r>
          <w:hyperlink w:anchor="_Toc237279565" w:history="1">
            <w:r w:rsidRPr="00721EDA">
              <w:rPr>
                <w:rStyle w:val="Hyperlink"/>
                <w:noProof/>
              </w:rPr>
              <w:t>1.0 Introduction</w:t>
            </w:r>
            <w:r>
              <w:rPr>
                <w:noProof/>
                <w:webHidden/>
              </w:rPr>
              <w:tab/>
            </w:r>
            <w:r>
              <w:rPr>
                <w:noProof/>
                <w:webHidden/>
              </w:rPr>
              <w:fldChar w:fldCharType="begin"/>
            </w:r>
            <w:r>
              <w:rPr>
                <w:noProof/>
                <w:webHidden/>
              </w:rPr>
              <w:instrText xml:space="preserve"> PAGEREF _Toc237279565 \h </w:instrText>
            </w:r>
            <w:r>
              <w:rPr>
                <w:noProof/>
                <w:webHidden/>
              </w:rPr>
            </w:r>
            <w:r>
              <w:rPr>
                <w:noProof/>
                <w:webHidden/>
              </w:rPr>
              <w:fldChar w:fldCharType="separate"/>
            </w:r>
            <w:r>
              <w:rPr>
                <w:noProof/>
                <w:webHidden/>
              </w:rPr>
              <w:t>3</w:t>
            </w:r>
            <w:r>
              <w:rPr>
                <w:noProof/>
                <w:webHidden/>
              </w:rPr>
              <w:fldChar w:fldCharType="end"/>
            </w:r>
          </w:hyperlink>
        </w:p>
        <w:p w:rsidR="00F75EBE" w:rsidRDefault="00F75EBE" w:rsidP="00F75EBE">
          <w:pPr>
            <w:pStyle w:val="TOC1"/>
            <w:tabs>
              <w:tab w:val="right" w:leader="dot" w:pos="9350"/>
            </w:tabs>
            <w:rPr>
              <w:rFonts w:asciiTheme="minorHAnsi" w:eastAsiaTheme="minorEastAsia" w:hAnsiTheme="minorHAnsi" w:cstheme="minorBidi"/>
              <w:noProof/>
              <w:kern w:val="2"/>
              <w:lang w:val="en-US"/>
            </w:rPr>
          </w:pPr>
          <w:hyperlink w:anchor="_Toc237279566" w:history="1">
            <w:r w:rsidRPr="00721EDA">
              <w:rPr>
                <w:rStyle w:val="Hyperlink"/>
                <w:noProof/>
              </w:rPr>
              <w:t>2.0 Problem identification and setting the System context</w:t>
            </w:r>
            <w:r>
              <w:rPr>
                <w:noProof/>
                <w:webHidden/>
              </w:rPr>
              <w:tab/>
            </w:r>
            <w:r>
              <w:rPr>
                <w:noProof/>
                <w:webHidden/>
              </w:rPr>
              <w:fldChar w:fldCharType="begin"/>
            </w:r>
            <w:r>
              <w:rPr>
                <w:noProof/>
                <w:webHidden/>
              </w:rPr>
              <w:instrText xml:space="preserve"> PAGEREF _Toc237279566 \h </w:instrText>
            </w:r>
            <w:r>
              <w:rPr>
                <w:noProof/>
                <w:webHidden/>
              </w:rPr>
            </w:r>
            <w:r>
              <w:rPr>
                <w:noProof/>
                <w:webHidden/>
              </w:rPr>
              <w:fldChar w:fldCharType="separate"/>
            </w:r>
            <w:r>
              <w:rPr>
                <w:noProof/>
                <w:webHidden/>
              </w:rPr>
              <w:t>4</w:t>
            </w:r>
            <w:r>
              <w:rPr>
                <w:noProof/>
                <w:webHidden/>
              </w:rPr>
              <w:fldChar w:fldCharType="end"/>
            </w:r>
          </w:hyperlink>
        </w:p>
        <w:p w:rsidR="00F75EBE" w:rsidRDefault="00F75EBE" w:rsidP="00F75EBE">
          <w:pPr>
            <w:pStyle w:val="TOC2"/>
            <w:tabs>
              <w:tab w:val="right" w:leader="dot" w:pos="9350"/>
            </w:tabs>
            <w:rPr>
              <w:rFonts w:asciiTheme="minorHAnsi" w:eastAsiaTheme="minorEastAsia" w:hAnsiTheme="minorHAnsi" w:cstheme="minorBidi"/>
              <w:noProof/>
              <w:kern w:val="2"/>
              <w:lang w:val="en-US"/>
            </w:rPr>
          </w:pPr>
          <w:hyperlink w:anchor="_Toc237279567" w:history="1">
            <w:r w:rsidRPr="00721EDA">
              <w:rPr>
                <w:rStyle w:val="Hyperlink"/>
                <w:noProof/>
              </w:rPr>
              <w:t>2.1 The Patient-Safety Issue and its Importance</w:t>
            </w:r>
            <w:r>
              <w:rPr>
                <w:noProof/>
                <w:webHidden/>
              </w:rPr>
              <w:tab/>
            </w:r>
            <w:r>
              <w:rPr>
                <w:noProof/>
                <w:webHidden/>
              </w:rPr>
              <w:fldChar w:fldCharType="begin"/>
            </w:r>
            <w:r>
              <w:rPr>
                <w:noProof/>
                <w:webHidden/>
              </w:rPr>
              <w:instrText xml:space="preserve"> PAGEREF _Toc237279567 \h </w:instrText>
            </w:r>
            <w:r>
              <w:rPr>
                <w:noProof/>
                <w:webHidden/>
              </w:rPr>
            </w:r>
            <w:r>
              <w:rPr>
                <w:noProof/>
                <w:webHidden/>
              </w:rPr>
              <w:fldChar w:fldCharType="separate"/>
            </w:r>
            <w:r>
              <w:rPr>
                <w:noProof/>
                <w:webHidden/>
              </w:rPr>
              <w:t>4</w:t>
            </w:r>
            <w:r>
              <w:rPr>
                <w:noProof/>
                <w:webHidden/>
              </w:rPr>
              <w:fldChar w:fldCharType="end"/>
            </w:r>
          </w:hyperlink>
        </w:p>
        <w:p w:rsidR="00F75EBE" w:rsidRDefault="00F75EBE" w:rsidP="00F75EBE">
          <w:pPr>
            <w:pStyle w:val="TOC2"/>
            <w:tabs>
              <w:tab w:val="right" w:leader="dot" w:pos="9350"/>
            </w:tabs>
            <w:rPr>
              <w:rFonts w:asciiTheme="minorHAnsi" w:eastAsiaTheme="minorEastAsia" w:hAnsiTheme="minorHAnsi" w:cstheme="minorBidi"/>
              <w:noProof/>
              <w:kern w:val="2"/>
              <w:lang w:val="en-US"/>
            </w:rPr>
          </w:pPr>
          <w:hyperlink w:anchor="_Toc237279568" w:history="1">
            <w:r w:rsidRPr="00721EDA">
              <w:rPr>
                <w:rStyle w:val="Hyperlink"/>
                <w:noProof/>
              </w:rPr>
              <w:t>2.2 Systems-Thinking Analysis</w:t>
            </w:r>
            <w:r>
              <w:rPr>
                <w:noProof/>
                <w:webHidden/>
              </w:rPr>
              <w:tab/>
            </w:r>
            <w:r>
              <w:rPr>
                <w:noProof/>
                <w:webHidden/>
              </w:rPr>
              <w:fldChar w:fldCharType="begin"/>
            </w:r>
            <w:r>
              <w:rPr>
                <w:noProof/>
                <w:webHidden/>
              </w:rPr>
              <w:instrText xml:space="preserve"> PAGEREF _Toc237279568 \h </w:instrText>
            </w:r>
            <w:r>
              <w:rPr>
                <w:noProof/>
                <w:webHidden/>
              </w:rPr>
            </w:r>
            <w:r>
              <w:rPr>
                <w:noProof/>
                <w:webHidden/>
              </w:rPr>
              <w:fldChar w:fldCharType="separate"/>
            </w:r>
            <w:r>
              <w:rPr>
                <w:noProof/>
                <w:webHidden/>
              </w:rPr>
              <w:t>5</w:t>
            </w:r>
            <w:r>
              <w:rPr>
                <w:noProof/>
                <w:webHidden/>
              </w:rPr>
              <w:fldChar w:fldCharType="end"/>
            </w:r>
          </w:hyperlink>
        </w:p>
        <w:p w:rsidR="00F75EBE" w:rsidRDefault="00F75EBE" w:rsidP="00F75EBE">
          <w:pPr>
            <w:pStyle w:val="TOC2"/>
            <w:tabs>
              <w:tab w:val="right" w:leader="dot" w:pos="9350"/>
            </w:tabs>
            <w:rPr>
              <w:rFonts w:asciiTheme="minorHAnsi" w:eastAsiaTheme="minorEastAsia" w:hAnsiTheme="minorHAnsi" w:cstheme="minorBidi"/>
              <w:noProof/>
              <w:kern w:val="2"/>
              <w:lang w:val="en-US"/>
            </w:rPr>
          </w:pPr>
          <w:hyperlink w:anchor="_Toc237279569" w:history="1">
            <w:r w:rsidRPr="00721EDA">
              <w:rPr>
                <w:rStyle w:val="Hyperlink"/>
                <w:noProof/>
              </w:rPr>
              <w:t>2.3 Rich Picture and Root-Cause Analysis</w:t>
            </w:r>
            <w:r>
              <w:rPr>
                <w:noProof/>
                <w:webHidden/>
              </w:rPr>
              <w:tab/>
            </w:r>
            <w:r>
              <w:rPr>
                <w:noProof/>
                <w:webHidden/>
              </w:rPr>
              <w:fldChar w:fldCharType="begin"/>
            </w:r>
            <w:r>
              <w:rPr>
                <w:noProof/>
                <w:webHidden/>
              </w:rPr>
              <w:instrText xml:space="preserve"> PAGEREF _Toc237279569 \h </w:instrText>
            </w:r>
            <w:r>
              <w:rPr>
                <w:noProof/>
                <w:webHidden/>
              </w:rPr>
            </w:r>
            <w:r>
              <w:rPr>
                <w:noProof/>
                <w:webHidden/>
              </w:rPr>
              <w:fldChar w:fldCharType="separate"/>
            </w:r>
            <w:r>
              <w:rPr>
                <w:noProof/>
                <w:webHidden/>
              </w:rPr>
              <w:t>6</w:t>
            </w:r>
            <w:r>
              <w:rPr>
                <w:noProof/>
                <w:webHidden/>
              </w:rPr>
              <w:fldChar w:fldCharType="end"/>
            </w:r>
          </w:hyperlink>
        </w:p>
        <w:p w:rsidR="00F75EBE" w:rsidRDefault="00F75EBE" w:rsidP="00F75EBE">
          <w:pPr>
            <w:pStyle w:val="TOC1"/>
            <w:tabs>
              <w:tab w:val="right" w:leader="dot" w:pos="9350"/>
            </w:tabs>
            <w:rPr>
              <w:rFonts w:asciiTheme="minorHAnsi" w:eastAsiaTheme="minorEastAsia" w:hAnsiTheme="minorHAnsi" w:cstheme="minorBidi"/>
              <w:noProof/>
              <w:kern w:val="2"/>
              <w:lang w:val="en-US"/>
            </w:rPr>
          </w:pPr>
          <w:hyperlink w:anchor="_Toc237279570" w:history="1">
            <w:r w:rsidRPr="00721EDA">
              <w:rPr>
                <w:rStyle w:val="Hyperlink"/>
                <w:noProof/>
              </w:rPr>
              <w:t>3.0 Decentralisation and Centralisation in the Case</w:t>
            </w:r>
            <w:r>
              <w:rPr>
                <w:noProof/>
                <w:webHidden/>
              </w:rPr>
              <w:tab/>
            </w:r>
            <w:r>
              <w:rPr>
                <w:noProof/>
                <w:webHidden/>
              </w:rPr>
              <w:fldChar w:fldCharType="begin"/>
            </w:r>
            <w:r>
              <w:rPr>
                <w:noProof/>
                <w:webHidden/>
              </w:rPr>
              <w:instrText xml:space="preserve"> PAGEREF _Toc237279570 \h </w:instrText>
            </w:r>
            <w:r>
              <w:rPr>
                <w:noProof/>
                <w:webHidden/>
              </w:rPr>
            </w:r>
            <w:r>
              <w:rPr>
                <w:noProof/>
                <w:webHidden/>
              </w:rPr>
              <w:fldChar w:fldCharType="separate"/>
            </w:r>
            <w:r>
              <w:rPr>
                <w:noProof/>
                <w:webHidden/>
              </w:rPr>
              <w:t>8</w:t>
            </w:r>
            <w:r>
              <w:rPr>
                <w:noProof/>
                <w:webHidden/>
              </w:rPr>
              <w:fldChar w:fldCharType="end"/>
            </w:r>
          </w:hyperlink>
        </w:p>
        <w:p w:rsidR="00F75EBE" w:rsidRDefault="00F75EBE" w:rsidP="00F75EBE">
          <w:pPr>
            <w:pStyle w:val="TOC2"/>
            <w:tabs>
              <w:tab w:val="right" w:leader="dot" w:pos="9350"/>
            </w:tabs>
            <w:rPr>
              <w:rFonts w:asciiTheme="minorHAnsi" w:eastAsiaTheme="minorEastAsia" w:hAnsiTheme="minorHAnsi" w:cstheme="minorBidi"/>
              <w:noProof/>
              <w:kern w:val="2"/>
              <w:lang w:val="en-US"/>
            </w:rPr>
          </w:pPr>
          <w:hyperlink w:anchor="_Toc237279571" w:history="1">
            <w:r w:rsidRPr="00721EDA">
              <w:rPr>
                <w:rStyle w:val="Hyperlink"/>
                <w:noProof/>
              </w:rPr>
              <w:t>3.1 An NHS and Trust Hybrid Structure</w:t>
            </w:r>
            <w:r>
              <w:rPr>
                <w:noProof/>
                <w:webHidden/>
              </w:rPr>
              <w:tab/>
            </w:r>
            <w:r>
              <w:rPr>
                <w:noProof/>
                <w:webHidden/>
              </w:rPr>
              <w:fldChar w:fldCharType="begin"/>
            </w:r>
            <w:r>
              <w:rPr>
                <w:noProof/>
                <w:webHidden/>
              </w:rPr>
              <w:instrText xml:space="preserve"> PAGEREF _Toc237279571 \h </w:instrText>
            </w:r>
            <w:r>
              <w:rPr>
                <w:noProof/>
                <w:webHidden/>
              </w:rPr>
            </w:r>
            <w:r>
              <w:rPr>
                <w:noProof/>
                <w:webHidden/>
              </w:rPr>
              <w:fldChar w:fldCharType="separate"/>
            </w:r>
            <w:r>
              <w:rPr>
                <w:noProof/>
                <w:webHidden/>
              </w:rPr>
              <w:t>8</w:t>
            </w:r>
            <w:r>
              <w:rPr>
                <w:noProof/>
                <w:webHidden/>
              </w:rPr>
              <w:fldChar w:fldCharType="end"/>
            </w:r>
          </w:hyperlink>
        </w:p>
        <w:p w:rsidR="00F75EBE" w:rsidRDefault="00F75EBE" w:rsidP="00F75EBE">
          <w:pPr>
            <w:pStyle w:val="TOC2"/>
            <w:tabs>
              <w:tab w:val="right" w:leader="dot" w:pos="9350"/>
            </w:tabs>
            <w:rPr>
              <w:rFonts w:asciiTheme="minorHAnsi" w:eastAsiaTheme="minorEastAsia" w:hAnsiTheme="minorHAnsi" w:cstheme="minorBidi"/>
              <w:noProof/>
              <w:kern w:val="2"/>
              <w:lang w:val="en-US"/>
            </w:rPr>
          </w:pPr>
          <w:hyperlink w:anchor="_Toc237279572" w:history="1">
            <w:r w:rsidRPr="00721EDA">
              <w:rPr>
                <w:rStyle w:val="Hyperlink"/>
                <w:noProof/>
              </w:rPr>
              <w:t>3.2 Centralised Controls: Pros and Cons</w:t>
            </w:r>
            <w:r>
              <w:rPr>
                <w:noProof/>
                <w:webHidden/>
              </w:rPr>
              <w:tab/>
            </w:r>
            <w:r>
              <w:rPr>
                <w:noProof/>
                <w:webHidden/>
              </w:rPr>
              <w:fldChar w:fldCharType="begin"/>
            </w:r>
            <w:r>
              <w:rPr>
                <w:noProof/>
                <w:webHidden/>
              </w:rPr>
              <w:instrText xml:space="preserve"> PAGEREF _Toc237279572 \h </w:instrText>
            </w:r>
            <w:r>
              <w:rPr>
                <w:noProof/>
                <w:webHidden/>
              </w:rPr>
            </w:r>
            <w:r>
              <w:rPr>
                <w:noProof/>
                <w:webHidden/>
              </w:rPr>
              <w:fldChar w:fldCharType="separate"/>
            </w:r>
            <w:r>
              <w:rPr>
                <w:noProof/>
                <w:webHidden/>
              </w:rPr>
              <w:t>8</w:t>
            </w:r>
            <w:r>
              <w:rPr>
                <w:noProof/>
                <w:webHidden/>
              </w:rPr>
              <w:fldChar w:fldCharType="end"/>
            </w:r>
          </w:hyperlink>
        </w:p>
        <w:p w:rsidR="00F75EBE" w:rsidRDefault="00F75EBE" w:rsidP="00F75EBE">
          <w:pPr>
            <w:pStyle w:val="TOC2"/>
            <w:tabs>
              <w:tab w:val="right" w:leader="dot" w:pos="9350"/>
            </w:tabs>
            <w:rPr>
              <w:rFonts w:asciiTheme="minorHAnsi" w:eastAsiaTheme="minorEastAsia" w:hAnsiTheme="minorHAnsi" w:cstheme="minorBidi"/>
              <w:noProof/>
              <w:kern w:val="2"/>
              <w:lang w:val="en-US"/>
            </w:rPr>
          </w:pPr>
          <w:hyperlink w:anchor="_Toc237279573" w:history="1">
            <w:r w:rsidRPr="00721EDA">
              <w:rPr>
                <w:rStyle w:val="Hyperlink"/>
                <w:noProof/>
              </w:rPr>
              <w:t>3.3 Decentralised Judgement and Fragmented Ownership</w:t>
            </w:r>
            <w:r>
              <w:rPr>
                <w:noProof/>
                <w:webHidden/>
              </w:rPr>
              <w:tab/>
            </w:r>
            <w:r>
              <w:rPr>
                <w:noProof/>
                <w:webHidden/>
              </w:rPr>
              <w:fldChar w:fldCharType="begin"/>
            </w:r>
            <w:r>
              <w:rPr>
                <w:noProof/>
                <w:webHidden/>
              </w:rPr>
              <w:instrText xml:space="preserve"> PAGEREF _Toc237279573 \h </w:instrText>
            </w:r>
            <w:r>
              <w:rPr>
                <w:noProof/>
                <w:webHidden/>
              </w:rPr>
            </w:r>
            <w:r>
              <w:rPr>
                <w:noProof/>
                <w:webHidden/>
              </w:rPr>
              <w:fldChar w:fldCharType="separate"/>
            </w:r>
            <w:r>
              <w:rPr>
                <w:noProof/>
                <w:webHidden/>
              </w:rPr>
              <w:t>9</w:t>
            </w:r>
            <w:r>
              <w:rPr>
                <w:noProof/>
                <w:webHidden/>
              </w:rPr>
              <w:fldChar w:fldCharType="end"/>
            </w:r>
          </w:hyperlink>
        </w:p>
        <w:p w:rsidR="00F75EBE" w:rsidRDefault="00F75EBE" w:rsidP="00F75EBE">
          <w:pPr>
            <w:pStyle w:val="TOC1"/>
            <w:tabs>
              <w:tab w:val="right" w:leader="dot" w:pos="9350"/>
            </w:tabs>
            <w:rPr>
              <w:rFonts w:asciiTheme="minorHAnsi" w:eastAsiaTheme="minorEastAsia" w:hAnsiTheme="minorHAnsi" w:cstheme="minorBidi"/>
              <w:noProof/>
              <w:kern w:val="2"/>
              <w:lang w:val="en-US"/>
            </w:rPr>
          </w:pPr>
          <w:hyperlink w:anchor="_Toc237279574" w:history="1">
            <w:r w:rsidRPr="00721EDA">
              <w:rPr>
                <w:rStyle w:val="Hyperlink"/>
                <w:noProof/>
              </w:rPr>
              <w:t>4.0 Theory of Leadership and Its Use in case study</w:t>
            </w:r>
            <w:r>
              <w:rPr>
                <w:noProof/>
                <w:webHidden/>
              </w:rPr>
              <w:tab/>
            </w:r>
            <w:r>
              <w:rPr>
                <w:noProof/>
                <w:webHidden/>
              </w:rPr>
              <w:fldChar w:fldCharType="begin"/>
            </w:r>
            <w:r>
              <w:rPr>
                <w:noProof/>
                <w:webHidden/>
              </w:rPr>
              <w:instrText xml:space="preserve"> PAGEREF _Toc237279574 \h </w:instrText>
            </w:r>
            <w:r>
              <w:rPr>
                <w:noProof/>
                <w:webHidden/>
              </w:rPr>
            </w:r>
            <w:r>
              <w:rPr>
                <w:noProof/>
                <w:webHidden/>
              </w:rPr>
              <w:fldChar w:fldCharType="separate"/>
            </w:r>
            <w:r>
              <w:rPr>
                <w:noProof/>
                <w:webHidden/>
              </w:rPr>
              <w:t>10</w:t>
            </w:r>
            <w:r>
              <w:rPr>
                <w:noProof/>
                <w:webHidden/>
              </w:rPr>
              <w:fldChar w:fldCharType="end"/>
            </w:r>
          </w:hyperlink>
        </w:p>
        <w:p w:rsidR="00F75EBE" w:rsidRDefault="00F75EBE" w:rsidP="00F75EBE">
          <w:pPr>
            <w:pStyle w:val="TOC2"/>
            <w:tabs>
              <w:tab w:val="right" w:leader="dot" w:pos="9350"/>
            </w:tabs>
            <w:rPr>
              <w:rFonts w:asciiTheme="minorHAnsi" w:eastAsiaTheme="minorEastAsia" w:hAnsiTheme="minorHAnsi" w:cstheme="minorBidi"/>
              <w:noProof/>
              <w:kern w:val="2"/>
              <w:lang w:val="en-US"/>
            </w:rPr>
          </w:pPr>
          <w:hyperlink w:anchor="_Toc237279575" w:history="1">
            <w:r w:rsidRPr="00721EDA">
              <w:rPr>
                <w:rStyle w:val="Hyperlink"/>
                <w:noProof/>
              </w:rPr>
              <w:t>4.1 Mintzberg’s Managerial Roles</w:t>
            </w:r>
            <w:r>
              <w:rPr>
                <w:noProof/>
                <w:webHidden/>
              </w:rPr>
              <w:tab/>
            </w:r>
            <w:r>
              <w:rPr>
                <w:noProof/>
                <w:webHidden/>
              </w:rPr>
              <w:fldChar w:fldCharType="begin"/>
            </w:r>
            <w:r>
              <w:rPr>
                <w:noProof/>
                <w:webHidden/>
              </w:rPr>
              <w:instrText xml:space="preserve"> PAGEREF _Toc237279575 \h </w:instrText>
            </w:r>
            <w:r>
              <w:rPr>
                <w:noProof/>
                <w:webHidden/>
              </w:rPr>
            </w:r>
            <w:r>
              <w:rPr>
                <w:noProof/>
                <w:webHidden/>
              </w:rPr>
              <w:fldChar w:fldCharType="separate"/>
            </w:r>
            <w:r>
              <w:rPr>
                <w:noProof/>
                <w:webHidden/>
              </w:rPr>
              <w:t>10</w:t>
            </w:r>
            <w:r>
              <w:rPr>
                <w:noProof/>
                <w:webHidden/>
              </w:rPr>
              <w:fldChar w:fldCharType="end"/>
            </w:r>
          </w:hyperlink>
        </w:p>
        <w:p w:rsidR="00F75EBE" w:rsidRDefault="00F75EBE" w:rsidP="00F75EBE">
          <w:pPr>
            <w:pStyle w:val="TOC2"/>
            <w:tabs>
              <w:tab w:val="right" w:leader="dot" w:pos="9350"/>
            </w:tabs>
            <w:rPr>
              <w:rFonts w:asciiTheme="minorHAnsi" w:eastAsiaTheme="minorEastAsia" w:hAnsiTheme="minorHAnsi" w:cstheme="minorBidi"/>
              <w:noProof/>
              <w:kern w:val="2"/>
              <w:lang w:val="en-US"/>
            </w:rPr>
          </w:pPr>
          <w:hyperlink w:anchor="_Toc237279576" w:history="1">
            <w:r w:rsidRPr="00721EDA">
              <w:rPr>
                <w:rStyle w:val="Hyperlink"/>
                <w:noProof/>
              </w:rPr>
              <w:t>4.2 Autocratic and transactional Leadership</w:t>
            </w:r>
            <w:r>
              <w:rPr>
                <w:noProof/>
                <w:webHidden/>
              </w:rPr>
              <w:tab/>
            </w:r>
            <w:r>
              <w:rPr>
                <w:noProof/>
                <w:webHidden/>
              </w:rPr>
              <w:fldChar w:fldCharType="begin"/>
            </w:r>
            <w:r>
              <w:rPr>
                <w:noProof/>
                <w:webHidden/>
              </w:rPr>
              <w:instrText xml:space="preserve"> PAGEREF _Toc237279576 \h </w:instrText>
            </w:r>
            <w:r>
              <w:rPr>
                <w:noProof/>
                <w:webHidden/>
              </w:rPr>
            </w:r>
            <w:r>
              <w:rPr>
                <w:noProof/>
                <w:webHidden/>
              </w:rPr>
              <w:fldChar w:fldCharType="separate"/>
            </w:r>
            <w:r>
              <w:rPr>
                <w:noProof/>
                <w:webHidden/>
              </w:rPr>
              <w:t>11</w:t>
            </w:r>
            <w:r>
              <w:rPr>
                <w:noProof/>
                <w:webHidden/>
              </w:rPr>
              <w:fldChar w:fldCharType="end"/>
            </w:r>
          </w:hyperlink>
        </w:p>
        <w:p w:rsidR="00F75EBE" w:rsidRDefault="00F75EBE" w:rsidP="00F75EBE">
          <w:pPr>
            <w:pStyle w:val="TOC2"/>
            <w:tabs>
              <w:tab w:val="right" w:leader="dot" w:pos="9350"/>
            </w:tabs>
            <w:rPr>
              <w:rFonts w:asciiTheme="minorHAnsi" w:eastAsiaTheme="minorEastAsia" w:hAnsiTheme="minorHAnsi" w:cstheme="minorBidi"/>
              <w:noProof/>
              <w:kern w:val="2"/>
              <w:lang w:val="en-US"/>
            </w:rPr>
          </w:pPr>
          <w:hyperlink w:anchor="_Toc237279577" w:history="1">
            <w:r w:rsidRPr="00721EDA">
              <w:rPr>
                <w:rStyle w:val="Hyperlink"/>
                <w:noProof/>
              </w:rPr>
              <w:t>4.3 Democratic and Transformational Leadership</w:t>
            </w:r>
            <w:r>
              <w:rPr>
                <w:noProof/>
                <w:webHidden/>
              </w:rPr>
              <w:tab/>
            </w:r>
            <w:r>
              <w:rPr>
                <w:noProof/>
                <w:webHidden/>
              </w:rPr>
              <w:fldChar w:fldCharType="begin"/>
            </w:r>
            <w:r>
              <w:rPr>
                <w:noProof/>
                <w:webHidden/>
              </w:rPr>
              <w:instrText xml:space="preserve"> PAGEREF _Toc237279577 \h </w:instrText>
            </w:r>
            <w:r>
              <w:rPr>
                <w:noProof/>
                <w:webHidden/>
              </w:rPr>
            </w:r>
            <w:r>
              <w:rPr>
                <w:noProof/>
                <w:webHidden/>
              </w:rPr>
              <w:fldChar w:fldCharType="separate"/>
            </w:r>
            <w:r>
              <w:rPr>
                <w:noProof/>
                <w:webHidden/>
              </w:rPr>
              <w:t>11</w:t>
            </w:r>
            <w:r>
              <w:rPr>
                <w:noProof/>
                <w:webHidden/>
              </w:rPr>
              <w:fldChar w:fldCharType="end"/>
            </w:r>
          </w:hyperlink>
        </w:p>
        <w:p w:rsidR="00F75EBE" w:rsidRDefault="00F75EBE" w:rsidP="00F75EBE">
          <w:pPr>
            <w:pStyle w:val="TOC2"/>
            <w:tabs>
              <w:tab w:val="right" w:leader="dot" w:pos="9350"/>
            </w:tabs>
            <w:rPr>
              <w:rFonts w:asciiTheme="minorHAnsi" w:eastAsiaTheme="minorEastAsia" w:hAnsiTheme="minorHAnsi" w:cstheme="minorBidi"/>
              <w:noProof/>
              <w:kern w:val="2"/>
              <w:lang w:val="en-US"/>
            </w:rPr>
          </w:pPr>
          <w:hyperlink w:anchor="_Toc237279578" w:history="1">
            <w:r w:rsidRPr="00721EDA">
              <w:rPr>
                <w:rStyle w:val="Hyperlink"/>
                <w:noProof/>
              </w:rPr>
              <w:t>4.4 Situational Leadership</w:t>
            </w:r>
            <w:r>
              <w:rPr>
                <w:noProof/>
                <w:webHidden/>
              </w:rPr>
              <w:tab/>
            </w:r>
            <w:r>
              <w:rPr>
                <w:noProof/>
                <w:webHidden/>
              </w:rPr>
              <w:fldChar w:fldCharType="begin"/>
            </w:r>
            <w:r>
              <w:rPr>
                <w:noProof/>
                <w:webHidden/>
              </w:rPr>
              <w:instrText xml:space="preserve"> PAGEREF _Toc237279578 \h </w:instrText>
            </w:r>
            <w:r>
              <w:rPr>
                <w:noProof/>
                <w:webHidden/>
              </w:rPr>
            </w:r>
            <w:r>
              <w:rPr>
                <w:noProof/>
                <w:webHidden/>
              </w:rPr>
              <w:fldChar w:fldCharType="separate"/>
            </w:r>
            <w:r>
              <w:rPr>
                <w:noProof/>
                <w:webHidden/>
              </w:rPr>
              <w:t>12</w:t>
            </w:r>
            <w:r>
              <w:rPr>
                <w:noProof/>
                <w:webHidden/>
              </w:rPr>
              <w:fldChar w:fldCharType="end"/>
            </w:r>
          </w:hyperlink>
        </w:p>
        <w:p w:rsidR="00F75EBE" w:rsidRDefault="00F75EBE" w:rsidP="00F75EBE">
          <w:pPr>
            <w:pStyle w:val="TOC2"/>
            <w:tabs>
              <w:tab w:val="right" w:leader="dot" w:pos="9350"/>
            </w:tabs>
            <w:rPr>
              <w:rFonts w:asciiTheme="minorHAnsi" w:eastAsiaTheme="minorEastAsia" w:hAnsiTheme="minorHAnsi" w:cstheme="minorBidi"/>
              <w:noProof/>
              <w:kern w:val="2"/>
              <w:lang w:val="en-US"/>
            </w:rPr>
          </w:pPr>
          <w:hyperlink w:anchor="_Toc237279579" w:history="1">
            <w:r w:rsidRPr="00721EDA">
              <w:rPr>
                <w:rStyle w:val="Hyperlink"/>
                <w:noProof/>
              </w:rPr>
              <w:t>4.5 Laissez-faire Leadership</w:t>
            </w:r>
            <w:r>
              <w:rPr>
                <w:noProof/>
                <w:webHidden/>
              </w:rPr>
              <w:tab/>
            </w:r>
            <w:r>
              <w:rPr>
                <w:noProof/>
                <w:webHidden/>
              </w:rPr>
              <w:fldChar w:fldCharType="begin"/>
            </w:r>
            <w:r>
              <w:rPr>
                <w:noProof/>
                <w:webHidden/>
              </w:rPr>
              <w:instrText xml:space="preserve"> PAGEREF _Toc237279579 \h </w:instrText>
            </w:r>
            <w:r>
              <w:rPr>
                <w:noProof/>
                <w:webHidden/>
              </w:rPr>
            </w:r>
            <w:r>
              <w:rPr>
                <w:noProof/>
                <w:webHidden/>
              </w:rPr>
              <w:fldChar w:fldCharType="separate"/>
            </w:r>
            <w:r>
              <w:rPr>
                <w:noProof/>
                <w:webHidden/>
              </w:rPr>
              <w:t>12</w:t>
            </w:r>
            <w:r>
              <w:rPr>
                <w:noProof/>
                <w:webHidden/>
              </w:rPr>
              <w:fldChar w:fldCharType="end"/>
            </w:r>
          </w:hyperlink>
        </w:p>
        <w:p w:rsidR="00F75EBE" w:rsidRDefault="00F75EBE" w:rsidP="00F75EBE">
          <w:pPr>
            <w:pStyle w:val="TOC1"/>
            <w:tabs>
              <w:tab w:val="right" w:leader="dot" w:pos="9350"/>
            </w:tabs>
            <w:rPr>
              <w:rFonts w:asciiTheme="minorHAnsi" w:eastAsiaTheme="minorEastAsia" w:hAnsiTheme="minorHAnsi" w:cstheme="minorBidi"/>
              <w:noProof/>
              <w:kern w:val="2"/>
              <w:lang w:val="en-US"/>
            </w:rPr>
          </w:pPr>
          <w:hyperlink w:anchor="_Toc237279580" w:history="1">
            <w:r w:rsidRPr="00721EDA">
              <w:rPr>
                <w:rStyle w:val="Hyperlink"/>
                <w:noProof/>
              </w:rPr>
              <w:t>5.0 Improvement and Lessons Learned</w:t>
            </w:r>
            <w:r>
              <w:rPr>
                <w:noProof/>
                <w:webHidden/>
              </w:rPr>
              <w:tab/>
            </w:r>
            <w:r>
              <w:rPr>
                <w:noProof/>
                <w:webHidden/>
              </w:rPr>
              <w:fldChar w:fldCharType="begin"/>
            </w:r>
            <w:r>
              <w:rPr>
                <w:noProof/>
                <w:webHidden/>
              </w:rPr>
              <w:instrText xml:space="preserve"> PAGEREF _Toc237279580 \h </w:instrText>
            </w:r>
            <w:r>
              <w:rPr>
                <w:noProof/>
                <w:webHidden/>
              </w:rPr>
            </w:r>
            <w:r>
              <w:rPr>
                <w:noProof/>
                <w:webHidden/>
              </w:rPr>
              <w:fldChar w:fldCharType="separate"/>
            </w:r>
            <w:r>
              <w:rPr>
                <w:noProof/>
                <w:webHidden/>
              </w:rPr>
              <w:t>13</w:t>
            </w:r>
            <w:r>
              <w:rPr>
                <w:noProof/>
                <w:webHidden/>
              </w:rPr>
              <w:fldChar w:fldCharType="end"/>
            </w:r>
          </w:hyperlink>
        </w:p>
        <w:p w:rsidR="00F75EBE" w:rsidRDefault="00F75EBE" w:rsidP="00F75EBE">
          <w:pPr>
            <w:pStyle w:val="TOC2"/>
            <w:tabs>
              <w:tab w:val="right" w:leader="dot" w:pos="9350"/>
            </w:tabs>
            <w:rPr>
              <w:rFonts w:asciiTheme="minorHAnsi" w:eastAsiaTheme="minorEastAsia" w:hAnsiTheme="minorHAnsi" w:cstheme="minorBidi"/>
              <w:noProof/>
              <w:kern w:val="2"/>
              <w:lang w:val="en-US"/>
            </w:rPr>
          </w:pPr>
          <w:hyperlink w:anchor="_Toc237279581" w:history="1">
            <w:r w:rsidRPr="00721EDA">
              <w:rPr>
                <w:rStyle w:val="Hyperlink"/>
                <w:noProof/>
              </w:rPr>
              <w:t>5.1 Leadership-Governance Interaction and Missed Opportunities</w:t>
            </w:r>
            <w:r>
              <w:rPr>
                <w:noProof/>
                <w:webHidden/>
              </w:rPr>
              <w:tab/>
            </w:r>
            <w:r>
              <w:rPr>
                <w:noProof/>
                <w:webHidden/>
              </w:rPr>
              <w:fldChar w:fldCharType="begin"/>
            </w:r>
            <w:r>
              <w:rPr>
                <w:noProof/>
                <w:webHidden/>
              </w:rPr>
              <w:instrText xml:space="preserve"> PAGEREF _Toc237279581 \h </w:instrText>
            </w:r>
            <w:r>
              <w:rPr>
                <w:noProof/>
                <w:webHidden/>
              </w:rPr>
            </w:r>
            <w:r>
              <w:rPr>
                <w:noProof/>
                <w:webHidden/>
              </w:rPr>
              <w:fldChar w:fldCharType="separate"/>
            </w:r>
            <w:r>
              <w:rPr>
                <w:noProof/>
                <w:webHidden/>
              </w:rPr>
              <w:t>13</w:t>
            </w:r>
            <w:r>
              <w:rPr>
                <w:noProof/>
                <w:webHidden/>
              </w:rPr>
              <w:fldChar w:fldCharType="end"/>
            </w:r>
          </w:hyperlink>
        </w:p>
        <w:p w:rsidR="00F75EBE" w:rsidRDefault="00F75EBE" w:rsidP="00F75EBE">
          <w:pPr>
            <w:pStyle w:val="TOC2"/>
            <w:tabs>
              <w:tab w:val="right" w:leader="dot" w:pos="9350"/>
            </w:tabs>
            <w:rPr>
              <w:rFonts w:asciiTheme="minorHAnsi" w:eastAsiaTheme="minorEastAsia" w:hAnsiTheme="minorHAnsi" w:cstheme="minorBidi"/>
              <w:noProof/>
              <w:kern w:val="2"/>
              <w:lang w:val="en-US"/>
            </w:rPr>
          </w:pPr>
          <w:hyperlink w:anchor="_Toc237279582" w:history="1">
            <w:r w:rsidRPr="00721EDA">
              <w:rPr>
                <w:rStyle w:val="Hyperlink"/>
                <w:noProof/>
              </w:rPr>
              <w:t>5.2 Proposed anticoagulation pause-review-restart bundle</w:t>
            </w:r>
            <w:r>
              <w:rPr>
                <w:noProof/>
                <w:webHidden/>
              </w:rPr>
              <w:tab/>
            </w:r>
            <w:r>
              <w:rPr>
                <w:noProof/>
                <w:webHidden/>
              </w:rPr>
              <w:fldChar w:fldCharType="begin"/>
            </w:r>
            <w:r>
              <w:rPr>
                <w:noProof/>
                <w:webHidden/>
              </w:rPr>
              <w:instrText xml:space="preserve"> PAGEREF _Toc237279582 \h </w:instrText>
            </w:r>
            <w:r>
              <w:rPr>
                <w:noProof/>
                <w:webHidden/>
              </w:rPr>
            </w:r>
            <w:r>
              <w:rPr>
                <w:noProof/>
                <w:webHidden/>
              </w:rPr>
              <w:fldChar w:fldCharType="separate"/>
            </w:r>
            <w:r>
              <w:rPr>
                <w:noProof/>
                <w:webHidden/>
              </w:rPr>
              <w:t>13</w:t>
            </w:r>
            <w:r>
              <w:rPr>
                <w:noProof/>
                <w:webHidden/>
              </w:rPr>
              <w:fldChar w:fldCharType="end"/>
            </w:r>
          </w:hyperlink>
        </w:p>
        <w:p w:rsidR="00F75EBE" w:rsidRDefault="00F75EBE" w:rsidP="00F75EBE">
          <w:pPr>
            <w:pStyle w:val="TOC2"/>
            <w:tabs>
              <w:tab w:val="right" w:leader="dot" w:pos="9350"/>
            </w:tabs>
            <w:rPr>
              <w:rFonts w:asciiTheme="minorHAnsi" w:eastAsiaTheme="minorEastAsia" w:hAnsiTheme="minorHAnsi" w:cstheme="minorBidi"/>
              <w:noProof/>
              <w:kern w:val="2"/>
              <w:lang w:val="en-US"/>
            </w:rPr>
          </w:pPr>
          <w:hyperlink w:anchor="_Toc237279583" w:history="1">
            <w:r w:rsidRPr="00721EDA">
              <w:rPr>
                <w:rStyle w:val="Hyperlink"/>
                <w:noProof/>
              </w:rPr>
              <w:t>5.3 Analysis using Soft and Hard Systems</w:t>
            </w:r>
            <w:r>
              <w:rPr>
                <w:noProof/>
                <w:webHidden/>
              </w:rPr>
              <w:tab/>
            </w:r>
            <w:r>
              <w:rPr>
                <w:noProof/>
                <w:webHidden/>
              </w:rPr>
              <w:fldChar w:fldCharType="begin"/>
            </w:r>
            <w:r>
              <w:rPr>
                <w:noProof/>
                <w:webHidden/>
              </w:rPr>
              <w:instrText xml:space="preserve"> PAGEREF _Toc237279583 \h </w:instrText>
            </w:r>
            <w:r>
              <w:rPr>
                <w:noProof/>
                <w:webHidden/>
              </w:rPr>
            </w:r>
            <w:r>
              <w:rPr>
                <w:noProof/>
                <w:webHidden/>
              </w:rPr>
              <w:fldChar w:fldCharType="separate"/>
            </w:r>
            <w:r>
              <w:rPr>
                <w:noProof/>
                <w:webHidden/>
              </w:rPr>
              <w:t>14</w:t>
            </w:r>
            <w:r>
              <w:rPr>
                <w:noProof/>
                <w:webHidden/>
              </w:rPr>
              <w:fldChar w:fldCharType="end"/>
            </w:r>
          </w:hyperlink>
        </w:p>
        <w:p w:rsidR="00F75EBE" w:rsidRDefault="00F75EBE" w:rsidP="00F75EBE">
          <w:pPr>
            <w:pStyle w:val="TOC2"/>
            <w:tabs>
              <w:tab w:val="right" w:leader="dot" w:pos="9350"/>
            </w:tabs>
            <w:rPr>
              <w:rFonts w:asciiTheme="minorHAnsi" w:eastAsiaTheme="minorEastAsia" w:hAnsiTheme="minorHAnsi" w:cstheme="minorBidi"/>
              <w:noProof/>
              <w:kern w:val="2"/>
              <w:lang w:val="en-US"/>
            </w:rPr>
          </w:pPr>
          <w:hyperlink w:anchor="_Toc237279584" w:history="1">
            <w:r w:rsidRPr="00721EDA">
              <w:rPr>
                <w:rStyle w:val="Hyperlink"/>
                <w:noProof/>
              </w:rPr>
              <w:t>5.4 Risks and Mitigation</w:t>
            </w:r>
            <w:r>
              <w:rPr>
                <w:noProof/>
                <w:webHidden/>
              </w:rPr>
              <w:tab/>
            </w:r>
            <w:r>
              <w:rPr>
                <w:noProof/>
                <w:webHidden/>
              </w:rPr>
              <w:fldChar w:fldCharType="begin"/>
            </w:r>
            <w:r>
              <w:rPr>
                <w:noProof/>
                <w:webHidden/>
              </w:rPr>
              <w:instrText xml:space="preserve"> PAGEREF _Toc237279584 \h </w:instrText>
            </w:r>
            <w:r>
              <w:rPr>
                <w:noProof/>
                <w:webHidden/>
              </w:rPr>
            </w:r>
            <w:r>
              <w:rPr>
                <w:noProof/>
                <w:webHidden/>
              </w:rPr>
              <w:fldChar w:fldCharType="separate"/>
            </w:r>
            <w:r>
              <w:rPr>
                <w:noProof/>
                <w:webHidden/>
              </w:rPr>
              <w:t>15</w:t>
            </w:r>
            <w:r>
              <w:rPr>
                <w:noProof/>
                <w:webHidden/>
              </w:rPr>
              <w:fldChar w:fldCharType="end"/>
            </w:r>
          </w:hyperlink>
        </w:p>
        <w:p w:rsidR="00F75EBE" w:rsidRDefault="00F75EBE" w:rsidP="00F75EBE">
          <w:pPr>
            <w:pStyle w:val="TOC2"/>
            <w:tabs>
              <w:tab w:val="right" w:leader="dot" w:pos="9350"/>
            </w:tabs>
            <w:rPr>
              <w:rFonts w:asciiTheme="minorHAnsi" w:eastAsiaTheme="minorEastAsia" w:hAnsiTheme="minorHAnsi" w:cstheme="minorBidi"/>
              <w:noProof/>
              <w:kern w:val="2"/>
              <w:lang w:val="en-US"/>
            </w:rPr>
          </w:pPr>
          <w:hyperlink w:anchor="_Toc237279585" w:history="1">
            <w:r w:rsidRPr="00721EDA">
              <w:rPr>
                <w:rStyle w:val="Hyperlink"/>
                <w:noProof/>
              </w:rPr>
              <w:t>5.5 Transferable Lesson</w:t>
            </w:r>
            <w:r>
              <w:rPr>
                <w:noProof/>
                <w:webHidden/>
              </w:rPr>
              <w:tab/>
            </w:r>
            <w:r>
              <w:rPr>
                <w:noProof/>
                <w:webHidden/>
              </w:rPr>
              <w:fldChar w:fldCharType="begin"/>
            </w:r>
            <w:r>
              <w:rPr>
                <w:noProof/>
                <w:webHidden/>
              </w:rPr>
              <w:instrText xml:space="preserve"> PAGEREF _Toc237279585 \h </w:instrText>
            </w:r>
            <w:r>
              <w:rPr>
                <w:noProof/>
                <w:webHidden/>
              </w:rPr>
            </w:r>
            <w:r>
              <w:rPr>
                <w:noProof/>
                <w:webHidden/>
              </w:rPr>
              <w:fldChar w:fldCharType="separate"/>
            </w:r>
            <w:r>
              <w:rPr>
                <w:noProof/>
                <w:webHidden/>
              </w:rPr>
              <w:t>15</w:t>
            </w:r>
            <w:r>
              <w:rPr>
                <w:noProof/>
                <w:webHidden/>
              </w:rPr>
              <w:fldChar w:fldCharType="end"/>
            </w:r>
          </w:hyperlink>
        </w:p>
        <w:p w:rsidR="00F75EBE" w:rsidRDefault="00F75EBE" w:rsidP="00F75EBE">
          <w:pPr>
            <w:pStyle w:val="TOC1"/>
            <w:tabs>
              <w:tab w:val="right" w:leader="dot" w:pos="9350"/>
            </w:tabs>
            <w:rPr>
              <w:rFonts w:asciiTheme="minorHAnsi" w:eastAsiaTheme="minorEastAsia" w:hAnsiTheme="minorHAnsi" w:cstheme="minorBidi"/>
              <w:noProof/>
              <w:kern w:val="2"/>
              <w:lang w:val="en-US"/>
            </w:rPr>
          </w:pPr>
          <w:hyperlink w:anchor="_Toc237279586" w:history="1">
            <w:r w:rsidRPr="00721EDA">
              <w:rPr>
                <w:rStyle w:val="Hyperlink"/>
                <w:noProof/>
              </w:rPr>
              <w:t>6.0 Recommendations</w:t>
            </w:r>
            <w:r>
              <w:rPr>
                <w:noProof/>
                <w:webHidden/>
              </w:rPr>
              <w:tab/>
            </w:r>
            <w:r>
              <w:rPr>
                <w:noProof/>
                <w:webHidden/>
              </w:rPr>
              <w:fldChar w:fldCharType="begin"/>
            </w:r>
            <w:r>
              <w:rPr>
                <w:noProof/>
                <w:webHidden/>
              </w:rPr>
              <w:instrText xml:space="preserve"> PAGEREF _Toc237279586 \h </w:instrText>
            </w:r>
            <w:r>
              <w:rPr>
                <w:noProof/>
                <w:webHidden/>
              </w:rPr>
            </w:r>
            <w:r>
              <w:rPr>
                <w:noProof/>
                <w:webHidden/>
              </w:rPr>
              <w:fldChar w:fldCharType="separate"/>
            </w:r>
            <w:r>
              <w:rPr>
                <w:noProof/>
                <w:webHidden/>
              </w:rPr>
              <w:t>15</w:t>
            </w:r>
            <w:r>
              <w:rPr>
                <w:noProof/>
                <w:webHidden/>
              </w:rPr>
              <w:fldChar w:fldCharType="end"/>
            </w:r>
          </w:hyperlink>
        </w:p>
        <w:p w:rsidR="00F75EBE" w:rsidRDefault="00F75EBE" w:rsidP="00F75EBE">
          <w:pPr>
            <w:pStyle w:val="TOC2"/>
            <w:tabs>
              <w:tab w:val="right" w:leader="dot" w:pos="9350"/>
            </w:tabs>
            <w:rPr>
              <w:rFonts w:asciiTheme="minorHAnsi" w:eastAsiaTheme="minorEastAsia" w:hAnsiTheme="minorHAnsi" w:cstheme="minorBidi"/>
              <w:noProof/>
              <w:kern w:val="2"/>
              <w:lang w:val="en-US"/>
            </w:rPr>
          </w:pPr>
          <w:hyperlink w:anchor="_Toc237279587" w:history="1">
            <w:r w:rsidRPr="00721EDA">
              <w:rPr>
                <w:rStyle w:val="Hyperlink"/>
                <w:noProof/>
              </w:rPr>
              <w:t>6.1 Strengthen Anticoagulation Governance</w:t>
            </w:r>
            <w:r>
              <w:rPr>
                <w:noProof/>
                <w:webHidden/>
              </w:rPr>
              <w:tab/>
            </w:r>
            <w:r>
              <w:rPr>
                <w:noProof/>
                <w:webHidden/>
              </w:rPr>
              <w:fldChar w:fldCharType="begin"/>
            </w:r>
            <w:r>
              <w:rPr>
                <w:noProof/>
                <w:webHidden/>
              </w:rPr>
              <w:instrText xml:space="preserve"> PAGEREF _Toc237279587 \h </w:instrText>
            </w:r>
            <w:r>
              <w:rPr>
                <w:noProof/>
                <w:webHidden/>
              </w:rPr>
            </w:r>
            <w:r>
              <w:rPr>
                <w:noProof/>
                <w:webHidden/>
              </w:rPr>
              <w:fldChar w:fldCharType="separate"/>
            </w:r>
            <w:r>
              <w:rPr>
                <w:noProof/>
                <w:webHidden/>
              </w:rPr>
              <w:t>15</w:t>
            </w:r>
            <w:r>
              <w:rPr>
                <w:noProof/>
                <w:webHidden/>
              </w:rPr>
              <w:fldChar w:fldCharType="end"/>
            </w:r>
          </w:hyperlink>
        </w:p>
        <w:p w:rsidR="00F75EBE" w:rsidRDefault="00F75EBE" w:rsidP="00F75EBE">
          <w:pPr>
            <w:pStyle w:val="TOC2"/>
            <w:tabs>
              <w:tab w:val="right" w:leader="dot" w:pos="9350"/>
            </w:tabs>
            <w:rPr>
              <w:rFonts w:asciiTheme="minorHAnsi" w:eastAsiaTheme="minorEastAsia" w:hAnsiTheme="minorHAnsi" w:cstheme="minorBidi"/>
              <w:noProof/>
              <w:kern w:val="2"/>
              <w:lang w:val="en-US"/>
            </w:rPr>
          </w:pPr>
          <w:hyperlink w:anchor="_Toc237279588" w:history="1">
            <w:r w:rsidRPr="00721EDA">
              <w:rPr>
                <w:rStyle w:val="Hyperlink"/>
                <w:noProof/>
              </w:rPr>
              <w:t>6.2 Develop Leadership and Workforce and Communication</w:t>
            </w:r>
            <w:r>
              <w:rPr>
                <w:noProof/>
                <w:webHidden/>
              </w:rPr>
              <w:tab/>
            </w:r>
            <w:r>
              <w:rPr>
                <w:noProof/>
                <w:webHidden/>
              </w:rPr>
              <w:fldChar w:fldCharType="begin"/>
            </w:r>
            <w:r>
              <w:rPr>
                <w:noProof/>
                <w:webHidden/>
              </w:rPr>
              <w:instrText xml:space="preserve"> PAGEREF _Toc237279588 \h </w:instrText>
            </w:r>
            <w:r>
              <w:rPr>
                <w:noProof/>
                <w:webHidden/>
              </w:rPr>
            </w:r>
            <w:r>
              <w:rPr>
                <w:noProof/>
                <w:webHidden/>
              </w:rPr>
              <w:fldChar w:fldCharType="separate"/>
            </w:r>
            <w:r>
              <w:rPr>
                <w:noProof/>
                <w:webHidden/>
              </w:rPr>
              <w:t>16</w:t>
            </w:r>
            <w:r>
              <w:rPr>
                <w:noProof/>
                <w:webHidden/>
              </w:rPr>
              <w:fldChar w:fldCharType="end"/>
            </w:r>
          </w:hyperlink>
        </w:p>
        <w:p w:rsidR="00F75EBE" w:rsidRDefault="00F75EBE" w:rsidP="00F75EBE">
          <w:pPr>
            <w:pStyle w:val="TOC2"/>
            <w:tabs>
              <w:tab w:val="right" w:leader="dot" w:pos="9350"/>
            </w:tabs>
            <w:rPr>
              <w:rFonts w:asciiTheme="minorHAnsi" w:eastAsiaTheme="minorEastAsia" w:hAnsiTheme="minorHAnsi" w:cstheme="minorBidi"/>
              <w:noProof/>
              <w:kern w:val="2"/>
              <w:lang w:val="en-US"/>
            </w:rPr>
          </w:pPr>
          <w:hyperlink w:anchor="_Toc237279589" w:history="1">
            <w:r w:rsidRPr="00721EDA">
              <w:rPr>
                <w:rStyle w:val="Hyperlink"/>
                <w:noProof/>
              </w:rPr>
              <w:t>6.3 Enhance Technical and Allocative efficiency</w:t>
            </w:r>
            <w:r>
              <w:rPr>
                <w:noProof/>
                <w:webHidden/>
              </w:rPr>
              <w:tab/>
            </w:r>
            <w:r>
              <w:rPr>
                <w:noProof/>
                <w:webHidden/>
              </w:rPr>
              <w:fldChar w:fldCharType="begin"/>
            </w:r>
            <w:r>
              <w:rPr>
                <w:noProof/>
                <w:webHidden/>
              </w:rPr>
              <w:instrText xml:space="preserve"> PAGEREF _Toc237279589 \h </w:instrText>
            </w:r>
            <w:r>
              <w:rPr>
                <w:noProof/>
                <w:webHidden/>
              </w:rPr>
            </w:r>
            <w:r>
              <w:rPr>
                <w:noProof/>
                <w:webHidden/>
              </w:rPr>
              <w:fldChar w:fldCharType="separate"/>
            </w:r>
            <w:r>
              <w:rPr>
                <w:noProof/>
                <w:webHidden/>
              </w:rPr>
              <w:t>16</w:t>
            </w:r>
            <w:r>
              <w:rPr>
                <w:noProof/>
                <w:webHidden/>
              </w:rPr>
              <w:fldChar w:fldCharType="end"/>
            </w:r>
          </w:hyperlink>
        </w:p>
        <w:p w:rsidR="00F75EBE" w:rsidRDefault="00F75EBE" w:rsidP="00F75EBE">
          <w:pPr>
            <w:pStyle w:val="TOC2"/>
            <w:tabs>
              <w:tab w:val="right" w:leader="dot" w:pos="9350"/>
            </w:tabs>
            <w:rPr>
              <w:rFonts w:asciiTheme="minorHAnsi" w:eastAsiaTheme="minorEastAsia" w:hAnsiTheme="minorHAnsi" w:cstheme="minorBidi"/>
              <w:noProof/>
              <w:kern w:val="2"/>
              <w:lang w:val="en-US"/>
            </w:rPr>
          </w:pPr>
          <w:hyperlink w:anchor="_Toc237279590" w:history="1">
            <w:r w:rsidRPr="00721EDA">
              <w:rPr>
                <w:rStyle w:val="Hyperlink"/>
                <w:noProof/>
              </w:rPr>
              <w:t>6.4 Ongoing Learning, stakeholder involvement and Co-production</w:t>
            </w:r>
            <w:r>
              <w:rPr>
                <w:noProof/>
                <w:webHidden/>
              </w:rPr>
              <w:tab/>
            </w:r>
            <w:r>
              <w:rPr>
                <w:noProof/>
                <w:webHidden/>
              </w:rPr>
              <w:fldChar w:fldCharType="begin"/>
            </w:r>
            <w:r>
              <w:rPr>
                <w:noProof/>
                <w:webHidden/>
              </w:rPr>
              <w:instrText xml:space="preserve"> PAGEREF _Toc237279590 \h </w:instrText>
            </w:r>
            <w:r>
              <w:rPr>
                <w:noProof/>
                <w:webHidden/>
              </w:rPr>
            </w:r>
            <w:r>
              <w:rPr>
                <w:noProof/>
                <w:webHidden/>
              </w:rPr>
              <w:fldChar w:fldCharType="separate"/>
            </w:r>
            <w:r>
              <w:rPr>
                <w:noProof/>
                <w:webHidden/>
              </w:rPr>
              <w:t>17</w:t>
            </w:r>
            <w:r>
              <w:rPr>
                <w:noProof/>
                <w:webHidden/>
              </w:rPr>
              <w:fldChar w:fldCharType="end"/>
            </w:r>
          </w:hyperlink>
        </w:p>
        <w:p w:rsidR="00F75EBE" w:rsidRDefault="00F75EBE" w:rsidP="00F75EBE">
          <w:pPr>
            <w:pStyle w:val="TOC1"/>
            <w:tabs>
              <w:tab w:val="right" w:leader="dot" w:pos="9350"/>
            </w:tabs>
            <w:rPr>
              <w:rFonts w:asciiTheme="minorHAnsi" w:eastAsiaTheme="minorEastAsia" w:hAnsiTheme="minorHAnsi" w:cstheme="minorBidi"/>
              <w:noProof/>
              <w:kern w:val="2"/>
              <w:lang w:val="en-US"/>
            </w:rPr>
          </w:pPr>
          <w:hyperlink w:anchor="_Toc237279591" w:history="1">
            <w:r w:rsidRPr="00721EDA">
              <w:rPr>
                <w:rStyle w:val="Hyperlink"/>
                <w:noProof/>
              </w:rPr>
              <w:t>7.0 Conclusion</w:t>
            </w:r>
            <w:r>
              <w:rPr>
                <w:noProof/>
                <w:webHidden/>
              </w:rPr>
              <w:tab/>
            </w:r>
            <w:r>
              <w:rPr>
                <w:noProof/>
                <w:webHidden/>
              </w:rPr>
              <w:fldChar w:fldCharType="begin"/>
            </w:r>
            <w:r>
              <w:rPr>
                <w:noProof/>
                <w:webHidden/>
              </w:rPr>
              <w:instrText xml:space="preserve"> PAGEREF _Toc237279591 \h </w:instrText>
            </w:r>
            <w:r>
              <w:rPr>
                <w:noProof/>
                <w:webHidden/>
              </w:rPr>
            </w:r>
            <w:r>
              <w:rPr>
                <w:noProof/>
                <w:webHidden/>
              </w:rPr>
              <w:fldChar w:fldCharType="separate"/>
            </w:r>
            <w:r>
              <w:rPr>
                <w:noProof/>
                <w:webHidden/>
              </w:rPr>
              <w:t>17</w:t>
            </w:r>
            <w:r>
              <w:rPr>
                <w:noProof/>
                <w:webHidden/>
              </w:rPr>
              <w:fldChar w:fldCharType="end"/>
            </w:r>
          </w:hyperlink>
        </w:p>
        <w:p w:rsidR="00F75EBE" w:rsidRDefault="00F75EBE" w:rsidP="00F75EBE">
          <w:pPr>
            <w:pStyle w:val="TOC1"/>
            <w:tabs>
              <w:tab w:val="right" w:leader="dot" w:pos="9350"/>
            </w:tabs>
            <w:rPr>
              <w:rFonts w:asciiTheme="minorHAnsi" w:eastAsiaTheme="minorEastAsia" w:hAnsiTheme="minorHAnsi" w:cstheme="minorBidi"/>
              <w:noProof/>
              <w:kern w:val="2"/>
              <w:lang w:val="en-US"/>
            </w:rPr>
          </w:pPr>
          <w:hyperlink w:anchor="_Toc237279592" w:history="1">
            <w:r w:rsidRPr="00721EDA">
              <w:rPr>
                <w:rStyle w:val="Hyperlink"/>
                <w:noProof/>
              </w:rPr>
              <w:t>References</w:t>
            </w:r>
            <w:r>
              <w:rPr>
                <w:noProof/>
                <w:webHidden/>
              </w:rPr>
              <w:tab/>
            </w:r>
            <w:r>
              <w:rPr>
                <w:noProof/>
                <w:webHidden/>
              </w:rPr>
              <w:fldChar w:fldCharType="begin"/>
            </w:r>
            <w:r>
              <w:rPr>
                <w:noProof/>
                <w:webHidden/>
              </w:rPr>
              <w:instrText xml:space="preserve"> PAGEREF _Toc237279592 \h </w:instrText>
            </w:r>
            <w:r>
              <w:rPr>
                <w:noProof/>
                <w:webHidden/>
              </w:rPr>
            </w:r>
            <w:r>
              <w:rPr>
                <w:noProof/>
                <w:webHidden/>
              </w:rPr>
              <w:fldChar w:fldCharType="separate"/>
            </w:r>
            <w:r>
              <w:rPr>
                <w:noProof/>
                <w:webHidden/>
              </w:rPr>
              <w:t>19</w:t>
            </w:r>
            <w:r>
              <w:rPr>
                <w:noProof/>
                <w:webHidden/>
              </w:rPr>
              <w:fldChar w:fldCharType="end"/>
            </w:r>
          </w:hyperlink>
        </w:p>
        <w:p w:rsidR="00F75EBE" w:rsidRDefault="00F75EBE" w:rsidP="00F75EBE">
          <w:r>
            <w:rPr>
              <w:b/>
              <w:bCs/>
              <w:noProof/>
            </w:rPr>
            <w:fldChar w:fldCharType="end"/>
          </w:r>
        </w:p>
      </w:sdtContent>
    </w:sdt>
    <w:p w:rsidR="00F75EBE" w:rsidRDefault="00F75EBE" w:rsidP="00F75EBE">
      <w:r>
        <w:br w:type="page"/>
      </w:r>
    </w:p>
    <w:p w:rsidR="00F75EBE" w:rsidRPr="00B50D1A" w:rsidRDefault="00F75EBE" w:rsidP="00F75EBE">
      <w:pPr>
        <w:pStyle w:val="Heading1"/>
      </w:pPr>
      <w:bookmarkStart w:id="2" w:name="_Toc237279565"/>
      <w:r w:rsidRPr="00B50D1A">
        <w:lastRenderedPageBreak/>
        <w:t>1.0 Introduction</w:t>
      </w:r>
      <w:bookmarkEnd w:id="2"/>
    </w:p>
    <w:p w:rsidR="00F75EBE" w:rsidRPr="00B50D1A" w:rsidRDefault="00F75EBE" w:rsidP="00F75EBE">
      <w:r w:rsidRPr="00B50D1A">
        <w:t>Health and social care leadership entails guiding people and mobilising resources in such a way that, shared service and patient-safety objectives are realised. Lussier and Achua (2023) relate leadership to influence, followers, organisational goals, change and relations. This definition is relevant as safe care hardly ever involves a single professional in action. Leaders should establish an environment where information flows, where roles are known and one should take action against changing risks. Leadership is thus not tantamount to holding an elevated position: clinical personnel can be leaders by challenging a plan or intensifying danger whereas a manager can be a holder of authority without offering efficient co-ordination.</w:t>
      </w:r>
    </w:p>
    <w:p w:rsidR="00F75EBE" w:rsidRPr="00B50D1A" w:rsidRDefault="00F75EBE" w:rsidP="00F75EBE">
      <w:r w:rsidRPr="00B50D1A">
        <w:t>The present report examines the Health Services Safety Investigations Body (HSSIB) investigation that concerned an 87-year-old male with a history of atrial fibrillation and WHO was otherwise taking apixaban to decrease his stroke risk. His apixaban duly intermittence following his admission with nosebleeds, however, it was continued to hold when a pleural procedure was held back. The treatment was not taken over 10 days, and was not resumed following the treatment. On day 12, patient X had a stroke and passed away on day 14 (HSSIB, 2025). The case should not be, therefore, boiled down to a wrong first prescribing decision. It is related to a lack of re-evaluating a reasonable decision in the time when the clinical and organisational situation changed.</w:t>
      </w:r>
    </w:p>
    <w:p w:rsidR="00F75EBE" w:rsidRPr="00B50D1A" w:rsidRDefault="00F75EBE" w:rsidP="00F75EBE">
      <w:r w:rsidRPr="00B50D1A">
        <w:t>In centralisation, the decision-making powers are centralised either at the national, organisational level or senior level on the other hand, in decentralisation, powers are decentralised to local departments and frontline professionals. Both set-ups were present in the care of Patient X. The report uses systems thinking, WHO Health System Building Blocks, root-cause analysis and centralisation-decentralisation before looking at the leadership in terms of Mintzberg managerial roles. The broader theoretical framework is autocratic, democratic, laissez-faire, transformational, transactional and situational leadership. The choice of style is important since a directive style might be useful in case of an urgent emergency, but multidisciplinary and professional challenge, adaptation and participation is necessary in complex risk management. This is to elucidate the interactions between leadership, governance, workforce capacity and information systems and not necessarily fault to a single person.</w:t>
      </w:r>
    </w:p>
    <w:p w:rsidR="00F75EBE" w:rsidRPr="00B50D1A" w:rsidRDefault="00F75EBE" w:rsidP="00F75EBE">
      <w:pPr>
        <w:pStyle w:val="Heading1"/>
      </w:pPr>
      <w:bookmarkStart w:id="3" w:name="_zdpogmjq3lzx" w:colFirst="0" w:colLast="0"/>
      <w:bookmarkStart w:id="4" w:name="_Toc237279566"/>
      <w:bookmarkEnd w:id="3"/>
      <w:r w:rsidRPr="00B50D1A">
        <w:lastRenderedPageBreak/>
        <w:t>2.0 Problem identification and setting the System context</w:t>
      </w:r>
      <w:bookmarkEnd w:id="4"/>
    </w:p>
    <w:p w:rsidR="00F75EBE" w:rsidRPr="00B50D1A" w:rsidRDefault="00F75EBE" w:rsidP="00F75EBE">
      <w:pPr>
        <w:pStyle w:val="Heading2"/>
      </w:pPr>
      <w:bookmarkStart w:id="5" w:name="_isvq29ymmjsv" w:colFirst="0" w:colLast="0"/>
      <w:bookmarkStart w:id="6" w:name="_Toc237279567"/>
      <w:bookmarkEnd w:id="5"/>
      <w:r w:rsidRPr="00B50D1A">
        <w:t>2.1 The Patient-Safety Issue and its Importance</w:t>
      </w:r>
      <w:bookmarkEnd w:id="6"/>
    </w:p>
    <w:p w:rsidR="00F75EBE" w:rsidRPr="00B50D1A" w:rsidRDefault="00F75EBE" w:rsidP="00F75EBE">
      <w:pPr>
        <w:rPr>
          <w:sz w:val="23"/>
          <w:szCs w:val="23"/>
        </w:rPr>
      </w:pPr>
      <w:r w:rsidRPr="00B50D1A">
        <w:rPr>
          <w:sz w:val="23"/>
          <w:szCs w:val="23"/>
        </w:rPr>
        <w:t>Patient X was hospitalised with a shortness of breath, pneumonia, pleural effusions and nosebleeds. The initial reasons why apixaban was halted were adequate since the risk of bleeding immediately was higher than the stroke-prevention advantage. On day 4, though, the cause changed: treatment was still held as a pleural procedure should take place within a day or two. This CT scan was not performed directly and was postponed by seven days and was performed on the 10th day. The post-procedure plan left out apixaban. Though it was not done an intention by a resident doctor who was aiming to resume it on day 11 in case blood results are stable. In the absence of a regular evaluation and feedback process at the weekend, the omission was not identified until Patient X suffered a stroke on day 12 (HSSIB, 2025).</w:t>
      </w:r>
    </w:p>
    <w:p w:rsidR="00F75EBE" w:rsidRPr="00B50D1A" w:rsidRDefault="00F75EBE" w:rsidP="00F75EBE">
      <w:pPr>
        <w:rPr>
          <w:sz w:val="23"/>
          <w:szCs w:val="23"/>
        </w:rPr>
      </w:pPr>
      <w:r w:rsidRPr="00B50D1A">
        <w:rPr>
          <w:sz w:val="23"/>
          <w:szCs w:val="23"/>
        </w:rPr>
        <w:t>This differentiation on what an appropriate initial decision entails and what continued safety entails is crucial. According to NICE (2021) most patients with atrial fibrillation experience more benefits of anticoagulation than risks of bleeding, but treatment should be re-evaluated when the situation changes this ratio. Apixaban is typically discontinued and reinitiated just before surgery that involves risk of bleeding and discontinued 68 hours later when haemostasis is maintained (Lester et al., 2024). However, there is scarcity of evidence related to the pleural procedures. The British Thoracic Society consequently suggests personal risk-benefit calculation and professional assistance when it comes to patients at a risk (Asciak et al., 2023). This failure was central and therefore not merely a lack of compliance with a schedule, but a lack of recorded, recurring clinical judgement with uncertainty and latency.</w:t>
      </w:r>
    </w:p>
    <w:p w:rsidR="00F75EBE" w:rsidRPr="00B50D1A" w:rsidRDefault="00F75EBE" w:rsidP="00F75EBE">
      <w:r w:rsidRPr="00B50D1A">
        <w:rPr>
          <w:sz w:val="23"/>
          <w:szCs w:val="23"/>
        </w:rPr>
        <w:t xml:space="preserve">This accident is indicative of a larger patient-safety issue. WHO (2023) estimates that one of every ten patients suffers harm in healthcare, unsafe care is linked to deaths exceeding three million in a year and more than half of harm is avoidable. Medication-related issues constitute about half of avoidable harm, and medication errors constitute about 1/10th of the reported incidents of patient-safety in England (NHS England, 2026a). Similar results were found by Alrowily et al. (2025), who examined 1,500 anticoagulant, insulin and opioid incident reports in the UK and identified prescribing, administration, communications and workload errors as the primary reasons behind the incidents. The reports however, date back to 2015 and voluntary reporting could be underestimating </w:t>
      </w:r>
      <w:r w:rsidRPr="00B50D1A">
        <w:rPr>
          <w:sz w:val="23"/>
          <w:szCs w:val="23"/>
        </w:rPr>
        <w:lastRenderedPageBreak/>
        <w:t>existing harm. Instead, they are manifestations of systematic weaknesses in the system, and not current occurrences.</w:t>
      </w:r>
    </w:p>
    <w:p w:rsidR="00F75EBE" w:rsidRPr="00B50D1A" w:rsidRDefault="00F75EBE" w:rsidP="00F75EBE">
      <w:pPr>
        <w:pStyle w:val="Heading2"/>
      </w:pPr>
      <w:bookmarkStart w:id="7" w:name="_3vrt0io7tr7r" w:colFirst="0" w:colLast="0"/>
      <w:bookmarkStart w:id="8" w:name="_Toc237279568"/>
      <w:bookmarkEnd w:id="7"/>
      <w:r w:rsidRPr="00B50D1A">
        <w:t>2.2 Systems-Thinking Analysis</w:t>
      </w:r>
      <w:bookmarkEnd w:id="8"/>
    </w:p>
    <w:p w:rsidR="00F75EBE" w:rsidRPr="00B50D1A" w:rsidRDefault="00F75EBE" w:rsidP="00F75EBE">
      <w:r w:rsidRPr="00B50D1A">
        <w:t>System thinking looks at the results that come about as a result of the dynamic between people, tasks, technologies and organisational conditions and not blaming failure on individuals (McNab et al., 2020). This method is suitable since the route entailed emergency, acute medicine, respiratory, radiology and pharmacy services and EPR and ePMA systems. Improvement in healthcare needs to cover the entire pathway and failures that arise between components (Clarkson et al., 2018). Systems approaches have the ability to enhance patient and service outcomes, but since they consist of diverse elements, it may be challenging to define which element results in an improvement (Komashie et al., 2021).</w:t>
      </w:r>
    </w:p>
    <w:p w:rsidR="00F75EBE" w:rsidRPr="00B50D1A" w:rsidRDefault="00F75EBE" w:rsidP="00F75EBE">
      <w:r w:rsidRPr="00B50D1A">
        <w:t>The Six Health System Building Blocks of the WHO show the way in which associating weaknesses led to harm (WHO, 2007). There was a lack of leadership and governance to put in place an effective control of a high-risk suspended medicine. The service was hampered by a lack of responsiveness in the imaging service, lack of respiratory beds and poor collaboration between the medical and respiratory staff. The capacity of workers was also insufficient: a 28-bed ward was constantly overcrowded, and only one consultant and three resident doctors worked on it, and there was a lack of middle-grade and coordinating nurse (HSSIB, 2025).</w:t>
      </w:r>
    </w:p>
    <w:p w:rsidR="00F75EBE" w:rsidRPr="00B50D1A" w:rsidRDefault="00F75EBE" w:rsidP="00F75EBE">
      <w:r w:rsidRPr="00B50D1A">
        <w:t>Health information was also a failure. ePMA had indicated apixaban was held but did not indicate the planned duration or reconsideration. Past stroke history of patient X was not easy to find and parallel paper and electronic records were duplications. The financial strains were less noticeable and helped in the elimination of specialist pleural support. Therefore, there was a technology that was not consistently generating common clinical insight.</w:t>
      </w:r>
    </w:p>
    <w:p w:rsidR="00F75EBE" w:rsidRPr="00B50D1A" w:rsidRDefault="00F75EBE" w:rsidP="00F75EBE">
      <w:r w:rsidRPr="00B50D1A">
        <w:t>An enforcing pattern occurred along the pathway:</w:t>
      </w:r>
    </w:p>
    <w:p w:rsidR="00F75EBE" w:rsidRPr="00B50D1A" w:rsidRDefault="00F75EBE" w:rsidP="00F75EBE">
      <w:pPr>
        <w:jc w:val="center"/>
      </w:pPr>
      <w:r w:rsidRPr="00B50D1A">
        <w:rPr>
          <w:noProof/>
          <w:lang w:val="en-US"/>
        </w:rPr>
        <w:lastRenderedPageBreak/>
        <w:drawing>
          <wp:inline distT="114300" distB="114300" distL="114300" distR="114300">
            <wp:extent cx="5214938" cy="1303734"/>
            <wp:effectExtent l="25400" t="25400" r="25400" b="254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cstate="print"/>
                    <a:srcRect t="11356" b="19354"/>
                    <a:stretch>
                      <a:fillRect/>
                    </a:stretch>
                  </pic:blipFill>
                  <pic:spPr>
                    <a:xfrm>
                      <a:off x="0" y="0"/>
                      <a:ext cx="5214938" cy="1303734"/>
                    </a:xfrm>
                    <a:prstGeom prst="rect">
                      <a:avLst/>
                    </a:prstGeom>
                    <a:ln w="25400">
                      <a:solidFill>
                        <a:srgbClr val="000000"/>
                      </a:solidFill>
                      <a:prstDash val="solid"/>
                    </a:ln>
                  </pic:spPr>
                </pic:pic>
              </a:graphicData>
            </a:graphic>
          </wp:inline>
        </w:drawing>
      </w:r>
    </w:p>
    <w:p w:rsidR="00F75EBE" w:rsidRPr="00B50D1A" w:rsidRDefault="00F75EBE" w:rsidP="00F75EBE">
      <w:pPr>
        <w:jc w:val="center"/>
        <w:rPr>
          <w:b/>
          <w:bCs/>
        </w:rPr>
      </w:pPr>
      <w:r w:rsidRPr="00B50D1A">
        <w:rPr>
          <w:b/>
          <w:bCs/>
        </w:rPr>
        <w:t xml:space="preserve">Figure 1: Reinforcing pattern in the Anticoagulation pathway </w:t>
      </w:r>
    </w:p>
    <w:p w:rsidR="00F75EBE" w:rsidRPr="00B50D1A" w:rsidRDefault="00F75EBE" w:rsidP="00F75EBE">
      <w:pPr>
        <w:jc w:val="center"/>
      </w:pPr>
      <w:r w:rsidRPr="00B50D1A">
        <w:t>(Source: Self-created using MS Word)</w:t>
      </w:r>
    </w:p>
    <w:p w:rsidR="00F75EBE" w:rsidRPr="00B50D1A" w:rsidRDefault="00F75EBE" w:rsidP="00F75EBE">
      <w:r w:rsidRPr="00B50D1A">
        <w:t>Post-procedure documentation and weekend review, ward rounds, and pharmacy review could not break the pattern. Through the CARe model, HSSIB discussed the way the staff coped with the discrepancies between demand and capacity (Anderson and Ross, 2020). Paper task lists, transcription and re-referrals retained care and safety depended on the memory and personal attention. The adverse result was thus the poor recovery of the systems and not a single human mistake.</w:t>
      </w:r>
    </w:p>
    <w:p w:rsidR="00F75EBE" w:rsidRPr="00B50D1A" w:rsidRDefault="00F75EBE" w:rsidP="00F75EBE">
      <w:pPr>
        <w:pStyle w:val="Heading2"/>
      </w:pPr>
      <w:bookmarkStart w:id="9" w:name="_yk16c7472i61" w:colFirst="0" w:colLast="0"/>
      <w:bookmarkStart w:id="10" w:name="_Toc237279569"/>
      <w:bookmarkEnd w:id="9"/>
      <w:r w:rsidRPr="00B50D1A">
        <w:t>2.3 Rich Picture and Root-Cause Analysis</w:t>
      </w:r>
      <w:bookmarkEnd w:id="10"/>
    </w:p>
    <w:p w:rsidR="00F75EBE" w:rsidRPr="00B50D1A" w:rsidRDefault="00F75EBE" w:rsidP="00F75EBE">
      <w:pPr>
        <w:jc w:val="center"/>
      </w:pPr>
      <w:r w:rsidRPr="00B50D1A">
        <w:rPr>
          <w:noProof/>
          <w:lang w:val="en-US"/>
        </w:rPr>
        <w:drawing>
          <wp:inline distT="114300" distB="114300" distL="114300" distR="114300">
            <wp:extent cx="5003869" cy="2967038"/>
            <wp:effectExtent l="25400" t="25400" r="25400" b="2540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cstate="print"/>
                    <a:srcRect t="8559" b="8108"/>
                    <a:stretch>
                      <a:fillRect/>
                    </a:stretch>
                  </pic:blipFill>
                  <pic:spPr>
                    <a:xfrm>
                      <a:off x="0" y="0"/>
                      <a:ext cx="5003869" cy="2967038"/>
                    </a:xfrm>
                    <a:prstGeom prst="rect">
                      <a:avLst/>
                    </a:prstGeom>
                    <a:ln w="25400">
                      <a:solidFill>
                        <a:srgbClr val="000000"/>
                      </a:solidFill>
                      <a:prstDash val="solid"/>
                    </a:ln>
                  </pic:spPr>
                </pic:pic>
              </a:graphicData>
            </a:graphic>
          </wp:inline>
        </w:drawing>
      </w:r>
    </w:p>
    <w:p w:rsidR="00F75EBE" w:rsidRPr="00B50D1A" w:rsidRDefault="00F75EBE" w:rsidP="00F75EBE">
      <w:pPr>
        <w:jc w:val="center"/>
        <w:rPr>
          <w:b/>
          <w:bCs/>
        </w:rPr>
      </w:pPr>
      <w:r w:rsidRPr="00B50D1A">
        <w:rPr>
          <w:b/>
          <w:bCs/>
        </w:rPr>
        <w:t>Figure 2: Rich Picture of Patient X’s anticoagulation pathway</w:t>
      </w:r>
    </w:p>
    <w:p w:rsidR="00F75EBE" w:rsidRPr="00B50D1A" w:rsidRDefault="00F75EBE" w:rsidP="00F75EBE">
      <w:pPr>
        <w:jc w:val="center"/>
      </w:pPr>
      <w:r w:rsidRPr="00B50D1A">
        <w:lastRenderedPageBreak/>
        <w:t>(Source: Self-created using MS Word)</w:t>
      </w:r>
    </w:p>
    <w:p w:rsidR="00F75EBE" w:rsidRPr="00B50D1A" w:rsidRDefault="00F75EBE" w:rsidP="00F75EBE">
      <w:r w:rsidRPr="00B50D1A">
        <w:t>Patient X should be placed at the centre of the Rich Picture and be linked to the emergency department, acute general medical ward, respiratory team, radiology, pharmacy, ePMA/EPR systems, Trust guidance and senior governance. The inaccessible medical history, the closed respiratory referral, and the delayed CT scanning, absent post-procedure instructions and the uncompleted restart action should be signified by broken arrows. Capacity pressure, procedural delay, continued anticoagulant pause and increasing thrombotic exposure should be linked by the reinforcing loop.</w:t>
      </w:r>
    </w:p>
    <w:p w:rsidR="00F75EBE" w:rsidRPr="00B50D1A" w:rsidRDefault="00F75EBE" w:rsidP="00F75EBE">
      <w:r w:rsidRPr="00B50D1A">
        <w:t>The customers that are impacted by the system are Patient X and his family using the selected CATWOE elements. Actors are doctors, nurses, pharmacists, radiology staff and administrators. The change needed is movement between disjointed medication practices to well-coordinated and frequent anticoagulation review. The worldview behind it is that the harm caused by medication is made by the interplay of the conditions of the system, not a single action. The pertinent system is owned by the Trust clinical and executive leadership, and the workforce pressures, clinical uncertainty, specialist capacity and digital constraints are exemplified as environmental constraints.</w:t>
      </w:r>
    </w:p>
    <w:p w:rsidR="00F75EBE" w:rsidRPr="00B50D1A" w:rsidRDefault="00F75EBE" w:rsidP="00F75EBE">
      <w:pPr>
        <w:jc w:val="center"/>
      </w:pPr>
      <w:r w:rsidRPr="00B50D1A">
        <w:rPr>
          <w:noProof/>
          <w:lang w:val="en-US"/>
        </w:rPr>
        <w:drawing>
          <wp:inline distT="114300" distB="114300" distL="114300" distR="114300">
            <wp:extent cx="5174065" cy="2495823"/>
            <wp:effectExtent l="25400" t="25400" r="25400" b="2540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cstate="print"/>
                    <a:srcRect t="5907" b="11409"/>
                    <a:stretch>
                      <a:fillRect/>
                    </a:stretch>
                  </pic:blipFill>
                  <pic:spPr>
                    <a:xfrm>
                      <a:off x="0" y="0"/>
                      <a:ext cx="5174065" cy="2495823"/>
                    </a:xfrm>
                    <a:prstGeom prst="rect">
                      <a:avLst/>
                    </a:prstGeom>
                    <a:ln w="25400">
                      <a:solidFill>
                        <a:srgbClr val="000000"/>
                      </a:solidFill>
                      <a:prstDash val="solid"/>
                    </a:ln>
                  </pic:spPr>
                </pic:pic>
              </a:graphicData>
            </a:graphic>
          </wp:inline>
        </w:drawing>
      </w:r>
    </w:p>
    <w:p w:rsidR="00F75EBE" w:rsidRPr="00B50D1A" w:rsidRDefault="00F75EBE" w:rsidP="00F75EBE">
      <w:pPr>
        <w:jc w:val="center"/>
        <w:rPr>
          <w:b/>
          <w:bCs/>
        </w:rPr>
      </w:pPr>
      <w:r w:rsidRPr="00B50D1A">
        <w:rPr>
          <w:b/>
          <w:bCs/>
        </w:rPr>
        <w:t>Figure 3: Fishbone analysis of the Failure to Restart apixaban</w:t>
      </w:r>
    </w:p>
    <w:p w:rsidR="00F75EBE" w:rsidRPr="00B50D1A" w:rsidRDefault="00F75EBE" w:rsidP="00F75EBE">
      <w:pPr>
        <w:jc w:val="center"/>
      </w:pPr>
      <w:r w:rsidRPr="00B50D1A">
        <w:t>(Source: Self-created using MS Word)</w:t>
      </w:r>
    </w:p>
    <w:p w:rsidR="00F75EBE" w:rsidRPr="00B50D1A" w:rsidRDefault="00F75EBE" w:rsidP="00F75EBE">
      <w:r w:rsidRPr="00B50D1A">
        <w:lastRenderedPageBreak/>
        <w:t>A Fishbone analysis also categorises the root causes into people, processes, technology, environment and governance. These types cannot be considered independent, however. Indicatively, the incomplete restart action was linked to the congested paper handover, a shortage of portable computers, heavy workload, lack of weekend reviewing and post-procedure reminders. Clinical governance must offer accountability and continuous quality improvement (NHS England, 2026b). Conversely, HSSIB discovered outdated and inaccessible local guidance, conflicting apixaban pause and pharmacy or haematology involvement in the guideline review. The underlying issue was thus ineffective coordination between the controls that are there, not the absolute lack of controls.</w:t>
      </w:r>
    </w:p>
    <w:p w:rsidR="00F75EBE" w:rsidRPr="00B50D1A" w:rsidRDefault="00F75EBE" w:rsidP="00F75EBE">
      <w:pPr>
        <w:pStyle w:val="Heading1"/>
      </w:pPr>
      <w:bookmarkStart w:id="11" w:name="_273c45bm10de" w:colFirst="0" w:colLast="0"/>
      <w:bookmarkStart w:id="12" w:name="_Toc237279570"/>
      <w:bookmarkEnd w:id="11"/>
      <w:r w:rsidRPr="00B50D1A">
        <w:t>3.0 Decentralisation and Centralisation in the Case</w:t>
      </w:r>
      <w:bookmarkEnd w:id="12"/>
    </w:p>
    <w:p w:rsidR="00F75EBE" w:rsidRPr="00B50D1A" w:rsidRDefault="00F75EBE" w:rsidP="00F75EBE">
      <w:pPr>
        <w:pStyle w:val="Heading2"/>
      </w:pPr>
      <w:bookmarkStart w:id="13" w:name="_5b2atr2lp62r" w:colFirst="0" w:colLast="0"/>
      <w:bookmarkStart w:id="14" w:name="_Toc237279571"/>
      <w:bookmarkEnd w:id="13"/>
      <w:r w:rsidRPr="00B50D1A">
        <w:t>3.1 An NHS and Trust Hybrid Structure</w:t>
      </w:r>
      <w:bookmarkEnd w:id="14"/>
    </w:p>
    <w:p w:rsidR="00F75EBE" w:rsidRPr="00B50D1A" w:rsidRDefault="00F75EBE" w:rsidP="00F75EBE">
      <w:r w:rsidRPr="00B50D1A">
        <w:t>The English NHS is a mixture of centralised and decentralised. National organisations set laws, professional standards, patient safety, and clinical guidance. NHS trusts organise their services, assign local resources and establish organisational processes, and clinicians continue to make decisions at a patient level. The Health and Care Act 2022 enhanced the integration of areas with statutory bodies, the integrated care boards (Gov.uk, 2022). But, the case of Patient X primarily happened in an acute hospital Trust. The poor coordination of wards, clinical specialities, and digital systems could not be fixed independently by regional integration.</w:t>
      </w:r>
    </w:p>
    <w:p w:rsidR="00F75EBE" w:rsidRPr="00B50D1A" w:rsidRDefault="00F75EBE" w:rsidP="00F75EBE">
      <w:r w:rsidRPr="00B50D1A">
        <w:t>This mixed form is suitable in theory. Central authorities are unable to make all anticoagulation decisions since the risks of bleeding and clots vary depending on the specifics of individual clinical situations. On the other hand, local discretion is not limited and, thus, may foster uneven practice. According to Hibbert et al. (2023), the fundamental aspect of successful safety governance is the alignment of policies, staff support, organisational culture and learning. Similarly, Jalilvand et al. (2024) pinpoint accountability and distinct governance roles as the key constituents of safe hospital performance. These results suggest that centralisation or decentralisation is neither safer in itself, but the level of coordination of various levels is crucial.</w:t>
      </w:r>
    </w:p>
    <w:p w:rsidR="00F75EBE" w:rsidRPr="00B50D1A" w:rsidRDefault="00F75EBE" w:rsidP="00F75EBE">
      <w:pPr>
        <w:pStyle w:val="Heading2"/>
      </w:pPr>
      <w:bookmarkStart w:id="15" w:name="_p9uejztfnhep" w:colFirst="0" w:colLast="0"/>
      <w:bookmarkStart w:id="16" w:name="_Toc237279572"/>
      <w:bookmarkEnd w:id="15"/>
      <w:r w:rsidRPr="00B50D1A">
        <w:lastRenderedPageBreak/>
        <w:t>3.2 Centralised Controls: Pros and Cons</w:t>
      </w:r>
      <w:bookmarkEnd w:id="16"/>
    </w:p>
    <w:p w:rsidR="00F75EBE" w:rsidRPr="00B50D1A" w:rsidRDefault="00F75EBE" w:rsidP="00F75EBE">
      <w:r w:rsidRPr="00B50D1A">
        <w:t>The national guidance offered an evidence-based safety limit, which was centralised. NICE (2021) guidance mandated a re-evaluation of anticoagulation in cases where the risks of the patient had altered, and national haematology and thoracic guidance dealt with invasive and pleural operations. Standardisation would help to lower the levels of ambiguity, enhance auditing, and make accountability of high-risk medicines more transparent. Complex decision-making could also be endorsed by a formal hierarchical pathway to consultant, pharmacy or haematology consultation. Centralisation cannot, then, be equated to the detrimental authoritarian leadership. In case with high-risk medicines, central standards can minimise unwarranted clinical variation.</w:t>
      </w:r>
    </w:p>
    <w:p w:rsidR="00F75EBE" w:rsidRPr="00B50D1A" w:rsidRDefault="00F75EBE" w:rsidP="00F75EBE">
      <w:r w:rsidRPr="00B50D1A">
        <w:t>Nonetheless, the operation of these national controls was weak. Trust guidance was not up to date with the existing national evidence, one interim apixaban document was over seven years old, applicable guidance was hard to find and the staff had varying levels of knowledge (HSSIB, 2025). Pharmacy or haematology experience was not sufficiently in the guideline-review process. This shows that there is no much protection under central rules when local systems fail to convert them into practicable working systems.</w:t>
      </w:r>
    </w:p>
    <w:p w:rsidR="00F75EBE" w:rsidRPr="00B50D1A" w:rsidRDefault="00F75EBE" w:rsidP="00F75EBE">
      <w:r w:rsidRPr="00B50D1A">
        <w:t>Professional and departmental boundaries were also brought about by hierarchy. The patient was referred to the respiratory team, however, before the patient was transferred, the medical ward consultant was in charge of clinical responsibility. The respiratory staff did not have the capacity to look at each and every patient that was taken in, pending the specialist bed. Ward staff decided that higher authority was necessary which led to escalation. There was, therefore, formal accountability, yet Patient X traversed between different accountability domains. Further policies would not inherently solve such an issue unless those policies were up-to-date, available and associated with a decision owner.</w:t>
      </w:r>
    </w:p>
    <w:p w:rsidR="00F75EBE" w:rsidRPr="00B50D1A" w:rsidRDefault="00F75EBE" w:rsidP="00F75EBE">
      <w:pPr>
        <w:pStyle w:val="Heading2"/>
      </w:pPr>
      <w:bookmarkStart w:id="17" w:name="_r2hxo3n5oc2o" w:colFirst="0" w:colLast="0"/>
      <w:bookmarkStart w:id="18" w:name="_Toc237279573"/>
      <w:bookmarkEnd w:id="17"/>
      <w:r w:rsidRPr="00B50D1A">
        <w:t>3.3 Decentralised Judgement and Fragmented Ownership</w:t>
      </w:r>
      <w:bookmarkEnd w:id="18"/>
    </w:p>
    <w:p w:rsidR="00F75EBE" w:rsidRPr="00B50D1A" w:rsidRDefault="00F75EBE" w:rsidP="00F75EBE">
      <w:r w:rsidRPr="00B50D1A">
        <w:t xml:space="preserve">Decentralised clinical authority enabled emergency, medical and respiratory clinicians to react to the evolving bleeding, pleural and stroke dangers of Patient X. It also allowed nurses to intensify the process of deterioration and allowed a resident doctor to plan the reintroduction of apixaban following the assessment of blood results. This had to be by way of such professional discretion </w:t>
      </w:r>
      <w:r w:rsidRPr="00B50D1A">
        <w:lastRenderedPageBreak/>
        <w:t>since national guidance recognises clinical uncertainty. The benefits of decentralisation thus are responsiveness, application of professional experience and decision-making which are individualised.</w:t>
      </w:r>
    </w:p>
    <w:p w:rsidR="00F75EBE" w:rsidRPr="00B50D1A" w:rsidRDefault="00F75EBE" w:rsidP="00F75EBE">
      <w:r w:rsidRPr="00B50D1A">
        <w:t>But power was decentralised without a correspondingly powerful assignment of ownership. The medical ward anticipated respiratory input, the respiratory team anticipated re-referral in case of delays, radiology prioritised the CT scan without the anticoagulation risk being explicitly mentioned, and the ePMA system showed the medication pause and needed no action. Decentralisation also led to lack of responsibility and silos of professionals and reliance on personal memory.</w:t>
      </w:r>
    </w:p>
    <w:p w:rsidR="00F75EBE" w:rsidRPr="00B50D1A" w:rsidRDefault="00F75EBE" w:rsidP="00F75EBE">
      <w:r w:rsidRPr="00B50D1A">
        <w:t>Decentralisation was not the problem, but the many hands, lack of accountability in a closed loop. A less risky practice would be to mix central minimum controls, including a rationale that must be stated, named the owner, date of review, post-procedure prompt and audit, and decentralised multidisciplinary judgement with medicine, respiratory care, pharmacy, nursing and, where required, haematology. This would maintain local clinical responsiveness and would create an overt line of feedback. Autonomy needs the availability of information, sufficient capacity, and escalation support; without providing these conditions, autonomy turns out to be fractured responsibility instead of professional practice empowered.</w:t>
      </w:r>
    </w:p>
    <w:p w:rsidR="00F75EBE" w:rsidRPr="00B50D1A" w:rsidRDefault="00F75EBE" w:rsidP="00F75EBE">
      <w:pPr>
        <w:pStyle w:val="Heading1"/>
      </w:pPr>
      <w:bookmarkStart w:id="19" w:name="_kv1p2k5vdo5o" w:colFirst="0" w:colLast="0"/>
      <w:bookmarkStart w:id="20" w:name="_Toc237279574"/>
      <w:bookmarkEnd w:id="19"/>
      <w:r w:rsidRPr="00B50D1A">
        <w:t>4.0 Theory of Leadership and Its Use</w:t>
      </w:r>
      <w:r>
        <w:t xml:space="preserve"> in case study</w:t>
      </w:r>
      <w:bookmarkEnd w:id="20"/>
    </w:p>
    <w:p w:rsidR="00F75EBE" w:rsidRPr="00B50D1A" w:rsidRDefault="00F75EBE" w:rsidP="00F75EBE">
      <w:pPr>
        <w:pStyle w:val="Heading2"/>
      </w:pPr>
      <w:bookmarkStart w:id="21" w:name="_d8g7r1zfyxmu" w:colFirst="0" w:colLast="0"/>
      <w:bookmarkStart w:id="22" w:name="_Toc237279575"/>
      <w:bookmarkEnd w:id="21"/>
      <w:r w:rsidRPr="00B50D1A">
        <w:t>4.1 Mintzberg’s Managerial Roles</w:t>
      </w:r>
      <w:bookmarkEnd w:id="22"/>
    </w:p>
    <w:p w:rsidR="00F75EBE" w:rsidRPr="00B50D1A" w:rsidRDefault="00F75EBE" w:rsidP="00F75EBE">
      <w:r w:rsidRPr="00B50D1A">
        <w:t>Mintzberg (1973) categorises managerial work as inter-personal, information and decisional work. This model comes in handy since the pathway of Patient X needed to be driven through the lines of professional boundaries, as opposed to a single executive move. Even Huikko-Tarvainen et al. (2025) discovered that the roles of Mintzberg are still relevant in physician leadership, especially in clinical and managerial roles where the roles intersect. That said, they were relying on the perceptions of medical students, which implies that their evidence is more in favour of the educational relevance of the model than its impact on patient outcomes.</w:t>
      </w:r>
    </w:p>
    <w:p w:rsidR="00F75EBE" w:rsidRPr="00B50D1A" w:rsidRDefault="00F75EBE" w:rsidP="00F75EBE">
      <w:r w:rsidRPr="00B50D1A">
        <w:t xml:space="preserve">The weakest informational leadership roles were the monitor and disseminator roles. Leaders should have monitored the length and evolving reason of the medication pause, the stroke history </w:t>
      </w:r>
      <w:r w:rsidRPr="00B50D1A">
        <w:lastRenderedPageBreak/>
        <w:t>of Patient X and share a common anticoagulation plan. The data were stored at multiple locations and they were not turned into collective situational awareness. Interpersonally, there was the liaison between the acute general medical ward, respiratory service, radiology and pharmacy. Acceptance of referral without ongoing specialist assessment shows that formal handover may exist in the absence of a positive relational organisation.</w:t>
      </w:r>
    </w:p>
    <w:p w:rsidR="00F75EBE" w:rsidRDefault="00F75EBE" w:rsidP="00F75EBE">
      <w:r w:rsidRPr="00B50D1A">
        <w:t>Decisional roles were also lacking. The unforeseen procedural delay ought to have been handled as a change by a disturbance handler which necessitated recalculation of anticoagulation. The resource-allocator job was also critical since respiratory beds, specialist nursing, administrative coordinator, middle-grade medical support and portable computers defined what the staff could accomplish safely. However, the framework presented by Mintzberg primarily outlines what managers ought to do, it does not fully clarify why the staff did not question the ongoing stagnation or why organisational protective mechanisms were rather weak. It should be then integrated with situational, autocratic, democratic and laissez-faire leadership in the following analysis to evaluate behaviour, staff voice and accountability.</w:t>
      </w:r>
    </w:p>
    <w:p w:rsidR="00F75EBE" w:rsidRDefault="00F75EBE" w:rsidP="00F75EBE">
      <w:pPr>
        <w:pStyle w:val="Heading2"/>
      </w:pPr>
      <w:bookmarkStart w:id="23" w:name="_Toc237279576"/>
      <w:r>
        <w:t>4.2 Autocratic and transactional Leadership</w:t>
      </w:r>
      <w:bookmarkEnd w:id="23"/>
    </w:p>
    <w:p w:rsidR="00F75EBE" w:rsidRDefault="00F75EBE" w:rsidP="00F75EBE">
      <w:r>
        <w:t>At times of imminent hazard autocratic leadership is justifiable: a consultant might insist upon a designated owner and same-day review of all stalled anticoagulants. The pathway of patient X was not that of a reactive one: individual issues were snowballed out of control without an overall control. The transactional leadership will be more appropriate with reliability of routine since it transforms the routine review, rationale and escalation into expectations that can be audited. Nevertheless, rewards and sanctions can result in box-ticking with work overloads. In one qualitative study, constraints on safety leadership were resource shortage and poor collaboration but its one-site design restricts its generalizability (Palweni et al., 2023). Twelve quantitative studies related transactional and transformational styles to a positive effect on teamwork, learning and communication, but eight studies were cross-sectional (Althobaiti, 2026). A mixed-methods analysis of 15 medication-safety studies observed mixed effects of transactional control, with indications that task control must be under relational support (Dirik et al., 2026).</w:t>
      </w:r>
    </w:p>
    <w:p w:rsidR="00F75EBE" w:rsidRDefault="00F75EBE" w:rsidP="00F75EBE">
      <w:pPr>
        <w:pStyle w:val="Heading2"/>
      </w:pPr>
      <w:bookmarkStart w:id="24" w:name="_Toc237279577"/>
      <w:r>
        <w:lastRenderedPageBreak/>
        <w:t>4.3 Democratic and Transformational Leadership</w:t>
      </w:r>
      <w:bookmarkEnd w:id="24"/>
    </w:p>
    <w:p w:rsidR="00F75EBE" w:rsidRDefault="00F75EBE" w:rsidP="00F75EBE">
      <w:r>
        <w:t xml:space="preserve">During the delay, the ward, respiratory, radiology and pharmacy teams would have been involved in a single risk conversation under the democratic leadership. It must not delay the need to act urgently, informing the multidisciplinary review. Transformational leadership provides an element of common purpose: an unapproved halted high-risk medicine is an active clinical choice. </w:t>
      </w:r>
      <w:r w:rsidRPr="0085612B">
        <w:t>A 212 participant study has determined that transformational, compared to transactional, leadership, is more strongly related to change readiness; however, it is cross-sectional and, therefore, does not establish causality (Mekonnen and Bayissa, 2023). Shared transformational leadership enables team members to challenge unsafe stops; multilevel study provided an association between it and safety compliance and participation, and maritime data indicated that mechanical transfer of healthcare has to be carried out carefully (Lyubykh et al., 2022). In a different review that examined 12 reviews and 85 outcomes, relational leadership was associated with benefiting staff and patients, although less outcomes examined patient outcomes (Hult et al., 2023). The scoping review of 62 studies found transformational leadership in 69.57% of the reported styles, but its prevalence might have been influenced by the tendency to focus on this type of leadership instead of its inherent effectiveness (Pérez-González et al., 2024).</w:t>
      </w:r>
    </w:p>
    <w:p w:rsidR="00F75EBE" w:rsidRDefault="00F75EBE" w:rsidP="00F75EBE">
      <w:pPr>
        <w:pStyle w:val="Heading2"/>
      </w:pPr>
      <w:bookmarkStart w:id="25" w:name="_Toc237279578"/>
      <w:r>
        <w:t>4.4 Situational Leadership</w:t>
      </w:r>
      <w:bookmarkEnd w:id="25"/>
    </w:p>
    <w:p w:rsidR="00F75EBE" w:rsidRDefault="00F75EBE" w:rsidP="00F75EBE">
      <w:r>
        <w:t>The situational leadership describes the reason why no one style is adequate. In acute epistaxis, apixaban was the correct suspension to suspend. When the bleeding stopped and the time disappeared, the leaders had to be involved: seek expert opinions, re-estimate conflicting risks and establish an assessment point. Direction must then be made clearer- affirm haemostasis, delegating restart and confirming it is done. A scoping review identified 19 nursing applications, but there was a low reporting transparency and lack of validated measures (Wang et al., 2024). It does not therefore provide evidence of better results, it just a structuring principle. A strategic, supportive, participatory and communicative leadership which are quality-enabling characteristics was also found in a systematic review of 15 healthcare studies but inconsistent evidence led to no one best-style finding (Friman et al., 2025). It should be protocol-limited to adaptation and ensure supervision in accordance with competence and workload and maintenance of junior staff with escalation.</w:t>
      </w:r>
    </w:p>
    <w:p w:rsidR="00F75EBE" w:rsidRDefault="00F75EBE" w:rsidP="00F75EBE">
      <w:pPr>
        <w:pStyle w:val="Heading2"/>
      </w:pPr>
      <w:bookmarkStart w:id="26" w:name="_Toc237279579"/>
      <w:r>
        <w:lastRenderedPageBreak/>
        <w:t>4.5 Laissez-faire Leadership</w:t>
      </w:r>
      <w:bookmarkEnd w:id="26"/>
    </w:p>
    <w:p w:rsidR="00F75EBE" w:rsidRDefault="00F75EBE" w:rsidP="00F75EBE">
      <w:r>
        <w:t>Laissez-faire behaviour is the least suitable to a long high risk lapse. In this case, there was an incomplete restart intention, referral closure and weekend discontinuity which existed without ownership. Real leadership training of 36 head nurses and 153 nurses enhanced both the scores of empowerment and safety-climate in 6 months, but a one-group study design cannot rule out the secular effects (Dirik and Intepeler, 2024). The correlation between hospital modelling, authentic leadership, and relational cultures with quality management as a pertinent factor is supported by self-report and cross-sectional data, and one Canadian context undermines causal arguments (Tate et al., 2023). It would be better to have an amalgamation approach: transactional controls, situational adaptation, democratic challenge, transformational purpose and restricted autocratic direction in the case of immediate danger. It is the recovery manifested in the wards, professions and weekends - overdue pauses discovered and dissolved - that should be considered effective, rather than the supposed style of the leaders.</w:t>
      </w:r>
    </w:p>
    <w:p w:rsidR="00F75EBE" w:rsidRDefault="00F75EBE" w:rsidP="00F75EBE">
      <w:pPr>
        <w:pStyle w:val="Heading1"/>
      </w:pPr>
      <w:bookmarkStart w:id="27" w:name="_Toc237279580"/>
      <w:r>
        <w:t>5.0 Improvement and Lessons Learned</w:t>
      </w:r>
      <w:bookmarkEnd w:id="27"/>
    </w:p>
    <w:p w:rsidR="00F75EBE" w:rsidRDefault="00F75EBE" w:rsidP="00F75EBE">
      <w:pPr>
        <w:pStyle w:val="Heading2"/>
      </w:pPr>
      <w:bookmarkStart w:id="28" w:name="_Toc237279581"/>
      <w:r>
        <w:t>5.1 Leadership-Governance Interaction and Missed Opportunities</w:t>
      </w:r>
      <w:bookmarkEnd w:id="28"/>
    </w:p>
    <w:p w:rsidR="00F75EBE" w:rsidRDefault="00F75EBE" w:rsidP="00F75EBE">
      <w:r>
        <w:t>The result was due to the dissimilarity between the governance and clinical leadership. There was a sense of trust advised, ePMA showed on hold and ward rounds had been made and specialists could be contacted but none of them transformed the pause to an action with a time limit. The leaders were confronted with individual operational pressures compared to the thrombotic risk that was building up. Losses of opportunities were; a delay in the procedure, the respiratory referral was terminated, the post procedure plan did not include apixaban, the day-11 intention was not implemented and weekend review did not restore the situation (HSSIB, 2025). This was active clinical practice at secluded times but responsive trailblazer leadership in general. Digitalisation would not be enough: a seven-year analysis revealed that a closed-loop medication system decreased the number of errors in the short- and medium-term but did not do so in the long-term, and communication continued to be prominent (Yin et al., 2024). Governance should hence, be precise on responsibility and feedback, rather than just show information.</w:t>
      </w:r>
    </w:p>
    <w:p w:rsidR="00F75EBE" w:rsidRDefault="00F75EBE" w:rsidP="00F75EBE">
      <w:pPr>
        <w:pStyle w:val="Heading2"/>
      </w:pPr>
      <w:bookmarkStart w:id="29" w:name="_Toc237279582"/>
      <w:r>
        <w:lastRenderedPageBreak/>
        <w:t>5.2 Proposed anticoagulation pause-review-restart bundle</w:t>
      </w:r>
      <w:bookmarkEnd w:id="29"/>
    </w:p>
    <w:p w:rsidR="00F75EBE" w:rsidRDefault="00F75EBE" w:rsidP="00F75EBE">
      <w:r>
        <w:t>The suggested change is an Anticoagulation Pause-Review-Restart (APRR) Bundle which is based on closed-loop control and situational leadership. Pausation of anticoagulant should be mandated by ePMA with a request on the clinical purpose, approximate duration, date of review and medical owner. Active pauses would be indicated on a colour-coded dashboard that would display them to ward and pharmacy teams. In the event of the review time elapsing, an alert that is context sensitive must be first sent to the owner then to the consultant and the pharmacist. Notifications should be discriminative: a single assessment of 10,556 decision-support notifications resulted in 72.4% of acceptance and high-satisfaction among clinicians with discriminative algorithms and filtering of pharmacists; anticoagulant notifications got the highest usefulness scores (Dahmke et al., 2023). This justifies a high-specificity design as opposed to generic warnings that are repeated.</w:t>
      </w:r>
    </w:p>
    <w:p w:rsidR="00F75EBE" w:rsidRDefault="00F75EBE" w:rsidP="00F75EBE">
      <w:r>
        <w:t>The APRR Bundle would also involve: a high-risk-medicine-paused on rounds during the day and evening; rounding with the pharmacy; reconsideration when the time of the procedure is changed; and a haemostasis, restarting decision, dose, time and owner checklist post-procedure. The ISBAR handover of transfers between teams would be a short handover with a read-back and confirmation of the accepting team taking responsibility. Four months of handover project demonstrated 100% ISBAR content of all detected huddles and 90% of the surveyed staff members reported an increase in safety, but only 69 percent of eligible handovers were recorded, indicating that fidelity to implementation needs to be assessed (Barzegar et al., 2022). Family and patient triggers, such as, Why is it held, when it is reviewed and who will jump-start it again would be another line of recovery without shifting the responsibility to them.</w:t>
      </w:r>
    </w:p>
    <w:p w:rsidR="00F75EBE" w:rsidRDefault="00F75EBE" w:rsidP="00F75EBE">
      <w:pPr>
        <w:pStyle w:val="Heading2"/>
      </w:pPr>
      <w:bookmarkStart w:id="30" w:name="_Toc237279583"/>
      <w:r>
        <w:t>5.3 Analysis using Soft and Hard Systems</w:t>
      </w:r>
      <w:bookmarkEnd w:id="30"/>
    </w:p>
    <w:p w:rsidR="00F75EBE" w:rsidRDefault="00F75EBE" w:rsidP="00F75EBE">
      <w:r>
        <w:t xml:space="preserve">The implementation should be preceded with Soft Systems Methodology (SSM) since the stakeholders might have a different interpretation of the problem: a clinical uncertainty may be seen as a problem by clinicians, a gap in the pharmacy records is seen by managers, an IT alert-design problem is seen by patients, and a lack of capacity is seen by managers. Comparisons between the current Rich Picture and a CATWOE root definition: a Trust-owned system where multidisciplinary actors change an unlimited pause into a clearly reviewed and signed decision </w:t>
      </w:r>
      <w:r>
        <w:lastRenderedPageBreak/>
        <w:t>on behalf of patients, within the scope of work, within evidence and within digital limits should be facilitated workshops. In redesigning workload allocation in the hospital clinic, SSM has been used in conjunction with PDCA, although it is a conceptual model specific to the context that facilitates learning better than makes generalisable outcome claims (Drei et al., 2023).</w:t>
      </w:r>
    </w:p>
    <w:p w:rsidR="00F75EBE" w:rsidRDefault="00F75EBE" w:rsidP="00F75EBE">
      <w:r>
        <w:t>The bundle should be tested using three 12-week PDSA cycles in the process of the hard-system evaluation. The percentage of all pauses, which have all the required fields, have been reviewed in time, and documented following a procedure and handover on weekends is the process measures. Outcome measures include median pause time beyond clinical intention, omissions due to anticoagulant, bleeding, thromboembolic and avoidable bed-days. The balancing measures include the alert volume, override rate, pharmacist minutes, delayed procedures and staff-reported workload. Findings ought to be stratified by ward, weekend and protected, better documentation with fewer overdue pauses would signify compliance with administration, and not safer care.</w:t>
      </w:r>
    </w:p>
    <w:p w:rsidR="00F75EBE" w:rsidRDefault="00F75EBE" w:rsidP="00F75EBE">
      <w:pPr>
        <w:pStyle w:val="Heading2"/>
      </w:pPr>
      <w:bookmarkStart w:id="31" w:name="_Toc237279584"/>
      <w:r>
        <w:t>5.4 Risks and Mitigation</w:t>
      </w:r>
      <w:bookmarkEnd w:id="31"/>
    </w:p>
    <w:p w:rsidR="00F75EBE" w:rsidRDefault="00F75EBE" w:rsidP="00F75EBE">
      <w:r>
        <w:t>The key risks include alert fatigue, inflexible restarting despite bleeding, work transfer to pharmacy, workarounds, punitive audit, as well as inequitable specialist review. Mitigation involves risk-tiered alarms, approved clinical override and rationality, 24/7 escalation criterion, secured pharmacy holding, usability testing and no-blame monthly review. It should not be policy circulation but simulation of delayed and cancelled procedures, which should be a part of training. One multisite hospital study identified that soft human-resource practices (e.g., participation, teamwork and training) were closely related to a quality-improvement climate, and climate was not directly related to perceived performance (De Koeijer et al., 2024). Therefore, employee involvement is required and should be accompanied with the monitoring of results. Scale-up should be halted by the Trust when the alert load starts to increase and there is no improvement, or bleeding damage rises.</w:t>
      </w:r>
    </w:p>
    <w:p w:rsidR="00F75EBE" w:rsidRDefault="00F75EBE" w:rsidP="00F75EBE">
      <w:pPr>
        <w:pStyle w:val="Heading2"/>
      </w:pPr>
      <w:bookmarkStart w:id="32" w:name="_Toc237279585"/>
      <w:r>
        <w:t>5.5 Transferable Lesson</w:t>
      </w:r>
      <w:bookmarkEnd w:id="32"/>
    </w:p>
    <w:p w:rsidR="00F75EBE" w:rsidRDefault="00F75EBE" w:rsidP="00F75EBE">
      <w:r>
        <w:t xml:space="preserve">The main point is that standardisation and autonomy are the two sides of a coin. The minimum safety architecture needs to be characterized by central control; individual risk decisions must be made by distributed teams and communicated. Evidence should be spread via dashboards, </w:t>
      </w:r>
      <w:r>
        <w:lastRenderedPageBreak/>
        <w:t>multidisciplinary review and iterative learning in such a way that a temporary hiatus can be reasonably imposed without turning into an omission of indefinite nature.</w:t>
      </w:r>
    </w:p>
    <w:p w:rsidR="00F75EBE" w:rsidRDefault="00F75EBE" w:rsidP="00F75EBE">
      <w:pPr>
        <w:pStyle w:val="Heading1"/>
      </w:pPr>
      <w:bookmarkStart w:id="33" w:name="_Toc237279586"/>
      <w:r>
        <w:t>6.0 Recommendations</w:t>
      </w:r>
      <w:bookmarkEnd w:id="33"/>
    </w:p>
    <w:p w:rsidR="00F75EBE" w:rsidRDefault="00F75EBE" w:rsidP="00F75EBE">
      <w:pPr>
        <w:pStyle w:val="Heading2"/>
      </w:pPr>
      <w:bookmarkStart w:id="34" w:name="_Toc237279587"/>
      <w:r>
        <w:t>6.1 Strengthen Anticoagulation Governance</w:t>
      </w:r>
      <w:bookmarkEnd w:id="34"/>
    </w:p>
    <w:p w:rsidR="00F75EBE" w:rsidRDefault="00F75EBE" w:rsidP="00F75EBE">
      <w:r>
        <w:t>The Trust is to have an executive medication-safety sponsor and multidisciplinary anticoagulation group, which would represent clinical teams, pharmacy, nursing, digital services and patients. It must substitute the contradicting documents with one procedure that is searchable that includes bleeding, the procedure delay, transfer, weekends and post procedure starting. The reason, the deadline to own and review should be obligatory and otherwise, the review should be escalated. Pharmacy ought to assess halted anticoagulants within 24 hours and following the change of care. In a small study, pharmacist-led reconciliation identified 40 pharmacist errors in 31 patients but the Trust must be piloted to and tested cost-effective at the local level instead of replicating (Zheng et al., 2024).</w:t>
      </w:r>
    </w:p>
    <w:p w:rsidR="00F75EBE" w:rsidRDefault="00F75EBE" w:rsidP="00F75EBE">
      <w:pPr>
        <w:pStyle w:val="Heading2"/>
      </w:pPr>
      <w:bookmarkStart w:id="35" w:name="_Toc237279588"/>
      <w:r>
        <w:t>6.2 Develop Leadership and Workforce and Communication</w:t>
      </w:r>
      <w:bookmarkEnd w:id="35"/>
    </w:p>
    <w:p w:rsidR="00F75EBE" w:rsidRDefault="00F75EBE" w:rsidP="00F75EBE">
      <w:r>
        <w:t>Directive action to be employed by clinical leaders on immediate risk, transactional standards to review, transformational communication to share purpose, and democratic, situational discussion in case of uncertainty. A designated anticoagulation lead, nurse or pharmacist safety champion on each ward should be named, however, the responsible prescriber must be identifiable. High-risk medicines to pause during huddles and handover at the end of the day and at the weekend should be based on the use of ISBAR and a read-back. Pharmacy time protection, weekend review, senior advise and simulation training should be offered by workforce planning. Omissions should be raised by the staff without any fear, as lapses by the system keep being reported by the leaders. This should be implemented in one acute medical ward initially and fortnightly feedback provided then extended to Trust-wide. Rota gaps, response time in escalation and completion of training should be reviewed by the leaders on monthly basis with any reformatory action being owned formally by the divisional management and board assurance.</w:t>
      </w:r>
    </w:p>
    <w:p w:rsidR="00F75EBE" w:rsidRDefault="00F75EBE" w:rsidP="00F75EBE">
      <w:pPr>
        <w:pStyle w:val="Heading2"/>
      </w:pPr>
      <w:bookmarkStart w:id="36" w:name="_Toc237279589"/>
      <w:r>
        <w:lastRenderedPageBreak/>
        <w:t>6.3 Enhance Technical and Allocative efficiency</w:t>
      </w:r>
      <w:bookmarkEnd w:id="36"/>
    </w:p>
    <w:p w:rsidR="00F75EBE" w:rsidRDefault="00F75EBE" w:rsidP="00F75EBE">
      <w:r>
        <w:t>Technical efficiency implies the implementation of EPR, ePMA, procedure scheduling and dashboards, elimination of duplicated transcription and display of a single up-to-date anticoagulation plan. The Trust ought to gauge the false-positive notifications and reconciliation time, and eliminate low-value actions. Allocative efficiency refers to the allocation of scarce pharmacy, haematology and digital capacity to long pauses, history of stroke, kidney dysfunction, multiple transitions / different dates of procedure. It was proposed that research in the field of networks implies the possibility of a trade-off between quality and access and narrow efficiency scores; consequently, the decisions must focus on evaluating safety and access in conjunction with throughput (Afonso et al., 2024). Business case will need to compare implementation cost with averted harm and bed-days, and maintaining weekend and surge capacity.</w:t>
      </w:r>
    </w:p>
    <w:p w:rsidR="00F75EBE" w:rsidRDefault="00F75EBE" w:rsidP="00F75EBE">
      <w:pPr>
        <w:pStyle w:val="Heading2"/>
      </w:pPr>
      <w:bookmarkStart w:id="37" w:name="_Toc237279590"/>
      <w:r>
        <w:t>6.4 Ongoing Learning, stakeholder involvement and Co-production</w:t>
      </w:r>
      <w:bookmarkEnd w:id="37"/>
    </w:p>
    <w:p w:rsidR="00F75EBE" w:rsidRDefault="00F75EBE" w:rsidP="00F75EBE">
      <w:r>
        <w:t>The APRR Bundle ought to employ quarterly PDSA cycles, monthly run charts and quick glance whenever a stoppage goes beyond its intended limit. A review of 87 studies identified that continuous quality improvement has the potential to enhance coordination, safety and efficiency; cultural, technical, structural and strategic barriers frequently hinder the implementation (Endalamaw et al., 2024). The Trust must share learning at the ward level with no blame, and evaluate the safety culture, work load and equity and clinical outcome.</w:t>
      </w:r>
    </w:p>
    <w:p w:rsidR="00F75EBE" w:rsidRDefault="00F75EBE" w:rsidP="00F75EBE">
      <w:r>
        <w:t xml:space="preserve">Co-production should not only be in asking the patients to spot the mistakes. An analysis of 98 studies revealed that the majority of the engagement was either direct-care or that it was not at an organisational or system level (Cai et al., 2024). The alert wording, bedside explanation, discharge information, escalation route as well as, evaluation questions should therefore be co-designed by patient and carer representatives. Participants should have a meeting that is compensated, providing an accessible format and involving those with communication needs. Otherwise, co-design may be tokenistic; in practice, it is suggested that it should be followed by a prolonged process of thought and movement towards the consultation to the true partnership (Xiao et al., 2023). With outcome, process, balancing, cost and patient-experience evidence, </w:t>
      </w:r>
      <w:r>
        <w:lastRenderedPageBreak/>
        <w:t>arbitrary changes to adapt, scale or withdraw elements should be made based on reviews after six and twelve months.</w:t>
      </w:r>
    </w:p>
    <w:p w:rsidR="00F75EBE" w:rsidRDefault="00F75EBE" w:rsidP="00F75EBE">
      <w:pPr>
        <w:pStyle w:val="Heading1"/>
      </w:pPr>
      <w:bookmarkStart w:id="38" w:name="_Toc237279591"/>
      <w:r>
        <w:t>7.0 Conclusion</w:t>
      </w:r>
      <w:bookmarkEnd w:id="38"/>
    </w:p>
    <w:p w:rsidR="00F75EBE" w:rsidRDefault="00F75EBE" w:rsidP="00F75EBE">
      <w:r>
        <w:t>The first apixaban pause of patient X was clinically justifiable; the only failure that was preventable was that it did not stop with the initial rationale, timetable and risk balance but persisted. The impact of a fragmented responsibility, lack of access to history, delayed diagnostics, weak communication, and pressure of work and an ePMA status that does not have a review mechanism supported each other. The national standards with the local discretion were provided by the hybrid structure, but without the ties of ownership and feedback.</w:t>
      </w:r>
    </w:p>
    <w:p w:rsidR="00F75EBE" w:rsidRDefault="00F75EBE" w:rsidP="00F75EBE">
      <w:r>
        <w:t>There was lack of leadership but this was miscoordinated. Necessary action against risk would have been sorted out by autocratic direction, review reliability would have been ensured under transactional controls, ownership would have been created by democratic and transformational behaviours. Situational leadership incorporates these reactions, as long as there is some adaptation within the confines of the mandatory governance. The APRR Bundle converts that synthesis into an owner (named), a timed review, specific alerts, pharmacy control, formal handover and assured post-procedure action.</w:t>
      </w:r>
    </w:p>
    <w:p w:rsidR="00F75EBE" w:rsidRPr="00B50D1A" w:rsidRDefault="00F75EBE" w:rsidP="00F75EBE">
      <w:r>
        <w:t>Competing perspectives can influence implementation with SSM and through Co-production, whereas technological compliance cannot be confused with improvements through PDSA cycles and outcome, process, balancing and equity measures. Sustainable change in turn demands additional leadership to another rule: it demands combined digital controls, an adequacy of workforce, a psychologically secure challenge and executive responsibility. Other organisations ought to consider each halted high-risk medicine as a dynamic, retraceable resolution and develop paths that can identify and mend any missing outliers prior to causing any damages.</w:t>
      </w:r>
    </w:p>
    <w:p w:rsidR="00F75EBE" w:rsidRPr="00B50D1A" w:rsidRDefault="00F75EBE" w:rsidP="00F75EBE">
      <w:r w:rsidRPr="00B50D1A">
        <w:br w:type="page"/>
      </w:r>
    </w:p>
    <w:p w:rsidR="00F75EBE" w:rsidRPr="00B50D1A" w:rsidRDefault="00F75EBE" w:rsidP="00F75EBE">
      <w:pPr>
        <w:pStyle w:val="Heading1"/>
      </w:pPr>
      <w:bookmarkStart w:id="39" w:name="_s5kme52uqqkr" w:colFirst="0" w:colLast="0"/>
      <w:bookmarkStart w:id="40" w:name="_Toc237279592"/>
      <w:bookmarkEnd w:id="39"/>
      <w:r w:rsidRPr="00B50D1A">
        <w:lastRenderedPageBreak/>
        <w:t>References</w:t>
      </w:r>
      <w:bookmarkEnd w:id="40"/>
    </w:p>
    <w:p w:rsidR="00F75EBE" w:rsidRDefault="00F75EBE" w:rsidP="00F75EBE">
      <w:pPr>
        <w:spacing w:before="0" w:after="160"/>
      </w:pPr>
      <w:r w:rsidRPr="00894E05">
        <w:t>Afonso, G.P., Ferreira, D.C. and Figueira, J.R., 2024. A Network-DEA model to evaluate the impact of quality and access on hospital performance. </w:t>
      </w:r>
      <w:r w:rsidRPr="00894E05">
        <w:rPr>
          <w:i/>
          <w:iCs/>
        </w:rPr>
        <w:t>Annals of Operations Research</w:t>
      </w:r>
      <w:r w:rsidRPr="00894E05">
        <w:t>, </w:t>
      </w:r>
      <w:r w:rsidRPr="00894E05">
        <w:rPr>
          <w:i/>
          <w:iCs/>
        </w:rPr>
        <w:t>342</w:t>
      </w:r>
      <w:r w:rsidRPr="00894E05">
        <w:t>(3), pp.2169-2199.</w:t>
      </w:r>
      <w:hyperlink r:id="rId7" w:history="1">
        <w:r w:rsidRPr="00B342EB">
          <w:rPr>
            <w:rStyle w:val="Hyperlink"/>
          </w:rPr>
          <w:t>https://doi.org/10.1007/s10479-023-05362-x</w:t>
        </w:r>
      </w:hyperlink>
    </w:p>
    <w:p w:rsidR="00F75EBE" w:rsidRPr="00B50D1A" w:rsidRDefault="00F75EBE" w:rsidP="00F75EBE">
      <w:pPr>
        <w:spacing w:before="0" w:after="160"/>
        <w:rPr>
          <w:color w:val="1155CC"/>
          <w:u w:val="single"/>
        </w:rPr>
      </w:pPr>
      <w:r w:rsidRPr="00B50D1A">
        <w:t xml:space="preserve">Alrowily, A., Alfaraidy, K., Almutairi, S., Alamri, A., Alrowily, W., Abutaleb, M., Zaitoun, M., Sarawi, W. and Aljead, M., 2025. High-risk medication errors: Insight from the UK National Reporting and learning system. </w:t>
      </w:r>
      <w:r w:rsidRPr="00B50D1A">
        <w:rPr>
          <w:i/>
          <w:iCs/>
        </w:rPr>
        <w:t>Exploratory Research in Clinical and Social Pharmacy</w:t>
      </w:r>
      <w:r w:rsidRPr="00B50D1A">
        <w:t xml:space="preserve">, </w:t>
      </w:r>
      <w:r w:rsidRPr="00B50D1A">
        <w:rPr>
          <w:i/>
          <w:iCs/>
        </w:rPr>
        <w:t>17</w:t>
      </w:r>
      <w:r w:rsidRPr="00B50D1A">
        <w:t>, p.100531.</w:t>
      </w:r>
      <w:hyperlink r:id="rId8"/>
      <w:hyperlink r:id="rId9">
        <w:r w:rsidRPr="00B50D1A">
          <w:rPr>
            <w:color w:val="1155CC"/>
            <w:u w:val="single"/>
          </w:rPr>
          <w:t>https://doi.org/10.1016/j.rcsop.2024.100531</w:t>
        </w:r>
      </w:hyperlink>
    </w:p>
    <w:p w:rsidR="00F75EBE" w:rsidRDefault="00F75EBE" w:rsidP="00F75EBE">
      <w:pPr>
        <w:spacing w:before="0" w:after="160"/>
      </w:pPr>
      <w:r w:rsidRPr="008F4080">
        <w:t>Althobaiti, F.M., 2026. The effects of leadership on patient safety culture in health care: a systematic review. </w:t>
      </w:r>
      <w:r w:rsidRPr="008F4080">
        <w:rPr>
          <w:i/>
          <w:iCs/>
        </w:rPr>
        <w:t>BMC nursing</w:t>
      </w:r>
      <w:r w:rsidRPr="008F4080">
        <w:t>, </w:t>
      </w:r>
      <w:r w:rsidRPr="008F4080">
        <w:rPr>
          <w:i/>
          <w:iCs/>
        </w:rPr>
        <w:t>25</w:t>
      </w:r>
      <w:r w:rsidRPr="008F4080">
        <w:t>(1), p.125.</w:t>
      </w:r>
      <w:hyperlink r:id="rId10" w:history="1">
        <w:r w:rsidRPr="00B342EB">
          <w:rPr>
            <w:rStyle w:val="Hyperlink"/>
          </w:rPr>
          <w:t>https://doi.org/10.1186/s12912-025-04263-7</w:t>
        </w:r>
      </w:hyperlink>
    </w:p>
    <w:p w:rsidR="00F75EBE" w:rsidRPr="00B50D1A" w:rsidRDefault="00F75EBE" w:rsidP="00F75EBE">
      <w:pPr>
        <w:spacing w:before="0" w:after="160"/>
      </w:pPr>
      <w:r w:rsidRPr="00B50D1A">
        <w:t>Anderson, J. and Ross , A. (2020). CARe QI: A Handbook for Improving Quality through Resilient Systems. [online] Available at:</w:t>
      </w:r>
      <w:hyperlink r:id="rId11"/>
      <w:hyperlink r:id="rId12">
        <w:r w:rsidRPr="00B50D1A">
          <w:rPr>
            <w:color w:val="1155CC"/>
            <w:u w:val="single"/>
          </w:rPr>
          <w:t>https://researchmgt.monash.edu/ws/portalfiles/portal/608157399/care_qi_handbook.pdf</w:t>
        </w:r>
      </w:hyperlink>
      <w:r w:rsidRPr="00B50D1A">
        <w:t xml:space="preserve"> [Accessed 27 July 2026].</w:t>
      </w:r>
    </w:p>
    <w:p w:rsidR="00F75EBE" w:rsidRPr="00B50D1A" w:rsidRDefault="00F75EBE" w:rsidP="00F75EBE">
      <w:pPr>
        <w:spacing w:before="0" w:after="160"/>
        <w:rPr>
          <w:color w:val="1155CC"/>
          <w:u w:val="single"/>
        </w:rPr>
      </w:pPr>
      <w:r w:rsidRPr="00B50D1A">
        <w:t xml:space="preserve">Asciak, R., Bedawi, E.O., Bhatnagar, R., Clive, A.O., Hassan, M., Lloyd, H., Reddy, R., Roberts, H. and Rahman, N.M., 2023. British thoracic society clinical statement on pleural procedures. </w:t>
      </w:r>
      <w:r w:rsidRPr="00B50D1A">
        <w:rPr>
          <w:i/>
          <w:iCs/>
        </w:rPr>
        <w:t>Thorax</w:t>
      </w:r>
      <w:r w:rsidRPr="00B50D1A">
        <w:t xml:space="preserve">, </w:t>
      </w:r>
      <w:r w:rsidRPr="00B50D1A">
        <w:rPr>
          <w:i/>
          <w:iCs/>
        </w:rPr>
        <w:t>78</w:t>
      </w:r>
      <w:r w:rsidRPr="00B50D1A">
        <w:t>(Suppl 3), pp.s43-s68.</w:t>
      </w:r>
      <w:hyperlink r:id="rId13"/>
      <w:hyperlink r:id="rId14">
        <w:r w:rsidRPr="00B50D1A">
          <w:rPr>
            <w:color w:val="1155CC"/>
            <w:u w:val="single"/>
          </w:rPr>
          <w:t>https://doi.org/10.1136/thorax-2022-219371</w:t>
        </w:r>
      </w:hyperlink>
    </w:p>
    <w:p w:rsidR="00F75EBE" w:rsidRDefault="00F75EBE" w:rsidP="00F75EBE">
      <w:pPr>
        <w:spacing w:before="0" w:after="160"/>
      </w:pPr>
      <w:r w:rsidRPr="00894E05">
        <w:t>Barzegar, R., Martin, B., Fleming, G., Jatana, V. and Popat, H., 2022. Implementation of the ‘PicNic’handover huddle: A quality improvement project to improve the transition of infants between paediatric and neonatal intensive care units. </w:t>
      </w:r>
      <w:r w:rsidRPr="00894E05">
        <w:rPr>
          <w:i/>
          <w:iCs/>
        </w:rPr>
        <w:t>Journal of paediatrics and child health</w:t>
      </w:r>
      <w:r w:rsidRPr="00894E05">
        <w:t>, </w:t>
      </w:r>
      <w:r w:rsidRPr="00894E05">
        <w:rPr>
          <w:i/>
          <w:iCs/>
        </w:rPr>
        <w:t>58</w:t>
      </w:r>
      <w:r w:rsidRPr="00894E05">
        <w:t>(11), pp.2016-2022.</w:t>
      </w:r>
      <w:hyperlink r:id="rId15" w:history="1">
        <w:r w:rsidRPr="00B342EB">
          <w:rPr>
            <w:rStyle w:val="Hyperlink"/>
          </w:rPr>
          <w:t>https://doi.org/10.1111/jpc.16140</w:t>
        </w:r>
      </w:hyperlink>
    </w:p>
    <w:p w:rsidR="00F75EBE" w:rsidRDefault="00F75EBE" w:rsidP="00F75EBE">
      <w:pPr>
        <w:spacing w:before="0" w:after="160"/>
      </w:pPr>
      <w:r w:rsidRPr="00894E05">
        <w:t>Cai, Y., Liu, Y., Wang, C., Liu, S., Zhang, M. and Jiang, Y., 2024. Patient and family engagement interventions for hospitalized patient safety: A scoping review. </w:t>
      </w:r>
      <w:r w:rsidRPr="00894E05">
        <w:rPr>
          <w:i/>
          <w:iCs/>
        </w:rPr>
        <w:t>Journal of clinical nursing</w:t>
      </w:r>
      <w:r w:rsidRPr="00894E05">
        <w:t>, </w:t>
      </w:r>
      <w:r w:rsidRPr="00894E05">
        <w:rPr>
          <w:i/>
          <w:iCs/>
        </w:rPr>
        <w:t>33</w:t>
      </w:r>
      <w:r w:rsidRPr="00894E05">
        <w:t>(6), pp.2099-2111.</w:t>
      </w:r>
      <w:hyperlink r:id="rId16" w:history="1">
        <w:r w:rsidRPr="00B342EB">
          <w:rPr>
            <w:rStyle w:val="Hyperlink"/>
          </w:rPr>
          <w:t>https://doi.org/10.1111/jocn.17022</w:t>
        </w:r>
      </w:hyperlink>
    </w:p>
    <w:p w:rsidR="00F75EBE" w:rsidRPr="00B50D1A" w:rsidRDefault="00F75EBE" w:rsidP="00F75EBE">
      <w:pPr>
        <w:spacing w:before="0" w:after="160"/>
        <w:rPr>
          <w:color w:val="1155CC"/>
          <w:u w:val="single"/>
        </w:rPr>
      </w:pPr>
      <w:r w:rsidRPr="00B50D1A">
        <w:t xml:space="preserve">Clarkson, J., Dean, J., Ward, J., Komashie, A. and Bashford, T., 2018. A systems approach to healthcare: from thinking to practice. </w:t>
      </w:r>
      <w:r w:rsidRPr="00B50D1A">
        <w:rPr>
          <w:i/>
          <w:iCs/>
        </w:rPr>
        <w:t>Future healthcare journal</w:t>
      </w:r>
      <w:r w:rsidRPr="00B50D1A">
        <w:t xml:space="preserve">, </w:t>
      </w:r>
      <w:r w:rsidRPr="00B50D1A">
        <w:rPr>
          <w:i/>
          <w:iCs/>
        </w:rPr>
        <w:t>5</w:t>
      </w:r>
      <w:r w:rsidRPr="00B50D1A">
        <w:t>(3), pp.151-155.</w:t>
      </w:r>
      <w:hyperlink r:id="rId17"/>
      <w:hyperlink r:id="rId18">
        <w:r w:rsidRPr="00B50D1A">
          <w:rPr>
            <w:color w:val="1155CC"/>
            <w:u w:val="single"/>
          </w:rPr>
          <w:t>https://doi.org/10.7861/futurehosp.5-3-151</w:t>
        </w:r>
      </w:hyperlink>
    </w:p>
    <w:p w:rsidR="00F75EBE" w:rsidRDefault="00F75EBE" w:rsidP="00F75EBE">
      <w:pPr>
        <w:spacing w:before="0" w:after="160"/>
      </w:pPr>
      <w:r w:rsidRPr="00894E05">
        <w:lastRenderedPageBreak/>
        <w:t>Dahmke, H., Fiumefreddo, R., Schuetz, P., De Iaco, R. and Zaugg, C., 2023. Tackling alert fatigue with a semi-automated clinical decision support system: quantitative evaluation and end-user survey. </w:t>
      </w:r>
      <w:r w:rsidRPr="00894E05">
        <w:rPr>
          <w:i/>
          <w:iCs/>
        </w:rPr>
        <w:t>Swiss Medical Weekly</w:t>
      </w:r>
      <w:r w:rsidRPr="00894E05">
        <w:t>, </w:t>
      </w:r>
      <w:r w:rsidRPr="00894E05">
        <w:rPr>
          <w:i/>
          <w:iCs/>
        </w:rPr>
        <w:t>153</w:t>
      </w:r>
      <w:r w:rsidRPr="00894E05">
        <w:t>(7), pp.40082-40082.</w:t>
      </w:r>
      <w:hyperlink r:id="rId19" w:history="1">
        <w:r w:rsidRPr="00B342EB">
          <w:rPr>
            <w:rStyle w:val="Hyperlink"/>
          </w:rPr>
          <w:t>https://doi.org/10.57187/smw.2023.40082</w:t>
        </w:r>
      </w:hyperlink>
    </w:p>
    <w:p w:rsidR="00F75EBE" w:rsidRDefault="00F75EBE" w:rsidP="00F75EBE">
      <w:pPr>
        <w:spacing w:before="0" w:after="160"/>
      </w:pPr>
      <w:r w:rsidRPr="00894E05">
        <w:t>De Koeijer, R., Strating, M., Paauwe, J. and Huijsman, R., 2024. A balanced approach involving hard and soft factors for internalizing Lean Management and Six Sigma in hospitals. </w:t>
      </w:r>
      <w:r w:rsidRPr="00894E05">
        <w:rPr>
          <w:i/>
          <w:iCs/>
        </w:rPr>
        <w:t>The TQM Journal</w:t>
      </w:r>
      <w:r w:rsidRPr="00894E05">
        <w:t>, </w:t>
      </w:r>
      <w:r w:rsidRPr="00894E05">
        <w:rPr>
          <w:i/>
          <w:iCs/>
        </w:rPr>
        <w:t>36</w:t>
      </w:r>
      <w:r w:rsidRPr="00894E05">
        <w:t>(3), pp.870-899.</w:t>
      </w:r>
      <w:hyperlink r:id="rId20" w:history="1">
        <w:r w:rsidRPr="00B342EB">
          <w:rPr>
            <w:rStyle w:val="Hyperlink"/>
          </w:rPr>
          <w:t>https://doi.org/10.1108/TQM-01-2022-0031</w:t>
        </w:r>
      </w:hyperlink>
    </w:p>
    <w:p w:rsidR="00F75EBE" w:rsidRDefault="00F75EBE" w:rsidP="00F75EBE">
      <w:pPr>
        <w:spacing w:before="0" w:after="160"/>
      </w:pPr>
      <w:r w:rsidRPr="008F4080">
        <w:t>Dirik, H.F. and Seren Intepeler, S., 2024. An authentic leadership training programme to increase nurse empowerment and patient safety: A quasi‐experimental study. </w:t>
      </w:r>
      <w:r w:rsidRPr="008F4080">
        <w:rPr>
          <w:i/>
          <w:iCs/>
        </w:rPr>
        <w:t>Journal of Advanced Nursing</w:t>
      </w:r>
      <w:r w:rsidRPr="008F4080">
        <w:t>, </w:t>
      </w:r>
      <w:r w:rsidRPr="008F4080">
        <w:rPr>
          <w:i/>
          <w:iCs/>
        </w:rPr>
        <w:t>80</w:t>
      </w:r>
      <w:r w:rsidRPr="008F4080">
        <w:t>(4), pp.1417-1428.</w:t>
      </w:r>
      <w:hyperlink r:id="rId21" w:history="1">
        <w:r w:rsidRPr="00B342EB">
          <w:rPr>
            <w:rStyle w:val="Hyperlink"/>
          </w:rPr>
          <w:t>https://doi.org/10.1111/jan.15926</w:t>
        </w:r>
      </w:hyperlink>
    </w:p>
    <w:p w:rsidR="00F75EBE" w:rsidRDefault="00F75EBE" w:rsidP="00F75EBE">
      <w:pPr>
        <w:spacing w:before="0" w:after="160"/>
      </w:pPr>
      <w:r w:rsidRPr="008F4080">
        <w:t>Dirik, H.F., Theiakouli, C. and Efstathiou, N., 2026. The Influence of Nursing Leadership Styles on Medication Safety: A Mixed‐Methods Systematic Review. </w:t>
      </w:r>
      <w:r w:rsidRPr="008F4080">
        <w:rPr>
          <w:i/>
          <w:iCs/>
        </w:rPr>
        <w:t>International nursing review</w:t>
      </w:r>
      <w:r w:rsidRPr="008F4080">
        <w:t>, </w:t>
      </w:r>
      <w:r w:rsidRPr="008F4080">
        <w:rPr>
          <w:i/>
          <w:iCs/>
        </w:rPr>
        <w:t>73</w:t>
      </w:r>
      <w:r w:rsidRPr="008F4080">
        <w:t>(1), p.e70166.</w:t>
      </w:r>
      <w:hyperlink r:id="rId22" w:history="1">
        <w:r w:rsidRPr="00B342EB">
          <w:rPr>
            <w:rStyle w:val="Hyperlink"/>
          </w:rPr>
          <w:t>https://doi.org/10.1111/inr.70166</w:t>
        </w:r>
      </w:hyperlink>
    </w:p>
    <w:p w:rsidR="00F75EBE" w:rsidRDefault="00F75EBE" w:rsidP="00F75EBE">
      <w:pPr>
        <w:spacing w:before="0" w:after="160"/>
      </w:pPr>
      <w:r w:rsidRPr="00894E05">
        <w:t>Drei, S.M., Miranda, E.G., Paz, T.D.S.R., Mota, V.R.R. and Bergiante, N.C.R., 2023. Proposing A Novel Conceptual Model For The Medical Clinic Within A Mid-Sized Hospital Through The Application Of Soft System Methodology (SSM). </w:t>
      </w:r>
      <w:r w:rsidRPr="00894E05">
        <w:rPr>
          <w:i/>
          <w:iCs/>
        </w:rPr>
        <w:t>Pesquisa Operacional</w:t>
      </w:r>
      <w:r w:rsidRPr="00894E05">
        <w:t>, </w:t>
      </w:r>
      <w:r w:rsidRPr="00894E05">
        <w:rPr>
          <w:i/>
          <w:iCs/>
        </w:rPr>
        <w:t>43</w:t>
      </w:r>
      <w:r w:rsidRPr="00894E05">
        <w:t>, p.e275528.</w:t>
      </w:r>
      <w:hyperlink r:id="rId23" w:history="1">
        <w:r w:rsidRPr="00B342EB">
          <w:rPr>
            <w:rStyle w:val="Hyperlink"/>
          </w:rPr>
          <w:t>https://doi.org/10.1590/0101-7438.2023.043.00275528</w:t>
        </w:r>
      </w:hyperlink>
    </w:p>
    <w:p w:rsidR="00F75EBE" w:rsidRDefault="00F75EBE" w:rsidP="00F75EBE">
      <w:pPr>
        <w:spacing w:before="0" w:after="160"/>
      </w:pPr>
      <w:r w:rsidRPr="000E051B">
        <w:t>Endalamaw, A., Khatri, R.B., Mengistu, T.S., Erku, D., Wolka, E., Zewdie, A. and Assefa, Y., 2024. A scoping review of continuous quality improvement in healthcare system: conceptualization, models and tools, barriers and facilitators, and impact. </w:t>
      </w:r>
      <w:r w:rsidRPr="000E051B">
        <w:rPr>
          <w:i/>
          <w:iCs/>
        </w:rPr>
        <w:t>BMC health services research</w:t>
      </w:r>
      <w:r w:rsidRPr="000E051B">
        <w:t>, </w:t>
      </w:r>
      <w:r w:rsidRPr="000E051B">
        <w:rPr>
          <w:i/>
          <w:iCs/>
        </w:rPr>
        <w:t>24</w:t>
      </w:r>
      <w:r w:rsidRPr="000E051B">
        <w:t>(1), p.487.</w:t>
      </w:r>
      <w:hyperlink r:id="rId24" w:history="1">
        <w:r w:rsidRPr="00B342EB">
          <w:rPr>
            <w:rStyle w:val="Hyperlink"/>
          </w:rPr>
          <w:t>https://doi.org/10.1186/s12913-024-10828-0</w:t>
        </w:r>
      </w:hyperlink>
    </w:p>
    <w:p w:rsidR="00F75EBE" w:rsidRDefault="00F75EBE" w:rsidP="00F75EBE">
      <w:pPr>
        <w:spacing w:before="0" w:after="160"/>
      </w:pPr>
      <w:r w:rsidRPr="008F4080">
        <w:t>Friman, S., Maijala, R., Eloranta, S., Suominen, S. and Ikonen, T., 2025. The characteristics of leadership and their effectiveness in quality management in healthcare-A systematic literature review and a content analysis. </w:t>
      </w:r>
      <w:r w:rsidRPr="008F4080">
        <w:rPr>
          <w:i/>
          <w:iCs/>
        </w:rPr>
        <w:t>Health services management research</w:t>
      </w:r>
      <w:r w:rsidRPr="008F4080">
        <w:t>, </w:t>
      </w:r>
      <w:r w:rsidRPr="008F4080">
        <w:rPr>
          <w:i/>
          <w:iCs/>
        </w:rPr>
        <w:t>38</w:t>
      </w:r>
      <w:r w:rsidRPr="008F4080">
        <w:t>(1), pp.37-49.</w:t>
      </w:r>
      <w:hyperlink r:id="rId25" w:history="1">
        <w:r w:rsidRPr="00B342EB">
          <w:rPr>
            <w:rStyle w:val="Hyperlink"/>
          </w:rPr>
          <w:t>https://doi.org/10.1177/09514848241254921</w:t>
        </w:r>
      </w:hyperlink>
    </w:p>
    <w:p w:rsidR="00F75EBE" w:rsidRPr="00B50D1A" w:rsidRDefault="00F75EBE" w:rsidP="00F75EBE">
      <w:pPr>
        <w:spacing w:before="0" w:after="160"/>
      </w:pPr>
      <w:r w:rsidRPr="00B50D1A">
        <w:t xml:space="preserve">Gov.uk. (2022). </w:t>
      </w:r>
      <w:r w:rsidRPr="00B50D1A">
        <w:rPr>
          <w:i/>
          <w:iCs/>
        </w:rPr>
        <w:t>Health and Care Act 2022</w:t>
      </w:r>
      <w:r w:rsidRPr="00B50D1A">
        <w:t>. [online] Available at:</w:t>
      </w:r>
      <w:hyperlink r:id="rId26"/>
      <w:hyperlink r:id="rId27">
        <w:r w:rsidRPr="00B50D1A">
          <w:rPr>
            <w:color w:val="1155CC"/>
            <w:u w:val="single"/>
          </w:rPr>
          <w:t>https://www.legislation.gov.uk/ukpga/2022/31</w:t>
        </w:r>
      </w:hyperlink>
      <w:r w:rsidRPr="00B50D1A">
        <w:t xml:space="preserve"> [Accessed 27 July 2026].</w:t>
      </w:r>
    </w:p>
    <w:p w:rsidR="00F75EBE" w:rsidRPr="00B50D1A" w:rsidRDefault="00F75EBE" w:rsidP="00F75EBE">
      <w:pPr>
        <w:spacing w:before="0" w:after="160"/>
        <w:rPr>
          <w:color w:val="1155CC"/>
          <w:u w:val="single"/>
        </w:rPr>
      </w:pPr>
      <w:r w:rsidRPr="00B50D1A">
        <w:lastRenderedPageBreak/>
        <w:t xml:space="preserve">‌Hibbert, P.D., Stewart, S., Wiles, L.K., Braithwaite, J., Runciman, W.B. and Thomas, M.J., 2023. Improving patient safety governance and systems through learning from successes and failures: qualitative surveys and interviews with international experts. </w:t>
      </w:r>
      <w:r w:rsidRPr="00B50D1A">
        <w:rPr>
          <w:i/>
          <w:iCs/>
        </w:rPr>
        <w:t>International Journal for Quality in Health Care</w:t>
      </w:r>
      <w:r w:rsidRPr="00B50D1A">
        <w:t xml:space="preserve">, </w:t>
      </w:r>
      <w:r w:rsidRPr="00B50D1A">
        <w:rPr>
          <w:i/>
          <w:iCs/>
        </w:rPr>
        <w:t>35</w:t>
      </w:r>
      <w:r w:rsidRPr="00B50D1A">
        <w:t>(4), p.0.</w:t>
      </w:r>
      <w:hyperlink r:id="rId28"/>
      <w:hyperlink r:id="rId29">
        <w:r w:rsidRPr="00B50D1A">
          <w:rPr>
            <w:color w:val="1155CC"/>
            <w:u w:val="single"/>
          </w:rPr>
          <w:t>https://doi.org/10.1093/intqhc/mzad088</w:t>
        </w:r>
      </w:hyperlink>
    </w:p>
    <w:p w:rsidR="00F75EBE" w:rsidRPr="00B50D1A" w:rsidRDefault="00F75EBE" w:rsidP="00F75EBE">
      <w:pPr>
        <w:spacing w:before="0" w:after="160"/>
      </w:pPr>
      <w:r w:rsidRPr="00B50D1A">
        <w:t xml:space="preserve">HSSIB. (2025). </w:t>
      </w:r>
      <w:r w:rsidRPr="00B50D1A">
        <w:rPr>
          <w:i/>
          <w:iCs/>
        </w:rPr>
        <w:t>Medication not given: anticoagulation before and after a procedure</w:t>
      </w:r>
      <w:r w:rsidRPr="00B50D1A">
        <w:t>. [online]. Available at:</w:t>
      </w:r>
      <w:hyperlink r:id="rId30"/>
      <w:hyperlink r:id="rId31">
        <w:r w:rsidRPr="00B50D1A">
          <w:rPr>
            <w:color w:val="1155CC"/>
            <w:u w:val="single"/>
          </w:rPr>
          <w:t>https://www.hssib.org.uk/patient-safety-investigations/medication-related-harm/second-investigation-report/</w:t>
        </w:r>
      </w:hyperlink>
      <w:r w:rsidRPr="00B50D1A">
        <w:t xml:space="preserve"> [Accessed 27 July 2026].</w:t>
      </w:r>
    </w:p>
    <w:p w:rsidR="00F75EBE" w:rsidRPr="00B50D1A" w:rsidRDefault="00F75EBE" w:rsidP="00F75EBE">
      <w:pPr>
        <w:spacing w:before="0" w:after="160"/>
        <w:rPr>
          <w:color w:val="1155CC"/>
          <w:u w:val="single"/>
        </w:rPr>
      </w:pPr>
      <w:r w:rsidRPr="00B50D1A">
        <w:t xml:space="preserve">Huikko-Tarvainen, S., Tuovinen, T. and Kulmala, P., 2025. Importance of managerial roles in physician leaders’ work evaluated by medical students: a mixed methods approach. </w:t>
      </w:r>
      <w:r w:rsidRPr="00B50D1A">
        <w:rPr>
          <w:i/>
          <w:iCs/>
        </w:rPr>
        <w:t>Journal of Health Organization and Management</w:t>
      </w:r>
      <w:r w:rsidRPr="00B50D1A">
        <w:t xml:space="preserve">, </w:t>
      </w:r>
      <w:r w:rsidRPr="00B50D1A">
        <w:rPr>
          <w:i/>
          <w:iCs/>
        </w:rPr>
        <w:t>39</w:t>
      </w:r>
      <w:r w:rsidRPr="00B50D1A">
        <w:t>(9), pp.228-246.</w:t>
      </w:r>
      <w:hyperlink r:id="rId32"/>
      <w:hyperlink r:id="rId33">
        <w:r w:rsidRPr="00B50D1A">
          <w:rPr>
            <w:color w:val="1155CC"/>
            <w:u w:val="single"/>
          </w:rPr>
          <w:t>https://doi.org/10.1108/JHOM-02-2024-0034</w:t>
        </w:r>
      </w:hyperlink>
    </w:p>
    <w:p w:rsidR="00F75EBE" w:rsidRDefault="00F75EBE" w:rsidP="00F75EBE">
      <w:pPr>
        <w:spacing w:before="0" w:after="160"/>
      </w:pPr>
      <w:r w:rsidRPr="008F4080">
        <w:t>Hult, M., Terkamo‐Moisio, A., Kaakinen, P., Karki, S., Nurmeksela, A., Palonen, M., Peltonen, L.M. and Häggman‐Laitila, A., 2023. Relationships between nursing leadership and organizational, staff and patient outcomes: A systematic review of reviews. </w:t>
      </w:r>
      <w:r w:rsidRPr="008F4080">
        <w:rPr>
          <w:i/>
          <w:iCs/>
        </w:rPr>
        <w:t>Nursing open</w:t>
      </w:r>
      <w:r w:rsidRPr="008F4080">
        <w:t>, </w:t>
      </w:r>
      <w:r w:rsidRPr="008F4080">
        <w:rPr>
          <w:i/>
          <w:iCs/>
        </w:rPr>
        <w:t>10</w:t>
      </w:r>
      <w:r w:rsidRPr="008F4080">
        <w:t>(9), pp.5920-5936.</w:t>
      </w:r>
      <w:hyperlink r:id="rId34" w:history="1">
        <w:r w:rsidRPr="00B342EB">
          <w:rPr>
            <w:rStyle w:val="Hyperlink"/>
          </w:rPr>
          <w:t>https://doi.org/10.1002/nop2.1876</w:t>
        </w:r>
      </w:hyperlink>
    </w:p>
    <w:p w:rsidR="00F75EBE" w:rsidRPr="00B50D1A" w:rsidRDefault="00F75EBE" w:rsidP="00F75EBE">
      <w:pPr>
        <w:spacing w:before="0" w:after="160"/>
        <w:rPr>
          <w:color w:val="1155CC"/>
          <w:u w:val="single"/>
        </w:rPr>
      </w:pPr>
      <w:r w:rsidRPr="00B50D1A">
        <w:t xml:space="preserve">Jalilvand, M.A., Raeisi, A.R. and Shaarbafchizadeh, N., 2024. Hospital governance accountability structure: a scoping review. </w:t>
      </w:r>
      <w:r w:rsidRPr="00B50D1A">
        <w:rPr>
          <w:i/>
          <w:iCs/>
        </w:rPr>
        <w:t>BMC Health Services Research</w:t>
      </w:r>
      <w:r w:rsidRPr="00B50D1A">
        <w:t xml:space="preserve">, </w:t>
      </w:r>
      <w:r w:rsidRPr="00B50D1A">
        <w:rPr>
          <w:i/>
          <w:iCs/>
        </w:rPr>
        <w:t>24</w:t>
      </w:r>
      <w:r w:rsidRPr="00B50D1A">
        <w:t>(1), p.47.</w:t>
      </w:r>
      <w:hyperlink r:id="rId35"/>
      <w:hyperlink r:id="rId36">
        <w:r w:rsidRPr="00B50D1A">
          <w:rPr>
            <w:color w:val="1155CC"/>
            <w:u w:val="single"/>
          </w:rPr>
          <w:t>https://doi.org/10.1186/s12913-023-10135-0</w:t>
        </w:r>
      </w:hyperlink>
    </w:p>
    <w:p w:rsidR="00F75EBE" w:rsidRPr="00B50D1A" w:rsidRDefault="00F75EBE" w:rsidP="00F75EBE">
      <w:pPr>
        <w:spacing w:before="0" w:after="160"/>
        <w:rPr>
          <w:color w:val="1155CC"/>
          <w:u w:val="single"/>
        </w:rPr>
      </w:pPr>
      <w:r w:rsidRPr="00B50D1A">
        <w:t>Komashie, A., Ward, J., Bashford, T., Dickerson, T., Kaya, G.K., Liu, Y., Kuhn, I., Günay, A., Kohler, K., Boddy, N. and O'Kelly, E., 2021. Systems approach to health service design, delivery and improvement: a systematic review and meta-analysis.</w:t>
      </w:r>
      <w:hyperlink r:id="rId37"/>
      <w:hyperlink r:id="rId38">
        <w:r w:rsidRPr="00B50D1A">
          <w:rPr>
            <w:color w:val="1155CC"/>
            <w:u w:val="single"/>
          </w:rPr>
          <w:t>https://doi.org/10.1136/bmjopen-2020-037667</w:t>
        </w:r>
      </w:hyperlink>
    </w:p>
    <w:p w:rsidR="00F75EBE" w:rsidRPr="00B50D1A" w:rsidRDefault="00F75EBE" w:rsidP="00F75EBE">
      <w:pPr>
        <w:spacing w:before="0" w:after="160"/>
        <w:rPr>
          <w:color w:val="1155CC"/>
          <w:u w:val="single"/>
        </w:rPr>
      </w:pPr>
      <w:r w:rsidRPr="00B50D1A">
        <w:t xml:space="preserve">Lester, W., Bent, C., Alikhan, R., Roberts, L., Gordon‐Walker, T., Trenfield, S., White, R., Forde, C. and Arachchillage, D.J., 2024. A British Society for Haematology guideline on the assessment and management of bleeding risk prior to invasive procedures. </w:t>
      </w:r>
      <w:r w:rsidRPr="00B50D1A">
        <w:rPr>
          <w:i/>
          <w:iCs/>
        </w:rPr>
        <w:t>British journal of haematology</w:t>
      </w:r>
      <w:r w:rsidRPr="00B50D1A">
        <w:t xml:space="preserve">, </w:t>
      </w:r>
      <w:r w:rsidRPr="00B50D1A">
        <w:rPr>
          <w:i/>
          <w:iCs/>
        </w:rPr>
        <w:t>204</w:t>
      </w:r>
      <w:r w:rsidRPr="00B50D1A">
        <w:t>(5).</w:t>
      </w:r>
      <w:hyperlink r:id="rId39"/>
      <w:hyperlink r:id="rId40">
        <w:r w:rsidRPr="00B50D1A">
          <w:rPr>
            <w:color w:val="1155CC"/>
            <w:u w:val="single"/>
          </w:rPr>
          <w:t>https://doi.org/10.1111/bjh.19360</w:t>
        </w:r>
      </w:hyperlink>
    </w:p>
    <w:p w:rsidR="00F75EBE" w:rsidRPr="00B50D1A" w:rsidRDefault="00F75EBE" w:rsidP="00F75EBE">
      <w:pPr>
        <w:spacing w:before="0" w:after="160"/>
      </w:pPr>
      <w:r w:rsidRPr="00B50D1A">
        <w:t xml:space="preserve">Lussier, R.N. and Achua, C.F., 2023. </w:t>
      </w:r>
      <w:r w:rsidRPr="00B50D1A">
        <w:rPr>
          <w:i/>
          <w:iCs/>
        </w:rPr>
        <w:t>Leadership: Theory, application, and skill development</w:t>
      </w:r>
      <w:r w:rsidRPr="00B50D1A">
        <w:t>. Thousand Oaks: Sage.</w:t>
      </w:r>
    </w:p>
    <w:p w:rsidR="00F75EBE" w:rsidRDefault="00F75EBE" w:rsidP="00F75EBE">
      <w:pPr>
        <w:spacing w:before="0" w:after="160"/>
      </w:pPr>
      <w:r w:rsidRPr="00DC592B">
        <w:lastRenderedPageBreak/>
        <w:t>Lyubykh, Z., Gulseren, D., Turner, N., Barling, J. and Seifert, M., 2022. Shared transformational leadership and safety behaviours of employees, leaders, and teams: A multilevel investigation. </w:t>
      </w:r>
      <w:r w:rsidRPr="00DC592B">
        <w:rPr>
          <w:i/>
          <w:iCs/>
        </w:rPr>
        <w:t>Journal of Occupational and Organizational Psychology</w:t>
      </w:r>
      <w:r w:rsidRPr="00DC592B">
        <w:t>, </w:t>
      </w:r>
      <w:r w:rsidRPr="00DC592B">
        <w:rPr>
          <w:i/>
          <w:iCs/>
        </w:rPr>
        <w:t>95</w:t>
      </w:r>
      <w:r w:rsidRPr="00DC592B">
        <w:t>(2), pp.431-458.</w:t>
      </w:r>
      <w:hyperlink r:id="rId41" w:history="1">
        <w:r w:rsidRPr="00B342EB">
          <w:rPr>
            <w:rStyle w:val="Hyperlink"/>
          </w:rPr>
          <w:t>https://doi.org/10.1111/joop.12381</w:t>
        </w:r>
      </w:hyperlink>
    </w:p>
    <w:p w:rsidR="00F75EBE" w:rsidRPr="00B50D1A" w:rsidRDefault="00F75EBE" w:rsidP="00F75EBE">
      <w:pPr>
        <w:spacing w:before="0" w:after="160"/>
        <w:rPr>
          <w:color w:val="1155CC"/>
          <w:u w:val="single"/>
        </w:rPr>
      </w:pPr>
      <w:r w:rsidRPr="00B50D1A">
        <w:t xml:space="preserve">McNab, D., McKay, J., Shorrock, S.T., Luty, S. and Bowie, P., 2020. Development and application of ‘systems thinking’principles for quality improvement. </w:t>
      </w:r>
      <w:r w:rsidRPr="00B50D1A">
        <w:rPr>
          <w:i/>
          <w:iCs/>
        </w:rPr>
        <w:t>BMJ open quality</w:t>
      </w:r>
      <w:r w:rsidRPr="00B50D1A">
        <w:t xml:space="preserve">, </w:t>
      </w:r>
      <w:r w:rsidRPr="00B50D1A">
        <w:rPr>
          <w:i/>
          <w:iCs/>
        </w:rPr>
        <w:t>9</w:t>
      </w:r>
      <w:r w:rsidRPr="00B50D1A">
        <w:t>(1).</w:t>
      </w:r>
      <w:hyperlink r:id="rId42"/>
      <w:hyperlink r:id="rId43">
        <w:r w:rsidRPr="00B50D1A">
          <w:rPr>
            <w:color w:val="1155CC"/>
            <w:u w:val="single"/>
          </w:rPr>
          <w:t>https://doi.org/10.1136/bmjoq-2019-000714</w:t>
        </w:r>
      </w:hyperlink>
    </w:p>
    <w:p w:rsidR="00F75EBE" w:rsidRDefault="00F75EBE" w:rsidP="00F75EBE">
      <w:pPr>
        <w:spacing w:before="0" w:after="160"/>
      </w:pPr>
      <w:r w:rsidRPr="00DC592B">
        <w:t>Mekonnen, M. and Bayissa, Z., 2023. The effect of transformational and transactional leadership styles on organizational readiness for change among health professionals. </w:t>
      </w:r>
      <w:r w:rsidRPr="00DC592B">
        <w:rPr>
          <w:i/>
          <w:iCs/>
        </w:rPr>
        <w:t>SAGE open nursing</w:t>
      </w:r>
      <w:r w:rsidRPr="00DC592B">
        <w:t>, </w:t>
      </w:r>
      <w:r w:rsidRPr="00DC592B">
        <w:rPr>
          <w:i/>
          <w:iCs/>
        </w:rPr>
        <w:t>9</w:t>
      </w:r>
      <w:r w:rsidRPr="00DC592B">
        <w:t>, p.23779608231185923.</w:t>
      </w:r>
      <w:hyperlink r:id="rId44" w:history="1">
        <w:r w:rsidRPr="00B342EB">
          <w:rPr>
            <w:rStyle w:val="Hyperlink"/>
          </w:rPr>
          <w:t>https://doi.org/10.1177/23779608231185923</w:t>
        </w:r>
      </w:hyperlink>
    </w:p>
    <w:p w:rsidR="00F75EBE" w:rsidRPr="00B50D1A" w:rsidRDefault="00F75EBE" w:rsidP="00F75EBE">
      <w:pPr>
        <w:spacing w:before="0" w:after="160"/>
      </w:pPr>
      <w:r w:rsidRPr="00B50D1A">
        <w:t>Mintzberg, H., 1973. The nature of managerial work.</w:t>
      </w:r>
    </w:p>
    <w:p w:rsidR="00F75EBE" w:rsidRPr="00B50D1A" w:rsidRDefault="00F75EBE" w:rsidP="00F75EBE">
      <w:pPr>
        <w:spacing w:before="0" w:after="160"/>
      </w:pPr>
      <w:r w:rsidRPr="00B50D1A">
        <w:t xml:space="preserve">NHS. (2026a). </w:t>
      </w:r>
      <w:r w:rsidRPr="00B50D1A">
        <w:rPr>
          <w:i/>
          <w:iCs/>
        </w:rPr>
        <w:t>NHS England » Medication safety</w:t>
      </w:r>
      <w:r w:rsidRPr="00B50D1A">
        <w:t>. [online] England.nhs.uk. Available at:</w:t>
      </w:r>
      <w:hyperlink r:id="rId45"/>
      <w:hyperlink r:id="rId46">
        <w:r w:rsidRPr="00B50D1A">
          <w:rPr>
            <w:color w:val="1155CC"/>
            <w:u w:val="single"/>
          </w:rPr>
          <w:t>https://www.england.nhs.uk/patient-safety/patient-safety-insight/patient-safety-alerts/enduring-standards/standards-that-remain-valid/medication-safety</w:t>
        </w:r>
      </w:hyperlink>
      <w:r w:rsidRPr="00B50D1A">
        <w:t xml:space="preserve"> [Accessed 27 July 2026].</w:t>
      </w:r>
    </w:p>
    <w:p w:rsidR="00F75EBE" w:rsidRPr="00B50D1A" w:rsidRDefault="00F75EBE" w:rsidP="00F75EBE">
      <w:pPr>
        <w:spacing w:before="0" w:after="160"/>
      </w:pPr>
      <w:r w:rsidRPr="00B50D1A">
        <w:t xml:space="preserve">NHS. (2026b). </w:t>
      </w:r>
      <w:r w:rsidRPr="00B50D1A">
        <w:rPr>
          <w:i/>
          <w:iCs/>
        </w:rPr>
        <w:t>NHS England » Governance, patient safety and quality</w:t>
      </w:r>
      <w:r w:rsidRPr="00B50D1A">
        <w:t>. [online] England.nhs.uk. Available at:</w:t>
      </w:r>
      <w:hyperlink r:id="rId47"/>
      <w:hyperlink r:id="rId48">
        <w:r w:rsidRPr="00B50D1A">
          <w:rPr>
            <w:color w:val="1155CC"/>
            <w:u w:val="single"/>
          </w:rPr>
          <w:t>https://www.england.nhs.uk/mat-transformation/matrons-handbook/governance-patient-safety-and-quality/</w:t>
        </w:r>
      </w:hyperlink>
      <w:r w:rsidRPr="00B50D1A">
        <w:t xml:space="preserve"> [Accessed 27 July 2026].</w:t>
      </w:r>
    </w:p>
    <w:p w:rsidR="00F75EBE" w:rsidRPr="00B50D1A" w:rsidRDefault="00F75EBE" w:rsidP="00F75EBE">
      <w:pPr>
        <w:spacing w:before="0" w:after="160"/>
      </w:pPr>
      <w:r w:rsidRPr="00B50D1A">
        <w:t xml:space="preserve">NICE. (2021). </w:t>
      </w:r>
      <w:r w:rsidRPr="00760B32">
        <w:rPr>
          <w:i/>
          <w:iCs/>
        </w:rPr>
        <w:t>Atrial fibrillation: diagnosis and management | Guidance</w:t>
      </w:r>
      <w:r w:rsidRPr="00B50D1A">
        <w:t>. [online]. Available at:</w:t>
      </w:r>
      <w:hyperlink r:id="rId49"/>
      <w:hyperlink r:id="rId50">
        <w:r w:rsidRPr="00B50D1A">
          <w:rPr>
            <w:color w:val="1155CC"/>
            <w:u w:val="single"/>
          </w:rPr>
          <w:t>https://www.nice.org.uk/guidance/ng196</w:t>
        </w:r>
      </w:hyperlink>
      <w:r w:rsidRPr="00B50D1A">
        <w:t xml:space="preserve"> [Accessed 27 July 2026].</w:t>
      </w:r>
    </w:p>
    <w:p w:rsidR="00F75EBE" w:rsidRDefault="00F75EBE" w:rsidP="00F75EBE">
      <w:pPr>
        <w:spacing w:before="0" w:after="160"/>
      </w:pPr>
      <w:r w:rsidRPr="00DC592B">
        <w:t>Palweni, V.S., Malesela, J.M. and Randa, M.B., 2023. Nurse managers’ leadership styles as an impetus to patient safety in an academic hospital. </w:t>
      </w:r>
      <w:r w:rsidRPr="00DC592B">
        <w:rPr>
          <w:i/>
          <w:iCs/>
        </w:rPr>
        <w:t>Health SA Gesondheid</w:t>
      </w:r>
      <w:r w:rsidRPr="00DC592B">
        <w:t>, </w:t>
      </w:r>
      <w:r w:rsidRPr="00DC592B">
        <w:rPr>
          <w:i/>
          <w:iCs/>
        </w:rPr>
        <w:t>28</w:t>
      </w:r>
      <w:r w:rsidRPr="00DC592B">
        <w:t>, p.2344.</w:t>
      </w:r>
      <w:hyperlink r:id="rId51" w:history="1">
        <w:r w:rsidRPr="00B342EB">
          <w:rPr>
            <w:rStyle w:val="Hyperlink"/>
          </w:rPr>
          <w:t>https://doi.org/10.4102/hsag.v28i0.2344</w:t>
        </w:r>
      </w:hyperlink>
    </w:p>
    <w:p w:rsidR="00F75EBE" w:rsidRDefault="00F75EBE" w:rsidP="00F75EBE">
      <w:pPr>
        <w:spacing w:before="0" w:after="160"/>
      </w:pPr>
      <w:r w:rsidRPr="008F4080">
        <w:t>Perez-Gonzalez, S., Marques-Sanchez, P., Pinto-Carral, A., Gonzalez-Garcia, A., Liebana-Presa, C. and Benavides, C., 2024. Characteristics of leadership competency in nurse managers: a scoping review. </w:t>
      </w:r>
      <w:r w:rsidRPr="008F4080">
        <w:rPr>
          <w:i/>
          <w:iCs/>
        </w:rPr>
        <w:t>Journal of Nursing Management</w:t>
      </w:r>
      <w:r w:rsidRPr="008F4080">
        <w:t>, </w:t>
      </w:r>
      <w:r w:rsidRPr="008F4080">
        <w:rPr>
          <w:i/>
          <w:iCs/>
        </w:rPr>
        <w:t>2024</w:t>
      </w:r>
      <w:r w:rsidRPr="008F4080">
        <w:t>(1), p.5594154.</w:t>
      </w:r>
      <w:hyperlink r:id="rId52" w:history="1">
        <w:r w:rsidRPr="00B342EB">
          <w:rPr>
            <w:rStyle w:val="Hyperlink"/>
          </w:rPr>
          <w:t>https://doi.org/10.1155/2024/5594154</w:t>
        </w:r>
      </w:hyperlink>
    </w:p>
    <w:p w:rsidR="00F75EBE" w:rsidRDefault="00F75EBE" w:rsidP="00F75EBE">
      <w:pPr>
        <w:spacing w:before="0" w:after="160"/>
      </w:pPr>
      <w:r w:rsidRPr="00DC592B">
        <w:lastRenderedPageBreak/>
        <w:t>Tate, K., Penconek, T., Dias, B.M., Cummings, G.G. and Bernardes, A., 2023. Authentic leadership, organizational culture and the effects of hospital quality management practices on quality of care and patient satisfaction. </w:t>
      </w:r>
      <w:r w:rsidRPr="00DC592B">
        <w:rPr>
          <w:i/>
          <w:iCs/>
        </w:rPr>
        <w:t>Journal of advanced nursing</w:t>
      </w:r>
      <w:r w:rsidRPr="00DC592B">
        <w:t>, </w:t>
      </w:r>
      <w:r w:rsidRPr="00DC592B">
        <w:rPr>
          <w:i/>
          <w:iCs/>
        </w:rPr>
        <w:t>79</w:t>
      </w:r>
      <w:r w:rsidRPr="00DC592B">
        <w:t>(8), pp.3102-3114.</w:t>
      </w:r>
      <w:hyperlink r:id="rId53" w:history="1">
        <w:r w:rsidRPr="00B342EB">
          <w:rPr>
            <w:rStyle w:val="Hyperlink"/>
          </w:rPr>
          <w:t>https://doi.org/10.1111/jan.15663</w:t>
        </w:r>
      </w:hyperlink>
    </w:p>
    <w:p w:rsidR="00F75EBE" w:rsidRDefault="00F75EBE" w:rsidP="00F75EBE">
      <w:pPr>
        <w:spacing w:before="0" w:after="160"/>
      </w:pPr>
      <w:r w:rsidRPr="00A57017">
        <w:t>Wang, X., Liu, Y., Peng, Z., Li, B., Liang, Q., Liao, S. and Liu, M., 2024. Situational leadership theory in nursing management: a scoping review. </w:t>
      </w:r>
      <w:r w:rsidRPr="00A57017">
        <w:rPr>
          <w:i/>
          <w:iCs/>
        </w:rPr>
        <w:t>BMC nursing</w:t>
      </w:r>
      <w:r w:rsidRPr="00A57017">
        <w:t>, </w:t>
      </w:r>
      <w:r w:rsidRPr="00A57017">
        <w:rPr>
          <w:i/>
          <w:iCs/>
        </w:rPr>
        <w:t>23</w:t>
      </w:r>
      <w:r w:rsidRPr="00A57017">
        <w:t>(1), p.930.</w:t>
      </w:r>
      <w:hyperlink r:id="rId54" w:history="1">
        <w:r w:rsidRPr="00B342EB">
          <w:rPr>
            <w:rStyle w:val="Hyperlink"/>
          </w:rPr>
          <w:t>https://doi.org/10.1186/s12912-024-02582-9</w:t>
        </w:r>
      </w:hyperlink>
    </w:p>
    <w:p w:rsidR="00F75EBE" w:rsidRPr="00B50D1A" w:rsidRDefault="00F75EBE" w:rsidP="00F75EBE">
      <w:pPr>
        <w:spacing w:before="0" w:after="160"/>
      </w:pPr>
      <w:r w:rsidRPr="00B50D1A">
        <w:t xml:space="preserve">WHO (2023). </w:t>
      </w:r>
      <w:r w:rsidRPr="00B50D1A">
        <w:rPr>
          <w:i/>
          <w:iCs/>
        </w:rPr>
        <w:t>Patient safety</w:t>
      </w:r>
      <w:r w:rsidRPr="00B50D1A">
        <w:t>. [online] Who.int. Available at:</w:t>
      </w:r>
      <w:hyperlink r:id="rId55"/>
      <w:hyperlink r:id="rId56">
        <w:r w:rsidRPr="00B50D1A">
          <w:rPr>
            <w:color w:val="1155CC"/>
            <w:u w:val="single"/>
          </w:rPr>
          <w:t>https://www.who.int/news-room/fact-sheets/detail/patient-safety</w:t>
        </w:r>
      </w:hyperlink>
      <w:r w:rsidRPr="00B50D1A">
        <w:t xml:space="preserve"> [Accessed 27 July 2026].</w:t>
      </w:r>
    </w:p>
    <w:p w:rsidR="00F75EBE" w:rsidRDefault="00F75EBE" w:rsidP="00F75EBE">
      <w:pPr>
        <w:spacing w:before="0" w:after="160"/>
      </w:pPr>
      <w:r w:rsidRPr="00B50D1A">
        <w:t xml:space="preserve">WHO. (2007). </w:t>
      </w:r>
      <w:r w:rsidRPr="00B50D1A">
        <w:rPr>
          <w:i/>
          <w:iCs/>
        </w:rPr>
        <w:t>Everybody’s Business</w:t>
      </w:r>
      <w:r w:rsidRPr="00B50D1A">
        <w:t>. [online] Available at:</w:t>
      </w:r>
      <w:hyperlink r:id="rId57"/>
      <w:hyperlink r:id="rId58">
        <w:r w:rsidRPr="00B50D1A">
          <w:rPr>
            <w:color w:val="1155CC"/>
            <w:u w:val="single"/>
          </w:rPr>
          <w:t>https://www.who.int/publications/i/item/everybody-s-business----strengthening-health-systems-to-improve-health-outcomes</w:t>
        </w:r>
      </w:hyperlink>
      <w:r w:rsidRPr="00B50D1A">
        <w:t xml:space="preserve"> [Accessed 27 July 2026].</w:t>
      </w:r>
    </w:p>
    <w:p w:rsidR="00F75EBE" w:rsidRDefault="00F75EBE" w:rsidP="00F75EBE">
      <w:pPr>
        <w:spacing w:before="0" w:after="160"/>
      </w:pPr>
      <w:r w:rsidRPr="00A57017">
        <w:t>Xiao, Y., Miller, K., Werner, N., Smith, K., Hendrix, N. and Hemmelgarn, C., 2023, September. Co-design with patients for improving patient safety: strategies, barriers and pitfalls. In </w:t>
      </w:r>
      <w:r w:rsidRPr="00A57017">
        <w:rPr>
          <w:i/>
          <w:iCs/>
        </w:rPr>
        <w:t>Proceedings of the Human Factors and Ergonomics Society Annual Meeting</w:t>
      </w:r>
      <w:r w:rsidRPr="00A57017">
        <w:t> (Vol. 67, No. 1, pp. 633-638). Sage CA: Los Angeles, CA: SAGE Publications.</w:t>
      </w:r>
      <w:hyperlink r:id="rId59" w:history="1">
        <w:r w:rsidRPr="00B342EB">
          <w:rPr>
            <w:rStyle w:val="Hyperlink"/>
          </w:rPr>
          <w:t>https://doi.org/10.1177/21695067231192416</w:t>
        </w:r>
      </w:hyperlink>
    </w:p>
    <w:p w:rsidR="00F75EBE" w:rsidRDefault="00F75EBE" w:rsidP="00F75EBE">
      <w:pPr>
        <w:spacing w:before="0" w:after="160"/>
      </w:pPr>
      <w:r w:rsidRPr="00A57017">
        <w:t>Yin, X., Song, H., Lu, J., Yang, J., Wang, R., Lin, Z., Jiang, S., Yuan, H., Wang, X., Xu, D. and Gao, C., 2024. Effect of a closed-loop medication order executive system on safe medication administration at a tertiary hospital: a quasi-experimental study. </w:t>
      </w:r>
      <w:r w:rsidRPr="00A57017">
        <w:rPr>
          <w:i/>
          <w:iCs/>
        </w:rPr>
        <w:t>Therapeutic Advances in Drug Safety</w:t>
      </w:r>
      <w:r w:rsidRPr="00A57017">
        <w:t>, </w:t>
      </w:r>
      <w:r w:rsidRPr="00A57017">
        <w:rPr>
          <w:i/>
          <w:iCs/>
        </w:rPr>
        <w:t>15</w:t>
      </w:r>
      <w:r w:rsidRPr="00A57017">
        <w:t>, p.20420986241288421.</w:t>
      </w:r>
      <w:hyperlink r:id="rId60" w:history="1">
        <w:r w:rsidRPr="00B342EB">
          <w:rPr>
            <w:rStyle w:val="Hyperlink"/>
          </w:rPr>
          <w:t>https://doi.org/10.1177/20420986241288421</w:t>
        </w:r>
      </w:hyperlink>
    </w:p>
    <w:p w:rsidR="00F75EBE" w:rsidRDefault="00F75EBE" w:rsidP="00F75EBE">
      <w:pPr>
        <w:spacing w:before="0" w:after="160"/>
      </w:pPr>
      <w:r w:rsidRPr="00A57017">
        <w:t>Zheng, L., Pon, T., Bajorek, S., Le, K., Hluhanich, R., Ren, Y. and Wilson, M., 2024. Impact of pharmacist‐led discharge medication reconciliation on error and patient harm prevention at a large academic medical center. </w:t>
      </w:r>
      <w:r w:rsidRPr="00A57017">
        <w:rPr>
          <w:i/>
          <w:iCs/>
        </w:rPr>
        <w:t>Journal of the American College of Clinical Pharmacy</w:t>
      </w:r>
      <w:r w:rsidRPr="00A57017">
        <w:t>, </w:t>
      </w:r>
      <w:r w:rsidRPr="00A57017">
        <w:rPr>
          <w:i/>
          <w:iCs/>
        </w:rPr>
        <w:t>7</w:t>
      </w:r>
      <w:r w:rsidRPr="00A57017">
        <w:t>(8), pp.787-794.</w:t>
      </w:r>
      <w:hyperlink r:id="rId61" w:history="1">
        <w:r w:rsidRPr="00B342EB">
          <w:rPr>
            <w:rStyle w:val="Hyperlink"/>
          </w:rPr>
          <w:t>https://doi.org/10.1002/jac5.1980</w:t>
        </w:r>
      </w:hyperlink>
    </w:p>
    <w:p w:rsidR="00F75EBE" w:rsidRDefault="00F75EBE" w:rsidP="00F75EBE">
      <w:pPr>
        <w:spacing w:before="0" w:after="160"/>
      </w:pPr>
    </w:p>
    <w:p w:rsidR="00F75EBE" w:rsidRPr="00B50D1A" w:rsidRDefault="00F75EBE" w:rsidP="00F75EBE">
      <w:pPr>
        <w:spacing w:before="0" w:after="160"/>
      </w:pPr>
    </w:p>
    <w:p w:rsidR="00F75EBE" w:rsidRPr="00B50D1A" w:rsidRDefault="00F75EBE" w:rsidP="00F75EBE"/>
    <w:p w:rsidR="00DB39D1" w:rsidRDefault="00DB39D1"/>
    <w:sectPr w:rsidR="00DB39D1" w:rsidSect="00B50D1A">
      <w:footerReference w:type="default" r:id="rId6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2814" w:rsidRDefault="00F75EBE">
    <w:pPr>
      <w:jc w:val="right"/>
      <w:rPr>
        <w:sz w:val="20"/>
        <w:szCs w:val="20"/>
      </w:rPr>
    </w:pPr>
    <w:r>
      <w:rPr>
        <w:sz w:val="20"/>
        <w:szCs w:val="20"/>
      </w:rPr>
      <w:fldChar w:fldCharType="begin"/>
    </w:r>
    <w:r>
      <w:rPr>
        <w:sz w:val="20"/>
        <w:szCs w:val="20"/>
      </w:rPr>
      <w:instrText>PAGE</w:instrText>
    </w:r>
    <w:r>
      <w:rPr>
        <w:sz w:val="20"/>
        <w:szCs w:val="20"/>
      </w:rPr>
      <w:fldChar w:fldCharType="separate"/>
    </w:r>
    <w:r>
      <w:rPr>
        <w:noProof/>
        <w:sz w:val="20"/>
        <w:szCs w:val="20"/>
      </w:rPr>
      <w:t>1</w:t>
    </w:r>
    <w:r>
      <w:rPr>
        <w:sz w:val="20"/>
        <w:szCs w:val="20"/>
      </w:rPr>
      <w:fldChar w:fldCharType="end"/>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75EBE"/>
    <w:rsid w:val="00DB39D1"/>
    <w:rsid w:val="00F75E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5EBE"/>
    <w:pPr>
      <w:spacing w:before="200" w:after="0" w:line="360" w:lineRule="auto"/>
      <w:jc w:val="both"/>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F75EBE"/>
    <w:pPr>
      <w:keepNext/>
      <w:keepLines/>
      <w:outlineLvl w:val="0"/>
    </w:pPr>
    <w:rPr>
      <w:b/>
      <w:bCs/>
      <w:sz w:val="28"/>
      <w:szCs w:val="28"/>
    </w:rPr>
  </w:style>
  <w:style w:type="paragraph" w:styleId="Heading2">
    <w:name w:val="heading 2"/>
    <w:basedOn w:val="Normal"/>
    <w:next w:val="Normal"/>
    <w:link w:val="Heading2Char"/>
    <w:uiPriority w:val="9"/>
    <w:unhideWhenUsed/>
    <w:qFormat/>
    <w:rsid w:val="00F75EBE"/>
    <w:pPr>
      <w:keepNext/>
      <w:keepLines/>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5EBE"/>
    <w:rPr>
      <w:rFonts w:ascii="Times New Roman" w:eastAsia="Times New Roman" w:hAnsi="Times New Roman" w:cs="Times New Roman"/>
      <w:b/>
      <w:bCs/>
      <w:sz w:val="28"/>
      <w:szCs w:val="28"/>
      <w:lang w:val="en-GB"/>
    </w:rPr>
  </w:style>
  <w:style w:type="character" w:customStyle="1" w:styleId="Heading2Char">
    <w:name w:val="Heading 2 Char"/>
    <w:basedOn w:val="DefaultParagraphFont"/>
    <w:link w:val="Heading2"/>
    <w:uiPriority w:val="9"/>
    <w:rsid w:val="00F75EBE"/>
    <w:rPr>
      <w:rFonts w:ascii="Times New Roman" w:eastAsia="Times New Roman" w:hAnsi="Times New Roman" w:cs="Times New Roman"/>
      <w:b/>
      <w:bCs/>
      <w:sz w:val="26"/>
      <w:szCs w:val="26"/>
      <w:lang w:val="en-GB"/>
    </w:rPr>
  </w:style>
  <w:style w:type="paragraph" w:styleId="TOCHeading">
    <w:name w:val="TOC Heading"/>
    <w:basedOn w:val="Heading1"/>
    <w:next w:val="Normal"/>
    <w:uiPriority w:val="39"/>
    <w:unhideWhenUsed/>
    <w:qFormat/>
    <w:rsid w:val="00F75EBE"/>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F75EBE"/>
    <w:pPr>
      <w:spacing w:after="100"/>
    </w:pPr>
  </w:style>
  <w:style w:type="paragraph" w:styleId="TOC2">
    <w:name w:val="toc 2"/>
    <w:basedOn w:val="Normal"/>
    <w:next w:val="Normal"/>
    <w:autoRedefine/>
    <w:uiPriority w:val="39"/>
    <w:unhideWhenUsed/>
    <w:rsid w:val="00F75EBE"/>
    <w:pPr>
      <w:spacing w:after="100"/>
      <w:ind w:left="240"/>
    </w:pPr>
  </w:style>
  <w:style w:type="character" w:styleId="Hyperlink">
    <w:name w:val="Hyperlink"/>
    <w:basedOn w:val="DefaultParagraphFont"/>
    <w:uiPriority w:val="99"/>
    <w:unhideWhenUsed/>
    <w:rsid w:val="00F75EBE"/>
    <w:rPr>
      <w:color w:val="0000FF" w:themeColor="hyperlink"/>
      <w:u w:val="single"/>
    </w:rPr>
  </w:style>
  <w:style w:type="paragraph" w:customStyle="1" w:styleId="normal0">
    <w:name w:val="normal"/>
    <w:rsid w:val="00F75EBE"/>
    <w:pPr>
      <w:spacing w:after="160" w:line="259"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75EBE"/>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EBE"/>
    <w:rPr>
      <w:rFonts w:ascii="Tahoma" w:eastAsia="Times New Roman"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doi.org/10.1136/thorax-2022-219371" TargetMode="External"/><Relationship Id="rId18" Type="http://schemas.openxmlformats.org/officeDocument/2006/relationships/hyperlink" Target="https://doi.org/10.7861/futurehosp.5-3-151" TargetMode="External"/><Relationship Id="rId26" Type="http://schemas.openxmlformats.org/officeDocument/2006/relationships/hyperlink" Target="https://www.legislation.gov.uk/ukpga/2022/31" TargetMode="External"/><Relationship Id="rId39" Type="http://schemas.openxmlformats.org/officeDocument/2006/relationships/hyperlink" Target="https://doi.org/10.1111/bjh.19360" TargetMode="External"/><Relationship Id="rId21" Type="http://schemas.openxmlformats.org/officeDocument/2006/relationships/hyperlink" Target="https://doi.org/10.1111/jan.15926" TargetMode="External"/><Relationship Id="rId34" Type="http://schemas.openxmlformats.org/officeDocument/2006/relationships/hyperlink" Target="https://doi.org/10.1002/nop2.1876" TargetMode="External"/><Relationship Id="rId42" Type="http://schemas.openxmlformats.org/officeDocument/2006/relationships/hyperlink" Target="https://doi.org/10.1136/bmjoq-2019-000714" TargetMode="External"/><Relationship Id="rId47" Type="http://schemas.openxmlformats.org/officeDocument/2006/relationships/hyperlink" Target="https://www.england.nhs.uk/mat-transformation/matrons-handbook/governance-patient-safety-and-quality/" TargetMode="External"/><Relationship Id="rId50" Type="http://schemas.openxmlformats.org/officeDocument/2006/relationships/hyperlink" Target="https://www.nice.org.uk/guidance/ng196" TargetMode="External"/><Relationship Id="rId55" Type="http://schemas.openxmlformats.org/officeDocument/2006/relationships/hyperlink" Target="https://www.who.int/news-room/fact-sheets/detail/patient-safety" TargetMode="External"/><Relationship Id="rId63" Type="http://schemas.openxmlformats.org/officeDocument/2006/relationships/fontTable" Target="fontTable.xml"/><Relationship Id="rId7" Type="http://schemas.openxmlformats.org/officeDocument/2006/relationships/hyperlink" Target="https://doi.org/10.1007/s10479-023-05362-x" TargetMode="External"/><Relationship Id="rId2" Type="http://schemas.openxmlformats.org/officeDocument/2006/relationships/settings" Target="settings.xml"/><Relationship Id="rId16" Type="http://schemas.openxmlformats.org/officeDocument/2006/relationships/hyperlink" Target="https://doi.org/10.1111/jocn.17022" TargetMode="External"/><Relationship Id="rId20" Type="http://schemas.openxmlformats.org/officeDocument/2006/relationships/hyperlink" Target="https://doi.org/10.1108/TQM-01-2022-0031" TargetMode="External"/><Relationship Id="rId29" Type="http://schemas.openxmlformats.org/officeDocument/2006/relationships/hyperlink" Target="https://doi.org/10.1093/intqhc/mzad088" TargetMode="External"/><Relationship Id="rId41" Type="http://schemas.openxmlformats.org/officeDocument/2006/relationships/hyperlink" Target="https://doi.org/10.1111/joop.12381" TargetMode="External"/><Relationship Id="rId54" Type="http://schemas.openxmlformats.org/officeDocument/2006/relationships/hyperlink" Target="https://doi.org/10.1186/s12912-024-02582-9" TargetMode="External"/><Relationship Id="rId62"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researchmgt.monash.edu/ws/portalfiles/portal/608157399/care_qi_handbook.pdf" TargetMode="External"/><Relationship Id="rId24" Type="http://schemas.openxmlformats.org/officeDocument/2006/relationships/hyperlink" Target="https://doi.org/10.1186/s12913-024-10828-0" TargetMode="External"/><Relationship Id="rId32" Type="http://schemas.openxmlformats.org/officeDocument/2006/relationships/hyperlink" Target="https://doi.org/10.1108/JHOM-02-2024-0034" TargetMode="External"/><Relationship Id="rId37" Type="http://schemas.openxmlformats.org/officeDocument/2006/relationships/hyperlink" Target="https://doi.org/10.1136/bmjopen-2020-037667" TargetMode="External"/><Relationship Id="rId40" Type="http://schemas.openxmlformats.org/officeDocument/2006/relationships/hyperlink" Target="https://doi.org/10.1111/bjh.19360" TargetMode="External"/><Relationship Id="rId45" Type="http://schemas.openxmlformats.org/officeDocument/2006/relationships/hyperlink" Target="https://www.england.nhs.uk/patient-safety/patient-safety-insight/patient-safety-alerts/enduring-standards/standards-that-remain-valid/medication-safety" TargetMode="External"/><Relationship Id="rId53" Type="http://schemas.openxmlformats.org/officeDocument/2006/relationships/hyperlink" Target="https://doi.org/10.1111/jan.15663" TargetMode="External"/><Relationship Id="rId58" Type="http://schemas.openxmlformats.org/officeDocument/2006/relationships/hyperlink" Target="https://www.who.int/publications/i/item/everybody-s-business----strengthening-health-systems-to-improve-health-outcomes" TargetMode="External"/><Relationship Id="rId5" Type="http://schemas.openxmlformats.org/officeDocument/2006/relationships/image" Target="media/image2.png"/><Relationship Id="rId15" Type="http://schemas.openxmlformats.org/officeDocument/2006/relationships/hyperlink" Target="https://doi.org/10.1111/jpc.16140" TargetMode="External"/><Relationship Id="rId23" Type="http://schemas.openxmlformats.org/officeDocument/2006/relationships/hyperlink" Target="https://doi.org/10.1590/0101-7438.2023.043.00275528" TargetMode="External"/><Relationship Id="rId28" Type="http://schemas.openxmlformats.org/officeDocument/2006/relationships/hyperlink" Target="https://doi.org/10.1093/intqhc/mzad088" TargetMode="External"/><Relationship Id="rId36" Type="http://schemas.openxmlformats.org/officeDocument/2006/relationships/hyperlink" Target="https://doi.org/10.1186/s12913-023-10135-0" TargetMode="External"/><Relationship Id="rId49" Type="http://schemas.openxmlformats.org/officeDocument/2006/relationships/hyperlink" Target="https://www.nice.org.uk/guidance/ng196" TargetMode="External"/><Relationship Id="rId57" Type="http://schemas.openxmlformats.org/officeDocument/2006/relationships/hyperlink" Target="https://www.who.int/publications/i/item/everybody-s-business----strengthening-health-systems-to-improve-health-outcomes" TargetMode="External"/><Relationship Id="rId61" Type="http://schemas.openxmlformats.org/officeDocument/2006/relationships/hyperlink" Target="https://doi.org/10.1002/jac5.1980" TargetMode="External"/><Relationship Id="rId10" Type="http://schemas.openxmlformats.org/officeDocument/2006/relationships/hyperlink" Target="https://doi.org/10.1186/s12912-025-04263-7" TargetMode="External"/><Relationship Id="rId19" Type="http://schemas.openxmlformats.org/officeDocument/2006/relationships/hyperlink" Target="https://doi.org/10.57187/smw.2023.40082" TargetMode="External"/><Relationship Id="rId31" Type="http://schemas.openxmlformats.org/officeDocument/2006/relationships/hyperlink" Target="https://www.hssib.org.uk/patient-safety-investigations/medication-related-harm/second-investigation-report/" TargetMode="External"/><Relationship Id="rId44" Type="http://schemas.openxmlformats.org/officeDocument/2006/relationships/hyperlink" Target="https://doi.org/10.1177/23779608231185923" TargetMode="External"/><Relationship Id="rId52" Type="http://schemas.openxmlformats.org/officeDocument/2006/relationships/hyperlink" Target="https://doi.org/10.1155/2024/5594154" TargetMode="External"/><Relationship Id="rId60" Type="http://schemas.openxmlformats.org/officeDocument/2006/relationships/hyperlink" Target="https://doi.org/10.1177/20420986241288421" TargetMode="External"/><Relationship Id="rId4" Type="http://schemas.openxmlformats.org/officeDocument/2006/relationships/image" Target="media/image1.png"/><Relationship Id="rId9" Type="http://schemas.openxmlformats.org/officeDocument/2006/relationships/hyperlink" Target="https://doi.org/10.1016/j.rcsop.2024.100531" TargetMode="External"/><Relationship Id="rId14" Type="http://schemas.openxmlformats.org/officeDocument/2006/relationships/hyperlink" Target="https://doi.org/10.1136/thorax-2022-219371" TargetMode="External"/><Relationship Id="rId22" Type="http://schemas.openxmlformats.org/officeDocument/2006/relationships/hyperlink" Target="https://doi.org/10.1111/inr.70166" TargetMode="External"/><Relationship Id="rId27" Type="http://schemas.openxmlformats.org/officeDocument/2006/relationships/hyperlink" Target="https://www.legislation.gov.uk/ukpga/2022/31" TargetMode="External"/><Relationship Id="rId30" Type="http://schemas.openxmlformats.org/officeDocument/2006/relationships/hyperlink" Target="https://www.hssib.org.uk/patient-safety-investigations/medication-related-harm/second-investigation-report/" TargetMode="External"/><Relationship Id="rId35" Type="http://schemas.openxmlformats.org/officeDocument/2006/relationships/hyperlink" Target="https://doi.org/10.1186/s12913-023-10135-0" TargetMode="External"/><Relationship Id="rId43" Type="http://schemas.openxmlformats.org/officeDocument/2006/relationships/hyperlink" Target="https://doi.org/10.1136/bmjoq-2019-000714" TargetMode="External"/><Relationship Id="rId48" Type="http://schemas.openxmlformats.org/officeDocument/2006/relationships/hyperlink" Target="https://www.england.nhs.uk/mat-transformation/matrons-handbook/governance-patient-safety-and-quality/" TargetMode="External"/><Relationship Id="rId56" Type="http://schemas.openxmlformats.org/officeDocument/2006/relationships/hyperlink" Target="https://www.who.int/news-room/fact-sheets/detail/patient-safety" TargetMode="External"/><Relationship Id="rId64" Type="http://schemas.openxmlformats.org/officeDocument/2006/relationships/theme" Target="theme/theme1.xml"/><Relationship Id="rId8" Type="http://schemas.openxmlformats.org/officeDocument/2006/relationships/hyperlink" Target="https://doi.org/10.1016/j.rcsop.2024.100531" TargetMode="External"/><Relationship Id="rId51" Type="http://schemas.openxmlformats.org/officeDocument/2006/relationships/hyperlink" Target="https://doi.org/10.4102/hsag.v28i0.2344" TargetMode="External"/><Relationship Id="rId3" Type="http://schemas.openxmlformats.org/officeDocument/2006/relationships/webSettings" Target="webSettings.xml"/><Relationship Id="rId12" Type="http://schemas.openxmlformats.org/officeDocument/2006/relationships/hyperlink" Target="https://researchmgt.monash.edu/ws/portalfiles/portal/608157399/care_qi_handbook.pdf" TargetMode="External"/><Relationship Id="rId17" Type="http://schemas.openxmlformats.org/officeDocument/2006/relationships/hyperlink" Target="https://doi.org/10.7861/futurehosp.5-3-151" TargetMode="External"/><Relationship Id="rId25" Type="http://schemas.openxmlformats.org/officeDocument/2006/relationships/hyperlink" Target="https://doi.org/10.1177/09514848241254921" TargetMode="External"/><Relationship Id="rId33" Type="http://schemas.openxmlformats.org/officeDocument/2006/relationships/hyperlink" Target="https://doi.org/10.1108/JHOM-02-2024-0034" TargetMode="External"/><Relationship Id="rId38" Type="http://schemas.openxmlformats.org/officeDocument/2006/relationships/hyperlink" Target="https://doi.org/10.1136/bmjopen-2020-037667" TargetMode="External"/><Relationship Id="rId46" Type="http://schemas.openxmlformats.org/officeDocument/2006/relationships/hyperlink" Target="https://www.england.nhs.uk/patient-safety/patient-safety-insight/patient-safety-alerts/enduring-standards/standards-that-remain-valid/medication-safety" TargetMode="External"/><Relationship Id="rId59" Type="http://schemas.openxmlformats.org/officeDocument/2006/relationships/hyperlink" Target="https://doi.org/10.1177/216950672311924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7834</Words>
  <Characters>44659</Characters>
  <Application>Microsoft Office Word</Application>
  <DocSecurity>0</DocSecurity>
  <Lines>372</Lines>
  <Paragraphs>104</Paragraphs>
  <ScaleCrop>false</ScaleCrop>
  <Company/>
  <LinksUpToDate>false</LinksUpToDate>
  <CharactersWithSpaces>52389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2026-08-10T23:43:00Z</dcterms:created>
  <dcterms:modified xsi:type="dcterms:W3CDTF">2026-08-10T23:44:00Z</dcterms:modified>
</cp:coreProperties>
</file>