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120" w:line="480"/>
        <w:ind w:right="0" w:left="0" w:firstLine="720"/>
        <w:jc w:val="left"/>
        <w:rPr>
          <w:rFonts w:ascii="Times New Roman" w:hAnsi="Times New Roman" w:cs="Times New Roman" w:eastAsia="Times New Roman"/>
          <w:color w:val="auto"/>
          <w:spacing w:val="0"/>
          <w:position w:val="0"/>
          <w:sz w:val="52"/>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52"/>
          <w:shd w:fill="auto" w:val="clear"/>
        </w:rPr>
      </w:pPr>
      <w:r>
        <w:rPr>
          <w:rFonts w:ascii="Times New Roman" w:hAnsi="Times New Roman" w:cs="Times New Roman" w:eastAsia="Times New Roman"/>
          <w:color w:val="auto"/>
          <w:spacing w:val="0"/>
          <w:position w:val="0"/>
          <w:sz w:val="52"/>
          <w:shd w:fill="auto" w:val="clear"/>
        </w:rPr>
        <w:t xml:space="preserve">Digital skills</w:t>
      </w:r>
    </w:p>
    <w:p>
      <w:pPr>
        <w:spacing w:before="120" w:after="120" w:line="480"/>
        <w:ind w:right="0" w:left="0" w:firstLine="720"/>
        <w:jc w:val="center"/>
        <w:rPr>
          <w:rFonts w:ascii="Times New Roman" w:hAnsi="Times New Roman" w:cs="Times New Roman" w:eastAsia="Times New Roman"/>
          <w:color w:val="auto"/>
          <w:spacing w:val="0"/>
          <w:position w:val="0"/>
          <w:sz w:val="52"/>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52"/>
          <w:shd w:fill="auto" w:val="clear"/>
        </w:rPr>
      </w:pPr>
      <w:r>
        <w:rPr>
          <w:rFonts w:ascii="Times New Roman" w:hAnsi="Times New Roman" w:cs="Times New Roman" w:eastAsia="Times New Roman"/>
          <w:color w:val="auto"/>
          <w:spacing w:val="0"/>
          <w:position w:val="0"/>
          <w:sz w:val="52"/>
          <w:shd w:fill="auto" w:val="clear"/>
        </w:rPr>
        <w:t xml:space="preserve">     Virtual Learning Environment</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numPr>
          <w:ilvl w:val="0"/>
          <w:numId w:val="4"/>
        </w:numPr>
        <w:spacing w:before="120" w:after="120" w:line="480"/>
        <w:ind w:right="0" w:left="25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Studet name: Andreea Apetri</w:t>
      </w:r>
    </w:p>
    <w:p>
      <w:pPr>
        <w:numPr>
          <w:ilvl w:val="0"/>
          <w:numId w:val="4"/>
        </w:numPr>
        <w:spacing w:before="120" w:after="120" w:line="480"/>
        <w:ind w:right="0" w:left="25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 ID:1817733</w:t>
      </w:r>
    </w:p>
    <w:p>
      <w:pPr>
        <w:numPr>
          <w:ilvl w:val="0"/>
          <w:numId w:val="4"/>
        </w:numPr>
        <w:spacing w:before="120" w:after="120" w:line="480"/>
        <w:ind w:right="0" w:left="25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Name of lecturer: Renuga Jayakumar </w:t>
      </w:r>
    </w:p>
    <w:p>
      <w:pPr>
        <w:numPr>
          <w:ilvl w:val="0"/>
          <w:numId w:val="4"/>
        </w:numPr>
        <w:spacing w:before="120" w:after="120" w:line="480"/>
        <w:ind w:right="0" w:left="2520" w:hanging="36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Name of University : University of Wales Triity Saint David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 the last few decades, there have been enormous developments in the field of learning and education facilities (Martin and Bolliger, 2018). As the world has become globalised, therefore distance learning along with experiential learning have been evolved significantly during the past few years. Various traditional ways of providing education to the university and graduating students have been altered with significant new ways. The contemporary ways of online learning and virtual learning have been introduced significantly due to the advancement of information and technology during the past few years (Sung, et al., 2016).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been observed that blended or mixed form of learning, which involves the traditional methods of teaching along with the integration of online materials has usually become part of modern university education system. This kind of teaching methods which involves both the systems have been successful in various universities in the developed countries (Allcoat, et al., 2018). The following study also involves the utilisation of effective methods of VLE along with the conventional teaching methods among a private university of UK. The impact of VLE, along with teacher and student's perspectives, will be observed and analysed during the study.    </w:t>
      </w: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Aims and Objectives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objectives of our study are to analyse the perspectives and experiences of university students who have been using VLE as a part of their education at the university. Along with that, the teacher's perspectives are also observed according to the benefits associated with the teachers for delivering quality education to university students.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The rationale of the study</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study will help colleges and teachers improve teaching and learning practices in higher education systems with the help of VLE, ​​as it provides a holistic way to manage learning experiences, along with improving and engaging learners and mentors with each other (). This engagement and overall participation of students and teacher on the platform provided by VLE is observed to enhance the overall learning system of the students and teachers in the contemporary system of university education. In addition, this study is designed to mitigate, encourage and provide learning experiences that can go beyond institutions (Ryan and Poole, 2019). Moreover, a lot of research shows that a real learning environment, such as VLE has proven to be much more effective and interesting than various traditional and out-dated learning environments.</w:t>
      </w: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Literature review</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the benefits of VLE are controversial, one of the unique benefits offered to students is the flexibility they offer (Goeser, et al., 2018). Moreover, it has been observed that self-learning methods like VLE are more beneficial for instilling researchable and inquiry skills among the students. As long as students have an Internet connection, they can access online learning materials anywhere and anytime (Aljohani, et al., 2019). Research has shown that problems that can take the time or be sensitive can be explored in a more neutral environment, giving students more autonomy and time to think and think. In addition, VLE helps students and faculty in building a sense of community, reduces feelings of isolation and disengagement, and improves student confidence and participation. (Martin and Bolliger, 2018).</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the past few years, there has been little evidence of using VLE to improve the learning of students. Institutions do not seem convincing as to how to measure the impact of the VLE (Ryan and Poole, 2019). Success is usually measured by the number of times a student visits a particular online resource. Such measures are misleading, as students can download information instead of actively interacting with the material. However, some online activities have great potential to support learning advanced skills. For example, online forums present students to multiple perspectives, giving them the opportunity to learn from each other, develop critical thinking and improve writing skills by reviewing with teachers and teachers (Yilmaz, 2016).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VLE is understood as an enhanced and advanced learning approach, which is usually dependent upon the availability of the electronic systems. The innovative idea of sharing all information from teachers and the involvement of students provides an essential edge to the teachers (Yang and Quadir, 2018). This can overall promote the self-efficacy along with self-cognitive development in the various individuals during online learning. It was also observed from the study that VLE provides various links to the discovery of knowledge as they are not provided all the knowledge through their teachers. They also encourage brainstorming of various ideas and improve the creative abilities of the students. Therefore they are considered as being effective in providing self-learning abilities in the students.</w:t>
      </w:r>
    </w:p>
    <w:p>
      <w:pPr>
        <w:keepNext w:val="true"/>
        <w:keepLines w:val="true"/>
        <w:spacing w:before="120" w:after="120" w:line="48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Students and teacher participation</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enable the success of implementing the VLE system, the participation of students and teachers is essential and requires interest, investment and active participation (Ryan and Poole, 2019). While researching the benefits of a blended learning environment, it is emphasised that engaging teachers and students in online activities, such as updating resources and responding quickly to mail student electronics is essential to the success of these activities (Goeser, et al., 2018). The research also provides evidence of VLE as a means of providing students with information in the form of documents, online resources and links to external websites (Koo, et al., 2016). On the other hand, the communication, collaboration and knowledge-building media see VLE as a way to engage students in discussions, debates, develop understanding and develop knowledge, thereby improving the experience of learning. (You, 2016).</w:t>
      </w:r>
    </w:p>
    <w:p>
      <w:pPr>
        <w:keepNext w:val="true"/>
        <w:keepLines w:val="true"/>
        <w:spacing w:before="120" w:after="120" w:line="48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Technical knowledge and support</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VLE to succeed, students and teachers need the necessary technical skills. There is enough documentation to prove that good technical support is the motivation of teachers to use VLE. However, being able to use VLE does not necessarily mean that students are more likely to participate in (Demir, 2018). Students often use technical issues to avoid using VLE. As research has shown, failures in online learning resources can lead to higher student dissatisfaction with opportunities with little or no online learning. In addition to technical skills, teachers may find learning new technical methods very time-consuming, and the need to constantly update and improve materials outweighs the benefits. (Goeser, et al., 2018). </w:t>
      </w: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Methodology</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research methodology is considered as the utilisation of various effective techniques and strategies which involve different methods of data collection, data analysis, research design and interpretation of the data. </w:t>
      </w:r>
    </w:p>
    <w:p>
      <w:pPr>
        <w:keepNext w:val="true"/>
        <w:keepLines w:val="true"/>
        <w:spacing w:before="120" w:after="120" w:line="48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Types of Research Methods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usually three kinds of research methods which are used for collecting and analysing data, and they are known as </w:t>
      </w:r>
      <w:r>
        <w:rPr>
          <w:rFonts w:ascii="Times New Roman" w:hAnsi="Times New Roman" w:cs="Times New Roman" w:eastAsia="Times New Roman"/>
          <w:b/>
          <w:i/>
          <w:color w:val="auto"/>
          <w:spacing w:val="0"/>
          <w:position w:val="0"/>
          <w:sz w:val="24"/>
          <w:shd w:fill="auto" w:val="clear"/>
        </w:rPr>
        <w:t xml:space="preserve">qualitative, quantitative</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b/>
          <w:i/>
          <w:color w:val="auto"/>
          <w:spacing w:val="0"/>
          <w:position w:val="0"/>
          <w:sz w:val="24"/>
          <w:shd w:fill="auto" w:val="clear"/>
        </w:rPr>
        <w:t xml:space="preserve">mixed methods</w:t>
      </w:r>
      <w:r>
        <w:rPr>
          <w:rFonts w:ascii="Times New Roman" w:hAnsi="Times New Roman" w:cs="Times New Roman" w:eastAsia="Times New Roman"/>
          <w:color w:val="auto"/>
          <w:spacing w:val="0"/>
          <w:position w:val="0"/>
          <w:sz w:val="24"/>
          <w:shd w:fill="auto" w:val="clear"/>
        </w:rPr>
        <w:t xml:space="preserve">. The qualitative method involves the research from the earlier data, which is present and usually involves inductive or deductive approach (Boulton, et al., 2018). Through the use of inductive or deductive methods, the researchers usually collect data from the research work which is already present in the literature; hence it is analysed on the basis of information of how various individual or groups have interpreted the results. However, the quantitative data involves the collection of data from surveys or questionnaires, through which the data can be analysed and interpreted.</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method of quantitative analysis usually requires numerical data in a variable process. A variable is a method of determining a change or a function with "two or more possible values". For these "numeric variables", the numbers used to measure the variables are important because they measure the size of the existing variables. In addition, many researchers often rely on non-numerical appearances. “Quantitative data” can be created in several ways (Koo, et al., 2016). For example, "questionnaires (interviews while surveys) are often used to collect quantitative data and require the defendant to provide data on attitudes, experience and demographics. Most surveys include classification of information, direct or raw data collection. There are many methods, including surveys, structured questionnaires, real-time surveys and focus groups (Sung, et al., 2016).</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Finally, the "hybrid approach" is a research technique that allows researchers to collect and analyse "quantitative and qualitative data" in the same study (Martin and Bolliger, 2018). Exploring hybrid approaches can benefit from the potential benefits of qualitative and quantitative approaches, which allow researchers to explore different perspectives and discover the relationships between the complex dimensions of our multidisciplinary research problems. There is a large contribution of researchers toward the mixed or hybrid approach, as all data can be collected through interviews and surveys. In this study, the researchers also used a "mixed or hybrid approach in the research methods" because all of the data was collected using both the methods, which are known as qualitative and quantitative methods (Yilmaz, 2016).</w:t>
      </w:r>
    </w:p>
    <w:p>
      <w:pPr>
        <w:spacing w:before="120" w:after="120" w:line="48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Data collection methods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data collection method is usually considered as one of the crucial steps during the whole process of the research study. This step is significant as the results of our study depend on how we have collected the data and how we have interpreted it. There are usually two kinds of data collection methods (Yang and Quadir, 2018). The primary method of data collection and Secondary method of data collection. Therefore whenever we are collecting data, we use one of these methods to ensure that the results that we have received are close to our estimation and understanding.</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Secondary data</w:t>
      </w:r>
      <w:r>
        <w:rPr>
          <w:rFonts w:ascii="Times New Roman" w:hAnsi="Times New Roman" w:cs="Times New Roman" w:eastAsia="Times New Roman"/>
          <w:color w:val="auto"/>
          <w:spacing w:val="0"/>
          <w:position w:val="0"/>
          <w:sz w:val="24"/>
          <w:shd w:fill="auto" w:val="clear"/>
        </w:rPr>
        <w:t xml:space="preserve"> is known as the data which is already present among the reports, files, analysis or earlier researches on our relevant topic. Hence it can be understood that when we are taking data from authentic resources which have been done earlier are known as secondary data. It consists of various reports on Census, industrial reports, financial reports, agency files, data or information originally collected for future studies (Boulton, et al., 2018). Therefore it is considered as the research method, which involves the statistics from the existing but authentic data.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w:t>
      </w:r>
      <w:r>
        <w:rPr>
          <w:rFonts w:ascii="Times New Roman" w:hAnsi="Times New Roman" w:cs="Times New Roman" w:eastAsia="Times New Roman"/>
          <w:b/>
          <w:i/>
          <w:color w:val="auto"/>
          <w:spacing w:val="0"/>
          <w:position w:val="0"/>
          <w:sz w:val="24"/>
          <w:shd w:fill="auto" w:val="clear"/>
        </w:rPr>
        <w:t xml:space="preserve">Primary data</w:t>
      </w:r>
      <w:r>
        <w:rPr>
          <w:rFonts w:ascii="Times New Roman" w:hAnsi="Times New Roman" w:cs="Times New Roman" w:eastAsia="Times New Roman"/>
          <w:color w:val="auto"/>
          <w:spacing w:val="0"/>
          <w:position w:val="0"/>
          <w:sz w:val="24"/>
          <w:shd w:fill="auto" w:val="clear"/>
        </w:rPr>
        <w:t xml:space="preserve"> is known as the data which is collected by the individual through various surveys, interviews or questionnaires, which are produced by the researcher themselves and for a specific purpose of research or study (Ryan and Poole, 2019). There are various ways for the collection of primary data. The most common forms of primary data collection are questionnaires, surveys and interviews. But it can be observed that the methods of primary data collection require more time and expenses; therefore, they are considered more expensive and time-consuming than the secondary method of data collection (Crittenden, et al., 2019). Although it is considered as time consuming and expensive, still it is considered as the most adopted way for collecting raw and authentic data as the researcher is involved in direct collection of data from the surveys and questionnaires.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following study also, we will be using a mixed-method approach, which involves the use of primary and secondary data collection method, because all the data is collected from the primary and secondary sources, which involves questionnaire and survey along with data from the past studies</w:t>
      </w:r>
    </w:p>
    <w:p>
      <w:pPr>
        <w:spacing w:before="120" w:after="120" w:line="480"/>
        <w:ind w:right="0" w:left="0" w:firstLine="72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Sample Population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sample population, which has been taken for the study, is taken from the university students of the UK. They are the students who have been using VLE for one year. The survey and questionnaire were conducted with a sample size of around 100 students, in which 70 were males, and 30 were females. Along with that teacher's perspectives is also taken, which provides the ease of transfer and sharing information of students have made the assessment of the students easier than a conventional system of checking.</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Primary Data Analysis </w:t>
      </w:r>
    </w:p>
    <w:p>
      <w:pPr>
        <w:spacing w:before="120" w:after="120" w:line="480"/>
        <w:ind w:right="0" w:left="0" w:firstLine="720"/>
        <w:jc w:val="left"/>
        <w:rPr>
          <w:rFonts w:ascii="Times New Roman" w:hAnsi="Times New Roman" w:cs="Times New Roman" w:eastAsia="Times New Roman"/>
          <w:b/>
          <w:i/>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Figure 1 Student's response towards the adoption of VLE</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the results based on the questionnaire and survey's (see Appendix) the students showed maximum response towards the favour of the adoption of VLE; therefore it can be assessed that there are various benefits according to the data which is collected from the university students who have been using VLE since one year. The maximum percentage is with the students who have responded in favour of the adoption of VLE, which is 40%.</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Figure 2: Benefits of VLE according to student’s perspectives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data shows that students have received significant benefits while using the VLE learning system during their studies. The maximum percentage of responses are in favour of the improvement of the teacher with the students with the help of VLE, which is found to be 30%.</w:t>
      </w:r>
    </w:p>
    <w:p>
      <w:pPr>
        <w:spacing w:before="120" w:after="120" w:line="480"/>
        <w:ind w:right="0" w:left="0" w:firstLine="72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Secondary Data Analysis </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rapid development of communication technologies has increased the demand for virtual learning, which involves disproportionate asynchronous learners and connected learners (Allcoat and von Mühlenen, 2018). Enhanced virtual learning involves courses offered via the web, email and message boards, and then posting them on a web forum (Crittenden, et al., 2019). And, when students are not online, they can learn at their own pace without the need of being regular. It allows students to communicate and collaborate on computers without being limited by time and distance. In addition, research has shown that real learning environments like VLE have become more effective and interesting than traditional and out-dated learning environments (Ryan and Poole, 2019).</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Along with that, it has been observed that the use of internet has been exemplary nowadays; therefore it supports the use of VLE, as all the students who want to benefit from the use of the internet can utilise the services of the internet for taking different online courses Yang and Quadir, 2018). Not only applying for various online courses has become easier, but they can also learn those courses at their own pace. In addition, VLE contains chat and video conferences, so that students can ask questions and teachers can respond immediately with instant messages. The most common online tools that can be used at the same time are Skype and Google Hangout. In general, virtual learning offers a number of important benefits in personal learning and development of individuals (Demir, 2018).</w:t>
      </w: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can, therefore, be concluded that VLE offers effective learning and teaching practices that have a positive impact on students and teachers. In addition, learners need to be more responsible as they need to learn how to access and use digital data. It will also affect students' learning style. Students using "traditional" learning systems need to be more active and adaptable to modern learning environments.</w:t>
      </w: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However, according to the teacher's perspective, teaching virtual languages ​​is a new skill for teachers because they need more flexibility and more detailed knowledge to understand how to access and use them for better results. Therefore it can be considered as beneficial along with also challenging for various teachers with traditional behaviours. Moreover, various other advantages of VLE include the ease of the web submissions that allow teachers to maintain and share full links with students, which can be found on different websites, which means students don't have to buy textbooks and to save money. It is also better suited for 21st-century learners, as today's learners are a generation of highly skilled people who spend a lot of time interacting and finding information in the virtual world.</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References</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Aljohani, N.R., Daud, A., Abbasi, R.A., Alowibdi, J.S., Basheri, M. and Aslam, M.A., 2019. An integrated framework for course adapted student learning analytics dashboard. </w:t>
      </w:r>
      <w:r>
        <w:rPr>
          <w:rFonts w:ascii="Times New Roman" w:hAnsi="Times New Roman" w:cs="Times New Roman" w:eastAsia="Times New Roman"/>
          <w:i/>
          <w:color w:val="auto"/>
          <w:spacing w:val="0"/>
          <w:position w:val="0"/>
          <w:sz w:val="24"/>
          <w:shd w:fill="auto" w:val="clear"/>
        </w:rPr>
        <w:t xml:space="preserve">Computers in Human Behavior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92</w:t>
      </w:r>
      <w:r>
        <w:rPr>
          <w:rFonts w:ascii="Times New Roman" w:hAnsi="Times New Roman" w:cs="Times New Roman" w:eastAsia="Times New Roman"/>
          <w:color w:val="auto"/>
          <w:spacing w:val="0"/>
          <w:position w:val="0"/>
          <w:sz w:val="24"/>
          <w:shd w:fill="auto" w:val="clear"/>
        </w:rPr>
        <w:t xml:space="preserve">, pp.679-690.</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Allcoat, D. and von Mühlenen, A., 2018. Learning in virtual reality: Effects on performance, emotion and engagement. </w:t>
      </w:r>
      <w:r>
        <w:rPr>
          <w:rFonts w:ascii="Times New Roman" w:hAnsi="Times New Roman" w:cs="Times New Roman" w:eastAsia="Times New Roman"/>
          <w:i/>
          <w:color w:val="auto"/>
          <w:spacing w:val="0"/>
          <w:position w:val="0"/>
          <w:sz w:val="24"/>
          <w:shd w:fill="auto" w:val="clear"/>
        </w:rPr>
        <w:t xml:space="preserve">Research in Learning Technology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Boulton, C.A., Kent, C. and Williams, H.T., 2018. Virtual learning environment engagement and learning outcomes at a ‘bricks-and-mortar’university. </w:t>
      </w:r>
      <w:r>
        <w:rPr>
          <w:rFonts w:ascii="Times New Roman" w:hAnsi="Times New Roman" w:cs="Times New Roman" w:eastAsia="Times New Roman"/>
          <w:i/>
          <w:color w:val="auto"/>
          <w:spacing w:val="0"/>
          <w:position w:val="0"/>
          <w:sz w:val="24"/>
          <w:shd w:fill="auto" w:val="clear"/>
        </w:rPr>
        <w:t xml:space="preserve">Computers &amp;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126</w:t>
      </w:r>
      <w:r>
        <w:rPr>
          <w:rFonts w:ascii="Times New Roman" w:hAnsi="Times New Roman" w:cs="Times New Roman" w:eastAsia="Times New Roman"/>
          <w:color w:val="auto"/>
          <w:spacing w:val="0"/>
          <w:position w:val="0"/>
          <w:sz w:val="24"/>
          <w:shd w:fill="auto" w:val="clear"/>
        </w:rPr>
        <w:t xml:space="preserve">, pp.129-142.</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Crittenden, W.F., Biel, I.K. and Lovely III, WA, 2019. Embracing Digitalisation: Student Learning and New Technologies. </w:t>
      </w:r>
      <w:r>
        <w:rPr>
          <w:rFonts w:ascii="Times New Roman" w:hAnsi="Times New Roman" w:cs="Times New Roman" w:eastAsia="Times New Roman"/>
          <w:i/>
          <w:color w:val="auto"/>
          <w:spacing w:val="0"/>
          <w:position w:val="0"/>
          <w:sz w:val="24"/>
          <w:shd w:fill="auto" w:val="clear"/>
        </w:rPr>
        <w:t xml:space="preserve">Journal of Marketing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41</w:t>
      </w:r>
      <w:r>
        <w:rPr>
          <w:rFonts w:ascii="Times New Roman" w:hAnsi="Times New Roman" w:cs="Times New Roman" w:eastAsia="Times New Roman"/>
          <w:color w:val="auto"/>
          <w:spacing w:val="0"/>
          <w:position w:val="0"/>
          <w:sz w:val="24"/>
          <w:shd w:fill="auto" w:val="clear"/>
        </w:rPr>
        <w:t xml:space="preserve">(1), pp.5-14.</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Demir, M., 2018. Effects of Virtual Manipulatives with Different Approaches on Students’ Knowledge of Slope. </w:t>
      </w:r>
      <w:r>
        <w:rPr>
          <w:rFonts w:ascii="Times New Roman" w:hAnsi="Times New Roman" w:cs="Times New Roman" w:eastAsia="Times New Roman"/>
          <w:i/>
          <w:color w:val="auto"/>
          <w:spacing w:val="0"/>
          <w:position w:val="0"/>
          <w:sz w:val="24"/>
          <w:shd w:fill="auto" w:val="clear"/>
        </w:rPr>
        <w:t xml:space="preserve">Journal of Interactive Learning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29</w:t>
      </w:r>
      <w:r>
        <w:rPr>
          <w:rFonts w:ascii="Times New Roman" w:hAnsi="Times New Roman" w:cs="Times New Roman" w:eastAsia="Times New Roman"/>
          <w:color w:val="auto"/>
          <w:spacing w:val="0"/>
          <w:position w:val="0"/>
          <w:sz w:val="24"/>
          <w:shd w:fill="auto" w:val="clear"/>
        </w:rPr>
        <w:t xml:space="preserve">(1), pp.25-50.</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Goeser, P.T., Hamza-Lup, F.G., Johnson, W.M. and Scharfer, D., 2018. VIEW: A virtual interactive web-based learning environment for engineering. </w:t>
      </w:r>
      <w:r>
        <w:rPr>
          <w:rFonts w:ascii="Times New Roman" w:hAnsi="Times New Roman" w:cs="Times New Roman" w:eastAsia="Times New Roman"/>
          <w:i/>
          <w:color w:val="auto"/>
          <w:spacing w:val="0"/>
          <w:position w:val="0"/>
          <w:sz w:val="24"/>
          <w:shd w:fill="auto" w:val="clear"/>
        </w:rPr>
        <w:t xml:space="preserve">arXiv preprint arXiv:1811.07463</w:t>
      </w:r>
      <w:r>
        <w:rPr>
          <w:rFonts w:ascii="Times New Roman" w:hAnsi="Times New Roman" w:cs="Times New Roman" w:eastAsia="Times New Roman"/>
          <w:color w:val="auto"/>
          <w:spacing w:val="0"/>
          <w:position w:val="0"/>
          <w:sz w:val="24"/>
          <w:shd w:fill="auto" w:val="clear"/>
        </w:rPr>
        <w:t xml:space="preserve">.</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Koo, C.L., Demps, E.L., Farris, C., Bowman, J.D., Panahi, L. and Boyle, P., 2016. Impact of flipped classroom design on student performance and perceptions in a pharmacotherapy course. </w:t>
      </w:r>
      <w:r>
        <w:rPr>
          <w:rFonts w:ascii="Times New Roman" w:hAnsi="Times New Roman" w:cs="Times New Roman" w:eastAsia="Times New Roman"/>
          <w:i/>
          <w:color w:val="auto"/>
          <w:spacing w:val="0"/>
          <w:position w:val="0"/>
          <w:sz w:val="24"/>
          <w:shd w:fill="auto" w:val="clear"/>
        </w:rPr>
        <w:t xml:space="preserve">American journal of pharmaceutical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80</w:t>
      </w:r>
      <w:r>
        <w:rPr>
          <w:rFonts w:ascii="Times New Roman" w:hAnsi="Times New Roman" w:cs="Times New Roman" w:eastAsia="Times New Roman"/>
          <w:color w:val="auto"/>
          <w:spacing w:val="0"/>
          <w:position w:val="0"/>
          <w:sz w:val="24"/>
          <w:shd w:fill="auto" w:val="clear"/>
        </w:rPr>
        <w:t xml:space="preserve">(2), p.33.</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Martin, F. and Bolliger, D.U., 2018. Engagement matters: Student perceptions on the importance of engagement strategies in the online learning environment. </w:t>
      </w:r>
      <w:r>
        <w:rPr>
          <w:rFonts w:ascii="Times New Roman" w:hAnsi="Times New Roman" w:cs="Times New Roman" w:eastAsia="Times New Roman"/>
          <w:i/>
          <w:color w:val="auto"/>
          <w:spacing w:val="0"/>
          <w:position w:val="0"/>
          <w:sz w:val="24"/>
          <w:shd w:fill="auto" w:val="clear"/>
        </w:rPr>
        <w:t xml:space="preserve">Online Learning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22</w:t>
      </w:r>
      <w:r>
        <w:rPr>
          <w:rFonts w:ascii="Times New Roman" w:hAnsi="Times New Roman" w:cs="Times New Roman" w:eastAsia="Times New Roman"/>
          <w:color w:val="auto"/>
          <w:spacing w:val="0"/>
          <w:position w:val="0"/>
          <w:sz w:val="24"/>
          <w:shd w:fill="auto" w:val="clear"/>
        </w:rPr>
        <w:t xml:space="preserve">(1), pp.205-222.</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Ryan, E. and Poole, C., 2019. Impact of Virtual Learning Environment on Students’ Satisfaction, Engagement, Recall, and Retention. </w:t>
      </w:r>
      <w:r>
        <w:rPr>
          <w:rFonts w:ascii="Times New Roman" w:hAnsi="Times New Roman" w:cs="Times New Roman" w:eastAsia="Times New Roman"/>
          <w:i/>
          <w:color w:val="auto"/>
          <w:spacing w:val="0"/>
          <w:position w:val="0"/>
          <w:sz w:val="24"/>
          <w:shd w:fill="auto" w:val="clear"/>
        </w:rPr>
        <w:t xml:space="preserve">Journal of medical imaging and radiation sciences</w:t>
      </w:r>
      <w:r>
        <w:rPr>
          <w:rFonts w:ascii="Times New Roman" w:hAnsi="Times New Roman" w:cs="Times New Roman" w:eastAsia="Times New Roman"/>
          <w:color w:val="auto"/>
          <w:spacing w:val="0"/>
          <w:position w:val="0"/>
          <w:sz w:val="24"/>
          <w:shd w:fill="auto" w:val="clear"/>
        </w:rPr>
        <w:t xml:space="preserve">.</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Sung, Y.T., Chang, K.E. and Liu, T.C., 2016. The effects of integrating mobile devices with teaching and learning on students' learning performance: A meta-analysis and research synthesis. </w:t>
      </w:r>
      <w:r>
        <w:rPr>
          <w:rFonts w:ascii="Times New Roman" w:hAnsi="Times New Roman" w:cs="Times New Roman" w:eastAsia="Times New Roman"/>
          <w:i/>
          <w:color w:val="auto"/>
          <w:spacing w:val="0"/>
          <w:position w:val="0"/>
          <w:sz w:val="24"/>
          <w:shd w:fill="auto" w:val="clear"/>
        </w:rPr>
        <w:t xml:space="preserve">Computers &amp;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94</w:t>
      </w:r>
      <w:r>
        <w:rPr>
          <w:rFonts w:ascii="Times New Roman" w:hAnsi="Times New Roman" w:cs="Times New Roman" w:eastAsia="Times New Roman"/>
          <w:color w:val="auto"/>
          <w:spacing w:val="0"/>
          <w:position w:val="0"/>
          <w:sz w:val="24"/>
          <w:shd w:fill="auto" w:val="clear"/>
        </w:rPr>
        <w:t xml:space="preserve">, pp.252-275.</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van Vendeloo, S.N., Prins, D.J., Verheyen, C.C., Prins, J.T., van den Heijkant, F., van der Heijden, FM and Brand, PL, 2018. The learning environment and resident burnout: a national study. </w:t>
      </w:r>
      <w:r>
        <w:rPr>
          <w:rFonts w:ascii="Times New Roman" w:hAnsi="Times New Roman" w:cs="Times New Roman" w:eastAsia="Times New Roman"/>
          <w:i/>
          <w:color w:val="auto"/>
          <w:spacing w:val="0"/>
          <w:position w:val="0"/>
          <w:sz w:val="24"/>
          <w:shd w:fill="auto" w:val="clear"/>
        </w:rPr>
        <w:t xml:space="preserve">Perspectives on medical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(2), pp.120-125.</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Yang, J.C. and Quadir, B., 2018. Effects of prior knowledge on learning performance and anxiety in an English learning online role-playing game. </w:t>
      </w:r>
      <w:r>
        <w:rPr>
          <w:rFonts w:ascii="Times New Roman" w:hAnsi="Times New Roman" w:cs="Times New Roman" w:eastAsia="Times New Roman"/>
          <w:i/>
          <w:color w:val="auto"/>
          <w:spacing w:val="0"/>
          <w:position w:val="0"/>
          <w:sz w:val="24"/>
          <w:shd w:fill="auto" w:val="clear"/>
        </w:rPr>
        <w:t xml:space="preserve">Journal of Educational Technology &amp; Society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21</w:t>
      </w:r>
      <w:r>
        <w:rPr>
          <w:rFonts w:ascii="Times New Roman" w:hAnsi="Times New Roman" w:cs="Times New Roman" w:eastAsia="Times New Roman"/>
          <w:color w:val="auto"/>
          <w:spacing w:val="0"/>
          <w:position w:val="0"/>
          <w:sz w:val="24"/>
          <w:shd w:fill="auto" w:val="clear"/>
        </w:rPr>
        <w:t xml:space="preserve">(3), pp.174-185.</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Yilmaz, R., 2016. Knowledge sharing behaviors in e-learning community: Exploring the role of academic self-efficacy and sense of community. </w:t>
      </w:r>
      <w:r>
        <w:rPr>
          <w:rFonts w:ascii="Times New Roman" w:hAnsi="Times New Roman" w:cs="Times New Roman" w:eastAsia="Times New Roman"/>
          <w:i/>
          <w:color w:val="auto"/>
          <w:spacing w:val="0"/>
          <w:position w:val="0"/>
          <w:sz w:val="24"/>
          <w:shd w:fill="auto" w:val="clear"/>
        </w:rPr>
        <w:t xml:space="preserve">Computers in Human Behavior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63</w:t>
      </w:r>
      <w:r>
        <w:rPr>
          <w:rFonts w:ascii="Times New Roman" w:hAnsi="Times New Roman" w:cs="Times New Roman" w:eastAsia="Times New Roman"/>
          <w:color w:val="auto"/>
          <w:spacing w:val="0"/>
          <w:position w:val="0"/>
          <w:sz w:val="24"/>
          <w:shd w:fill="auto" w:val="clear"/>
        </w:rPr>
        <w:t xml:space="preserve">, pp.373-382.</w:t>
      </w:r>
    </w:p>
    <w:p>
      <w:pPr>
        <w:spacing w:before="120" w:after="12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JW, 2016. Identifying significant indicators using LMS data to predict course achievement in online learning. </w:t>
      </w:r>
      <w:r>
        <w:rPr>
          <w:rFonts w:ascii="Times New Roman" w:hAnsi="Times New Roman" w:cs="Times New Roman" w:eastAsia="Times New Roman"/>
          <w:i/>
          <w:color w:val="auto"/>
          <w:spacing w:val="0"/>
          <w:position w:val="0"/>
          <w:sz w:val="24"/>
          <w:shd w:fill="auto" w:val="clear"/>
        </w:rPr>
        <w:t xml:space="preserve">The Internet and Higher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29</w:t>
      </w:r>
      <w:r>
        <w:rPr>
          <w:rFonts w:ascii="Times New Roman" w:hAnsi="Times New Roman" w:cs="Times New Roman" w:eastAsia="Times New Roman"/>
          <w:color w:val="auto"/>
          <w:spacing w:val="0"/>
          <w:position w:val="0"/>
          <w:sz w:val="24"/>
          <w:shd w:fill="auto" w:val="clear"/>
        </w:rPr>
        <w:t xml:space="preserve">, pp.23-30.</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120" w:after="120" w:line="48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Appendix</w:t>
      </w:r>
    </w:p>
    <w:tbl>
      <w:tblPr/>
      <w:tblGrid>
        <w:gridCol w:w="1271"/>
        <w:gridCol w:w="2324"/>
        <w:gridCol w:w="1440"/>
        <w:gridCol w:w="1067"/>
        <w:gridCol w:w="1003"/>
        <w:gridCol w:w="1136"/>
        <w:gridCol w:w="1109"/>
      </w:tblGrid>
      <w:tr>
        <w:trPr>
          <w:trHeight w:val="1" w:hRule="atLeast"/>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Impact of VLE</w:t>
            </w: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 No. </w:t>
            </w: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Questions</w:t>
            </w: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Strongly Agree</w:t>
            </w: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Agree</w:t>
            </w: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Neutral </w:t>
            </w: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Disagree</w:t>
            </w: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Strongly Disagree </w:t>
            </w:r>
          </w:p>
        </w:tc>
      </w:tr>
      <w:tr>
        <w:trPr>
          <w:trHeight w:val="1" w:hRule="atLeast"/>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3"/>
              </w:numPr>
              <w:spacing w:before="120" w:after="120" w:line="480"/>
              <w:ind w:right="0" w:left="720" w:hanging="36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Student’s perspective</w:t>
            </w: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3"/>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can be utilised for knowledge enhancement?</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9"/>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is effective for lesson planning?</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2"/>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is able to bring together, the online resources which are required by the students?</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5"/>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is essential in sharing information of pupils along with Pupil’s assessment data? </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8"/>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has been successful in improving the teacher’s way of approaching their lessons, along with placing of assignments? </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2"/>
              </w:numPr>
              <w:spacing w:before="120" w:after="120" w:line="480"/>
              <w:ind w:right="0" w:left="720" w:hanging="360"/>
              <w:jc w:val="left"/>
              <w:rPr>
                <w:color w:val="auto"/>
                <w:spacing w:val="0"/>
                <w:position w:val="0"/>
              </w:rPr>
            </w:pPr>
            <w:r>
              <w:rPr>
                <w:rFonts w:ascii="Times New Roman" w:hAnsi="Times New Roman" w:cs="Times New Roman" w:eastAsia="Times New Roman"/>
                <w:b/>
                <w:color w:val="auto"/>
                <w:spacing w:val="0"/>
                <w:position w:val="0"/>
                <w:sz w:val="24"/>
                <w:shd w:fill="auto" w:val="clear"/>
              </w:rPr>
              <w:t xml:space="preserve">Teacher’s perspectives</w:t>
            </w: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2"/>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VLE, the teachers are able to access the data or assignments easily.</w:t>
            </w:r>
          </w:p>
          <w:p>
            <w:pPr>
              <w:spacing w:before="120" w:after="120" w:line="480"/>
              <w:ind w:right="0" w:left="0" w:firstLine="0"/>
              <w:jc w:val="left"/>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0"/>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VLE enhances the collaboration of the Staff to work with each other. </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3"/>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VLE helps the senior management to access the data, which is added by the teacher on the system.</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6"/>
              </w:numPr>
              <w:spacing w:before="120" w:after="120" w:line="480"/>
              <w:ind w:right="0" w:left="720" w:hanging="360"/>
              <w:jc w:val="both"/>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VLE is utilised to share information among the teachers.</w:t>
            </w:r>
          </w:p>
          <w:p>
            <w:pPr>
              <w:spacing w:before="120" w:after="120" w:line="480"/>
              <w:ind w:right="0" w:left="0" w:firstLine="0"/>
              <w:jc w:val="both"/>
              <w:rPr>
                <w:color w:val="auto"/>
                <w:spacing w:val="0"/>
                <w:position w:val="0"/>
              </w:rPr>
            </w:pP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2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79"/>
              </w:numPr>
              <w:spacing w:before="120" w:after="120" w:line="480"/>
              <w:ind w:right="0" w:left="720" w:hanging="360"/>
              <w:jc w:val="left"/>
              <w:rPr>
                <w:rFonts w:ascii="Calibri" w:hAnsi="Calibri" w:cs="Calibri" w:eastAsia="Calibri"/>
                <w:color w:val="auto"/>
                <w:spacing w:val="0"/>
                <w:position w:val="0"/>
                <w:sz w:val="22"/>
                <w:shd w:fill="auto" w:val="clear"/>
              </w:rPr>
            </w:pPr>
          </w:p>
        </w:tc>
        <w:tc>
          <w:tcPr>
            <w:tcW w:w="2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VLE has been able to raise the level of Pupil's accomplishment</w:t>
            </w:r>
          </w:p>
        </w:tc>
        <w:tc>
          <w:tcPr>
            <w:tcW w:w="1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720"/>
              <w:jc w:val="left"/>
              <w:rPr>
                <w:rFonts w:ascii="Calibri" w:hAnsi="Calibri" w:cs="Calibri" w:eastAsia="Calibri"/>
                <w:color w:val="auto"/>
                <w:spacing w:val="0"/>
                <w:position w:val="0"/>
                <w:sz w:val="22"/>
                <w:shd w:fill="auto" w:val="clear"/>
              </w:rPr>
            </w:pPr>
          </w:p>
        </w:tc>
        <w:tc>
          <w:tcPr>
            <w:tcW w:w="1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720"/>
              <w:jc w:val="left"/>
              <w:rPr>
                <w:rFonts w:ascii="Calibri" w:hAnsi="Calibri" w:cs="Calibri" w:eastAsia="Calibri"/>
                <w:color w:val="auto"/>
                <w:spacing w:val="0"/>
                <w:position w:val="0"/>
                <w:sz w:val="22"/>
                <w:shd w:fill="auto" w:val="clear"/>
              </w:rPr>
            </w:pPr>
          </w:p>
        </w:tc>
        <w:tc>
          <w:tcPr>
            <w:tcW w:w="10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720"/>
              <w:jc w:val="left"/>
              <w:rPr>
                <w:rFonts w:ascii="Calibri" w:hAnsi="Calibri" w:cs="Calibri" w:eastAsia="Calibri"/>
                <w:color w:val="auto"/>
                <w:spacing w:val="0"/>
                <w:position w:val="0"/>
                <w:sz w:val="22"/>
                <w:shd w:fill="auto" w:val="clear"/>
              </w:rPr>
            </w:pPr>
          </w:p>
        </w:tc>
        <w:tc>
          <w:tcPr>
            <w:tcW w:w="11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720"/>
              <w:jc w:val="left"/>
              <w:rPr>
                <w:rFonts w:ascii="Calibri" w:hAnsi="Calibri" w:cs="Calibri" w:eastAsia="Calibri"/>
                <w:color w:val="auto"/>
                <w:spacing w:val="0"/>
                <w:position w:val="0"/>
                <w:sz w:val="22"/>
                <w:shd w:fill="auto" w:val="clear"/>
              </w:rPr>
            </w:pPr>
          </w:p>
        </w:tc>
        <w:tc>
          <w:tcPr>
            <w:tcW w:w="11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480"/>
              <w:ind w:right="0" w:left="0" w:firstLine="720"/>
              <w:jc w:val="left"/>
              <w:rPr>
                <w:rFonts w:ascii="Calibri" w:hAnsi="Calibri" w:cs="Calibri" w:eastAsia="Calibri"/>
                <w:color w:val="auto"/>
                <w:spacing w:val="0"/>
                <w:position w:val="0"/>
                <w:sz w:val="22"/>
                <w:shd w:fill="auto" w:val="clear"/>
              </w:rPr>
            </w:pPr>
          </w:p>
        </w:tc>
      </w:tr>
    </w:tbl>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240"/>
        <w:ind w:right="0" w:left="0" w:firstLine="720"/>
        <w:jc w:val="left"/>
        <w:rPr>
          <w:rFonts w:ascii="Times New Roman" w:hAnsi="Times New Roman" w:cs="Times New Roman" w:eastAsia="Times New Roman"/>
          <w:color w:val="auto"/>
          <w:spacing w:val="0"/>
          <w:position w:val="0"/>
          <w:sz w:val="24"/>
          <w:shd w:fill="auto" w:val="clear"/>
        </w:rPr>
      </w:pPr>
      <w:r>
        <w:object w:dxaOrig="8422" w:dyaOrig="14942">
          <v:rect xmlns:o="urn:schemas-microsoft-com:office:office" xmlns:v="urn:schemas-microsoft-com:vml" id="rectole0000000000" style="width:421.100000pt;height:747.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20" w:after="120" w:line="240"/>
        <w:ind w:right="0" w:left="0" w:firstLine="720"/>
        <w:jc w:val="left"/>
        <w:rPr>
          <w:rFonts w:ascii="Times New Roman" w:hAnsi="Times New Roman" w:cs="Times New Roman" w:eastAsia="Times New Roman"/>
          <w:color w:val="auto"/>
          <w:spacing w:val="0"/>
          <w:position w:val="0"/>
          <w:sz w:val="24"/>
          <w:shd w:fill="auto" w:val="clear"/>
        </w:rPr>
      </w:pPr>
      <w:r>
        <w:object w:dxaOrig="8422" w:dyaOrig="14942">
          <v:rect xmlns:o="urn:schemas-microsoft-com:office:office" xmlns:v="urn:schemas-microsoft-com:vml" id="rectole0000000001" style="width:421.100000pt;height:747.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20" w:after="120" w:line="240"/>
        <w:ind w:right="0" w:left="0" w:firstLine="720"/>
        <w:jc w:val="left"/>
        <w:rPr>
          <w:rFonts w:ascii="Times New Roman" w:hAnsi="Times New Roman" w:cs="Times New Roman" w:eastAsia="Times New Roman"/>
          <w:color w:val="auto"/>
          <w:spacing w:val="0"/>
          <w:position w:val="0"/>
          <w:sz w:val="24"/>
          <w:shd w:fill="auto" w:val="clear"/>
        </w:rPr>
      </w:pPr>
      <w:r>
        <w:object w:dxaOrig="8422" w:dyaOrig="11217">
          <v:rect xmlns:o="urn:schemas-microsoft-com:office:office" xmlns:v="urn:schemas-microsoft-com:vml" id="rectole0000000002" style="width:421.100000pt;height:560.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120" w:after="120" w:line="24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24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72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num w:numId="4">
    <w:abstractNumId w:val="72"/>
  </w:num>
  <w:num w:numId="43">
    <w:abstractNumId w:val="66"/>
  </w:num>
  <w:num w:numId="46">
    <w:abstractNumId w:val="60"/>
  </w:num>
  <w:num w:numId="49">
    <w:abstractNumId w:val="54"/>
  </w:num>
  <w:num w:numId="52">
    <w:abstractNumId w:val="48"/>
  </w:num>
  <w:num w:numId="55">
    <w:abstractNumId w:val="42"/>
  </w:num>
  <w:num w:numId="58">
    <w:abstractNumId w:val="36"/>
  </w:num>
  <w:num w:numId="62">
    <w:abstractNumId w:val="30"/>
  </w:num>
  <w:num w:numId="65">
    <w:abstractNumId w:val="24"/>
  </w:num>
  <w:num w:numId="70">
    <w:abstractNumId w:val="18"/>
  </w:num>
  <w:num w:numId="73">
    <w:abstractNumId w:val="12"/>
  </w:num>
  <w:num w:numId="76">
    <w:abstractNumId w:val="6"/>
  </w:num>
  <w:num w:numId="7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