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media/image1.svg" ContentType="image/svg+xml"/>
  <Override PartName="/word/media/image2.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ascii="Arial" w:hAnsi="Arial" w:cs="Arial"/>
          <w:b/>
        </w:rPr>
      </w:pP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ascii="Arial" w:hAnsi="Arial" w:cs="Arial"/>
          <w:b/>
        </w:rPr>
      </w:pP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ascii="Arial" w:hAnsi="Arial" w:cs="Arial"/>
          <w:b/>
        </w:rPr>
      </w:pP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ascii="Arial" w:hAnsi="Arial" w:cs="Arial"/>
          <w:b/>
        </w:rPr>
      </w:pPr>
      <w:r>
        <w:rPr>
          <w:rFonts w:ascii="Arial" w:hAnsi="Arial" w:cs="Arial"/>
        </w:rPr>
        <w:drawing>
          <wp:inline distT="0" distB="0" distL="0" distR="0">
            <wp:extent cx="4635500" cy="1536700"/>
            <wp:effectExtent l="0" t="0" r="0" b="6350"/>
            <wp:docPr id="7" name="Picture 1" descr="A picture containing knife, table&#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1" descr="A picture containing knife, 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firstLine="2201" w:firstLineChars="1000"/>
        <w:rPr>
          <w:rFonts w:ascii="Arial" w:hAnsi="Arial" w:cs="Arial"/>
          <w:b/>
        </w:rPr>
      </w:pPr>
      <w:r>
        <w:rPr>
          <w:rFonts w:ascii="Arial" w:hAnsi="Arial" w:cs="Arial"/>
          <w:b/>
        </w:rPr>
        <w:t xml:space="preserve">A study of business model of eSports industry in China </w:t>
      </w: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ascii="Arial" w:hAnsi="Arial" w:cs="Arial"/>
          <w:b/>
        </w:rPr>
      </w:pPr>
      <w:r>
        <w:rPr>
          <w:rFonts w:ascii="Arial" w:hAnsi="Arial" w:cs="Arial"/>
          <w:b/>
        </w:rPr>
        <w:t>Name: Xu Sheng</w:t>
      </w: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hint="default" w:ascii="Arial" w:hAnsi="Arial" w:cs="Arial" w:eastAsiaTheme="minorEastAsia"/>
          <w:b/>
          <w:lang w:val="en-US" w:eastAsia="zh-CN"/>
        </w:rPr>
      </w:pPr>
      <w:r>
        <w:rPr>
          <w:rFonts w:ascii="Arial" w:hAnsi="Arial" w:cs="Arial"/>
          <w:b/>
        </w:rPr>
        <w:t>Student ID:</w:t>
      </w:r>
      <w:r>
        <w:rPr>
          <w:rFonts w:hint="eastAsia" w:ascii="Arial" w:hAnsi="Arial" w:cs="Arial"/>
          <w:b/>
          <w:lang w:val="en-US" w:eastAsia="zh-CN"/>
        </w:rPr>
        <w:t>1900501</w:t>
      </w: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ascii="Arial" w:hAnsi="Arial" w:cs="Arial"/>
          <w:b/>
        </w:rPr>
      </w:pPr>
      <w:r>
        <w:rPr>
          <w:rFonts w:ascii="Arial" w:hAnsi="Arial" w:cs="Arial"/>
          <w:b/>
        </w:rPr>
        <w:t>BA (Hons) BUSINESS MANAGEMENT</w:t>
      </w: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ascii="Arial" w:hAnsi="Arial" w:cs="Arial"/>
          <w:b/>
        </w:rPr>
      </w:pPr>
      <w:r>
        <w:rPr>
          <w:rFonts w:ascii="Arial" w:hAnsi="Arial" w:cs="Arial"/>
          <w:b/>
        </w:rPr>
        <w:t>UWTSD SWANSEA</w:t>
      </w:r>
    </w:p>
    <w:p>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156" w:beforeLines="50" w:after="312" w:afterLines="100" w:line="360" w:lineRule="auto"/>
        <w:ind w:right="-54"/>
        <w:jc w:val="center"/>
        <w:rPr>
          <w:rFonts w:ascii="Arial" w:hAnsi="Arial" w:cs="Arial"/>
          <w:b/>
        </w:rPr>
      </w:pPr>
      <w:r>
        <w:rPr>
          <w:rFonts w:ascii="Arial" w:hAnsi="Arial" w:cs="Arial"/>
          <w:b/>
        </w:rPr>
        <w:t>2021</w:t>
      </w:r>
    </w:p>
    <w:p>
      <w:pPr>
        <w:spacing w:before="156" w:beforeLines="50" w:after="312" w:afterLines="100" w:line="360" w:lineRule="auto"/>
        <w:rPr>
          <w:rFonts w:ascii="Arial" w:hAnsi="Arial" w:cs="Arial"/>
          <w:b/>
        </w:rPr>
      </w:pPr>
      <w:r>
        <w:rPr>
          <w:rFonts w:ascii="Arial" w:hAnsi="Arial" w:cs="Arial"/>
          <w:b/>
        </w:rPr>
        <w:br w:type="page"/>
      </w:r>
    </w:p>
    <w:p>
      <w:pPr>
        <w:pStyle w:val="2"/>
        <w:spacing w:before="156" w:beforeLines="50" w:after="312" w:afterLines="100" w:line="360" w:lineRule="auto"/>
        <w:rPr>
          <w:rFonts w:ascii="Arial" w:hAnsi="Arial" w:cs="Arial"/>
        </w:rPr>
      </w:pPr>
      <w:bookmarkStart w:id="0" w:name="_Toc71634567"/>
      <w:bookmarkStart w:id="1" w:name="_Toc71635913"/>
      <w:r>
        <w:rPr>
          <w:rFonts w:ascii="Arial" w:hAnsi="Arial" w:cs="Arial"/>
        </w:rPr>
        <w:t>DECLARATION</w:t>
      </w:r>
      <w:bookmarkEnd w:id="0"/>
      <w:bookmarkEnd w:id="1"/>
    </w:p>
    <w:p>
      <w:pPr>
        <w:spacing w:before="156" w:beforeLines="50" w:after="312" w:afterLines="100" w:line="360" w:lineRule="auto"/>
        <w:rPr>
          <w:rFonts w:ascii="Arial" w:hAnsi="Arial" w:cs="Arial"/>
        </w:rPr>
      </w:pPr>
      <w:r>
        <w:rPr>
          <w:rFonts w:ascii="Arial" w:hAnsi="Arial" w:cs="Arial"/>
        </w:rPr>
        <w:t>This work has not previously been accepted in substance for any degree and is not being concurrently submitted in candidature for any degree</w:t>
      </w:r>
    </w:p>
    <w:p>
      <w:pPr>
        <w:spacing w:before="156" w:beforeLines="50" w:after="312" w:afterLines="100" w:line="360" w:lineRule="auto"/>
        <w:rPr>
          <w:rFonts w:ascii="Arial" w:hAnsi="Arial" w:cs="Arial"/>
        </w:rPr>
      </w:pPr>
      <w:r>
        <w:rPr>
          <w:rFonts w:ascii="Arial" w:hAnsi="Arial" w:cs="Arial"/>
        </w:rPr>
        <w:t>Signed…</w:t>
      </w:r>
      <w:r>
        <w:rPr>
          <w:rFonts w:hint="eastAsia" w:ascii="Arial" w:hAnsi="Arial" w:cs="Arial"/>
          <w:lang w:val="en-US" w:eastAsia="zh-CN"/>
        </w:rPr>
        <w:t>Xu Sheng</w:t>
      </w:r>
      <w:r>
        <w:rPr>
          <w:rFonts w:ascii="Arial" w:hAnsi="Arial" w:cs="Arial"/>
        </w:rPr>
        <w:t>…………………………………………</w:t>
      </w:r>
    </w:p>
    <w:p>
      <w:pPr>
        <w:spacing w:before="156" w:beforeLines="50" w:after="312" w:afterLines="100" w:line="360" w:lineRule="auto"/>
        <w:rPr>
          <w:rFonts w:ascii="Arial" w:hAnsi="Arial" w:cs="Arial"/>
        </w:rPr>
      </w:pPr>
      <w:r>
        <w:rPr>
          <w:rFonts w:ascii="Arial" w:hAnsi="Arial" w:cs="Arial"/>
        </w:rPr>
        <w:t>Date………………………………………………</w:t>
      </w:r>
    </w:p>
    <w:p>
      <w:pPr>
        <w:spacing w:before="156" w:beforeLines="50" w:after="312" w:afterLines="100" w:line="360" w:lineRule="auto"/>
        <w:rPr>
          <w:rFonts w:ascii="Arial" w:hAnsi="Arial" w:cs="Arial"/>
          <w:b/>
        </w:rPr>
      </w:pPr>
      <w:r>
        <w:rPr>
          <w:rFonts w:ascii="Arial" w:hAnsi="Arial" w:cs="Arial"/>
          <w:b/>
        </w:rPr>
        <w:t xml:space="preserve">STATEMENT 1 </w:t>
      </w:r>
    </w:p>
    <w:p>
      <w:pPr>
        <w:spacing w:before="156" w:beforeLines="50" w:after="312" w:afterLines="100" w:line="360" w:lineRule="auto"/>
        <w:rPr>
          <w:rFonts w:ascii="Arial" w:hAnsi="Arial" w:cs="Arial"/>
        </w:rPr>
      </w:pPr>
      <w:r>
        <w:rPr>
          <w:rFonts w:ascii="Arial" w:hAnsi="Arial" w:cs="Arial"/>
        </w:rPr>
        <w:t>This dissertation is being submitted in partial fulfilment of the requirements for the degree of BA.</w:t>
      </w:r>
    </w:p>
    <w:p>
      <w:pPr>
        <w:spacing w:before="156" w:beforeLines="50" w:after="312" w:afterLines="100" w:line="360" w:lineRule="auto"/>
        <w:rPr>
          <w:rFonts w:ascii="Arial" w:hAnsi="Arial" w:cs="Arial"/>
        </w:rPr>
      </w:pPr>
      <w:r>
        <w:rPr>
          <w:rFonts w:ascii="Arial" w:hAnsi="Arial" w:cs="Arial"/>
        </w:rPr>
        <w:t>Signed…</w:t>
      </w:r>
      <w:r>
        <w:rPr>
          <w:rFonts w:hint="eastAsia" w:ascii="Arial" w:hAnsi="Arial" w:cs="Arial"/>
          <w:lang w:val="en-US" w:eastAsia="zh-CN"/>
        </w:rPr>
        <w:t>Xu Sheng</w:t>
      </w:r>
      <w:r>
        <w:rPr>
          <w:rFonts w:ascii="Arial" w:hAnsi="Arial" w:cs="Arial"/>
        </w:rPr>
        <w:t xml:space="preserve">…………………………………………. </w:t>
      </w:r>
    </w:p>
    <w:p>
      <w:pPr>
        <w:spacing w:before="156" w:beforeLines="50" w:after="312" w:afterLines="100" w:line="360" w:lineRule="auto"/>
        <w:rPr>
          <w:rFonts w:ascii="Arial" w:hAnsi="Arial" w:cs="Arial"/>
        </w:rPr>
      </w:pPr>
      <w:r>
        <w:rPr>
          <w:rFonts w:ascii="Arial" w:hAnsi="Arial" w:cs="Arial"/>
        </w:rPr>
        <w:t>Date………………………………………………</w:t>
      </w:r>
    </w:p>
    <w:p>
      <w:pPr>
        <w:spacing w:before="156" w:beforeLines="50" w:after="312" w:afterLines="100" w:line="360" w:lineRule="auto"/>
        <w:rPr>
          <w:rFonts w:ascii="Arial" w:hAnsi="Arial" w:cs="Arial"/>
          <w:b/>
        </w:rPr>
      </w:pPr>
      <w:r>
        <w:rPr>
          <w:rFonts w:ascii="Arial" w:hAnsi="Arial" w:cs="Arial"/>
          <w:b/>
        </w:rPr>
        <w:t>STATEMENT 2</w:t>
      </w:r>
    </w:p>
    <w:p>
      <w:pPr>
        <w:spacing w:before="156" w:beforeLines="50" w:after="312" w:afterLines="100" w:line="360" w:lineRule="auto"/>
        <w:rPr>
          <w:rFonts w:ascii="Arial" w:hAnsi="Arial" w:cs="Arial"/>
        </w:rPr>
      </w:pPr>
      <w:r>
        <w:rPr>
          <w:rFonts w:ascii="Arial" w:hAnsi="Arial" w:cs="Arial"/>
        </w:rPr>
        <w:t>This dissertation is the result of my own independent work/investigation, except where otherwise stated.</w:t>
      </w:r>
    </w:p>
    <w:p>
      <w:pPr>
        <w:spacing w:before="156" w:beforeLines="50" w:after="312" w:afterLines="100" w:line="360" w:lineRule="auto"/>
        <w:rPr>
          <w:rFonts w:ascii="Arial" w:hAnsi="Arial" w:cs="Arial"/>
        </w:rPr>
      </w:pPr>
      <w:r>
        <w:rPr>
          <w:rFonts w:ascii="Arial" w:hAnsi="Arial" w:cs="Arial"/>
        </w:rPr>
        <w:t>Other sources are acknowledged by footnotes giving explicit references.  A bibliography is appended.</w:t>
      </w:r>
    </w:p>
    <w:p>
      <w:pPr>
        <w:spacing w:before="156" w:beforeLines="50" w:after="312" w:afterLines="100" w:line="360" w:lineRule="auto"/>
        <w:rPr>
          <w:rFonts w:ascii="Arial" w:hAnsi="Arial" w:cs="Arial"/>
        </w:rPr>
      </w:pPr>
      <w:r>
        <w:rPr>
          <w:rFonts w:ascii="Arial" w:hAnsi="Arial" w:cs="Arial"/>
        </w:rPr>
        <w:t>Signed…</w:t>
      </w:r>
      <w:r>
        <w:rPr>
          <w:rFonts w:hint="eastAsia" w:ascii="Arial" w:hAnsi="Arial" w:cs="Arial"/>
          <w:lang w:val="en-US" w:eastAsia="zh-CN"/>
        </w:rPr>
        <w:t>Xu Sheng</w:t>
      </w:r>
      <w:r>
        <w:rPr>
          <w:rFonts w:ascii="Arial" w:hAnsi="Arial" w:cs="Arial"/>
        </w:rPr>
        <w:t>…………………………………………</w:t>
      </w:r>
    </w:p>
    <w:p>
      <w:pPr>
        <w:spacing w:before="156" w:beforeLines="50" w:after="312" w:afterLines="100" w:line="360" w:lineRule="auto"/>
        <w:rPr>
          <w:rFonts w:ascii="Arial" w:hAnsi="Arial" w:cs="Arial"/>
        </w:rPr>
      </w:pPr>
      <w:r>
        <w:rPr>
          <w:rFonts w:ascii="Arial" w:hAnsi="Arial" w:cs="Arial"/>
        </w:rPr>
        <w:t xml:space="preserve">Date……………………………………………… </w:t>
      </w:r>
    </w:p>
    <w:p>
      <w:pPr>
        <w:spacing w:before="156" w:beforeLines="50" w:after="312" w:afterLines="100" w:line="360" w:lineRule="auto"/>
        <w:rPr>
          <w:rFonts w:ascii="Arial" w:hAnsi="Arial" w:cs="Arial"/>
          <w:b/>
        </w:rPr>
      </w:pPr>
      <w:r>
        <w:rPr>
          <w:rFonts w:ascii="Arial" w:hAnsi="Arial" w:cs="Arial"/>
          <w:b/>
        </w:rPr>
        <w:t>STATEMENT 3</w:t>
      </w:r>
    </w:p>
    <w:p>
      <w:pPr>
        <w:spacing w:before="156" w:beforeLines="50" w:after="312" w:afterLines="100" w:line="360" w:lineRule="auto"/>
        <w:rPr>
          <w:rFonts w:ascii="Arial" w:hAnsi="Arial" w:cs="Arial"/>
        </w:rPr>
      </w:pPr>
      <w:r>
        <w:rPr>
          <w:rFonts w:ascii="Arial" w:hAnsi="Arial" w:cs="Arial"/>
        </w:rPr>
        <w:t>I hereby give consent for my dissertation, if accepted, to be available for photocopying and for interlibrary loan, and for the title and summary to be made available to outside organisations.</w:t>
      </w:r>
    </w:p>
    <w:p>
      <w:pPr>
        <w:spacing w:before="156" w:beforeLines="50" w:after="312" w:afterLines="100" w:line="360" w:lineRule="auto"/>
        <w:rPr>
          <w:rFonts w:ascii="Arial" w:hAnsi="Arial" w:cs="Arial"/>
        </w:rPr>
      </w:pPr>
      <w:r>
        <w:rPr>
          <w:rFonts w:ascii="Arial" w:hAnsi="Arial" w:cs="Arial"/>
        </w:rPr>
        <w:t>Signed…</w:t>
      </w:r>
      <w:r>
        <w:rPr>
          <w:rFonts w:hint="eastAsia" w:ascii="Arial" w:hAnsi="Arial" w:cs="Arial"/>
          <w:lang w:val="en-US" w:eastAsia="zh-CN"/>
        </w:rPr>
        <w:t>Xu Sheng</w:t>
      </w:r>
      <w:r>
        <w:rPr>
          <w:rFonts w:ascii="Arial" w:hAnsi="Arial" w:cs="Arial"/>
        </w:rPr>
        <w:t>……………………………………………</w:t>
      </w:r>
    </w:p>
    <w:p>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56" w:beforeLines="50" w:after="312" w:afterLines="100" w:line="360" w:lineRule="auto"/>
        <w:rPr>
          <w:rFonts w:ascii="Arial" w:hAnsi="Arial" w:cs="Arial"/>
        </w:rPr>
      </w:pPr>
      <w:r>
        <w:rPr>
          <w:rFonts w:ascii="Arial" w:hAnsi="Arial" w:cs="Arial"/>
        </w:rPr>
        <w:t>Date…………………………………………………</w:t>
      </w:r>
    </w:p>
    <w:p>
      <w:pPr>
        <w:spacing w:before="156" w:beforeLines="50" w:after="312" w:afterLines="100" w:line="360" w:lineRule="auto"/>
        <w:rPr>
          <w:rFonts w:ascii="Arial" w:hAnsi="Arial" w:cs="Arial"/>
          <w:b/>
        </w:rPr>
      </w:pPr>
      <w:r>
        <w:rPr>
          <w:rFonts w:ascii="Arial" w:hAnsi="Arial" w:cs="Arial"/>
          <w:b/>
        </w:rPr>
        <w:t>STATEMENT 4</w:t>
      </w:r>
    </w:p>
    <w:p>
      <w:pPr>
        <w:spacing w:before="156" w:beforeLines="50" w:after="312" w:afterLines="100" w:line="360" w:lineRule="auto"/>
        <w:rPr>
          <w:rFonts w:ascii="Arial" w:hAnsi="Arial" w:cs="Arial"/>
        </w:rPr>
      </w:pPr>
      <w:r>
        <w:rPr>
          <w:rFonts w:ascii="Arial" w:hAnsi="Arial" w:cs="Arial"/>
        </w:rPr>
        <w:t>I hereby give consent for my dissertation, if accepted, to be available on the university’s IT system to those who have consent to use the system.</w:t>
      </w:r>
    </w:p>
    <w:p>
      <w:pPr>
        <w:spacing w:before="156" w:beforeLines="50" w:after="312" w:afterLines="100" w:line="360" w:lineRule="auto"/>
        <w:rPr>
          <w:rFonts w:ascii="Arial" w:hAnsi="Arial" w:cs="Arial"/>
        </w:rPr>
      </w:pPr>
      <w:r>
        <w:rPr>
          <w:rFonts w:ascii="Arial" w:hAnsi="Arial" w:cs="Arial"/>
        </w:rPr>
        <w:t>Signed…</w:t>
      </w:r>
      <w:r>
        <w:rPr>
          <w:rFonts w:hint="eastAsia" w:ascii="Arial" w:hAnsi="Arial" w:cs="Arial"/>
          <w:lang w:val="en-US" w:eastAsia="zh-CN"/>
        </w:rPr>
        <w:t>Xu Sheng</w:t>
      </w:r>
      <w:bookmarkStart w:id="81" w:name="_GoBack"/>
      <w:bookmarkEnd w:id="81"/>
      <w:r>
        <w:rPr>
          <w:rFonts w:ascii="Arial" w:hAnsi="Arial" w:cs="Arial"/>
        </w:rPr>
        <w:t>……………………………………………</w:t>
      </w:r>
    </w:p>
    <w:p>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56" w:beforeLines="50" w:after="312" w:afterLines="100" w:line="360" w:lineRule="auto"/>
        <w:rPr>
          <w:rFonts w:ascii="Arial" w:hAnsi="Arial" w:cs="Arial"/>
        </w:rPr>
      </w:pPr>
      <w:r>
        <w:rPr>
          <w:rFonts w:ascii="Arial" w:hAnsi="Arial" w:cs="Arial"/>
        </w:rPr>
        <w:t>Date…………………………………………………</w:t>
      </w:r>
    </w:p>
    <w:p>
      <w:pPr>
        <w:rPr>
          <w:rFonts w:ascii="Arial" w:hAnsi="Arial" w:cs="Arial"/>
        </w:rPr>
      </w:pPr>
      <w:r>
        <w:rPr>
          <w:rFonts w:ascii="Arial" w:hAnsi="Arial" w:cs="Arial"/>
        </w:rPr>
        <w:br w:type="page"/>
      </w:r>
    </w:p>
    <w:p>
      <w:pPr>
        <w:pStyle w:val="2"/>
        <w:spacing w:before="156" w:beforeLines="50" w:after="312" w:afterLines="100" w:line="360" w:lineRule="auto"/>
        <w:rPr>
          <w:rFonts w:ascii="Arial" w:hAnsi="Arial" w:cs="Arial"/>
          <w:highlight w:val="lightGray"/>
        </w:rPr>
      </w:pPr>
      <w:bookmarkStart w:id="2" w:name="_Toc71635914"/>
      <w:bookmarkStart w:id="3" w:name="_Toc71634568"/>
      <w:r>
        <w:rPr>
          <w:rFonts w:ascii="Arial" w:hAnsi="Arial" w:cs="Arial"/>
          <w:highlight w:val="lightGray"/>
        </w:rPr>
        <w:t>Acknowledgement</w:t>
      </w:r>
      <w:bookmarkEnd w:id="2"/>
      <w:bookmarkEnd w:id="3"/>
    </w:p>
    <w:p>
      <w:pPr>
        <w:spacing w:before="156" w:beforeLines="50" w:after="312" w:afterLines="100" w:line="360" w:lineRule="auto"/>
        <w:rPr>
          <w:rFonts w:ascii="Arial" w:hAnsi="Arial" w:cs="Arial"/>
          <w:highlight w:val="lightGray"/>
        </w:rPr>
      </w:pPr>
      <w:r>
        <w:rPr>
          <w:rFonts w:ascii="Arial" w:hAnsi="Arial" w:cs="Arial"/>
          <w:highlight w:val="lightGray"/>
        </w:rPr>
        <w:t xml:space="preserve">I would like to deliver my thanks to all teachers at the University of Wales Trinity Saint David who have facilitated with my study all the time.  I would also want to convey my thank to my dissertation supervisor. The covid-19 makes the whole dissertation process more difficult than ever, but the patience of my superior was so valuable to help to delivery my dissertation. I would also like to thank my parents to support me spiritually and financially. </w:t>
      </w:r>
      <w:r>
        <w:rPr>
          <w:rFonts w:ascii="Arial" w:hAnsi="Arial" w:cs="Arial"/>
          <w:highlight w:val="lightGray"/>
        </w:rPr>
        <w:br w:type="page"/>
      </w:r>
    </w:p>
    <w:p>
      <w:pPr>
        <w:pStyle w:val="2"/>
        <w:spacing w:before="156" w:beforeLines="50" w:after="312" w:afterLines="100" w:line="360" w:lineRule="auto"/>
        <w:rPr>
          <w:rFonts w:ascii="Arial" w:hAnsi="Arial" w:cs="Arial"/>
          <w:highlight w:val="lightGray"/>
        </w:rPr>
      </w:pPr>
      <w:bookmarkStart w:id="4" w:name="_Toc71635915"/>
      <w:bookmarkStart w:id="5" w:name="_Toc71634569"/>
      <w:r>
        <w:rPr>
          <w:rFonts w:ascii="Arial" w:hAnsi="Arial" w:cs="Arial"/>
          <w:highlight w:val="lightGray"/>
        </w:rPr>
        <w:t>Abstract</w:t>
      </w:r>
      <w:bookmarkEnd w:id="4"/>
      <w:bookmarkEnd w:id="5"/>
      <w:r>
        <w:rPr>
          <w:rFonts w:ascii="Arial" w:hAnsi="Arial" w:cs="Arial"/>
          <w:highlight w:val="lightGray"/>
        </w:rPr>
        <w:t xml:space="preserve"> </w:t>
      </w:r>
    </w:p>
    <w:p>
      <w:pPr>
        <w:spacing w:before="156" w:beforeLines="50" w:after="312" w:afterLines="100" w:line="360" w:lineRule="auto"/>
        <w:jc w:val="both"/>
        <w:rPr>
          <w:rFonts w:ascii="Arial" w:hAnsi="Arial" w:cs="Arial"/>
        </w:rPr>
      </w:pPr>
      <w:r>
        <w:rPr>
          <w:rFonts w:ascii="Arial" w:hAnsi="Arial" w:cs="Arial"/>
        </w:rPr>
        <w:t xml:space="preserve">Nowadays, China has become the world's number one electronic game market. E-sports as in the background of policy boost and commercial capital competing to enter, China's e-sports are gradually developing in the direction of sports, nationalization, alliance and pan-entertainment. Based on the history of China's eSports industry and its industry chain, this paper analyzes the business model of China's eSports industry by taking eSports games and eSports events as the two main perspectives and selecting three elements: customer value proposition, core resources and profit model. The value creation of eSports is through various types of esports games; the value delivery is through e-sports games when consumers are players, and esports events when consumers are audiences. The value is captured in different delivery modes, such as in-game advertising, value-added services purchase in the eSports games when consumers are players, and sponsorship, ticket sales, live broadcast in the eSports events. </w:t>
      </w:r>
    </w:p>
    <w:p>
      <w:pPr>
        <w:spacing w:before="156" w:beforeLines="50" w:after="312" w:afterLines="100" w:line="360" w:lineRule="auto"/>
        <w:jc w:val="both"/>
        <w:rPr>
          <w:rFonts w:ascii="Arial" w:hAnsi="Arial" w:cs="Arial"/>
        </w:rPr>
      </w:pPr>
      <w:r>
        <w:rPr>
          <w:rFonts w:ascii="Arial" w:hAnsi="Arial" w:cs="Arial"/>
        </w:rPr>
        <w:t xml:space="preserve">In addition, this paper predicts the development trend of the eSports industry, points out the problems of its business model, and puts forward suggestions for improvement. This paper points out the problems related to the business model of China's eSports industry and puts forward targeted. First, China's eSports industry lacks original eSports games and is weak in the core content of the industry; second, although there are many eSports events, they have not created a well-known event brand. In response to these problems, this paper puts forward the following suggestions: first, e-sports games should focus on content development, deep excavation of China's traditional culture, and cultivation of unique core competitiveness; third, e-sports games and e-sports events as the core to create a pan-entertainment e-sports ecosystem and enrich the profit model. </w:t>
      </w:r>
    </w:p>
    <w:p>
      <w:pPr>
        <w:spacing w:before="156" w:beforeLines="50" w:after="312" w:afterLines="100" w:line="360" w:lineRule="auto"/>
        <w:jc w:val="both"/>
        <w:rPr>
          <w:rFonts w:ascii="Arial" w:hAnsi="Arial" w:cs="Arial"/>
        </w:rPr>
        <w:sectPr>
          <w:footerReference r:id="rId5" w:type="default"/>
          <w:pgSz w:w="11906" w:h="16838"/>
          <w:pgMar w:top="1440" w:right="1080" w:bottom="1440" w:left="1080" w:header="851" w:footer="992" w:gutter="0"/>
          <w:cols w:space="425" w:num="1"/>
          <w:docGrid w:type="lines" w:linePitch="312" w:charSpace="0"/>
        </w:sectPr>
      </w:pPr>
      <w:r>
        <w:rPr>
          <w:rFonts w:ascii="Arial" w:hAnsi="Arial" w:cs="Arial"/>
        </w:rPr>
        <w:t>Keywords: eSports; eSports games; eSports tournaments; business model</w:t>
      </w:r>
    </w:p>
    <w:sdt>
      <w:sdtPr>
        <w:rPr>
          <w:rFonts w:ascii="Arial" w:hAnsi="Arial" w:cs="Arial"/>
          <w:lang w:val="zh-CN"/>
        </w:rPr>
        <w:id w:val="1148865212"/>
        <w:docPartObj>
          <w:docPartGallery w:val="Table of Contents"/>
          <w:docPartUnique/>
        </w:docPartObj>
      </w:sdtPr>
      <w:sdtEndPr>
        <w:rPr>
          <w:rFonts w:ascii="Arial" w:hAnsi="Arial" w:cs="Arial" w:eastAsiaTheme="minorEastAsia"/>
          <w:b/>
          <w:bCs/>
          <w:color w:val="auto"/>
          <w:sz w:val="22"/>
          <w:szCs w:val="22"/>
          <w:lang w:val="zh-CN"/>
        </w:rPr>
      </w:sdtEndPr>
      <w:sdtContent>
        <w:p>
          <w:pPr>
            <w:pStyle w:val="49"/>
            <w:rPr>
              <w:rFonts w:ascii="Arial" w:hAnsi="Arial" w:cs="Arial"/>
            </w:rPr>
          </w:pPr>
          <w:r>
            <w:rPr>
              <w:rFonts w:ascii="Arial" w:hAnsi="Arial" w:cs="Arial"/>
              <w:lang w:val="zh-CN"/>
            </w:rPr>
            <w:t>Table of Contents</w:t>
          </w:r>
        </w:p>
        <w:p>
          <w:pPr>
            <w:pStyle w:val="16"/>
            <w:tabs>
              <w:tab w:val="right" w:leader="dot" w:pos="9736"/>
            </w:tabs>
            <w:rPr>
              <w:rFonts w:ascii="Arial" w:hAnsi="Arial" w:cs="Arial"/>
              <w:kern w:val="2"/>
              <w:sz w:val="21"/>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"_Toc71635913" </w:instrText>
          </w:r>
          <w:r>
            <w:fldChar w:fldCharType="separate"/>
          </w:r>
          <w:r>
            <w:rPr>
              <w:rStyle w:val="26"/>
              <w:rFonts w:ascii="Arial" w:hAnsi="Arial" w:cs="Arial"/>
            </w:rPr>
            <w:t>DECLARATION</w:t>
          </w:r>
          <w:r>
            <w:rPr>
              <w:rFonts w:ascii="Arial" w:hAnsi="Arial" w:cs="Arial"/>
            </w:rPr>
            <w:tab/>
          </w:r>
          <w:r>
            <w:rPr>
              <w:rFonts w:ascii="Arial" w:hAnsi="Arial" w:cs="Arial"/>
            </w:rPr>
            <w:fldChar w:fldCharType="begin"/>
          </w:r>
          <w:r>
            <w:rPr>
              <w:rFonts w:ascii="Arial" w:hAnsi="Arial" w:cs="Arial"/>
            </w:rPr>
            <w:instrText xml:space="preserve"> PAGEREF _Toc71635913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6"/>
            <w:tabs>
              <w:tab w:val="right" w:leader="dot" w:pos="9736"/>
            </w:tabs>
            <w:rPr>
              <w:rFonts w:ascii="Arial" w:hAnsi="Arial" w:cs="Arial"/>
              <w:kern w:val="2"/>
              <w:sz w:val="21"/>
            </w:rPr>
          </w:pPr>
          <w:r>
            <w:fldChar w:fldCharType="begin"/>
          </w:r>
          <w:r>
            <w:instrText xml:space="preserve"> HYPERLINK \l "_Toc71635914" </w:instrText>
          </w:r>
          <w:r>
            <w:fldChar w:fldCharType="separate"/>
          </w:r>
          <w:r>
            <w:rPr>
              <w:rStyle w:val="26"/>
              <w:rFonts w:ascii="Arial" w:hAnsi="Arial" w:cs="Arial"/>
              <w:highlight w:val="lightGray"/>
            </w:rPr>
            <w:t>Acknowledgement</w:t>
          </w:r>
          <w:r>
            <w:rPr>
              <w:rFonts w:ascii="Arial" w:hAnsi="Arial" w:cs="Arial"/>
            </w:rPr>
            <w:tab/>
          </w:r>
          <w:r>
            <w:rPr>
              <w:rFonts w:ascii="Arial" w:hAnsi="Arial" w:cs="Arial"/>
            </w:rPr>
            <w:fldChar w:fldCharType="begin"/>
          </w:r>
          <w:r>
            <w:rPr>
              <w:rFonts w:ascii="Arial" w:hAnsi="Arial" w:cs="Arial"/>
            </w:rPr>
            <w:instrText xml:space="preserve"> PAGEREF _Toc71635914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6"/>
            <w:tabs>
              <w:tab w:val="right" w:leader="dot" w:pos="9736"/>
            </w:tabs>
            <w:rPr>
              <w:rFonts w:ascii="Arial" w:hAnsi="Arial" w:cs="Arial"/>
              <w:kern w:val="2"/>
              <w:sz w:val="21"/>
            </w:rPr>
          </w:pPr>
          <w:r>
            <w:fldChar w:fldCharType="begin"/>
          </w:r>
          <w:r>
            <w:instrText xml:space="preserve"> HYPERLINK \l "_Toc71635915" </w:instrText>
          </w:r>
          <w:r>
            <w:fldChar w:fldCharType="separate"/>
          </w:r>
          <w:r>
            <w:rPr>
              <w:rStyle w:val="26"/>
              <w:rFonts w:ascii="Arial" w:hAnsi="Arial" w:cs="Arial"/>
              <w:highlight w:val="lightGray"/>
            </w:rPr>
            <w:t>Abstract</w:t>
          </w:r>
          <w:r>
            <w:rPr>
              <w:rFonts w:ascii="Arial" w:hAnsi="Arial" w:cs="Arial"/>
            </w:rPr>
            <w:tab/>
          </w:r>
          <w:r>
            <w:rPr>
              <w:rFonts w:ascii="Arial" w:hAnsi="Arial" w:cs="Arial"/>
            </w:rPr>
            <w:fldChar w:fldCharType="begin"/>
          </w:r>
          <w:r>
            <w:rPr>
              <w:rFonts w:ascii="Arial" w:hAnsi="Arial" w:cs="Arial"/>
            </w:rPr>
            <w:instrText xml:space="preserve"> PAGEREF _Toc71635915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6"/>
            <w:tabs>
              <w:tab w:val="right" w:leader="dot" w:pos="9736"/>
            </w:tabs>
            <w:rPr>
              <w:rFonts w:ascii="Arial" w:hAnsi="Arial" w:cs="Arial"/>
              <w:kern w:val="2"/>
              <w:sz w:val="21"/>
            </w:rPr>
          </w:pPr>
          <w:r>
            <w:fldChar w:fldCharType="begin"/>
          </w:r>
          <w:r>
            <w:instrText xml:space="preserve"> HYPERLINK \l "_Toc71635916" </w:instrText>
          </w:r>
          <w:r>
            <w:fldChar w:fldCharType="separate"/>
          </w:r>
          <w:r>
            <w:rPr>
              <w:rStyle w:val="26"/>
              <w:rFonts w:ascii="Arial" w:hAnsi="Arial" w:cs="Arial"/>
            </w:rPr>
            <w:t>Chapter 1. Introduction</w:t>
          </w:r>
          <w:r>
            <w:rPr>
              <w:rFonts w:ascii="Arial" w:hAnsi="Arial" w:cs="Arial"/>
            </w:rPr>
            <w:tab/>
          </w:r>
          <w:r>
            <w:rPr>
              <w:rFonts w:ascii="Arial" w:hAnsi="Arial" w:cs="Arial"/>
            </w:rPr>
            <w:fldChar w:fldCharType="begin"/>
          </w:r>
          <w:r>
            <w:rPr>
              <w:rFonts w:ascii="Arial" w:hAnsi="Arial" w:cs="Arial"/>
            </w:rPr>
            <w:instrText xml:space="preserve"> PAGEREF _Toc71635916 \h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"_Toc71635917" </w:instrText>
          </w:r>
          <w:r>
            <w:fldChar w:fldCharType="separate"/>
          </w:r>
          <w:r>
            <w:rPr>
              <w:rStyle w:val="26"/>
              <w:rFonts w:ascii="Arial" w:hAnsi="Arial" w:cs="Arial"/>
            </w:rPr>
            <w:t>1.1</w:t>
          </w:r>
          <w:r>
            <w:rPr>
              <w:rFonts w:ascii="Arial" w:hAnsi="Arial" w:cs="Arial"/>
              <w:kern w:val="2"/>
              <w:sz w:val="21"/>
            </w:rPr>
            <w:tab/>
          </w:r>
          <w:r>
            <w:rPr>
              <w:rStyle w:val="26"/>
              <w:rFonts w:ascii="Arial" w:hAnsi="Arial" w:cs="Arial"/>
            </w:rPr>
            <w:t>Background introduction</w:t>
          </w:r>
          <w:r>
            <w:rPr>
              <w:rFonts w:ascii="Arial" w:hAnsi="Arial" w:cs="Arial"/>
            </w:rPr>
            <w:tab/>
          </w:r>
          <w:r>
            <w:rPr>
              <w:rFonts w:ascii="Arial" w:hAnsi="Arial" w:cs="Arial"/>
            </w:rPr>
            <w:fldChar w:fldCharType="begin"/>
          </w:r>
          <w:r>
            <w:rPr>
              <w:rFonts w:ascii="Arial" w:hAnsi="Arial" w:cs="Arial"/>
            </w:rPr>
            <w:instrText xml:space="preserve"> PAGEREF _Toc71635917 \h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"_Toc71635918" </w:instrText>
          </w:r>
          <w:r>
            <w:fldChar w:fldCharType="separate"/>
          </w:r>
          <w:r>
            <w:rPr>
              <w:rStyle w:val="26"/>
              <w:rFonts w:ascii="Arial" w:hAnsi="Arial" w:cs="Arial"/>
            </w:rPr>
            <w:t>1.2</w:t>
          </w:r>
          <w:r>
            <w:rPr>
              <w:rFonts w:ascii="Arial" w:hAnsi="Arial" w:cs="Arial"/>
              <w:kern w:val="2"/>
              <w:sz w:val="21"/>
            </w:rPr>
            <w:tab/>
          </w:r>
          <w:r>
            <w:rPr>
              <w:rStyle w:val="26"/>
              <w:rFonts w:ascii="Arial" w:hAnsi="Arial" w:cs="Arial"/>
            </w:rPr>
            <w:t>Research significance</w:t>
          </w:r>
          <w:r>
            <w:rPr>
              <w:rFonts w:ascii="Arial" w:hAnsi="Arial" w:cs="Arial"/>
            </w:rPr>
            <w:tab/>
          </w:r>
          <w:r>
            <w:rPr>
              <w:rFonts w:ascii="Arial" w:hAnsi="Arial" w:cs="Arial"/>
            </w:rPr>
            <w:fldChar w:fldCharType="begin"/>
          </w:r>
          <w:r>
            <w:rPr>
              <w:rFonts w:ascii="Arial" w:hAnsi="Arial" w:cs="Arial"/>
            </w:rPr>
            <w:instrText xml:space="preserve"> PAGEREF _Toc71635918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"_Toc71635919" </w:instrText>
          </w:r>
          <w:r>
            <w:fldChar w:fldCharType="separate"/>
          </w:r>
          <w:r>
            <w:rPr>
              <w:rStyle w:val="26"/>
              <w:rFonts w:ascii="Arial" w:hAnsi="Arial" w:cs="Arial"/>
            </w:rPr>
            <w:t>1.3</w:t>
          </w:r>
          <w:r>
            <w:rPr>
              <w:rFonts w:ascii="Arial" w:hAnsi="Arial" w:cs="Arial"/>
              <w:kern w:val="2"/>
              <w:sz w:val="21"/>
            </w:rPr>
            <w:tab/>
          </w:r>
          <w:r>
            <w:rPr>
              <w:rStyle w:val="26"/>
              <w:rFonts w:ascii="Arial" w:hAnsi="Arial" w:cs="Arial"/>
            </w:rPr>
            <w:t>Research question and research aim</w:t>
          </w:r>
          <w:r>
            <w:rPr>
              <w:rFonts w:ascii="Arial" w:hAnsi="Arial" w:cs="Arial"/>
            </w:rPr>
            <w:tab/>
          </w:r>
          <w:r>
            <w:rPr>
              <w:rFonts w:ascii="Arial" w:hAnsi="Arial" w:cs="Arial"/>
            </w:rPr>
            <w:fldChar w:fldCharType="begin"/>
          </w:r>
          <w:r>
            <w:rPr>
              <w:rFonts w:ascii="Arial" w:hAnsi="Arial" w:cs="Arial"/>
            </w:rPr>
            <w:instrText xml:space="preserve"> PAGEREF _Toc71635919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"_Toc71635920" </w:instrText>
          </w:r>
          <w:r>
            <w:fldChar w:fldCharType="separate"/>
          </w:r>
          <w:r>
            <w:rPr>
              <w:rStyle w:val="26"/>
              <w:rFonts w:ascii="Arial" w:hAnsi="Arial" w:cs="Arial"/>
            </w:rPr>
            <w:t>1.4</w:t>
          </w:r>
          <w:r>
            <w:rPr>
              <w:rFonts w:ascii="Arial" w:hAnsi="Arial" w:cs="Arial"/>
              <w:kern w:val="2"/>
              <w:sz w:val="21"/>
            </w:rPr>
            <w:tab/>
          </w:r>
          <w:r>
            <w:rPr>
              <w:rStyle w:val="26"/>
              <w:rFonts w:ascii="Arial" w:hAnsi="Arial" w:cs="Arial"/>
            </w:rPr>
            <w:t>Dissertation structure</w:t>
          </w:r>
          <w:r>
            <w:rPr>
              <w:rFonts w:ascii="Arial" w:hAnsi="Arial" w:cs="Arial"/>
            </w:rPr>
            <w:tab/>
          </w:r>
          <w:r>
            <w:rPr>
              <w:rFonts w:ascii="Arial" w:hAnsi="Arial" w:cs="Arial"/>
            </w:rPr>
            <w:fldChar w:fldCharType="begin"/>
          </w:r>
          <w:r>
            <w:rPr>
              <w:rFonts w:ascii="Arial" w:hAnsi="Arial" w:cs="Arial"/>
            </w:rPr>
            <w:instrText xml:space="preserve"> PAGEREF _Toc71635920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6"/>
            <w:tabs>
              <w:tab w:val="right" w:leader="dot" w:pos="9736"/>
            </w:tabs>
            <w:rPr>
              <w:rFonts w:ascii="Arial" w:hAnsi="Arial" w:cs="Arial"/>
              <w:kern w:val="2"/>
              <w:sz w:val="21"/>
            </w:rPr>
          </w:pPr>
          <w:r>
            <w:fldChar w:fldCharType="begin"/>
          </w:r>
          <w:r>
            <w:instrText xml:space="preserve"> HYPERLINK \l "_Toc71635921" </w:instrText>
          </w:r>
          <w:r>
            <w:fldChar w:fldCharType="separate"/>
          </w:r>
          <w:r>
            <w:rPr>
              <w:rStyle w:val="26"/>
              <w:rFonts w:ascii="Arial" w:hAnsi="Arial" w:cs="Arial"/>
            </w:rPr>
            <w:t>Chapter 2. Literature review</w:t>
          </w:r>
          <w:r>
            <w:rPr>
              <w:rFonts w:ascii="Arial" w:hAnsi="Arial" w:cs="Arial"/>
            </w:rPr>
            <w:tab/>
          </w:r>
          <w:r>
            <w:rPr>
              <w:rFonts w:ascii="Arial" w:hAnsi="Arial" w:cs="Arial"/>
            </w:rPr>
            <w:fldChar w:fldCharType="begin"/>
          </w:r>
          <w:r>
            <w:rPr>
              <w:rFonts w:ascii="Arial" w:hAnsi="Arial" w:cs="Arial"/>
            </w:rPr>
            <w:instrText xml:space="preserve"> PAGEREF _Toc71635921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"_Toc71635922" </w:instrText>
          </w:r>
          <w:r>
            <w:fldChar w:fldCharType="separate"/>
          </w:r>
          <w:r>
            <w:rPr>
              <w:rStyle w:val="26"/>
              <w:rFonts w:ascii="Arial" w:hAnsi="Arial" w:cs="Arial"/>
            </w:rPr>
            <w:t>2.1 Introduction</w:t>
          </w:r>
          <w:r>
            <w:rPr>
              <w:rFonts w:ascii="Arial" w:hAnsi="Arial" w:cs="Arial"/>
            </w:rPr>
            <w:tab/>
          </w:r>
          <w:r>
            <w:rPr>
              <w:rFonts w:ascii="Arial" w:hAnsi="Arial" w:cs="Arial"/>
            </w:rPr>
            <w:fldChar w:fldCharType="begin"/>
          </w:r>
          <w:r>
            <w:rPr>
              <w:rFonts w:ascii="Arial" w:hAnsi="Arial" w:cs="Arial"/>
            </w:rPr>
            <w:instrText xml:space="preserve"> PAGEREF _Toc71635922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"_Toc71635923" </w:instrText>
          </w:r>
          <w:r>
            <w:fldChar w:fldCharType="separate"/>
          </w:r>
          <w:r>
            <w:rPr>
              <w:rStyle w:val="26"/>
              <w:rFonts w:ascii="Arial" w:hAnsi="Arial" w:cs="Arial"/>
            </w:rPr>
            <w:t>2.2 Defining eSports</w:t>
          </w:r>
          <w:r>
            <w:rPr>
              <w:rFonts w:ascii="Arial" w:hAnsi="Arial" w:cs="Arial"/>
            </w:rPr>
            <w:tab/>
          </w:r>
          <w:r>
            <w:rPr>
              <w:rFonts w:ascii="Arial" w:hAnsi="Arial" w:cs="Arial"/>
            </w:rPr>
            <w:fldChar w:fldCharType="begin"/>
          </w:r>
          <w:r>
            <w:rPr>
              <w:rFonts w:ascii="Arial" w:hAnsi="Arial" w:cs="Arial"/>
            </w:rPr>
            <w:instrText xml:space="preserve"> PAGEREF _Toc71635923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3"/>
            <w:tabs>
              <w:tab w:val="right" w:leader="dot" w:pos="9736"/>
            </w:tabs>
            <w:ind w:left="880"/>
            <w:rPr>
              <w:rFonts w:ascii="Arial" w:hAnsi="Arial" w:cs="Arial"/>
              <w:kern w:val="2"/>
              <w:sz w:val="21"/>
            </w:rPr>
          </w:pPr>
          <w:r>
            <w:fldChar w:fldCharType="begin"/>
          </w:r>
          <w:r>
            <w:instrText xml:space="preserve"> HYPERLINK \l "_Toc71635924" </w:instrText>
          </w:r>
          <w:r>
            <w:fldChar w:fldCharType="separate"/>
          </w:r>
          <w:r>
            <w:rPr>
              <w:rStyle w:val="26"/>
              <w:rFonts w:ascii="Arial" w:hAnsi="Arial" w:cs="Arial"/>
            </w:rPr>
            <w:t>2.2.1 The definition of esports</w:t>
          </w:r>
          <w:r>
            <w:rPr>
              <w:rFonts w:ascii="Arial" w:hAnsi="Arial" w:cs="Arial"/>
            </w:rPr>
            <w:tab/>
          </w:r>
          <w:r>
            <w:rPr>
              <w:rFonts w:ascii="Arial" w:hAnsi="Arial" w:cs="Arial"/>
            </w:rPr>
            <w:fldChar w:fldCharType="begin"/>
          </w:r>
          <w:r>
            <w:rPr>
              <w:rFonts w:ascii="Arial" w:hAnsi="Arial" w:cs="Arial"/>
            </w:rPr>
            <w:instrText xml:space="preserve"> PAGEREF _Toc71635924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3"/>
            <w:tabs>
              <w:tab w:val="right" w:leader="dot" w:pos="9736"/>
            </w:tabs>
            <w:ind w:left="880"/>
            <w:rPr>
              <w:rFonts w:ascii="Arial" w:hAnsi="Arial" w:cs="Arial"/>
              <w:kern w:val="2"/>
              <w:sz w:val="21"/>
            </w:rPr>
          </w:pPr>
          <w:r>
            <w:fldChar w:fldCharType="begin"/>
          </w:r>
          <w:r>
            <w:instrText xml:space="preserve"> HYPERLINK \l "_Toc71635925" </w:instrText>
          </w:r>
          <w:r>
            <w:fldChar w:fldCharType="separate"/>
          </w:r>
          <w:r>
            <w:rPr>
              <w:rStyle w:val="26"/>
              <w:rFonts w:ascii="Arial" w:hAnsi="Arial" w:cs="Arial"/>
            </w:rPr>
            <w:t>2.2.2 Features of eSports</w:t>
          </w:r>
          <w:r>
            <w:rPr>
              <w:rFonts w:ascii="Arial" w:hAnsi="Arial" w:cs="Arial"/>
            </w:rPr>
            <w:tab/>
          </w:r>
          <w:r>
            <w:rPr>
              <w:rFonts w:ascii="Arial" w:hAnsi="Arial" w:cs="Arial"/>
            </w:rPr>
            <w:fldChar w:fldCharType="begin"/>
          </w:r>
          <w:r>
            <w:rPr>
              <w:rFonts w:ascii="Arial" w:hAnsi="Arial" w:cs="Arial"/>
            </w:rPr>
            <w:instrText xml:space="preserve"> PAGEREF _Toc71635925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"_Toc71635926" </w:instrText>
          </w:r>
          <w:r>
            <w:fldChar w:fldCharType="separate"/>
          </w:r>
          <w:r>
            <w:rPr>
              <w:rStyle w:val="26"/>
              <w:rFonts w:ascii="Arial" w:hAnsi="Arial" w:cs="Arial"/>
            </w:rPr>
            <w:t>2.3 Defining business model</w:t>
          </w:r>
          <w:r>
            <w:rPr>
              <w:rFonts w:ascii="Arial" w:hAnsi="Arial" w:cs="Arial"/>
            </w:rPr>
            <w:tab/>
          </w:r>
          <w:r>
            <w:rPr>
              <w:rFonts w:ascii="Arial" w:hAnsi="Arial" w:cs="Arial"/>
            </w:rPr>
            <w:fldChar w:fldCharType="begin"/>
          </w:r>
          <w:r>
            <w:rPr>
              <w:rFonts w:ascii="Arial" w:hAnsi="Arial" w:cs="Arial"/>
            </w:rPr>
            <w:instrText xml:space="preserve"> PAGEREF _Toc71635926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3"/>
            <w:tabs>
              <w:tab w:val="right" w:leader="dot" w:pos="9736"/>
            </w:tabs>
            <w:ind w:left="880"/>
            <w:rPr>
              <w:rFonts w:ascii="Arial" w:hAnsi="Arial" w:cs="Arial"/>
              <w:kern w:val="2"/>
              <w:sz w:val="21"/>
            </w:rPr>
          </w:pPr>
          <w:r>
            <w:fldChar w:fldCharType="begin"/>
          </w:r>
          <w:r>
            <w:instrText xml:space="preserve"> HYPERLINK \l "_Toc71635927" </w:instrText>
          </w:r>
          <w:r>
            <w:fldChar w:fldCharType="separate"/>
          </w:r>
          <w:r>
            <w:rPr>
              <w:rStyle w:val="26"/>
              <w:rFonts w:ascii="Arial" w:hAnsi="Arial" w:cs="Arial"/>
            </w:rPr>
            <w:t>2.3.1 Definitions of business model</w:t>
          </w:r>
          <w:r>
            <w:rPr>
              <w:rFonts w:ascii="Arial" w:hAnsi="Arial" w:cs="Arial"/>
            </w:rPr>
            <w:tab/>
          </w:r>
          <w:r>
            <w:rPr>
              <w:rFonts w:ascii="Arial" w:hAnsi="Arial" w:cs="Arial"/>
            </w:rPr>
            <w:fldChar w:fldCharType="begin"/>
          </w:r>
          <w:r>
            <w:rPr>
              <w:rFonts w:ascii="Arial" w:hAnsi="Arial" w:cs="Arial"/>
            </w:rPr>
            <w:instrText xml:space="preserve"> PAGEREF _Toc71635927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3"/>
            <w:tabs>
              <w:tab w:val="right" w:leader="dot" w:pos="9736"/>
            </w:tabs>
            <w:ind w:left="880"/>
            <w:rPr>
              <w:rFonts w:ascii="Arial" w:hAnsi="Arial" w:cs="Arial"/>
              <w:kern w:val="2"/>
              <w:sz w:val="21"/>
            </w:rPr>
          </w:pPr>
          <w:r>
            <w:fldChar w:fldCharType="begin"/>
          </w:r>
          <w:r>
            <w:instrText xml:space="preserve"> HYPERLINK \l "_Toc71635928" </w:instrText>
          </w:r>
          <w:r>
            <w:fldChar w:fldCharType="separate"/>
          </w:r>
          <w:r>
            <w:rPr>
              <w:rStyle w:val="26"/>
              <w:rFonts w:ascii="Arial" w:hAnsi="Arial" w:cs="Arial"/>
            </w:rPr>
            <w:t>2.3.2 Classic Business models</w:t>
          </w:r>
          <w:r>
            <w:rPr>
              <w:rFonts w:ascii="Arial" w:hAnsi="Arial" w:cs="Arial"/>
            </w:rPr>
            <w:tab/>
          </w:r>
          <w:r>
            <w:rPr>
              <w:rFonts w:ascii="Arial" w:hAnsi="Arial" w:cs="Arial"/>
            </w:rPr>
            <w:fldChar w:fldCharType="begin"/>
          </w:r>
          <w:r>
            <w:rPr>
              <w:rFonts w:ascii="Arial" w:hAnsi="Arial" w:cs="Arial"/>
            </w:rPr>
            <w:instrText xml:space="preserve"> PAGEREF _Toc71635928 \h </w:instrText>
          </w:r>
          <w:r>
            <w:rPr>
              <w:rFonts w:ascii="Arial" w:hAnsi="Arial" w:cs="Arial"/>
            </w:rPr>
            <w:fldChar w:fldCharType="separate"/>
          </w:r>
          <w:r>
            <w:rPr>
              <w:rFonts w:ascii="Arial" w:hAnsi="Arial" w:cs="Arial"/>
            </w:rPr>
            <w:t>11</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"_Toc71635929" </w:instrText>
          </w:r>
          <w:r>
            <w:fldChar w:fldCharType="separate"/>
          </w:r>
          <w:r>
            <w:rPr>
              <w:rStyle w:val="26"/>
              <w:rFonts w:ascii="Arial" w:hAnsi="Arial" w:cs="Arial"/>
            </w:rPr>
            <w:t>2.4 Summary of literature review</w:t>
          </w:r>
          <w:r>
            <w:rPr>
              <w:rFonts w:ascii="Arial" w:hAnsi="Arial" w:cs="Arial"/>
            </w:rPr>
            <w:tab/>
          </w:r>
          <w:r>
            <w:rPr>
              <w:rFonts w:ascii="Arial" w:hAnsi="Arial" w:cs="Arial"/>
            </w:rPr>
            <w:fldChar w:fldCharType="begin"/>
          </w:r>
          <w:r>
            <w:rPr>
              <w:rFonts w:ascii="Arial" w:hAnsi="Arial" w:cs="Arial"/>
            </w:rPr>
            <w:instrText xml:space="preserve"> PAGEREF _Toc71635929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pPr>
            <w:pStyle w:val="16"/>
            <w:tabs>
              <w:tab w:val="right" w:leader="dot" w:pos="9736"/>
            </w:tabs>
            <w:rPr>
              <w:rFonts w:ascii="Arial" w:hAnsi="Arial" w:cs="Arial"/>
              <w:kern w:val="2"/>
              <w:sz w:val="21"/>
            </w:rPr>
          </w:pPr>
          <w:r>
            <w:fldChar w:fldCharType="begin"/>
          </w:r>
          <w:r>
            <w:instrText xml:space="preserve"> HYPERLINK \l "_Toc71635930" </w:instrText>
          </w:r>
          <w:r>
            <w:fldChar w:fldCharType="separate"/>
          </w:r>
          <w:r>
            <w:rPr>
              <w:rStyle w:val="26"/>
              <w:rFonts w:ascii="Arial" w:hAnsi="Arial" w:cs="Arial"/>
            </w:rPr>
            <w:t xml:space="preserve">Chapter 3 Research methodology </w:t>
          </w:r>
          <w:r>
            <w:rPr>
              <w:rFonts w:ascii="Arial" w:hAnsi="Arial" w:cs="Arial"/>
            </w:rPr>
            <w:tab/>
          </w:r>
          <w:r>
            <w:rPr>
              <w:rFonts w:ascii="Arial" w:hAnsi="Arial" w:cs="Arial"/>
            </w:rPr>
            <w:fldChar w:fldCharType="begin"/>
          </w:r>
          <w:r>
            <w:rPr>
              <w:rFonts w:ascii="Arial" w:hAnsi="Arial" w:cs="Arial"/>
            </w:rPr>
            <w:instrText xml:space="preserve"> PAGEREF _Toc71635930 \h </w:instrText>
          </w:r>
          <w:r>
            <w:rPr>
              <w:rFonts w:ascii="Arial" w:hAnsi="Arial" w:cs="Arial"/>
            </w:rPr>
            <w:fldChar w:fldCharType="separate"/>
          </w:r>
          <w:r>
            <w:rPr>
              <w:rFonts w:ascii="Arial" w:hAnsi="Arial" w:cs="Arial"/>
            </w:rPr>
            <w:t>14</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"_Toc71635931" </w:instrText>
          </w:r>
          <w:r>
            <w:fldChar w:fldCharType="separate"/>
          </w:r>
          <w:r>
            <w:rPr>
              <w:rStyle w:val="26"/>
              <w:rFonts w:ascii="Arial" w:hAnsi="Arial" w:cs="Arial"/>
            </w:rPr>
            <w:t>3.1 Introduction</w:t>
          </w:r>
          <w:r>
            <w:rPr>
              <w:rFonts w:ascii="Arial" w:hAnsi="Arial" w:cs="Arial"/>
            </w:rPr>
            <w:tab/>
          </w:r>
          <w:r>
            <w:rPr>
              <w:rFonts w:ascii="Arial" w:hAnsi="Arial" w:cs="Arial"/>
            </w:rPr>
            <w:fldChar w:fldCharType="begin"/>
          </w:r>
          <w:r>
            <w:rPr>
              <w:rFonts w:ascii="Arial" w:hAnsi="Arial" w:cs="Arial"/>
            </w:rPr>
            <w:instrText xml:space="preserve"> PAGEREF _Toc71635931 \h </w:instrText>
          </w:r>
          <w:r>
            <w:rPr>
              <w:rFonts w:ascii="Arial" w:hAnsi="Arial" w:cs="Arial"/>
            </w:rPr>
            <w:fldChar w:fldCharType="separate"/>
          </w:r>
          <w:r>
            <w:rPr>
              <w:rFonts w:ascii="Arial" w:hAnsi="Arial" w:cs="Arial"/>
            </w:rPr>
            <w:t>14</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"_Toc71635932" </w:instrText>
          </w:r>
          <w:r>
            <w:fldChar w:fldCharType="separate"/>
          </w:r>
          <w:r>
            <w:rPr>
              <w:rStyle w:val="26"/>
              <w:rFonts w:ascii="Arial" w:hAnsi="Arial" w:cs="Arial"/>
            </w:rPr>
            <w:t>3.2</w:t>
          </w:r>
          <w:r>
            <w:rPr>
              <w:rFonts w:ascii="Arial" w:hAnsi="Arial" w:cs="Arial"/>
              <w:kern w:val="2"/>
              <w:sz w:val="21"/>
            </w:rPr>
            <w:tab/>
          </w:r>
          <w:r>
            <w:rPr>
              <w:rStyle w:val="26"/>
              <w:rFonts w:ascii="Arial" w:hAnsi="Arial" w:cs="Arial"/>
            </w:rPr>
            <w:t>Research philosophy</w:t>
          </w:r>
          <w:r>
            <w:rPr>
              <w:rFonts w:ascii="Arial" w:hAnsi="Arial" w:cs="Arial"/>
            </w:rPr>
            <w:tab/>
          </w:r>
          <w:r>
            <w:rPr>
              <w:rFonts w:ascii="Arial" w:hAnsi="Arial" w:cs="Arial"/>
            </w:rPr>
            <w:fldChar w:fldCharType="begin"/>
          </w:r>
          <w:r>
            <w:rPr>
              <w:rFonts w:ascii="Arial" w:hAnsi="Arial" w:cs="Arial"/>
            </w:rPr>
            <w:instrText xml:space="preserve"> PAGEREF _Toc71635932 \h </w:instrText>
          </w:r>
          <w:r>
            <w:rPr>
              <w:rFonts w:ascii="Arial" w:hAnsi="Arial" w:cs="Arial"/>
            </w:rPr>
            <w:fldChar w:fldCharType="separate"/>
          </w:r>
          <w:r>
            <w:rPr>
              <w:rFonts w:ascii="Arial" w:hAnsi="Arial" w:cs="Arial"/>
            </w:rPr>
            <w:t>14</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"_Toc71635933" </w:instrText>
          </w:r>
          <w:r>
            <w:fldChar w:fldCharType="separate"/>
          </w:r>
          <w:r>
            <w:rPr>
              <w:rStyle w:val="26"/>
              <w:rFonts w:ascii="Arial" w:hAnsi="Arial" w:cs="Arial"/>
            </w:rPr>
            <w:t>3.3</w:t>
          </w:r>
          <w:r>
            <w:rPr>
              <w:rFonts w:ascii="Arial" w:hAnsi="Arial" w:cs="Arial"/>
              <w:kern w:val="2"/>
              <w:sz w:val="21"/>
            </w:rPr>
            <w:tab/>
          </w:r>
          <w:r>
            <w:rPr>
              <w:rStyle w:val="26"/>
              <w:rFonts w:ascii="Arial" w:hAnsi="Arial" w:cs="Arial"/>
            </w:rPr>
            <w:t>Research approach</w:t>
          </w:r>
          <w:r>
            <w:rPr>
              <w:rFonts w:ascii="Arial" w:hAnsi="Arial" w:cs="Arial"/>
            </w:rPr>
            <w:tab/>
          </w:r>
          <w:r>
            <w:rPr>
              <w:rFonts w:ascii="Arial" w:hAnsi="Arial" w:cs="Arial"/>
            </w:rPr>
            <w:fldChar w:fldCharType="begin"/>
          </w:r>
          <w:r>
            <w:rPr>
              <w:rFonts w:ascii="Arial" w:hAnsi="Arial" w:cs="Arial"/>
            </w:rPr>
            <w:instrText xml:space="preserve"> PAGEREF _Toc71635933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"_Toc71635934" </w:instrText>
          </w:r>
          <w:r>
            <w:fldChar w:fldCharType="separate"/>
          </w:r>
          <w:r>
            <w:rPr>
              <w:rStyle w:val="26"/>
              <w:rFonts w:ascii="Arial" w:hAnsi="Arial" w:cs="Arial"/>
            </w:rPr>
            <w:t>3.4</w:t>
          </w:r>
          <w:r>
            <w:rPr>
              <w:rFonts w:ascii="Arial" w:hAnsi="Arial" w:cs="Arial"/>
              <w:kern w:val="2"/>
              <w:sz w:val="21"/>
            </w:rPr>
            <w:tab/>
          </w:r>
          <w:r>
            <w:rPr>
              <w:rStyle w:val="26"/>
              <w:rFonts w:ascii="Arial" w:hAnsi="Arial" w:cs="Arial"/>
            </w:rPr>
            <w:t>Methodological choice</w:t>
          </w:r>
          <w:r>
            <w:rPr>
              <w:rFonts w:ascii="Arial" w:hAnsi="Arial" w:cs="Arial"/>
            </w:rPr>
            <w:tab/>
          </w:r>
          <w:r>
            <w:rPr>
              <w:rFonts w:ascii="Arial" w:hAnsi="Arial" w:cs="Arial"/>
            </w:rPr>
            <w:fldChar w:fldCharType="begin"/>
          </w:r>
          <w:r>
            <w:rPr>
              <w:rFonts w:ascii="Arial" w:hAnsi="Arial" w:cs="Arial"/>
            </w:rPr>
            <w:instrText xml:space="preserve"> PAGEREF _Toc71635934 \h </w:instrText>
          </w:r>
          <w:r>
            <w:rPr>
              <w:rFonts w:ascii="Arial" w:hAnsi="Arial" w:cs="Arial"/>
            </w:rPr>
            <w:fldChar w:fldCharType="separate"/>
          </w:r>
          <w:r>
            <w:rPr>
              <w:rFonts w:ascii="Arial" w:hAnsi="Arial" w:cs="Arial"/>
            </w:rPr>
            <w:t>16</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"_Toc71635935" </w:instrText>
          </w:r>
          <w:r>
            <w:fldChar w:fldCharType="separate"/>
          </w:r>
          <w:r>
            <w:rPr>
              <w:rStyle w:val="26"/>
              <w:rFonts w:ascii="Arial" w:hAnsi="Arial" w:cs="Arial"/>
            </w:rPr>
            <w:t>3.5</w:t>
          </w:r>
          <w:r>
            <w:rPr>
              <w:rFonts w:ascii="Arial" w:hAnsi="Arial" w:cs="Arial"/>
              <w:kern w:val="2"/>
              <w:sz w:val="21"/>
            </w:rPr>
            <w:tab/>
          </w:r>
          <w:r>
            <w:rPr>
              <w:rStyle w:val="26"/>
              <w:rFonts w:ascii="Arial" w:hAnsi="Arial" w:cs="Arial"/>
            </w:rPr>
            <w:t>Research strategies</w:t>
          </w:r>
          <w:r>
            <w:rPr>
              <w:rFonts w:ascii="Arial" w:hAnsi="Arial" w:cs="Arial"/>
            </w:rPr>
            <w:tab/>
          </w:r>
          <w:r>
            <w:rPr>
              <w:rFonts w:ascii="Arial" w:hAnsi="Arial" w:cs="Arial"/>
            </w:rPr>
            <w:fldChar w:fldCharType="begin"/>
          </w:r>
          <w:r>
            <w:rPr>
              <w:rFonts w:ascii="Arial" w:hAnsi="Arial" w:cs="Arial"/>
            </w:rPr>
            <w:instrText xml:space="preserve"> PAGEREF _Toc71635935 \h </w:instrText>
          </w:r>
          <w:r>
            <w:rPr>
              <w:rFonts w:ascii="Arial" w:hAnsi="Arial" w:cs="Arial"/>
            </w:rPr>
            <w:fldChar w:fldCharType="separate"/>
          </w:r>
          <w:r>
            <w:rPr>
              <w:rFonts w:ascii="Arial" w:hAnsi="Arial" w:cs="Arial"/>
            </w:rPr>
            <w:t>17</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"_Toc71635936" </w:instrText>
          </w:r>
          <w:r>
            <w:fldChar w:fldCharType="separate"/>
          </w:r>
          <w:r>
            <w:rPr>
              <w:rStyle w:val="26"/>
              <w:rFonts w:ascii="Arial" w:hAnsi="Arial" w:cs="Arial"/>
            </w:rPr>
            <w:t>3.6</w:t>
          </w:r>
          <w:r>
            <w:rPr>
              <w:rFonts w:ascii="Arial" w:hAnsi="Arial" w:cs="Arial"/>
              <w:kern w:val="2"/>
              <w:sz w:val="21"/>
            </w:rPr>
            <w:tab/>
          </w:r>
          <w:r>
            <w:rPr>
              <w:rStyle w:val="26"/>
              <w:rFonts w:ascii="Arial" w:hAnsi="Arial" w:cs="Arial"/>
            </w:rPr>
            <w:t>Reliability and validity</w:t>
          </w:r>
          <w:r>
            <w:rPr>
              <w:rFonts w:ascii="Arial" w:hAnsi="Arial" w:cs="Arial"/>
            </w:rPr>
            <w:tab/>
          </w:r>
          <w:r>
            <w:rPr>
              <w:rFonts w:ascii="Arial" w:hAnsi="Arial" w:cs="Arial"/>
            </w:rPr>
            <w:fldChar w:fldCharType="begin"/>
          </w:r>
          <w:r>
            <w:rPr>
              <w:rFonts w:ascii="Arial" w:hAnsi="Arial" w:cs="Arial"/>
            </w:rPr>
            <w:instrText xml:space="preserve"> PAGEREF _Toc71635936 \h </w:instrText>
          </w:r>
          <w:r>
            <w:rPr>
              <w:rFonts w:ascii="Arial" w:hAnsi="Arial" w:cs="Arial"/>
            </w:rPr>
            <w:fldChar w:fldCharType="separate"/>
          </w:r>
          <w:r>
            <w:rPr>
              <w:rFonts w:ascii="Arial" w:hAnsi="Arial" w:cs="Arial"/>
            </w:rPr>
            <w:t>18</w:t>
          </w:r>
          <w:r>
            <w:rPr>
              <w:rFonts w:ascii="Arial" w:hAnsi="Arial" w:cs="Arial"/>
            </w:rPr>
            <w:fldChar w:fldCharType="end"/>
          </w:r>
          <w:r>
            <w:rPr>
              <w:rFonts w:ascii="Arial" w:hAnsi="Arial" w:cs="Arial"/>
            </w:rPr>
            <w:fldChar w:fldCharType="end"/>
          </w:r>
        </w:p>
        <w:p>
          <w:pPr>
            <w:pStyle w:val="19"/>
            <w:tabs>
              <w:tab w:val="left" w:pos="1050"/>
              <w:tab w:val="right" w:leader="dot" w:pos="9736"/>
            </w:tabs>
            <w:ind w:left="440"/>
            <w:rPr>
              <w:rFonts w:ascii="Arial" w:hAnsi="Arial" w:cs="Arial"/>
              <w:kern w:val="2"/>
              <w:sz w:val="21"/>
            </w:rPr>
          </w:pPr>
          <w:r>
            <w:fldChar w:fldCharType="begin"/>
          </w:r>
          <w:r>
            <w:instrText xml:space="preserve"> HYPERLINK \l "_Toc71635937" </w:instrText>
          </w:r>
          <w:r>
            <w:fldChar w:fldCharType="separate"/>
          </w:r>
          <w:r>
            <w:rPr>
              <w:rStyle w:val="26"/>
              <w:rFonts w:ascii="Arial" w:hAnsi="Arial" w:cs="Arial"/>
            </w:rPr>
            <w:t>3.7</w:t>
          </w:r>
          <w:r>
            <w:rPr>
              <w:rFonts w:ascii="Arial" w:hAnsi="Arial" w:cs="Arial"/>
              <w:kern w:val="2"/>
              <w:sz w:val="21"/>
            </w:rPr>
            <w:tab/>
          </w:r>
          <w:r>
            <w:rPr>
              <w:rStyle w:val="26"/>
              <w:rFonts w:ascii="Arial" w:hAnsi="Arial" w:cs="Arial"/>
            </w:rPr>
            <w:t>Summary of research methodology</w:t>
          </w:r>
          <w:r>
            <w:rPr>
              <w:rFonts w:ascii="Arial" w:hAnsi="Arial" w:cs="Arial"/>
            </w:rPr>
            <w:tab/>
          </w:r>
          <w:r>
            <w:rPr>
              <w:rFonts w:ascii="Arial" w:hAnsi="Arial" w:cs="Arial"/>
            </w:rPr>
            <w:fldChar w:fldCharType="begin"/>
          </w:r>
          <w:r>
            <w:rPr>
              <w:rFonts w:ascii="Arial" w:hAnsi="Arial" w:cs="Arial"/>
            </w:rPr>
            <w:instrText xml:space="preserve"> PAGEREF _Toc71635937 \h </w:instrText>
          </w:r>
          <w:r>
            <w:rPr>
              <w:rFonts w:ascii="Arial" w:hAnsi="Arial" w:cs="Arial"/>
            </w:rPr>
            <w:fldChar w:fldCharType="separate"/>
          </w:r>
          <w:r>
            <w:rPr>
              <w:rFonts w:ascii="Arial" w:hAnsi="Arial" w:cs="Arial"/>
            </w:rPr>
            <w:t>18</w:t>
          </w:r>
          <w:r>
            <w:rPr>
              <w:rFonts w:ascii="Arial" w:hAnsi="Arial" w:cs="Arial"/>
            </w:rPr>
            <w:fldChar w:fldCharType="end"/>
          </w:r>
          <w:r>
            <w:rPr>
              <w:rFonts w:ascii="Arial" w:hAnsi="Arial" w:cs="Arial"/>
            </w:rPr>
            <w:fldChar w:fldCharType="end"/>
          </w:r>
        </w:p>
        <w:p>
          <w:pPr>
            <w:pStyle w:val="16"/>
            <w:tabs>
              <w:tab w:val="right" w:leader="dot" w:pos="9736"/>
            </w:tabs>
            <w:rPr>
              <w:rFonts w:ascii="Arial" w:hAnsi="Arial" w:cs="Arial"/>
              <w:kern w:val="2"/>
              <w:sz w:val="21"/>
            </w:rPr>
          </w:pPr>
          <w:r>
            <w:fldChar w:fldCharType="begin"/>
          </w:r>
          <w:r>
            <w:instrText xml:space="preserve"> HYPERLINK \l "_Toc71635938" </w:instrText>
          </w:r>
          <w:r>
            <w:fldChar w:fldCharType="separate"/>
          </w:r>
          <w:r>
            <w:rPr>
              <w:rStyle w:val="26"/>
              <w:rFonts w:ascii="Arial" w:hAnsi="Arial" w:cs="Arial"/>
            </w:rPr>
            <w:t>Chapter 4. Data analysis</w:t>
          </w:r>
          <w:r>
            <w:rPr>
              <w:rFonts w:ascii="Arial" w:hAnsi="Arial" w:cs="Arial"/>
            </w:rPr>
            <w:tab/>
          </w:r>
          <w:r>
            <w:rPr>
              <w:rFonts w:ascii="Arial" w:hAnsi="Arial" w:cs="Arial"/>
            </w:rPr>
            <w:fldChar w:fldCharType="begin"/>
          </w:r>
          <w:r>
            <w:rPr>
              <w:rFonts w:ascii="Arial" w:hAnsi="Arial" w:cs="Arial"/>
            </w:rPr>
            <w:instrText xml:space="preserve"> PAGEREF _Toc71635938 \h </w:instrText>
          </w:r>
          <w:r>
            <w:rPr>
              <w:rFonts w:ascii="Arial" w:hAnsi="Arial" w:cs="Arial"/>
            </w:rPr>
            <w:fldChar w:fldCharType="separate"/>
          </w:r>
          <w:r>
            <w:rPr>
              <w:rFonts w:ascii="Arial" w:hAnsi="Arial" w:cs="Arial"/>
            </w:rPr>
            <w:t>20</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"_Toc71635939" </w:instrText>
          </w:r>
          <w:r>
            <w:fldChar w:fldCharType="separate"/>
          </w:r>
          <w:r>
            <w:rPr>
              <w:rStyle w:val="26"/>
              <w:rFonts w:ascii="Arial" w:hAnsi="Arial" w:cs="Arial"/>
            </w:rPr>
            <w:t>4.1 Introduction</w:t>
          </w:r>
          <w:r>
            <w:rPr>
              <w:rFonts w:ascii="Arial" w:hAnsi="Arial" w:cs="Arial"/>
            </w:rPr>
            <w:tab/>
          </w:r>
          <w:r>
            <w:rPr>
              <w:rFonts w:ascii="Arial" w:hAnsi="Arial" w:cs="Arial"/>
            </w:rPr>
            <w:fldChar w:fldCharType="begin"/>
          </w:r>
          <w:r>
            <w:rPr>
              <w:rFonts w:ascii="Arial" w:hAnsi="Arial" w:cs="Arial"/>
            </w:rPr>
            <w:instrText xml:space="preserve"> PAGEREF _Toc71635939 \h </w:instrText>
          </w:r>
          <w:r>
            <w:rPr>
              <w:rFonts w:ascii="Arial" w:hAnsi="Arial" w:cs="Arial"/>
            </w:rPr>
            <w:fldChar w:fldCharType="separate"/>
          </w:r>
          <w:r>
            <w:rPr>
              <w:rFonts w:ascii="Arial" w:hAnsi="Arial" w:cs="Arial"/>
            </w:rPr>
            <w:t>20</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"_Toc71635940" </w:instrText>
          </w:r>
          <w:r>
            <w:fldChar w:fldCharType="separate"/>
          </w:r>
          <w:r>
            <w:rPr>
              <w:rStyle w:val="26"/>
              <w:rFonts w:ascii="Arial" w:hAnsi="Arial" w:cs="Arial"/>
            </w:rPr>
            <w:t>4.1 How value is created in the Chinese eSports industry?</w:t>
          </w:r>
          <w:r>
            <w:rPr>
              <w:rFonts w:ascii="Arial" w:hAnsi="Arial" w:cs="Arial"/>
            </w:rPr>
            <w:tab/>
          </w:r>
          <w:r>
            <w:rPr>
              <w:rFonts w:ascii="Arial" w:hAnsi="Arial" w:cs="Arial"/>
            </w:rPr>
            <w:fldChar w:fldCharType="begin"/>
          </w:r>
          <w:r>
            <w:rPr>
              <w:rFonts w:ascii="Arial" w:hAnsi="Arial" w:cs="Arial"/>
            </w:rPr>
            <w:instrText xml:space="preserve"> PAGEREF _Toc71635940 \h </w:instrText>
          </w:r>
          <w:r>
            <w:rPr>
              <w:rFonts w:ascii="Arial" w:hAnsi="Arial" w:cs="Arial"/>
            </w:rPr>
            <w:fldChar w:fldCharType="separate"/>
          </w:r>
          <w:r>
            <w:rPr>
              <w:rFonts w:ascii="Arial" w:hAnsi="Arial" w:cs="Arial"/>
            </w:rPr>
            <w:t>20</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"_Toc71635941" </w:instrText>
          </w:r>
          <w:r>
            <w:fldChar w:fldCharType="separate"/>
          </w:r>
          <w:r>
            <w:rPr>
              <w:rStyle w:val="26"/>
              <w:rFonts w:ascii="Arial" w:hAnsi="Arial" w:cs="Arial"/>
            </w:rPr>
            <w:t>4.2 How value is delivered in the Chinese eSports industry?</w:t>
          </w:r>
          <w:r>
            <w:rPr>
              <w:rFonts w:ascii="Arial" w:hAnsi="Arial" w:cs="Arial"/>
            </w:rPr>
            <w:tab/>
          </w:r>
          <w:r>
            <w:rPr>
              <w:rFonts w:ascii="Arial" w:hAnsi="Arial" w:cs="Arial"/>
            </w:rPr>
            <w:fldChar w:fldCharType="begin"/>
          </w:r>
          <w:r>
            <w:rPr>
              <w:rFonts w:ascii="Arial" w:hAnsi="Arial" w:cs="Arial"/>
            </w:rPr>
            <w:instrText xml:space="preserve"> PAGEREF _Toc71635941 \h </w:instrText>
          </w:r>
          <w:r>
            <w:rPr>
              <w:rFonts w:ascii="Arial" w:hAnsi="Arial" w:cs="Arial"/>
            </w:rPr>
            <w:fldChar w:fldCharType="separate"/>
          </w:r>
          <w:r>
            <w:rPr>
              <w:rFonts w:ascii="Arial" w:hAnsi="Arial" w:cs="Arial"/>
            </w:rPr>
            <w:t>22</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"_Toc71635942" </w:instrText>
          </w:r>
          <w:r>
            <w:fldChar w:fldCharType="separate"/>
          </w:r>
          <w:r>
            <w:rPr>
              <w:rStyle w:val="26"/>
              <w:rFonts w:ascii="Arial" w:hAnsi="Arial" w:cs="Arial"/>
            </w:rPr>
            <w:t>4.3 How value is captured in the Chinese eSports industry?</w:t>
          </w:r>
          <w:r>
            <w:rPr>
              <w:rFonts w:ascii="Arial" w:hAnsi="Arial" w:cs="Arial"/>
            </w:rPr>
            <w:tab/>
          </w:r>
          <w:r>
            <w:rPr>
              <w:rFonts w:ascii="Arial" w:hAnsi="Arial" w:cs="Arial"/>
            </w:rPr>
            <w:fldChar w:fldCharType="begin"/>
          </w:r>
          <w:r>
            <w:rPr>
              <w:rFonts w:ascii="Arial" w:hAnsi="Arial" w:cs="Arial"/>
            </w:rPr>
            <w:instrText xml:space="preserve"> PAGEREF _Toc71635942 \h </w:instrText>
          </w:r>
          <w:r>
            <w:rPr>
              <w:rFonts w:ascii="Arial" w:hAnsi="Arial" w:cs="Arial"/>
            </w:rPr>
            <w:fldChar w:fldCharType="separate"/>
          </w:r>
          <w:r>
            <w:rPr>
              <w:rFonts w:ascii="Arial" w:hAnsi="Arial" w:cs="Arial"/>
            </w:rPr>
            <w:t>23</w:t>
          </w:r>
          <w:r>
            <w:rPr>
              <w:rFonts w:ascii="Arial" w:hAnsi="Arial" w:cs="Arial"/>
            </w:rPr>
            <w:fldChar w:fldCharType="end"/>
          </w:r>
          <w:r>
            <w:rPr>
              <w:rFonts w:ascii="Arial" w:hAnsi="Arial" w:cs="Arial"/>
            </w:rPr>
            <w:fldChar w:fldCharType="end"/>
          </w:r>
        </w:p>
        <w:p>
          <w:pPr>
            <w:pStyle w:val="16"/>
            <w:tabs>
              <w:tab w:val="right" w:leader="dot" w:pos="9736"/>
            </w:tabs>
            <w:rPr>
              <w:rFonts w:ascii="Arial" w:hAnsi="Arial" w:cs="Arial"/>
              <w:kern w:val="2"/>
              <w:sz w:val="21"/>
            </w:rPr>
          </w:pPr>
          <w:r>
            <w:fldChar w:fldCharType="begin"/>
          </w:r>
          <w:r>
            <w:instrText xml:space="preserve"> HYPERLINK \l "_Toc71635943" </w:instrText>
          </w:r>
          <w:r>
            <w:fldChar w:fldCharType="separate"/>
          </w:r>
          <w:r>
            <w:rPr>
              <w:rStyle w:val="26"/>
              <w:rFonts w:ascii="Arial" w:hAnsi="Arial" w:cs="Arial"/>
            </w:rPr>
            <w:t>Chapter 5. Conclusion and recommendation</w:t>
          </w:r>
          <w:r>
            <w:rPr>
              <w:rFonts w:ascii="Arial" w:hAnsi="Arial" w:cs="Arial"/>
            </w:rPr>
            <w:tab/>
          </w:r>
          <w:r>
            <w:rPr>
              <w:rFonts w:ascii="Arial" w:hAnsi="Arial" w:cs="Arial"/>
            </w:rPr>
            <w:fldChar w:fldCharType="begin"/>
          </w:r>
          <w:r>
            <w:rPr>
              <w:rFonts w:ascii="Arial" w:hAnsi="Arial" w:cs="Arial"/>
            </w:rPr>
            <w:instrText xml:space="preserve"> PAGEREF _Toc71635943 \h </w:instrText>
          </w:r>
          <w:r>
            <w:rPr>
              <w:rFonts w:ascii="Arial" w:hAnsi="Arial" w:cs="Arial"/>
            </w:rPr>
            <w:fldChar w:fldCharType="separate"/>
          </w:r>
          <w:r>
            <w:rPr>
              <w:rFonts w:ascii="Arial" w:hAnsi="Arial" w:cs="Arial"/>
            </w:rPr>
            <w:t>28</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"_Toc71635944" </w:instrText>
          </w:r>
          <w:r>
            <w:fldChar w:fldCharType="separate"/>
          </w:r>
          <w:r>
            <w:rPr>
              <w:rStyle w:val="26"/>
              <w:rFonts w:ascii="Arial" w:hAnsi="Arial" w:cs="Arial"/>
            </w:rPr>
            <w:t>5.1 Introduction</w:t>
          </w:r>
          <w:r>
            <w:rPr>
              <w:rFonts w:ascii="Arial" w:hAnsi="Arial" w:cs="Arial"/>
            </w:rPr>
            <w:tab/>
          </w:r>
          <w:r>
            <w:rPr>
              <w:rFonts w:ascii="Arial" w:hAnsi="Arial" w:cs="Arial"/>
            </w:rPr>
            <w:fldChar w:fldCharType="begin"/>
          </w:r>
          <w:r>
            <w:rPr>
              <w:rFonts w:ascii="Arial" w:hAnsi="Arial" w:cs="Arial"/>
            </w:rPr>
            <w:instrText xml:space="preserve"> PAGEREF _Toc71635944 \h </w:instrText>
          </w:r>
          <w:r>
            <w:rPr>
              <w:rFonts w:ascii="Arial" w:hAnsi="Arial" w:cs="Arial"/>
            </w:rPr>
            <w:fldChar w:fldCharType="separate"/>
          </w:r>
          <w:r>
            <w:rPr>
              <w:rFonts w:ascii="Arial" w:hAnsi="Arial" w:cs="Arial"/>
            </w:rPr>
            <w:t>28</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"_Toc71635945" </w:instrText>
          </w:r>
          <w:r>
            <w:fldChar w:fldCharType="separate"/>
          </w:r>
          <w:r>
            <w:rPr>
              <w:rStyle w:val="26"/>
              <w:rFonts w:ascii="Arial" w:hAnsi="Arial" w:cs="Arial"/>
            </w:rPr>
            <w:t>5.1 Major findings</w:t>
          </w:r>
          <w:r>
            <w:rPr>
              <w:rFonts w:ascii="Arial" w:hAnsi="Arial" w:cs="Arial"/>
            </w:rPr>
            <w:tab/>
          </w:r>
          <w:r>
            <w:rPr>
              <w:rFonts w:ascii="Arial" w:hAnsi="Arial" w:cs="Arial"/>
            </w:rPr>
            <w:fldChar w:fldCharType="begin"/>
          </w:r>
          <w:r>
            <w:rPr>
              <w:rFonts w:ascii="Arial" w:hAnsi="Arial" w:cs="Arial"/>
            </w:rPr>
            <w:instrText xml:space="preserve"> PAGEREF _Toc71635945 \h </w:instrText>
          </w:r>
          <w:r>
            <w:rPr>
              <w:rFonts w:ascii="Arial" w:hAnsi="Arial" w:cs="Arial"/>
            </w:rPr>
            <w:fldChar w:fldCharType="separate"/>
          </w:r>
          <w:r>
            <w:rPr>
              <w:rFonts w:ascii="Arial" w:hAnsi="Arial" w:cs="Arial"/>
            </w:rPr>
            <w:t>28</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"_Toc71635946" </w:instrText>
          </w:r>
          <w:r>
            <w:fldChar w:fldCharType="separate"/>
          </w:r>
          <w:r>
            <w:rPr>
              <w:rStyle w:val="26"/>
              <w:rFonts w:ascii="Arial" w:hAnsi="Arial" w:cs="Arial"/>
            </w:rPr>
            <w:t>5.3 Recommendations</w:t>
          </w:r>
          <w:r>
            <w:rPr>
              <w:rFonts w:ascii="Arial" w:hAnsi="Arial" w:cs="Arial"/>
            </w:rPr>
            <w:tab/>
          </w:r>
          <w:r>
            <w:rPr>
              <w:rFonts w:ascii="Arial" w:hAnsi="Arial" w:cs="Arial"/>
            </w:rPr>
            <w:fldChar w:fldCharType="begin"/>
          </w:r>
          <w:r>
            <w:rPr>
              <w:rFonts w:ascii="Arial" w:hAnsi="Arial" w:cs="Arial"/>
            </w:rPr>
            <w:instrText xml:space="preserve"> PAGEREF _Toc71635946 \h </w:instrText>
          </w:r>
          <w:r>
            <w:rPr>
              <w:rFonts w:ascii="Arial" w:hAnsi="Arial" w:cs="Arial"/>
            </w:rPr>
            <w:fldChar w:fldCharType="separate"/>
          </w:r>
          <w:r>
            <w:rPr>
              <w:rFonts w:ascii="Arial" w:hAnsi="Arial" w:cs="Arial"/>
            </w:rPr>
            <w:t>29</w:t>
          </w:r>
          <w:r>
            <w:rPr>
              <w:rFonts w:ascii="Arial" w:hAnsi="Arial" w:cs="Arial"/>
            </w:rPr>
            <w:fldChar w:fldCharType="end"/>
          </w:r>
          <w:r>
            <w:rPr>
              <w:rFonts w:ascii="Arial" w:hAnsi="Arial" w:cs="Arial"/>
            </w:rPr>
            <w:fldChar w:fldCharType="end"/>
          </w:r>
        </w:p>
        <w:p>
          <w:pPr>
            <w:pStyle w:val="19"/>
            <w:tabs>
              <w:tab w:val="right" w:leader="dot" w:pos="9736"/>
            </w:tabs>
            <w:ind w:left="440"/>
            <w:rPr>
              <w:rFonts w:ascii="Arial" w:hAnsi="Arial" w:cs="Arial"/>
              <w:kern w:val="2"/>
              <w:sz w:val="21"/>
            </w:rPr>
          </w:pPr>
          <w:r>
            <w:fldChar w:fldCharType="begin"/>
          </w:r>
          <w:r>
            <w:instrText xml:space="preserve"> HYPERLINK \l "_Toc71635947" </w:instrText>
          </w:r>
          <w:r>
            <w:fldChar w:fldCharType="separate"/>
          </w:r>
          <w:r>
            <w:rPr>
              <w:rStyle w:val="26"/>
              <w:rFonts w:ascii="Arial" w:hAnsi="Arial" w:cs="Arial"/>
            </w:rPr>
            <w:t>5.4 Limitations and future study</w:t>
          </w:r>
          <w:r>
            <w:rPr>
              <w:rFonts w:ascii="Arial" w:hAnsi="Arial" w:cs="Arial"/>
            </w:rPr>
            <w:tab/>
          </w:r>
          <w:r>
            <w:rPr>
              <w:rFonts w:ascii="Arial" w:hAnsi="Arial" w:cs="Arial"/>
            </w:rPr>
            <w:fldChar w:fldCharType="begin"/>
          </w:r>
          <w:r>
            <w:rPr>
              <w:rFonts w:ascii="Arial" w:hAnsi="Arial" w:cs="Arial"/>
            </w:rPr>
            <w:instrText xml:space="preserve"> PAGEREF _Toc71635947 \h </w:instrText>
          </w:r>
          <w:r>
            <w:rPr>
              <w:rFonts w:ascii="Arial" w:hAnsi="Arial" w:cs="Arial"/>
            </w:rPr>
            <w:fldChar w:fldCharType="separate"/>
          </w:r>
          <w:r>
            <w:rPr>
              <w:rFonts w:ascii="Arial" w:hAnsi="Arial" w:cs="Arial"/>
            </w:rPr>
            <w:t>30</w:t>
          </w:r>
          <w:r>
            <w:rPr>
              <w:rFonts w:ascii="Arial" w:hAnsi="Arial" w:cs="Arial"/>
            </w:rPr>
            <w:fldChar w:fldCharType="end"/>
          </w:r>
          <w:r>
            <w:rPr>
              <w:rFonts w:ascii="Arial" w:hAnsi="Arial" w:cs="Arial"/>
            </w:rPr>
            <w:fldChar w:fldCharType="end"/>
          </w:r>
        </w:p>
        <w:p>
          <w:pPr>
            <w:pStyle w:val="16"/>
            <w:tabs>
              <w:tab w:val="right" w:leader="dot" w:pos="9736"/>
            </w:tabs>
            <w:rPr>
              <w:rFonts w:ascii="Arial" w:hAnsi="Arial" w:cs="Arial"/>
              <w:kern w:val="2"/>
              <w:sz w:val="21"/>
            </w:rPr>
          </w:pPr>
          <w:r>
            <w:fldChar w:fldCharType="begin"/>
          </w:r>
          <w:r>
            <w:instrText xml:space="preserve"> HYPERLINK \l "_Toc71635948" </w:instrText>
          </w:r>
          <w:r>
            <w:fldChar w:fldCharType="separate"/>
          </w:r>
          <w:r>
            <w:rPr>
              <w:rStyle w:val="26"/>
              <w:rFonts w:ascii="Arial" w:hAnsi="Arial" w:cs="Arial"/>
            </w:rPr>
            <w:t>Reference List</w:t>
          </w:r>
          <w:r>
            <w:rPr>
              <w:rFonts w:ascii="Arial" w:hAnsi="Arial" w:cs="Arial"/>
            </w:rPr>
            <w:tab/>
          </w:r>
          <w:r>
            <w:rPr>
              <w:rFonts w:ascii="Arial" w:hAnsi="Arial" w:cs="Arial"/>
            </w:rPr>
            <w:fldChar w:fldCharType="begin"/>
          </w:r>
          <w:r>
            <w:rPr>
              <w:rFonts w:ascii="Arial" w:hAnsi="Arial" w:cs="Arial"/>
            </w:rPr>
            <w:instrText xml:space="preserve"> PAGEREF _Toc71635948 \h </w:instrText>
          </w:r>
          <w:r>
            <w:rPr>
              <w:rFonts w:ascii="Arial" w:hAnsi="Arial" w:cs="Arial"/>
            </w:rPr>
            <w:fldChar w:fldCharType="separate"/>
          </w:r>
          <w:r>
            <w:rPr>
              <w:rFonts w:ascii="Arial" w:hAnsi="Arial" w:cs="Arial"/>
            </w:rPr>
            <w:t>31</w:t>
          </w:r>
          <w:r>
            <w:rPr>
              <w:rFonts w:ascii="Arial" w:hAnsi="Arial" w:cs="Arial"/>
            </w:rPr>
            <w:fldChar w:fldCharType="end"/>
          </w:r>
          <w:r>
            <w:rPr>
              <w:rFonts w:ascii="Arial" w:hAnsi="Arial" w:cs="Arial"/>
            </w:rPr>
            <w:fldChar w:fldCharType="end"/>
          </w:r>
        </w:p>
        <w:p>
          <w:pPr>
            <w:rPr>
              <w:rFonts w:ascii="Arial" w:hAnsi="Arial" w:cs="Arial"/>
            </w:rPr>
            <w:sectPr>
              <w:pgSz w:w="11906" w:h="16838"/>
              <w:pgMar w:top="1440" w:right="1080" w:bottom="1440" w:left="1080" w:header="851" w:footer="992" w:gutter="0"/>
              <w:cols w:space="425" w:num="1"/>
              <w:docGrid w:type="lines" w:linePitch="312" w:charSpace="0"/>
            </w:sectPr>
          </w:pPr>
          <w:r>
            <w:rPr>
              <w:rFonts w:ascii="Arial" w:hAnsi="Arial" w:cs="Arial"/>
              <w:b/>
              <w:bCs/>
              <w:lang w:val="zh-CN"/>
            </w:rPr>
            <w:fldChar w:fldCharType="end"/>
          </w:r>
        </w:p>
      </w:sdtContent>
    </w:sdt>
    <w:p>
      <w:pPr>
        <w:pStyle w:val="2"/>
        <w:spacing w:before="156" w:beforeLines="50" w:after="312" w:afterLines="100" w:line="360" w:lineRule="auto"/>
        <w:jc w:val="both"/>
        <w:rPr>
          <w:rFonts w:ascii="Arial" w:hAnsi="Arial" w:cs="Arial"/>
        </w:rPr>
      </w:pPr>
      <w:bookmarkStart w:id="6" w:name="_Toc71634570"/>
      <w:bookmarkStart w:id="7" w:name="_Toc71635916"/>
      <w:r>
        <w:rPr>
          <w:rFonts w:ascii="Arial" w:hAnsi="Arial" w:cs="Arial"/>
        </w:rPr>
        <w:t>Chapter 1. Introduction</w:t>
      </w:r>
      <w:bookmarkEnd w:id="6"/>
      <w:bookmarkEnd w:id="7"/>
    </w:p>
    <w:p>
      <w:pPr>
        <w:pStyle w:val="3"/>
        <w:numPr>
          <w:ilvl w:val="1"/>
          <w:numId w:val="1"/>
        </w:numPr>
        <w:spacing w:before="156" w:beforeLines="50" w:after="312" w:afterLines="100" w:line="360" w:lineRule="auto"/>
        <w:jc w:val="both"/>
        <w:rPr>
          <w:rFonts w:ascii="Arial" w:hAnsi="Arial" w:cs="Arial"/>
        </w:rPr>
      </w:pPr>
      <w:bookmarkStart w:id="8" w:name="_Toc71634571"/>
      <w:bookmarkStart w:id="9" w:name="_Toc71635917"/>
      <w:r>
        <w:rPr>
          <w:rFonts w:ascii="Arial" w:hAnsi="Arial" w:cs="Arial"/>
        </w:rPr>
        <w:t>Background introduction</w:t>
      </w:r>
      <w:bookmarkEnd w:id="8"/>
      <w:bookmarkEnd w:id="9"/>
    </w:p>
    <w:p>
      <w:pPr>
        <w:spacing w:before="156" w:beforeLines="50" w:after="312" w:afterLines="100" w:line="360" w:lineRule="auto"/>
        <w:jc w:val="both"/>
        <w:rPr>
          <w:rFonts w:ascii="Arial" w:hAnsi="Arial" w:cs="Arial"/>
        </w:rPr>
      </w:pPr>
      <w:r>
        <w:rPr>
          <w:rFonts w:ascii="Arial" w:hAnsi="Arial" w:cs="Arial"/>
        </w:rPr>
        <w:t xml:space="preserve">The emergence of the eSports concept marketed the expansion of the scope of the competitive sports from the physical realm to the virtual realm. The concept of eSports in a broad sense is considered to be a sport of intellectual rivalry between people using high-tech hardware and software devices as sports equipment </w:t>
      </w:r>
      <w:r>
        <w:rPr>
          <w:rFonts w:ascii="Arial" w:hAnsi="Arial" w:cs="Arial"/>
        </w:rPr>
        <w:fldChar w:fldCharType="begin" w:fldLock="1"/>
      </w:r>
      <w:r>
        <w:rPr>
          <w:rFonts w:ascii="Arial" w:hAnsi="Arial" w:cs="Arial"/>
        </w:rPr>
        <w:instrText xml:space="preserve">ADDIN CSL_CITATION {"citationItems":[{"id":"ITEM-1","itemData":{"ISSN":"1555-4120","author":[{"dropping-particle":"","family":"Summerley","given":"Rory","non-dropping-particle":"","parse-names":false,"suffix":""}],"container-title":"Games and Culture","id":"ITEM-1","issue":"1","issued":{"date-parts":[["2020"]]},"page":"51-72","publisher":"SAGE Publications Sage CA: Los Angeles, CA","title":"The development of sports: A comparative analysis of the early institutionalization of traditional sports and E-sports","type":"article-journal","volume":"15"},"uris":["http://www.mendeley.com/documents/?uuid=7d0eb3be-1def-45ca-99ab-3dbcd2c0a154"]}],"mendeley":{"formattedCitation":"(Summerley, 2020)","plainTextFormattedCitation":"(Summerley, 2020)","previouslyFormattedCitation":"(Summerley, 2020)"},"properties":{"noteIndex":0},"schema":"https://github.com/citation-style-language/schema/raw/master/csl-citation.json"}</w:instrText>
      </w:r>
      <w:r>
        <w:rPr>
          <w:rFonts w:ascii="Arial" w:hAnsi="Arial" w:cs="Arial"/>
        </w:rPr>
        <w:fldChar w:fldCharType="separate"/>
      </w:r>
      <w:r>
        <w:rPr>
          <w:rFonts w:ascii="Arial" w:hAnsi="Arial" w:cs="Arial"/>
        </w:rPr>
        <w:t>(Summerley, 2020)</w:t>
      </w:r>
      <w:r>
        <w:rPr>
          <w:rFonts w:ascii="Arial" w:hAnsi="Arial" w:cs="Arial"/>
        </w:rPr>
        <w:fldChar w:fldCharType="end"/>
      </w:r>
      <w:r>
        <w:rPr>
          <w:rFonts w:ascii="Arial" w:hAnsi="Arial" w:cs="Arial"/>
        </w:rPr>
        <w:t xml:space="preserve">. Unlike traditional sports, in eSports, "electronics" is the medium and platform of competition, and the information technology is the core, and the environment created by the combination of hardware and software is used for confrontation </w:t>
      </w:r>
      <w:r>
        <w:rPr>
          <w:rFonts w:ascii="Arial" w:hAnsi="Arial" w:cs="Arial"/>
        </w:rPr>
        <w:fldChar w:fldCharType="begin" w:fldLock="1"/>
      </w:r>
      <w:r>
        <w:rPr>
          <w:rFonts w:ascii="Arial" w:hAnsi="Arial" w:cs="Arial"/>
        </w:rPr>
        <w:instrText xml:space="preserve">ADDIN CSL_CITATION {"citationItems":[{"id":"ITEM-1","itemData":{"ISSN":"0960-085X","author":[{"dropping-particle":"","family":"Goldkuhl","given":"G ran","non-dropping-particle":"","parse-names":false,"suffix":""}],"container-title":"European journal of information systems","id":"ITEM-1","issue":"2","issued":{"date-parts":[["2012"]]},"page":"135-146","publisher":"Taylor &amp; Francis","title":"Pragmatism vs interpretivism in qualitative information systems research","type":"article-journal","volume":"21"},"uris":["http://www.mendeley.com/documents/?uuid=7717b7d2-0679-4044-914d-094950aac362"]}],"mendeley":{"formattedCitation":"(Goldkuhl, 2012)","plainTextFormattedCitation":"(Goldkuhl, 2012)","previouslyFormattedCitation":"(Goldkuhl, 2012)"},"properties":{"noteIndex":0},"schema":"https://github.com/citation-style-language/schema/raw/master/csl-citation.json"}</w:instrText>
      </w:r>
      <w:r>
        <w:rPr>
          <w:rFonts w:ascii="Arial" w:hAnsi="Arial" w:cs="Arial"/>
        </w:rPr>
        <w:fldChar w:fldCharType="separate"/>
      </w:r>
      <w:r>
        <w:rPr>
          <w:rFonts w:ascii="Arial" w:hAnsi="Arial" w:cs="Arial"/>
        </w:rPr>
        <w:t>(Goldkuhl, 2012)</w:t>
      </w:r>
      <w:r>
        <w:rPr>
          <w:rFonts w:ascii="Arial" w:hAnsi="Arial" w:cs="Arial"/>
        </w:rPr>
        <w:fldChar w:fldCharType="end"/>
      </w:r>
      <w:r>
        <w:rPr>
          <w:rFonts w:ascii="Arial" w:hAnsi="Arial" w:cs="Arial"/>
        </w:rPr>
        <w:t>. Therefore, eSports has unique advantages in terms of communication, popularity and socialization.</w:t>
      </w:r>
    </w:p>
    <w:p>
      <w:pPr>
        <w:spacing w:before="156" w:beforeLines="50" w:after="312" w:afterLines="100" w:line="360" w:lineRule="auto"/>
        <w:jc w:val="both"/>
        <w:rPr>
          <w:rFonts w:ascii="Arial" w:hAnsi="Arial" w:cs="Arial"/>
        </w:rPr>
      </w:pPr>
      <w:r>
        <w:rPr>
          <w:rFonts w:ascii="Arial" w:hAnsi="Arial" w:cs="Arial"/>
        </w:rPr>
        <w:t xml:space="preserve">The emergence of eSports can be traced back to the mid-1990s, when western countries took the lead in launching the eSports industry, and after years of development, the industry gradually spread and promoted globally. While the eSports movement was still in its infancy, the world's three major eSports events, represented by the World eSports Championship, the eSports Professional League and the eSports World Cup, emerged one after another and to a certain extent promoted the development of the eSports industry </w:t>
      </w:r>
      <w:r>
        <w:rPr>
          <w:rFonts w:ascii="Arial" w:hAnsi="Arial" w:cs="Arial"/>
        </w:rPr>
        <w:fldChar w:fldCharType="begin" w:fldLock="1"/>
      </w:r>
      <w:r>
        <w:rPr>
          <w:rFonts w:ascii="Arial" w:hAnsi="Arial" w:cs="Arial"/>
        </w:rPr>
        <w:instrText xml:space="preserve">ADDIN CSL_CITATION {"citationItems":[{"id":"ITEM-1","itemData":{"author":[{"dropping-particle":"","family":"Deloitte","given":"","non-dropping-particle":"","parse-names":false,"suffix":""}],"id":"ITEM-1","issued":{"date-parts":[["2019"]]},"title":"Let's Play! The European eSports market","type":"report"},"uris":["http://www.mendeley.com/documents/?uuid=c43614fb-0c25-324b-8b45-d7d0d6c59a8e"]}],"mendeley":{"formattedCitation":"(Deloitte, 2019)","plainTextFormattedCitation":"(Deloitte, 2019)","previouslyFormattedCitation":"(Deloitte, 2019)"},"properties":{"noteIndex":0},"schema":"https://github.com/citation-style-language/schema/raw/master/csl-citation.json"}</w:instrText>
      </w:r>
      <w:r>
        <w:rPr>
          <w:rFonts w:ascii="Arial" w:hAnsi="Arial" w:cs="Arial"/>
        </w:rPr>
        <w:fldChar w:fldCharType="separate"/>
      </w:r>
      <w:r>
        <w:rPr>
          <w:rFonts w:ascii="Arial" w:hAnsi="Arial" w:cs="Arial"/>
        </w:rPr>
        <w:t>(Deloitte, 2019)</w:t>
      </w:r>
      <w:r>
        <w:rPr>
          <w:rFonts w:ascii="Arial" w:hAnsi="Arial" w:cs="Arial"/>
        </w:rPr>
        <w:fldChar w:fldCharType="end"/>
      </w:r>
      <w:r>
        <w:rPr>
          <w:rFonts w:ascii="Arial" w:hAnsi="Arial" w:cs="Arial"/>
        </w:rPr>
        <w:t xml:space="preserve">. In recent years, the surge in revenue from media broadcasting rights and advertising, as well as sponsorship, has made the revenue reported by the global eSports industry grow year by year. According to </w:t>
      </w:r>
      <w:r>
        <w:rPr>
          <w:rFonts w:ascii="Arial" w:hAnsi="Arial" w:cs="Arial"/>
        </w:rPr>
        <w:fldChar w:fldCharType="begin" w:fldLock="1"/>
      </w:r>
      <w:r>
        <w:rPr>
          <w:rFonts w:ascii="Arial" w:hAnsi="Arial" w:cs="Arial"/>
        </w:rPr>
        <w:instrText xml:space="preserve">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2020)","manualFormatting":"Statista (2020)","plainTextFormattedCitation":"(Statista, 2020)","previouslyFormattedCitation":"(Statista, 2020)"},"properties":{"noteIndex":0},"schema":"https://github.com/citation-style-language/schema/raw/master/csl-citation.json"}</w:instrText>
      </w:r>
      <w:r>
        <w:rPr>
          <w:rFonts w:ascii="Arial" w:hAnsi="Arial" w:cs="Arial"/>
        </w:rPr>
        <w:fldChar w:fldCharType="separate"/>
      </w:r>
      <w:r>
        <w:rPr>
          <w:rFonts w:ascii="Arial" w:hAnsi="Arial" w:cs="Arial"/>
        </w:rPr>
        <w:t>Statista (2020)</w:t>
      </w:r>
      <w:r>
        <w:rPr>
          <w:rFonts w:ascii="Arial" w:hAnsi="Arial" w:cs="Arial"/>
        </w:rPr>
        <w:fldChar w:fldCharType="end"/>
      </w:r>
      <w:r>
        <w:rPr>
          <w:rFonts w:ascii="Arial" w:hAnsi="Arial" w:cs="Arial"/>
        </w:rPr>
        <w:t xml:space="preserve"> (fee Figure 1), the revenue of eSports industry in 2018 was $957.5 million, and the revenue of global eSports industry in 2021 will exceed $1 billion; the revenue of global eSports will reach about $1.8 billion in 2024. The number of global eSports viewers grew year by year from 2018 to 2024, and the number of global eSports viewers reached 397.8 million in 2018, including 222 million casual viewers and 173 million eSports enthusiasts; it is expected that by 2024, the number of global eSports viewers will reach 577.2 million, including 253 million casual viewers </w:t>
      </w:r>
      <w:r>
        <w:rPr>
          <w:rFonts w:ascii="Arial" w:hAnsi="Arial" w:cs="Arial"/>
        </w:rPr>
        <w:fldChar w:fldCharType="begin" w:fldLock="1"/>
      </w:r>
      <w:r>
        <w:rPr>
          <w:rFonts w:ascii="Arial" w:hAnsi="Arial" w:cs="Arial"/>
        </w:rPr>
        <w:instrText xml:space="preserve">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Pr>
          <w:rFonts w:ascii="Arial" w:hAnsi="Arial" w:cs="Arial"/>
        </w:rPr>
        <w:fldChar w:fldCharType="separate"/>
      </w:r>
      <w:r>
        <w:rPr>
          <w:rFonts w:ascii="Arial" w:hAnsi="Arial" w:cs="Arial"/>
        </w:rPr>
        <w:t>(Statista, 2020)</w:t>
      </w:r>
      <w:r>
        <w:rPr>
          <w:rFonts w:ascii="Arial" w:hAnsi="Arial" w:cs="Arial"/>
        </w:rPr>
        <w:fldChar w:fldCharType="end"/>
      </w:r>
      <w:r>
        <w:rPr>
          <w:rFonts w:ascii="Arial" w:hAnsi="Arial" w:cs="Arial"/>
        </w:rPr>
        <w:t xml:space="preserve">(see Figure 2). </w:t>
      </w:r>
    </w:p>
    <w:p>
      <w:pPr>
        <w:keepNext/>
        <w:spacing w:before="156" w:beforeLines="50" w:after="312" w:afterLines="100" w:line="360" w:lineRule="auto"/>
        <w:jc w:val="both"/>
        <w:rPr>
          <w:rFonts w:ascii="Arial" w:hAnsi="Arial" w:cs="Arial"/>
        </w:rPr>
      </w:pPr>
      <w:r>
        <w:rPr>
          <w:rFonts w:ascii="Arial" w:hAnsi="Arial" w:cs="Arial"/>
        </w:rPr>
        <w:drawing>
          <wp:inline distT="0" distB="0" distL="0" distR="0">
            <wp:extent cx="4709160" cy="18167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4718764" cy="1820573"/>
                    </a:xfrm>
                    <a:prstGeom prst="rect">
                      <a:avLst/>
                    </a:prstGeom>
                  </pic:spPr>
                </pic:pic>
              </a:graphicData>
            </a:graphic>
          </wp:inline>
        </w:drawing>
      </w:r>
    </w:p>
    <w:p>
      <w:pPr>
        <w:pStyle w:val="11"/>
        <w:spacing w:before="156" w:beforeLines="50" w:after="312" w:afterLines="100" w:line="360" w:lineRule="auto"/>
        <w:jc w:val="both"/>
        <w:rPr>
          <w:rFonts w:ascii="Arial" w:hAnsi="Arial" w:cs="Arial"/>
          <w:sz w:val="22"/>
          <w:szCs w:val="22"/>
        </w:rPr>
      </w:pPr>
      <w:bookmarkStart w:id="10" w:name="_Toc71636275"/>
      <w:bookmarkStart w:id="11" w:name="_Toc71636254"/>
      <w:r>
        <w:rPr>
          <w:rFonts w:ascii="Arial" w:hAnsi="Arial" w:cs="Arial"/>
          <w:sz w:val="22"/>
          <w:szCs w:val="22"/>
        </w:rPr>
        <w:t xml:space="preserve">Figure </w:t>
      </w:r>
      <w:r>
        <w:rPr>
          <w:rFonts w:ascii="Arial" w:hAnsi="Arial" w:cs="Arial"/>
          <w:sz w:val="22"/>
          <w:szCs w:val="22"/>
        </w:rPr>
        <w:fldChar w:fldCharType="begin"/>
      </w:r>
      <w:r>
        <w:rPr>
          <w:rFonts w:ascii="Arial" w:hAnsi="Arial" w:cs="Arial"/>
          <w:sz w:val="22"/>
          <w:szCs w:val="22"/>
        </w:rPr>
        <w:instrText xml:space="preserve"> SEQ Figure \* ARABIC </w:instrText>
      </w:r>
      <w:r>
        <w:rPr>
          <w:rFonts w:ascii="Arial" w:hAnsi="Arial" w:cs="Arial"/>
          <w:sz w:val="22"/>
          <w:szCs w:val="22"/>
        </w:rPr>
        <w:fldChar w:fldCharType="separate"/>
      </w:r>
      <w:r>
        <w:rPr>
          <w:rFonts w:ascii="Arial" w:hAnsi="Arial" w:cs="Arial"/>
          <w:sz w:val="22"/>
          <w:szCs w:val="22"/>
        </w:rPr>
        <w:t>1</w:t>
      </w:r>
      <w:r>
        <w:rPr>
          <w:rFonts w:ascii="Arial" w:hAnsi="Arial" w:cs="Arial"/>
          <w:sz w:val="22"/>
          <w:szCs w:val="22"/>
        </w:rPr>
        <w:fldChar w:fldCharType="end"/>
      </w:r>
      <w:r>
        <w:rPr>
          <w:rFonts w:ascii="Arial" w:hAnsi="Arial" w:cs="Arial"/>
          <w:sz w:val="22"/>
          <w:szCs w:val="22"/>
        </w:rPr>
        <w:t>-1. eSports market revenue worldwide (in million US dollars)</w:t>
      </w:r>
      <w:bookmarkEnd w:id="10"/>
      <w:bookmarkEnd w:id="11"/>
    </w:p>
    <w:p>
      <w:pPr>
        <w:spacing w:before="156" w:beforeLines="50" w:after="312" w:afterLines="100" w:line="360" w:lineRule="auto"/>
        <w:rPr>
          <w:rFonts w:ascii="Arial" w:hAnsi="Arial" w:cs="Arial"/>
        </w:rPr>
      </w:pPr>
      <w:r>
        <w:rPr>
          <w:rFonts w:ascii="Arial" w:hAnsi="Arial" w:cs="Arial"/>
        </w:rPr>
        <w:t xml:space="preserve">Source: </w:t>
      </w:r>
      <w:r>
        <w:rPr>
          <w:rFonts w:ascii="Arial" w:hAnsi="Arial" w:cs="Arial"/>
        </w:rPr>
        <w:fldChar w:fldCharType="begin" w:fldLock="1"/>
      </w:r>
      <w:r>
        <w:rPr>
          <w:rFonts w:ascii="Arial" w:hAnsi="Arial" w:cs="Arial"/>
        </w:rPr>
        <w:instrText xml:space="preserve">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Pr>
          <w:rFonts w:ascii="Arial" w:hAnsi="Arial" w:cs="Arial"/>
        </w:rPr>
        <w:fldChar w:fldCharType="separate"/>
      </w:r>
      <w:r>
        <w:rPr>
          <w:rFonts w:ascii="Arial" w:hAnsi="Arial" w:cs="Arial"/>
        </w:rPr>
        <w:t>(Statista, 2020)</w:t>
      </w:r>
      <w:r>
        <w:rPr>
          <w:rFonts w:ascii="Arial" w:hAnsi="Arial" w:cs="Arial"/>
        </w:rPr>
        <w:fldChar w:fldCharType="end"/>
      </w:r>
    </w:p>
    <w:p>
      <w:pPr>
        <w:keepNext/>
        <w:spacing w:before="156" w:beforeLines="50" w:after="312" w:afterLines="100" w:line="360" w:lineRule="auto"/>
        <w:jc w:val="both"/>
        <w:rPr>
          <w:rFonts w:ascii="Arial" w:hAnsi="Arial" w:cs="Arial"/>
        </w:rPr>
      </w:pPr>
      <w:r>
        <w:rPr>
          <w:rFonts w:ascii="Arial" w:hAnsi="Arial" w:cs="Arial"/>
        </w:rPr>
        <w:drawing>
          <wp:inline distT="0" distB="0" distL="0" distR="0">
            <wp:extent cx="4709160" cy="179832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4739492" cy="1810123"/>
                    </a:xfrm>
                    <a:prstGeom prst="rect">
                      <a:avLst/>
                    </a:prstGeom>
                    <a:noFill/>
                  </pic:spPr>
                </pic:pic>
              </a:graphicData>
            </a:graphic>
          </wp:inline>
        </w:drawing>
      </w:r>
    </w:p>
    <w:p>
      <w:pPr>
        <w:pStyle w:val="11"/>
        <w:spacing w:before="156" w:beforeLines="50" w:after="312" w:afterLines="100" w:line="360" w:lineRule="auto"/>
        <w:jc w:val="both"/>
        <w:rPr>
          <w:rFonts w:ascii="Arial" w:hAnsi="Arial" w:cs="Arial"/>
          <w:sz w:val="22"/>
          <w:szCs w:val="22"/>
        </w:rPr>
      </w:pPr>
      <w:bookmarkStart w:id="12" w:name="_Toc71636255"/>
      <w:bookmarkStart w:id="13" w:name="_Toc71636276"/>
      <w:r>
        <w:rPr>
          <w:rFonts w:ascii="Arial" w:hAnsi="Arial" w:cs="Arial"/>
          <w:sz w:val="22"/>
          <w:szCs w:val="22"/>
        </w:rPr>
        <w:t>Figure 1-</w:t>
      </w:r>
      <w:r>
        <w:rPr>
          <w:rFonts w:ascii="Arial" w:hAnsi="Arial" w:cs="Arial"/>
          <w:sz w:val="22"/>
          <w:szCs w:val="22"/>
        </w:rPr>
        <w:fldChar w:fldCharType="begin"/>
      </w:r>
      <w:r>
        <w:rPr>
          <w:rFonts w:ascii="Arial" w:hAnsi="Arial" w:cs="Arial"/>
          <w:sz w:val="22"/>
          <w:szCs w:val="22"/>
        </w:rPr>
        <w:instrText xml:space="preserve"> SEQ Figure \* ARABIC </w:instrText>
      </w:r>
      <w:r>
        <w:rPr>
          <w:rFonts w:ascii="Arial" w:hAnsi="Arial" w:cs="Arial"/>
          <w:sz w:val="22"/>
          <w:szCs w:val="22"/>
        </w:rPr>
        <w:fldChar w:fldCharType="separate"/>
      </w:r>
      <w:r>
        <w:rPr>
          <w:rFonts w:ascii="Arial" w:hAnsi="Arial" w:cs="Arial"/>
          <w:sz w:val="22"/>
          <w:szCs w:val="22"/>
        </w:rPr>
        <w:t>2</w:t>
      </w:r>
      <w:r>
        <w:rPr>
          <w:rFonts w:ascii="Arial" w:hAnsi="Arial" w:cs="Arial"/>
          <w:sz w:val="22"/>
          <w:szCs w:val="22"/>
        </w:rPr>
        <w:fldChar w:fldCharType="end"/>
      </w:r>
      <w:r>
        <w:rPr>
          <w:rFonts w:ascii="Arial" w:hAnsi="Arial" w:cs="Arial"/>
          <w:sz w:val="22"/>
          <w:szCs w:val="22"/>
        </w:rPr>
        <w:t>. eSports audience size worldwide (in millions)</w:t>
      </w:r>
      <w:bookmarkEnd w:id="12"/>
      <w:bookmarkEnd w:id="13"/>
    </w:p>
    <w:p>
      <w:pPr>
        <w:spacing w:before="156" w:beforeLines="50" w:after="312" w:afterLines="100" w:line="360" w:lineRule="auto"/>
        <w:rPr>
          <w:rFonts w:ascii="Arial" w:hAnsi="Arial" w:cs="Arial"/>
        </w:rPr>
      </w:pPr>
      <w:r>
        <w:rPr>
          <w:rFonts w:ascii="Arial" w:hAnsi="Arial" w:cs="Arial"/>
        </w:rPr>
        <w:t xml:space="preserve">Source: </w:t>
      </w:r>
      <w:r>
        <w:rPr>
          <w:rFonts w:ascii="Arial" w:hAnsi="Arial" w:cs="Arial"/>
        </w:rPr>
        <w:fldChar w:fldCharType="begin" w:fldLock="1"/>
      </w:r>
      <w:r>
        <w:rPr>
          <w:rFonts w:ascii="Arial" w:hAnsi="Arial" w:cs="Arial"/>
        </w:rPr>
        <w:instrText xml:space="preserve">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Pr>
          <w:rFonts w:ascii="Arial" w:hAnsi="Arial" w:cs="Arial"/>
        </w:rPr>
        <w:fldChar w:fldCharType="separate"/>
      </w:r>
      <w:r>
        <w:rPr>
          <w:rFonts w:ascii="Arial" w:hAnsi="Arial" w:cs="Arial"/>
        </w:rPr>
        <w:t>(Statista, 2020)</w:t>
      </w:r>
      <w:r>
        <w:rPr>
          <w:rFonts w:ascii="Arial" w:hAnsi="Arial" w:cs="Arial"/>
        </w:rPr>
        <w:fldChar w:fldCharType="end"/>
      </w:r>
      <w:r>
        <w:rPr>
          <w:rFonts w:ascii="Arial" w:hAnsi="Arial" w:cs="Arial"/>
        </w:rPr>
        <w:t>s</w:t>
      </w:r>
    </w:p>
    <w:p>
      <w:pPr>
        <w:spacing w:before="156" w:beforeLines="50" w:after="312" w:afterLines="100" w:line="360" w:lineRule="auto"/>
        <w:jc w:val="both"/>
        <w:rPr>
          <w:rFonts w:ascii="Arial" w:hAnsi="Arial" w:cs="Arial"/>
          <w:lang w:val="en-GB"/>
        </w:rPr>
      </w:pPr>
      <w:r>
        <w:rPr>
          <w:rFonts w:ascii="Arial" w:hAnsi="Arial" w:cs="Arial"/>
        </w:rPr>
        <w:t xml:space="preserve">The World eSports Championships officially entered the Chinese market in 2001, and in 2003, the State General Administration of Sports (SGS) classified eSports as the 99th sport in China, based on the many types of sports played in China </w:t>
      </w:r>
      <w:r>
        <w:rPr>
          <w:rFonts w:ascii="Arial" w:hAnsi="Arial" w:cs="Arial"/>
        </w:rPr>
        <w:fldChar w:fldCharType="begin" w:fldLock="1"/>
      </w:r>
      <w:r>
        <w:rPr>
          <w:rFonts w:ascii="Arial" w:hAnsi="Arial" w:cs="Arial"/>
        </w:rPr>
        <w:instrText xml:space="preserve">ADDIN CSL_CITATION {"citationItems":[{"id":"ITEM-1","itemData":{"ISSN":"1367-8779","author":[{"dropping-particle":"","family":"Lin","given":"Zhongxuan","non-dropping-particle":"","parse-names":false,"suffix":""},{"dropping-particle":"","family":"Zhao","given":"Yupei","non-dropping-particle":"","parse-names":false,"suffix":""}],"container-title":"International Journal of Cultural Studies","id":"ITEM-1","issue":"4","issued":{"date-parts":[["2020"]]},"page":"582-599","publisher":"SAGE Publications Sage UK: London, England","title":"Self-enterprising eSports: Meritocracy, precarity, and disposability of eSports players in China","type":"article-journal","volume":"23"},"uris":["http://www.mendeley.com/documents/?uuid=bd2f09a8-16ac-4b59-9bb0-475602147f89"]}],"mendeley":{"formattedCitation":"(Lin and Zhao, 2020)","plainTextFormattedCitation":"(Lin and Zhao, 2020)","previouslyFormattedCitation":"(Lin and Zhao, 2020)"},"properties":{"noteIndex":0},"schema":"https://github.com/citation-style-language/schema/raw/master/csl-citation.json"}</w:instrText>
      </w:r>
      <w:r>
        <w:rPr>
          <w:rFonts w:ascii="Arial" w:hAnsi="Arial" w:cs="Arial"/>
        </w:rPr>
        <w:fldChar w:fldCharType="separate"/>
      </w:r>
      <w:r>
        <w:rPr>
          <w:rFonts w:ascii="Arial" w:hAnsi="Arial" w:cs="Arial"/>
        </w:rPr>
        <w:t>(Lin and Zhao, 2020)</w:t>
      </w:r>
      <w:r>
        <w:rPr>
          <w:rFonts w:ascii="Arial" w:hAnsi="Arial" w:cs="Arial"/>
        </w:rPr>
        <w:fldChar w:fldCharType="end"/>
      </w:r>
      <w:r>
        <w:rPr>
          <w:rFonts w:ascii="Arial" w:hAnsi="Arial" w:cs="Arial"/>
        </w:rPr>
        <w:t xml:space="preserve">. Despite the difficulties, in 2011, the State General Administration of Sports reorganized the existing sports programs in China and integrated eSports as the 78th official sport in China. With the full support of the State General Administration of Sports, various professional and non-professional tournaments have emerged nationwide and are favored by the majority of young people, thus taking the development of eSports to new heights. The National Development and Reform Commission, the Ministry of Education and the Ministry of Industry and Information Technology and other relevant departments put forward the "action plan on promoting consumption-led transformation audit" in April 2016, and pointed out that, in addition to the protection of intellectual property (IP) rights should be focused on, do a good job of guiding the concept of youth consumption, should also give full play to the leading role of enterprises, regular or irregular national or international eSports game tournaments, and strengthen organizational coordination and supervision work </w:t>
      </w:r>
      <w:r>
        <w:rPr>
          <w:rFonts w:ascii="Arial" w:hAnsi="Arial" w:cs="Arial"/>
        </w:rPr>
        <w:fldChar w:fldCharType="begin" w:fldLock="1"/>
      </w:r>
      <w:r>
        <w:rPr>
          <w:rFonts w:ascii="Arial" w:hAnsi="Arial" w:cs="Arial"/>
        </w:rPr>
        <w:instrText xml:space="preserve">ADDIN CSL_CITATION {"citationItems":[{"id":"ITEM-1","itemData":{"ISSN":"2373-9037","author":[{"dropping-particle":"","family":"Yu","given":"Haiqing","non-dropping-particle":"","parse-names":false,"suffix":""}],"container-title":"Media Industries Journal","id":"ITEM-1","issue":"1","issued":{"date-parts":[["2018"]]},"publisher":"Michigan Publishing, University of Michigan Library","title":"Game on: The rise of the esports middle Kingdom","type":"article-journal","volume":"5"},"uris":["http://www.mendeley.com/documents/?uuid=68e38920-b42b-4bae-abe6-cb1580d5d5a1"]}],"mendeley":{"formattedCitation":"(Yu, 2018)","plainTextFormattedCitation":"(Yu, 2018)","previouslyFormattedCitation":"(Yu, 2018)"},"properties":{"noteIndex":0},"schema":"https://github.com/citation-style-language/schema/raw/master/csl-citation.json"}</w:instrText>
      </w:r>
      <w:r>
        <w:rPr>
          <w:rFonts w:ascii="Arial" w:hAnsi="Arial" w:cs="Arial"/>
        </w:rPr>
        <w:fldChar w:fldCharType="separate"/>
      </w:r>
      <w:r>
        <w:rPr>
          <w:rFonts w:ascii="Arial" w:hAnsi="Arial" w:cs="Arial"/>
        </w:rPr>
        <w:t>(Yu, 2018)</w:t>
      </w:r>
      <w:r>
        <w:rPr>
          <w:rFonts w:ascii="Arial" w:hAnsi="Arial" w:cs="Arial"/>
        </w:rPr>
        <w:fldChar w:fldCharType="end"/>
      </w:r>
      <w:r>
        <w:rPr>
          <w:rFonts w:ascii="Arial" w:hAnsi="Arial" w:cs="Arial"/>
        </w:rPr>
        <w:t xml:space="preserve">. On this basis, the education department also added "eSports and management" professional, invariably to promote the identity of eSports games legalization and popularization </w:t>
      </w:r>
      <w:r>
        <w:rPr>
          <w:rFonts w:ascii="Arial" w:hAnsi="Arial" w:cs="Arial"/>
        </w:rPr>
        <w:fldChar w:fldCharType="begin" w:fldLock="1"/>
      </w:r>
      <w:r>
        <w:rPr>
          <w:rFonts w:ascii="Arial" w:hAnsi="Arial" w:cs="Arial"/>
        </w:rPr>
        <w:instrText xml:space="preserve">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Pr>
          <w:rFonts w:ascii="Arial" w:hAnsi="Arial" w:cs="Arial"/>
        </w:rPr>
        <w:fldChar w:fldCharType="separate"/>
      </w:r>
      <w:r>
        <w:rPr>
          <w:rFonts w:ascii="Arial" w:hAnsi="Arial" w:cs="Arial"/>
        </w:rPr>
        <w:t>(Yang, Huang and Zhang, 2014)</w:t>
      </w:r>
      <w:r>
        <w:rPr>
          <w:rFonts w:ascii="Arial" w:hAnsi="Arial" w:cs="Arial"/>
        </w:rPr>
        <w:fldChar w:fldCharType="end"/>
      </w:r>
      <w:r>
        <w:rPr>
          <w:rFonts w:ascii="Arial" w:hAnsi="Arial" w:cs="Arial"/>
        </w:rPr>
        <w:t xml:space="preserve">. According to the survey, after the implementation of the program, the total number of eSports users in China reached 124 million in 2016, and its market share reached 50.4 billion RMB, an increase of 123% compared to 2014. By the end of 2018, China's eSports industry reached RMB 90 billion in the market, with a growth rate of 59.4% compared to the same period of the previous year, and the overall user size of the eSports market grew to 260 million people, an increase of 104.9% </w:t>
      </w:r>
      <w:r>
        <w:rPr>
          <w:rFonts w:ascii="Arial" w:hAnsi="Arial" w:cs="Arial"/>
        </w:rPr>
        <w:fldChar w:fldCharType="begin" w:fldLock="1"/>
      </w:r>
      <w:r>
        <w:rPr>
          <w:rFonts w:ascii="Arial" w:hAnsi="Arial" w:cs="Arial"/>
        </w:rPr>
        <w:instrText xml:space="preserve">ADDIN CSL_CITATION {"citationItems":[{"id":"ITEM-1","itemData":{"URL":"https://news.cgtn.com/news/2019-07-19/Play-your-way-to-success-eSports-industry-in-China-IrXgy5E1kk/index.html","accessed":{"date-parts":[["2021","5","3"]]},"author":[{"dropping-particle":"","family":"CGTN","given":"","non-dropping-particle":"","parse-names":false,"suffix":""}],"id":"ITEM-1","issued":{"date-parts":[["2019"]]},"title":"Play your way to success: eSports industry in China ","type":"webpage"},"uris":["http://www.mendeley.com/documents/?uuid=cb053c4e-eaf7-36d6-920f-ed65cd6cd448"]}],"mendeley":{"formattedCitation":"(CGTN, 2019)","plainTextFormattedCitation":"(CGTN, 2019)","previouslyFormattedCitation":"(CGTN, 2019)"},"properties":{"noteIndex":0},"schema":"https://github.com/citation-style-language/schema/raw/master/csl-citation.json"}</w:instrText>
      </w:r>
      <w:r>
        <w:rPr>
          <w:rFonts w:ascii="Arial" w:hAnsi="Arial" w:cs="Arial"/>
        </w:rPr>
        <w:fldChar w:fldCharType="separate"/>
      </w:r>
      <w:r>
        <w:rPr>
          <w:rFonts w:ascii="Arial" w:hAnsi="Arial" w:cs="Arial"/>
        </w:rPr>
        <w:t>(CGTN, 2019)</w:t>
      </w:r>
      <w:r>
        <w:rPr>
          <w:rFonts w:ascii="Arial" w:hAnsi="Arial" w:cs="Arial"/>
        </w:rPr>
        <w:fldChar w:fldCharType="end"/>
      </w:r>
      <w:r>
        <w:rPr>
          <w:rFonts w:ascii="Arial" w:hAnsi="Arial" w:cs="Arial"/>
        </w:rPr>
        <w:t>. The growth is expected to continue in the future due to factors such as the integration of mainstream networks into the eSports industry, the adoption of new technological advances in the eSports industry, etc.</w:t>
      </w:r>
      <w:r>
        <w:rPr>
          <w:rFonts w:ascii="Arial" w:hAnsi="Arial" w:cs="Arial"/>
        </w:rPr>
        <w:fldChar w:fldCharType="begin" w:fldLock="1"/>
      </w:r>
      <w:r>
        <w:rPr>
          <w:rFonts w:ascii="Arial" w:hAnsi="Arial" w:cs="Arial"/>
        </w:rPr>
        <w:instrText xml:space="preserve">ADDIN CSL_CITATION {"citationItems":[{"id":"ITEM-1","itemData":{"ISSN":"2062-5871","author":[{"dropping-particle":"","family":"Chung","given":"Thomas","non-dropping-particle":"","parse-names":false,"suffix":""},{"dropping-particle":"","family":"Sum","given":"Simmy","non-dropping-particle":"","parse-names":false,"suffix":""},{"dropping-particle":"","family":"Chan","given":"Monique","non-dropping-particle":"","parse-names":false,"suffix":""},{"dropping-particle":"","family":"Lai","given":"Ely","non-dropping-particle":"","parse-names":false,"suffix":""},{"dropping-particle":"","family":"Cheng","given":"Nanley","non-dropping-particle":"","parse-names":false,"suffix":""}],"container-title":"Journal of behavioral addictions","id":"ITEM-1","issue":"3","issued":{"date-parts":[["2019"]]},"page":"384-394","publisher":"Akad</w:instrText>
      </w:r>
      <w:r>
        <w:rPr>
          <w:rFonts w:ascii="Malgun Gothic" w:hAnsi="Malgun Gothic" w:cs="Malgun Gothic"/>
        </w:rPr>
        <w:instrText xml:space="preserve">��</w:instrText>
      </w:r>
      <w:r>
        <w:rPr>
          <w:rFonts w:ascii="Arial" w:hAnsi="Arial" w:cs="Arial"/>
        </w:rPr>
        <w:instrText xml:space="preserve">miai Kiad</w:instrText>
      </w:r>
      <w:r>
        <w:rPr>
          <w:rFonts w:ascii="Malgun Gothic" w:hAnsi="Malgun Gothic" w:cs="Malgun Gothic"/>
        </w:rPr>
        <w:instrText xml:space="preserve">��</w:instrText>
      </w:r>
      <w:r>
        <w:rPr>
          <w:rFonts w:ascii="Arial" w:hAnsi="Arial" w:cs="Arial"/>
        </w:rPr>
        <w:instrText xml:space="preserve"> Budapest","title":"Will esports result in a higher prevalence of problematic gaming? A review of the global situation","type":"article-journal","volume":"8"},"uris":["http://www.mendeley.com/documents/?uuid=4581e022-b4c8-4540-8e82-e452856a1234"]}],"mendeley":{"formattedCitation":"(Chung &lt;i&gt;et al.&lt;/i&gt;, 2019)","plainTextFormattedCitation":"(Chung et al., 2019)","previouslyFormattedCitation":"(Chung &lt;i&gt;et al.&lt;/i&gt;, 2019)"},"properties":{"noteIndex":0},"schema":"https://github.com/citation-style-language/schema/raw/master/csl-citation.json"}</w:instrText>
      </w:r>
      <w:r>
        <w:rPr>
          <w:rFonts w:ascii="Arial" w:hAnsi="Arial" w:cs="Arial"/>
        </w:rPr>
        <w:fldChar w:fldCharType="separate"/>
      </w:r>
      <w:r>
        <w:rPr>
          <w:rFonts w:ascii="Arial" w:hAnsi="Arial" w:cs="Arial"/>
        </w:rPr>
        <w:t xml:space="preserve">(Chung </w:t>
      </w:r>
      <w:r>
        <w:rPr>
          <w:rFonts w:ascii="Arial" w:hAnsi="Arial" w:cs="Arial"/>
          <w:i/>
        </w:rPr>
        <w:t>et al.</w:t>
      </w:r>
      <w:r>
        <w:rPr>
          <w:rFonts w:ascii="Arial" w:hAnsi="Arial" w:cs="Arial"/>
        </w:rPr>
        <w:t>, 2019)</w:t>
      </w:r>
      <w:r>
        <w:rPr>
          <w:rFonts w:ascii="Arial" w:hAnsi="Arial" w:cs="Arial"/>
        </w:rPr>
        <w:fldChar w:fldCharType="end"/>
      </w:r>
      <w:r>
        <w:rPr>
          <w:rFonts w:ascii="Arial" w:hAnsi="Arial" w:cs="Arial"/>
        </w:rPr>
        <w:t xml:space="preserve">. The market share of the Chinese eSports market is around 19%, and north America is the biggest market with a share of 38% </w:t>
      </w:r>
      <w:r>
        <w:rPr>
          <w:rFonts w:ascii="Arial" w:hAnsi="Arial" w:cs="Arial"/>
        </w:rPr>
        <w:fldChar w:fldCharType="begin" w:fldLock="1"/>
      </w:r>
      <w:r>
        <w:rPr>
          <w:rFonts w:ascii="Arial" w:hAnsi="Arial" w:cs="Arial"/>
        </w:rPr>
        <w:instrText xml:space="preserve">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Pr>
          <w:rFonts w:ascii="Arial" w:hAnsi="Arial" w:cs="Arial"/>
        </w:rPr>
        <w:fldChar w:fldCharType="separate"/>
      </w:r>
      <w:r>
        <w:rPr>
          <w:rFonts w:ascii="Arial" w:hAnsi="Arial" w:cs="Arial"/>
        </w:rPr>
        <w:t>(Statista, 2020)</w:t>
      </w:r>
      <w:r>
        <w:rPr>
          <w:rFonts w:ascii="Arial" w:hAnsi="Arial" w:cs="Arial"/>
        </w:rPr>
        <w:fldChar w:fldCharType="end"/>
      </w:r>
      <w:r>
        <w:rPr>
          <w:rFonts w:ascii="Arial" w:hAnsi="Arial" w:cs="Arial"/>
        </w:rPr>
        <w:t>(see Figure 3). According to the latest data from</w:t>
      </w:r>
      <w:r>
        <w:rPr>
          <w:rFonts w:ascii="Arial" w:hAnsi="Arial" w:cs="Arial"/>
        </w:rPr>
        <w:fldChar w:fldCharType="begin" w:fldLock="1"/>
      </w:r>
      <w:r>
        <w:rPr>
          <w:rFonts w:ascii="Arial" w:hAnsi="Arial" w:cs="Arial"/>
        </w:rPr>
        <w:instrText xml:space="preserve">ADDIN CSL_CITATION {"citationItems":[{"id":"ITEM-1","itemData":{"URL":"https://www.china-briefing.com/news/esports-in-china-industry-boom-leads-official-recognition/","accessed":{"date-parts":[["2021","5","3"]]},"author":[{"dropping-particle":"","family":"China Briefing","given":"","non-dropping-particle":"","parse-names":false,"suffix":""}],"id":"ITEM-1","issued":{"date-parts":[["2019"]]},"title":"Esports in China: Industry Boom Leads to Official Recognition","type":"webpage"},"uris":["http://www.mendeley.com/documents/?uuid=f3f38ff1-fcaa-3896-a5c4-4115467c1362"]}],"mendeley":{"formattedCitation":"(China Briefing, 2019)","manualFormatting":" China Briefing (2019)","plainTextFormattedCitation":"(China Briefing, 2019)","previouslyFormattedCitation":"(China Briefing, 2019)"},"properties":{"noteIndex":0},"schema":"https://github.com/citation-style-language/schema/raw/master/csl-citation.json"}</w:instrText>
      </w:r>
      <w:r>
        <w:rPr>
          <w:rFonts w:ascii="Arial" w:hAnsi="Arial" w:cs="Arial"/>
        </w:rPr>
        <w:fldChar w:fldCharType="separate"/>
      </w:r>
      <w:r>
        <w:rPr>
          <w:rFonts w:ascii="Arial" w:hAnsi="Arial" w:cs="Arial"/>
        </w:rPr>
        <w:t xml:space="preserve"> China Briefing (2019)</w:t>
      </w:r>
      <w:r>
        <w:rPr>
          <w:rFonts w:ascii="Arial" w:hAnsi="Arial" w:cs="Arial"/>
        </w:rPr>
        <w:fldChar w:fldCharType="end"/>
      </w:r>
      <w:r>
        <w:rPr>
          <w:rFonts w:ascii="Arial" w:hAnsi="Arial" w:cs="Arial"/>
        </w:rPr>
        <w:t>, in 2021 the global esports revenue will hit $1.1 billion</w:t>
      </w:r>
      <w:r>
        <w:rPr>
          <w:rFonts w:ascii="Arial" w:hAnsi="Arial" w:cs="Arial"/>
          <w:lang w:val="en-GB"/>
        </w:rPr>
        <w:t xml:space="preserve">, and China will surpass North American to the largest the most commercially valuable eSports market accounting for nearly 35% of revenue. </w:t>
      </w:r>
    </w:p>
    <w:p>
      <w:pPr>
        <w:keepNext/>
        <w:spacing w:before="156" w:beforeLines="50" w:after="312" w:afterLines="100" w:line="360" w:lineRule="auto"/>
        <w:jc w:val="both"/>
        <w:rPr>
          <w:rFonts w:ascii="Arial" w:hAnsi="Arial" w:cs="Arial"/>
        </w:rPr>
      </w:pPr>
      <w:r>
        <w:rPr>
          <w:rFonts w:ascii="Arial" w:hAnsi="Arial" w:cs="Arial"/>
        </w:rPr>
        <w:drawing>
          <wp:inline distT="0" distB="0" distL="0" distR="0">
            <wp:extent cx="4229100" cy="2536190"/>
            <wp:effectExtent l="0" t="0" r="0" b="0"/>
            <wp:docPr id="3" name="图片 3" descr="图表, 饼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表, 饼图&#10;&#10;描述已自动生成"/>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4232585" cy="2538379"/>
                    </a:xfrm>
                    <a:prstGeom prst="rect">
                      <a:avLst/>
                    </a:prstGeom>
                    <a:noFill/>
                  </pic:spPr>
                </pic:pic>
              </a:graphicData>
            </a:graphic>
          </wp:inline>
        </w:drawing>
      </w:r>
    </w:p>
    <w:p>
      <w:pPr>
        <w:pStyle w:val="11"/>
        <w:spacing w:before="156" w:beforeLines="50" w:after="312" w:afterLines="100" w:line="360" w:lineRule="auto"/>
        <w:jc w:val="both"/>
        <w:rPr>
          <w:rFonts w:ascii="Arial" w:hAnsi="Arial" w:cs="Arial"/>
          <w:sz w:val="22"/>
          <w:szCs w:val="22"/>
        </w:rPr>
      </w:pPr>
      <w:bookmarkStart w:id="14" w:name="_Toc71636277"/>
      <w:bookmarkStart w:id="15" w:name="_Toc71636256"/>
      <w:r>
        <w:rPr>
          <w:rFonts w:ascii="Arial" w:hAnsi="Arial" w:cs="Arial"/>
          <w:sz w:val="22"/>
          <w:szCs w:val="22"/>
        </w:rPr>
        <w:t>Figure 1-</w:t>
      </w:r>
      <w:r>
        <w:rPr>
          <w:rFonts w:ascii="Arial" w:hAnsi="Arial" w:cs="Arial"/>
          <w:sz w:val="22"/>
          <w:szCs w:val="22"/>
        </w:rPr>
        <w:fldChar w:fldCharType="begin"/>
      </w:r>
      <w:r>
        <w:rPr>
          <w:rFonts w:ascii="Arial" w:hAnsi="Arial" w:cs="Arial"/>
          <w:sz w:val="22"/>
          <w:szCs w:val="22"/>
        </w:rPr>
        <w:instrText xml:space="preserve"> SEQ Figure \* ARABIC </w:instrText>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r>
        <w:rPr>
          <w:rFonts w:ascii="Arial" w:hAnsi="Arial" w:cs="Arial"/>
          <w:sz w:val="22"/>
          <w:szCs w:val="22"/>
        </w:rPr>
        <w:t>. eSports market share (in percentage)</w:t>
      </w:r>
      <w:bookmarkEnd w:id="14"/>
      <w:bookmarkEnd w:id="15"/>
    </w:p>
    <w:p>
      <w:pPr>
        <w:spacing w:before="156" w:beforeLines="50" w:after="312" w:afterLines="100" w:line="360" w:lineRule="auto"/>
        <w:rPr>
          <w:rFonts w:ascii="Arial" w:hAnsi="Arial" w:cs="Arial"/>
        </w:rPr>
      </w:pPr>
      <w:r>
        <w:rPr>
          <w:rFonts w:ascii="Arial" w:hAnsi="Arial" w:cs="Arial"/>
        </w:rPr>
        <w:t xml:space="preserve">Source: </w:t>
      </w:r>
      <w:r>
        <w:rPr>
          <w:rFonts w:ascii="Arial" w:hAnsi="Arial" w:cs="Arial"/>
        </w:rPr>
        <w:fldChar w:fldCharType="begin" w:fldLock="1"/>
      </w:r>
      <w:r>
        <w:rPr>
          <w:rFonts w:ascii="Arial" w:hAnsi="Arial" w:cs="Arial"/>
        </w:rPr>
        <w:instrText xml:space="preserve">ADDIN CSL_CITATION {"citationItems":[{"id":"ITEM-1","itemData":{"URL":"https://www.statista.com/topics/3121/esports-market/","accessed":{"date-parts":[["2021","5","3"]]},"author":[{"dropping-particle":"","family":"Statista","given":"","non-dropping-particle":"","parse-names":false,"suffix":""}],"id":"ITEM-1","issued":{"date-parts":[["2020"]]},"title":"eSports market - Statistics &amp; Facts ","type":"webpage"},"uris":["http://www.mendeley.com/documents/?uuid=d9683611-d47a-3c67-8053-6a14fb79d105"]}],"mendeley":{"formattedCitation":"(Statista, 2020)","plainTextFormattedCitation":"(Statista, 2020)","previouslyFormattedCitation":"(Statista, 2020)"},"properties":{"noteIndex":0},"schema":"https://github.com/citation-style-language/schema/raw/master/csl-citation.json"}</w:instrText>
      </w:r>
      <w:r>
        <w:rPr>
          <w:rFonts w:ascii="Arial" w:hAnsi="Arial" w:cs="Arial"/>
        </w:rPr>
        <w:fldChar w:fldCharType="separate"/>
      </w:r>
      <w:r>
        <w:rPr>
          <w:rFonts w:ascii="Arial" w:hAnsi="Arial" w:cs="Arial"/>
        </w:rPr>
        <w:t>(Statista, 2020)</w:t>
      </w:r>
      <w:r>
        <w:rPr>
          <w:rFonts w:ascii="Arial" w:hAnsi="Arial" w:cs="Arial"/>
        </w:rPr>
        <w:fldChar w:fldCharType="end"/>
      </w:r>
    </w:p>
    <w:p>
      <w:pPr>
        <w:spacing w:before="156" w:beforeLines="50" w:after="312" w:afterLines="100" w:line="360" w:lineRule="auto"/>
        <w:jc w:val="both"/>
        <w:rPr>
          <w:rFonts w:ascii="Arial" w:hAnsi="Arial" w:cs="Arial"/>
          <w:sz w:val="21"/>
          <w:szCs w:val="21"/>
        </w:rPr>
      </w:pPr>
      <w:r>
        <w:rPr>
          <w:rFonts w:ascii="Arial" w:hAnsi="Arial" w:cs="Arial"/>
        </w:rPr>
        <w:t xml:space="preserve">The industrialization, and professionalization of China's eSports are the inevitable result of the development of eSports. Regardless of the development of eSports at that stage, there are problems that exist in it. The industrialization and professional development of eSports are closely related to the development of the national economy. At this stage, the eSports industry in China has the problem of the lack of the development of the industrial chain, the unsoundness of various management, the unclear cultivation model of eSports talents </w:t>
      </w:r>
      <w:r>
        <w:rPr>
          <w:rFonts w:ascii="Arial" w:hAnsi="Arial" w:cs="Arial"/>
        </w:rPr>
        <w:fldChar w:fldCharType="begin" w:fldLock="1"/>
      </w:r>
      <w:r>
        <w:rPr>
          <w:rFonts w:ascii="Arial" w:hAnsi="Arial" w:cs="Arial"/>
        </w:rPr>
        <w:instrText xml:space="preserve">ADDIN CSL_CITATION {"citationItems":[{"id":"ITEM-1","itemData":{"URL":"https://www.china-briefing.com/news/esports-in-china-industry-boom-leads-official-recognition/","accessed":{"date-parts":[["2021","5","3"]]},"author":[{"dropping-particle":"","family":"China Briefing","given":"","non-dropping-particle":"","parse-names":false,"suffix":""}],"id":"ITEM-1","issued":{"date-parts":[["2019"]]},"title":"Esports in China: Industry Boom Leads to Official Recognition","type":"webpage"},"uris":["http://www.mendeley.com/documents/?uuid=f3f38ff1-fcaa-3896-a5c4-4115467c1362"]}],"mendeley":{"formattedCitation":"(China Briefing, 2019)","plainTextFormattedCitation":"(China Briefing, 2019)","previouslyFormattedCitation":"(China Briefing, 2019)"},"properties":{"noteIndex":0},"schema":"https://github.com/citation-style-language/schema/raw/master/csl-citation.json"}</w:instrText>
      </w:r>
      <w:r>
        <w:rPr>
          <w:rFonts w:ascii="Arial" w:hAnsi="Arial" w:cs="Arial"/>
        </w:rPr>
        <w:fldChar w:fldCharType="separate"/>
      </w:r>
      <w:r>
        <w:rPr>
          <w:rFonts w:ascii="Arial" w:hAnsi="Arial" w:cs="Arial"/>
        </w:rPr>
        <w:t>(China Briefing, 2019)</w:t>
      </w:r>
      <w:r>
        <w:rPr>
          <w:rFonts w:ascii="Arial" w:hAnsi="Arial" w:cs="Arial"/>
        </w:rPr>
        <w:fldChar w:fldCharType="end"/>
      </w:r>
      <w:r>
        <w:rPr>
          <w:rFonts w:ascii="Arial" w:hAnsi="Arial" w:cs="Arial"/>
        </w:rPr>
        <w:t xml:space="preserve">. When checking the relevant literature about eSports, it is found that the literature research on eSports in China mainly focuses on the definition, attributes, influence and trends of industrial development, and lack of literature on the research of business model and problems of business model of eSports industry. However, the business model is the foundations to every business, the investigation into the business model of the eSports industry can lead us to gain a more comprehensive understanding of the eSports industry in China and discover the buildings blocks in the business that can be further improved to the future sustainable development. </w:t>
      </w:r>
    </w:p>
    <w:p>
      <w:pPr>
        <w:pStyle w:val="3"/>
        <w:numPr>
          <w:ilvl w:val="1"/>
          <w:numId w:val="1"/>
        </w:numPr>
        <w:spacing w:before="156" w:beforeLines="50" w:after="312" w:afterLines="100" w:line="360" w:lineRule="auto"/>
        <w:jc w:val="both"/>
        <w:rPr>
          <w:rFonts w:ascii="Arial" w:hAnsi="Arial" w:cs="Arial"/>
        </w:rPr>
      </w:pPr>
      <w:bookmarkStart w:id="16" w:name="_Toc71634572"/>
      <w:bookmarkStart w:id="17" w:name="_Toc71635918"/>
      <w:r>
        <w:rPr>
          <w:rFonts w:ascii="Arial" w:hAnsi="Arial" w:cs="Arial"/>
        </w:rPr>
        <w:t>Research significance</w:t>
      </w:r>
      <w:bookmarkEnd w:id="16"/>
      <w:bookmarkEnd w:id="17"/>
      <w:r>
        <w:rPr>
          <w:rFonts w:ascii="Arial" w:hAnsi="Arial" w:cs="Arial"/>
        </w:rPr>
        <w:t xml:space="preserve"> </w:t>
      </w:r>
    </w:p>
    <w:p>
      <w:pPr>
        <w:spacing w:before="156" w:beforeLines="50" w:after="312" w:afterLines="100" w:line="360" w:lineRule="auto"/>
        <w:jc w:val="both"/>
        <w:rPr>
          <w:rFonts w:ascii="Arial" w:hAnsi="Arial" w:cs="Arial"/>
          <w:lang w:val="en-GB"/>
        </w:rPr>
      </w:pPr>
      <w:r>
        <w:rPr>
          <w:rFonts w:ascii="Arial" w:hAnsi="Arial" w:cs="Arial"/>
        </w:rPr>
        <w:t xml:space="preserve">Although eSports industry in china has been developed for almost ten years, there have bene many serious problems impeding its future development.  China's eSports industry is developing rapidly, but the relevant theoretical research, social evaluation and government supervision are still in the primary stage of industry development. To guide the healthy development of the eSports industry and to promote its strengths while avoiding its weaknesses, it needs to be understood, supported, and guided by social opinion and academic theories. Additionally, the development of eSports in China today compared to South Korea and some European eSports powerhouses there is still a big gap, eSports game innovation research and development, eSports industry chain of excavation, eSports reserve talent training mode, eSports regulatory system, eSports core culture construction </w:t>
      </w:r>
      <w:r>
        <w:rPr>
          <w:rFonts w:ascii="Arial" w:hAnsi="Arial" w:cs="Arial"/>
        </w:rPr>
        <w:fldChar w:fldCharType="begin" w:fldLock="1"/>
      </w:r>
      <w:r>
        <w:rPr>
          <w:rFonts w:ascii="Arial" w:hAnsi="Arial" w:cs="Arial"/>
        </w:rPr>
        <w:instrText xml:space="preserve">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Pr>
          <w:rFonts w:ascii="Arial" w:hAnsi="Arial" w:cs="Arial"/>
        </w:rPr>
        <w:fldChar w:fldCharType="separate"/>
      </w:r>
      <w:r>
        <w:rPr>
          <w:rFonts w:ascii="Arial" w:hAnsi="Arial" w:cs="Arial"/>
        </w:rPr>
        <w:t>(Yang, Huang and Zhang, 2014)</w:t>
      </w:r>
      <w:r>
        <w:rPr>
          <w:rFonts w:ascii="Arial" w:hAnsi="Arial" w:cs="Arial"/>
        </w:rPr>
        <w:fldChar w:fldCharType="end"/>
      </w:r>
      <w:r>
        <w:rPr>
          <w:rFonts w:ascii="Arial" w:hAnsi="Arial" w:cs="Arial"/>
        </w:rPr>
        <w:t>.  This paper provides some valuable suggestions and countermeasures for the future development of eSports through the analysis of previous research, so that China's eSports will develop in the direction of the trend of specialization, professionalization and industrialization.</w:t>
      </w:r>
    </w:p>
    <w:p>
      <w:pPr>
        <w:pStyle w:val="3"/>
        <w:numPr>
          <w:ilvl w:val="1"/>
          <w:numId w:val="1"/>
        </w:numPr>
        <w:spacing w:before="156" w:beforeLines="50" w:after="312" w:afterLines="100" w:line="360" w:lineRule="auto"/>
        <w:jc w:val="both"/>
        <w:rPr>
          <w:rFonts w:ascii="Arial" w:hAnsi="Arial" w:cs="Arial"/>
        </w:rPr>
      </w:pPr>
      <w:bookmarkStart w:id="18" w:name="_Toc71635919"/>
      <w:bookmarkStart w:id="19" w:name="_Toc71634573"/>
      <w:r>
        <w:rPr>
          <w:rFonts w:ascii="Arial" w:hAnsi="Arial" w:cs="Arial"/>
        </w:rPr>
        <w:t>Research question and research aim</w:t>
      </w:r>
      <w:bookmarkEnd w:id="18"/>
      <w:bookmarkEnd w:id="19"/>
      <w:r>
        <w:rPr>
          <w:rFonts w:ascii="Arial" w:hAnsi="Arial" w:cs="Arial"/>
        </w:rPr>
        <w:t xml:space="preserve"> </w:t>
      </w:r>
    </w:p>
    <w:p>
      <w:pPr>
        <w:spacing w:before="156" w:beforeLines="50" w:after="312" w:afterLines="100" w:line="360" w:lineRule="auto"/>
        <w:jc w:val="both"/>
        <w:rPr>
          <w:rFonts w:ascii="Arial" w:hAnsi="Arial" w:cs="Arial"/>
        </w:rPr>
      </w:pPr>
      <w:r>
        <w:rPr>
          <w:rFonts w:ascii="Arial" w:hAnsi="Arial" w:cs="Arial"/>
        </w:rPr>
        <w:t>Given the rapid development of eSports industry in China, as well as the huge research gap in the study, if would of great significance for us to investigate the question that what is the internet business model of eSports industry, and how we can improve the development of it. Therefore, the research question that guides the present dissertation will be settled as:</w:t>
      </w:r>
    </w:p>
    <w:p>
      <w:pPr>
        <w:spacing w:before="156" w:beforeLines="50" w:after="312" w:afterLines="100" w:line="360" w:lineRule="auto"/>
        <w:jc w:val="both"/>
        <w:rPr>
          <w:rFonts w:ascii="Arial" w:hAnsi="Arial" w:cs="Arial"/>
        </w:rPr>
      </w:pPr>
      <w:r>
        <w:rPr>
          <w:rFonts w:ascii="Arial" w:hAnsi="Arial" w:cs="Arial"/>
        </w:rPr>
        <w:t xml:space="preserve">What is the business model behind the eSports industry in China, and how can it be improved? </w:t>
      </w:r>
    </w:p>
    <w:p>
      <w:pPr>
        <w:spacing w:before="156" w:beforeLines="50" w:after="312" w:afterLines="100" w:line="360" w:lineRule="auto"/>
        <w:jc w:val="both"/>
        <w:rPr>
          <w:rFonts w:ascii="Arial" w:hAnsi="Arial" w:cs="Arial"/>
        </w:rPr>
      </w:pPr>
      <w:r>
        <w:rPr>
          <w:rFonts w:ascii="Arial" w:hAnsi="Arial" w:cs="Arial"/>
        </w:rPr>
        <w:t xml:space="preserve">The overarching aim indicated by the research question can be decomposed into the following detailed objectives. </w:t>
      </w:r>
    </w:p>
    <w:p>
      <w:pPr>
        <w:pStyle w:val="50"/>
        <w:numPr>
          <w:ilvl w:val="0"/>
          <w:numId w:val="2"/>
        </w:numPr>
        <w:spacing w:before="156" w:beforeLines="50" w:after="312" w:afterLines="100" w:line="360" w:lineRule="auto"/>
        <w:ind w:firstLineChars="0"/>
        <w:jc w:val="both"/>
        <w:rPr>
          <w:rFonts w:ascii="Arial" w:hAnsi="Arial" w:cs="Arial"/>
        </w:rPr>
      </w:pPr>
      <w:r>
        <w:rPr>
          <w:rFonts w:ascii="Arial" w:hAnsi="Arial" w:cs="Arial"/>
        </w:rPr>
        <w:t xml:space="preserve">To conceptualize the eSports </w:t>
      </w:r>
    </w:p>
    <w:p>
      <w:pPr>
        <w:pStyle w:val="50"/>
        <w:numPr>
          <w:ilvl w:val="0"/>
          <w:numId w:val="2"/>
        </w:numPr>
        <w:spacing w:before="156" w:beforeLines="50" w:after="312" w:afterLines="100" w:line="360" w:lineRule="auto"/>
        <w:ind w:firstLineChars="0"/>
        <w:jc w:val="both"/>
        <w:rPr>
          <w:rFonts w:ascii="Arial" w:hAnsi="Arial" w:cs="Arial"/>
        </w:rPr>
      </w:pPr>
      <w:r>
        <w:rPr>
          <w:rFonts w:ascii="Arial" w:hAnsi="Arial" w:cs="Arial"/>
        </w:rPr>
        <w:t xml:space="preserve">To conceptualize the business model theories </w:t>
      </w:r>
    </w:p>
    <w:p>
      <w:pPr>
        <w:pStyle w:val="50"/>
        <w:numPr>
          <w:ilvl w:val="0"/>
          <w:numId w:val="2"/>
        </w:numPr>
        <w:spacing w:before="156" w:beforeLines="50" w:after="312" w:afterLines="100" w:line="360" w:lineRule="auto"/>
        <w:ind w:firstLineChars="0"/>
        <w:jc w:val="both"/>
        <w:rPr>
          <w:rFonts w:ascii="Arial" w:hAnsi="Arial" w:cs="Arial"/>
        </w:rPr>
      </w:pPr>
      <w:r>
        <w:rPr>
          <w:rFonts w:ascii="Arial" w:hAnsi="Arial" w:cs="Arial"/>
        </w:rPr>
        <w:t xml:space="preserve">To investigate the business model of eSports industry in China </w:t>
      </w:r>
    </w:p>
    <w:p>
      <w:pPr>
        <w:pStyle w:val="50"/>
        <w:numPr>
          <w:ilvl w:val="0"/>
          <w:numId w:val="2"/>
        </w:numPr>
        <w:spacing w:before="156" w:beforeLines="50" w:after="312" w:afterLines="100" w:line="360" w:lineRule="auto"/>
        <w:ind w:firstLineChars="0"/>
        <w:jc w:val="both"/>
        <w:rPr>
          <w:rFonts w:ascii="Arial" w:hAnsi="Arial" w:cs="Arial"/>
        </w:rPr>
      </w:pPr>
      <w:r>
        <w:rPr>
          <w:rFonts w:ascii="Arial" w:hAnsi="Arial" w:cs="Arial"/>
        </w:rPr>
        <w:t xml:space="preserve">To promote some actionable recommendations for eSports practitioners to improve the development of the industry. </w:t>
      </w:r>
    </w:p>
    <w:p>
      <w:pPr>
        <w:pStyle w:val="3"/>
        <w:numPr>
          <w:ilvl w:val="1"/>
          <w:numId w:val="1"/>
        </w:numPr>
        <w:spacing w:before="156" w:beforeLines="50" w:after="312" w:afterLines="100" w:line="360" w:lineRule="auto"/>
        <w:jc w:val="both"/>
        <w:rPr>
          <w:rFonts w:ascii="Arial" w:hAnsi="Arial" w:cs="Arial"/>
        </w:rPr>
      </w:pPr>
      <w:bookmarkStart w:id="20" w:name="_Toc71635920"/>
      <w:bookmarkStart w:id="21" w:name="_Toc71634574"/>
      <w:r>
        <w:rPr>
          <w:rFonts w:ascii="Arial" w:hAnsi="Arial" w:cs="Arial"/>
        </w:rPr>
        <w:t>Dissertation structure</w:t>
      </w:r>
      <w:bookmarkEnd w:id="20"/>
      <w:bookmarkEnd w:id="21"/>
      <w:r>
        <w:rPr>
          <w:rFonts w:ascii="Arial" w:hAnsi="Arial" w:cs="Arial"/>
        </w:rPr>
        <w:t xml:space="preserve"> </w:t>
      </w:r>
    </w:p>
    <w:p>
      <w:pPr>
        <w:spacing w:before="156" w:beforeLines="50" w:after="312" w:afterLines="100" w:line="360" w:lineRule="auto"/>
        <w:jc w:val="both"/>
        <w:rPr>
          <w:rFonts w:ascii="Arial" w:hAnsi="Arial" w:cs="Arial"/>
        </w:rPr>
      </w:pPr>
      <w:r>
        <w:rPr>
          <w:rFonts w:ascii="Arial" w:hAnsi="Arial" w:cs="Arial"/>
        </w:rPr>
        <w:t xml:space="preserve">Chapter one, which has been presented above, set the basic tones for the present dissertation. the research significance, research question, research aim, and objectives has been illustrated a long with the considerations on the research context and scope. </w:t>
      </w:r>
    </w:p>
    <w:p>
      <w:pPr>
        <w:spacing w:before="156" w:beforeLines="50" w:after="312" w:afterLines="100" w:line="360" w:lineRule="auto"/>
        <w:jc w:val="both"/>
        <w:rPr>
          <w:rFonts w:ascii="Arial" w:hAnsi="Arial" w:cs="Arial"/>
        </w:rPr>
      </w:pPr>
      <w:r>
        <w:rPr>
          <w:rFonts w:ascii="Arial" w:hAnsi="Arial" w:cs="Arial"/>
        </w:rPr>
        <w:t xml:space="preserve">Chapter two presents the explanation of the relevant concepts involved in the present research, as well as the relevant theoretical framework – business model at the basis of the research. </w:t>
      </w:r>
    </w:p>
    <w:p>
      <w:pPr>
        <w:spacing w:before="156" w:beforeLines="50" w:after="312" w:afterLines="100" w:line="360" w:lineRule="auto"/>
        <w:jc w:val="both"/>
        <w:rPr>
          <w:rFonts w:ascii="Arial" w:hAnsi="Arial" w:cs="Arial"/>
        </w:rPr>
      </w:pPr>
      <w:r>
        <w:rPr>
          <w:rFonts w:ascii="Arial" w:hAnsi="Arial" w:cs="Arial"/>
        </w:rPr>
        <w:t xml:space="preserve">Chapter three provides an extensive description of how the research has been performed, which detailed consideration on the philosophical stance, research design, data collection, etc. </w:t>
      </w:r>
    </w:p>
    <w:p>
      <w:pPr>
        <w:spacing w:before="156" w:beforeLines="50" w:after="312" w:afterLines="100" w:line="360" w:lineRule="auto"/>
        <w:jc w:val="both"/>
        <w:rPr>
          <w:rFonts w:ascii="Arial" w:hAnsi="Arial" w:cs="Arial"/>
        </w:rPr>
      </w:pPr>
      <w:r>
        <w:rPr>
          <w:rFonts w:ascii="Arial" w:hAnsi="Arial" w:cs="Arial"/>
        </w:rPr>
        <w:t xml:space="preserve">Chapter four affords the detailed analysis of the data collected from the secondary sources. in this chapter, empirical facts will be related to the theoretical framework presented in the chapter two. </w:t>
      </w:r>
    </w:p>
    <w:p>
      <w:pPr>
        <w:spacing w:before="156" w:beforeLines="50" w:after="312" w:afterLines="100" w:line="360" w:lineRule="auto"/>
        <w:jc w:val="both"/>
        <w:rPr>
          <w:rFonts w:ascii="Arial" w:hAnsi="Arial" w:cs="Arial"/>
        </w:rPr>
      </w:pPr>
      <w:r>
        <w:rPr>
          <w:rFonts w:ascii="Arial" w:hAnsi="Arial" w:cs="Arial"/>
        </w:rPr>
        <w:t xml:space="preserve">Chapter five provides an overall conclusion to answer the research question, and also some practical recommendations for the eSports industry in China. </w:t>
      </w:r>
    </w:p>
    <w:p>
      <w:pPr>
        <w:spacing w:before="156" w:beforeLines="50" w:after="312" w:afterLines="100" w:line="360" w:lineRule="auto"/>
        <w:jc w:val="both"/>
        <w:rPr>
          <w:rFonts w:ascii="Arial" w:hAnsi="Arial" w:cs="Arial"/>
        </w:rPr>
      </w:pPr>
    </w:p>
    <w:p>
      <w:pPr>
        <w:spacing w:before="156" w:beforeLines="50" w:after="312" w:afterLines="100" w:line="360" w:lineRule="auto"/>
        <w:jc w:val="both"/>
        <w:rPr>
          <w:rFonts w:ascii="Arial" w:hAnsi="Arial" w:cs="Arial"/>
        </w:rPr>
      </w:pPr>
    </w:p>
    <w:p>
      <w:pPr>
        <w:spacing w:before="156" w:beforeLines="50" w:after="312" w:afterLines="100" w:line="360" w:lineRule="auto"/>
        <w:jc w:val="both"/>
        <w:rPr>
          <w:rFonts w:ascii="Arial" w:hAnsi="Arial" w:cs="Arial"/>
        </w:rPr>
      </w:pPr>
    </w:p>
    <w:p>
      <w:pPr>
        <w:spacing w:before="156" w:beforeLines="50" w:after="312" w:afterLines="100" w:line="360" w:lineRule="auto"/>
        <w:rPr>
          <w:rFonts w:ascii="Arial" w:hAnsi="Arial" w:cs="Arial"/>
        </w:rPr>
      </w:pPr>
    </w:p>
    <w:p>
      <w:pPr>
        <w:pStyle w:val="2"/>
        <w:spacing w:before="100" w:beforeAutospacing="1" w:after="100" w:afterAutospacing="1" w:line="360" w:lineRule="auto"/>
        <w:jc w:val="both"/>
        <w:rPr>
          <w:rFonts w:ascii="Arial" w:hAnsi="Arial" w:cs="Arial"/>
        </w:rPr>
      </w:pPr>
      <w:bookmarkStart w:id="22" w:name="_Toc71634575"/>
      <w:bookmarkStart w:id="23" w:name="_Toc71635921"/>
      <w:r>
        <w:rPr>
          <w:rFonts w:ascii="Arial" w:hAnsi="Arial" w:cs="Arial"/>
        </w:rPr>
        <w:t>Chapter 2. Literature review</w:t>
      </w:r>
      <w:bookmarkEnd w:id="22"/>
      <w:bookmarkEnd w:id="23"/>
      <w:r>
        <w:rPr>
          <w:rFonts w:ascii="Arial" w:hAnsi="Arial" w:cs="Arial"/>
        </w:rPr>
        <w:t xml:space="preserve"> </w:t>
      </w:r>
    </w:p>
    <w:p>
      <w:pPr>
        <w:pStyle w:val="3"/>
        <w:spacing w:before="100" w:beforeAutospacing="1" w:after="100" w:afterAutospacing="1" w:line="360" w:lineRule="auto"/>
        <w:jc w:val="both"/>
        <w:rPr>
          <w:rFonts w:ascii="Arial" w:hAnsi="Arial" w:cs="Arial"/>
        </w:rPr>
      </w:pPr>
      <w:bookmarkStart w:id="24" w:name="_Toc71634576"/>
      <w:bookmarkStart w:id="25" w:name="_Toc71635922"/>
      <w:r>
        <w:rPr>
          <w:rFonts w:ascii="Arial" w:hAnsi="Arial" w:cs="Arial"/>
        </w:rPr>
        <w:t>2.1 Introduction</w:t>
      </w:r>
      <w:bookmarkEnd w:id="24"/>
      <w:bookmarkEnd w:id="25"/>
      <w:r>
        <w:rPr>
          <w:rFonts w:ascii="Arial" w:hAnsi="Arial" w:cs="Arial"/>
        </w:rPr>
        <w:t xml:space="preserve"> </w:t>
      </w:r>
    </w:p>
    <w:p>
      <w:pPr>
        <w:spacing w:before="100" w:beforeAutospacing="1" w:after="100" w:afterAutospacing="1" w:line="360" w:lineRule="auto"/>
        <w:jc w:val="both"/>
        <w:rPr>
          <w:rFonts w:ascii="Arial" w:hAnsi="Arial" w:cs="Arial"/>
        </w:rPr>
      </w:pPr>
      <w:r>
        <w:rPr>
          <w:rFonts w:ascii="Arial" w:hAnsi="Arial" w:cs="Arial"/>
        </w:rPr>
        <w:t xml:space="preserve">The purpose of this chapter is to deliver a comprehensive and critical review on the current academic literature on the conceptualization of eSports and business models, with particular focus on the eSports business models. The chapter will help with the completion of the first and second objectives of the present study. </w:t>
      </w:r>
    </w:p>
    <w:p>
      <w:pPr>
        <w:spacing w:before="100" w:beforeAutospacing="1" w:after="100" w:afterAutospacing="1" w:line="360" w:lineRule="auto"/>
        <w:jc w:val="both"/>
        <w:rPr>
          <w:rFonts w:ascii="Arial" w:hAnsi="Arial" w:cs="Arial"/>
        </w:rPr>
      </w:pPr>
      <w:r>
        <w:rPr>
          <w:rFonts w:ascii="Arial" w:hAnsi="Arial" w:cs="Arial"/>
        </w:rPr>
        <w:t xml:space="preserve">The review below is based on the academic sources fetched through Google Scholar and the school library, key search inputs included: ‘eSports’, ‘e-games’, ‘business model’, etc. </w:t>
      </w:r>
    </w:p>
    <w:p>
      <w:pPr>
        <w:pStyle w:val="3"/>
        <w:spacing w:before="100" w:beforeAutospacing="1" w:after="100" w:afterAutospacing="1" w:line="360" w:lineRule="auto"/>
        <w:jc w:val="both"/>
        <w:rPr>
          <w:rFonts w:ascii="Arial" w:hAnsi="Arial" w:cs="Arial"/>
        </w:rPr>
      </w:pPr>
      <w:bookmarkStart w:id="26" w:name="_Toc71635923"/>
      <w:bookmarkStart w:id="27" w:name="_Toc71634577"/>
      <w:r>
        <w:rPr>
          <w:rFonts w:ascii="Arial" w:hAnsi="Arial" w:cs="Arial"/>
        </w:rPr>
        <w:t>2.2 Defining eSports</w:t>
      </w:r>
      <w:bookmarkEnd w:id="26"/>
      <w:bookmarkEnd w:id="27"/>
      <w:r>
        <w:rPr>
          <w:rFonts w:ascii="Arial" w:hAnsi="Arial" w:cs="Arial"/>
        </w:rPr>
        <w:t xml:space="preserve"> </w:t>
      </w:r>
    </w:p>
    <w:p>
      <w:pPr>
        <w:pStyle w:val="4"/>
        <w:spacing w:before="100" w:beforeAutospacing="1" w:after="100" w:afterAutospacing="1" w:line="360" w:lineRule="auto"/>
        <w:rPr>
          <w:rFonts w:ascii="Arial" w:hAnsi="Arial" w:cs="Arial"/>
        </w:rPr>
      </w:pPr>
      <w:bookmarkStart w:id="28" w:name="_Toc71635924"/>
      <w:bookmarkStart w:id="29" w:name="_Toc71634578"/>
      <w:r>
        <w:rPr>
          <w:rFonts w:ascii="Arial" w:hAnsi="Arial" w:cs="Arial"/>
        </w:rPr>
        <w:t>2.2.1 The definition of esports</w:t>
      </w:r>
      <w:bookmarkEnd w:id="28"/>
      <w:bookmarkEnd w:id="29"/>
      <w:r>
        <w:rPr>
          <w:rFonts w:ascii="Arial" w:hAnsi="Arial" w:cs="Arial"/>
        </w:rPr>
        <w:t xml:space="preserve"> </w:t>
      </w:r>
    </w:p>
    <w:p>
      <w:pPr>
        <w:spacing w:before="100" w:beforeAutospacing="1" w:after="100" w:afterAutospacing="1" w:line="360" w:lineRule="auto"/>
        <w:jc w:val="both"/>
        <w:rPr>
          <w:rFonts w:ascii="Arial" w:hAnsi="Arial" w:cs="Arial"/>
        </w:rPr>
      </w:pPr>
      <w:r>
        <w:rPr>
          <w:rFonts w:ascii="Arial" w:hAnsi="Arial" w:cs="Arial"/>
        </w:rPr>
        <w:t>The study of the concept of eSports involves various theoretical issues, but these should not be empty and abstract, but can provide different paths to take to realize the knowability and cognition of the concept of eSports. Although there are various perceptions and understandings of the concept of eSports, and no unified and universally acceptable views have been formed, a careful review of the sources and veins of different claims can be found in the following aspects.</w:t>
      </w:r>
    </w:p>
    <w:p>
      <w:pPr>
        <w:spacing w:before="100" w:beforeAutospacing="1" w:after="100" w:afterAutospacing="1" w:line="360" w:lineRule="auto"/>
        <w:jc w:val="both"/>
        <w:rPr>
          <w:rFonts w:ascii="Arial" w:hAnsi="Arial" w:cs="Arial"/>
        </w:rPr>
      </w:pPr>
      <w:r>
        <w:rPr>
          <w:rFonts w:ascii="Arial" w:hAnsi="Arial" w:cs="Arial"/>
        </w:rPr>
        <w:t xml:space="preserve">On the one hand, the eSports can be defined through its forms. eSports was defined as through using the information technology as the basis, the software and hardware devices and equipment as medium, competing in the virtual environment under the rules of sports competition </w:t>
      </w:r>
      <w:r>
        <w:rPr>
          <w:rFonts w:ascii="Arial" w:hAnsi="Arial" w:cs="Arial"/>
        </w:rPr>
        <w:fldChar w:fldCharType="begin" w:fldLock="1"/>
      </w:r>
      <w:r>
        <w:rPr>
          <w:rFonts w:ascii="Arial" w:hAnsi="Arial" w:cs="Arial"/>
        </w:rPr>
        <w:instrText xml:space="preserve">ADDIN CSL_CITATION {"citationItems":[{"id":"ITEM-1","itemData":{"ISSN":"1555-4120","author":[{"dropping-particle":"","family":"Reitman","given":"Jason G","non-dropping-particle":"","parse-names":false,"suffix":""},{"dropping-particle":"","family":"Anderson-Coto","given":"Maria J","non-dropping-particle":"","parse-names":false,"suffix":""},{"dropping-particle":"","family":"Wu","given":"Minerva","non-dropping-particle":"","parse-names":false,"suffix":""},{"dropping-particle":"","family":"Lee","given":"Je Seok","non-dropping-particle":"","parse-names":false,"suffix":""},{"dropping-particle":"","family":"Steinkuehler","given":"Constance","non-dropping-particle":"","parse-names":false,"suffix":""}],"container-title":"Games and Culture","id":"ITEM-1","issue":"1","issued":{"date-parts":[["2020"]]},"page":"32-50","publisher":"Sage Publications Sage CA: Los Angeles, CA","title":"Esports research: A literature review","type":"article-journal","volume":"15"},"uris":["http://www.mendeley.com/documents/?uuid=46a437c1-13e1-4708-ba00-419578b20df7"]},{"id":"ITEM-2","itemData":{"ISSN":"1441-3523","author":[{"dropping-particle":"","family":"Hallmann","given":"Kirstin","non-dropping-particle":"","parse-names":false,"suffix":""},{"dropping-particle":"","family":"Giel","given":"Thomas","non-dropping-particle":"","parse-names":false,"suffix":""}],"container-title":"Sport management review","id":"ITEM-2","issue":"1","issued":{"date-parts":[["2018"]]},"page":"14-20","publisher":"Elsevier","title":"eSports</w:instrText>
      </w:r>
      <w:r>
        <w:rPr>
          <w:rFonts w:ascii="Malgun Gothic" w:hAnsi="Malgun Gothic" w:cs="Malgun Gothic"/>
        </w:rPr>
        <w:instrText xml:space="preserve">�</w:instrText>
      </w:r>
      <w:r>
        <w:rPr>
          <w:rFonts w:ascii="Arial" w:hAnsi="Arial" w:cs="Arial"/>
        </w:rPr>
        <w:instrText xml:space="preserve">CCompetitive sports or recreational activity?","type":"article-journal","volume":"21"},"uris":["http://www.mendeley.com/documents/?uuid=32cdc22e-5729-409e-8108-c27937c206b7"]}],"mendeley":{"formattedCitation":"(Hallmann and Giel, 2018; Reitman &lt;i&gt;et al.&lt;/i&gt;, 2020)","plainTextFormattedCitation":"(Hallmann and Giel, 2018; Reitman et al., 2020)","previouslyFormattedCitation":"(Hallmann and Giel, 2018; Reitman &lt;i&gt;et al.&lt;/i&gt;, 2020)"},"properties":{"noteIndex":0},"schema":"https://github.com/citation-style-language/schema/raw/master/csl-citation.json"}</w:instrText>
      </w:r>
      <w:r>
        <w:rPr>
          <w:rFonts w:ascii="Arial" w:hAnsi="Arial" w:cs="Arial"/>
        </w:rPr>
        <w:fldChar w:fldCharType="separate"/>
      </w:r>
      <w:r>
        <w:rPr>
          <w:rFonts w:ascii="Arial" w:hAnsi="Arial" w:cs="Arial"/>
        </w:rPr>
        <w:t xml:space="preserve">(Hallmann and Giel, 2018; Reitman </w:t>
      </w:r>
      <w:r>
        <w:rPr>
          <w:rFonts w:ascii="Arial" w:hAnsi="Arial" w:cs="Arial"/>
          <w:i/>
        </w:rPr>
        <w:t>et al.</w:t>
      </w:r>
      <w:r>
        <w:rPr>
          <w:rFonts w:ascii="Arial" w:hAnsi="Arial" w:cs="Arial"/>
        </w:rPr>
        <w:t>, 2020)</w:t>
      </w:r>
      <w:r>
        <w:rPr>
          <w:rFonts w:ascii="Arial" w:hAnsi="Arial" w:cs="Arial"/>
        </w:rPr>
        <w:fldChar w:fldCharType="end"/>
      </w:r>
      <w:r>
        <w:rPr>
          <w:rFonts w:ascii="Arial" w:hAnsi="Arial" w:cs="Arial"/>
        </w:rPr>
        <w:t xml:space="preserve">. On the basis of affirmation and recognition, it is pointed out that eSports as a sport, like other sports carried out, can exercise and improve the participants' thinking ability, reaction ability, coordination ability, willpower and team spirit, and the ability to adapt to the modern information technology, and promote the overall development and enhancement of human </w:t>
      </w:r>
      <w:r>
        <w:rPr>
          <w:rFonts w:ascii="Arial" w:hAnsi="Arial" w:cs="Arial"/>
        </w:rPr>
        <w:fldChar w:fldCharType="begin" w:fldLock="1"/>
      </w:r>
      <w:r>
        <w:rPr>
          <w:rFonts w:ascii="Arial" w:hAnsi="Arial" w:cs="Arial"/>
        </w:rPr>
        <w:instrText xml:space="preserve">ADDIN CSL_CITATION {"citationItems":[{"id":"ITEM-1","itemData":{"ISSN":"1930-4595","author":[{"dropping-particle":"","family":"Lee","given":"Donghun","non-dropping-particle":"","parse-names":false,"suffix":""},{"dropping-particle":"","family":"Schoenstedt","given":"Linda J","non-dropping-particle":"","parse-names":false,"suffix":""}],"container-title":"ICHPER-SD Journal Of Research","id":"ITEM-1","issue":"2","issued":{"date-parts":[["2011"]]},"page":"39-44","publisher":"ERIC","title":"Comparison of eSports and traditional sports consumption motives.","type":"article-journal","volume":"6"},"uris":["http://www.mendeley.com/documents/?uuid=971c12aa-0af4-45de-b827-5213241c33f8"]}],"mendeley":{"formattedCitation":"(Lee and Schoenstedt, 2011)","plainTextFormattedCitation":"(Lee and Schoenstedt, 2011)","previouslyFormattedCitation":"(Lee and Schoenstedt, 2011)"},"properties":{"noteIndex":0},"schema":"https://github.com/citation-style-language/schema/raw/master/csl-citation.json"}</w:instrText>
      </w:r>
      <w:r>
        <w:rPr>
          <w:rFonts w:ascii="Arial" w:hAnsi="Arial" w:cs="Arial"/>
        </w:rPr>
        <w:fldChar w:fldCharType="separate"/>
      </w:r>
      <w:r>
        <w:rPr>
          <w:rFonts w:ascii="Arial" w:hAnsi="Arial" w:cs="Arial"/>
        </w:rPr>
        <w:t>(Lee and Schoenstedt, 2011)</w:t>
      </w:r>
      <w:r>
        <w:rPr>
          <w:rFonts w:ascii="Arial" w:hAnsi="Arial" w:cs="Arial"/>
        </w:rPr>
        <w:fldChar w:fldCharType="end"/>
      </w:r>
      <w:r>
        <w:rPr>
          <w:rFonts w:ascii="Arial" w:hAnsi="Arial" w:cs="Arial"/>
        </w:rPr>
        <w:t xml:space="preserve">. Another school of thoughts think e-Sports can be defined through its origins. E-sports can be interchangeable used as e-games in this regard. From the perspective of the historical inheritance, continuity and development of eSports games, it is proposed that eSports games have their roots in electronic games, and it is believed that eSports were born together with electronic games at the beginning of their creation </w:t>
      </w:r>
      <w:r>
        <w:rPr>
          <w:rFonts w:ascii="Arial" w:hAnsi="Arial" w:cs="Arial"/>
        </w:rPr>
        <w:fldChar w:fldCharType="begin" w:fldLock="1"/>
      </w:r>
      <w:r>
        <w:rPr>
          <w:rFonts w:ascii="Arial" w:hAnsi="Arial" w:cs="Arial"/>
        </w:rPr>
        <w:instrText xml:space="preserve">ADDIN CSL_CITATION {"citationItems":[{"id":"ITEM-1","itemData":{"ISSN":"1555-4120","author":[{"dropping-particle":"","family":"Reitman","given":"Jason G","non-dropping-particle":"","parse-names":false,"suffix":""},{"dropping-particle":"","family":"Anderson-Coto","given":"Maria J","non-dropping-particle":"","parse-names":false,"suffix":""},{"dropping-particle":"","family":"Wu","given":"Minerva","non-dropping-particle":"","parse-names":false,"suffix":""},{"dropping-particle":"","family":"Lee","given":"Je Seok","non-dropping-particle":"","parse-names":false,"suffix":""},{"dropping-particle":"","family":"Steinkuehler","given":"Constance","non-dropping-particle":"","parse-names":false,"suffix":""}],"container-title":"Games and Culture","id":"ITEM-1","issue":"1","issued":{"date-parts":[["2020"]]},"page":"32-50","publisher":"Sage Publications Sage CA: Los Angeles, CA","title":"Esports research: A literature review","type":"article-journal","volume":"15"},"uris":["http://www.mendeley.com/documents/?uuid=46a437c1-13e1-4708-ba00-419578b20df7"]}],"mendeley":{"formattedCitation":"(Reitman &lt;i&gt;et al.&lt;/i&gt;, 2020)","plainTextFormattedCitation":"(Reitman et al., 2020)","previouslyFormattedCitation":"(Reitman &lt;i&gt;et al.&lt;/i&gt;, 2020)"},"properties":{"noteIndex":0},"schema":"https://github.com/citation-style-language/schema/raw/master/csl-citation.json"}</w:instrText>
      </w:r>
      <w:r>
        <w:rPr>
          <w:rFonts w:ascii="Arial" w:hAnsi="Arial" w:cs="Arial"/>
        </w:rPr>
        <w:fldChar w:fldCharType="separate"/>
      </w:r>
      <w:r>
        <w:rPr>
          <w:rFonts w:ascii="Arial" w:hAnsi="Arial" w:cs="Arial"/>
        </w:rPr>
        <w:t xml:space="preserve">(Reitman </w:t>
      </w:r>
      <w:r>
        <w:rPr>
          <w:rFonts w:ascii="Arial" w:hAnsi="Arial" w:cs="Arial"/>
          <w:i/>
        </w:rPr>
        <w:t>et al.</w:t>
      </w:r>
      <w:r>
        <w:rPr>
          <w:rFonts w:ascii="Arial" w:hAnsi="Arial" w:cs="Arial"/>
        </w:rPr>
        <w:t>, 2020)</w:t>
      </w:r>
      <w:r>
        <w:rPr>
          <w:rFonts w:ascii="Arial" w:hAnsi="Arial" w:cs="Arial"/>
        </w:rPr>
        <w:fldChar w:fldCharType="end"/>
      </w:r>
      <w:r>
        <w:rPr>
          <w:rFonts w:ascii="Arial" w:hAnsi="Arial" w:cs="Arial"/>
        </w:rPr>
        <w:t xml:space="preserve">. In the nineties, the Russian chess world champion Kapaslov and the computer "deep blue" between the two chess "man-machine war", is considered by many people to be the pioneer of eSports </w:t>
      </w:r>
      <w:r>
        <w:rPr>
          <w:rFonts w:ascii="Arial" w:hAnsi="Arial" w:cs="Arial"/>
        </w:rPr>
        <w:fldChar w:fldCharType="begin" w:fldLock="1"/>
      </w:r>
      <w:r>
        <w:rPr>
          <w:rFonts w:ascii="Arial" w:hAnsi="Arial" w:cs="Arial"/>
        </w:rPr>
        <w:instrText xml:space="preserve">ADDIN CSL_CITATION {"citationItems":[{"id":"ITEM-1","itemData":{"ISSN":"0148-2963","author":[{"dropping-particle":"","family":"Seo","given":"Yuri","non-dropping-particle":"","parse-names":false,"suffix":""}],"container-title":"Journal of Business Research","id":"ITEM-1","issue":"1","issued":{"date-parts":[["2016"]]},"page":"264-272","publisher":"Elsevier","title":"Professionalized consumption and identity transformations in the field of eSports","type":"article-journal","volume":"69"},"uris":["http://www.mendeley.com/documents/?uuid=66ea17c8-aac4-4f1a-83f8-e24053a9f366"]}],"mendeley":{"formattedCitation":"(Seo, 2016)","plainTextFormattedCitation":"(Seo, 2016)","previouslyFormattedCitation":"(Seo, 2016)"},"properties":{"noteIndex":0},"schema":"https://github.com/citation-style-language/schema/raw/master/csl-citation.json"}</w:instrText>
      </w:r>
      <w:r>
        <w:rPr>
          <w:rFonts w:ascii="Arial" w:hAnsi="Arial" w:cs="Arial"/>
        </w:rPr>
        <w:fldChar w:fldCharType="separate"/>
      </w:r>
      <w:r>
        <w:rPr>
          <w:rFonts w:ascii="Arial" w:hAnsi="Arial" w:cs="Arial"/>
        </w:rPr>
        <w:t>(Seo, 2016)</w:t>
      </w:r>
      <w:r>
        <w:rPr>
          <w:rFonts w:ascii="Arial" w:hAnsi="Arial" w:cs="Arial"/>
        </w:rPr>
        <w:fldChar w:fldCharType="end"/>
      </w:r>
      <w:r>
        <w:rPr>
          <w:rFonts w:ascii="Arial" w:hAnsi="Arial" w:cs="Arial"/>
        </w:rPr>
        <w:t xml:space="preserve">. Although in today's perception, purely human-machine games no longer belong to the category of eSports, but the "human versus human" in eSports is the development and advancement based on this kind of electronic games </w:t>
      </w:r>
      <w:r>
        <w:rPr>
          <w:rFonts w:ascii="Arial" w:hAnsi="Arial" w:cs="Arial"/>
        </w:rPr>
        <w:fldChar w:fldCharType="begin" w:fldLock="1"/>
      </w:r>
      <w:r>
        <w:rPr>
          <w:rFonts w:ascii="Arial" w:hAnsi="Arial" w:cs="Arial"/>
        </w:rPr>
        <w:instrText xml:space="preserve">ADDIN CSL_CITATION {"citationItems":[{"id":"ITEM-1","itemData":{"ISSN":"0033-6297","author":[{"dropping-particle":"","family":"Jenny","given":"Seth E","non-dropping-particle":"","parse-names":false,"suffix":""},{"dropping-particle":"","family":"Manning","given":"R Douglas","non-dropping-particle":"","parse-names":false,"suffix":""},{"dropping-particle":"","family":"Keiper","given":"Margaret C","non-dropping-particle":"","parse-names":false,"suffix":""},{"dropping-particle":"","family":"Olrich","given":"Tracy W","non-dropping-particle":"","parse-names":false,"suffix":""}],"container-title":"Quest","id":"ITEM-1","issue":"1","issued":{"date-parts":[["2017"]]},"page":"1-18","publisher":"Taylor &amp; Francis","title":"Virtual (ly) athletes: where eSports fit within the definition of </w:instrText>
      </w:r>
      <w:r>
        <w:rPr>
          <w:rFonts w:ascii="Malgun Gothic" w:hAnsi="Malgun Gothic" w:cs="Malgun Gothic"/>
        </w:rPr>
        <w:instrText xml:space="preserve">��</w:instrText>
      </w:r>
      <w:r>
        <w:rPr>
          <w:rFonts w:ascii="Arial" w:hAnsi="Arial" w:cs="Arial"/>
        </w:rPr>
        <w:instrText xml:space="preserve">Sport</w:instrText>
      </w:r>
      <w:r>
        <w:rPr>
          <w:rFonts w:ascii="Malgun Gothic" w:hAnsi="Malgun Gothic" w:cs="Malgun Gothic"/>
        </w:rPr>
        <w:instrText xml:space="preserve">��</w:instrText>
      </w:r>
      <w:r>
        <w:rPr>
          <w:rFonts w:ascii="Arial" w:hAnsi="Arial" w:cs="Arial"/>
        </w:rPr>
        <w:instrText xml:space="preserve">","type":"article-journal","volume":"69"},"uris":["http://www.mendeley.com/documents/?uuid=19bbcca2-0342-4841-8ef0-400d22659db7"]}],"mendeley":{"formattedCitation":"(Jenny &lt;i&gt;et al.&lt;/i&gt;, 2017)","plainTextFormattedCitation":"(Jenny et al., 2017)","previouslyFormattedCitation":"(Jenny &lt;i&gt;et al.&lt;/i&gt;, 2017)"},"properties":{"noteIndex":0},"schema":"https://github.com/citation-style-language/schema/raw/master/csl-citation.json"}</w:instrText>
      </w:r>
      <w:r>
        <w:rPr>
          <w:rFonts w:ascii="Arial" w:hAnsi="Arial" w:cs="Arial"/>
        </w:rPr>
        <w:fldChar w:fldCharType="separate"/>
      </w:r>
      <w:r>
        <w:rPr>
          <w:rFonts w:ascii="Arial" w:hAnsi="Arial" w:cs="Arial"/>
        </w:rPr>
        <w:t xml:space="preserve">(Jenny </w:t>
      </w:r>
      <w:r>
        <w:rPr>
          <w:rFonts w:ascii="Arial" w:hAnsi="Arial" w:cs="Arial"/>
          <w:i/>
        </w:rPr>
        <w:t>et al.</w:t>
      </w:r>
      <w:r>
        <w:rPr>
          <w:rFonts w:ascii="Arial" w:hAnsi="Arial" w:cs="Arial"/>
        </w:rPr>
        <w:t>, 2017)</w:t>
      </w:r>
      <w:r>
        <w:rPr>
          <w:rFonts w:ascii="Arial" w:hAnsi="Arial" w:cs="Arial"/>
        </w:rPr>
        <w:fldChar w:fldCharType="end"/>
      </w:r>
      <w:r>
        <w:rPr>
          <w:rFonts w:ascii="Arial" w:hAnsi="Arial" w:cs="Arial"/>
        </w:rPr>
        <w:t xml:space="preserve">. Some scholars believe that eSports is driven by commercial interests, and that it only "partially adopts the rules of sports, and also has a tendency to professionalize and complicate itself, but this is not a sufficient reason for it to be classified as sports", and call for eSports to return to the essence of games </w:t>
      </w:r>
      <w:r>
        <w:rPr>
          <w:rFonts w:ascii="Arial" w:hAnsi="Arial" w:cs="Arial"/>
        </w:rPr>
        <w:fldChar w:fldCharType="begin" w:fldLock="1"/>
      </w:r>
      <w:r>
        <w:rPr>
          <w:rFonts w:ascii="Arial" w:hAnsi="Arial" w:cs="Arial"/>
        </w:rPr>
        <w:instrText xml:space="preserve">ADDIN CSL_CITATION {"citationItems":[{"id":"ITEM-1","itemData":{"author":[{"dropping-particle":"","family":"Kane","given":"Daniel","non-dropping-particle":"","parse-names":false,"suffix":""},{"dropping-particle":"","family":"Spradley","given":"Brandon D","non-dropping-particle":"","parse-names":false,"suffix":""}],"container-title":"Sport Journal","id":"ITEM-1","issued":{"date-parts":[["2017"]]},"page":"1-9","title":"Recognizing ESports as a sport","type":"article-journal","volume":"20"},"uris":["http://www.mendeley.com/documents/?uuid=fa90ea5b-503d-4ba4-b654-e83e4ec23204"]},{"id":"ITEM-2","itemData":{"author":[{"dropping-particle":"","family":"Jenny","given":"Seth E","non-dropping-particle":"","parse-names":false,"suffix":""},{"dropping-particle":"","family":"Keiper","given":"Margaret C","non-dropping-particle":"","parse-names":false,"suffix":""},{"dropping-particle":"","family":"Taylor","given":"Blake J","non-dropping-particle":"","parse-names":false,"suffix":""},{"dropping-particle":"","family":"Williams","given":"Dylan P","non-dropping-particle":"","parse-names":false,"suffix":""},{"dropping-particle":"","family":"Gawrysiak","given":"Joey","non-dropping-particle":"","parse-names":false,"suffix":""},{"dropping-particle":"","family":"Manning","given":"R Douglas","non-dropping-particle":"","parse-names":false,"suffix":""},{"dropping-particle":"","family":"Tutka","given":"Patrick M","non-dropping-particle":"","parse-names":false,"suffix":""}],"container-title":"Journal of Applied Sport Management","id":"ITEM-2","issue":"1","issued":{"date-parts":[["2018"]]},"page":"8","title":"eSports venues: A new sport business opportunity","type":"article-journal","volume":"10"},"uris":["http://www.mendeley.com/documents/?uuid=03d658f2-300c-4fac-a6ff-95be4b7cad63"]}],"mendeley":{"formattedCitation":"(Kane and Spradley, 2017; Jenny &lt;i&gt;et al.&lt;/i&gt;, 2018)","plainTextFormattedCitation":"(Kane and Spradley, 2017; Jenny et al., 2018)","previouslyFormattedCitation":"(Kane and Spradley, 2017; Jenny &lt;i&gt;et al.&lt;/i&gt;, 2018)"},"properties":{"noteIndex":0},"schema":"https://github.com/citation-style-language/schema/raw/master/csl-citation.json"}</w:instrText>
      </w:r>
      <w:r>
        <w:rPr>
          <w:rFonts w:ascii="Arial" w:hAnsi="Arial" w:cs="Arial"/>
        </w:rPr>
        <w:fldChar w:fldCharType="separate"/>
      </w:r>
      <w:r>
        <w:rPr>
          <w:rFonts w:ascii="Arial" w:hAnsi="Arial" w:cs="Arial"/>
        </w:rPr>
        <w:t xml:space="preserve">(Kane and Spradley, 2017; Jenny </w:t>
      </w:r>
      <w:r>
        <w:rPr>
          <w:rFonts w:ascii="Arial" w:hAnsi="Arial" w:cs="Arial"/>
          <w:i/>
        </w:rPr>
        <w:t>et al.</w:t>
      </w:r>
      <w:r>
        <w:rPr>
          <w:rFonts w:ascii="Arial" w:hAnsi="Arial" w:cs="Arial"/>
        </w:rPr>
        <w:t>, 2018)</w:t>
      </w:r>
      <w:r>
        <w:rPr>
          <w:rFonts w:ascii="Arial" w:hAnsi="Arial" w:cs="Arial"/>
        </w:rPr>
        <w:fldChar w:fldCharType="end"/>
      </w:r>
      <w:r>
        <w:rPr>
          <w:rFonts w:ascii="Arial" w:hAnsi="Arial" w:cs="Arial"/>
        </w:rPr>
        <w:t>.</w:t>
      </w:r>
    </w:p>
    <w:p>
      <w:pPr>
        <w:pStyle w:val="4"/>
        <w:spacing w:before="100" w:beforeAutospacing="1" w:after="100" w:afterAutospacing="1" w:line="360" w:lineRule="auto"/>
        <w:rPr>
          <w:rFonts w:ascii="Arial" w:hAnsi="Arial" w:cs="Arial"/>
        </w:rPr>
      </w:pPr>
      <w:bookmarkStart w:id="30" w:name="_Toc71634579"/>
      <w:bookmarkStart w:id="31" w:name="_Toc71635925"/>
      <w:r>
        <w:rPr>
          <w:rFonts w:ascii="Arial" w:hAnsi="Arial" w:cs="Arial"/>
        </w:rPr>
        <w:t>2.2.2 Features of eSports</w:t>
      </w:r>
      <w:bookmarkEnd w:id="30"/>
      <w:bookmarkEnd w:id="31"/>
    </w:p>
    <w:p>
      <w:pPr>
        <w:spacing w:before="100" w:beforeAutospacing="1" w:after="100" w:afterAutospacing="1" w:line="360" w:lineRule="auto"/>
        <w:jc w:val="both"/>
        <w:rPr>
          <w:rFonts w:ascii="Arial" w:hAnsi="Arial" w:cs="Arial"/>
        </w:rPr>
      </w:pPr>
      <w:r>
        <w:rPr>
          <w:rFonts w:ascii="Arial" w:hAnsi="Arial" w:cs="Arial"/>
        </w:rPr>
        <w:t xml:space="preserve">Besides the definition, some scholars try to identify the distinct features of eSports. E-sports has the characteristics of culture. On the one hand, most eSports games are designed based on storytelling logic, which inspired by the essential historical events, myths and legends, folk tales, science fictions and other cultural themes as the exposition of game backgrounds </w:t>
      </w:r>
      <w:r>
        <w:rPr>
          <w:rFonts w:ascii="Arial" w:hAnsi="Arial" w:cs="Arial"/>
        </w:rPr>
        <w:fldChar w:fldCharType="begin" w:fldLock="1"/>
      </w:r>
      <w:r>
        <w:rPr>
          <w:rFonts w:ascii="Arial" w:hAnsi="Arial" w:cs="Arial"/>
        </w:rPr>
        <w:instrText xml:space="preserve">ADDIN CSL_CITATION {"citationItems":[{"id":"ITEM-1","itemData":{"ISSN":"1727-7051","author":[{"dropping-particle":"","family":"Lokhman","given":"Natalia","non-dropping-particle":"","parse-names":false,"suffix":""},{"dropping-particle":"","family":"Karashchuk","given":"Oksana","non-dropping-particle":"","parse-names":false,"suffix":""},{"dropping-particle":"","family":"Kornilova","given":"Olena","non-dropping-particle":"","parse-names":false,"suffix":""}],"container-title":"Problems and Perspectives in Management","id":"ITEM-1","issue":"1","issued":{"date-parts":[["2018"]]},"page":"207-213","publisher":"Limited Liability Company\" Consulting Publishing Company\" Business Perspectives\"","title":"Analysis of eSports as a commercial activity","type":"article-journal","volume":"16"},"uris":["http://www.mendeley.com/documents/?uuid=0f40e129-dd3b-4d55-a461-35d73e5d913d"]}],"mendeley":{"formattedCitation":"(Lokhman, Karashchuk and Kornilova, 2018)","plainTextFormattedCitation":"(Lokhman, Karashchuk and Kornilova, 2018)","previouslyFormattedCitation":"(Lokhman, Karashchuk and Kornilova, 2018)"},"properties":{"noteIndex":0},"schema":"https://github.com/citation-style-language/schema/raw/master/csl-citation.json"}</w:instrText>
      </w:r>
      <w:r>
        <w:rPr>
          <w:rFonts w:ascii="Arial" w:hAnsi="Arial" w:cs="Arial"/>
        </w:rPr>
        <w:fldChar w:fldCharType="separate"/>
      </w:r>
      <w:r>
        <w:rPr>
          <w:rFonts w:ascii="Arial" w:hAnsi="Arial" w:cs="Arial"/>
        </w:rPr>
        <w:t>(Lokhman, Karashchuk and Kornilova, 2018)</w:t>
      </w:r>
      <w:r>
        <w:rPr>
          <w:rFonts w:ascii="Arial" w:hAnsi="Arial" w:cs="Arial"/>
        </w:rPr>
        <w:fldChar w:fldCharType="end"/>
      </w:r>
      <w:r>
        <w:rPr>
          <w:rFonts w:ascii="Arial" w:hAnsi="Arial" w:cs="Arial"/>
        </w:rPr>
        <w:t xml:space="preserve">. The "scenario reproduction" allows people participating in eSports to have a more intuitive cultural experience. At the same time, eSports have the characteristics of virtualness. From the technical point of view, all kinds of things in eSports are just the prototype of real society, with computers and other electronic devices as the window, adding many elements that are difficult to reach in real life or far beyond reality, and even the vision and imagination of the unknown world or future society </w:t>
      </w:r>
      <w:r>
        <w:rPr>
          <w:rFonts w:ascii="Arial" w:hAnsi="Arial" w:cs="Arial"/>
        </w:rPr>
        <w:fldChar w:fldCharType="begin" w:fldLock="1"/>
      </w:r>
      <w:r>
        <w:rPr>
          <w:rFonts w:ascii="Arial" w:hAnsi="Arial" w:cs="Arial"/>
        </w:rPr>
        <w:instrText xml:space="preserve">ADDIN CSL_CITATION {"citationItems":[{"id":"ITEM-1","itemData":{"ISSN":"1727-7051","author":[{"dropping-particle":"","family":"Lokhman","given":"Natalia","non-dropping-particle":"","parse-names":false,"suffix":""},{"dropping-particle":"","family":"Karashchuk","given":"Oksana","non-dropping-particle":"","parse-names":false,"suffix":""},{"dropping-particle":"","family":"Kornilova","given":"Olena","non-dropping-particle":"","parse-names":false,"suffix":""}],"container-title":"Problems and Perspectives in Management","id":"ITEM-1","issue":"1","issued":{"date-parts":[["2018"]]},"page":"207-213","publisher":"Limited Liability Company\" Consulting Publishing Company\" Business Perspectives\"","title":"Analysis of eSports as a commercial activity","type":"article-journal","volume":"16"},"uris":["http://www.mendeley.com/documents/?uuid=0f40e129-dd3b-4d55-a461-35d73e5d913d"]}],"mendeley":{"formattedCitation":"(Lokhman, Karashchuk and Kornilova, 2018)","plainTextFormattedCitation":"(Lokhman, Karashchuk and Kornilova, 2018)","previouslyFormattedCitation":"(Lokhman, Karashchuk and Kornilova, 2018)"},"properties":{"noteIndex":0},"schema":"https://github.com/citation-style-language/schema/raw/master/csl-citation.json"}</w:instrText>
      </w:r>
      <w:r>
        <w:rPr>
          <w:rFonts w:ascii="Arial" w:hAnsi="Arial" w:cs="Arial"/>
        </w:rPr>
        <w:fldChar w:fldCharType="separate"/>
      </w:r>
      <w:r>
        <w:rPr>
          <w:rFonts w:ascii="Arial" w:hAnsi="Arial" w:cs="Arial"/>
        </w:rPr>
        <w:t>(Lokhman, Karashchuk and Kornilova, 2018)</w:t>
      </w:r>
      <w:r>
        <w:rPr>
          <w:rFonts w:ascii="Arial" w:hAnsi="Arial" w:cs="Arial"/>
        </w:rPr>
        <w:fldChar w:fldCharType="end"/>
      </w:r>
      <w:r>
        <w:rPr>
          <w:rFonts w:ascii="Arial" w:hAnsi="Arial" w:cs="Arial"/>
        </w:rPr>
        <w:t xml:space="preserve">. It is these virtual and rich elements that make eSports "playable" and bring a different kind of realistic entertainment. In addition, eSports has the characteristics of competition. The rise of eSports is closely related to the tendency of professionalization of games. eSports contains two major elements: electronics and competition, and competitiveness is an important sign that distinguishes eSports games from other types of games. The competitive nature of eSports also lies in a set of compulsory competition rules, for the content of the game, the way the game, the game time, the number of participants, the number of winners and losers, etc. have made clear provisions, all involved in the personnel must strictly comply </w:t>
      </w:r>
      <w:r>
        <w:rPr>
          <w:rFonts w:ascii="Arial" w:hAnsi="Arial" w:cs="Arial"/>
        </w:rPr>
        <w:fldChar w:fldCharType="begin" w:fldLock="1"/>
      </w:r>
      <w:r>
        <w:rPr>
          <w:rFonts w:ascii="Arial" w:hAnsi="Arial" w:cs="Arial"/>
        </w:rPr>
        <w:instrText xml:space="preserve">ADDIN CSL_CITATION {"citationItems":[{"id":"ITEM-1","itemData":{"ISSN":"1019-6781","author":[{"dropping-particle":"","family":"Weiss","given":"Thomas","non-dropping-particle":"","parse-names":false,"suffix":""},{"dropping-particle":"","family":"Schiele","given":"Sabrina","non-dropping-particle":"","parse-names":false,"suffix":""}],"container-title":"Electronic Markets","id":"ITEM-1","issue":"4","issued":{"date-parts":[["2013"]]},"page":"307-316","publisher":"Springer","title":"Virtual worlds in competitive contexts: Analyzing eSports consumer needs","type":"article-journal","volume":"23"},"uris":["http://www.mendeley.com/documents/?uuid=1379cd17-13ee-4e5e-9209-4bb3d6eac793"]}],"mendeley":{"formattedCitation":"(Weiss and Schiele, 2013)","plainTextFormattedCitation":"(Weiss and Schiele, 2013)","previouslyFormattedCitation":"(Weiss and Schiele, 2013)"},"properties":{"noteIndex":0},"schema":"https://github.com/citation-style-language/schema/raw/master/csl-citation.json"}</w:instrText>
      </w:r>
      <w:r>
        <w:rPr>
          <w:rFonts w:ascii="Arial" w:hAnsi="Arial" w:cs="Arial"/>
        </w:rPr>
        <w:fldChar w:fldCharType="separate"/>
      </w:r>
      <w:r>
        <w:rPr>
          <w:rFonts w:ascii="Arial" w:hAnsi="Arial" w:cs="Arial"/>
        </w:rPr>
        <w:t>(Weiss and Schiele, 2013)</w:t>
      </w:r>
      <w:r>
        <w:rPr>
          <w:rFonts w:ascii="Arial" w:hAnsi="Arial" w:cs="Arial"/>
        </w:rPr>
        <w:fldChar w:fldCharType="end"/>
      </w:r>
      <w:r>
        <w:rPr>
          <w:rFonts w:ascii="Arial" w:hAnsi="Arial" w:cs="Arial"/>
        </w:rPr>
        <w:t>. In such a competitive environment, eSports exhibit the inherent qualities of fairness, impartiality and openness.</w:t>
      </w:r>
    </w:p>
    <w:p>
      <w:pPr>
        <w:spacing w:before="100" w:beforeAutospacing="1" w:after="100" w:afterAutospacing="1" w:line="360" w:lineRule="auto"/>
        <w:jc w:val="both"/>
        <w:rPr>
          <w:rFonts w:ascii="Arial" w:hAnsi="Arial" w:cs="Arial"/>
        </w:rPr>
      </w:pPr>
      <w:r>
        <w:rPr>
          <w:rFonts w:ascii="Arial" w:hAnsi="Arial" w:cs="Arial"/>
        </w:rPr>
        <w:t xml:space="preserve">At the same time, some scholar emphasizes the differences between the sport and e-sport. Sport is an activity that aims to continuously pursue and explore the limits of people (individuals or groups) in physical, mental and intellectual strength </w:t>
      </w:r>
      <w:r>
        <w:rPr>
          <w:rFonts w:ascii="Arial" w:hAnsi="Arial" w:cs="Arial"/>
        </w:rPr>
        <w:fldChar w:fldCharType="begin" w:fldLock="1"/>
      </w:r>
      <w:r>
        <w:rPr>
          <w:rFonts w:ascii="Arial" w:hAnsi="Arial" w:cs="Arial"/>
        </w:rPr>
        <w:instrText xml:space="preserve">ADDIN CSL_CITATION {"citationItems":[{"id":"ITEM-1","itemData":{"ISSN":"1930-4595","author":[{"dropping-particle":"","family":"Lee","given":"Donghun","non-dropping-particle":"","parse-names":false,"suffix":""},{"dropping-particle":"","family":"Schoenstedt","given":"Linda J","non-dropping-particle":"","parse-names":false,"suffix":""}],"container-title":"ICHPER-SD Journal Of Research","id":"ITEM-1","issue":"2","issued":{"date-parts":[["2011"]]},"page":"39-44","publisher":"ERIC","title":"Comparison of eSports and traditional sports consumption motives.","type":"article-journal","volume":"6"},"uris":["http://www.mendeley.com/documents/?uuid=971c12aa-0af4-45de-b827-5213241c33f8"]}],"mendeley":{"formattedCitation":"(Lee and Schoenstedt, 2011)","plainTextFormattedCitation":"(Lee and Schoenstedt, 2011)","previouslyFormattedCitation":"(Lee and Schoenstedt, 2011)"},"properties":{"noteIndex":0},"schema":"https://github.com/citation-style-language/schema/raw/master/csl-citation.json"}</w:instrText>
      </w:r>
      <w:r>
        <w:rPr>
          <w:rFonts w:ascii="Arial" w:hAnsi="Arial" w:cs="Arial"/>
        </w:rPr>
        <w:fldChar w:fldCharType="separate"/>
      </w:r>
      <w:r>
        <w:rPr>
          <w:rFonts w:ascii="Arial" w:hAnsi="Arial" w:cs="Arial"/>
        </w:rPr>
        <w:t>(Lee and Schoenstedt, 2011)</w:t>
      </w:r>
      <w:r>
        <w:rPr>
          <w:rFonts w:ascii="Arial" w:hAnsi="Arial" w:cs="Arial"/>
        </w:rPr>
        <w:fldChar w:fldCharType="end"/>
      </w:r>
      <w:r>
        <w:rPr>
          <w:rFonts w:ascii="Arial" w:hAnsi="Arial" w:cs="Arial"/>
        </w:rPr>
        <w:t xml:space="preserve">. E-Sports, as a new competitive sport, not only contains the traditional connotations of quantitative, continuous, repetitive and precise sports in general, but also adds new information technology and other media in its outreach, which has both similarities and certain differences with traditional competitive sports </w:t>
      </w:r>
      <w:r>
        <w:rPr>
          <w:rFonts w:ascii="Arial" w:hAnsi="Arial" w:cs="Arial"/>
        </w:rPr>
        <w:fldChar w:fldCharType="begin" w:fldLock="1"/>
      </w:r>
      <w:r>
        <w:rPr>
          <w:rFonts w:ascii="Arial" w:hAnsi="Arial" w:cs="Arial"/>
        </w:rPr>
        <w:instrText xml:space="preserve">ADDIN CSL_CITATION {"citationItems":[{"id":"ITEM-1","itemData":{"author":[{"dropping-particle":"","family":"Kane","given":"Daniel","non-dropping-particle":"","parse-names":false,"suffix":""},{"dropping-particle":"","family":"Spradley","given":"Brandon D","non-dropping-particle":"","parse-names":false,"suffix":""}],"container-title":"Sport Journal","id":"ITEM-1","issued":{"date-parts":[["2017"]]},"page":"1-9","title":"Recognizing ESports as a sport","type":"article-journal","volume":"20"},"uris":["http://www.mendeley.com/documents/?uuid=fa90ea5b-503d-4ba4-b654-e83e4ec23204"]}],"mendeley":{"formattedCitation":"(Kane and Spradley, 2017)","plainTextFormattedCitation":"(Kane and Spradley, 2017)","previouslyFormattedCitation":"(Kane and Spradley, 2017)"},"properties":{"noteIndex":0},"schema":"https://github.com/citation-style-language/schema/raw/master/csl-citation.json"}</w:instrText>
      </w:r>
      <w:r>
        <w:rPr>
          <w:rFonts w:ascii="Arial" w:hAnsi="Arial" w:cs="Arial"/>
        </w:rPr>
        <w:fldChar w:fldCharType="separate"/>
      </w:r>
      <w:r>
        <w:rPr>
          <w:rFonts w:ascii="Arial" w:hAnsi="Arial" w:cs="Arial"/>
        </w:rPr>
        <w:t>(Kane and Spradley, 2017)</w:t>
      </w:r>
      <w:r>
        <w:rPr>
          <w:rFonts w:ascii="Arial" w:hAnsi="Arial" w:cs="Arial"/>
        </w:rPr>
        <w:fldChar w:fldCharType="end"/>
      </w:r>
      <w:r>
        <w:rPr>
          <w:rFonts w:ascii="Arial" w:hAnsi="Arial" w:cs="Arial"/>
        </w:rPr>
        <w:t>.</w:t>
      </w:r>
    </w:p>
    <w:p>
      <w:pPr>
        <w:spacing w:before="100" w:beforeAutospacing="1" w:after="100" w:afterAutospacing="1" w:line="360" w:lineRule="auto"/>
        <w:jc w:val="both"/>
        <w:rPr>
          <w:rFonts w:ascii="Arial" w:hAnsi="Arial" w:cs="Arial"/>
        </w:rPr>
      </w:pPr>
      <w:r>
        <w:rPr>
          <w:rFonts w:ascii="Arial" w:hAnsi="Arial" w:cs="Arial"/>
        </w:rPr>
        <w:t>In summary, there is a so-called "school of thought" regarding the definition of the concept of eSports, that is, in the face of a new thing, scholars in different disciplines are accustomed to present their basic understanding and opinions about the concept, composition, form, operation and other aspects of eSports from the research paradigm they are familiar with and follow, which can certainly w reflect There are some logical interconnections. As an entity, eSports has existed for forty years, and as its own system becomes larger and more complex, the traditional analytical perspective of a single field is obviously no longer able to adapt to the rapidly changing development of eSports practice. A comprehensive and transformative academic context on eSports has become a practical necessity.</w:t>
      </w:r>
    </w:p>
    <w:p>
      <w:pPr>
        <w:pStyle w:val="3"/>
        <w:spacing w:before="100" w:beforeAutospacing="1" w:after="100" w:afterAutospacing="1" w:line="360" w:lineRule="auto"/>
        <w:jc w:val="both"/>
        <w:rPr>
          <w:rFonts w:ascii="Arial" w:hAnsi="Arial" w:cs="Arial"/>
        </w:rPr>
      </w:pPr>
      <w:bookmarkStart w:id="32" w:name="_Toc71634580"/>
      <w:bookmarkStart w:id="33" w:name="_Toc71635926"/>
      <w:r>
        <w:rPr>
          <w:rFonts w:ascii="Arial" w:hAnsi="Arial" w:cs="Arial"/>
        </w:rPr>
        <w:t>2.3 Defining business model</w:t>
      </w:r>
      <w:bookmarkEnd w:id="32"/>
      <w:bookmarkEnd w:id="33"/>
      <w:r>
        <w:rPr>
          <w:rFonts w:ascii="Arial" w:hAnsi="Arial" w:cs="Arial"/>
        </w:rPr>
        <w:t xml:space="preserve"> </w:t>
      </w:r>
    </w:p>
    <w:p>
      <w:pPr>
        <w:pStyle w:val="4"/>
        <w:spacing w:before="100" w:beforeAutospacing="1" w:after="100" w:afterAutospacing="1" w:line="360" w:lineRule="auto"/>
        <w:rPr>
          <w:rFonts w:ascii="Arial" w:hAnsi="Arial" w:cs="Arial"/>
        </w:rPr>
      </w:pPr>
      <w:bookmarkStart w:id="34" w:name="_Toc71634581"/>
      <w:bookmarkStart w:id="35" w:name="_Toc71635927"/>
      <w:r>
        <w:rPr>
          <w:rFonts w:ascii="Arial" w:hAnsi="Arial" w:cs="Arial"/>
        </w:rPr>
        <w:t>2.3.1 Definitions of business model</w:t>
      </w:r>
      <w:bookmarkEnd w:id="34"/>
      <w:bookmarkEnd w:id="35"/>
      <w:r>
        <w:rPr>
          <w:rFonts w:ascii="Arial" w:hAnsi="Arial" w:cs="Arial"/>
        </w:rPr>
        <w:t xml:space="preserve"> </w:t>
      </w:r>
    </w:p>
    <w:p>
      <w:pPr>
        <w:spacing w:before="100" w:beforeAutospacing="1" w:after="100" w:afterAutospacing="1" w:line="360" w:lineRule="auto"/>
        <w:jc w:val="both"/>
        <w:rPr>
          <w:rFonts w:ascii="Arial" w:hAnsi="Arial" w:cs="Arial"/>
        </w:rPr>
      </w:pPr>
      <w:r>
        <w:rPr>
          <w:rFonts w:ascii="Arial" w:hAnsi="Arial" w:cs="Arial"/>
        </w:rPr>
        <w:t xml:space="preserve">Profit is the basis for the survival and development of an enterprise. Therefore, some scholars have studied business models from the perspective of how enterprises earn profits and believe that business models have a high degree of consistency in connotation with the profitability model of enterprises, and they point out that business models are ultimately a description and summary of how enterprises make profits in the process of business management from a general perspective </w:t>
      </w:r>
      <w:r>
        <w:rPr>
          <w:rFonts w:ascii="Arial" w:hAnsi="Arial" w:cs="Arial"/>
        </w:rPr>
        <w:fldChar w:fldCharType="begin" w:fldLock="1"/>
      </w:r>
      <w:r>
        <w:rPr>
          <w:rFonts w:ascii="Arial" w:hAnsi="Arial" w:cs="Arial"/>
        </w:rPr>
        <w:instrText xml:space="preserve">ADDIN CSL_CITATION {"citationItems":[{"id":"ITEM-1","itemData":{"ISSN":"0024-6301","author":[{"dropping-particle":"","family":"DaSilva","given":"Carlos M","non-dropping-particle":"","parse-names":false,"suffix":""},{"dropping-particle":"","family":"Trkman","given":"Peter","non-dropping-particle":"","parse-names":false,"suffix":""}],"container-title":"Long range planning","id":"ITEM-1","issue":"6","issued":{"date-parts":[["2014"]]},"page":"379-389","publisher":"Elsevier","title":"Business model: What it is and what it is not","type":"article-journal","volume":"47"},"uris":["http://www.mendeley.com/documents/?uuid=95c5444b-6e32-4286-a5ff-b07befc253c9"]}],"mendeley":{"formattedCitation":"(DaSilva and Trkman, 2014)","plainTextFormattedCitation":"(DaSilva and Trkman, 2014)","previouslyFormattedCitation":"(DaSilva and Trkman, 2014)"},"properties":{"noteIndex":0},"schema":"https://github.com/citation-style-language/schema/raw/master/csl-citation.json"}</w:instrText>
      </w:r>
      <w:r>
        <w:rPr>
          <w:rFonts w:ascii="Arial" w:hAnsi="Arial" w:cs="Arial"/>
        </w:rPr>
        <w:fldChar w:fldCharType="separate"/>
      </w:r>
      <w:r>
        <w:rPr>
          <w:rFonts w:ascii="Arial" w:hAnsi="Arial" w:cs="Arial"/>
        </w:rPr>
        <w:t>(DaSilva and Trkman, 2014)</w:t>
      </w:r>
      <w:r>
        <w:rPr>
          <w:rFonts w:ascii="Arial" w:hAnsi="Arial" w:cs="Arial"/>
        </w:rPr>
        <w:fldChar w:fldCharType="end"/>
      </w:r>
      <w:r>
        <w:rPr>
          <w:rFonts w:ascii="Arial" w:hAnsi="Arial" w:cs="Arial"/>
        </w:rPr>
        <w:t xml:space="preserve">. </w:t>
      </w:r>
      <w:r>
        <w:rPr>
          <w:rFonts w:ascii="Arial" w:hAnsi="Arial" w:cs="Arial"/>
        </w:rPr>
        <w:fldChar w:fldCharType="begin" w:fldLock="1"/>
      </w:r>
      <w:r>
        <w:rPr>
          <w:rFonts w:ascii="Arial" w:hAnsi="Arial" w:cs="Arial"/>
        </w:rPr>
        <w:instrText xml:space="preserve">ADDIN CSL_CITATION {"citationItems":[{"id":"ITEM-1","itemData":{"DOI":"10.5465/annals.2014.0072","ISBN":"19416520","ISSN":"1941-6520","PMID":"120822435","abstract":"Ever since the Internet boom of the mid-1990s, firms have been experimenting with new ways of doing business and achieving their goals, which has led to a branching of the scholarly literature on business models. Three interpretations of the meaning and function of “business models” have emerged from the management literature: (1) busi- ness models as attributes of real firms, (2) business models as cognitive/linguistic schemas, and (3) business models as formal conceptual representations of how a busi- ness functions. Relatedly, a provocative debate about the relationship between business models and strategy has fascinated many scholars. Weoffer a critical review of this now vast business model literature with the goal of organizing the literature and achieving greater understanding of the larger picture in this increasingly important research area. In addition to complementing and extending prior reviews, we also aim at a second and more important contribution: We aim at identifying the reasons behind the apparent lack of agreement in the interpretation of business models, and the relationship between business models and strategy. Whether strategy scholars consider business model re- search a new field may be due to the fact that the business model perspective may be challenging the assumptions of traditional theories of value creation and capture by focusing on value creation on the demand side and supply side, rather than focusing on value creation on the supply side only as these theories have done. We conclude by discussing how the business model perspective can contribute to research in different fields,","author":[{"dropping-particle":"","family":"Massa","given":"L","non-dropping-particle":"","parse-names":false,"suffix":""},{"dropping-particle":"","family":"Tucci","given":"C","non-dropping-particle":"","parse-names":false,"suffix":""},{"dropping-particle":"","family":"Afuah","given":"A","non-dropping-particle":"","parse-names":false,"suffix":""}],"container-title":"Academy of Management Annals","id":"ITEM-1","issue":"1","issued":{"date-parts":[["2017"]]},"page":"73-104","title":"A Critical Assessment of Business Model Research","type":"article-journal","volume":"11"},"uris":["http://www.mendeley.com/documents/?uuid=320b2a4d-b8f3-4a7b-a2dc-3e024717924d"]}],"mendeley":{"formattedCitation":"(Massa, Tucci and Afuah, 2017)","manualFormatting":"Massa, Tucci and Afuah (2017)","plainTextFormattedCitation":"(Massa, Tucci and Afuah, 2017)","previouslyFormattedCitation":"(Massa, Tucci and Afuah, 2017)"},"properties":{"noteIndex":0},"schema":"https://github.com/citation-style-language/schema/raw/master/csl-citation.json"}</w:instrText>
      </w:r>
      <w:r>
        <w:rPr>
          <w:rFonts w:ascii="Arial" w:hAnsi="Arial" w:cs="Arial"/>
        </w:rPr>
        <w:fldChar w:fldCharType="separate"/>
      </w:r>
      <w:r>
        <w:rPr>
          <w:rFonts w:ascii="Arial" w:hAnsi="Arial" w:cs="Arial"/>
        </w:rPr>
        <w:t>Massa, Tucci and Afuah (2017)</w:t>
      </w:r>
      <w:r>
        <w:rPr>
          <w:rFonts w:ascii="Arial" w:hAnsi="Arial" w:cs="Arial"/>
        </w:rPr>
        <w:fldChar w:fldCharType="end"/>
      </w:r>
      <w:r>
        <w:rPr>
          <w:rFonts w:ascii="Arial" w:hAnsi="Arial" w:cs="Arial"/>
        </w:rPr>
        <w:t xml:space="preserve"> argue that a business model is a way to create more value than competitors in the same industry or related industries through a sound business policy and development strategy, and thus gain more profit in the competitive market. </w:t>
      </w:r>
      <w:r>
        <w:rPr>
          <w:rFonts w:ascii="Arial" w:hAnsi="Arial" w:cs="Arial"/>
        </w:rPr>
        <w:fldChar w:fldCharType="begin" w:fldLock="1"/>
      </w:r>
      <w:r>
        <w:rPr>
          <w:rFonts w:ascii="Arial" w:hAnsi="Arial" w:cs="Arial"/>
        </w:rPr>
        <w:instrText xml:space="preserve">ADDIN CSL_CITATION {"citationItems":[{"id":"ITEM-1","itemData":{"ISSN":"0960-085X","author":[{"dropping-particle":"","family":"Al-Debei","given":"Mutaz M","non-dropping-particle":"","parse-names":false,"suffix":""},{"dropping-particle":"","family":"Avison","given":"David","non-dropping-particle":"","parse-names":false,"suffix":""}],"container-title":"European journal of information systems","id":"ITEM-1","issue":"3","issued":{"date-parts":[["2010"]]},"page":"359-376","publisher":"Taylor &amp; Francis","title":"Developing a unified framework of the business model concept","type":"article-journal","volume":"19"},"uris":["http://www.mendeley.com/documents/?uuid=c57a05de-64ee-4ca7-9f25-f415e7ce95ec"]}],"mendeley":{"formattedCitation":"(Al-Debei and Avison, 2010)","manualFormatting":"Al-Debei and Avison, (2010)","plainTextFormattedCitation":"(Al-Debei and Avison, 2010)","previouslyFormattedCitation":"(Al-Debei and Avison, 2010)"},"properties":{"noteIndex":0},"schema":"https://github.com/citation-style-language/schema/raw/master/csl-citation.json"}</w:instrText>
      </w:r>
      <w:r>
        <w:rPr>
          <w:rFonts w:ascii="Arial" w:hAnsi="Arial" w:cs="Arial"/>
        </w:rPr>
        <w:fldChar w:fldCharType="separate"/>
      </w:r>
      <w:r>
        <w:rPr>
          <w:rFonts w:ascii="Arial" w:hAnsi="Arial" w:cs="Arial"/>
        </w:rPr>
        <w:t>Al-Debei and Avison, (2010)</w:t>
      </w:r>
      <w:r>
        <w:rPr>
          <w:rFonts w:ascii="Arial" w:hAnsi="Arial" w:cs="Arial"/>
        </w:rPr>
        <w:fldChar w:fldCharType="end"/>
      </w:r>
      <w:r>
        <w:rPr>
          <w:rFonts w:ascii="Arial" w:hAnsi="Arial" w:cs="Arial"/>
        </w:rPr>
        <w:t xml:space="preserve"> argue that the essence of a business model lies in the value creation, value delivery and value capture through developing a specific management structure and arranging a specific network of value chain.  Another wave of scholars defines business models based on value creation. Scholars who hold this view emphasize that a business model is the way a company conducts business by dispatching internal and external resources to create value and thus generate revenue to sustain its operations </w:t>
      </w:r>
      <w:r>
        <w:rPr>
          <w:rFonts w:ascii="Arial" w:hAnsi="Arial" w:cs="Arial"/>
        </w:rPr>
        <w:fldChar w:fldCharType="begin" w:fldLock="1"/>
      </w:r>
      <w:r>
        <w:rPr>
          <w:rFonts w:ascii="Arial" w:hAnsi="Arial" w:cs="Arial"/>
        </w:rPr>
        <w:instrText xml:space="preserve">ADDIN CSL_CITATION {"citationItems":[{"id":"ITEM-1","itemData":{"ISSN":"1086-0266","author":[{"dropping-particle":"","family":"Stubbs","given":"Wendy","non-dropping-particle":"","parse-names":false,"suffix":""},{"dropping-particle":"","family":"Cocklin","given":"Chris","non-dropping-particle":"","parse-names":false,"suffix":""}],"container-title":"Organization &amp; environment","id":"ITEM-1","issue":"2","issued":{"date-parts":[["2008"]]},"page":"103-127","publisher":"Sage Publications Sage CA: Los Angeles, CA","title":"Conceptualizing a </w:instrText>
      </w:r>
      <w:r>
        <w:rPr>
          <w:rFonts w:ascii="Malgun Gothic" w:hAnsi="Malgun Gothic" w:cs="Malgun Gothic"/>
        </w:rPr>
        <w:instrText xml:space="preserve">��</w:instrText>
      </w:r>
      <w:r>
        <w:rPr>
          <w:rFonts w:ascii="Arial" w:hAnsi="Arial" w:cs="Arial"/>
        </w:rPr>
        <w:instrText xml:space="preserve">sustainability business model</w:instrText>
      </w:r>
      <w:r>
        <w:rPr>
          <w:rFonts w:ascii="Malgun Gothic" w:hAnsi="Malgun Gothic" w:cs="Malgun Gothic"/>
        </w:rPr>
        <w:instrText xml:space="preserve">��</w:instrText>
      </w:r>
      <w:r>
        <w:rPr>
          <w:rFonts w:ascii="Arial" w:hAnsi="Arial" w:cs="Arial"/>
        </w:rPr>
        <w:instrText xml:space="preserve">","type":"article-journal","volume":"21"},"uris":["http://www.mendeley.com/documents/?uuid=e59cab60-bef0-401c-978c-0d05da2b8b01"]},{"id":"ITEM-2","itemData":{"ISSN":"0024-6301","author":[{"dropping-particle":"","family":"Chesbrough","given":"Henry","non-dropping-particle":"","parse-names":false,"suffix":""}],"container-title":"Long range planning","id":"ITEM-2","issue":"2-3","issued":{"date-parts":[["2010"]]},"page":"354-363","publisher":"Elsevier","title":"Business model innovation: opportunities and barriers","type":"article-journal","volume":"43"},"uris":["http://www.mendeley.com/documents/?uuid=64e9abe1-ba2e-4097-91a6-541ab01957df"]},{"id":"ITEM-3","itemData":{"ISSN":"1042-2587","author":[{"dropping-particle":"","family":"George","given":"Gerard","non-dropping-particle":"","parse-names":false,"suffix":""},{"dropping-particle":"","family":"Bock","given":"Adam J","non-dropping-particle":"","parse-names":false,"suffix":""}],"container-title":"Entrepreneurship theory and practice","id":"ITEM-3","issue":"1","issued":{"date-parts":[["2011"]]},"page":"83-111","publisher":"SAGE Publications Sage CA: Los Angeles, CA","title":"The business model in practice and its implications for entrepreneurship research","type":"article-journal","volume":"35"},"uris":["http://www.mendeley.com/documents/?uuid=5c4a012d-a1a4-4c89-845c-0687084d5fb1"]}],"mendeley":{"formattedCitation":"(Stubbs and Cocklin, 2008; Chesbrough, 2010; George and Bock, 2011)","plainTextFormattedCitation":"(Stubbs and Cocklin, 2008; Chesbrough, 2010; George and Bock, 2011)","previouslyFormattedCitation":"(Stubbs and Cocklin, 2008; Chesbrough, 2010; George and Bock, 2011)"},"properties":{"noteIndex":0},"schema":"https://github.com/citation-style-language/schema/raw/master/csl-citation.json"}</w:instrText>
      </w:r>
      <w:r>
        <w:rPr>
          <w:rFonts w:ascii="Arial" w:hAnsi="Arial" w:cs="Arial"/>
        </w:rPr>
        <w:fldChar w:fldCharType="separate"/>
      </w:r>
      <w:r>
        <w:rPr>
          <w:rFonts w:ascii="Arial" w:hAnsi="Arial" w:cs="Arial"/>
        </w:rPr>
        <w:t>(Stubbs and Cocklin, 2008; Chesbrough, 2010; George and Bock, 2011)</w:t>
      </w:r>
      <w:r>
        <w:rPr>
          <w:rFonts w:ascii="Arial" w:hAnsi="Arial" w:cs="Arial"/>
        </w:rPr>
        <w:fldChar w:fldCharType="end"/>
      </w:r>
      <w:r>
        <w:rPr>
          <w:rFonts w:ascii="Arial" w:hAnsi="Arial" w:cs="Arial"/>
        </w:rPr>
        <w:t xml:space="preserve">. Value creation can be further subdivided into general value creation, technology and value creation, and transaction and value creation </w:t>
      </w:r>
      <w:r>
        <w:rPr>
          <w:rFonts w:ascii="Arial" w:hAnsi="Arial" w:cs="Arial"/>
        </w:rPr>
        <w:fldChar w:fldCharType="begin" w:fldLock="1"/>
      </w:r>
      <w:r>
        <w:rPr>
          <w:rFonts w:ascii="Arial" w:hAnsi="Arial" w:cs="Arial"/>
        </w:rPr>
        <w:instrText xml:space="preserve">ADDIN CSL_CITATION {"citationItems":[{"id":"ITEM-1","itemData":{"ISSN":"1740-4754","author":[{"dropping-particle":"","family":"Sanchez","given":"Pablo","non-dropping-particle":"","parse-names":false,"suffix":""},{"dropping-particle":"","family":"Ricart","given":"Joan E","non-dropping-particle":"","parse-names":false,"suffix":""}],"container-title":"European management review","id":"ITEM-1","issue":"3","issued":{"date-parts":[["2010"]]},"page":"138-154","publisher":"Wiley Online Library","title":"Business model innovation and sources of value creation in low</w:instrText>
      </w:r>
      <w:r>
        <w:rPr>
          <w:rFonts w:ascii="Malgun Gothic" w:hAnsi="Malgun Gothic" w:cs="Malgun Gothic"/>
        </w:rPr>
        <w:instrText xml:space="preserve">�</w:instrText>
      </w:r>
      <w:r>
        <w:rPr>
          <w:rFonts w:ascii="Arial" w:hAnsi="Arial" w:cs="Arial"/>
        </w:rPr>
        <w:instrText xml:space="preserve">\\income markets","type":"article-journal","volume":"7"},"uris":["http://www.mendeley.com/documents/?uuid=2076758b-8570-4b88-aca3-5830ce889b0e"]}],"mendeley":{"formattedCitation":"(Sanchez and Ricart, 2010)","plainTextFormattedCitation":"(Sanchez and Ricart, 2010)","previouslyFormattedCitation":"(Sanchez and Ricart, 2010)"},"properties":{"noteIndex":0},"schema":"https://github.com/citation-style-language/schema/raw/master/csl-citation.json"}</w:instrText>
      </w:r>
      <w:r>
        <w:rPr>
          <w:rFonts w:ascii="Arial" w:hAnsi="Arial" w:cs="Arial"/>
        </w:rPr>
        <w:fldChar w:fldCharType="separate"/>
      </w:r>
      <w:r>
        <w:rPr>
          <w:rFonts w:ascii="Arial" w:hAnsi="Arial" w:cs="Arial"/>
        </w:rPr>
        <w:t>(Sanchez and Ricart, 2010)</w:t>
      </w:r>
      <w:r>
        <w:rPr>
          <w:rFonts w:ascii="Arial" w:hAnsi="Arial" w:cs="Arial"/>
        </w:rPr>
        <w:fldChar w:fldCharType="end"/>
      </w:r>
      <w:r>
        <w:rPr>
          <w:rFonts w:ascii="Arial" w:hAnsi="Arial" w:cs="Arial"/>
        </w:rPr>
        <w:t xml:space="preserve">. </w:t>
      </w:r>
      <w:r>
        <w:rPr>
          <w:rFonts w:ascii="Arial" w:hAnsi="Arial" w:cs="Arial"/>
        </w:rPr>
        <w:fldChar w:fldCharType="begin" w:fldLock="1"/>
      </w:r>
      <w:r>
        <w:rPr>
          <w:rFonts w:ascii="Arial" w:hAnsi="Arial" w:cs="Arial"/>
        </w:rPr>
        <w:instrText xml:space="preserve">ADDIN CSL_CITATION {"citationItems":[{"id":"ITEM-1","itemData":{"ISSN":"0890-8389","author":[{"dropping-particle":"","family":"Beattie","given":"Vivien","non-dropping-particle":"","parse-names":false,"suffix":""},{"dropping-particle":"","family":"Smith","given":"Sarah Jane","non-dropping-particle":"","parse-names":false,"suffix":""}],"container-title":"The British Accounting Review","id":"ITEM-1","issue":"4","issued":{"date-parts":[["2013"]]},"page":"243-254","publisher":"Elsevier","title":"Value creation and business models: Refocusing the intellectual capital debate","type":"article-journal","volume":"45"},"uris":["http://www.mendeley.com/documents/?uuid=622b7619-303a-4ef8-b11b-c1f6a0bbd1c0"]}],"mendeley":{"formattedCitation":"(Beattie and Smith, 2013)","manualFormatting":"Beattie and Smith (2013)","plainTextFormattedCitation":"(Beattie and Smith, 2013)","previouslyFormattedCitation":"(Beattie and Smith, 2013)"},"properties":{"noteIndex":0},"schema":"https://github.com/citation-style-language/schema/raw/master/csl-citation.json"}</w:instrText>
      </w:r>
      <w:r>
        <w:rPr>
          <w:rFonts w:ascii="Arial" w:hAnsi="Arial" w:cs="Arial"/>
        </w:rPr>
        <w:fldChar w:fldCharType="separate"/>
      </w:r>
      <w:r>
        <w:rPr>
          <w:rFonts w:ascii="Arial" w:hAnsi="Arial" w:cs="Arial"/>
        </w:rPr>
        <w:t>Beattie and Smith (2013)</w:t>
      </w:r>
      <w:r>
        <w:rPr>
          <w:rFonts w:ascii="Arial" w:hAnsi="Arial" w:cs="Arial"/>
        </w:rPr>
        <w:fldChar w:fldCharType="end"/>
      </w:r>
      <w:r>
        <w:rPr>
          <w:rFonts w:ascii="Arial" w:hAnsi="Arial" w:cs="Arial"/>
        </w:rPr>
        <w:t xml:space="preserve"> considers a business model as the core logic and structure of a firm's value creation and defines it as a system of value creation and profit capture consisting of a firm's market positioning, target customer selection, operations, and profitability in a given field of operation. </w:t>
      </w:r>
      <w:r>
        <w:rPr>
          <w:rFonts w:ascii="Arial" w:hAnsi="Arial" w:cs="Arial"/>
        </w:rPr>
        <w:fldChar w:fldCharType="begin" w:fldLock="1"/>
      </w:r>
      <w:r>
        <w:rPr>
          <w:rFonts w:ascii="Arial" w:hAnsi="Arial" w:cs="Arial"/>
        </w:rPr>
        <w:instrText xml:space="preserve">ADDIN CSL_CITATION {"citationItems":[{"id":"ITEM-1","itemData":{"ISSN":"0024-6301","author":[{"dropping-particle":"","family":"Zott","given":"Christoph","non-dropping-particle":"","parse-names":false,"suffix":""},{"dropping-particle":"","family":"Amit","given":"Raphael","non-dropping-particle":"","parse-names":false,"suffix":""}],"container-title":"Long range planning","id":"ITEM-1","issue":"2-3","issued":{"date-parts":[["2010"]]},"page":"216-226","publisher":"Elsevier","title":"Business model design: an activity system perspective","type":"article-journal","volume":"43"},"uris":["http://www.mendeley.com/documents/?uuid=aa8d769b-d8fd-4929-9ff1-4d7c4f6b726d"]}],"mendeley":{"formattedCitation":"(Zott and Amit, 2010)","manualFormatting":"Zott and Amit, (2010)","plainTextFormattedCitation":"(Zott and Amit, 2010)","previouslyFormattedCitation":"(Zott and Amit, 2010)"},"properties":{"noteIndex":0},"schema":"https://github.com/citation-style-language/schema/raw/master/csl-citation.json"}</w:instrText>
      </w:r>
      <w:r>
        <w:rPr>
          <w:rFonts w:ascii="Arial" w:hAnsi="Arial" w:cs="Arial"/>
        </w:rPr>
        <w:fldChar w:fldCharType="separate"/>
      </w:r>
      <w:r>
        <w:rPr>
          <w:rFonts w:ascii="Arial" w:hAnsi="Arial" w:cs="Arial"/>
        </w:rPr>
        <w:t>Zott and Amit, (2010)</w:t>
      </w:r>
      <w:r>
        <w:rPr>
          <w:rFonts w:ascii="Arial" w:hAnsi="Arial" w:cs="Arial"/>
        </w:rPr>
        <w:fldChar w:fldCharType="end"/>
      </w:r>
      <w:r>
        <w:rPr>
          <w:rFonts w:ascii="Arial" w:hAnsi="Arial" w:cs="Arial"/>
        </w:rPr>
        <w:t xml:space="preserve"> argue that the core of the business model is the design of internal processes and architecture, which describes a structure that enables the company to create value. Meanwhile, there is another group of scholars who define business models based on a systems perspective. Under this perspective, scholars generally consider a business model as a complex system, which usually consists of one or more interrelated elements. From the perspective of natural science, </w:t>
      </w:r>
      <w:r>
        <w:rPr>
          <w:rFonts w:ascii="Arial" w:hAnsi="Arial" w:cs="Arial"/>
        </w:rPr>
        <w:fldChar w:fldCharType="begin" w:fldLock="1"/>
      </w:r>
      <w:r>
        <w:rPr>
          <w:rFonts w:ascii="Arial" w:hAnsi="Arial" w:cs="Arial"/>
        </w:rPr>
        <w:instrText xml:space="preserve">ADDIN CSL_CITATION {"citationItems":[{"id":"ITEM-1","itemData":{"ISSN":"0024-6301","author":[{"dropping-particle":"","family":"Priem","given":"Richard L","non-dropping-particle":"","parse-names":false,"suffix":""},{"dropping-particle":"","family":"Wenzel","given":"Matthias","non-dropping-particle":"","parse-names":false,"suffix":""},{"dropping-particle":"","family":"Koch","given":"Jochen","non-dropping-particle":"","parse-names":false,"suffix":""}],"container-title":"Long range planning","id":"ITEM-1","issue":"1","issued":{"date-parts":[["2018"]]},"page":"22-31","publisher":"Elsevier","title":"Demand-side strategy and business models: Putting value creation for consumers center stage","type":"article-journal","volume":"51"},"uris":["http://www.mendeley.com/documents/?uuid=a3175668-c884-4bec-bf24-45fc8866e28b"]}],"mendeley":{"formattedCitation":"(Priem, Wenzel and Koch, 2018)","manualFormatting":"Priem, Wenzel and Koch (2018)","plainTextFormattedCitation":"(Priem, Wenzel and Koch, 2018)","previouslyFormattedCitation":"(Priem, Wenzel and Koch, 2018)"},"properties":{"noteIndex":0},"schema":"https://github.com/citation-style-language/schema/raw/master/csl-citation.json"}</w:instrText>
      </w:r>
      <w:r>
        <w:rPr>
          <w:rFonts w:ascii="Arial" w:hAnsi="Arial" w:cs="Arial"/>
        </w:rPr>
        <w:fldChar w:fldCharType="separate"/>
      </w:r>
      <w:r>
        <w:rPr>
          <w:rFonts w:ascii="Arial" w:hAnsi="Arial" w:cs="Arial"/>
        </w:rPr>
        <w:t>Priem, Wenzel and Koch (2018)</w:t>
      </w:r>
      <w:r>
        <w:rPr>
          <w:rFonts w:ascii="Arial" w:hAnsi="Arial" w:cs="Arial"/>
        </w:rPr>
        <w:fldChar w:fldCharType="end"/>
      </w:r>
      <w:r>
        <w:rPr>
          <w:rFonts w:ascii="Arial" w:hAnsi="Arial" w:cs="Arial"/>
        </w:rPr>
        <w:t xml:space="preserve"> proposes to subdivide the business environment (internal environment and external environment) of a company, and then introduce the interaction between each subdivision (platform interface, customer interface, partner interface, top plate interface and internal structure) and each subdivision, so that business model research has scientific research significance similar to nanomaterials research. According to </w:t>
      </w:r>
      <w:r>
        <w:rPr>
          <w:rFonts w:ascii="Arial" w:hAnsi="Arial" w:cs="Arial"/>
        </w:rPr>
        <w:fldChar w:fldCharType="begin" w:fldLock="1"/>
      </w:r>
      <w:r>
        <w:rPr>
          <w:rFonts w:ascii="Arial" w:hAnsi="Arial" w:cs="Arial"/>
        </w:rPr>
        <w:instrText xml:space="preserve">ADDIN CSL_CITATION {"citationItems":[{"id":"ITEM-1","itemData":{"ISSN":"0024-6301","author":[{"dropping-particle":"","family":"Demil","given":"Benoît","non-dropping-particle":"","parse-names":false,"suffix":""},{"dropping-particle":"","family":"Lecocq","given":"Xavier","non-dropping-particle":"","parse-names":false,"suffix":""}],"container-title":"Long range planning","id":"ITEM-1","issue":"2-3","issued":{"date-parts":[["2010"]]},"page":"227-246","publisher":"Elsevier","title":"Business model evolution: in search of dynamic consistency","type":"article-journal","volume":"43"},"uris":["http://www.mendeley.com/documents/?uuid=795739e5-355f-4524-8060-0d4891f4e2e4"]}],"mendeley":{"formattedCitation":"(Demil and Lecocq, 2010)","manualFormatting":"Demil and Lecocq (2010)","plainTextFormattedCitation":"(Demil and Lecocq, 2010)","previouslyFormattedCitation":"(Demil and Lecocq, 2010)"},"properties":{"noteIndex":0},"schema":"https://github.com/citation-style-language/schema/raw/master/csl-citation.json"}</w:instrText>
      </w:r>
      <w:r>
        <w:rPr>
          <w:rFonts w:ascii="Arial" w:hAnsi="Arial" w:cs="Arial"/>
        </w:rPr>
        <w:fldChar w:fldCharType="separate"/>
      </w:r>
      <w:r>
        <w:rPr>
          <w:rFonts w:ascii="Arial" w:hAnsi="Arial" w:cs="Arial"/>
        </w:rPr>
        <w:t>Demil and Lecocq (2010)</w:t>
      </w:r>
      <w:r>
        <w:rPr>
          <w:rFonts w:ascii="Arial" w:hAnsi="Arial" w:cs="Arial"/>
        </w:rPr>
        <w:fldChar w:fldCharType="end"/>
      </w:r>
      <w:r>
        <w:rPr>
          <w:rFonts w:ascii="Arial" w:hAnsi="Arial" w:cs="Arial"/>
        </w:rPr>
        <w:t xml:space="preserve"> a business model is a collection of strategic innovations and institutional arrangements that integrate the organization itself and its stakeholders to obtain excessive profits under clear internal and external conditions, and the analysis of business models should start from the level of systemic analysis and analyze how a company conducts its business based on a holistic explanation.</w:t>
      </w:r>
    </w:p>
    <w:p>
      <w:pPr>
        <w:pStyle w:val="4"/>
        <w:spacing w:before="100" w:beforeAutospacing="1" w:after="100" w:afterAutospacing="1" w:line="360" w:lineRule="auto"/>
        <w:rPr>
          <w:rFonts w:ascii="Arial" w:hAnsi="Arial" w:cs="Arial"/>
        </w:rPr>
      </w:pPr>
      <w:bookmarkStart w:id="36" w:name="_Toc71635928"/>
      <w:bookmarkStart w:id="37" w:name="_Toc71634582"/>
      <w:r>
        <w:rPr>
          <w:rFonts w:ascii="Arial" w:hAnsi="Arial" w:cs="Arial"/>
        </w:rPr>
        <w:t>2.3.2 Classic Business models</w:t>
      </w:r>
      <w:bookmarkEnd w:id="36"/>
      <w:bookmarkEnd w:id="37"/>
      <w:r>
        <w:rPr>
          <w:rFonts w:ascii="Arial" w:hAnsi="Arial" w:cs="Arial"/>
        </w:rPr>
        <w:t xml:space="preserve"> </w:t>
      </w:r>
    </w:p>
    <w:p>
      <w:pPr>
        <w:keepNext/>
        <w:spacing w:before="100" w:beforeAutospacing="1" w:after="100" w:afterAutospacing="1" w:line="360" w:lineRule="auto"/>
        <w:jc w:val="both"/>
      </w:pPr>
      <w:r>
        <w:rPr>
          <w:rFonts w:ascii="Arial" w:hAnsi="Arial" w:cs="Arial"/>
        </w:rPr>
        <w:drawing>
          <wp:inline distT="0" distB="0" distL="0" distR="0">
            <wp:extent cx="2682240" cy="2131695"/>
            <wp:effectExtent l="0" t="0" r="3810" b="1905"/>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a:picLocks noChangeAspect="1"/>
                    </pic:cNvPicPr>
                  </pic:nvPicPr>
                  <pic:blipFill>
                    <a:blip r:embed="rId13"/>
                    <a:stretch>
                      <a:fillRect/>
                    </a:stretch>
                  </pic:blipFill>
                  <pic:spPr>
                    <a:xfrm>
                      <a:off x="0" y="0"/>
                      <a:ext cx="2687320" cy="2135835"/>
                    </a:xfrm>
                    <a:prstGeom prst="rect">
                      <a:avLst/>
                    </a:prstGeom>
                  </pic:spPr>
                </pic:pic>
              </a:graphicData>
            </a:graphic>
          </wp:inline>
        </w:drawing>
      </w:r>
    </w:p>
    <w:p>
      <w:pPr>
        <w:pStyle w:val="11"/>
        <w:jc w:val="both"/>
        <w:rPr>
          <w:rFonts w:ascii="Arial" w:hAnsi="Arial" w:cs="Arial"/>
        </w:rPr>
      </w:pPr>
      <w:r>
        <w:t>Figure 2-1. Busienss model</w:t>
      </w:r>
    </w:p>
    <w:p>
      <w:pPr>
        <w:spacing w:before="100" w:beforeAutospacing="1" w:after="100" w:afterAutospacing="1" w:line="360" w:lineRule="auto"/>
        <w:jc w:val="both"/>
        <w:rPr>
          <w:rFonts w:ascii="Arial" w:hAnsi="Arial" w:cs="Arial"/>
          <w:lang w:val="en-GB"/>
        </w:rPr>
      </w:pPr>
      <w:r>
        <w:rPr>
          <w:rFonts w:ascii="Arial" w:hAnsi="Arial" w:cs="Arial"/>
        </w:rPr>
        <w:t xml:space="preserve">Source: </w:t>
      </w:r>
      <w:r>
        <w:rPr>
          <w:rFonts w:ascii="Arial" w:hAnsi="Arial" w:cs="Arial"/>
        </w:rPr>
        <w:fldChar w:fldCharType="begin" w:fldLock="1"/>
      </w:r>
      <w:r>
        <w:rPr>
          <w:rFonts w:ascii="Arial" w:hAnsi="Arial" w:cs="Arial"/>
        </w:rPr>
        <w:instrText xml:space="preserve">ADDIN CSL_CITATION {"citationItems":[{"id":"ITEM-1","itemData":{"DOI":"10.1108/S0742-332220150000033022","ISSN":"07423322","abstract":"The concept of modularity has gained considerable traction in technology studies as a way to conceive, describe, and innovate complex systems, such as product design or organizational structures. In the recent literature, technological modularity has often been intertwined with business model innovation, and scholarship has started investigating how modularity in technology affects changes in business models, both at the cognitive and activity system levels. Yet we still lack a theoretical definition of what modularity is in the business model domain. Business model innovation also encompasses different possibilities of modelling businesses, which are not clearly understood nor classified. We ask when, how, and if modularity theory can be extended to business models in order to enable effective and efficient modelling. We distinguish theoretically between modularity for technology and for business models, and investigate the key processes of modularization and manipulation. We introduce the basic operations of business modelling via modular operators adapted from the technological modularity domain, using iconic examples to develop an analogical reasoning between modularity in technology and in business models. Finally, we discuss opportunities for using modularity theory to foster the understanding of business models and modelling, and develop a challenging research agenda for future investigations.","author":[{"dropping-particle":"","family":"Aversa","given":"Paolo","non-dropping-particle":"","parse-names":false,"suffix":""},{"dropping-particle":"","family":"Haefliger","given":"Stefan","non-dropping-particle":"","parse-names":false,"suffix":""},{"dropping-particle":"","family":"Rossi","given":"Alessandro","non-dropping-particle":"","parse-names":false,"suffix":""},{"dropping-particle":"","family":"Baden-Fuller","given":"Charles","non-dropping-particle":"","parse-names":false,"suffix":""}],"container-title":"Advances in Strategic Management","id":"ITEM-1","issued":{"date-parts":[["2015"]]},"page":"151-185","title":"From business model to business modelling: Modularity and manipulation","type":"article-journal","volume":"33"},"uris":["http://www.mendeley.com/documents/?uuid=ab300701-d793-3885-a358-2f58b5ab2f03"]}],"mendeley":{"formattedCitation":"(Aversa &lt;i&gt;et al.&lt;/i&gt;, 2015)","plainTextFormattedCitation":"(Aversa et al., 2015)","previouslyFormattedCitation":"(Aversa &lt;i&gt;et al.&lt;/i&gt;, 2015)"},"properties":{"noteIndex":0},"schema":"https://github.com/citation-style-language/schema/raw/master/csl-citation.json"}</w:instrText>
      </w:r>
      <w:r>
        <w:rPr>
          <w:rFonts w:ascii="Arial" w:hAnsi="Arial" w:cs="Arial"/>
        </w:rPr>
        <w:fldChar w:fldCharType="separate"/>
      </w:r>
      <w:r>
        <w:rPr>
          <w:rFonts w:ascii="Arial" w:hAnsi="Arial" w:cs="Arial"/>
        </w:rPr>
        <w:t xml:space="preserve">(Aversa </w:t>
      </w:r>
      <w:r>
        <w:rPr>
          <w:rFonts w:ascii="Arial" w:hAnsi="Arial" w:cs="Arial"/>
          <w:i/>
        </w:rPr>
        <w:t>et al.</w:t>
      </w:r>
      <w:r>
        <w:rPr>
          <w:rFonts w:ascii="Arial" w:hAnsi="Arial" w:cs="Arial"/>
        </w:rPr>
        <w:t>, 2015)</w:t>
      </w:r>
      <w:r>
        <w:rPr>
          <w:rFonts w:ascii="Arial" w:hAnsi="Arial" w:cs="Arial"/>
        </w:rPr>
        <w:fldChar w:fldCharType="end"/>
      </w:r>
    </w:p>
    <w:p>
      <w:pPr>
        <w:spacing w:before="100" w:beforeAutospacing="1" w:after="100" w:afterAutospacing="1" w:line="360" w:lineRule="auto"/>
        <w:jc w:val="both"/>
        <w:rPr>
          <w:rFonts w:ascii="Arial" w:hAnsi="Arial" w:cs="Arial"/>
        </w:rPr>
      </w:pPr>
      <w:r>
        <w:rPr>
          <w:rFonts w:ascii="Arial" w:hAnsi="Arial" w:cs="Arial"/>
        </w:rPr>
        <w:t xml:space="preserve">Besides the efforts of trying to afford an precise definition for the business model, scholars also attempt to develop generally accepted business model that can be used across industries. </w:t>
      </w:r>
      <w:r>
        <w:rPr>
          <w:rFonts w:ascii="Arial" w:hAnsi="Arial" w:cs="Arial"/>
        </w:rPr>
        <w:fldChar w:fldCharType="begin" w:fldLock="1"/>
      </w:r>
      <w:r>
        <w:rPr>
          <w:rFonts w:ascii="Arial" w:hAnsi="Arial" w:cs="Arial"/>
        </w:rPr>
        <w:instrText xml:space="preserve">ADDIN CSL_CITATION {"citationItems":[{"id":"ITEM-1","itemData":{"DOI":"10.1523/JNEUROSCI.0307-10.2010","ISBN":"9780470876411","ISSN":"07376782","PMID":"20237272","abstract":"Offers tools and techniques to systematically understand, design, and implement new business models and renovate and rework old models. TS - WorldCat","author":[{"dropping-particle":"","family":"Osterwalder","given":"Alexander;","non-dropping-particle":"","parse-names":false,"suffix":""},{"dropping-particle":"","family":"Pigneur","given":"Yves","non-dropping-particle":"","parse-names":false,"suffix":""}],"container-title":"John Wiley &amp; Sons","id":"ITEM-1","issued":{"date-parts":[["2010"]]},"number-of-pages":"288","publisher":"John Wiley &amp; Sons","title":"Business Model Generation: A Handbook for Visionaries, Game Changers, and Challengers","type":"book"},"uris":["http://www.mendeley.com/documents/?uuid=a9a6bacf-b9f8-419d-bec8-dbe286e7bca5"]}],"mendeley":{"formattedCitation":"(Osterwalder and Pigneur, 2010)","manualFormatting":"Osterwalder and Pigneur (2010)","plainTextFormattedCitation":"(Osterwalder and Pigneur, 2010)","previouslyFormattedCitation":"(Osterwalder and Pigneur, 2010)"},"properties":{"noteIndex":0},"schema":"https://github.com/citation-style-language/schema/raw/master/csl-citation.json"}</w:instrText>
      </w:r>
      <w:r>
        <w:rPr>
          <w:rFonts w:ascii="Arial" w:hAnsi="Arial" w:cs="Arial"/>
        </w:rPr>
        <w:fldChar w:fldCharType="separate"/>
      </w:r>
      <w:r>
        <w:rPr>
          <w:rFonts w:ascii="Arial" w:hAnsi="Arial" w:cs="Arial"/>
        </w:rPr>
        <w:t>Osterwalder and Pigneur (2010)</w:t>
      </w:r>
      <w:r>
        <w:rPr>
          <w:rFonts w:ascii="Arial" w:hAnsi="Arial" w:cs="Arial"/>
        </w:rPr>
        <w:fldChar w:fldCharType="end"/>
      </w:r>
      <w:r>
        <w:rPr>
          <w:rFonts w:ascii="Arial" w:hAnsi="Arial" w:cs="Arial"/>
        </w:rPr>
        <w:t xml:space="preserve">proposed a nine-factor analysis model, which uses nine factors to analyze the business model, including: core competencies, value configuration, value proposition, distribution channels, target customers, partnerships, customer relationships, cost structure, and revenue structure. The nine building blocks of business model enables business across industries to clarify their segment, allocate resources, and arrange channels, and design the optimal value proposition. However, the 9-element model is criticized for its specific bare applicability in service-dominant businesses, and the emerging new forms of businesses in recent years </w:t>
      </w:r>
      <w:r>
        <w:rPr>
          <w:rFonts w:ascii="Arial" w:hAnsi="Arial" w:cs="Arial"/>
        </w:rPr>
        <w:fldChar w:fldCharType="begin" w:fldLock="1"/>
      </w:r>
      <w:r>
        <w:rPr>
          <w:rFonts w:ascii="Arial" w:hAnsi="Arial" w:cs="Arial"/>
        </w:rPr>
        <w:instrText xml:space="preserve">ADDIN CSL_CITATION {"citationItems":[{"id":"ITEM-1","itemData":{"ISSN":"0024-6301","author":[{"dropping-particle":"","family":"Cosenz","given":"Federico","non-dropping-particle":"","parse-names":false,"suffix":""},{"dropping-particle":"","family":"Noto","given":"Guido","non-dropping-particle":"","parse-names":false,"suffix":""}],"container-title":"Long Range Planning","id":"ITEM-1","issue":"1","issued":{"date-parts":[["2018"]]},"page":"127-140","publisher":"Elsevier","title":"A dynamic business modelling approach to design and experiment new business venture strategies","type":"article-journal","volume":"51"},"uris":["http://www.mendeley.com/documents/?uuid=b35360f7-1e58-4a1e-820d-60e5ff0c23dc"]},{"id":"ITEM-2","itemData":{"ISSN":"0024-6301","author":[{"dropping-particle":"","family":"DaSilva","given":"Carlos M","non-dropping-particle":"","parse-names":false,"suffix":""},{"dropping-particle":"","family":"Trkman","given":"Peter","non-dropping-particle":"","parse-names":false,"suffix":""}],"container-title":"Long range planning","id":"ITEM-2","issue":"6","issued":{"date-parts":[["2014"]]},"page":"379-389","publisher":"Elsevier","title":"Business model: What it is and what it is not","type":"article-journal","volume":"47"},"uris":["http://www.mendeley.com/documents/?uuid=95c5444b-6e32-4286-a5ff-b07befc253c9"]}],"mendeley":{"formattedCitation":"(DaSilva and Trkman, 2014; Cosenz and Noto, 2018)","plainTextFormattedCitation":"(DaSilva and Trkman, 2014; Cosenz and Noto, 2018)","previouslyFormattedCitation":"(DaSilva and Trkman, 2014; Cosenz and Noto, 2018)"},"properties":{"noteIndex":0},"schema":"https://github.com/citation-style-language/schema/raw/master/csl-citation.json"}</w:instrText>
      </w:r>
      <w:r>
        <w:rPr>
          <w:rFonts w:ascii="Arial" w:hAnsi="Arial" w:cs="Arial"/>
        </w:rPr>
        <w:fldChar w:fldCharType="separate"/>
      </w:r>
      <w:r>
        <w:rPr>
          <w:rFonts w:ascii="Arial" w:hAnsi="Arial" w:cs="Arial"/>
        </w:rPr>
        <w:t>(DaSilva and Trkman, 2014; Cosenz and Noto, 2018)</w:t>
      </w:r>
      <w:r>
        <w:rPr>
          <w:rFonts w:ascii="Arial" w:hAnsi="Arial" w:cs="Arial"/>
        </w:rPr>
        <w:fldChar w:fldCharType="end"/>
      </w:r>
      <w:r>
        <w:rPr>
          <w:rFonts w:ascii="Arial" w:hAnsi="Arial" w:cs="Arial"/>
        </w:rPr>
        <w:t xml:space="preserve">.  </w:t>
      </w:r>
      <w:r>
        <w:rPr>
          <w:rFonts w:ascii="Arial" w:hAnsi="Arial" w:cs="Arial"/>
        </w:rPr>
        <w:fldChar w:fldCharType="begin" w:fldLock="1"/>
      </w:r>
      <w:r>
        <w:rPr>
          <w:rFonts w:ascii="Arial" w:hAnsi="Arial" w:cs="Arial"/>
        </w:rPr>
        <w:instrText xml:space="preserve">ADDIN CSL_CITATION {"citationItems":[{"id":"ITEM-1","itemData":{"DOI":"10.1108/S0742-332220150000033022","ISSN":"07423322","abstract":"The concept of modularity has gained considerable traction in technology studies as a way to conceive, describe, and innovate complex systems, such as product design or organizational structures. In the recent literature, technological modularity has often been intertwined with business model innovation, and scholarship has started investigating how modularity in technology affects changes in business models, both at the cognitive and activity system levels. Yet we still lack a theoretical definition of what modularity is in the business model domain. Business model innovation also encompasses different possibilities of modelling businesses, which are not clearly understood nor classified. We ask when, how, and if modularity theory can be extended to business models in order to enable effective and efficient modelling. We distinguish theoretically between modularity for technology and for business models, and investigate the key processes of modularization and manipulation. We introduce the basic operations of business modelling via modular operators adapted from the technological modularity domain, using iconic examples to develop an analogical reasoning between modularity in technology and in business models. Finally, we discuss opportunities for using modularity theory to foster the understanding of business models and modelling, and develop a challenging research agenda for future investigations.","author":[{"dropping-particle":"","family":"Aversa","given":"Paolo","non-dropping-particle":"","parse-names":false,"suffix":""},{"dropping-particle":"","family":"Haefliger","given":"Stefan","non-dropping-particle":"","parse-names":false,"suffix":""},{"dropping-particle":"","family":"Rossi","given":"Alessandro","non-dropping-particle":"","parse-names":false,"suffix":""},{"dropping-particle":"","family":"Baden-Fuller","given":"Charles","non-dropping-particle":"","parse-names":false,"suffix":""}],"container-title":"Advances in Strategic Management","id":"ITEM-1","issued":{"date-parts":[["2015"]]},"page":"151-185","title":"From business model to business modelling: Modularity and manipulation","type":"article-journal","volume":"33"},"uris":["http://www.mendeley.com/documents/?uuid=ab300701-d793-3885-a358-2f58b5ab2f03"]}],"mendeley":{"formattedCitation":"(Aversa &lt;i&gt;et al.&lt;/i&gt;, 2015)","manualFormatting":"Aversa et al. (2015)","plainTextFormattedCitation":"(Aversa et al., 2015)","previouslyFormattedCitation":"(Aversa &lt;i&gt;et al.&lt;/i&gt;, 2015)"},"properties":{"noteIndex":0},"schema":"https://github.com/citation-style-language/schema/raw/master/csl-citation.json"}</w:instrText>
      </w:r>
      <w:r>
        <w:rPr>
          <w:rFonts w:ascii="Arial" w:hAnsi="Arial" w:cs="Arial"/>
        </w:rPr>
        <w:fldChar w:fldCharType="separate"/>
      </w:r>
      <w:r>
        <w:rPr>
          <w:rFonts w:ascii="Arial" w:hAnsi="Arial" w:cs="Arial"/>
        </w:rPr>
        <w:t xml:space="preserve">Aversa </w:t>
      </w:r>
      <w:r>
        <w:rPr>
          <w:rFonts w:ascii="Arial" w:hAnsi="Arial" w:cs="Arial"/>
          <w:i/>
        </w:rPr>
        <w:t>et al.</w:t>
      </w:r>
      <w:r>
        <w:rPr>
          <w:rFonts w:ascii="Arial" w:hAnsi="Arial" w:cs="Arial"/>
        </w:rPr>
        <w:t xml:space="preserve"> (2015)</w:t>
      </w:r>
      <w:r>
        <w:rPr>
          <w:rFonts w:ascii="Arial" w:hAnsi="Arial" w:cs="Arial"/>
        </w:rPr>
        <w:fldChar w:fldCharType="end"/>
      </w:r>
      <w:r>
        <w:rPr>
          <w:rFonts w:ascii="Arial" w:hAnsi="Arial" w:cs="Arial"/>
        </w:rPr>
        <w:t xml:space="preserve"> and </w:t>
      </w:r>
      <w:r>
        <w:rPr>
          <w:rFonts w:ascii="Arial" w:hAnsi="Arial" w:cs="Arial"/>
        </w:rPr>
        <w:fldChar w:fldCharType="begin" w:fldLock="1"/>
      </w:r>
      <w:r>
        <w:rPr>
          <w:rFonts w:ascii="Arial" w:hAnsi="Arial" w:cs="Arial"/>
        </w:rPr>
        <w:instrText xml:space="preserve">ADDIN CSL_CITATION {"citationItems":[{"id":"ITEM-1","itemData":{"ISSN":"1042-2587","author":[{"dropping-particle":"","family":"George","given":"Gerard","non-dropping-particle":"","parse-names":false,"suffix":""},{"dropping-particle":"","family":"Bock","given":"Adam J","non-dropping-particle":"","parse-names":false,"suffix":""}],"container-title":"Entrepreneurship theory and practice","id":"ITEM-1","issue":"1","issued":{"date-parts":[["2011"]]},"page":"83-111","publisher":"SAGE Publications Sage CA: Los Angeles, CA","title":"The business model in practice and its implications for entrepreneurship research","type":"article-journal","volume":"35"},"uris":["http://www.mendeley.com/documents/?uuid=5c4a012d-a1a4-4c89-845c-0687084d5fb1"]}],"mendeley":{"formattedCitation":"(George and Bock, 2011)","manualFormatting":"George and Bock (2011)","plainTextFormattedCitation":"(George and Bock, 2011)","previouslyFormattedCitation":"(George and Bock, 2011)"},"properties":{"noteIndex":0},"schema":"https://github.com/citation-style-language/schema/raw/master/csl-citation.json"}</w:instrText>
      </w:r>
      <w:r>
        <w:rPr>
          <w:rFonts w:ascii="Arial" w:hAnsi="Arial" w:cs="Arial"/>
        </w:rPr>
        <w:fldChar w:fldCharType="separate"/>
      </w:r>
      <w:r>
        <w:rPr>
          <w:rFonts w:ascii="Arial" w:hAnsi="Arial" w:cs="Arial"/>
        </w:rPr>
        <w:t>George and Bock (2011)</w:t>
      </w:r>
      <w:r>
        <w:rPr>
          <w:rFonts w:ascii="Arial" w:hAnsi="Arial" w:cs="Arial"/>
        </w:rPr>
        <w:fldChar w:fldCharType="end"/>
      </w:r>
      <w:r>
        <w:rPr>
          <w:rFonts w:ascii="Arial" w:hAnsi="Arial" w:cs="Arial"/>
        </w:rPr>
        <w:t>, based on previous business models proposed by different scholars, syntheses and business model that include three building blocks, including value creation, value delivery and value capture, and the model could be relevant to all businesses. Value creation refers to how a company identifies its target customers and provides the products and services they need to the target customers. Value deliveries refer to how business allocate resources to distribute services. These resources allow the business to realize its value proposition and perform value creation, which leads to value capture. Value capture is the way in which a business derives financial benefits from its customer base.</w:t>
      </w:r>
    </w:p>
    <w:p>
      <w:pPr>
        <w:spacing w:before="100" w:beforeAutospacing="1" w:after="100" w:afterAutospacing="1" w:line="360" w:lineRule="auto"/>
        <w:jc w:val="both"/>
        <w:rPr>
          <w:rFonts w:ascii="Arial" w:hAnsi="Arial" w:cs="Arial"/>
        </w:rPr>
      </w:pPr>
      <w:r>
        <w:rPr>
          <w:rFonts w:ascii="Arial" w:hAnsi="Arial" w:cs="Arial"/>
        </w:rPr>
        <w:t xml:space="preserve">Regarding the study of business model in esports, the review of literature indicates there are very limited study sheds light on the specific industry from the business model perspectives. Although there are emerging studies appraising eSports in its novelty in business models, ecosystems and the networks of actors, discussions are generally remaining at the surface level without in-depth knowledge or a specific aspect of business model, not to mention using a specific business model framework as a systematically theoretical lens to investigate the industry </w:t>
      </w:r>
      <w:r>
        <w:rPr>
          <w:rFonts w:ascii="Arial" w:hAnsi="Arial" w:cs="Arial"/>
        </w:rPr>
        <w:fldChar w:fldCharType="begin" w:fldLock="1"/>
      </w:r>
      <w:r>
        <w:rPr>
          <w:rFonts w:ascii="Arial" w:hAnsi="Arial" w:cs="Arial"/>
        </w:rPr>
        <w:instrText xml:space="preserve">ADDIN CSL_CITATION {"citationItems":[{"id":"ITEM-1","itemData":{"ISBN":"3030111989","author":[{"dropping-particle":"","family":"Scholz","given":"Tobias M","non-dropping-particle":"","parse-names":false,"suffix":""},{"dropping-particle":"","family":"Scholz","given":"Tobias M","non-dropping-particle":"","parse-names":false,"suffix":""},{"dropping-particle":"","family":"Barlow","given":"","non-dropping-particle":"","parse-names":false,"suffix":""}],"id":"ITEM-1","issued":{"date-parts":[["2019"]]},"publisher":"Springer","title":"eSports is Business","type":"book"},"uris":["http://www.mendeley.com/documents/?uuid=dd21c3b1-ba8f-44f1-8303-a112e0d0860a"]}],"mendeley":{"formattedCitation":"(Scholz, Scholz and Barlow, 2019)","plainTextFormattedCitation":"(Scholz, Scholz and Barlow, 2019)","previouslyFormattedCitation":"(Scholz, Scholz and Barlow, 2019)"},"properties":{"noteIndex":0},"schema":"https://github.com/citation-style-language/schema/raw/master/csl-citation.json"}</w:instrText>
      </w:r>
      <w:r>
        <w:rPr>
          <w:rFonts w:ascii="Arial" w:hAnsi="Arial" w:cs="Arial"/>
        </w:rPr>
        <w:fldChar w:fldCharType="separate"/>
      </w:r>
      <w:r>
        <w:rPr>
          <w:rFonts w:ascii="Arial" w:hAnsi="Arial" w:cs="Arial"/>
        </w:rPr>
        <w:t>(Scholz, Scholz and Barlow, 2019)</w:t>
      </w:r>
      <w:r>
        <w:rPr>
          <w:rFonts w:ascii="Arial" w:hAnsi="Arial" w:cs="Arial"/>
        </w:rPr>
        <w:fldChar w:fldCharType="end"/>
      </w:r>
      <w:r>
        <w:rPr>
          <w:rFonts w:ascii="Arial" w:hAnsi="Arial" w:cs="Arial"/>
        </w:rPr>
        <w:t xml:space="preserve">. For instance, </w:t>
      </w:r>
      <w:r>
        <w:rPr>
          <w:rFonts w:ascii="Arial" w:hAnsi="Arial" w:cs="Arial"/>
        </w:rPr>
        <w:fldChar w:fldCharType="begin" w:fldLock="1"/>
      </w:r>
      <w:r>
        <w:rPr>
          <w:rFonts w:ascii="Arial" w:hAnsi="Arial" w:cs="Arial"/>
        </w:rPr>
        <w:instrText xml:space="preserve">ADDIN CSL_CITATION {"citationItems":[{"id":"ITEM-1","itemData":{"ISSN":"1501368753","author":[{"dropping-particle":"","family":"Scholz","given":"Tobias M","non-dropping-particle":"","parse-names":false,"suffix":""}],"container-title":"Global esports: Transformation of Cultural Perceptions of Competitive Gaming","id":"ITEM-1","issued":{"date-parts":[["2021"]]},"page":"99","publisher":"Bloomsbury Publishing USA","title":"The Business Model Network of Esports","type":"article-journal"},"uris":["http://www.mendeley.com/documents/?uuid=c08470e7-8ce7-4178-af04-92c4a9d626bf"]}],"mendeley":{"formattedCitation":"(Scholz, 2021)","manualFormatting":"Scholz (2021)","plainTextFormattedCitation":"(Scholz, 2021)","previouslyFormattedCitation":"(Scholz, 2021)"},"properties":{"noteIndex":0},"schema":"https://github.com/citation-style-language/schema/raw/master/csl-citation.json"}</w:instrText>
      </w:r>
      <w:r>
        <w:rPr>
          <w:rFonts w:ascii="Arial" w:hAnsi="Arial" w:cs="Arial"/>
        </w:rPr>
        <w:fldChar w:fldCharType="separate"/>
      </w:r>
      <w:r>
        <w:rPr>
          <w:rFonts w:ascii="Arial" w:hAnsi="Arial" w:cs="Arial"/>
        </w:rPr>
        <w:t>Scholz (2021)</w:t>
      </w:r>
      <w:r>
        <w:rPr>
          <w:rFonts w:ascii="Arial" w:hAnsi="Arial" w:cs="Arial"/>
        </w:rPr>
        <w:fldChar w:fldCharType="end"/>
      </w:r>
      <w:r>
        <w:rPr>
          <w:rFonts w:ascii="Arial" w:hAnsi="Arial" w:cs="Arial"/>
        </w:rPr>
        <w:t xml:space="preserve"> studied the business model networks of esports by shedding light on the issues of self-regulation and lack of traditional business intervention. </w:t>
      </w:r>
      <w:r>
        <w:rPr>
          <w:rFonts w:ascii="Arial" w:hAnsi="Arial" w:cs="Arial"/>
        </w:rPr>
        <w:fldChar w:fldCharType="begin" w:fldLock="1"/>
      </w:r>
      <w:r>
        <w:rPr>
          <w:rFonts w:ascii="Arial" w:hAnsi="Arial" w:cs="Arial"/>
        </w:rPr>
        <w:instrText xml:space="preserve">ADDIN CSL_CITATION {"citationItems":[{"id":"ITEM-1","itemData":{"ISSN":"1555-4120","author":[{"dropping-particle":"","family":"Reitman","given":"Jason G","non-dropping-particle":"","parse-names":false,"suffix":""},{"dropping-particle":"","family":"Anderson-Coto","given":"Maria J","non-dropping-particle":"","parse-names":false,"suffix":""},{"dropping-particle":"","family":"Wu","given":"Minerva","non-dropping-particle":"","parse-names":false,"suffix":""},{"dropping-particle":"","family":"Lee","given":"Je Seok","non-dropping-particle":"","parse-names":false,"suffix":""},{"dropping-particle":"","family":"Steinkuehler","given":"Constance","non-dropping-particle":"","parse-names":false,"suffix":""}],"container-title":"Games and Culture","id":"ITEM-1","issue":"1","issued":{"date-parts":[["2020"]]},"page":"32-50","publisher":"Sage Publications Sage CA: Los Angeles, CA","title":"Esports research: A literature review","type":"article-journal","volume":"15"},"uris":["http://www.mendeley.com/documents/?uuid=46a437c1-13e1-4708-ba00-419578b20df7"]}],"mendeley":{"formattedCitation":"(Reitman &lt;i&gt;et al.&lt;/i&gt;, 2020)","manualFormatting":"Reitman et al. (2020)","plainTextFormattedCitation":"(Reitman et al., 2020)","previouslyFormattedCitation":"(Reitman &lt;i&gt;et al.&lt;/i&gt;, 2020)"},"properties":{"noteIndex":0},"schema":"https://github.com/citation-style-language/schema/raw/master/csl-citation.json"}</w:instrText>
      </w:r>
      <w:r>
        <w:rPr>
          <w:rFonts w:ascii="Arial" w:hAnsi="Arial" w:cs="Arial"/>
        </w:rPr>
        <w:fldChar w:fldCharType="separate"/>
      </w:r>
      <w:r>
        <w:rPr>
          <w:rFonts w:ascii="Arial" w:hAnsi="Arial" w:cs="Arial"/>
        </w:rPr>
        <w:t xml:space="preserve">Reitman </w:t>
      </w:r>
      <w:r>
        <w:rPr>
          <w:rFonts w:ascii="Arial" w:hAnsi="Arial" w:cs="Arial"/>
          <w:i/>
        </w:rPr>
        <w:t>et al.</w:t>
      </w:r>
      <w:r>
        <w:rPr>
          <w:rFonts w:ascii="Arial" w:hAnsi="Arial" w:cs="Arial"/>
        </w:rPr>
        <w:t xml:space="preserve"> (2020)</w:t>
      </w:r>
      <w:r>
        <w:rPr>
          <w:rFonts w:ascii="Arial" w:hAnsi="Arial" w:cs="Arial"/>
        </w:rPr>
        <w:fldChar w:fldCharType="end"/>
      </w:r>
      <w:r>
        <w:rPr>
          <w:rFonts w:ascii="Arial" w:hAnsi="Arial" w:cs="Arial"/>
        </w:rPr>
        <w:t xml:space="preserve"> delivers a review on the different revenue generating models leveraged by the e-sports industry. Another reason for the limited research is that the eSports industry is a highly complex, dynamic industry that is still under the continuous evolution in China, most studies on the eSports industry are centred on the developed markets such as US and South Korea </w:t>
      </w:r>
      <w:r>
        <w:rPr>
          <w:rFonts w:ascii="Arial" w:hAnsi="Arial" w:cs="Arial"/>
        </w:rPr>
        <w:fldChar w:fldCharType="begin" w:fldLock="1"/>
      </w:r>
      <w:r>
        <w:rPr>
          <w:rFonts w:ascii="Arial" w:hAnsi="Arial" w:cs="Arial"/>
        </w:rPr>
        <w:instrText xml:space="preserve">ADDIN CSL_CITATION {"citationItems":[{"id":"ITEM-1","itemData":{"ISSN":"1424-1277","author":[{"dropping-particle":"","family":"Ji","given":"Zeran","non-dropping-particle":"","parse-names":false,"suffix":""},{"dropping-particle":"","family":"Hanna","given":"Richard C","non-dropping-particle":"","parse-names":false,"suffix":""}],"container-title":"International journal on media management","id":"ITEM-1","issue":"1","issued":{"date-parts":[["2020"]]},"page":"13-29","publisher":"Taylor &amp; Francis","title":"Gamers first</w:instrText>
      </w:r>
      <w:r>
        <w:rPr>
          <w:rFonts w:ascii="Malgun Gothic" w:hAnsi="Malgun Gothic" w:cs="Malgun Gothic"/>
        </w:rPr>
        <w:instrText xml:space="preserve">�</w:instrText>
      </w:r>
      <w:r>
        <w:rPr>
          <w:rFonts w:ascii="Arial" w:hAnsi="Arial" w:cs="Arial"/>
        </w:rPr>
        <w:instrText xml:space="preserve">CHow consumer preferences impact eSports media offerings","type":"article-journal","volume":"22"},"uris":["http://www.mendeley.com/documents/?uuid=f3d510e0-449a-4867-9273-7d4512ff4961"]}],"mendeley":{"formattedCitation":"(Ji and Hanna, 2020)","plainTextFormattedCitation":"(Ji and Hanna, 2020)","previouslyFormattedCitation":"(Ji and Hanna, 2020)"},"properties":{"noteIndex":0},"schema":"https://github.com/citation-style-language/schema/raw/master/csl-citation.json"}</w:instrText>
      </w:r>
      <w:r>
        <w:rPr>
          <w:rFonts w:ascii="Arial" w:hAnsi="Arial" w:cs="Arial"/>
        </w:rPr>
        <w:fldChar w:fldCharType="separate"/>
      </w:r>
      <w:r>
        <w:rPr>
          <w:rFonts w:ascii="Arial" w:hAnsi="Arial" w:cs="Arial"/>
        </w:rPr>
        <w:t>(Ji and Hanna, 2020)</w:t>
      </w:r>
      <w:r>
        <w:rPr>
          <w:rFonts w:ascii="Arial" w:hAnsi="Arial" w:cs="Arial"/>
        </w:rPr>
        <w:fldChar w:fldCharType="end"/>
      </w:r>
      <w:r>
        <w:rPr>
          <w:rFonts w:ascii="Arial" w:hAnsi="Arial" w:cs="Arial"/>
        </w:rPr>
        <w:t xml:space="preserve">. </w:t>
      </w:r>
    </w:p>
    <w:p>
      <w:pPr>
        <w:spacing w:before="100" w:beforeAutospacing="1" w:after="100" w:afterAutospacing="1" w:line="360" w:lineRule="auto"/>
        <w:jc w:val="both"/>
        <w:rPr>
          <w:rFonts w:ascii="Arial" w:hAnsi="Arial" w:cs="Arial"/>
        </w:rPr>
      </w:pPr>
      <w:r>
        <w:rPr>
          <w:rFonts w:ascii="Arial" w:hAnsi="Arial" w:cs="Arial"/>
        </w:rPr>
        <w:t xml:space="preserve">Integrating the advantages and disadvantages of several business model definitions and frameworks mentioned above, and provided the length of the present dissertation, and the applicability of the study contributed by </w:t>
      </w:r>
      <w:r>
        <w:rPr>
          <w:rFonts w:ascii="Arial" w:hAnsi="Arial" w:cs="Arial"/>
        </w:rPr>
        <w:fldChar w:fldCharType="begin" w:fldLock="1"/>
      </w:r>
      <w:r>
        <w:rPr>
          <w:rFonts w:ascii="Arial" w:hAnsi="Arial" w:cs="Arial"/>
        </w:rPr>
        <w:instrText xml:space="preserve">ADDIN CSL_CITATION {"citationItems":[{"id":"ITEM-1","itemData":{"DOI":"10.1108/S0742-332220150000033022","ISSN":"07423322","abstract":"The concept of modularity has gained considerable traction in technology studies as a way to conceive, describe, and innovate complex systems, such as product design or organizational structures. In the recent literature, technological modularity has often been intertwined with business model innovation, and scholarship has started investigating how modularity in technology affects changes in business models, both at the cognitive and activity system levels. Yet we still lack a theoretical definition of what modularity is in the business model domain. Business model innovation also encompasses different possibilities of modelling businesses, which are not clearly understood nor classified. We ask when, how, and if modularity theory can be extended to business models in order to enable effective and efficient modelling. We distinguish theoretically between modularity for technology and for business models, and investigate the key processes of modularization and manipulation. We introduce the basic operations of business modelling via modular operators adapted from the technological modularity domain, using iconic examples to develop an analogical reasoning between modularity in technology and in business models. Finally, we discuss opportunities for using modularity theory to foster the understanding of business models and modelling, and develop a challenging research agenda for future investigations.","author":[{"dropping-particle":"","family":"Aversa","given":"Paolo","non-dropping-particle":"","parse-names":false,"suffix":""},{"dropping-particle":"","family":"Haefliger","given":"Stefan","non-dropping-particle":"","parse-names":false,"suffix":""},{"dropping-particle":"","family":"Rossi","given":"Alessandro","non-dropping-particle":"","parse-names":false,"suffix":""},{"dropping-particle":"","family":"Baden-Fuller","given":"Charles","non-dropping-particle":"","parse-names":false,"suffix":""}],"container-title":"Advances in Strategic Management","id":"ITEM-1","issued":{"date-parts":[["2015"]]},"page":"151-185","title":"From business model to business modelling: Modularity and manipulation","type":"article-journal","volume":"33"},"uris":["http://www.mendeley.com/documents/?uuid=ab300701-d793-3885-a358-2f58b5ab2f03"]}],"mendeley":{"formattedCitation":"(Aversa &lt;i&gt;et al.&lt;/i&gt;, 2015)","manualFormatting":"Aversa et al. (2015)","plainTextFormattedCitation":"(Aversa et al., 2015)","previouslyFormattedCitation":"(Aversa &lt;i&gt;et al.&lt;/i&gt;, 2015)"},"properties":{"noteIndex":0},"schema":"https://github.com/citation-style-language/schema/raw/master/csl-citation.json"}</w:instrText>
      </w:r>
      <w:r>
        <w:rPr>
          <w:rFonts w:ascii="Arial" w:hAnsi="Arial" w:cs="Arial"/>
        </w:rPr>
        <w:fldChar w:fldCharType="separate"/>
      </w:r>
      <w:r>
        <w:rPr>
          <w:rFonts w:ascii="Arial" w:hAnsi="Arial" w:cs="Arial"/>
        </w:rPr>
        <w:t xml:space="preserve">Aversa </w:t>
      </w:r>
      <w:r>
        <w:rPr>
          <w:rFonts w:ascii="Arial" w:hAnsi="Arial" w:cs="Arial"/>
          <w:i/>
        </w:rPr>
        <w:t>et al.</w:t>
      </w:r>
      <w:r>
        <w:rPr>
          <w:rFonts w:ascii="Arial" w:hAnsi="Arial" w:cs="Arial"/>
        </w:rPr>
        <w:t xml:space="preserve"> (2015)</w:t>
      </w:r>
      <w:r>
        <w:rPr>
          <w:rFonts w:ascii="Arial" w:hAnsi="Arial" w:cs="Arial"/>
        </w:rPr>
        <w:fldChar w:fldCharType="end"/>
      </w:r>
      <w:r>
        <w:rPr>
          <w:rFonts w:ascii="Arial" w:hAnsi="Arial" w:cs="Arial"/>
        </w:rPr>
        <w:t xml:space="preserve">, this paper intends to select three elements value creation, value delivery, and value capture to analyse the business model of eSports industry based on the principles of practicality, feasibility and high generality. </w:t>
      </w:r>
    </w:p>
    <w:p>
      <w:pPr>
        <w:pStyle w:val="3"/>
        <w:spacing w:before="100" w:beforeAutospacing="1" w:after="100" w:afterAutospacing="1" w:line="360" w:lineRule="auto"/>
        <w:rPr>
          <w:rFonts w:ascii="Arial" w:hAnsi="Arial" w:cs="Arial"/>
        </w:rPr>
      </w:pPr>
      <w:bookmarkStart w:id="38" w:name="_Toc71635929"/>
      <w:bookmarkStart w:id="39" w:name="_Toc71634583"/>
      <w:r>
        <w:rPr>
          <w:rFonts w:ascii="Arial" w:hAnsi="Arial" w:cs="Arial"/>
        </w:rPr>
        <w:t>2.4 Summary of literature review</w:t>
      </w:r>
      <w:bookmarkEnd w:id="38"/>
      <w:bookmarkEnd w:id="39"/>
    </w:p>
    <w:p>
      <w:pPr>
        <w:spacing w:before="100" w:beforeAutospacing="1" w:after="100" w:afterAutospacing="1" w:line="360" w:lineRule="auto"/>
        <w:jc w:val="both"/>
        <w:rPr>
          <w:rFonts w:ascii="Arial" w:hAnsi="Arial" w:cs="Arial"/>
        </w:rPr>
      </w:pPr>
      <w:r>
        <w:rPr>
          <w:rFonts w:ascii="Arial" w:hAnsi="Arial" w:cs="Arial"/>
        </w:rPr>
        <w:t>The review on the relevant literature indicates there has not yet consistent definitions on the concept of eSports and business model, the present study sticks to the definition that is universally accepted in the academic. Also, the review on the study indicates so far there has not studies investigate the eSports industry from the perspective of business model framework, and most existing literatures talk about the business model issues at the surface level or just focus on a particular aspect of business model, not to mention studies that use China as a specific context. The evident research gap can be, therefore, be narrowed through using the three general elements of business model, value creation, value delivery and value capture, with high applicability to all business to analyze what is the business model of eSports industry in China, and how the business model can be effectively improved.</w:t>
      </w:r>
    </w:p>
    <w:p>
      <w:pPr>
        <w:rPr>
          <w:rFonts w:ascii="Arial" w:hAnsi="Arial" w:cs="Arial"/>
        </w:rPr>
      </w:pPr>
    </w:p>
    <w:p>
      <w:pPr>
        <w:rPr>
          <w:rFonts w:ascii="Arial" w:hAnsi="Arial" w:cs="Arial"/>
        </w:rPr>
      </w:pPr>
    </w:p>
    <w:p>
      <w:pPr>
        <w:rPr>
          <w:rFonts w:ascii="Arial" w:hAnsi="Arial" w:cs="Arial"/>
        </w:rPr>
      </w:pPr>
    </w:p>
    <w:p>
      <w:pPr>
        <w:rPr>
          <w:rFonts w:ascii="Arial" w:hAnsi="Arial" w:cs="Arial"/>
        </w:rPr>
      </w:pPr>
      <w:r>
        <w:rPr>
          <w:rFonts w:ascii="Arial" w:hAnsi="Arial" w:cs="Arial"/>
        </w:rPr>
        <w:br w:type="page"/>
      </w:r>
    </w:p>
    <w:p>
      <w:pPr>
        <w:pStyle w:val="2"/>
        <w:spacing w:before="0" w:after="312" w:afterLines="100" w:line="360" w:lineRule="auto"/>
        <w:jc w:val="both"/>
        <w:rPr>
          <w:rFonts w:ascii="Arial" w:hAnsi="Arial" w:cs="Arial"/>
        </w:rPr>
      </w:pPr>
      <w:bookmarkStart w:id="40" w:name="_Toc71634584"/>
      <w:bookmarkStart w:id="41" w:name="_Toc71635930"/>
      <w:r>
        <w:rPr>
          <w:rFonts w:ascii="Arial" w:hAnsi="Arial" w:cs="Arial"/>
        </w:rPr>
        <w:t xml:space="preserve">Chapter 3 Research methodology </w:t>
      </w:r>
      <w:bookmarkEnd w:id="40"/>
      <w:bookmarkEnd w:id="41"/>
    </w:p>
    <w:p>
      <w:pPr>
        <w:pStyle w:val="3"/>
        <w:spacing w:before="0" w:after="100" w:line="360" w:lineRule="auto"/>
        <w:jc w:val="both"/>
        <w:rPr>
          <w:rFonts w:ascii="Arial" w:hAnsi="Arial" w:cs="Arial"/>
        </w:rPr>
      </w:pPr>
      <w:bookmarkStart w:id="42" w:name="_Toc71635931"/>
      <w:bookmarkStart w:id="43" w:name="_Toc71634585"/>
      <w:r>
        <w:rPr>
          <w:rFonts w:ascii="Arial" w:hAnsi="Arial" w:cs="Arial"/>
        </w:rPr>
        <w:t>3.1 Introduction</w:t>
      </w:r>
      <w:bookmarkEnd w:id="42"/>
      <w:bookmarkEnd w:id="43"/>
      <w:r>
        <w:rPr>
          <w:rFonts w:ascii="Arial" w:hAnsi="Arial" w:cs="Arial"/>
        </w:rPr>
        <w:t xml:space="preserve"> </w:t>
      </w:r>
    </w:p>
    <w:p>
      <w:pPr>
        <w:spacing w:after="312" w:afterLines="100" w:line="360" w:lineRule="auto"/>
        <w:jc w:val="both"/>
        <w:rPr>
          <w:rFonts w:ascii="Arial" w:hAnsi="Arial" w:cs="Arial"/>
        </w:rPr>
      </w:pPr>
      <w:r>
        <w:rPr>
          <w:rFonts w:ascii="Arial" w:hAnsi="Arial" w:cs="Arial"/>
        </w:rPr>
        <w:t xml:space="preserve">The chapter presents the research methodology adopted in this dissertation with the aim to best answer the research question. The underlying logic to unfold the chapter is the research onion developed by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2009)","manualFormatting":"Saunders,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Each layer of the onion is elaborated in a detailed manner in the following. </w:t>
      </w:r>
    </w:p>
    <w:p>
      <w:pPr>
        <w:keepNext/>
        <w:spacing w:after="312" w:afterLines="100" w:line="360" w:lineRule="auto"/>
        <w:jc w:val="both"/>
      </w:pPr>
      <w:r>
        <w:rPr>
          <w:rFonts w:ascii="Arial" w:hAnsi="Arial" w:cs="Arial"/>
        </w:rPr>
        <w:drawing>
          <wp:inline distT="0" distB="0" distL="0" distR="0">
            <wp:extent cx="3657600" cy="2749550"/>
            <wp:effectExtent l="0" t="0" r="0" b="0"/>
            <wp:docPr id="5" name="图片 5" descr="Research.Onion.(Saunders et al.,.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Research.Onion.(Saunders et al.,.2016)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3670035" cy="2759375"/>
                    </a:xfrm>
                    <a:prstGeom prst="rect">
                      <a:avLst/>
                    </a:prstGeom>
                    <a:noFill/>
                    <a:ln>
                      <a:noFill/>
                    </a:ln>
                  </pic:spPr>
                </pic:pic>
              </a:graphicData>
            </a:graphic>
          </wp:inline>
        </w:drawing>
      </w:r>
    </w:p>
    <w:p>
      <w:pPr>
        <w:pStyle w:val="11"/>
        <w:jc w:val="both"/>
        <w:rPr>
          <w:rFonts w:ascii="Arial" w:hAnsi="Arial" w:cs="Arial"/>
        </w:rPr>
      </w:pPr>
      <w:r>
        <w:t>Figure 3-1. Research onion</w:t>
      </w:r>
    </w:p>
    <w:p>
      <w:pPr>
        <w:spacing w:after="312" w:afterLines="100" w:line="36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p>
    <w:p>
      <w:pPr>
        <w:pStyle w:val="3"/>
        <w:numPr>
          <w:ilvl w:val="1"/>
          <w:numId w:val="3"/>
        </w:numPr>
        <w:spacing w:before="0" w:after="312" w:afterLines="100" w:line="360" w:lineRule="auto"/>
        <w:jc w:val="both"/>
        <w:rPr>
          <w:rFonts w:ascii="Arial" w:hAnsi="Arial" w:cs="Arial"/>
        </w:rPr>
      </w:pPr>
      <w:bookmarkStart w:id="44" w:name="_Toc71634586"/>
      <w:bookmarkStart w:id="45" w:name="_Toc71635932"/>
      <w:r>
        <w:rPr>
          <w:rFonts w:ascii="Arial" w:hAnsi="Arial" w:cs="Arial"/>
        </w:rPr>
        <w:t>Research philosophy</w:t>
      </w:r>
      <w:bookmarkEnd w:id="44"/>
      <w:bookmarkEnd w:id="45"/>
    </w:p>
    <w:p>
      <w:pPr>
        <w:spacing w:after="312" w:afterLines="100" w:line="360" w:lineRule="auto"/>
        <w:jc w:val="both"/>
        <w:rPr>
          <w:rFonts w:ascii="Arial" w:hAnsi="Arial" w:cs="Arial"/>
        </w:rPr>
      </w:pPr>
      <w:r>
        <w:rPr>
          <w:rFonts w:ascii="Arial" w:hAnsi="Arial" w:cs="Arial"/>
        </w:rPr>
        <w:t xml:space="preserve">The very starting point of a social science research is to adopt an appropriate philosophy stance. It is nature that researchers take different views of the reality, which in turn affects the manner that the perceive and develop empirical knowledge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It is, therefore, of great importance to define which ontological reflection the present dissertation builds on, as it renders a significant impact on the design of the following methodology. </w:t>
      </w:r>
    </w:p>
    <w:p>
      <w:pPr>
        <w:spacing w:after="312" w:afterLines="100" w:line="360" w:lineRule="auto"/>
        <w:jc w:val="both"/>
        <w:rPr>
          <w:rFonts w:ascii="Arial" w:hAnsi="Arial" w:cs="Arial"/>
        </w:rPr>
      </w:pPr>
      <w:r>
        <w:rPr>
          <w:rFonts w:ascii="Arial" w:hAnsi="Arial" w:cs="Arial"/>
        </w:rPr>
        <w:t xml:space="preserve">The specific research philosophy the author adopted here is the interpretivism. Interpretivism has been described as the particular stance that aims to “create novel, richer understandings and interpretations of social worlds and contexts through integrating the researcher’s interests into the study”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Especially in the social science research, researchers play the role of interpreting the reality, the assumption derived from interpretivism made it more applicable in social studies rather than nature studies </w:t>
      </w:r>
      <w:r>
        <w:rPr>
          <w:rFonts w:ascii="Arial" w:hAnsi="Arial" w:cs="Arial"/>
        </w:rPr>
        <w:fldChar w:fldCharType="begin" w:fldLock="1"/>
      </w:r>
      <w:r>
        <w:rPr>
          <w:rFonts w:ascii="Arial" w:hAnsi="Arial" w:cs="Arial"/>
        </w:rPr>
        <w:instrText xml:space="preserve">ADDIN CSL_CITATION {"citationItems":[{"id":"ITEM-1","itemData":{"ISBN":"1317883691","author":[{"dropping-particle":"","family":"Hughes","given":"John A","non-dropping-particle":"","parse-names":false,"suffix":""},{"dropping-particle":"","family":"Sharrock","given":"Wes W","non-dropping-particle":"","parse-names":false,"suffix":""}],"id":"ITEM-1","issued":{"date-parts":[["2016"]]},"publisher":"Routledge","title":"The philosophy of social research","type":"book"},"uris":["http://www.mendeley.com/documents/?uuid=47b36d99-2021-4efd-b124-a604ecef364c"]}],"mendeley":{"formattedCitation":"(Hughes and Sharrock, 2016)","plainTextFormattedCitation":"(Hughes and Sharrock, 2016)","previouslyFormattedCitation":"(Hughes and Sharrock, 2016)"},"properties":{"noteIndex":0},"schema":"https://github.com/citation-style-language/schema/raw/master/csl-citation.json"}</w:instrText>
      </w:r>
      <w:r>
        <w:rPr>
          <w:rFonts w:ascii="Arial" w:hAnsi="Arial" w:cs="Arial"/>
        </w:rPr>
        <w:fldChar w:fldCharType="separate"/>
      </w:r>
      <w:r>
        <w:rPr>
          <w:rFonts w:ascii="Arial" w:hAnsi="Arial" w:cs="Arial"/>
        </w:rPr>
        <w:t>(Hughes and Sharrock, 2016)</w:t>
      </w:r>
      <w:r>
        <w:rPr>
          <w:rFonts w:ascii="Arial" w:hAnsi="Arial" w:cs="Arial"/>
        </w:rPr>
        <w:fldChar w:fldCharType="end"/>
      </w:r>
      <w:r>
        <w:rPr>
          <w:rFonts w:ascii="Arial" w:hAnsi="Arial" w:cs="Arial"/>
        </w:rPr>
        <w:t xml:space="preserve">. More detailed, the interpretivists hold the idea that the reality is socially constructed and access the reality through close understanding.  Admitting the individuals in the reality is intricate and complex, interpretivism adapts a relativist ontology indicating the fact that there are variations in the knowledge if different time horizon or context were investigated </w:t>
      </w:r>
      <w:r>
        <w:rPr>
          <w:rFonts w:ascii="Arial" w:hAnsi="Arial" w:cs="Arial"/>
        </w:rPr>
        <w:fldChar w:fldCharType="begin" w:fldLock="1"/>
      </w:r>
      <w:r>
        <w:rPr>
          <w:rFonts w:ascii="Arial" w:hAnsi="Arial" w:cs="Arial"/>
        </w:rPr>
        <w:instrText xml:space="preserve">ADDIN CSL_CITATION {"citationItems":[{"id":"ITEM-1","itemData":{"ISSN":"0960-085X","author":[{"dropping-particle":"","family":"Goldkuhl","given":"G ran","non-dropping-particle":"","parse-names":false,"suffix":""}],"container-title":"European journal of information systems","id":"ITEM-1","issue":"2","issued":{"date-parts":[["2012"]]},"page":"135-146","publisher":"Taylor &amp; Francis","title":"Pragmatism vs interpretivism in qualitative information systems research","type":"article-journal","volume":"21"},"uris":["http://www.mendeley.com/documents/?uuid=7717b7d2-0679-4044-914d-094950aac362"]}],"mendeley":{"formattedCitation":"(Goldkuhl, 2012)","plainTextFormattedCitation":"(Goldkuhl, 2012)","previouslyFormattedCitation":"(Goldkuhl, 2012)"},"properties":{"noteIndex":0},"schema":"https://github.com/citation-style-language/schema/raw/master/csl-citation.json"}</w:instrText>
      </w:r>
      <w:r>
        <w:rPr>
          <w:rFonts w:ascii="Arial" w:hAnsi="Arial" w:cs="Arial"/>
        </w:rPr>
        <w:fldChar w:fldCharType="separate"/>
      </w:r>
      <w:r>
        <w:rPr>
          <w:rFonts w:ascii="Arial" w:hAnsi="Arial" w:cs="Arial"/>
        </w:rPr>
        <w:t>(Goldkuhl, 2012)</w:t>
      </w:r>
      <w:r>
        <w:rPr>
          <w:rFonts w:ascii="Arial" w:hAnsi="Arial" w:cs="Arial"/>
        </w:rPr>
        <w:fldChar w:fldCharType="end"/>
      </w:r>
      <w:r>
        <w:rPr>
          <w:rFonts w:ascii="Arial" w:hAnsi="Arial" w:cs="Arial"/>
        </w:rPr>
        <w:t xml:space="preserve">. Therefore, the interpretivism is subjective in nature rather than being objective that can be determined by a process of testing or measurement. The researchers who take the interpretivism perspective generally tend to obtain a richer and deeper understanding of a social phenomenon, and as well as its complexity in the particular context </w:t>
      </w:r>
      <w:r>
        <w:rPr>
          <w:rFonts w:ascii="Arial" w:hAnsi="Arial" w:cs="Arial"/>
        </w:rPr>
        <w:fldChar w:fldCharType="begin" w:fldLock="1"/>
      </w:r>
      <w:r>
        <w:rPr>
          <w:rFonts w:ascii="Arial" w:hAnsi="Arial" w:cs="Arial"/>
        </w:rPr>
        <w:instrText xml:space="preserve">ADDIN CSL_CITATION {"citationItems":[{"id":"ITEM-1","itemData":{"ISSN":"1946-0171","author":[{"dropping-particle":"","family":"Bevir","given":"Mark","non-dropping-particle":"","parse-names":false,"suffix":""},{"dropping-particle":"","family":"Rhodes","given":"Rod A W","non-dropping-particle":"","parse-names":false,"suffix":""}],"container-title":"Critical policy studies","id":"ITEM-1","issue":"2","issued":{"date-parts":[["2012"]]},"page":"201-208","publisher":"Taylor &amp; Francis","title":"Interpretivism and the analysis of traditions and practices","type":"article-journal","volume":"6"},"uris":["http://www.mendeley.com/documents/?uuid=07522176-fb84-4507-a1bc-861c8f13f483"]}],"mendeley":{"formattedCitation":"(Bevir and Rhodes, 2012)","plainTextFormattedCitation":"(Bevir and Rhodes, 2012)","previouslyFormattedCitation":"(Bevir and Rhodes, 2012)"},"properties":{"noteIndex":0},"schema":"https://github.com/citation-style-language/schema/raw/master/csl-citation.json"}</w:instrText>
      </w:r>
      <w:r>
        <w:rPr>
          <w:rFonts w:ascii="Arial" w:hAnsi="Arial" w:cs="Arial"/>
        </w:rPr>
        <w:fldChar w:fldCharType="separate"/>
      </w:r>
      <w:r>
        <w:rPr>
          <w:rFonts w:ascii="Arial" w:hAnsi="Arial" w:cs="Arial"/>
        </w:rPr>
        <w:t>(Bevir and Rhodes, 2012)</w:t>
      </w:r>
      <w:r>
        <w:rPr>
          <w:rFonts w:ascii="Arial" w:hAnsi="Arial" w:cs="Arial"/>
        </w:rPr>
        <w:fldChar w:fldCharType="end"/>
      </w:r>
      <w:r>
        <w:rPr>
          <w:rFonts w:ascii="Arial" w:hAnsi="Arial" w:cs="Arial"/>
        </w:rPr>
        <w:t xml:space="preserve">.  Since the overarching aim of the present dissertation is to generate an in-depth understanding on the Chine eSports industry, Interpretivism seems appropriate at there is no objective truth about the development of the eSports industry. </w:t>
      </w:r>
    </w:p>
    <w:p>
      <w:pPr>
        <w:pStyle w:val="3"/>
        <w:numPr>
          <w:ilvl w:val="1"/>
          <w:numId w:val="3"/>
        </w:numPr>
        <w:spacing w:before="0" w:after="312" w:afterLines="100" w:line="360" w:lineRule="auto"/>
        <w:jc w:val="both"/>
        <w:rPr>
          <w:rFonts w:ascii="Arial" w:hAnsi="Arial" w:cs="Arial"/>
        </w:rPr>
      </w:pPr>
      <w:bookmarkStart w:id="46" w:name="_Toc71635933"/>
      <w:bookmarkStart w:id="47" w:name="_Toc71634587"/>
      <w:r>
        <w:rPr>
          <w:rFonts w:ascii="Arial" w:hAnsi="Arial" w:cs="Arial"/>
        </w:rPr>
        <w:t>Research approach</w:t>
      </w:r>
      <w:bookmarkEnd w:id="46"/>
      <w:bookmarkEnd w:id="47"/>
      <w:r>
        <w:rPr>
          <w:rFonts w:ascii="Arial" w:hAnsi="Arial" w:cs="Arial"/>
        </w:rPr>
        <w:t xml:space="preserve"> </w:t>
      </w:r>
    </w:p>
    <w:p>
      <w:pPr>
        <w:spacing w:after="312" w:afterLines="100" w:line="360" w:lineRule="auto"/>
        <w:jc w:val="both"/>
        <w:rPr>
          <w:rFonts w:ascii="Arial" w:hAnsi="Arial" w:cs="Arial"/>
        </w:rPr>
      </w:pPr>
      <w:r>
        <w:rPr>
          <w:rFonts w:ascii="Arial" w:hAnsi="Arial" w:cs="Arial"/>
        </w:rPr>
        <w:t xml:space="preserve">Indicated by research onion, there are two generally accepted research approaches, respectively the deductive approach and inductive approach. Inductive approach alludes the reasoning as a logical process, starting from specific phenomenon observed to the general principles established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In the process of inductive reasoning, multiple propositions will afford strong evidence for the truth of conclusion. Therefore, the inductive approach is described as a hill climbing or down-to-top approach </w:t>
      </w:r>
      <w:r>
        <w:rPr>
          <w:rFonts w:ascii="Arial" w:hAnsi="Arial" w:cs="Arial"/>
        </w:rPr>
        <w:fldChar w:fldCharType="begin" w:fldLock="1"/>
      </w:r>
      <w:r>
        <w:rPr>
          <w:rFonts w:ascii="Arial" w:hAnsi="Arial" w:cs="Arial"/>
        </w:rPr>
        <w:instrText xml:space="preserve">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Pr>
          <w:rFonts w:ascii="Arial" w:hAnsi="Arial" w:cs="Arial"/>
        </w:rPr>
        <w:fldChar w:fldCharType="separate"/>
      </w:r>
      <w:r>
        <w:rPr>
          <w:rFonts w:ascii="Arial" w:hAnsi="Arial" w:cs="Arial"/>
        </w:rPr>
        <w:t>(Burney, 2008)</w:t>
      </w:r>
      <w:r>
        <w:rPr>
          <w:rFonts w:ascii="Arial" w:hAnsi="Arial" w:cs="Arial"/>
        </w:rPr>
        <w:fldChar w:fldCharType="end"/>
      </w:r>
      <w:r>
        <w:rPr>
          <w:rFonts w:ascii="Arial" w:hAnsi="Arial" w:cs="Arial"/>
        </w:rPr>
        <w:t xml:space="preserve">. In the contrast, deductive reasoning draws the specific inferences from general statement or hypothesis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Therefore, it is a process of establishing relationship between the generalize statement and conclusion. Basically, if the rules of deduction are applied, when all hypotheses are true, the researchers can gain an absolute and general prediction of the results. The deductive reasoning is perceived as a waterfall or top-to-down approach </w:t>
      </w:r>
      <w:r>
        <w:rPr>
          <w:rFonts w:ascii="Arial" w:hAnsi="Arial" w:cs="Arial"/>
        </w:rPr>
        <w:fldChar w:fldCharType="begin" w:fldLock="1"/>
      </w:r>
      <w:r>
        <w:rPr>
          <w:rFonts w:ascii="Arial" w:hAnsi="Arial" w:cs="Arial"/>
        </w:rPr>
        <w:instrText xml:space="preserve">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Pr>
          <w:rFonts w:ascii="Arial" w:hAnsi="Arial" w:cs="Arial"/>
        </w:rPr>
        <w:fldChar w:fldCharType="separate"/>
      </w:r>
      <w:r>
        <w:rPr>
          <w:rFonts w:ascii="Arial" w:hAnsi="Arial" w:cs="Arial"/>
        </w:rPr>
        <w:t>(Burney, 2008)</w:t>
      </w:r>
      <w:r>
        <w:rPr>
          <w:rFonts w:ascii="Arial" w:hAnsi="Arial" w:cs="Arial"/>
        </w:rPr>
        <w:fldChar w:fldCharType="end"/>
      </w:r>
      <w:r>
        <w:rPr>
          <w:rFonts w:ascii="Arial" w:hAnsi="Arial" w:cs="Arial"/>
        </w:rPr>
        <w:t xml:space="preserve">. </w:t>
      </w:r>
    </w:p>
    <w:p>
      <w:pPr>
        <w:keepNext/>
        <w:spacing w:after="312" w:afterLines="100" w:line="360" w:lineRule="auto"/>
        <w:jc w:val="both"/>
      </w:pPr>
      <w:r>
        <w:rPr>
          <w:rFonts w:ascii="Arial" w:hAnsi="Arial" w:cs="Arial"/>
        </w:rPr>
        <w:drawing>
          <wp:inline distT="0" distB="0" distL="0" distR="0">
            <wp:extent cx="2887980" cy="1710690"/>
            <wp:effectExtent l="0" t="0" r="7620" b="3810"/>
            <wp:docPr id="6" name="图片 6" descr="Topic 3 Philosophy and Theory in Science and Research - Tse Hiu 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Topic 3 Philosophy and Theory in Science and Research - Tse Hiu Ping"/>
                    <pic:cNvPicPr>
                      <a:picLocks noChangeAspect="1" noChangeArrowheads="1"/>
                    </pic:cNvPicPr>
                  </pic:nvPicPr>
                  <pic:blipFill>
                    <a:blip r:embed="rId15">
                      <a:extLst>
                        <a:ext uri="{28A0092B-C50C-407E-A947-70E740481C1C}">
                          <a14:useLocalDpi xmlns:a14="http://schemas.microsoft.com/office/drawing/2010/main" val="0"/>
                        </a:ext>
                      </a:extLst>
                    </a:blip>
                    <a:srcRect l="1849" t="4744" r="1799" b="11513"/>
                    <a:stretch>
                      <a:fillRect/>
                    </a:stretch>
                  </pic:blipFill>
                  <pic:spPr>
                    <a:xfrm>
                      <a:off x="0" y="0"/>
                      <a:ext cx="2904597" cy="1720784"/>
                    </a:xfrm>
                    <a:prstGeom prst="rect">
                      <a:avLst/>
                    </a:prstGeom>
                    <a:noFill/>
                    <a:ln>
                      <a:noFill/>
                    </a:ln>
                  </pic:spPr>
                </pic:pic>
              </a:graphicData>
            </a:graphic>
          </wp:inline>
        </w:drawing>
      </w:r>
    </w:p>
    <w:p>
      <w:pPr>
        <w:pStyle w:val="11"/>
        <w:jc w:val="both"/>
        <w:rPr>
          <w:rFonts w:ascii="Arial" w:hAnsi="Arial" w:cs="Arial"/>
        </w:rPr>
      </w:pPr>
      <w:r>
        <w:t>Figure 3-2. Research approach comparisons</w:t>
      </w:r>
    </w:p>
    <w:p>
      <w:pPr>
        <w:spacing w:after="312" w:afterLines="100" w:line="360" w:lineRule="auto"/>
        <w:jc w:val="both"/>
        <w:rPr>
          <w:rFonts w:ascii="Arial" w:hAnsi="Arial" w:cs="Arial"/>
        </w:rPr>
      </w:pPr>
      <w:r>
        <w:rPr>
          <w:rFonts w:ascii="Arial" w:hAnsi="Arial" w:cs="Arial"/>
        </w:rPr>
        <w:t xml:space="preserve">Source: </w:t>
      </w:r>
      <w:r>
        <w:rPr>
          <w:rFonts w:ascii="Arial" w:hAnsi="Arial" w:cs="Arial"/>
        </w:rPr>
        <w:fldChar w:fldCharType="begin" w:fldLock="1"/>
      </w:r>
      <w:r>
        <w:rPr>
          <w:rFonts w:ascii="Arial" w:hAnsi="Arial" w:cs="Arial"/>
        </w:rPr>
        <w:instrText xml:space="preserve">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Pr>
          <w:rFonts w:ascii="Arial" w:hAnsi="Arial" w:cs="Arial"/>
        </w:rPr>
        <w:fldChar w:fldCharType="separate"/>
      </w:r>
      <w:r>
        <w:rPr>
          <w:rFonts w:ascii="Arial" w:hAnsi="Arial" w:cs="Arial"/>
        </w:rPr>
        <w:t>(Burney, 2008)</w:t>
      </w:r>
      <w:r>
        <w:rPr>
          <w:rFonts w:ascii="Arial" w:hAnsi="Arial" w:cs="Arial"/>
        </w:rPr>
        <w:fldChar w:fldCharType="end"/>
      </w:r>
    </w:p>
    <w:p>
      <w:pPr>
        <w:spacing w:after="312" w:afterLines="100" w:line="360" w:lineRule="auto"/>
        <w:jc w:val="both"/>
        <w:rPr>
          <w:rFonts w:ascii="Arial" w:hAnsi="Arial" w:cs="Arial"/>
        </w:rPr>
      </w:pPr>
      <w:r>
        <w:rPr>
          <w:rFonts w:ascii="Arial" w:hAnsi="Arial" w:cs="Arial"/>
        </w:rPr>
        <w:t xml:space="preserve">As indicated in the literature review part, the present dissertation is not supported by any generalizable theoretical framework, and it does not aim to confirm any theories on the eSports industry. Rather, the underlying objective of the dissertation is to derive some theories through observations in the eSports industry. Hence, the present research will be a process moved from specific phenomenon to some general understandings. As the present research seeks to uncover the status-quo and future development possibilities of eSports industry, the exploratory nature of it suits the inductive approach well.  </w:t>
      </w:r>
    </w:p>
    <w:p>
      <w:pPr>
        <w:pStyle w:val="3"/>
        <w:numPr>
          <w:ilvl w:val="1"/>
          <w:numId w:val="3"/>
        </w:numPr>
        <w:spacing w:before="0" w:after="312" w:afterLines="100" w:line="360" w:lineRule="auto"/>
        <w:jc w:val="both"/>
        <w:rPr>
          <w:rFonts w:ascii="Arial" w:hAnsi="Arial" w:cs="Arial"/>
        </w:rPr>
      </w:pPr>
      <w:bookmarkStart w:id="48" w:name="_Toc71635934"/>
      <w:bookmarkStart w:id="49" w:name="_Toc71634588"/>
      <w:r>
        <w:rPr>
          <w:rFonts w:ascii="Arial" w:hAnsi="Arial" w:cs="Arial"/>
        </w:rPr>
        <w:t>Methodological choice</w:t>
      </w:r>
      <w:bookmarkEnd w:id="48"/>
      <w:bookmarkEnd w:id="49"/>
    </w:p>
    <w:p>
      <w:pPr>
        <w:spacing w:after="312" w:afterLines="100" w:line="360" w:lineRule="auto"/>
        <w:jc w:val="both"/>
        <w:rPr>
          <w:rFonts w:ascii="Arial" w:hAnsi="Arial" w:cs="Arial"/>
        </w:rPr>
      </w:pPr>
      <w:r>
        <w:rPr>
          <w:rFonts w:ascii="Arial" w:hAnsi="Arial" w:cs="Arial"/>
        </w:rPr>
        <w:t xml:space="preserve">Indicated by the research onion, there are two typical methodological choices can be leveraged to answer the research question, including the qualitative one, and quantitative one. Quantitative choice always follows a positivist stance, and it leverages statistical approaches to test and confirm social phenomena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At the same time, quantitative researchers use a value-neutral attitude to achieve objectivity in their investigating of social phenomena.  To the opposite, the qualitative choices does not involve any statistics or numbers, nor does used structured survey methods to acquire primary information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The common approach used by qualitative researchers is to cross analyse the multi-faceted data collected from multiple channels to ensure the validity and reliability of the research </w:t>
      </w:r>
      <w:r>
        <w:rPr>
          <w:rFonts w:ascii="Arial" w:hAnsi="Arial" w:cs="Arial"/>
        </w:rPr>
        <w:fldChar w:fldCharType="begin" w:fldLock="1"/>
      </w:r>
      <w:r>
        <w:rPr>
          <w:rFonts w:ascii="Arial" w:hAnsi="Arial" w:cs="Arial"/>
        </w:rPr>
        <w:instrText xml:space="preserve">ADDIN CSL_CITATION {"citationItems":[{"id":"ITEM-1","itemData":{"ISBN":"1529736196","author":[{"dropping-particle":"","family":"Silverman","given":"David","non-dropping-particle":"","parse-names":false,"suffix":""}],"id":"ITEM-1","issued":{"date-parts":[["2020"]]},"publisher":"Sage Publications Limited","title":"Qualitative research","type":"book"},"uris":["http://www.mendeley.com/documents/?uuid=1539b1fd-9618-4463-9cd1-6a95ff3973fa"]}],"mendeley":{"formattedCitation":"(Silverman, 2020)","plainTextFormattedCitation":"(Silverman, 2020)","previouslyFormattedCitation":"(Silverman, 2020)"},"properties":{"noteIndex":0},"schema":"https://github.com/citation-style-language/schema/raw/master/csl-citation.json"}</w:instrText>
      </w:r>
      <w:r>
        <w:rPr>
          <w:rFonts w:ascii="Arial" w:hAnsi="Arial" w:cs="Arial"/>
        </w:rPr>
        <w:fldChar w:fldCharType="separate"/>
      </w:r>
      <w:r>
        <w:rPr>
          <w:rFonts w:ascii="Arial" w:hAnsi="Arial" w:cs="Arial"/>
        </w:rPr>
        <w:t>(Silverman, 2020)</w:t>
      </w:r>
      <w:r>
        <w:rPr>
          <w:rFonts w:ascii="Arial" w:hAnsi="Arial" w:cs="Arial"/>
        </w:rPr>
        <w:fldChar w:fldCharType="end"/>
      </w:r>
      <w:r>
        <w:rPr>
          <w:rFonts w:ascii="Arial" w:hAnsi="Arial" w:cs="Arial"/>
        </w:rPr>
        <w:t xml:space="preserve">. Typical resources to collect qualitative data include interview, focus group, and secondary qualitative data from existing resources. Based on these qualitative data, the social science researcher can induce the answers to their predetermined research questions by filtering, organizing and coding those data </w:t>
      </w:r>
      <w:r>
        <w:rPr>
          <w:rFonts w:ascii="Arial" w:hAnsi="Arial" w:cs="Arial"/>
        </w:rPr>
        <w:fldChar w:fldCharType="begin" w:fldLock="1"/>
      </w:r>
      <w:r>
        <w:rPr>
          <w:rFonts w:ascii="Arial" w:hAnsi="Arial" w:cs="Arial"/>
        </w:rPr>
        <w:instrText xml:space="preserve">ADDIN CSL_CITATION {"citationItems":[{"id":"ITEM-1","itemData":{"ISBN":"1529736196","author":[{"dropping-particle":"","family":"Silverman","given":"David","non-dropping-particle":"","parse-names":false,"suffix":""}],"id":"ITEM-1","issued":{"date-parts":[["2020"]]},"publisher":"Sage Publications Limited","title":"Qualitative research","type":"book"},"uris":["http://www.mendeley.com/documents/?uuid=1539b1fd-9618-4463-9cd1-6a95ff3973fa"]}],"mendeley":{"formattedCitation":"(Silverman, 2020)","plainTextFormattedCitation":"(Silverman, 2020)","previouslyFormattedCitation":"(Silverman, 2020)"},"properties":{"noteIndex":0},"schema":"https://github.com/citation-style-language/schema/raw/master/csl-citation.json"}</w:instrText>
      </w:r>
      <w:r>
        <w:rPr>
          <w:rFonts w:ascii="Arial" w:hAnsi="Arial" w:cs="Arial"/>
        </w:rPr>
        <w:fldChar w:fldCharType="separate"/>
      </w:r>
      <w:r>
        <w:rPr>
          <w:rFonts w:ascii="Arial" w:hAnsi="Arial" w:cs="Arial"/>
        </w:rPr>
        <w:t>(Silverman, 2020)</w:t>
      </w:r>
      <w:r>
        <w:rPr>
          <w:rFonts w:ascii="Arial" w:hAnsi="Arial" w:cs="Arial"/>
        </w:rPr>
        <w:fldChar w:fldCharType="end"/>
      </w:r>
      <w:r>
        <w:rPr>
          <w:rFonts w:ascii="Arial" w:hAnsi="Arial" w:cs="Arial"/>
        </w:rPr>
        <w:t xml:space="preserve">. The determination of taking interpretivism stance and inductive approach imply the qualitative one as proper choice to seek answers. </w:t>
      </w:r>
    </w:p>
    <w:p>
      <w:pPr>
        <w:pStyle w:val="3"/>
        <w:numPr>
          <w:ilvl w:val="1"/>
          <w:numId w:val="3"/>
        </w:numPr>
        <w:spacing w:before="0" w:after="312" w:afterLines="100" w:line="360" w:lineRule="auto"/>
        <w:jc w:val="both"/>
        <w:rPr>
          <w:rFonts w:ascii="Arial" w:hAnsi="Arial" w:cs="Arial"/>
        </w:rPr>
      </w:pPr>
      <w:bookmarkStart w:id="50" w:name="_Toc71635935"/>
      <w:bookmarkStart w:id="51" w:name="_Toc71634589"/>
      <w:r>
        <w:rPr>
          <w:rFonts w:ascii="Arial" w:hAnsi="Arial" w:cs="Arial"/>
        </w:rPr>
        <w:t>Research strategies</w:t>
      </w:r>
      <w:bookmarkEnd w:id="50"/>
      <w:bookmarkEnd w:id="51"/>
      <w:r>
        <w:rPr>
          <w:rFonts w:ascii="Arial" w:hAnsi="Arial" w:cs="Arial"/>
        </w:rPr>
        <w:t xml:space="preserve"> </w:t>
      </w:r>
    </w:p>
    <w:p>
      <w:pPr>
        <w:spacing w:after="312" w:afterLines="100" w:line="360" w:lineRule="auto"/>
        <w:jc w:val="both"/>
        <w:rPr>
          <w:rFonts w:ascii="Arial" w:hAnsi="Arial" w:cs="Arial"/>
        </w:rPr>
      </w:pPr>
      <w:r>
        <w:rPr>
          <w:rFonts w:ascii="Arial" w:hAnsi="Arial" w:cs="Arial"/>
        </w:rPr>
        <w:t xml:space="preserve">Among the various methodology frequently used in social science research, including case study, survey, enography, grounded theory, archival study, etc., the present research is based on the grounded theory.  Grounded theory was originally developed by </w:t>
      </w:r>
      <w:r>
        <w:rPr>
          <w:rFonts w:ascii="Arial" w:hAnsi="Arial" w:cs="Arial"/>
        </w:rPr>
        <w:fldChar w:fldCharType="begin" w:fldLock="1"/>
      </w:r>
      <w:r>
        <w:rPr>
          <w:rFonts w:ascii="Arial" w:hAnsi="Arial" w:cs="Arial"/>
        </w:rPr>
        <w:instrText xml:space="preserve">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Pr>
          <w:rFonts w:ascii="Arial" w:hAnsi="Arial" w:cs="Arial"/>
        </w:rPr>
        <w:fldChar w:fldCharType="separate"/>
      </w:r>
      <w:r>
        <w:rPr>
          <w:rFonts w:ascii="Arial" w:hAnsi="Arial" w:cs="Arial"/>
        </w:rPr>
        <w:t>Strauss and Corbin (1997)</w:t>
      </w:r>
      <w:r>
        <w:rPr>
          <w:rFonts w:ascii="Arial" w:hAnsi="Arial" w:cs="Arial"/>
        </w:rPr>
        <w:fldChar w:fldCharType="end"/>
      </w:r>
      <w:r>
        <w:rPr>
          <w:rFonts w:ascii="Arial" w:hAnsi="Arial" w:cs="Arial"/>
        </w:rPr>
        <w:t xml:space="preserve"> in the 1960s, and in the 1970s became one of the mainstream research methods. Grounded theory attempts to seek theoretical proposals from existing data to explain the social phenomenon in question. </w:t>
      </w:r>
      <w:r>
        <w:rPr>
          <w:rFonts w:ascii="Arial" w:hAnsi="Arial" w:cs="Arial"/>
        </w:rPr>
        <w:fldChar w:fldCharType="begin" w:fldLock="1"/>
      </w:r>
      <w:r>
        <w:rPr>
          <w:rFonts w:ascii="Arial" w:hAnsi="Arial" w:cs="Arial"/>
        </w:rPr>
        <w:instrText xml:space="preserve">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Pr>
          <w:rFonts w:ascii="Arial" w:hAnsi="Arial" w:cs="Arial"/>
        </w:rPr>
        <w:fldChar w:fldCharType="separate"/>
      </w:r>
      <w:r>
        <w:rPr>
          <w:rFonts w:ascii="Arial" w:hAnsi="Arial" w:cs="Arial"/>
        </w:rPr>
        <w:t>Strauss and Corbin (1997)</w:t>
      </w:r>
      <w:r>
        <w:rPr>
          <w:rFonts w:ascii="Arial" w:hAnsi="Arial" w:cs="Arial"/>
        </w:rPr>
        <w:fldChar w:fldCharType="end"/>
      </w:r>
      <w:r>
        <w:rPr>
          <w:rFonts w:ascii="Arial" w:hAnsi="Arial" w:cs="Arial"/>
        </w:rPr>
        <w:t xml:space="preserve"> believes that sociological research should be placed on a theoretical basis instead of testing existing theories. They argue that there is not much room for knowledge development until theories and data fit together. </w:t>
      </w:r>
      <w:r>
        <w:rPr>
          <w:rFonts w:ascii="Arial" w:hAnsi="Arial" w:cs="Arial"/>
        </w:rPr>
        <w:fldChar w:fldCharType="begin" w:fldLock="1"/>
      </w:r>
      <w:r>
        <w:rPr>
          <w:rFonts w:ascii="Arial" w:hAnsi="Arial" w:cs="Arial"/>
        </w:rPr>
        <w:instrText xml:space="preserve">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Pr>
          <w:rFonts w:ascii="Arial" w:hAnsi="Arial" w:cs="Arial"/>
        </w:rPr>
        <w:fldChar w:fldCharType="separate"/>
      </w:r>
      <w:r>
        <w:rPr>
          <w:rFonts w:ascii="Arial" w:hAnsi="Arial" w:cs="Arial"/>
        </w:rPr>
        <w:t>Strauss and Corbin (1997)</w:t>
      </w:r>
      <w:r>
        <w:rPr>
          <w:rFonts w:ascii="Arial" w:hAnsi="Arial" w:cs="Arial"/>
        </w:rPr>
        <w:fldChar w:fldCharType="end"/>
      </w:r>
      <w:r>
        <w:rPr>
          <w:rFonts w:ascii="Arial" w:hAnsi="Arial" w:cs="Arial"/>
        </w:rPr>
        <w:t xml:space="preserve"> defined grounded theory as "fitting with the researched situation, working in a real situation, and fit means that its categories must be easily studied; according to the data; practical means that the relevant behaviour under the research topic must be explained meaningfully. Decades later, </w:t>
      </w:r>
      <w:r>
        <w:rPr>
          <w:rFonts w:ascii="Arial" w:hAnsi="Arial" w:cs="Arial"/>
        </w:rPr>
        <w:fldChar w:fldCharType="begin" w:fldLock="1"/>
      </w:r>
      <w:r>
        <w:rPr>
          <w:rFonts w:ascii="Arial" w:hAnsi="Arial" w:cs="Arial"/>
        </w:rPr>
        <w:instrText xml:space="preserve">ADDIN CSL_CITATION {"citationItems":[{"id":"ITEM-1","itemData":{"ISBN":"0199753695","author":[{"dropping-particle":"","family":"Oktay","given":"Julianne S","non-dropping-particle":"","parse-names":false,"suffix":""}],"id":"ITEM-1","issued":{"date-parts":[["2012"]]},"publisher":"Oxford University Press","title":"Grounded theory","type":"book"},"uris":["http://www.mendeley.com/documents/?uuid=b35813a3-bdd5-4f33-bdb5-77392f0ed55b"]}],"mendeley":{"formattedCitation":"(Oktay, 2012)","manualFormatting":"Oktay (2012)","plainTextFormattedCitation":"(Oktay, 2012)","previouslyFormattedCitation":"(Oktay, 2012)"},"properties":{"noteIndex":0},"schema":"https://github.com/citation-style-language/schema/raw/master/csl-citation.json"}</w:instrText>
      </w:r>
      <w:r>
        <w:rPr>
          <w:rFonts w:ascii="Arial" w:hAnsi="Arial" w:cs="Arial"/>
        </w:rPr>
        <w:fldChar w:fldCharType="separate"/>
      </w:r>
      <w:r>
        <w:rPr>
          <w:rFonts w:ascii="Arial" w:hAnsi="Arial" w:cs="Arial"/>
        </w:rPr>
        <w:t>Oktay (2012)</w:t>
      </w:r>
      <w:r>
        <w:rPr>
          <w:rFonts w:ascii="Arial" w:hAnsi="Arial" w:cs="Arial"/>
        </w:rPr>
        <w:fldChar w:fldCharType="end"/>
      </w:r>
      <w:r>
        <w:rPr>
          <w:rFonts w:ascii="Arial" w:hAnsi="Arial" w:cs="Arial"/>
        </w:rPr>
        <w:t xml:space="preserve"> argued that “grounded theory is derived from the research situation, so it is the previous systematic data collection and analysis of a certain situation before a specific phenomenon is tested or confirmed. It does not start from theory and then proves it but finds relevant clues from the research situation and then allows it to appear naturally. Given our research is qualitative and inductive in nature, the grounded theory allows to obtain the latest insights from existing publications. The important concept of grounded theory is that it does not start from the theory but constructs meaningful connotations from the collected data, and then the theory emerges from the data </w:t>
      </w:r>
      <w:r>
        <w:rPr>
          <w:rFonts w:ascii="Arial" w:hAnsi="Arial" w:cs="Arial"/>
        </w:rPr>
        <w:fldChar w:fldCharType="begin" w:fldLock="1"/>
      </w:r>
      <w:r>
        <w:rPr>
          <w:rFonts w:ascii="Arial" w:hAnsi="Arial" w:cs="Arial"/>
        </w:rPr>
        <w:instrText xml:space="preserve">ADDIN CSL_CITATION {"citationItems":[{"id":"ITEM-1","itemData":{"ISBN":"1315430568","author":[{"dropping-particle":"","family":"Morse","given":"Janice M","non-dropping-particle":"","parse-names":false,"suffix":""},{"dropping-particle":"","family":"Bowers","given":"Barbara","non-dropping-particle":"","parse-names":false,"suffix":""},{"dropping-particle":"","family":"Stern","given":"Phyllis Noerager","non-dropping-particle":"","parse-names":false,"suffix":""},{"dropping-particle":"","family":"Corbin","given":"Juliet","non-dropping-particle":"","parse-names":false,"suffix":""},{"dropping-particle":"","family":"Charmaz","given":"Kathy","non-dropping-particle":"","parse-names":false,"suffix":""},{"dropping-particle":"","family":"Clarke","given":"Adele E","non-dropping-particle":"","parse-names":false,"suffix":""}],"id":"ITEM-1","issued":{"date-parts":[["2016"]]},"publisher":"Routledge","title":"Developing grounded theory: The second generation","type":"book","volume":"3"},"uris":["http://www.mendeley.com/documents/?uuid=2e9ea088-8a57-40a9-9fd9-1af86fe55f12"]}],"mendeley":{"formattedCitation":"(Morse &lt;i&gt;et al.&lt;/i&gt;, 2016)","plainTextFormattedCitation":"(Morse et al., 2016)","previouslyFormattedCitation":"(Morse &lt;i&gt;et al.&lt;/i&gt;, 2016)"},"properties":{"noteIndex":0},"schema":"https://github.com/citation-style-language/schema/raw/master/csl-citation.json"}</w:instrText>
      </w:r>
      <w:r>
        <w:rPr>
          <w:rFonts w:ascii="Arial" w:hAnsi="Arial" w:cs="Arial"/>
        </w:rPr>
        <w:fldChar w:fldCharType="separate"/>
      </w:r>
      <w:r>
        <w:rPr>
          <w:rFonts w:ascii="Arial" w:hAnsi="Arial" w:cs="Arial"/>
        </w:rPr>
        <w:t xml:space="preserve">(Morse </w:t>
      </w:r>
      <w:r>
        <w:rPr>
          <w:rFonts w:ascii="Arial" w:hAnsi="Arial" w:cs="Arial"/>
          <w:i/>
        </w:rPr>
        <w:t>et al.</w:t>
      </w:r>
      <w:r>
        <w:rPr>
          <w:rFonts w:ascii="Arial" w:hAnsi="Arial" w:cs="Arial"/>
        </w:rPr>
        <w:t>, 2016)</w:t>
      </w:r>
      <w:r>
        <w:rPr>
          <w:rFonts w:ascii="Arial" w:hAnsi="Arial" w:cs="Arial"/>
        </w:rPr>
        <w:fldChar w:fldCharType="end"/>
      </w:r>
      <w:r>
        <w:rPr>
          <w:rFonts w:ascii="Arial" w:hAnsi="Arial" w:cs="Arial"/>
        </w:rPr>
        <w:t xml:space="preserve">. Grounded theory research methods can be used in some areas that have not been studied or in specific ethnic groups or regions that have not yet been thoroughly explored for a certain topic </w:t>
      </w:r>
      <w:r>
        <w:rPr>
          <w:rFonts w:ascii="Arial" w:hAnsi="Arial" w:cs="Arial"/>
        </w:rPr>
        <w:fldChar w:fldCharType="begin" w:fldLock="1"/>
      </w:r>
      <w:r>
        <w:rPr>
          <w:rFonts w:ascii="Arial" w:hAnsi="Arial" w:cs="Arial"/>
        </w:rPr>
        <w:instrText xml:space="preserve">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1997)","plainTextFormattedCitation":"(Strauss and Corbin, 1997)","previouslyFormattedCitation":"(Strauss and Corbin, 1997)"},"properties":{"noteIndex":0},"schema":"https://github.com/citation-style-language/schema/raw/master/csl-citation.json"}</w:instrText>
      </w:r>
      <w:r>
        <w:rPr>
          <w:rFonts w:ascii="Arial" w:hAnsi="Arial" w:cs="Arial"/>
        </w:rPr>
        <w:fldChar w:fldCharType="separate"/>
      </w:r>
      <w:r>
        <w:rPr>
          <w:rFonts w:ascii="Arial" w:hAnsi="Arial" w:cs="Arial"/>
        </w:rPr>
        <w:t>(Strauss and Corbin, 1997)</w:t>
      </w:r>
      <w:r>
        <w:rPr>
          <w:rFonts w:ascii="Arial" w:hAnsi="Arial" w:cs="Arial"/>
        </w:rPr>
        <w:fldChar w:fldCharType="end"/>
      </w:r>
      <w:r>
        <w:rPr>
          <w:rFonts w:ascii="Arial" w:hAnsi="Arial" w:cs="Arial"/>
        </w:rPr>
        <w:t>.</w:t>
      </w:r>
    </w:p>
    <w:p>
      <w:pPr>
        <w:pStyle w:val="3"/>
        <w:numPr>
          <w:ilvl w:val="1"/>
          <w:numId w:val="3"/>
        </w:numPr>
        <w:spacing w:before="0" w:after="312" w:afterLines="100" w:line="360" w:lineRule="auto"/>
        <w:jc w:val="both"/>
        <w:rPr>
          <w:rFonts w:ascii="Arial" w:hAnsi="Arial" w:cs="Arial"/>
        </w:rPr>
      </w:pPr>
      <w:bookmarkStart w:id="52" w:name="_Toc71635936"/>
      <w:bookmarkStart w:id="53" w:name="_Toc71634590"/>
      <w:r>
        <w:rPr>
          <w:rFonts w:ascii="Arial" w:hAnsi="Arial" w:cs="Arial"/>
        </w:rPr>
        <w:t>Reliability and validity</w:t>
      </w:r>
      <w:bookmarkEnd w:id="52"/>
      <w:bookmarkEnd w:id="53"/>
      <w:r>
        <w:rPr>
          <w:rFonts w:ascii="Arial" w:hAnsi="Arial" w:cs="Arial"/>
        </w:rPr>
        <w:t xml:space="preserve"> </w:t>
      </w:r>
    </w:p>
    <w:p>
      <w:pPr>
        <w:spacing w:after="312" w:afterLines="100" w:line="360" w:lineRule="auto"/>
        <w:jc w:val="both"/>
        <w:rPr>
          <w:rFonts w:ascii="Arial" w:hAnsi="Arial" w:cs="Arial"/>
        </w:rPr>
      </w:pPr>
      <w:r>
        <w:rPr>
          <w:rFonts w:ascii="Arial" w:hAnsi="Arial" w:cs="Arial"/>
        </w:rPr>
        <w:t xml:space="preserve">According to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2009)","manualFormatting":"(Saunders,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the quality of research will be determined on the validity and reliability of the methodology. One the one hand, the reliability refers to the consistency and replicability of the research method, and can be classified into the internal reliability and external reliability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Furthermore, internal reliability concerns with the consistency in the data collection process. Possible erodes to the internal reliability is the errors and biases. As the dissertation starts from the interpretivism, certain level of subjectivity in interpretation will be involved. However, potential biases are eliminated through triangulation by collecting and verifying data from multiple trustworthy resources, such as peer-reviewed publications, etc. External reliability refers to whether the replication of the present research would generate the same results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It is expected that the objective collection and analysis of the extensive secondary data should result in similar results, regardless of who perform the research. </w:t>
      </w:r>
    </w:p>
    <w:p>
      <w:pPr>
        <w:spacing w:after="312" w:afterLines="100" w:line="360" w:lineRule="auto"/>
        <w:jc w:val="both"/>
        <w:rPr>
          <w:rFonts w:ascii="Arial" w:hAnsi="Arial" w:cs="Arial"/>
        </w:rPr>
      </w:pPr>
      <w:r>
        <w:rPr>
          <w:rFonts w:ascii="Arial" w:hAnsi="Arial" w:cs="Arial"/>
        </w:rPr>
        <w:t xml:space="preserve">Validity refers to the extent of the appropriateness the present method answers what it is intended to answer </w:t>
      </w:r>
      <w:r>
        <w:rPr>
          <w:rFonts w:ascii="Arial" w:hAnsi="Arial" w:cs="Arial"/>
        </w:rPr>
        <w:fldChar w:fldCharType="begin" w:fldLock="1"/>
      </w:r>
      <w:r>
        <w:rPr>
          <w:rFonts w:ascii="Arial" w:hAnsi="Arial" w:cs="Arial"/>
        </w:rPr>
        <w:instrText xml:space="preserve">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Pr>
          <w:rFonts w:ascii="Arial" w:hAnsi="Arial" w:cs="Arial"/>
        </w:rPr>
        <w:fldChar w:fldCharType="separate"/>
      </w:r>
      <w:r>
        <w:rPr>
          <w:rFonts w:ascii="Arial" w:hAnsi="Arial" w:cs="Arial"/>
        </w:rPr>
        <w:t>(Saunders, Lewis and Thornhill, 2009)</w:t>
      </w:r>
      <w:r>
        <w:rPr>
          <w:rFonts w:ascii="Arial" w:hAnsi="Arial" w:cs="Arial"/>
        </w:rPr>
        <w:fldChar w:fldCharType="end"/>
      </w:r>
      <w:r>
        <w:rPr>
          <w:rFonts w:ascii="Arial" w:hAnsi="Arial" w:cs="Arial"/>
        </w:rPr>
        <w:t xml:space="preserve">. The eSports industry is just an emerging industry that barely covered in social science research. Hence, very limited theories can be leveraged to test or confirm the phenomenon. There, the qualitative method using grounded theory strategy is proper to answer the research question. With the aforementioned discussions, the validity and reliability of the present dissertation is ensured. </w:t>
      </w:r>
    </w:p>
    <w:p>
      <w:pPr>
        <w:pStyle w:val="3"/>
        <w:numPr>
          <w:ilvl w:val="1"/>
          <w:numId w:val="3"/>
        </w:numPr>
        <w:spacing w:before="0" w:after="100" w:line="360" w:lineRule="auto"/>
        <w:jc w:val="both"/>
        <w:rPr>
          <w:rStyle w:val="29"/>
          <w:rFonts w:ascii="Arial" w:hAnsi="Arial" w:cs="Arial"/>
        </w:rPr>
      </w:pPr>
      <w:bookmarkStart w:id="54" w:name="_Toc71634591"/>
      <w:bookmarkStart w:id="55" w:name="_Toc71635937"/>
      <w:r>
        <w:rPr>
          <w:rStyle w:val="29"/>
          <w:rFonts w:ascii="Arial" w:hAnsi="Arial" w:cs="Arial"/>
        </w:rPr>
        <w:t>Summary of research methodology</w:t>
      </w:r>
      <w:bookmarkEnd w:id="54"/>
      <w:bookmarkEnd w:id="55"/>
      <w:r>
        <w:rPr>
          <w:rStyle w:val="29"/>
          <w:rFonts w:ascii="Arial" w:hAnsi="Arial" w:cs="Arial"/>
        </w:rPr>
        <w:t xml:space="preserve">  </w:t>
      </w:r>
    </w:p>
    <w:p>
      <w:pPr>
        <w:spacing w:after="100" w:line="360" w:lineRule="auto"/>
        <w:jc w:val="both"/>
        <w:rPr>
          <w:rFonts w:ascii="Arial" w:hAnsi="Arial" w:cs="Arial"/>
        </w:rPr>
      </w:pPr>
      <w:r>
        <w:rPr>
          <w:rFonts w:ascii="Arial" w:hAnsi="Arial" w:cs="Arial"/>
        </w:rPr>
        <w:t xml:space="preserve">In order to complete other objectives set in the chapter one, the chapter selects a suitable research approach to explore the business models of eSports industry in China. Specifically, the chapter identified the particular philosophical stances adopted by the author. Determined by the research philosophy, the present research use the qualitive approach and based on the grounded strategy. The following chapter presents how the data is collected, analyzed and interpreted. </w:t>
      </w:r>
    </w:p>
    <w:p>
      <w:pPr>
        <w:rPr>
          <w:rFonts w:ascii="Arial" w:hAnsi="Arial" w:cs="Arial" w:eastAsiaTheme="majorEastAsia"/>
          <w:color w:val="276F8B" w:themeColor="accent1" w:themeShade="BF"/>
          <w:sz w:val="32"/>
          <w:szCs w:val="32"/>
        </w:rPr>
      </w:pPr>
      <w:r>
        <w:rPr>
          <w:rFonts w:ascii="Arial" w:hAnsi="Arial" w:cs="Arial" w:eastAsiaTheme="majorEastAsia"/>
          <w:color w:val="276F8B" w:themeColor="accent1" w:themeShade="BF"/>
          <w:sz w:val="32"/>
          <w:szCs w:val="32"/>
        </w:rPr>
        <w:br w:type="page"/>
      </w:r>
    </w:p>
    <w:p>
      <w:pPr>
        <w:pStyle w:val="2"/>
        <w:rPr>
          <w:rStyle w:val="28"/>
          <w:rFonts w:ascii="Arial" w:hAnsi="Arial" w:cs="Arial"/>
        </w:rPr>
      </w:pPr>
      <w:bookmarkStart w:id="56" w:name="_Toc71635938"/>
      <w:bookmarkStart w:id="57" w:name="_Toc71634592"/>
      <w:r>
        <w:rPr>
          <w:rStyle w:val="28"/>
          <w:rFonts w:ascii="Arial" w:hAnsi="Arial" w:cs="Arial"/>
        </w:rPr>
        <w:t>Chapter 4. Data analysis</w:t>
      </w:r>
      <w:bookmarkEnd w:id="56"/>
      <w:bookmarkEnd w:id="57"/>
      <w:r>
        <w:rPr>
          <w:rStyle w:val="28"/>
          <w:rFonts w:ascii="Arial" w:hAnsi="Arial" w:cs="Arial"/>
        </w:rPr>
        <w:t xml:space="preserve"> </w:t>
      </w:r>
    </w:p>
    <w:p>
      <w:pPr>
        <w:pStyle w:val="3"/>
        <w:spacing w:line="360" w:lineRule="auto"/>
        <w:rPr>
          <w:rFonts w:ascii="Arial" w:hAnsi="Arial" w:cs="Arial"/>
          <w:sz w:val="32"/>
          <w:szCs w:val="32"/>
        </w:rPr>
      </w:pPr>
      <w:bookmarkStart w:id="58" w:name="_Toc71635939"/>
      <w:bookmarkStart w:id="59" w:name="_Toc71634593"/>
      <w:r>
        <w:rPr>
          <w:rStyle w:val="28"/>
          <w:rFonts w:ascii="Arial" w:hAnsi="Arial" w:cs="Arial"/>
        </w:rPr>
        <w:t>4.1 Introduction</w:t>
      </w:r>
      <w:bookmarkEnd w:id="58"/>
      <w:bookmarkEnd w:id="59"/>
    </w:p>
    <w:p>
      <w:pPr>
        <w:spacing w:before="156" w:beforeLines="50" w:after="312" w:afterLines="100" w:line="360" w:lineRule="auto"/>
        <w:jc w:val="both"/>
        <w:rPr>
          <w:rStyle w:val="28"/>
          <w:rFonts w:ascii="Arial" w:hAnsi="Arial" w:cs="Arial" w:eastAsiaTheme="minorEastAsia"/>
          <w:color w:val="auto"/>
          <w:sz w:val="22"/>
          <w:szCs w:val="22"/>
        </w:rPr>
      </w:pPr>
      <w:r>
        <w:rPr>
          <w:rFonts w:ascii="Arial" w:hAnsi="Arial" w:cs="Arial"/>
        </w:rPr>
        <w:t xml:space="preserve">The chapter aims to achieve the objective that ‘to investigate the business model of eSports industry in China’. Therefore, the chapter will present and the analyze the data collected. The present dissertation will be based on the collection of secondary data. The major sources of data will include the latest academic journal academic articles and books concerning eSports industry, the governmental publications about the e-sport industry, the survey reports of relevant research and consulting institutions, the media releases, market analysis report of eSports industry, and some annual reports of eSports businesses. Some data will be accessed using the University Library, and other public available resources will be accessed online. The data analysis of secondary data is always carried out simultaneously when the secondary data were collected, and this is one of the features of grounded theoretical research. The typical data analysis based on grounded theory involves three gradual and iterative phases, including open coding, axial coding and selective coding. Although these three levels are listed in sequence, but in the real data analysis process, they do not show a linear relationship </w:t>
      </w:r>
      <w:r>
        <w:rPr>
          <w:rFonts w:ascii="Arial" w:hAnsi="Arial" w:cs="Arial"/>
        </w:rPr>
        <w:fldChar w:fldCharType="begin" w:fldLock="1"/>
      </w:r>
      <w:r>
        <w:rPr>
          <w:rFonts w:ascii="Arial" w:hAnsi="Arial" w:cs="Arial"/>
        </w:rPr>
        <w:instrText xml:space="preserve">ADDIN CSL_CITATION {"citationItems":[{"id":"ITEM-1","itemData":{"ISBN":"1478634251","author":[{"dropping-particle":"","family":"Krathwohl","given":"David R","non-dropping-particle":"","parse-names":false,"suffix":""}],"id":"ITEM-1","issued":{"date-parts":[["2009"]]},"publisher":"Waveland Press","title":"Methods of educational and social science research: The logic of methods","type":"book"},"uris":["http://www.mendeley.com/documents/?uuid=363854a5-a3f5-4c28-93e0-cacfb099d803"]}],"mendeley":{"formattedCitation":"(Krathwohl, 2009)","plainTextFormattedCitation":"(Krathwohl, 2009)","previouslyFormattedCitation":"(Krathwohl, 2009)"},"properties":{"noteIndex":0},"schema":"https://github.com/citation-style-language/schema/raw/master/csl-citation.json"}</w:instrText>
      </w:r>
      <w:r>
        <w:rPr>
          <w:rFonts w:ascii="Arial" w:hAnsi="Arial" w:cs="Arial"/>
        </w:rPr>
        <w:fldChar w:fldCharType="separate"/>
      </w:r>
      <w:r>
        <w:rPr>
          <w:rFonts w:ascii="Arial" w:hAnsi="Arial" w:cs="Arial"/>
        </w:rPr>
        <w:t>(Krathwohl, 2009)</w:t>
      </w:r>
      <w:r>
        <w:rPr>
          <w:rFonts w:ascii="Arial" w:hAnsi="Arial" w:cs="Arial"/>
        </w:rPr>
        <w:fldChar w:fldCharType="end"/>
      </w:r>
      <w:r>
        <w:rPr>
          <w:rFonts w:ascii="Arial" w:hAnsi="Arial" w:cs="Arial"/>
        </w:rPr>
        <w:t xml:space="preserve">. In most qualitative research, the analysis and conceptual formula of these three levels are presented back and forth </w:t>
      </w:r>
      <w:r>
        <w:rPr>
          <w:rFonts w:ascii="Arial" w:hAnsi="Arial" w:cs="Arial"/>
        </w:rPr>
        <w:fldChar w:fldCharType="begin" w:fldLock="1"/>
      </w:r>
      <w:r>
        <w:rPr>
          <w:rFonts w:ascii="Arial" w:hAnsi="Arial" w:cs="Arial"/>
        </w:rPr>
        <w:instrText xml:space="preserve">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1997)","plainTextFormattedCitation":"(Strauss and Corbin, 1997)","previouslyFormattedCitation":"(Strauss and Corbin, 1997)"},"properties":{"noteIndex":0},"schema":"https://github.com/citation-style-language/schema/raw/master/csl-citation.json"}</w:instrText>
      </w:r>
      <w:r>
        <w:rPr>
          <w:rFonts w:ascii="Arial" w:hAnsi="Arial" w:cs="Arial"/>
        </w:rPr>
        <w:fldChar w:fldCharType="separate"/>
      </w:r>
      <w:r>
        <w:rPr>
          <w:rFonts w:ascii="Arial" w:hAnsi="Arial" w:cs="Arial"/>
        </w:rPr>
        <w:t>(Strauss and Corbin, 1997)</w:t>
      </w:r>
      <w:r>
        <w:rPr>
          <w:rFonts w:ascii="Arial" w:hAnsi="Arial" w:cs="Arial"/>
        </w:rPr>
        <w:fldChar w:fldCharType="end"/>
      </w:r>
      <w:r>
        <w:rPr>
          <w:rFonts w:ascii="Arial" w:hAnsi="Arial" w:cs="Arial"/>
        </w:rPr>
        <w:t xml:space="preserve">. Using the theoretical identified in the second chapter, the collected secondary data is triangulated through different resources to analyze the business model, which includes value creation, delivery and capture of the eSports industry in China. </w:t>
      </w:r>
    </w:p>
    <w:p>
      <w:pPr>
        <w:pStyle w:val="3"/>
        <w:spacing w:before="156" w:beforeLines="50" w:after="312" w:afterLines="100" w:line="360" w:lineRule="auto"/>
        <w:jc w:val="both"/>
        <w:rPr>
          <w:rFonts w:ascii="Arial" w:hAnsi="Arial" w:cs="Arial"/>
        </w:rPr>
      </w:pPr>
      <w:bookmarkStart w:id="60" w:name="_Toc71634594"/>
      <w:bookmarkStart w:id="61" w:name="_Toc71635940"/>
      <w:r>
        <w:rPr>
          <w:rFonts w:ascii="Arial" w:hAnsi="Arial" w:cs="Arial"/>
        </w:rPr>
        <w:t>4.1 How value is created in the Chinese eSports industry?</w:t>
      </w:r>
      <w:bookmarkEnd w:id="60"/>
      <w:bookmarkEnd w:id="61"/>
    </w:p>
    <w:p>
      <w:pPr>
        <w:spacing w:before="156" w:beforeLines="50" w:after="312" w:afterLines="100" w:line="360" w:lineRule="auto"/>
        <w:jc w:val="both"/>
        <w:rPr>
          <w:rFonts w:ascii="Arial" w:hAnsi="Arial" w:cs="Arial"/>
        </w:rPr>
      </w:pPr>
      <w:r>
        <w:rPr>
          <w:rFonts w:ascii="Arial" w:hAnsi="Arial" w:cs="Arial"/>
        </w:rPr>
        <w:t xml:space="preserve">As indicated in the literature review, the value creation indicates the identification of the specific market segments, and the creation of appropriate value proposition to cater to the demand of the particular segment. in terms of the identification of market segment, around 35 years old is perceived as the watershed of the eSports user group, as the users under 30 occupies 89% of the total user in the Chinese eSports market </w:t>
      </w:r>
      <w:r>
        <w:rPr>
          <w:rFonts w:ascii="Arial" w:hAnsi="Arial" w:cs="Arial"/>
        </w:rPr>
        <w:fldChar w:fldCharType="begin" w:fldLock="1"/>
      </w:r>
      <w:r>
        <w:rPr>
          <w:rFonts w:ascii="Arial" w:hAnsi="Arial" w:cs="Arial"/>
        </w:rPr>
        <w:instrText xml:space="preserve">ADDIN CSL_CITATION {"citationItems":[{"id":"ITEM-1","itemData":{"URL":"https://www.businessinsider.com/esports-ecosystem-market-report?r=US&amp;IR=T","accessed":{"date-parts":[["2021","5","3"]]},"author":[{"dropping-particle":"","family":"Business Insider","given":"","non-dropping-particle":"","parse-names":false,"suffix":""}],"id":"ITEM-1","issued":{"date-parts":[["2021"]]},"title":"Esports Industry in 2021: Key Market Stats &amp; Growth Trends","type":"webpage"},"uris":["http://www.mendeley.com/documents/?uuid=7852190a-d384-379c-8ab3-a4d2e5be1eb0"]}],"mendeley":{"formattedCitation":"(Business Insider, 2021)","plainTextFormattedCitation":"(Business Insider, 2021)"},"properties":{"noteIndex":0},"schema":"https://github.com/citation-style-language/schema/raw/master/csl-citation.json"}</w:instrText>
      </w:r>
      <w:r>
        <w:rPr>
          <w:rFonts w:ascii="Arial" w:hAnsi="Arial" w:cs="Arial"/>
        </w:rPr>
        <w:fldChar w:fldCharType="separate"/>
      </w:r>
      <w:r>
        <w:rPr>
          <w:rFonts w:ascii="Arial" w:hAnsi="Arial" w:cs="Arial"/>
        </w:rPr>
        <w:t>(Business Insider, 2021)</w:t>
      </w:r>
      <w:r>
        <w:rPr>
          <w:rFonts w:ascii="Arial" w:hAnsi="Arial" w:cs="Arial"/>
        </w:rPr>
        <w:fldChar w:fldCharType="end"/>
      </w:r>
      <w:r>
        <w:rPr>
          <w:rFonts w:ascii="Arial" w:hAnsi="Arial" w:cs="Arial"/>
        </w:rPr>
        <w:t xml:space="preserve">. Specifically, the user group under 25 occupies 64%, which indicates the user group is getting younger overall. On the other hand, male players account of 81% of the eSports enthusiasts, especially the PC esports games.  The major value proposition in the eSports industry is the eSports games, eSports games are the basis on which the eSports industry exists and where its core competitiveness lies. Game makers develop popular eSports games and have a certain player base before they can hold eSports events and develop derivative industries. There are many kinds of eSports games, and they can be divided into virtualized and fictionalized according to the source of the relevant games </w:t>
      </w:r>
      <w:r>
        <w:rPr>
          <w:rFonts w:ascii="Arial" w:hAnsi="Arial" w:cs="Arial"/>
        </w:rPr>
        <w:fldChar w:fldCharType="begin" w:fldLock="1"/>
      </w:r>
      <w:r>
        <w:rPr>
          <w:rFonts w:ascii="Arial" w:hAnsi="Arial" w:cs="Arial"/>
        </w:rPr>
        <w:instrText xml:space="preserve">ADDIN CSL_CITATION {"citationItems":[{"id":"ITEM-1","itemData":{"URL":"https://esportsobserver.com/china-esports-2021-predictions/","accessed":{"date-parts":[["2021","5","3"]]},"author":[{"dropping-particle":"","family":"The Esports Observer","given":"","non-dropping-particle":"","parse-names":false,"suffix":""}],"id":"ITEM-1","issued":{"date-parts":[["2020"]]},"title":"Opinion: China Esports in 2021 – Not Just COVID-19 ","type":"webpage"},"uris":["http://www.mendeley.com/documents/?uuid=9a950735-3b57-3111-b604-4c2931310f9e"]}],"mendeley":{"formattedCitation":"(The Esports Observer, 2020)","plainTextFormattedCitation":"(The Esports Observer, 2020)","previouslyFormattedCitation":"(The Esports Observer, 2020)"},"properties":{"noteIndex":0},"schema":"https://github.com/citation-style-language/schema/raw/master/csl-citation.json"}</w:instrText>
      </w:r>
      <w:r>
        <w:rPr>
          <w:rFonts w:ascii="Arial" w:hAnsi="Arial" w:cs="Arial"/>
        </w:rPr>
        <w:fldChar w:fldCharType="separate"/>
      </w:r>
      <w:r>
        <w:rPr>
          <w:rFonts w:ascii="Arial" w:hAnsi="Arial" w:cs="Arial"/>
        </w:rPr>
        <w:t>(The Esports Observer, 2020)</w:t>
      </w:r>
      <w:r>
        <w:rPr>
          <w:rFonts w:ascii="Arial" w:hAnsi="Arial" w:cs="Arial"/>
        </w:rPr>
        <w:fldChar w:fldCharType="end"/>
      </w:r>
      <w:r>
        <w:rPr>
          <w:rFonts w:ascii="Arial" w:hAnsi="Arial" w:cs="Arial"/>
        </w:rPr>
        <w:t xml:space="preserve">. Virtualized eSports games refer to the game operators' virtualization of actual competitive sports through digital sports network platforms, such as FIFA2, NBA Live, Live Soccer, etc. Fictionalized eSports games are fictionalized by using various advanced information technologies, and there is no real sports prototype in reality, such as League of Legends, Warcraft, CS: GO, etc. At present, the mainstream eSports games on the PC side mainly come from foreign game production companies, and domestic game companies mainly play the role of agents </w:t>
      </w:r>
      <w:r>
        <w:rPr>
          <w:rFonts w:ascii="Arial" w:hAnsi="Arial" w:cs="Arial"/>
        </w:rPr>
        <w:fldChar w:fldCharType="begin" w:fldLock="1"/>
      </w:r>
      <w:r>
        <w:rPr>
          <w:rFonts w:ascii="Arial" w:hAnsi="Arial" w:cs="Arial"/>
        </w:rPr>
        <w:instrText xml:space="preserve">ADDIN CSL_CITATION {"citationItems":[{"id":"ITEM-1","itemData":{"URL":"https://www.china-briefing.com/news/esports-in-china-industry-boom-leads-official-recognition/","accessed":{"date-parts":[["2021","5","3"]]},"author":[{"dropping-particle":"","family":"China Briefing","given":"","non-dropping-particle":"","parse-names":false,"suffix":""}],"id":"ITEM-1","issued":{"date-parts":[["2019"]]},"title":"Esports in China: Industry Boom Leads to Official Recognition","type":"webpage"},"uris":["http://www.mendeley.com/documents/?uuid=f3f38ff1-fcaa-3896-a5c4-4115467c1362"]}],"mendeley":{"formattedCitation":"(China Briefing, 2019)","plainTextFormattedCitation":"(China Briefing, 2019)","previouslyFormattedCitation":"(China Briefing, 2019)"},"properties":{"noteIndex":0},"schema":"https://github.com/citation-style-language/schema/raw/master/csl-citation.json"}</w:instrText>
      </w:r>
      <w:r>
        <w:rPr>
          <w:rFonts w:ascii="Arial" w:hAnsi="Arial" w:cs="Arial"/>
        </w:rPr>
        <w:fldChar w:fldCharType="separate"/>
      </w:r>
      <w:r>
        <w:rPr>
          <w:rFonts w:ascii="Arial" w:hAnsi="Arial" w:cs="Arial"/>
        </w:rPr>
        <w:t>(China Briefing, 2019)</w:t>
      </w:r>
      <w:r>
        <w:rPr>
          <w:rFonts w:ascii="Arial" w:hAnsi="Arial" w:cs="Arial"/>
        </w:rPr>
        <w:fldChar w:fldCharType="end"/>
      </w:r>
      <w:r>
        <w:rPr>
          <w:rFonts w:ascii="Arial" w:hAnsi="Arial" w:cs="Arial"/>
        </w:rPr>
        <w:t xml:space="preserve">.  Besides the above general categories, the eSports games can also be categorized in to the real-time strategy game, multiplayer online batter game, shooting game, card game, sports game, etc. However, in the emerging mobile eSports games, the dominant position is occupied by domestic original products. </w:t>
      </w:r>
    </w:p>
    <w:p>
      <w:pPr>
        <w:spacing w:before="156" w:beforeLines="50" w:after="312" w:afterLines="100" w:line="360" w:lineRule="auto"/>
        <w:jc w:val="both"/>
        <w:rPr>
          <w:rFonts w:ascii="Arial" w:hAnsi="Arial" w:cs="Arial"/>
        </w:rPr>
      </w:pPr>
      <w:r>
        <w:rPr>
          <w:rFonts w:ascii="Arial" w:hAnsi="Arial" w:cs="Arial"/>
        </w:rPr>
        <w:t xml:space="preserve">Among the most popular games welcomed by the Chinese eSports consumers, none of them is independently developed by the domestic player, and all of them are contributed by the America and South Korean game developers. That is to say, the value in the eSports industry is not created by the domestic developers, but the international eSports game developers. The weak intellectual protection is one of the major underlying reason that the domestic independent research and development of eSports games are so undynamic.  Most domestic esports games are featured by a single theme, repeated gameplay, few boutiques, and every time as long as there is a slightly hot game, a variety of pirated, copycat games will be popping up. And now all kinds of money-making games are popping up, the game is basically monopolized by a few large companies. </w:t>
      </w:r>
    </w:p>
    <w:p>
      <w:pPr>
        <w:spacing w:before="156" w:beforeLines="50" w:after="312" w:afterLines="100" w:line="360" w:lineRule="auto"/>
        <w:jc w:val="both"/>
        <w:rPr>
          <w:rFonts w:ascii="Arial" w:hAnsi="Arial" w:cs="Arial"/>
        </w:rPr>
      </w:pPr>
    </w:p>
    <w:p>
      <w:pPr>
        <w:spacing w:before="156" w:beforeLines="50" w:after="312" w:afterLines="100" w:line="360" w:lineRule="auto"/>
        <w:jc w:val="both"/>
        <w:rPr>
          <w:rFonts w:hint="eastAsia" w:ascii="Arial" w:hAnsi="Arial" w:cs="Arial"/>
        </w:rPr>
      </w:pPr>
    </w:p>
    <w:p>
      <w:pPr>
        <w:pStyle w:val="11"/>
        <w:keepNext/>
        <w:jc w:val="both"/>
        <w:rPr>
          <w:rFonts w:ascii="Arial" w:hAnsi="Arial" w:cs="Arial"/>
        </w:rPr>
      </w:pPr>
      <w:bookmarkStart w:id="62" w:name="_Toc71636021"/>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t>-1: The most popular eSports games in China and its developers</w:t>
      </w:r>
      <w:bookmarkEnd w:id="62"/>
      <w:r>
        <w:rPr>
          <w:rFonts w:ascii="Arial" w:hAnsi="Arial" w:cs="Arial"/>
        </w:rPr>
        <w:t xml:space="preserve"> </w:t>
      </w:r>
    </w:p>
    <w:p>
      <w:pPr>
        <w:rPr>
          <w:rFonts w:ascii="Arial" w:hAnsi="Arial" w:cs="Arial"/>
        </w:rPr>
      </w:pPr>
      <w:r>
        <w:rPr>
          <w:rFonts w:ascii="Arial" w:hAnsi="Arial" w:cs="Arial"/>
        </w:rPr>
        <w:t>Source: own summary</w:t>
      </w:r>
    </w:p>
    <w:p>
      <w:pPr>
        <w:spacing w:before="156" w:beforeLines="50" w:after="312" w:afterLines="100" w:line="360" w:lineRule="auto"/>
        <w:jc w:val="both"/>
        <w:rPr>
          <w:rFonts w:ascii="Arial" w:hAnsi="Arial" w:cs="Arial"/>
        </w:rPr>
      </w:pPr>
      <w:r>
        <w:rPr>
          <w:rFonts w:ascii="Arial" w:hAnsi="Arial" w:cs="Arial"/>
        </w:rPr>
        <w:drawing>
          <wp:inline distT="0" distB="0" distL="0" distR="0">
            <wp:extent cx="5189855" cy="162242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205339" cy="1627403"/>
                    </a:xfrm>
                    <a:prstGeom prst="rect">
                      <a:avLst/>
                    </a:prstGeom>
                    <a:noFill/>
                    <a:ln>
                      <a:noFill/>
                    </a:ln>
                  </pic:spPr>
                </pic:pic>
              </a:graphicData>
            </a:graphic>
          </wp:inline>
        </w:drawing>
      </w:r>
    </w:p>
    <w:p>
      <w:pPr>
        <w:pStyle w:val="3"/>
        <w:spacing w:before="156" w:beforeLines="50" w:after="312" w:afterLines="100" w:line="360" w:lineRule="auto"/>
        <w:jc w:val="both"/>
        <w:rPr>
          <w:rFonts w:ascii="Arial" w:hAnsi="Arial" w:cs="Arial"/>
        </w:rPr>
      </w:pPr>
      <w:bookmarkStart w:id="63" w:name="_Toc71634595"/>
      <w:bookmarkStart w:id="64" w:name="_Toc71635941"/>
      <w:r>
        <w:rPr>
          <w:rFonts w:ascii="Arial" w:hAnsi="Arial" w:cs="Arial"/>
        </w:rPr>
        <w:t>4.2 How value is delivered in the Chinese eSports industry?</w:t>
      </w:r>
      <w:bookmarkEnd w:id="63"/>
      <w:bookmarkEnd w:id="64"/>
    </w:p>
    <w:p>
      <w:pPr>
        <w:spacing w:before="156" w:beforeLines="50" w:after="312" w:afterLines="100" w:line="360" w:lineRule="auto"/>
        <w:jc w:val="both"/>
        <w:rPr>
          <w:rFonts w:ascii="Arial" w:hAnsi="Arial" w:cs="Arial"/>
        </w:rPr>
      </w:pPr>
      <w:r>
        <w:rPr>
          <w:rFonts w:ascii="Arial" w:hAnsi="Arial" w:cs="Arial"/>
        </w:rPr>
        <w:t xml:space="preserve">The value delivery of the eSports industry in China can be realized through the eSports games and eSports events </w:t>
      </w:r>
      <w:r>
        <w:rPr>
          <w:rFonts w:ascii="Arial" w:hAnsi="Arial" w:cs="Arial"/>
        </w:rPr>
        <w:fldChar w:fldCharType="begin" w:fldLock="1"/>
      </w:r>
      <w:r>
        <w:rPr>
          <w:rFonts w:ascii="Arial" w:hAnsi="Arial" w:cs="Arial"/>
        </w:rPr>
        <w:instrText xml:space="preserve">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Pr>
          <w:rFonts w:ascii="Arial" w:hAnsi="Arial" w:cs="Arial"/>
        </w:rPr>
        <w:fldChar w:fldCharType="separate"/>
      </w:r>
      <w:r>
        <w:rPr>
          <w:rFonts w:ascii="Arial" w:hAnsi="Arial" w:cs="Arial"/>
        </w:rPr>
        <w:t>(Yang, Huang and Zhang, 2014)</w:t>
      </w:r>
      <w:r>
        <w:rPr>
          <w:rFonts w:ascii="Arial" w:hAnsi="Arial" w:cs="Arial"/>
        </w:rPr>
        <w:fldChar w:fldCharType="end"/>
      </w:r>
      <w:r>
        <w:rPr>
          <w:rFonts w:ascii="Arial" w:hAnsi="Arial" w:cs="Arial"/>
        </w:rPr>
        <w:t xml:space="preserve">. Specifically, the eSports games that mentioned above can act as a platform to delivery value for individual eSports players. Besides the eSports games that can be accessed through a wide range game platform, the eSports events act as another delivery channel for the eSports industry in China. </w:t>
      </w:r>
    </w:p>
    <w:p>
      <w:pPr>
        <w:spacing w:before="156" w:beforeLines="50" w:after="312" w:afterLines="100" w:line="360" w:lineRule="auto"/>
        <w:jc w:val="both"/>
        <w:rPr>
          <w:rFonts w:ascii="Arial" w:hAnsi="Arial" w:cs="Arial"/>
        </w:rPr>
      </w:pPr>
      <w:r>
        <w:rPr>
          <w:rFonts w:ascii="Arial" w:hAnsi="Arial" w:cs="Arial"/>
        </w:rPr>
        <w:t xml:space="preserve">At present, there are rich and diverse types of eSports events, which are divided into first-party events and third-party events according to the organizer; PC eSports events and mobile eSports events according to the competition mode; single events and comprehensive events according to the number of contents; first person shooting, multi-player batter, card events, chess events and casual events according to the type of competition contents. and casual events </w:t>
      </w:r>
      <w:r>
        <w:rPr>
          <w:rFonts w:ascii="Arial" w:hAnsi="Arial" w:cs="Arial"/>
        </w:rPr>
        <w:fldChar w:fldCharType="begin" w:fldLock="1"/>
      </w:r>
      <w:r>
        <w:rPr>
          <w:rFonts w:ascii="Arial" w:hAnsi="Arial" w:cs="Arial"/>
        </w:rPr>
        <w:instrText xml:space="preserve">ADDIN CSL_CITATION {"citationItems":[{"id":"ITEM-1","itemData":{"ISSN":"1753-0350","author":[{"dropping-particle":"","family":"Zhao","given":"Yupei","non-dropping-particle":"","parse-names":false,"suffix":""},{"dropping-particle":"","family":"Lin","given":"Zhongxuan","non-dropping-particle":"","parse-names":false,"suffix":""}],"container-title":"Journal of Cultural Economy","id":"ITEM-1","issue":"1","issued":{"date-parts":[["2021"]]},"page":"9-25","publisher":"Taylor &amp; Francis","title":"Umbrella platform of Tencent eSports industry in China","type":"article-journal","volume":"14"},"uris":["http://www.mendeley.com/documents/?uuid=1275a19d-ae26-4b6a-9ea5-0038bf2bf788"]}],"mendeley":{"formattedCitation":"(Zhao and Lin, 2021)","plainTextFormattedCitation":"(Zhao and Lin, 2021)","previouslyFormattedCitation":"(Zhao and Lin, 2021)"},"properties":{"noteIndex":0},"schema":"https://github.com/citation-style-language/schema/raw/master/csl-citation.json"}</w:instrText>
      </w:r>
      <w:r>
        <w:rPr>
          <w:rFonts w:ascii="Arial" w:hAnsi="Arial" w:cs="Arial"/>
        </w:rPr>
        <w:fldChar w:fldCharType="separate"/>
      </w:r>
      <w:r>
        <w:rPr>
          <w:rFonts w:ascii="Arial" w:hAnsi="Arial" w:cs="Arial"/>
        </w:rPr>
        <w:t>(Zhao and Lin, 2021)</w:t>
      </w:r>
      <w:r>
        <w:rPr>
          <w:rFonts w:ascii="Arial" w:hAnsi="Arial" w:cs="Arial"/>
        </w:rPr>
        <w:fldChar w:fldCharType="end"/>
      </w:r>
      <w:r>
        <w:rPr>
          <w:rFonts w:ascii="Arial" w:hAnsi="Arial" w:cs="Arial"/>
        </w:rPr>
        <w:t xml:space="preserve">. At present, first-party, single-event tournaments have become the mainstream of eSports tournaments in China with their high popularity, generous prize money and high user stickiness, among which multiplayer-player battle gaming events </w:t>
      </w:r>
      <w:r>
        <w:rPr>
          <w:rFonts w:ascii="Arial" w:hAnsi="Arial" w:cs="Arial"/>
        </w:rPr>
        <w:fldChar w:fldCharType="begin" w:fldLock="1"/>
      </w:r>
      <w:r>
        <w:rPr>
          <w:rFonts w:ascii="Arial" w:hAnsi="Arial" w:cs="Arial"/>
        </w:rPr>
        <w:instrText xml:space="preserve">ADDIN CSL_CITATION {"citationItems":[{"id":"ITEM-1","itemData":{"ISSN":"0747-5632","author":[{"dropping-particle":"","family":"Cranmer","given":"Eleanor E","non-dropping-particle":"","parse-names":false,"suffix":""},{"dropping-particle":"","family":"Han","given":"Dai-In Danny","non-dropping-particle":"","parse-names":false,"suffix":""},{"dropping-particle":"","family":"Gisbergen","given":"Marnix","non-dropping-particle":"van","parse-names":false,"suffix":""},{"dropping-particle":"","family":"Jung","given":"Timothy","non-dropping-particle":"","parse-names":false,"suffix":""}],"container-title":"Computers in Human Behavior","id":"ITEM-1","issued":{"date-parts":[["2021"]]},"page":"106671","publisher":"Elsevier","title":"Esports matrix: Structuring the esports research agenda","type":"article-journal","volume":"117"},"uris":["http://www.mendeley.com/documents/?uuid=60e38d4a-48f6-44b3-a78a-1e904fb5d060"]}],"mendeley":{"formattedCitation":"(Cranmer &lt;i&gt;et al.&lt;/i&gt;, 2021)","plainTextFormattedCitation":"(Cranmer et al., 2021)","previouslyFormattedCitation":"(Cranmer &lt;i&gt;et al.&lt;/i&gt;, 2021)"},"properties":{"noteIndex":0},"schema":"https://github.com/citation-style-language/schema/raw/master/csl-citation.json"}</w:instrText>
      </w:r>
      <w:r>
        <w:rPr>
          <w:rFonts w:ascii="Arial" w:hAnsi="Arial" w:cs="Arial"/>
        </w:rPr>
        <w:fldChar w:fldCharType="separate"/>
      </w:r>
      <w:r>
        <w:rPr>
          <w:rFonts w:ascii="Arial" w:hAnsi="Arial" w:cs="Arial"/>
        </w:rPr>
        <w:t xml:space="preserve">(Cranmer </w:t>
      </w:r>
      <w:r>
        <w:rPr>
          <w:rFonts w:ascii="Arial" w:hAnsi="Arial" w:cs="Arial"/>
          <w:i/>
        </w:rPr>
        <w:t>et al.</w:t>
      </w:r>
      <w:r>
        <w:rPr>
          <w:rFonts w:ascii="Arial" w:hAnsi="Arial" w:cs="Arial"/>
        </w:rPr>
        <w:t>, 2021)</w:t>
      </w:r>
      <w:r>
        <w:rPr>
          <w:rFonts w:ascii="Arial" w:hAnsi="Arial" w:cs="Arial"/>
        </w:rPr>
        <w:fldChar w:fldCharType="end"/>
      </w:r>
      <w:r>
        <w:rPr>
          <w:rFonts w:ascii="Arial" w:hAnsi="Arial" w:cs="Arial"/>
        </w:rPr>
        <w:t xml:space="preserve">. Through connecting game developers, game players, media, game clubs, hardware manufacturers, event organizer into one integrated one value chain, E-sports events have been perceived as the growth engine and irreplaceable link of the whole industry. </w:t>
      </w:r>
    </w:p>
    <w:p>
      <w:pPr>
        <w:spacing w:before="156" w:beforeLines="50" w:after="312" w:afterLines="100" w:line="360" w:lineRule="auto"/>
        <w:jc w:val="both"/>
        <w:rPr>
          <w:rFonts w:ascii="Arial" w:hAnsi="Arial" w:cs="Arial"/>
        </w:rPr>
      </w:pPr>
    </w:p>
    <w:p>
      <w:pPr>
        <w:pStyle w:val="11"/>
        <w:keepNext/>
        <w:jc w:val="both"/>
        <w:rPr>
          <w:rFonts w:ascii="Arial" w:hAnsi="Arial" w:cs="Arial"/>
        </w:rPr>
      </w:pPr>
      <w:bookmarkStart w:id="65" w:name="_Toc71636022"/>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t>-2: Top eSports events in China</w:t>
      </w:r>
      <w:bookmarkEnd w:id="65"/>
    </w:p>
    <w:p>
      <w:pPr>
        <w:rPr>
          <w:rFonts w:ascii="Arial" w:hAnsi="Arial" w:cs="Arial"/>
        </w:rPr>
      </w:pPr>
      <w:r>
        <w:rPr>
          <w:rFonts w:ascii="Arial" w:hAnsi="Arial" w:cs="Arial"/>
        </w:rPr>
        <w:t xml:space="preserve">Source: own summary </w:t>
      </w:r>
    </w:p>
    <w:p>
      <w:pPr>
        <w:spacing w:before="156" w:beforeLines="50" w:after="312" w:afterLines="100" w:line="360" w:lineRule="auto"/>
        <w:jc w:val="both"/>
        <w:rPr>
          <w:rFonts w:ascii="Arial" w:hAnsi="Arial" w:cs="Arial"/>
        </w:rPr>
      </w:pPr>
      <w:r>
        <w:rPr>
          <w:rFonts w:ascii="Arial" w:hAnsi="Arial" w:cs="Arial"/>
        </w:rPr>
        <w:drawing>
          <wp:inline distT="0" distB="0" distL="0" distR="0">
            <wp:extent cx="6188710" cy="847725"/>
            <wp:effectExtent l="0" t="0" r="2540" b="952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6188710" cy="847725"/>
                    </a:xfrm>
                    <a:prstGeom prst="rect">
                      <a:avLst/>
                    </a:prstGeom>
                    <a:noFill/>
                    <a:ln>
                      <a:noFill/>
                    </a:ln>
                  </pic:spPr>
                </pic:pic>
              </a:graphicData>
            </a:graphic>
          </wp:inline>
        </w:drawing>
      </w:r>
    </w:p>
    <w:p>
      <w:pPr>
        <w:spacing w:before="156" w:beforeLines="50" w:after="312" w:afterLines="100" w:line="360" w:lineRule="auto"/>
        <w:jc w:val="both"/>
        <w:rPr>
          <w:rFonts w:ascii="Arial" w:hAnsi="Arial" w:cs="Arial"/>
        </w:rPr>
      </w:pPr>
      <w:r>
        <w:rPr>
          <w:rFonts w:ascii="Arial" w:hAnsi="Arial" w:cs="Arial"/>
        </w:rPr>
        <w:t xml:space="preserve">However, there are only a few high-profile e-sports events in China with limited influence and with focus on single games, and the hosting of e-sports events is often restricted by the lagged behind industry regulations (see above table). The popularity of emerging new games has not exploited through eSports games in China yet, the only well-known event was based on League of Legends (LOL), and there is no mature eSports event industry has developed in China yet. The commercial value of e-sports events has not yet been valued by almost all e-sports game developers and operators, so it is especially important to build a year-round, full-level tournament system and create an atmosphere of universal participation. </w:t>
      </w:r>
    </w:p>
    <w:p>
      <w:pPr>
        <w:pStyle w:val="3"/>
        <w:spacing w:before="156" w:beforeLines="50" w:after="312" w:afterLines="100" w:line="360" w:lineRule="auto"/>
        <w:jc w:val="both"/>
        <w:rPr>
          <w:rFonts w:ascii="Arial" w:hAnsi="Arial" w:cs="Arial"/>
        </w:rPr>
      </w:pPr>
      <w:bookmarkStart w:id="66" w:name="_Toc71635942"/>
      <w:bookmarkStart w:id="67" w:name="_Toc71634596"/>
      <w:r>
        <w:rPr>
          <w:rFonts w:ascii="Arial" w:hAnsi="Arial" w:cs="Arial"/>
        </w:rPr>
        <w:t>4.3 How value is captured in the Chinese eSports industry?</w:t>
      </w:r>
      <w:bookmarkEnd w:id="66"/>
      <w:bookmarkEnd w:id="67"/>
      <w:r>
        <w:rPr>
          <w:rFonts w:ascii="Arial" w:hAnsi="Arial" w:cs="Arial"/>
        </w:rPr>
        <w:t xml:space="preserve"> </w:t>
      </w:r>
    </w:p>
    <w:p>
      <w:pPr>
        <w:spacing w:before="156" w:beforeLines="50" w:after="312" w:afterLines="100" w:line="360" w:lineRule="auto"/>
        <w:jc w:val="both"/>
        <w:rPr>
          <w:rFonts w:ascii="Arial" w:hAnsi="Arial" w:cs="Arial"/>
        </w:rPr>
      </w:pPr>
      <w:r>
        <w:rPr>
          <w:rFonts w:ascii="Arial" w:hAnsi="Arial" w:cs="Arial"/>
        </w:rPr>
        <w:t>As indicated before, the value creation medium of the esports industry in China can be categorized into esports games and eSports events. Given the two different mediums of value creation, there are different modes for value captures. The value capture of the whole industry is also respectively discussed through the eSports games and eSports events.</w:t>
      </w:r>
    </w:p>
    <w:p>
      <w:pPr>
        <w:spacing w:before="156" w:beforeLines="50" w:after="312" w:afterLines="100" w:line="360" w:lineRule="auto"/>
        <w:jc w:val="both"/>
        <w:rPr>
          <w:rFonts w:ascii="Arial" w:hAnsi="Arial" w:cs="Arial"/>
        </w:rPr>
      </w:pPr>
      <w:r>
        <w:rPr>
          <w:rFonts w:ascii="Arial" w:hAnsi="Arial" w:cs="Arial"/>
        </w:rPr>
        <w:t xml:space="preserve"> The value of eSports games has been captured through the following ways in the Chinese market. </w:t>
      </w:r>
    </w:p>
    <w:p>
      <w:pPr>
        <w:pStyle w:val="50"/>
        <w:numPr>
          <w:ilvl w:val="0"/>
          <w:numId w:val="4"/>
        </w:numPr>
        <w:spacing w:before="156" w:beforeLines="50" w:after="312" w:afterLines="100" w:line="360" w:lineRule="auto"/>
        <w:ind w:firstLineChars="0"/>
        <w:jc w:val="both"/>
        <w:rPr>
          <w:rFonts w:ascii="Arial" w:hAnsi="Arial" w:cs="Arial"/>
        </w:rPr>
      </w:pPr>
      <w:r>
        <w:rPr>
          <w:rFonts w:ascii="Arial" w:hAnsi="Arial" w:cs="Arial"/>
        </w:rPr>
        <w:t xml:space="preserve">In the early stage of development of online games, the profit model of charging by game time is generally adopted, and game players in this model can buy game time by purchasing point cards and pack hours. The former means that players use real money to buy virtual money such as point cards to top up their game accounts, and the cost is calculated according to the length of actual game time, and no final consumption is formed without participating in the game </w:t>
      </w:r>
      <w:r>
        <w:rPr>
          <w:rFonts w:ascii="Arial" w:hAnsi="Arial" w:cs="Arial"/>
        </w:rPr>
        <w:fldChar w:fldCharType="begin" w:fldLock="1"/>
      </w:r>
      <w:r>
        <w:rPr>
          <w:rFonts w:ascii="Arial" w:hAnsi="Arial" w:cs="Arial"/>
        </w:rPr>
        <w:instrText xml:space="preserve">ADDIN CSL_CITATION {"citationItems":[{"id":"ITEM-1","itemData":{"ISBN":"3030111989","author":[{"dropping-particle":"","family":"Scholz","given":"Tobias M","non-dropping-particle":"","parse-names":false,"suffix":""},{"dropping-particle":"","family":"Scholz","given":"Tobias M","non-dropping-particle":"","parse-names":false,"suffix":""},{"dropping-particle":"","family":"Barlow","given":"","non-dropping-particle":"","parse-names":false,"suffix":""}],"id":"ITEM-1","issued":{"date-parts":[["2019"]]},"publisher":"Springer","title":"eSports is Business","type":"book"},"uris":["http://www.mendeley.com/documents/?uuid=dd21c3b1-ba8f-44f1-8303-a112e0d0860a"]}],"mendeley":{"formattedCitation":"(Scholz, Scholz and Barlow, 2019)","plainTextFormattedCitation":"(Scholz, Scholz and Barlow, 2019)","previouslyFormattedCitation":"(Scholz, Scholz and Barlow, 2019)"},"properties":{"noteIndex":0},"schema":"https://github.com/citation-style-language/schema/raw/master/csl-citation.json"}</w:instrText>
      </w:r>
      <w:r>
        <w:rPr>
          <w:rFonts w:ascii="Arial" w:hAnsi="Arial" w:cs="Arial"/>
        </w:rPr>
        <w:fldChar w:fldCharType="separate"/>
      </w:r>
      <w:r>
        <w:rPr>
          <w:rFonts w:ascii="Arial" w:hAnsi="Arial" w:cs="Arial"/>
        </w:rPr>
        <w:t>(Scholz, Scholz and Barlow, 2019)</w:t>
      </w:r>
      <w:r>
        <w:rPr>
          <w:rFonts w:ascii="Arial" w:hAnsi="Arial" w:cs="Arial"/>
        </w:rPr>
        <w:fldChar w:fldCharType="end"/>
      </w:r>
      <w:r>
        <w:rPr>
          <w:rFonts w:ascii="Arial" w:hAnsi="Arial" w:cs="Arial"/>
        </w:rPr>
        <w:t xml:space="preserve">. The latter means that the player uses real money to purchase a certain period of time for the game, and within this specific period of time, the final consumption will be formed regardless of whether the purchaser actually plays the game or not, and the game operator will not make a refund of the cost </w:t>
      </w:r>
      <w:r>
        <w:rPr>
          <w:rFonts w:ascii="Arial" w:hAnsi="Arial" w:cs="Arial"/>
        </w:rPr>
        <w:fldChar w:fldCharType="begin" w:fldLock="1"/>
      </w:r>
      <w:r>
        <w:rPr>
          <w:rFonts w:ascii="Arial" w:hAnsi="Arial" w:cs="Arial"/>
        </w:rPr>
        <w:instrText xml:space="preserve">ADDIN CSL_CITATION {"citationItems":[{"id":"ITEM-1","itemData":{"ISSN":"1727-7051","author":[{"dropping-particle":"","family":"Lokhman","given":"Natalia","non-dropping-particle":"","parse-names":false,"suffix":""},{"dropping-particle":"","family":"Karashchuk","given":"Oksana","non-dropping-particle":"","parse-names":false,"suffix":""},{"dropping-particle":"","family":"Kornilova","given":"Olena","non-dropping-particle":"","parse-names":false,"suffix":""}],"container-title":"Problems and Perspectives in Management","id":"ITEM-1","issue":"1","issued":{"date-parts":[["2018"]]},"page":"207-213","publisher":"Limited Liability Company\" Consulting Publishing Company\" Business Perspectives\"","title":"Analysis of eSports as a commercial activity","type":"article-journal","volume":"16"},"uris":["http://www.mendeley.com/documents/?uuid=0f40e129-dd3b-4d55-a461-35d73e5d913d"]}],"mendeley":{"formattedCitation":"(Lokhman, Karashchuk and Kornilova, 2018)","plainTextFormattedCitation":"(Lokhman, Karashchuk and Kornilova, 2018)","previouslyFormattedCitation":"(Lokhman, Karashchuk and Kornilova, 2018)"},"properties":{"noteIndex":0},"schema":"https://github.com/citation-style-language/schema/raw/master/csl-citation.json"}</w:instrText>
      </w:r>
      <w:r>
        <w:rPr>
          <w:rFonts w:ascii="Arial" w:hAnsi="Arial" w:cs="Arial"/>
        </w:rPr>
        <w:fldChar w:fldCharType="separate"/>
      </w:r>
      <w:r>
        <w:rPr>
          <w:rFonts w:ascii="Arial" w:hAnsi="Arial" w:cs="Arial"/>
        </w:rPr>
        <w:t>(Lokhman, Karashchuk and Kornilova, 2018)</w:t>
      </w:r>
      <w:r>
        <w:rPr>
          <w:rFonts w:ascii="Arial" w:hAnsi="Arial" w:cs="Arial"/>
        </w:rPr>
        <w:fldChar w:fldCharType="end"/>
      </w:r>
      <w:r>
        <w:rPr>
          <w:rFonts w:ascii="Arial" w:hAnsi="Arial" w:cs="Arial"/>
        </w:rPr>
        <w:t>.</w:t>
      </w:r>
    </w:p>
    <w:p>
      <w:pPr>
        <w:pStyle w:val="50"/>
        <w:numPr>
          <w:ilvl w:val="0"/>
          <w:numId w:val="4"/>
        </w:numPr>
        <w:spacing w:before="156" w:beforeLines="50" w:after="312" w:afterLines="100" w:line="360" w:lineRule="auto"/>
        <w:ind w:firstLineChars="0"/>
        <w:jc w:val="both"/>
        <w:rPr>
          <w:rFonts w:ascii="Arial" w:hAnsi="Arial" w:cs="Arial"/>
        </w:rPr>
      </w:pPr>
      <w:r>
        <w:rPr>
          <w:rFonts w:ascii="Arial" w:hAnsi="Arial" w:cs="Arial"/>
        </w:rPr>
        <w:t xml:space="preserve">With the successful implementation of CSP (free online game model) by Shanda, the leading enterprise of domestic game industry at that time, in 2005, domestic online games entered the era of free model </w:t>
      </w:r>
      <w:r>
        <w:rPr>
          <w:rFonts w:ascii="Arial" w:hAnsi="Arial" w:cs="Arial"/>
        </w:rPr>
        <w:fldChar w:fldCharType="begin" w:fldLock="1"/>
      </w:r>
      <w:r>
        <w:rPr>
          <w:rFonts w:ascii="Arial" w:hAnsi="Arial" w:cs="Arial"/>
        </w:rPr>
        <w:instrText xml:space="preserve">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Pr>
          <w:rFonts w:ascii="Arial" w:hAnsi="Arial" w:cs="Arial"/>
        </w:rPr>
        <w:fldChar w:fldCharType="separate"/>
      </w:r>
      <w:r>
        <w:rPr>
          <w:rFonts w:ascii="Arial" w:hAnsi="Arial" w:cs="Arial"/>
        </w:rPr>
        <w:t>(Yang, Huang and Zhang, 2014)</w:t>
      </w:r>
      <w:r>
        <w:rPr>
          <w:rFonts w:ascii="Arial" w:hAnsi="Arial" w:cs="Arial"/>
        </w:rPr>
        <w:fldChar w:fldCharType="end"/>
      </w:r>
      <w:r>
        <w:rPr>
          <w:rFonts w:ascii="Arial" w:hAnsi="Arial" w:cs="Arial"/>
        </w:rPr>
        <w:t xml:space="preserve">. the purchase of value-added services and props has been the dominant features of all kinds of free online e-games. As the access and entry to the game is publicly free, but the continuous roll out of the new virtual props and other value-added services will help the developer to generate recurring values. Props and value-added services are purchased by exchanging RMB for virtual currency in the game, and then buying props to enhance the character's ability or skin to decorate the character in the virtual store in the game at the same time </w:t>
      </w:r>
      <w:r>
        <w:rPr>
          <w:rFonts w:ascii="Arial" w:hAnsi="Arial" w:cs="Arial"/>
        </w:rPr>
        <w:fldChar w:fldCharType="begin" w:fldLock="1"/>
      </w:r>
      <w:r>
        <w:rPr>
          <w:rFonts w:ascii="Arial" w:hAnsi="Arial" w:cs="Arial"/>
        </w:rPr>
        <w:instrText xml:space="preserve">ADDIN CSL_CITATION {"citationItems":[{"id":"ITEM-1","itemData":{"URL":"https://techwireasia.com/2020/08/tencent-ready-to-dominate-chinas-esports-market-with-10b-merger/","accessed":{"date-parts":[["2021","5","3"]]},"author":[{"dropping-particle":"","family":"TechWire","given":"","non-dropping-particle":"","parse-names":false,"suffix":""}],"id":"ITEM-1","issued":{"date-parts":[["2020"]]},"title":"Tencent ready to dominate China's eSports market with $10B merger","type":"webpage"},"uris":["http://www.mendeley.com/documents/?uuid=7a95c2ce-06ab-31ad-806e-ba9c772d75be"]}],"mendeley":{"formattedCitation":"(TechWire, 2020)","plainTextFormattedCitation":"(TechWire, 2020)","previouslyFormattedCitation":"(TechWire, 2020)"},"properties":{"noteIndex":0},"schema":"https://github.com/citation-style-language/schema/raw/master/csl-citation.json"}</w:instrText>
      </w:r>
      <w:r>
        <w:rPr>
          <w:rFonts w:ascii="Arial" w:hAnsi="Arial" w:cs="Arial"/>
        </w:rPr>
        <w:fldChar w:fldCharType="separate"/>
      </w:r>
      <w:r>
        <w:rPr>
          <w:rFonts w:ascii="Arial" w:hAnsi="Arial" w:cs="Arial"/>
        </w:rPr>
        <w:t>(TechWire, 2020)</w:t>
      </w:r>
      <w:r>
        <w:rPr>
          <w:rFonts w:ascii="Arial" w:hAnsi="Arial" w:cs="Arial"/>
        </w:rPr>
        <w:fldChar w:fldCharType="end"/>
      </w:r>
      <w:r>
        <w:rPr>
          <w:rFonts w:ascii="Arial" w:hAnsi="Arial" w:cs="Arial"/>
        </w:rPr>
        <w:t xml:space="preserve">. </w:t>
      </w:r>
    </w:p>
    <w:p>
      <w:pPr>
        <w:pStyle w:val="50"/>
        <w:numPr>
          <w:ilvl w:val="0"/>
          <w:numId w:val="4"/>
        </w:numPr>
        <w:spacing w:before="156" w:beforeLines="50" w:after="312" w:afterLines="100" w:line="360" w:lineRule="auto"/>
        <w:ind w:firstLineChars="0"/>
        <w:jc w:val="both"/>
        <w:rPr>
          <w:rFonts w:ascii="Arial" w:hAnsi="Arial" w:cs="Arial"/>
        </w:rPr>
      </w:pPr>
      <w:r>
        <w:rPr>
          <w:rFonts w:ascii="Arial" w:hAnsi="Arial" w:cs="Arial"/>
        </w:rPr>
        <w:t xml:space="preserve">In-Game Advertisement (IGA) refers to advertising activities in games. Under this profit model, game manufacturers charge advertisers a certain amount of money to implant the products they need to promote into the game, so as to achieve the effect of advertising while players play the game </w:t>
      </w:r>
      <w:r>
        <w:rPr>
          <w:rFonts w:ascii="Arial" w:hAnsi="Arial" w:cs="Arial"/>
        </w:rPr>
        <w:fldChar w:fldCharType="begin" w:fldLock="1"/>
      </w:r>
      <w:r>
        <w:rPr>
          <w:rFonts w:ascii="Arial" w:hAnsi="Arial" w:cs="Arial"/>
        </w:rPr>
        <w:instrText xml:space="preserve">ADDIN CSL_CITATION {"citationItems":[{"id":"ITEM-1","itemData":{"ISSN":"0144-929X","author":[{"dropping-particle":"","family":"Seo","given":"Young-nam","non-dropping-particle":"","parse-names":false,"suffix":""},{"dropping-particle":"","family":"Kim","given":"Minkyung","non-dropping-particle":"","parse-names":false,"suffix":""},{"dropping-particle":"","family":"Lee","given":"Doohwang","non-dropping-particle":"","parse-names":false,"suffix":""},{"dropping-particle":"","family":"Jung","given":"Younbo","non-dropping-particle":"","parse-names":false,"suffix":""}],"container-title":"Behaviour &amp; Information Technology","id":"ITEM-1","issue":"12","issued":{"date-parts":[["2018"]]},"page":"1194-1202","publisher":"Taylor &amp; Francis","title":"Attention to eSports advertisement: effects of ad animation and in-game dynamics on viewers</w:instrText>
      </w:r>
      <w:r>
        <w:rPr>
          <w:rFonts w:ascii="Malgun Gothic" w:hAnsi="Malgun Gothic" w:cs="Malgun Gothic"/>
        </w:rPr>
        <w:instrText xml:space="preserve">��</w:instrText>
      </w:r>
      <w:r>
        <w:rPr>
          <w:rFonts w:ascii="Arial" w:hAnsi="Arial" w:cs="Arial"/>
        </w:rPr>
        <w:instrText xml:space="preserve"> visual attention","type":"article-journal","volume":"37"},"uris":["http://www.mendeley.com/documents/?uuid=79011403-8e74-4ef0-94a9-7045013a7554"]}],"mendeley":{"formattedCitation":"(Seo &lt;i&gt;et al.&lt;/i&gt;, 2018)","plainTextFormattedCitation":"(Seo et al., 2018)","previouslyFormattedCitation":"(Seo &lt;i&gt;et al.&lt;/i&gt;, 2018)"},"properties":{"noteIndex":0},"schema":"https://github.com/citation-style-language/schema/raw/master/csl-citation.json"}</w:instrText>
      </w:r>
      <w:r>
        <w:rPr>
          <w:rFonts w:ascii="Arial" w:hAnsi="Arial" w:cs="Arial"/>
        </w:rPr>
        <w:fldChar w:fldCharType="separate"/>
      </w:r>
      <w:r>
        <w:rPr>
          <w:rFonts w:ascii="Arial" w:hAnsi="Arial" w:cs="Arial"/>
        </w:rPr>
        <w:t xml:space="preserve">(Seo </w:t>
      </w:r>
      <w:r>
        <w:rPr>
          <w:rFonts w:ascii="Arial" w:hAnsi="Arial" w:cs="Arial"/>
          <w:i/>
        </w:rPr>
        <w:t>et al.</w:t>
      </w:r>
      <w:r>
        <w:rPr>
          <w:rFonts w:ascii="Arial" w:hAnsi="Arial" w:cs="Arial"/>
        </w:rPr>
        <w:t>, 2018)</w:t>
      </w:r>
      <w:r>
        <w:rPr>
          <w:rFonts w:ascii="Arial" w:hAnsi="Arial" w:cs="Arial"/>
        </w:rPr>
        <w:fldChar w:fldCharType="end"/>
      </w:r>
      <w:r>
        <w:rPr>
          <w:rFonts w:ascii="Arial" w:hAnsi="Arial" w:cs="Arial"/>
        </w:rPr>
        <w:t>. Usually, the advertising information will be implanted into the game scenes, prop names or game activities.</w:t>
      </w:r>
    </w:p>
    <w:p>
      <w:pPr>
        <w:spacing w:before="156" w:beforeLines="50" w:after="312" w:afterLines="100" w:line="360" w:lineRule="auto"/>
        <w:jc w:val="both"/>
        <w:rPr>
          <w:rFonts w:ascii="Arial" w:hAnsi="Arial" w:cs="Arial"/>
        </w:rPr>
      </w:pPr>
      <w:r>
        <w:rPr>
          <w:rFonts w:ascii="Arial" w:hAnsi="Arial" w:cs="Arial"/>
        </w:rPr>
        <w:t xml:space="preserve">As discussed before, the value creation/delivery of the esports industry in China also includes the host of eSports events. In this event, the value can be captured through the following approaches. </w:t>
      </w:r>
    </w:p>
    <w:p>
      <w:pPr>
        <w:pStyle w:val="50"/>
        <w:numPr>
          <w:ilvl w:val="0"/>
          <w:numId w:val="4"/>
        </w:numPr>
        <w:spacing w:before="156" w:beforeLines="50" w:after="312" w:afterLines="100" w:line="360" w:lineRule="auto"/>
        <w:ind w:firstLineChars="0"/>
        <w:jc w:val="both"/>
        <w:rPr>
          <w:rFonts w:ascii="Arial" w:hAnsi="Arial" w:cs="Arial"/>
        </w:rPr>
      </w:pPr>
      <w:r>
        <w:rPr>
          <w:rFonts w:ascii="Arial" w:hAnsi="Arial" w:cs="Arial"/>
        </w:rPr>
        <w:t xml:space="preserve">Commercial sponsorship is one of the most original sources of revenue for eSports events, and as of today, it is still one of the most significant sources of revenue for eSports events. E-sports events are gradually improving in popularity, scale, and social recognition, and their commercial value continues to rise, attracting a large number of domestic and international companies to focus their attention on them and invest their marketing budgets in commercial sponsorship and brand marketing activities </w:t>
      </w:r>
      <w:r>
        <w:rPr>
          <w:rFonts w:ascii="Arial" w:hAnsi="Arial" w:cs="Arial"/>
        </w:rPr>
        <w:fldChar w:fldCharType="begin" w:fldLock="1"/>
      </w:r>
      <w:r>
        <w:rPr>
          <w:rFonts w:ascii="Arial" w:hAnsi="Arial" w:cs="Arial"/>
        </w:rPr>
        <w:instrText xml:space="preserve">ADDIN CSL_CITATION {"citationItems":[{"id":"ITEM-1","itemData":{"URL":"https://www.businessinsider.com/esports-ecosystem-market-report?r=US&amp;IR=T","accessed":{"date-parts":[["2021","5","3"]]},"author":[{"dropping-particle":"","family":"Business Insider","given":"","non-dropping-particle":"","parse-names":false,"suffix":""}],"id":"ITEM-1","issued":{"date-parts":[["2021"]]},"title":"Esports Industry in 2021: Key Market Stats &amp; Growth Trends","type":"webpage"},"uris":["http://www.mendeley.com/documents/?uuid=7852190a-d384-379c-8ab3-a4d2e5be1eb0"]}],"mendeley":{"formattedCitation":"(Business Insider, 2021)","plainTextFormattedCitation":"(Business Insider, 2021)","previouslyFormattedCitation":"(Business Insider, 2021)"},"properties":{"noteIndex":0},"schema":"https://github.com/citation-style-language/schema/raw/master/csl-citation.json"}</w:instrText>
      </w:r>
      <w:r>
        <w:rPr>
          <w:rFonts w:ascii="Arial" w:hAnsi="Arial" w:cs="Arial"/>
        </w:rPr>
        <w:fldChar w:fldCharType="separate"/>
      </w:r>
      <w:r>
        <w:rPr>
          <w:rFonts w:ascii="Arial" w:hAnsi="Arial" w:cs="Arial"/>
        </w:rPr>
        <w:t>(Business Insider, 2021)</w:t>
      </w:r>
      <w:r>
        <w:rPr>
          <w:rFonts w:ascii="Arial" w:hAnsi="Arial" w:cs="Arial"/>
        </w:rPr>
        <w:fldChar w:fldCharType="end"/>
      </w:r>
      <w:r>
        <w:rPr>
          <w:rFonts w:ascii="Arial" w:hAnsi="Arial" w:cs="Arial"/>
        </w:rPr>
        <w:t xml:space="preserve">. Currently, brand sponsors are still focusing their advertising on PC-based eSports events, but with the strong rise of mobile eSports, more and more sponsors are beginning to shift their attention to mobile eSports events in the Chinese market </w:t>
      </w:r>
      <w:r>
        <w:rPr>
          <w:rFonts w:ascii="Arial" w:hAnsi="Arial" w:cs="Arial"/>
        </w:rPr>
        <w:fldChar w:fldCharType="begin" w:fldLock="1"/>
      </w:r>
      <w:r>
        <w:rPr>
          <w:rFonts w:ascii="Arial" w:hAnsi="Arial" w:cs="Arial"/>
        </w:rPr>
        <w:instrText xml:space="preserve">ADDIN CSL_CITATION {"citationItems":[{"id":"ITEM-1","itemData":{"URL":"https://www.sportspromedia.com/news/esports-revenue-2020-sponsorship-media-rights-newzoo-report","accessed":{"date-parts":[["2021","5","3"]]},"author":[{"dropping-particle":"","family":"SportsPro Media","given":"","non-dropping-particle":"","parse-names":false,"suffix":""}],"id":"ITEM-1","issued":{"date-parts":[["2020"]]},"title":"Study: Sponsorship to push 2020 global esports revenue to US$1.1bn","type":"webpage"},"uris":["http://www.mendeley.com/documents/?uuid=ab447bc8-9092-3f0a-b995-96f4ff81b4cc"]}],"mendeley":{"formattedCitation":"(SportsPro Media, 2020)","plainTextFormattedCitation":"(SportsPro Media, 2020)","previouslyFormattedCitation":"(SportsPro Media, 2020)"},"properties":{"noteIndex":0},"schema":"https://github.com/citation-style-language/schema/raw/master/csl-citation.json"}</w:instrText>
      </w:r>
      <w:r>
        <w:rPr>
          <w:rFonts w:ascii="Arial" w:hAnsi="Arial" w:cs="Arial"/>
        </w:rPr>
        <w:fldChar w:fldCharType="separate"/>
      </w:r>
      <w:r>
        <w:rPr>
          <w:rFonts w:ascii="Arial" w:hAnsi="Arial" w:cs="Arial"/>
        </w:rPr>
        <w:t>(SportsPro Media, 2020)</w:t>
      </w:r>
      <w:r>
        <w:rPr>
          <w:rFonts w:ascii="Arial" w:hAnsi="Arial" w:cs="Arial"/>
        </w:rPr>
        <w:fldChar w:fldCharType="end"/>
      </w:r>
      <w:r>
        <w:rPr>
          <w:rFonts w:ascii="Arial" w:hAnsi="Arial" w:cs="Arial"/>
        </w:rPr>
        <w:t xml:space="preserve">. </w:t>
      </w:r>
    </w:p>
    <w:p>
      <w:pPr>
        <w:pStyle w:val="50"/>
        <w:numPr>
          <w:ilvl w:val="0"/>
          <w:numId w:val="4"/>
        </w:numPr>
        <w:spacing w:before="156" w:beforeLines="50" w:after="312" w:afterLines="100" w:line="360" w:lineRule="auto"/>
        <w:ind w:firstLineChars="0"/>
        <w:jc w:val="both"/>
        <w:rPr>
          <w:rFonts w:ascii="Arial" w:hAnsi="Arial" w:cs="Arial"/>
        </w:rPr>
      </w:pPr>
      <w:r>
        <w:rPr>
          <w:rFonts w:ascii="Arial" w:hAnsi="Arial" w:cs="Arial"/>
        </w:rPr>
        <w:t xml:space="preserve">Like commercial sponsorship, ticket revenue is one of the oldest and most important sources of revenue for eSports events. Ticket sales for eSports events are similar to traditional sporting events or celebrity concerts in that only when eSports are loved and recognized by the audience will the audience be willing to pay to see them live </w:t>
      </w:r>
      <w:r>
        <w:rPr>
          <w:rFonts w:ascii="Arial" w:hAnsi="Arial" w:cs="Arial"/>
        </w:rPr>
        <w:fldChar w:fldCharType="begin" w:fldLock="1"/>
      </w:r>
      <w:r>
        <w:rPr>
          <w:rFonts w:ascii="Arial" w:hAnsi="Arial" w:cs="Arial"/>
        </w:rPr>
        <w:instrText xml:space="preserve">ADDIN CSL_CITATION {"citationItems":[{"id":"ITEM-1","itemData":{"URL":"https://www.sportspromedia.com/news/esports-revenue-2020-sponsorship-media-rights-newzoo-report","accessed":{"date-parts":[["2021","5","3"]]},"author":[{"dropping-particle":"","family":"SportsPro Media","given":"","non-dropping-particle":"","parse-names":false,"suffix":""}],"id":"ITEM-1","issued":{"date-parts":[["2020"]]},"title":"Study: Sponsorship to push 2020 global esports revenue to US$1.1bn","type":"webpage"},"uris":["http://www.mendeley.com/documents/?uuid=ab447bc8-9092-3f0a-b995-96f4ff81b4cc"]}],"mendeley":{"formattedCitation":"(SportsPro Media, 2020)","plainTextFormattedCitation":"(SportsPro Media, 2020)","previouslyFormattedCitation":"(SportsPro Media, 2020)"},"properties":{"noteIndex":0},"schema":"https://github.com/citation-style-language/schema/raw/master/csl-citation.json"}</w:instrText>
      </w:r>
      <w:r>
        <w:rPr>
          <w:rFonts w:ascii="Arial" w:hAnsi="Arial" w:cs="Arial"/>
        </w:rPr>
        <w:fldChar w:fldCharType="separate"/>
      </w:r>
      <w:r>
        <w:rPr>
          <w:rFonts w:ascii="Arial" w:hAnsi="Arial" w:cs="Arial"/>
        </w:rPr>
        <w:t>(SportsPro Media, 2020)</w:t>
      </w:r>
      <w:r>
        <w:rPr>
          <w:rFonts w:ascii="Arial" w:hAnsi="Arial" w:cs="Arial"/>
        </w:rPr>
        <w:fldChar w:fldCharType="end"/>
      </w:r>
      <w:r>
        <w:rPr>
          <w:rFonts w:ascii="Arial" w:hAnsi="Arial" w:cs="Arial"/>
        </w:rPr>
        <w:t xml:space="preserve">ss. The eSports industry has developed to date, and the willingness of users to pay for it has increased significantly. According to </w:t>
      </w:r>
      <w:r>
        <w:rPr>
          <w:rFonts w:ascii="Arial" w:hAnsi="Arial" w:cs="Arial"/>
        </w:rPr>
        <w:fldChar w:fldCharType="begin" w:fldLock="1"/>
      </w:r>
      <w:r>
        <w:rPr>
          <w:rFonts w:ascii="Arial" w:hAnsi="Arial" w:cs="Arial"/>
        </w:rPr>
        <w:instrText xml:space="preserve">ADDIN CSL_CITATION {"citationItems":[{"id":"ITEM-1","itemData":{"URL":"https://esportsobserver.com/china-esports-2021-predictions/","accessed":{"date-parts":[["2021","5","3"]]},"author":[{"dropping-particle":"","family":"The Esports Observer","given":"","non-dropping-particle":"","parse-names":false,"suffix":""}],"id":"ITEM-1","issued":{"date-parts":[["2020"]]},"title":"Opinion: China Esports in 2021 – Not Just COVID-19 ","type":"webpage"},"uris":["http://www.mendeley.com/documents/?uuid=9a950735-3b57-3111-b604-4c2931310f9e"]}],"mendeley":{"formattedCitation":"(The Esports Observer, 2020)","manualFormatting":"The Esports Observer (2020)","plainTextFormattedCitation":"(The Esports Observer, 2020)","previouslyFormattedCitation":"(The Esports Observer, 2020)"},"properties":{"noteIndex":0},"schema":"https://github.com/citation-style-language/schema/raw/master/csl-citation.json"}</w:instrText>
      </w:r>
      <w:r>
        <w:rPr>
          <w:rFonts w:ascii="Arial" w:hAnsi="Arial" w:cs="Arial"/>
        </w:rPr>
        <w:fldChar w:fldCharType="separate"/>
      </w:r>
      <w:r>
        <w:rPr>
          <w:rFonts w:ascii="Arial" w:hAnsi="Arial" w:cs="Arial"/>
        </w:rPr>
        <w:t>The Esports Observer (2020)</w:t>
      </w:r>
      <w:r>
        <w:rPr>
          <w:rFonts w:ascii="Arial" w:hAnsi="Arial" w:cs="Arial"/>
        </w:rPr>
        <w:fldChar w:fldCharType="end"/>
      </w:r>
      <w:r>
        <w:rPr>
          <w:rFonts w:ascii="Arial" w:hAnsi="Arial" w:cs="Arial"/>
        </w:rPr>
        <w:t>, 34.1% of users are willing to buy tickets to watch the games on site. At this stage, as China's eSports events are still mainly concentrated in Shanghai, there are a large number of users who cannot go to the site due to geographical restrictions, and the market potential of eSports event ticket sales is huge.</w:t>
      </w:r>
    </w:p>
    <w:p>
      <w:pPr>
        <w:pStyle w:val="50"/>
        <w:numPr>
          <w:ilvl w:val="0"/>
          <w:numId w:val="4"/>
        </w:numPr>
        <w:spacing w:before="156" w:beforeLines="50" w:after="312" w:afterLines="100" w:line="360" w:lineRule="auto"/>
        <w:ind w:firstLineChars="0"/>
        <w:jc w:val="both"/>
        <w:rPr>
          <w:rFonts w:ascii="Arial" w:hAnsi="Arial" w:cs="Arial"/>
        </w:rPr>
      </w:pPr>
      <w:r>
        <w:rPr>
          <w:rFonts w:ascii="Arial" w:hAnsi="Arial" w:cs="Arial"/>
        </w:rPr>
        <w:t xml:space="preserve">Paying for live streaming refers to the act of viewers paying to watch eSports events on the viewing platform in order to purchase viewing privileges, remove ads, or get higher-definition picture quality </w:t>
      </w:r>
      <w:r>
        <w:rPr>
          <w:rFonts w:ascii="Arial" w:hAnsi="Arial" w:cs="Arial"/>
        </w:rPr>
        <w:fldChar w:fldCharType="begin" w:fldLock="1"/>
      </w:r>
      <w:r>
        <w:rPr>
          <w:rFonts w:ascii="Arial" w:hAnsi="Arial" w:cs="Arial"/>
        </w:rPr>
        <w:instrText xml:space="preserve">ADDIN CSL_CITATION {"citationItems":[{"id":"ITEM-1","itemData":{"URL":"https://www.forbes.com/sites/johnkoetsier/2020/05/03/live-streaming-hits-560-million-people-in-china-led-by-esports-traditional-sports-came-second/?sh=fb5a1181c56b","accessed":{"date-parts":[["2021","5","3"]]},"author":[{"dropping-particle":"","family":"Forbes","given":"","non-dropping-particle":"","parse-names":false,"suffix":""}],"id":"ITEM-1","issued":{"date-parts":[["2020"]]},"title":"Live-Streaming Hits 560 Million People In China, Led By eSports (Traditional Sports Came Second)","type":"webpage"},"uris":["http://www.mendeley.com/documents/?uuid=5e3acfbe-372a-324f-962d-c5c125a7fbc0"]}],"mendeley":{"formattedCitation":"(Forbes, 2020)","plainTextFormattedCitation":"(Forbes, 2020)","previouslyFormattedCitation":"(Forbes, 2020)"},"properties":{"noteIndex":0},"schema":"https://github.com/citation-style-language/schema/raw/master/csl-citation.json"}</w:instrText>
      </w:r>
      <w:r>
        <w:rPr>
          <w:rFonts w:ascii="Arial" w:hAnsi="Arial" w:cs="Arial"/>
        </w:rPr>
        <w:fldChar w:fldCharType="separate"/>
      </w:r>
      <w:r>
        <w:rPr>
          <w:rFonts w:ascii="Arial" w:hAnsi="Arial" w:cs="Arial"/>
        </w:rPr>
        <w:t>(Forbes, 2020)</w:t>
      </w:r>
      <w:r>
        <w:rPr>
          <w:rFonts w:ascii="Arial" w:hAnsi="Arial" w:cs="Arial"/>
        </w:rPr>
        <w:fldChar w:fldCharType="end"/>
      </w:r>
      <w:r>
        <w:rPr>
          <w:rFonts w:ascii="Arial" w:hAnsi="Arial" w:cs="Arial"/>
        </w:rPr>
        <w:t xml:space="preserve">. The profit model of live streaming is still in the initial stage of development in China, and most platforms are still free to watch eSports events in HD without ads. In 2016, Douyu tried to adopt an online live ticketing model when broadcasting the NSL StarCraft II International Invitational Tournament </w:t>
      </w:r>
      <w:r>
        <w:rPr>
          <w:rFonts w:ascii="Arial" w:hAnsi="Arial" w:cs="Arial"/>
        </w:rPr>
        <w:fldChar w:fldCharType="begin" w:fldLock="1"/>
      </w:r>
      <w:r>
        <w:rPr>
          <w:rFonts w:ascii="Arial" w:hAnsi="Arial" w:cs="Arial"/>
        </w:rPr>
        <w:instrText xml:space="preserve">ADDIN CSL_CITATION {"citationItems":[{"id":"ITEM-1","itemData":{"URL":"https://nikopartners.com/the-top-steam-games-on-live-streaming-platforms-in-china/","accessed":{"date-parts":[["2021","5","3"]]},"author":[{"dropping-particle":"","family":"Niko","given":"","non-dropping-particle":"","parse-names":false,"suffix":""}],"id":"ITEM-1","issued":{"date-parts":[["2021"]]},"title":"The Top Steam games on Live Streaming Platforms in China ","type":"webpage"},"uris":["http://www.mendeley.com/documents/?uuid=74b47a42-9739-3327-998c-f300484825d6"]}],"mendeley":{"formattedCitation":"(Niko, 2021)","plainTextFormattedCitation":"(Niko, 2021)","previouslyFormattedCitation":"(Niko, 2021)"},"properties":{"noteIndex":0},"schema":"https://github.com/citation-style-language/schema/raw/master/csl-citation.json"}</w:instrText>
      </w:r>
      <w:r>
        <w:rPr>
          <w:rFonts w:ascii="Arial" w:hAnsi="Arial" w:cs="Arial"/>
        </w:rPr>
        <w:fldChar w:fldCharType="separate"/>
      </w:r>
      <w:r>
        <w:rPr>
          <w:rFonts w:ascii="Arial" w:hAnsi="Arial" w:cs="Arial"/>
        </w:rPr>
        <w:t>(Niko, 2021)</w:t>
      </w:r>
      <w:r>
        <w:rPr>
          <w:rFonts w:ascii="Arial" w:hAnsi="Arial" w:cs="Arial"/>
        </w:rPr>
        <w:fldChar w:fldCharType="end"/>
      </w:r>
      <w:r>
        <w:rPr>
          <w:rFonts w:ascii="Arial" w:hAnsi="Arial" w:cs="Arial"/>
        </w:rPr>
        <w:t xml:space="preserve">. </w:t>
      </w:r>
      <w:r>
        <w:rPr>
          <w:rFonts w:ascii="Arial" w:hAnsi="Arial" w:cs="Arial"/>
        </w:rPr>
        <w:fldChar w:fldCharType="begin" w:fldLock="1"/>
      </w:r>
      <w:r>
        <w:rPr>
          <w:rFonts w:ascii="Arial" w:hAnsi="Arial" w:cs="Arial"/>
        </w:rPr>
        <w:instrText xml:space="preserve">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2014)","manualFormatting":"Yang, Huang and Zhang (2014)","plainTextFormattedCitation":"(Yang, Huang and Zhang, 2014)","previouslyFormattedCitation":"(Yang, Huang and Zhang, 2014)"},"properties":{"noteIndex":0},"schema":"https://github.com/citation-style-language/schema/raw/master/csl-citation.json"}</w:instrText>
      </w:r>
      <w:r>
        <w:rPr>
          <w:rFonts w:ascii="Arial" w:hAnsi="Arial" w:cs="Arial"/>
        </w:rPr>
        <w:fldChar w:fldCharType="separate"/>
      </w:r>
      <w:r>
        <w:rPr>
          <w:rFonts w:ascii="Arial" w:hAnsi="Arial" w:cs="Arial"/>
        </w:rPr>
        <w:t>Yang, Huang and Zhang (2014)</w:t>
      </w:r>
      <w:r>
        <w:rPr>
          <w:rFonts w:ascii="Arial" w:hAnsi="Arial" w:cs="Arial"/>
        </w:rPr>
        <w:fldChar w:fldCharType="end"/>
      </w:r>
      <w:r>
        <w:rPr>
          <w:rFonts w:ascii="Arial" w:hAnsi="Arial" w:cs="Arial"/>
        </w:rPr>
        <w:t xml:space="preserve"> shows that users' willingness to pay for eSports events to get high-definition picture quality and remove advertisements is relatively strong, second only to the purchase of tickets, which is gradually forming the habit of paying for content for our audience. formed. In this trend, this profit model will become a major source of income for the event broadcast platform.</w:t>
      </w:r>
    </w:p>
    <w:p>
      <w:pPr>
        <w:pStyle w:val="50"/>
        <w:numPr>
          <w:ilvl w:val="0"/>
          <w:numId w:val="4"/>
        </w:numPr>
        <w:spacing w:before="156" w:beforeLines="50" w:after="312" w:afterLines="100" w:line="360" w:lineRule="auto"/>
        <w:ind w:firstLineChars="0"/>
        <w:jc w:val="both"/>
        <w:rPr>
          <w:rFonts w:ascii="Arial" w:hAnsi="Arial" w:cs="Arial"/>
        </w:rPr>
      </w:pPr>
      <w:r>
        <w:rPr>
          <w:rFonts w:ascii="Arial" w:hAnsi="Arial" w:cs="Arial"/>
        </w:rPr>
        <w:t xml:space="preserve">Transfer of broadcasting rights, refers to the eSports event copyright owner (usually the event organizer) event broadcasting rights sold to the media, by the media to broadcast. In China, due to policy reasons, the strong TV media has been absent in the dissemination of eSports games, and the online media is in the dominant position in all the dissemination media of eSports </w:t>
      </w:r>
      <w:r>
        <w:rPr>
          <w:rFonts w:ascii="Arial" w:hAnsi="Arial" w:cs="Arial"/>
        </w:rPr>
        <w:fldChar w:fldCharType="begin" w:fldLock="1"/>
      </w:r>
      <w:r>
        <w:rPr>
          <w:rFonts w:ascii="Arial" w:hAnsi="Arial" w:cs="Arial"/>
        </w:rPr>
        <w:instrText xml:space="preserve">ADDIN CSL_CITATION {"citationItems":[{"id":"ITEM-1","itemData":{"URL":"https://www.sportspromedia.com/news/esports-revenue-2020-sponsorship-media-rights-newzoo-report","accessed":{"date-parts":[["2021","5","3"]]},"author":[{"dropping-particle":"","family":"SportsPro Media","given":"","non-dropping-particle":"","parse-names":false,"suffix":""}],"id":"ITEM-1","issued":{"date-parts":[["2020"]]},"title":"Study: Sponsorship to push 2020 global esports revenue to US$1.1bn","type":"webpage"},"uris":["http://www.mendeley.com/documents/?uuid=ab447bc8-9092-3f0a-b995-96f4ff81b4cc"]}],"mendeley":{"formattedCitation":"(SportsPro Media, 2020)","plainTextFormattedCitation":"(SportsPro Media, 2020)","previouslyFormattedCitation":"(SportsPro Media, 2020)"},"properties":{"noteIndex":0},"schema":"https://github.com/citation-style-language/schema/raw/master/csl-citation.json"}</w:instrText>
      </w:r>
      <w:r>
        <w:rPr>
          <w:rFonts w:ascii="Arial" w:hAnsi="Arial" w:cs="Arial"/>
        </w:rPr>
        <w:fldChar w:fldCharType="separate"/>
      </w:r>
      <w:r>
        <w:rPr>
          <w:rFonts w:ascii="Arial" w:hAnsi="Arial" w:cs="Arial"/>
        </w:rPr>
        <w:t>(SportsPro Media, 2020)</w:t>
      </w:r>
      <w:r>
        <w:rPr>
          <w:rFonts w:ascii="Arial" w:hAnsi="Arial" w:cs="Arial"/>
        </w:rPr>
        <w:fldChar w:fldCharType="end"/>
      </w:r>
      <w:r>
        <w:rPr>
          <w:rFonts w:ascii="Arial" w:hAnsi="Arial" w:cs="Arial"/>
        </w:rPr>
        <w:t xml:space="preserve">. The emerging webcasting platform has not only solved the problem of broadcasting eSports events, but also solved the problem of cashing in on the traffic of professional players and anchors </w:t>
      </w:r>
      <w:r>
        <w:rPr>
          <w:rFonts w:ascii="Arial" w:hAnsi="Arial" w:cs="Arial"/>
        </w:rPr>
        <w:fldChar w:fldCharType="begin" w:fldLock="1"/>
      </w:r>
      <w:r>
        <w:rPr>
          <w:rFonts w:ascii="Arial" w:hAnsi="Arial" w:cs="Arial"/>
        </w:rPr>
        <w:instrText xml:space="preserve">ADDIN CSL_CITATION {"citationItems":[{"id":"ITEM-1","itemData":{"URL":"https://variety.com/2020/gaming/asia/china-games-streaming-huya-and-douyu-to-merge-1234801202/","accessed":{"date-parts":[["2021","5","3"]]},"author":[{"dropping-particle":"","family":"Variety","given":"","non-dropping-particle":"","parse-names":false,"suffix":""}],"id":"ITEM-1","issued":{"date-parts":[["2021"]]},"title":"China's Games Streaming Giants Huya and DouYu to Merge","type":"webpage"},"uris":["http://www.mendeley.com/documents/?uuid=b87f9650-c3e5-3d69-a718-3afe2c277833"]}],"mendeley":{"formattedCitation":"(Variety, 2021)","plainTextFormattedCitation":"(Variety, 2021)","previouslyFormattedCitation":"(Variety, 2021)"},"properties":{"noteIndex":0},"schema":"https://github.com/citation-style-language/schema/raw/master/csl-citation.json"}</w:instrText>
      </w:r>
      <w:r>
        <w:rPr>
          <w:rFonts w:ascii="Arial" w:hAnsi="Arial" w:cs="Arial"/>
        </w:rPr>
        <w:fldChar w:fldCharType="separate"/>
      </w:r>
      <w:r>
        <w:rPr>
          <w:rFonts w:ascii="Arial" w:hAnsi="Arial" w:cs="Arial"/>
        </w:rPr>
        <w:t>(Variety, 2021)</w:t>
      </w:r>
      <w:r>
        <w:rPr>
          <w:rFonts w:ascii="Arial" w:hAnsi="Arial" w:cs="Arial"/>
        </w:rPr>
        <w:fldChar w:fldCharType="end"/>
      </w:r>
      <w:r>
        <w:rPr>
          <w:rFonts w:ascii="Arial" w:hAnsi="Arial" w:cs="Arial"/>
        </w:rPr>
        <w:t xml:space="preserve">. In late 2016, Riot Games officially announced a partnership with BAMTech, a live video streaming company, which will pay Riot $300 million (about RMB 2 billion) between 2017 and 2023 for the broadcast rights of the League of Legends eSports league </w:t>
      </w:r>
      <w:r>
        <w:rPr>
          <w:rFonts w:ascii="Arial" w:hAnsi="Arial" w:cs="Arial"/>
        </w:rPr>
        <w:fldChar w:fldCharType="begin" w:fldLock="1"/>
      </w:r>
      <w:r>
        <w:rPr>
          <w:rFonts w:ascii="Arial" w:hAnsi="Arial" w:cs="Arial"/>
        </w:rPr>
        <w:instrText xml:space="preserve">ADDIN CSL_CITATION {"citationItems":[{"id":"ITEM-1","itemData":{"URL":"https://www.dexerto.com/league-of-legends/lol-esports-english-broadcast-rights-1452713/","accessed":{"date-parts":[["2021","5","3"]]},"author":[{"dropping-particle":"","family":"Dexerto","given":"","non-dropping-particle":"","parse-names":false,"suffix":""}],"id":"ITEM-1","issued":{"date-parts":[["2020"]]},"title":"Riot Games shopping English streaming rights to League of Legends esports","type":"webpage"},"uris":["http://www.mendeley.com/documents/?uuid=488b7b56-012a-350e-999e-0baee2495fc6"]}],"mendeley":{"formattedCitation":"(Dexerto, 2020)","plainTextFormattedCitation":"(Dexerto, 2020)","previouslyFormattedCitation":"(Dexerto, 2020)"},"properties":{"noteIndex":0},"schema":"https://github.com/citation-style-language/schema/raw/master/csl-citation.json"}</w:instrText>
      </w:r>
      <w:r>
        <w:rPr>
          <w:rFonts w:ascii="Arial" w:hAnsi="Arial" w:cs="Arial"/>
        </w:rPr>
        <w:fldChar w:fldCharType="separate"/>
      </w:r>
      <w:r>
        <w:rPr>
          <w:rFonts w:ascii="Arial" w:hAnsi="Arial" w:cs="Arial"/>
        </w:rPr>
        <w:t>(Dexerto, 2020)</w:t>
      </w:r>
      <w:r>
        <w:rPr>
          <w:rFonts w:ascii="Arial" w:hAnsi="Arial" w:cs="Arial"/>
        </w:rPr>
        <w:fldChar w:fldCharType="end"/>
      </w:r>
      <w:r>
        <w:rPr>
          <w:rFonts w:ascii="Arial" w:hAnsi="Arial" w:cs="Arial"/>
        </w:rPr>
        <w:t xml:space="preserve">. In 2018, the two biggest live streaming platform Huya and Douyu merged, which opened more new possibilities for the broadcasting of eSports events </w:t>
      </w:r>
      <w:r>
        <w:rPr>
          <w:rFonts w:ascii="Arial" w:hAnsi="Arial" w:cs="Arial"/>
        </w:rPr>
        <w:fldChar w:fldCharType="begin" w:fldLock="1"/>
      </w:r>
      <w:r>
        <w:rPr>
          <w:rFonts w:ascii="Arial" w:hAnsi="Arial" w:cs="Arial"/>
        </w:rPr>
        <w:instrText xml:space="preserve">ADDIN CSL_CITATION {"citationItems":[{"id":"ITEM-1","itemData":{"URL":"https://variety.com/2020/gaming/asia/china-games-streaming-huya-and-douyu-to-merge-1234801202/","accessed":{"date-parts":[["2021","5","3"]]},"author":[{"dropping-particle":"","family":"Variety","given":"","non-dropping-particle":"","parse-names":false,"suffix":""}],"id":"ITEM-1","issued":{"date-parts":[["2021"]]},"title":"China's Games Streaming Giants Huya and DouYu to Merge","type":"webpage"},"uris":["http://www.mendeley.com/documents/?uuid=b87f9650-c3e5-3d69-a718-3afe2c277833"]}],"mendeley":{"formattedCitation":"(Variety, 2021)","plainTextFormattedCitation":"(Variety, 2021)","previouslyFormattedCitation":"(Variety, 2021)"},"properties":{"noteIndex":0},"schema":"https://github.com/citation-style-language/schema/raw/master/csl-citation.json"}</w:instrText>
      </w:r>
      <w:r>
        <w:rPr>
          <w:rFonts w:ascii="Arial" w:hAnsi="Arial" w:cs="Arial"/>
        </w:rPr>
        <w:fldChar w:fldCharType="separate"/>
      </w:r>
      <w:r>
        <w:rPr>
          <w:rFonts w:ascii="Arial" w:hAnsi="Arial" w:cs="Arial"/>
        </w:rPr>
        <w:t>(Variety, 2021)</w:t>
      </w:r>
      <w:r>
        <w:rPr>
          <w:rFonts w:ascii="Arial" w:hAnsi="Arial" w:cs="Arial"/>
        </w:rPr>
        <w:fldChar w:fldCharType="end"/>
      </w:r>
      <w:r>
        <w:rPr>
          <w:rFonts w:ascii="Arial" w:hAnsi="Arial" w:cs="Arial"/>
        </w:rPr>
        <w:t xml:space="preserve">. </w:t>
      </w:r>
    </w:p>
    <w:p>
      <w:pPr>
        <w:spacing w:before="156" w:beforeLines="50" w:after="312" w:afterLines="100" w:line="360" w:lineRule="auto"/>
        <w:jc w:val="both"/>
        <w:rPr>
          <w:rFonts w:ascii="Arial" w:hAnsi="Arial" w:cs="Arial"/>
        </w:rPr>
      </w:pPr>
      <w:r>
        <w:rPr>
          <w:rFonts w:ascii="Arial" w:hAnsi="Arial" w:cs="Arial"/>
        </w:rPr>
        <w:t xml:space="preserve">Besides harvesting profits from eSports games, and esports events, the rapid development of the esports industry has resulted in the emergence of the esports spin-off industry. The eSports spin-off industry is the operation of game and tournament IP to launch products or services related to it </w:t>
      </w:r>
      <w:r>
        <w:rPr>
          <w:rFonts w:ascii="Arial" w:hAnsi="Arial" w:cs="Arial"/>
        </w:rPr>
        <w:fldChar w:fldCharType="begin" w:fldLock="1"/>
      </w:r>
      <w:r>
        <w:rPr>
          <w:rFonts w:ascii="Arial" w:hAnsi="Arial" w:cs="Arial"/>
        </w:rPr>
        <w:instrText xml:space="preserve">ADDIN CSL_CITATION {"citationItems":[{"id":"ITEM-1","itemData":{"ISSN":"1899-4849","author":[{"dropping-particle":"","family":"Karhulahti","given":"Veli-Matti","non-dropping-particle":"","parse-names":false,"suffix":""}],"container-title":"Physical Culture and Sport. Studies and Research","id":"ITEM-1","issue":"1","issued":{"date-parts":[["2017"]]},"page":"43-53","publisher":"De Gruyter Open","title":"Reconsidering esport: Economics and executive ownership","type":"article-journal","volume":"74"},"uris":["http://www.mendeley.com/documents/?uuid=a6cd1e1e-2e27-428e-8b2f-3b2e476b42b0"]}],"mendeley":{"formattedCitation":"(Karhulahti, 2017)","plainTextFormattedCitation":"(Karhulahti, 2017)","previouslyFormattedCitation":"(Karhulahti, 2017)"},"properties":{"noteIndex":0},"schema":"https://github.com/citation-style-language/schema/raw/master/csl-citation.json"}</w:instrText>
      </w:r>
      <w:r>
        <w:rPr>
          <w:rFonts w:ascii="Arial" w:hAnsi="Arial" w:cs="Arial"/>
        </w:rPr>
        <w:fldChar w:fldCharType="separate"/>
      </w:r>
      <w:r>
        <w:rPr>
          <w:rFonts w:ascii="Arial" w:hAnsi="Arial" w:cs="Arial"/>
        </w:rPr>
        <w:t>(Karhulahti, 2017)</w:t>
      </w:r>
      <w:r>
        <w:rPr>
          <w:rFonts w:ascii="Arial" w:hAnsi="Arial" w:cs="Arial"/>
        </w:rPr>
        <w:fldChar w:fldCharType="end"/>
      </w:r>
      <w:r>
        <w:rPr>
          <w:rFonts w:ascii="Arial" w:hAnsi="Arial" w:cs="Arial"/>
        </w:rPr>
        <w:t xml:space="preserve">. The eSports IP includes not only the IP of eSports games but also the IP of eSports events, and the operation of eSports IP means the operation of eSports game IP and eSports event IP, producing products and making them realizable, and the reason why IP can be realizable is that there are a large number of fans willing to pay for it </w:t>
      </w:r>
      <w:r>
        <w:rPr>
          <w:rFonts w:ascii="Arial" w:hAnsi="Arial" w:cs="Arial"/>
        </w:rPr>
        <w:fldChar w:fldCharType="begin" w:fldLock="1"/>
      </w:r>
      <w:r>
        <w:rPr>
          <w:rFonts w:ascii="Arial" w:hAnsi="Arial" w:cs="Arial"/>
        </w:rPr>
        <w:instrText xml:space="preserve">ADDIN CSL_CITATION {"citationItems":[{"id":"ITEM-1","itemData":{"ISSN":"2572-5300","author":[{"dropping-particle":"","family":"Toomey","given":"Ryan P","non-dropping-particle":"","parse-names":false,"suffix":""}],"container-title":"Gaming Law Review","id":"ITEM-1","issue":"1","issued":{"date-parts":[["2019"]]},"page":"12-18","publisher":"Mary Ann Liebert, Inc., publishers 140 Huguenot Street, 3rd Floor New </w:instrText>
      </w:r>
      <w:r>
        <w:rPr>
          <w:rFonts w:ascii="Malgun Gothic" w:hAnsi="Malgun Gothic" w:cs="Malgun Gothic"/>
        </w:rPr>
        <w:instrText xml:space="preserve">��</w:instrText>
      </w:r>
      <w:r>
        <w:rPr>
          <w:rFonts w:ascii="Arial" w:hAnsi="Arial" w:cs="Arial"/>
        </w:rPr>
        <w:instrText xml:space="preserve">","title":"Upholding the integrity of esports to successfully and safely legitimize esports wagering","type":"article-journal","volume":"23"},"uris":["http://www.mendeley.com/documents/?uuid=56c84ac5-9e10-4181-9a51-eed5c8e5a210"]}],"mendeley":{"formattedCitation":"(Toomey, 2019)","plainTextFormattedCitation":"(Toomey, 2019)","previouslyFormattedCitation":"(Toomey, 2019)"},"properties":{"noteIndex":0},"schema":"https://github.com/citation-style-language/schema/raw/master/csl-citation.json"}</w:instrText>
      </w:r>
      <w:r>
        <w:rPr>
          <w:rFonts w:ascii="Arial" w:hAnsi="Arial" w:cs="Arial"/>
        </w:rPr>
        <w:fldChar w:fldCharType="separate"/>
      </w:r>
      <w:r>
        <w:rPr>
          <w:rFonts w:ascii="Arial" w:hAnsi="Arial" w:cs="Arial"/>
        </w:rPr>
        <w:t>(Toomey, 2019)</w:t>
      </w:r>
      <w:r>
        <w:rPr>
          <w:rFonts w:ascii="Arial" w:hAnsi="Arial" w:cs="Arial"/>
        </w:rPr>
        <w:fldChar w:fldCharType="end"/>
      </w:r>
      <w:r>
        <w:rPr>
          <w:rFonts w:ascii="Arial" w:hAnsi="Arial" w:cs="Arial"/>
        </w:rPr>
        <w:t xml:space="preserve">. E-sports games and tournaments have accumulated a large number of fans in their development, and these fans are the basis for the development of eSports derivative industries. In addition to the traditional way of using elements from games or tournaments to produce souvenirs, clothing, photo books, mugs, and hand-me-downs, the operation of eSports IPs also includes the production of films, animation, variety shows, and music derived from the games. These different forms of products form a huge industrial chain around the game, which can bring considerable profits to game developers and operators and also boost the development of traditional manufacturing industries such as game equipment, thus forming the common development of Internet and real economy. In Japan, South Korea, the United States and other countries with developed game industry, the development of game peripheral industry is also relatively mature and has formed a mature industrial phenomenon oriented by game culture, and the income brought by game peripheral for game manufacturers has sometimes even surpassed the game itself. However, in China, the game industry started late and has not yet formed a complete game peripheral industry </w:t>
      </w:r>
      <w:r>
        <w:rPr>
          <w:rFonts w:ascii="Arial" w:hAnsi="Arial" w:cs="Arial"/>
        </w:rPr>
        <w:fldChar w:fldCharType="begin" w:fldLock="1"/>
      </w:r>
      <w:r>
        <w:rPr>
          <w:rFonts w:ascii="Arial" w:hAnsi="Arial" w:cs="Arial"/>
        </w:rPr>
        <w:instrText xml:space="preserve">ADDIN CSL_CITATION {"citationItems":[{"id":"ITEM-1","itemData":{"URL":"https://esportsobserver.com/china-esports-2021-predictions/","accessed":{"date-parts":[["2021","5","3"]]},"author":[{"dropping-particle":"","family":"The Esports Observer","given":"","non-dropping-particle":"","parse-names":false,"suffix":""}],"id":"ITEM-1","issued":{"date-parts":[["2020"]]},"title":"Opinion: China Esports in 2021 – Not Just COVID-19 ","type":"webpage"},"uris":["http://www.mendeley.com/documents/?uuid=9a950735-3b57-3111-b604-4c2931310f9e"]}],"mendeley":{"formattedCitation":"(The Esports Observer, 2020)","plainTextFormattedCitation":"(The Esports Observer, 2020)","previouslyFormattedCitation":"(The Esports Observer, 2020)"},"properties":{"noteIndex":0},"schema":"https://github.com/citation-style-language/schema/raw/master/csl-citation.json"}</w:instrText>
      </w:r>
      <w:r>
        <w:rPr>
          <w:rFonts w:ascii="Arial" w:hAnsi="Arial" w:cs="Arial"/>
        </w:rPr>
        <w:fldChar w:fldCharType="separate"/>
      </w:r>
      <w:r>
        <w:rPr>
          <w:rFonts w:ascii="Arial" w:hAnsi="Arial" w:cs="Arial"/>
        </w:rPr>
        <w:t>(The Esports Observer, 2020)</w:t>
      </w:r>
      <w:r>
        <w:rPr>
          <w:rFonts w:ascii="Arial" w:hAnsi="Arial" w:cs="Arial"/>
        </w:rPr>
        <w:fldChar w:fldCharType="end"/>
      </w:r>
      <w:r>
        <w:rPr>
          <w:rFonts w:ascii="Arial" w:hAnsi="Arial" w:cs="Arial"/>
        </w:rPr>
        <w:t xml:space="preserve">. And game peripheral products represent more of a cultural symbol and emotion, and many cultural symbols of foreign games do not resonate with z Chinese players. And China's original games lack, most of the popular games on the market are foreign games, so the development of game peripheral industry is also more difficult </w:t>
      </w:r>
      <w:r>
        <w:rPr>
          <w:rFonts w:ascii="Arial" w:hAnsi="Arial" w:cs="Arial"/>
        </w:rPr>
        <w:fldChar w:fldCharType="begin" w:fldLock="1"/>
      </w:r>
      <w:r>
        <w:rPr>
          <w:rFonts w:ascii="Arial" w:hAnsi="Arial" w:cs="Arial"/>
        </w:rPr>
        <w:instrText xml:space="preserve">ADDIN CSL_CITATION {"citationItems":[{"id":"ITEM-1","itemData":{"author":[{"dropping-particle":"","family":"Yang","given":"J Y","non-dropping-particle":"","parse-names":false,"suffix":""},{"dropping-particle":"","family":"Huang","given":"H Y","non-dropping-particle":"","parse-names":false,"suffix":""},{"dropping-particle":"","family":"Zhang","given":"Lin","non-dropping-particle":"","parse-names":false,"suffix":""}],"container-title":"Journal of the Capital University of Physical Education and Sports","id":"ITEM-1","issue":"3","issued":{"date-parts":[["2014"]]},"page":"201-205","title":"The present situation, problem, and development countermeasures of the eSports industry in China","type":"article-journal","volume":"26"},"uris":["http://www.mendeley.com/documents/?uuid=ea325e1b-bf87-41f9-be1e-a51e3f9f4326"]}],"mendeley":{"formattedCitation":"(Yang, Huang and Zhang, 2014)","plainTextFormattedCitation":"(Yang, Huang and Zhang, 2014)","previouslyFormattedCitation":"(Yang, Huang and Zhang, 2014)"},"properties":{"noteIndex":0},"schema":"https://github.com/citation-style-language/schema/raw/master/csl-citation.json"}</w:instrText>
      </w:r>
      <w:r>
        <w:rPr>
          <w:rFonts w:ascii="Arial" w:hAnsi="Arial" w:cs="Arial"/>
        </w:rPr>
        <w:fldChar w:fldCharType="separate"/>
      </w:r>
      <w:r>
        <w:rPr>
          <w:rFonts w:ascii="Arial" w:hAnsi="Arial" w:cs="Arial"/>
        </w:rPr>
        <w:t>(Yang, Huang and Zhang, 2014)</w:t>
      </w:r>
      <w:r>
        <w:rPr>
          <w:rFonts w:ascii="Arial" w:hAnsi="Arial" w:cs="Arial"/>
        </w:rPr>
        <w:fldChar w:fldCharType="end"/>
      </w:r>
      <w:r>
        <w:rPr>
          <w:rFonts w:ascii="Arial" w:hAnsi="Arial" w:cs="Arial"/>
        </w:rPr>
        <w:t>. However, with the increase of Chinese original games, the game peripheral reflecting Chinese culture and national emotion will also increase accordingly, and the game peripheral market has great potential.</w:t>
      </w:r>
    </w:p>
    <w:p>
      <w:pPr>
        <w:pStyle w:val="11"/>
        <w:keepNext/>
        <w:jc w:val="both"/>
        <w:rPr>
          <w:rFonts w:ascii="Arial" w:hAnsi="Arial" w:cs="Arial"/>
        </w:rPr>
      </w:pPr>
      <w:bookmarkStart w:id="68" w:name="_Toc71636023"/>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t>-3: The primary value capture modes of eSports industry in China</w:t>
      </w:r>
      <w:bookmarkEnd w:id="68"/>
    </w:p>
    <w:p>
      <w:pPr>
        <w:rPr>
          <w:rFonts w:ascii="Arial" w:hAnsi="Arial" w:cs="Arial"/>
        </w:rPr>
      </w:pPr>
      <w:r>
        <w:rPr>
          <w:rFonts w:ascii="Arial" w:hAnsi="Arial" w:cs="Arial"/>
        </w:rPr>
        <w:t xml:space="preserve">Source: own summary </w:t>
      </w:r>
    </w:p>
    <w:p>
      <w:pPr>
        <w:spacing w:before="156" w:beforeLines="50" w:after="312" w:afterLines="100" w:line="360" w:lineRule="auto"/>
        <w:jc w:val="both"/>
        <w:rPr>
          <w:rFonts w:ascii="Arial" w:hAnsi="Arial" w:cs="Arial"/>
        </w:rPr>
      </w:pPr>
      <w:r>
        <w:rPr>
          <w:rFonts w:ascii="Arial" w:hAnsi="Arial" w:cs="Arial"/>
        </w:rPr>
        <w:drawing>
          <wp:inline distT="0" distB="0" distL="0" distR="0">
            <wp:extent cx="5277485" cy="1058545"/>
            <wp:effectExtent l="0" t="0" r="0" b="825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a:xfrm>
                      <a:off x="0" y="0"/>
                      <a:ext cx="5277492" cy="1058545"/>
                    </a:xfrm>
                    <a:prstGeom prst="rect">
                      <a:avLst/>
                    </a:prstGeom>
                    <a:noFill/>
                    <a:ln>
                      <a:noFill/>
                    </a:ln>
                  </pic:spPr>
                </pic:pic>
              </a:graphicData>
            </a:graphic>
          </wp:inline>
        </w:drawing>
      </w:r>
    </w:p>
    <w:p>
      <w:pPr>
        <w:rPr>
          <w:rFonts w:ascii="Arial" w:hAnsi="Arial" w:cs="Arial" w:eastAsiaTheme="majorEastAsia"/>
          <w:color w:val="276F8B" w:themeColor="accent1" w:themeShade="BF"/>
          <w:sz w:val="32"/>
          <w:szCs w:val="32"/>
        </w:rPr>
      </w:pPr>
    </w:p>
    <w:p>
      <w:pPr>
        <w:rPr>
          <w:rFonts w:ascii="Arial" w:hAnsi="Arial" w:cs="Arial" w:eastAsiaTheme="majorEastAsia"/>
          <w:color w:val="276F8B" w:themeColor="accent1" w:themeShade="BF"/>
          <w:sz w:val="32"/>
          <w:szCs w:val="32"/>
        </w:rPr>
      </w:pPr>
    </w:p>
    <w:p>
      <w:pPr>
        <w:rPr>
          <w:rFonts w:ascii="Arial" w:hAnsi="Arial" w:cs="Arial" w:eastAsiaTheme="majorEastAsia"/>
          <w:color w:val="276F8B" w:themeColor="accent1" w:themeShade="BF"/>
          <w:sz w:val="32"/>
          <w:szCs w:val="32"/>
        </w:rPr>
      </w:pPr>
    </w:p>
    <w:p>
      <w:pPr>
        <w:rPr>
          <w:rFonts w:ascii="Arial" w:hAnsi="Arial" w:cs="Arial" w:eastAsiaTheme="majorEastAsia"/>
          <w:color w:val="276F8B" w:themeColor="accent1" w:themeShade="BF"/>
          <w:sz w:val="32"/>
          <w:szCs w:val="32"/>
        </w:rPr>
      </w:pPr>
    </w:p>
    <w:p>
      <w:pPr>
        <w:rPr>
          <w:rFonts w:ascii="Arial" w:hAnsi="Arial" w:cs="Arial" w:eastAsiaTheme="majorEastAsia"/>
          <w:color w:val="276F8B" w:themeColor="accent1" w:themeShade="BF"/>
          <w:sz w:val="32"/>
          <w:szCs w:val="32"/>
        </w:rPr>
      </w:pPr>
    </w:p>
    <w:p>
      <w:pPr>
        <w:rPr>
          <w:rFonts w:ascii="Arial" w:hAnsi="Arial" w:cs="Arial" w:eastAsiaTheme="majorEastAsia"/>
          <w:color w:val="276F8B" w:themeColor="accent1" w:themeShade="BF"/>
          <w:sz w:val="32"/>
          <w:szCs w:val="32"/>
          <w:lang w:val="en-GB"/>
        </w:rPr>
      </w:pPr>
    </w:p>
    <w:p>
      <w:pPr>
        <w:rPr>
          <w:rFonts w:ascii="Arial" w:hAnsi="Arial" w:cs="Arial" w:eastAsiaTheme="majorEastAsia"/>
          <w:color w:val="276F8B" w:themeColor="accent1" w:themeShade="BF"/>
          <w:sz w:val="32"/>
          <w:szCs w:val="32"/>
          <w:lang w:val="en-GB"/>
        </w:rPr>
      </w:pPr>
    </w:p>
    <w:p>
      <w:pPr>
        <w:rPr>
          <w:rFonts w:ascii="Arial" w:hAnsi="Arial" w:cs="Arial" w:eastAsiaTheme="majorEastAsia"/>
          <w:color w:val="276F8B" w:themeColor="accent1" w:themeShade="BF"/>
          <w:sz w:val="32"/>
          <w:szCs w:val="32"/>
          <w:lang w:val="en-GB"/>
        </w:rPr>
      </w:pPr>
    </w:p>
    <w:p>
      <w:pPr>
        <w:rPr>
          <w:rFonts w:ascii="Arial" w:hAnsi="Arial" w:cs="Arial" w:eastAsiaTheme="majorEastAsia"/>
          <w:color w:val="276F8B" w:themeColor="accent1" w:themeShade="BF"/>
          <w:sz w:val="32"/>
          <w:szCs w:val="32"/>
          <w:lang w:val="en-GB"/>
        </w:rPr>
      </w:pPr>
    </w:p>
    <w:p>
      <w:pPr>
        <w:pStyle w:val="2"/>
        <w:spacing w:before="156" w:beforeLines="50" w:after="156" w:afterLines="50" w:line="360" w:lineRule="auto"/>
        <w:jc w:val="both"/>
        <w:rPr>
          <w:rFonts w:ascii="Arial" w:hAnsi="Arial" w:cs="Arial"/>
        </w:rPr>
      </w:pPr>
      <w:bookmarkStart w:id="69" w:name="_Toc71635943"/>
      <w:bookmarkStart w:id="70" w:name="_Toc71634597"/>
      <w:r>
        <w:rPr>
          <w:rFonts w:ascii="Arial" w:hAnsi="Arial" w:cs="Arial"/>
        </w:rPr>
        <w:t>Chapter 5. Conclusion and recommendation</w:t>
      </w:r>
      <w:bookmarkEnd w:id="69"/>
      <w:r>
        <w:rPr>
          <w:rFonts w:ascii="Arial" w:hAnsi="Arial" w:cs="Arial"/>
        </w:rPr>
        <w:t xml:space="preserve"> </w:t>
      </w:r>
      <w:bookmarkEnd w:id="70"/>
    </w:p>
    <w:p>
      <w:pPr>
        <w:pStyle w:val="3"/>
        <w:spacing w:before="50" w:after="156" w:afterLines="50" w:line="360" w:lineRule="auto"/>
        <w:rPr>
          <w:rFonts w:ascii="Arial" w:hAnsi="Arial" w:cs="Arial"/>
        </w:rPr>
      </w:pPr>
      <w:bookmarkStart w:id="71" w:name="_Toc71635944"/>
      <w:bookmarkStart w:id="72" w:name="_Toc71634598"/>
      <w:r>
        <w:rPr>
          <w:rFonts w:ascii="Arial" w:hAnsi="Arial" w:cs="Arial"/>
        </w:rPr>
        <w:t>5.1 Introduction</w:t>
      </w:r>
      <w:bookmarkEnd w:id="71"/>
      <w:bookmarkEnd w:id="72"/>
      <w:r>
        <w:rPr>
          <w:rFonts w:ascii="Arial" w:hAnsi="Arial" w:cs="Arial"/>
        </w:rPr>
        <w:t xml:space="preserve"> </w:t>
      </w:r>
    </w:p>
    <w:p>
      <w:pPr>
        <w:spacing w:before="50" w:after="156" w:afterLines="50" w:line="360" w:lineRule="auto"/>
        <w:jc w:val="both"/>
        <w:rPr>
          <w:rFonts w:ascii="Arial" w:hAnsi="Arial" w:cs="Arial"/>
        </w:rPr>
      </w:pPr>
      <w:r>
        <w:rPr>
          <w:rFonts w:ascii="Arial" w:hAnsi="Arial" w:cs="Arial"/>
        </w:rPr>
        <w:t xml:space="preserve">The previous chapter analyzed the secondary data collected from multiple sources and completed the objective of ‘to investigate the business model of the eSports industry in the chinse context. The final chapter is devoted to address the final objective that to promote some practical recommendations for the eSports industry in China for the sake of long-term sustainable development. </w:t>
      </w:r>
    </w:p>
    <w:p>
      <w:pPr>
        <w:pStyle w:val="3"/>
        <w:spacing w:before="156" w:beforeLines="50" w:after="156" w:afterLines="50" w:line="360" w:lineRule="auto"/>
        <w:jc w:val="both"/>
        <w:rPr>
          <w:rFonts w:ascii="Arial" w:hAnsi="Arial" w:cs="Arial"/>
        </w:rPr>
      </w:pPr>
      <w:bookmarkStart w:id="73" w:name="_Toc71634599"/>
      <w:bookmarkStart w:id="74" w:name="_Toc71635945"/>
      <w:r>
        <w:rPr>
          <w:rFonts w:ascii="Arial" w:hAnsi="Arial" w:cs="Arial"/>
        </w:rPr>
        <w:t>5.1 Major findings</w:t>
      </w:r>
      <w:bookmarkEnd w:id="73"/>
      <w:bookmarkEnd w:id="74"/>
      <w:r>
        <w:rPr>
          <w:rFonts w:ascii="Arial" w:hAnsi="Arial" w:cs="Arial"/>
        </w:rPr>
        <w:t xml:space="preserve"> </w:t>
      </w:r>
    </w:p>
    <w:p>
      <w:pPr>
        <w:keepNext/>
        <w:spacing w:before="50" w:after="156" w:afterLines="50" w:line="360" w:lineRule="auto"/>
      </w:pPr>
      <w:r>
        <w:rPr>
          <w:rFonts w:ascii="Arial" w:hAnsi="Arial" w:cs="Arial"/>
        </w:rPr>
        <w:drawing>
          <wp:inline distT="0" distB="0" distL="0" distR="0">
            <wp:extent cx="6134100" cy="2583180"/>
            <wp:effectExtent l="0" t="0" r="0" b="762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noChangeArrowheads="1"/>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6139020" cy="2585843"/>
                    </a:xfrm>
                    <a:prstGeom prst="rect">
                      <a:avLst/>
                    </a:prstGeom>
                  </pic:spPr>
                </pic:pic>
              </a:graphicData>
            </a:graphic>
          </wp:inline>
        </w:drawing>
      </w:r>
    </w:p>
    <w:p>
      <w:pPr>
        <w:pStyle w:val="11"/>
        <w:rPr>
          <w:rFonts w:ascii="Arial" w:hAnsi="Arial" w:cs="Arial"/>
        </w:rPr>
      </w:pPr>
      <w:r>
        <w:t>Figure 5-1. Summary of findings</w:t>
      </w:r>
    </w:p>
    <w:p>
      <w:pPr>
        <w:spacing w:before="50" w:after="156" w:afterLines="50" w:line="360" w:lineRule="auto"/>
        <w:rPr>
          <w:rFonts w:ascii="Arial" w:hAnsi="Arial" w:cs="Arial"/>
        </w:rPr>
      </w:pPr>
      <w:r>
        <w:rPr>
          <w:rFonts w:ascii="Arial" w:hAnsi="Arial" w:cs="Arial"/>
        </w:rPr>
        <w:t xml:space="preserve">Source: own summary </w:t>
      </w:r>
    </w:p>
    <w:p>
      <w:pPr>
        <w:spacing w:before="156" w:beforeLines="50" w:after="156" w:afterLines="50" w:line="360" w:lineRule="auto"/>
        <w:jc w:val="both"/>
        <w:rPr>
          <w:rFonts w:ascii="Arial" w:hAnsi="Arial" w:cs="Arial"/>
        </w:rPr>
      </w:pPr>
      <w:r>
        <w:rPr>
          <w:rFonts w:ascii="Arial" w:hAnsi="Arial" w:cs="Arial"/>
        </w:rPr>
        <w:t>China's eSports started late in eSports, and the development process was turbulent, and after a low period of development finally ushered in the eSports. With the help of policies and media, the social recognition of eSports has gradually increased in recent years, creating a good social atmosphere for the development of eSports. In addition, all kinds of capital are competing to enter the eSports industry, and eSports has become the next blue ocean of business. Under the impetus of capital, eSports are developing in the direction of popularization, alliance, sports and pan-entertainment, and the eSports ecosystem is constantly being improved and extended. The present research examines the eSports industry in China using the classic business model framework with three elements, value creation, value delivery and value capture. The business model of China's eSports industry is analyzed from two perspectives: eSports games when users are game players and eSports events when users are audiences and consumers. This paper argues that China's eSports industry, driven by overheated capital, often reveals many drawbacks, such as the lack of independently developed eSports games, limited esports scales and influences and the proliferation of IP applications, etc. The fast-growing eSports industry must pay attention to avoiding these drawbacks, sink its teeth into innovation, and form its own core competitiveness. However, eSports is not only about games and events, but also about a wide range of business models, and the business models are not only studied from the three perspectives selected in this paper. It is hoped that more literature will be published in the future to explore and study eSports business models from other perspectives. In addition, the emerging concepts of eSports real estate, eSports ecology and eSports town, which have been newly proposed in the past two years, also deserve attention in their subsequent development.</w:t>
      </w:r>
    </w:p>
    <w:p>
      <w:pPr>
        <w:pStyle w:val="3"/>
        <w:spacing w:before="156" w:beforeLines="50" w:after="156" w:afterLines="50" w:line="360" w:lineRule="auto"/>
        <w:jc w:val="both"/>
        <w:rPr>
          <w:rFonts w:ascii="Arial" w:hAnsi="Arial" w:cs="Arial"/>
        </w:rPr>
      </w:pPr>
      <w:bookmarkStart w:id="75" w:name="_Toc71634600"/>
      <w:bookmarkStart w:id="76" w:name="_Toc71635946"/>
      <w:r>
        <w:rPr>
          <w:rFonts w:ascii="Arial" w:hAnsi="Arial" w:cs="Arial"/>
        </w:rPr>
        <w:t>5.3 Recommendations</w:t>
      </w:r>
      <w:bookmarkEnd w:id="75"/>
      <w:bookmarkEnd w:id="76"/>
      <w:r>
        <w:rPr>
          <w:rFonts w:ascii="Arial" w:hAnsi="Arial" w:cs="Arial"/>
        </w:rPr>
        <w:t xml:space="preserve"> </w:t>
      </w:r>
    </w:p>
    <w:p>
      <w:pPr>
        <w:spacing w:before="156" w:beforeLines="50" w:after="156" w:afterLines="50" w:line="360" w:lineRule="auto"/>
        <w:jc w:val="both"/>
        <w:rPr>
          <w:rFonts w:ascii="Arial" w:hAnsi="Arial" w:cs="Arial"/>
        </w:rPr>
      </w:pPr>
      <w:r>
        <w:rPr>
          <w:rFonts w:ascii="Arial" w:hAnsi="Arial" w:cs="Arial"/>
        </w:rPr>
        <w:t>Although the development of Chinese game industry is becoming mature, but in the domestic and the world's major eSports events, China's original game works are seldom on the scene, especially the large confrontation game is almost the world of foreign game manufacturers. Even for mobile eSports games, which have developed rapidly in the past two years, imitation is still prevalent, and there are few completely original products. Now the mainstream eSports games on the market mainly come from the United States and South Korean manufacturers, Chinese game manufacturers assume the role of agent. In the eSports industry, the R&amp;D of eSports games are the beginning of the industry chain. Like any digital entertainment activities, in the eSports industry, the technology plays the role of branches and leaves in the whole game, and the content is the backbone of the whole game. In today's era of great technological development, technology can be imitated or even surpassed, but the difference of content cannot be completely replaced. If China's e-Sports industry wants to form its own characteristics and form its own competitiveness in the world game field, it must win by quality and take the route of high-quality content, which is inseparable from the deep excavation and systematic integration of cultural resources.</w:t>
      </w:r>
    </w:p>
    <w:p>
      <w:pPr>
        <w:spacing w:before="156" w:beforeLines="50" w:after="156" w:afterLines="50" w:line="360" w:lineRule="auto"/>
        <w:jc w:val="both"/>
        <w:rPr>
          <w:rFonts w:ascii="Arial" w:hAnsi="Arial" w:cs="Arial"/>
        </w:rPr>
      </w:pPr>
      <w:r>
        <w:rPr>
          <w:rFonts w:ascii="Arial" w:hAnsi="Arial" w:cs="Arial"/>
        </w:rPr>
        <w:t>At the same time, although there are many eSports events in China, those that really form event brands are relatively rare, especially the lack of brand events that are widely recognized by the international gaming field. E-sports events are gradually developing in the direction of specialization, home field, alliance and commercialization. Specialization is the core competitiveness of eSports events, home field and alliance are the main operation means, and commercialization is the goal. China's eSports alliance operation is still in the primary stage of development, and a large part of eSports events are not operated in alliance. But looking around at the successful sports event business model, none of them is the result of successful alliance operation. Under the trend of gradual sportsization of eSports, the alliance operation of eSports events is a must. To build a professional alliance, form a community of interests between the alliance and the club, so as to create a widely known event brand, build a complete talent training system and develop a diversified profit model.</w:t>
      </w:r>
    </w:p>
    <w:p>
      <w:pPr>
        <w:pStyle w:val="3"/>
        <w:spacing w:before="50" w:after="156" w:afterLines="50" w:line="360" w:lineRule="auto"/>
        <w:rPr>
          <w:rFonts w:ascii="Arial" w:hAnsi="Arial" w:cs="Arial"/>
        </w:rPr>
      </w:pPr>
      <w:bookmarkStart w:id="77" w:name="_Toc71634601"/>
      <w:bookmarkStart w:id="78" w:name="_Toc71635947"/>
      <w:r>
        <w:rPr>
          <w:rFonts w:ascii="Arial" w:hAnsi="Arial" w:cs="Arial"/>
        </w:rPr>
        <w:t>5.4 Limitations and future study</w:t>
      </w:r>
      <w:bookmarkEnd w:id="77"/>
      <w:bookmarkEnd w:id="78"/>
      <w:r>
        <w:rPr>
          <w:rFonts w:ascii="Arial" w:hAnsi="Arial" w:cs="Arial"/>
        </w:rPr>
        <w:t xml:space="preserve"> </w:t>
      </w:r>
    </w:p>
    <w:p>
      <w:pPr>
        <w:spacing w:before="50" w:after="156" w:afterLines="50" w:line="360" w:lineRule="auto"/>
        <w:jc w:val="both"/>
        <w:rPr>
          <w:rFonts w:ascii="Arial" w:hAnsi="Arial" w:cs="Arial"/>
        </w:rPr>
      </w:pPr>
      <w:r>
        <w:rPr>
          <w:rFonts w:ascii="Arial" w:hAnsi="Arial" w:cs="Arial"/>
        </w:rPr>
        <w:t xml:space="preserve">The present study relies on the secondary data for the analysis, which can be biased and unobjective. The study was performed the during the covid-19 pandemic, and initials plan of using a mixed method approach was changed to leverage the existing secondary data. in the future study, it is thus recommended to incorporate primary data that directly targets as the e-sports stakeholder to acquire insightful information about the industry. </w:t>
      </w:r>
    </w:p>
    <w:p>
      <w:pPr>
        <w:spacing w:before="50" w:after="156" w:afterLines="50" w:line="360" w:lineRule="auto"/>
        <w:jc w:val="both"/>
        <w:rPr>
          <w:rFonts w:ascii="Arial" w:hAnsi="Arial" w:cs="Arial"/>
        </w:rPr>
      </w:pPr>
      <w:r>
        <w:rPr>
          <w:rFonts w:ascii="Arial" w:hAnsi="Arial" w:cs="Arial"/>
        </w:rPr>
        <w:t xml:space="preserve">Also, due to the consideration on lengths, the present study affords a systematic investigation on the business model of eSports industry in China through a specific business model that covers three aspects. The future study can take a deeper dive into the one specific aspects of the business model to afford more in-depth and rich analysis. Alternatively, as indicated in the literature review part, there are different frameworks under the business model paradigm, using alternative business models to analyze the esports industry may results in other insightful implications. </w:t>
      </w:r>
    </w:p>
    <w:p>
      <w:pPr>
        <w:spacing w:before="156" w:beforeLines="50" w:after="312" w:afterLines="100" w:line="360" w:lineRule="auto"/>
        <w:jc w:val="both"/>
        <w:rPr>
          <w:rFonts w:ascii="Arial" w:hAnsi="Arial" w:cs="Arial"/>
        </w:rPr>
      </w:pPr>
      <w:r>
        <w:rPr>
          <w:rFonts w:ascii="Arial" w:hAnsi="Arial" w:cs="Arial"/>
        </w:rPr>
        <w:br w:type="page"/>
      </w:r>
    </w:p>
    <w:p>
      <w:pPr>
        <w:pStyle w:val="2"/>
        <w:spacing w:before="156" w:beforeLines="50" w:after="312" w:afterLines="100" w:line="360" w:lineRule="auto"/>
        <w:rPr>
          <w:rFonts w:ascii="Arial" w:hAnsi="Arial" w:cs="Arial"/>
        </w:rPr>
      </w:pPr>
      <w:bookmarkStart w:id="79" w:name="_Toc71635948"/>
      <w:bookmarkStart w:id="80" w:name="_Toc71634602"/>
      <w:r>
        <w:rPr>
          <w:rFonts w:ascii="Arial" w:hAnsi="Arial" w:cs="Arial"/>
        </w:rPr>
        <w:t>Reference List</w:t>
      </w:r>
      <w:bookmarkEnd w:id="79"/>
      <w:bookmarkEnd w:id="80"/>
      <w:r>
        <w:rPr>
          <w:rFonts w:ascii="Arial" w:hAnsi="Arial" w:cs="Arial"/>
        </w:rPr>
        <w:t xml:space="preserve"> </w:t>
      </w:r>
    </w:p>
    <w:p>
      <w:pPr>
        <w:autoSpaceDE w:val="0"/>
        <w:autoSpaceDN w:val="0"/>
        <w:adjustRightInd w:val="0"/>
        <w:spacing w:before="160" w:after="320" w:line="360" w:lineRule="auto"/>
        <w:rPr>
          <w:rFonts w:ascii="Arial" w:hAnsi="Arial" w:cs="Arial"/>
          <w:szCs w:val="24"/>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Pr>
          <w:rFonts w:ascii="Arial" w:hAnsi="Arial" w:cs="Arial"/>
          <w:szCs w:val="24"/>
        </w:rPr>
        <w:t xml:space="preserve">Al-Debei, M. M. and Avison, D. (2010) ‘Developing a unified framework of the business model concept’, </w:t>
      </w:r>
      <w:r>
        <w:rPr>
          <w:rFonts w:ascii="Arial" w:hAnsi="Arial" w:cs="Arial"/>
          <w:i/>
          <w:iCs/>
          <w:szCs w:val="24"/>
        </w:rPr>
        <w:t>European journal of information systems</w:t>
      </w:r>
      <w:r>
        <w:rPr>
          <w:rFonts w:ascii="Arial" w:hAnsi="Arial" w:cs="Arial"/>
          <w:szCs w:val="24"/>
        </w:rPr>
        <w:t>. 19(3), pp. 359–376.</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Aversa, P. </w:t>
      </w:r>
      <w:r>
        <w:rPr>
          <w:rFonts w:ascii="Arial" w:hAnsi="Arial" w:cs="Arial"/>
          <w:i/>
          <w:iCs/>
          <w:szCs w:val="24"/>
        </w:rPr>
        <w:t>et al.</w:t>
      </w:r>
      <w:r>
        <w:rPr>
          <w:rFonts w:ascii="Arial" w:hAnsi="Arial" w:cs="Arial"/>
          <w:szCs w:val="24"/>
        </w:rPr>
        <w:t xml:space="preserve"> (2015) ‘From business model to business modelling: Modularity and manipulation’, </w:t>
      </w:r>
      <w:r>
        <w:rPr>
          <w:rFonts w:ascii="Arial" w:hAnsi="Arial" w:cs="Arial"/>
          <w:i/>
          <w:iCs/>
          <w:szCs w:val="24"/>
        </w:rPr>
        <w:t>Advances in Strategic Management</w:t>
      </w:r>
      <w:r>
        <w:rPr>
          <w:rFonts w:ascii="Arial" w:hAnsi="Arial" w:cs="Arial"/>
          <w:szCs w:val="24"/>
        </w:rPr>
        <w:t xml:space="preserve">, 33(1), pp. 151–185. </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Beattie, V. and Smith, S. J. (2013) ‘Value creation and business models: Refocusing the intellectual capital debate’, </w:t>
      </w:r>
      <w:r>
        <w:rPr>
          <w:rFonts w:ascii="Arial" w:hAnsi="Arial" w:cs="Arial"/>
          <w:i/>
          <w:iCs/>
          <w:szCs w:val="24"/>
        </w:rPr>
        <w:t>The British Accounting Review</w:t>
      </w:r>
      <w:r>
        <w:rPr>
          <w:rFonts w:ascii="Arial" w:hAnsi="Arial" w:cs="Arial"/>
          <w:szCs w:val="24"/>
        </w:rPr>
        <w:t>. 45(4), pp. 243–254.</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Bevir, M. and Rhodes, R. A. W. (2012) ‘Interpretivism and the analysis of traditions and practices’, </w:t>
      </w:r>
      <w:r>
        <w:rPr>
          <w:rFonts w:ascii="Arial" w:hAnsi="Arial" w:cs="Arial"/>
          <w:i/>
          <w:iCs/>
          <w:szCs w:val="24"/>
        </w:rPr>
        <w:t>Critical policy studies</w:t>
      </w:r>
      <w:r>
        <w:rPr>
          <w:rFonts w:ascii="Arial" w:hAnsi="Arial" w:cs="Arial"/>
          <w:szCs w:val="24"/>
        </w:rPr>
        <w:t>. 6(2), pp. 201–208.</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Burney, A. (2008) ‘Inductive and deductive research approach’, </w:t>
      </w:r>
      <w:r>
        <w:rPr>
          <w:rFonts w:ascii="Arial" w:hAnsi="Arial" w:cs="Arial"/>
          <w:i/>
          <w:iCs/>
          <w:szCs w:val="24"/>
        </w:rPr>
        <w:t>Department of Computer Science, University of Karachi, Pakistan</w:t>
      </w:r>
      <w:r>
        <w:rPr>
          <w:rFonts w:ascii="Arial" w:hAnsi="Arial" w:cs="Arial"/>
          <w:szCs w:val="24"/>
        </w:rPr>
        <w:t>, 22.</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Business Insider (2021) </w:t>
      </w:r>
      <w:r>
        <w:rPr>
          <w:rFonts w:ascii="Arial" w:hAnsi="Arial" w:cs="Arial"/>
          <w:i/>
          <w:iCs/>
          <w:szCs w:val="24"/>
        </w:rPr>
        <w:t>Esports Industry in 2021: Key Market Stats &amp; Growth Trends</w:t>
      </w:r>
      <w:r>
        <w:rPr>
          <w:rFonts w:ascii="Arial" w:hAnsi="Arial" w:cs="Arial"/>
          <w:szCs w:val="24"/>
        </w:rPr>
        <w:t>. Available at: https://www.businessinsider.com/esports-ecosystem-market-report?r=US&amp;IR=T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CGTN (2019) </w:t>
      </w:r>
      <w:r>
        <w:rPr>
          <w:rFonts w:ascii="Arial" w:hAnsi="Arial" w:cs="Arial"/>
          <w:i/>
          <w:iCs/>
          <w:szCs w:val="24"/>
        </w:rPr>
        <w:t xml:space="preserve">Play your way to success: eSports industry in China </w:t>
      </w:r>
      <w:r>
        <w:rPr>
          <w:rFonts w:ascii="Arial" w:hAnsi="Arial" w:cs="Arial"/>
          <w:szCs w:val="24"/>
        </w:rPr>
        <w:t>. Available at: https://news.cgtn.com/news/2019-07-19/Play-your-way-to-success-eSports-industry-in-China-IrXgy5E1kk/index.html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Chesbrough, H. (2010) ‘Business model innovation: opportunities and barriers’, </w:t>
      </w:r>
      <w:r>
        <w:rPr>
          <w:rFonts w:ascii="Arial" w:hAnsi="Arial" w:cs="Arial"/>
          <w:i/>
          <w:iCs/>
          <w:szCs w:val="24"/>
        </w:rPr>
        <w:t>Long range planning</w:t>
      </w:r>
      <w:r>
        <w:rPr>
          <w:rFonts w:ascii="Arial" w:hAnsi="Arial" w:cs="Arial"/>
          <w:szCs w:val="24"/>
        </w:rPr>
        <w:t>. 43(2–3), pp. 354–363.</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Chikish, Y., Carreras, M. and Garci, J. (2019) ‘eSports: A new era for the sports industry and a new impulse for the research in sports (and) economics’, </w:t>
      </w:r>
      <w:r>
        <w:rPr>
          <w:rFonts w:ascii="Arial" w:hAnsi="Arial" w:cs="Arial"/>
          <w:i/>
          <w:iCs/>
          <w:szCs w:val="24"/>
        </w:rPr>
        <w:t>Sports (and) Economics</w:t>
      </w:r>
      <w:r>
        <w:rPr>
          <w:rFonts w:ascii="Arial" w:hAnsi="Arial" w:cs="Arial"/>
          <w:szCs w:val="24"/>
        </w:rPr>
        <w:t>. 23(1), pp. 477–508.</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China Briefing (2019) </w:t>
      </w:r>
      <w:r>
        <w:rPr>
          <w:rFonts w:ascii="Arial" w:hAnsi="Arial" w:cs="Arial"/>
          <w:i/>
          <w:iCs/>
          <w:szCs w:val="24"/>
        </w:rPr>
        <w:t>Esports in China: Industry Boom Leads to Official Recognition</w:t>
      </w:r>
      <w:r>
        <w:rPr>
          <w:rFonts w:ascii="Arial" w:hAnsi="Arial" w:cs="Arial"/>
          <w:szCs w:val="24"/>
        </w:rPr>
        <w:t>. Available at: https://www.china-briefing.com/news/esports-in-china-industry-boom-leads-official-recognition/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Chung, T. </w:t>
      </w:r>
      <w:r>
        <w:rPr>
          <w:rFonts w:ascii="Arial" w:hAnsi="Arial" w:cs="Arial"/>
          <w:i/>
          <w:iCs/>
          <w:szCs w:val="24"/>
        </w:rPr>
        <w:t>et al.</w:t>
      </w:r>
      <w:r>
        <w:rPr>
          <w:rFonts w:ascii="Arial" w:hAnsi="Arial" w:cs="Arial"/>
          <w:szCs w:val="24"/>
        </w:rPr>
        <w:t xml:space="preserve"> (2019) ‘Will esports result in a higher prevalence of problematic gaming? A review of the global situation’, </w:t>
      </w:r>
      <w:r>
        <w:rPr>
          <w:rFonts w:ascii="Arial" w:hAnsi="Arial" w:cs="Arial"/>
          <w:i/>
          <w:iCs/>
          <w:szCs w:val="24"/>
        </w:rPr>
        <w:t>Journal of Behavioral Addictions</w:t>
      </w:r>
      <w:r>
        <w:rPr>
          <w:rFonts w:ascii="Arial" w:hAnsi="Arial" w:cs="Arial"/>
          <w:szCs w:val="24"/>
        </w:rPr>
        <w:t>. 8(3), pp. 384–394.</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Cosenz, F. and Noto, G. (2018) ‘A dynamic business modelling approach to design and experiment new business venture strategies’, </w:t>
      </w:r>
      <w:r>
        <w:rPr>
          <w:rFonts w:ascii="Arial" w:hAnsi="Arial" w:cs="Arial"/>
          <w:i/>
          <w:iCs/>
          <w:szCs w:val="24"/>
        </w:rPr>
        <w:t>Long Range Planning</w:t>
      </w:r>
      <w:r>
        <w:rPr>
          <w:rFonts w:ascii="Arial" w:hAnsi="Arial" w:cs="Arial"/>
          <w:szCs w:val="24"/>
        </w:rPr>
        <w:t>. 51(1), pp. 127–140.</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Cranmer, E. E. </w:t>
      </w:r>
      <w:r>
        <w:rPr>
          <w:rFonts w:ascii="Arial" w:hAnsi="Arial" w:cs="Arial"/>
          <w:i/>
          <w:iCs/>
          <w:szCs w:val="24"/>
        </w:rPr>
        <w:t>et al.</w:t>
      </w:r>
      <w:r>
        <w:rPr>
          <w:rFonts w:ascii="Arial" w:hAnsi="Arial" w:cs="Arial"/>
          <w:szCs w:val="24"/>
        </w:rPr>
        <w:t xml:space="preserve"> (2021) ‘Esports matrix: Structuring the esports research agenda’, </w:t>
      </w:r>
      <w:r>
        <w:rPr>
          <w:rFonts w:ascii="Arial" w:hAnsi="Arial" w:cs="Arial"/>
          <w:i/>
          <w:iCs/>
          <w:szCs w:val="24"/>
        </w:rPr>
        <w:t>Computers in Human Behavior</w:t>
      </w:r>
      <w:r>
        <w:rPr>
          <w:rFonts w:ascii="Arial" w:hAnsi="Arial" w:cs="Arial"/>
          <w:szCs w:val="24"/>
        </w:rPr>
        <w:t>. 117(2), p. 106671.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DaSilva, C. M. and Trkman, P. (2014) ‘Business model: What it is and what it is not’, </w:t>
      </w:r>
      <w:r>
        <w:rPr>
          <w:rFonts w:ascii="Arial" w:hAnsi="Arial" w:cs="Arial"/>
          <w:i/>
          <w:iCs/>
          <w:szCs w:val="24"/>
        </w:rPr>
        <w:t>Long range planning</w:t>
      </w:r>
      <w:r>
        <w:rPr>
          <w:rFonts w:ascii="Arial" w:hAnsi="Arial" w:cs="Arial"/>
          <w:szCs w:val="24"/>
        </w:rPr>
        <w:t>. 47(6), pp. 379–389.</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Deloitte (2019) </w:t>
      </w:r>
      <w:r>
        <w:rPr>
          <w:rFonts w:ascii="Arial" w:hAnsi="Arial" w:cs="Arial"/>
          <w:i/>
          <w:iCs/>
          <w:szCs w:val="24"/>
        </w:rPr>
        <w:t>Let’s Play! The European eSports market</w:t>
      </w:r>
      <w:r>
        <w:rPr>
          <w:rFonts w:ascii="Arial" w:hAnsi="Arial" w:cs="Arial"/>
          <w:szCs w:val="24"/>
        </w:rPr>
        <w:t>.</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Demil, B. and Lecocq, X. (2010) ‘Business model evolution: in search of dynamic consistency’, </w:t>
      </w:r>
      <w:r>
        <w:rPr>
          <w:rFonts w:ascii="Arial" w:hAnsi="Arial" w:cs="Arial"/>
          <w:i/>
          <w:iCs/>
          <w:szCs w:val="24"/>
        </w:rPr>
        <w:t>Long range planning</w:t>
      </w:r>
      <w:r>
        <w:rPr>
          <w:rFonts w:ascii="Arial" w:hAnsi="Arial" w:cs="Arial"/>
          <w:szCs w:val="24"/>
        </w:rPr>
        <w:t>. 43(2–3), pp. 227–246.</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Dexerto (2020) </w:t>
      </w:r>
      <w:r>
        <w:rPr>
          <w:rFonts w:ascii="Arial" w:hAnsi="Arial" w:cs="Arial"/>
          <w:i/>
          <w:iCs/>
          <w:szCs w:val="24"/>
        </w:rPr>
        <w:t>Riot Games shopping English streaming rights to League of Legends esports</w:t>
      </w:r>
      <w:r>
        <w:rPr>
          <w:rFonts w:ascii="Arial" w:hAnsi="Arial" w:cs="Arial"/>
          <w:szCs w:val="24"/>
        </w:rPr>
        <w:t>. Available at: https://www.dexerto.com/league-of-legends/lol-esports-english-broadcast-rights-1452713/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Forbes (2020) </w:t>
      </w:r>
      <w:r>
        <w:rPr>
          <w:rFonts w:ascii="Arial" w:hAnsi="Arial" w:cs="Arial"/>
          <w:i/>
          <w:iCs/>
          <w:szCs w:val="24"/>
        </w:rPr>
        <w:t>Live-Streaming Hits 560 Million People In China, Led By eSports (Traditional Sports Came Second)</w:t>
      </w:r>
      <w:r>
        <w:rPr>
          <w:rFonts w:ascii="Arial" w:hAnsi="Arial" w:cs="Arial"/>
          <w:szCs w:val="24"/>
        </w:rPr>
        <w:t>. Available at: https://www.forbes.com/sites/johnkoetsier/2020/05/03/live-streaming-hits-560-million-people-in-china-led-by-esports-traditional-sports-came-second/?sh=fb5a1181c56b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George, G. and Bock, A. J. (2011) ‘The business model in practice and its implications for entrepreneurship research’, </w:t>
      </w:r>
      <w:r>
        <w:rPr>
          <w:rFonts w:ascii="Arial" w:hAnsi="Arial" w:cs="Arial"/>
          <w:i/>
          <w:iCs/>
          <w:szCs w:val="24"/>
        </w:rPr>
        <w:t>Entrepreneurship theory and practice</w:t>
      </w:r>
      <w:r>
        <w:rPr>
          <w:rFonts w:ascii="Arial" w:hAnsi="Arial" w:cs="Arial"/>
          <w:szCs w:val="24"/>
        </w:rPr>
        <w:t>. 35(1), pp. 83–111.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Goldkuhl, G. ran (2012) ‘Pragmatism vs interpretivism in qualitative information systems research’, </w:t>
      </w:r>
      <w:r>
        <w:rPr>
          <w:rFonts w:ascii="Arial" w:hAnsi="Arial" w:cs="Arial"/>
          <w:i/>
          <w:iCs/>
          <w:szCs w:val="24"/>
        </w:rPr>
        <w:t>European journal of information systems</w:t>
      </w:r>
      <w:r>
        <w:rPr>
          <w:rFonts w:ascii="Arial" w:hAnsi="Arial" w:cs="Arial"/>
          <w:szCs w:val="24"/>
        </w:rPr>
        <w:t>.  21(2), pp. 135–146.</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Hallmann, K. and Giel, T. (2018) ‘eSports-Competitive sports or recreational activity?’, </w:t>
      </w:r>
      <w:r>
        <w:rPr>
          <w:rFonts w:ascii="Arial" w:hAnsi="Arial" w:cs="Arial"/>
          <w:i/>
          <w:iCs/>
          <w:szCs w:val="24"/>
        </w:rPr>
        <w:t>Sport management review</w:t>
      </w:r>
      <w:r>
        <w:rPr>
          <w:rFonts w:ascii="Arial" w:hAnsi="Arial" w:cs="Arial"/>
          <w:szCs w:val="24"/>
        </w:rPr>
        <w:t>. 21(1), pp. 14–20.</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Hughes, J. A. and Sharrock, W. W. (2016) </w:t>
      </w:r>
      <w:r>
        <w:rPr>
          <w:rFonts w:ascii="Arial" w:hAnsi="Arial" w:cs="Arial"/>
          <w:i/>
          <w:iCs/>
          <w:szCs w:val="24"/>
        </w:rPr>
        <w:t>The philosophy of social research</w:t>
      </w:r>
      <w:r>
        <w:rPr>
          <w:rFonts w:ascii="Arial" w:hAnsi="Arial" w:cs="Arial"/>
          <w:szCs w:val="24"/>
        </w:rPr>
        <w:t>. Routledge.</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Jenny, S. E. </w:t>
      </w:r>
      <w:r>
        <w:rPr>
          <w:rFonts w:ascii="Arial" w:hAnsi="Arial" w:cs="Arial"/>
          <w:i/>
          <w:iCs/>
          <w:szCs w:val="24"/>
        </w:rPr>
        <w:t>et al.</w:t>
      </w:r>
      <w:r>
        <w:rPr>
          <w:rFonts w:ascii="Arial" w:hAnsi="Arial" w:cs="Arial"/>
          <w:szCs w:val="24"/>
        </w:rPr>
        <w:t xml:space="preserve"> (2017) ‘Virtual (ly) athletes: where eSports fit within the definition of Sport’, </w:t>
      </w:r>
      <w:r>
        <w:rPr>
          <w:rFonts w:ascii="Arial" w:hAnsi="Arial" w:cs="Arial"/>
          <w:i/>
          <w:iCs/>
          <w:szCs w:val="24"/>
        </w:rPr>
        <w:t>Quest</w:t>
      </w:r>
      <w:r>
        <w:rPr>
          <w:rFonts w:ascii="Arial" w:hAnsi="Arial" w:cs="Arial"/>
          <w:szCs w:val="24"/>
        </w:rPr>
        <w:t>. 69(1), pp. 1–18.</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Jenny, S. E. </w:t>
      </w:r>
      <w:r>
        <w:rPr>
          <w:rFonts w:ascii="Arial" w:hAnsi="Arial" w:cs="Arial"/>
          <w:i/>
          <w:iCs/>
          <w:szCs w:val="24"/>
        </w:rPr>
        <w:t>et al.</w:t>
      </w:r>
      <w:r>
        <w:rPr>
          <w:rFonts w:ascii="Arial" w:hAnsi="Arial" w:cs="Arial"/>
          <w:szCs w:val="24"/>
        </w:rPr>
        <w:t xml:space="preserve"> (2018) ‘eSports venues: A new sport business opportunity’, </w:t>
      </w:r>
      <w:r>
        <w:rPr>
          <w:rFonts w:ascii="Arial" w:hAnsi="Arial" w:cs="Arial"/>
          <w:i/>
          <w:iCs/>
          <w:szCs w:val="24"/>
        </w:rPr>
        <w:t>Journal of Applied Sport Management</w:t>
      </w:r>
      <w:r>
        <w:rPr>
          <w:rFonts w:ascii="Arial" w:hAnsi="Arial" w:cs="Arial"/>
          <w:szCs w:val="24"/>
        </w:rPr>
        <w:t>, 10(1), p. 8.</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Ji, Z. and Hanna, R. C. (2020) ‘Gamers first-How consumer preferences impact eSports media offerings’, </w:t>
      </w:r>
      <w:r>
        <w:rPr>
          <w:rFonts w:ascii="Arial" w:hAnsi="Arial" w:cs="Arial"/>
          <w:i/>
          <w:iCs/>
          <w:szCs w:val="24"/>
        </w:rPr>
        <w:t>International journal on media management</w:t>
      </w:r>
      <w:r>
        <w:rPr>
          <w:rFonts w:ascii="Arial" w:hAnsi="Arial" w:cs="Arial"/>
          <w:szCs w:val="24"/>
        </w:rPr>
        <w:t>. 22(1), pp. 13–29.</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Kane, D. and Spradley, B. D. (2017) ‘Recognizing ESports as a sport’, </w:t>
      </w:r>
      <w:r>
        <w:rPr>
          <w:rFonts w:ascii="Arial" w:hAnsi="Arial" w:cs="Arial"/>
          <w:i/>
          <w:iCs/>
          <w:szCs w:val="24"/>
        </w:rPr>
        <w:t>Sport Journal</w:t>
      </w:r>
      <w:r>
        <w:rPr>
          <w:rFonts w:ascii="Arial" w:hAnsi="Arial" w:cs="Arial"/>
          <w:szCs w:val="24"/>
        </w:rPr>
        <w:t>, 20(2), pp. 1–9.</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Karhulahti, V.-M. (2017) ‘Reconsidering esport: Economics and executive ownership’, </w:t>
      </w:r>
      <w:r>
        <w:rPr>
          <w:rFonts w:ascii="Arial" w:hAnsi="Arial" w:cs="Arial"/>
          <w:i/>
          <w:iCs/>
          <w:szCs w:val="24"/>
        </w:rPr>
        <w:t>Physical Culture and Sport. Studies and Research</w:t>
      </w:r>
      <w:r>
        <w:rPr>
          <w:rFonts w:ascii="Arial" w:hAnsi="Arial" w:cs="Arial"/>
          <w:szCs w:val="24"/>
        </w:rPr>
        <w:t>. 74(1), pp. 43–53.</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Krathwohl, D. R. (2009) </w:t>
      </w:r>
      <w:r>
        <w:rPr>
          <w:rFonts w:ascii="Arial" w:hAnsi="Arial" w:cs="Arial"/>
          <w:i/>
          <w:iCs/>
          <w:szCs w:val="24"/>
        </w:rPr>
        <w:t>Methods of educational and social science research: The logic of methods</w:t>
      </w:r>
      <w:r>
        <w:rPr>
          <w:rFonts w:ascii="Arial" w:hAnsi="Arial" w:cs="Arial"/>
          <w:szCs w:val="24"/>
        </w:rPr>
        <w:t>. Waveland Press.</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Lee, D. and Schoenstedt, L. J. (2011) ‘Comparison of eSports and traditional sports consumption motives.’, </w:t>
      </w:r>
      <w:r>
        <w:rPr>
          <w:rFonts w:ascii="Arial" w:hAnsi="Arial" w:cs="Arial"/>
          <w:i/>
          <w:iCs/>
          <w:szCs w:val="24"/>
        </w:rPr>
        <w:t>ICHPER-SD Journal Of Research</w:t>
      </w:r>
      <w:r>
        <w:rPr>
          <w:rFonts w:ascii="Arial" w:hAnsi="Arial" w:cs="Arial"/>
          <w:szCs w:val="24"/>
        </w:rPr>
        <w:t>. 6(2), pp. 39–44.</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Lin, Z. and Zhao, Y. (2020) ‘Self-enterprising eSports: Meritocracy, precarity, and disposability of eSports players in China’, </w:t>
      </w:r>
      <w:r>
        <w:rPr>
          <w:rFonts w:ascii="Arial" w:hAnsi="Arial" w:cs="Arial"/>
          <w:i/>
          <w:iCs/>
          <w:szCs w:val="24"/>
        </w:rPr>
        <w:t>International Journal of Cultural Studies</w:t>
      </w:r>
      <w:r>
        <w:rPr>
          <w:rFonts w:ascii="Arial" w:hAnsi="Arial" w:cs="Arial"/>
          <w:szCs w:val="24"/>
        </w:rPr>
        <w:t>. 23(4), pp. 582–599.</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Lokhman, N., Karashchuk, O. and Kornilova, O. (2018) ‘Analysis of eSports as a commercial activity’, </w:t>
      </w:r>
      <w:r>
        <w:rPr>
          <w:rFonts w:ascii="Arial" w:hAnsi="Arial" w:cs="Arial"/>
          <w:i/>
          <w:iCs/>
          <w:szCs w:val="24"/>
        </w:rPr>
        <w:t>Problems and Perspectives in Management</w:t>
      </w:r>
      <w:r>
        <w:rPr>
          <w:rFonts w:ascii="Arial" w:hAnsi="Arial" w:cs="Arial"/>
          <w:szCs w:val="24"/>
        </w:rPr>
        <w:t>. 16(1), pp. 207–213.</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Massa, L., Tucci, C. and Afuah, A. (2017) ‘A Critical Assessment of Business Model Research’, </w:t>
      </w:r>
      <w:r>
        <w:rPr>
          <w:rFonts w:ascii="Arial" w:hAnsi="Arial" w:cs="Arial"/>
          <w:i/>
          <w:iCs/>
          <w:szCs w:val="24"/>
        </w:rPr>
        <w:t>Academy of Management Annals</w:t>
      </w:r>
      <w:r>
        <w:rPr>
          <w:rFonts w:ascii="Arial" w:hAnsi="Arial" w:cs="Arial"/>
          <w:szCs w:val="24"/>
        </w:rPr>
        <w:t>, 11(1), pp. 73–104.</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Morse, J. M. </w:t>
      </w:r>
      <w:r>
        <w:rPr>
          <w:rFonts w:ascii="Arial" w:hAnsi="Arial" w:cs="Arial"/>
          <w:i/>
          <w:iCs/>
          <w:szCs w:val="24"/>
        </w:rPr>
        <w:t>et al.</w:t>
      </w:r>
      <w:r>
        <w:rPr>
          <w:rFonts w:ascii="Arial" w:hAnsi="Arial" w:cs="Arial"/>
          <w:szCs w:val="24"/>
        </w:rPr>
        <w:t xml:space="preserve"> (2016) </w:t>
      </w:r>
      <w:r>
        <w:rPr>
          <w:rFonts w:ascii="Arial" w:hAnsi="Arial" w:cs="Arial"/>
          <w:i/>
          <w:iCs/>
          <w:szCs w:val="24"/>
        </w:rPr>
        <w:t>Developing grounded theory: The second generation</w:t>
      </w:r>
      <w:r>
        <w:rPr>
          <w:rFonts w:ascii="Arial" w:hAnsi="Arial" w:cs="Arial"/>
          <w:szCs w:val="24"/>
        </w:rPr>
        <w:t>. Routledge.</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Niko (2021) </w:t>
      </w:r>
      <w:r>
        <w:rPr>
          <w:rFonts w:ascii="Arial" w:hAnsi="Arial" w:cs="Arial"/>
          <w:i/>
          <w:iCs/>
          <w:szCs w:val="24"/>
        </w:rPr>
        <w:t xml:space="preserve">The Top Steam games on Live Streaming Platforms in China </w:t>
      </w:r>
      <w:r>
        <w:rPr>
          <w:rFonts w:ascii="Arial" w:hAnsi="Arial" w:cs="Arial"/>
          <w:szCs w:val="24"/>
        </w:rPr>
        <w:t>. Available at: https://nikopartners.com/the-top-steam-games-on-live-streaming-platforms-in-china/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Oktay, J. S. (2012) </w:t>
      </w:r>
      <w:r>
        <w:rPr>
          <w:rFonts w:ascii="Arial" w:hAnsi="Arial" w:cs="Arial"/>
          <w:i/>
          <w:iCs/>
          <w:szCs w:val="24"/>
        </w:rPr>
        <w:t>Grounded theory</w:t>
      </w:r>
      <w:r>
        <w:rPr>
          <w:rFonts w:ascii="Arial" w:hAnsi="Arial" w:cs="Arial"/>
          <w:szCs w:val="24"/>
        </w:rPr>
        <w:t>. Oxford University Press.</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Osterwalder, A. and Pigneur, Y. (2010) </w:t>
      </w:r>
      <w:r>
        <w:rPr>
          <w:rFonts w:ascii="Arial" w:hAnsi="Arial" w:cs="Arial"/>
          <w:i/>
          <w:iCs/>
          <w:szCs w:val="24"/>
        </w:rPr>
        <w:t>Business Model Generation: A Handbook for Visionaries, Game Changers, and Challengers</w:t>
      </w:r>
      <w:r>
        <w:rPr>
          <w:rFonts w:ascii="Arial" w:hAnsi="Arial" w:cs="Arial"/>
          <w:szCs w:val="24"/>
        </w:rPr>
        <w:t xml:space="preserve">, </w:t>
      </w:r>
      <w:r>
        <w:rPr>
          <w:rFonts w:ascii="Arial" w:hAnsi="Arial" w:cs="Arial"/>
          <w:i/>
          <w:iCs/>
          <w:szCs w:val="24"/>
        </w:rPr>
        <w:t>John Wiley &amp; Sons</w:t>
      </w:r>
      <w:r>
        <w:rPr>
          <w:rFonts w:ascii="Arial" w:hAnsi="Arial" w:cs="Arial"/>
          <w:szCs w:val="24"/>
        </w:rPr>
        <w:t xml:space="preserve">. </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Priem, R. L., Wenzel, M. and Koch, J. (2018) ‘Demand-side strategy and business models: Putting value creation for consumers center stage’, </w:t>
      </w:r>
      <w:r>
        <w:rPr>
          <w:rFonts w:ascii="Arial" w:hAnsi="Arial" w:cs="Arial"/>
          <w:i/>
          <w:iCs/>
          <w:szCs w:val="24"/>
        </w:rPr>
        <w:t>Long range planning</w:t>
      </w:r>
      <w:r>
        <w:rPr>
          <w:rFonts w:ascii="Arial" w:hAnsi="Arial" w:cs="Arial"/>
          <w:szCs w:val="24"/>
        </w:rPr>
        <w:t>. 51(1), pp. 22–31.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Reitman, J. G. </w:t>
      </w:r>
      <w:r>
        <w:rPr>
          <w:rFonts w:ascii="Arial" w:hAnsi="Arial" w:cs="Arial"/>
          <w:i/>
          <w:iCs/>
          <w:szCs w:val="24"/>
        </w:rPr>
        <w:t>et al.</w:t>
      </w:r>
      <w:r>
        <w:rPr>
          <w:rFonts w:ascii="Arial" w:hAnsi="Arial" w:cs="Arial"/>
          <w:szCs w:val="24"/>
        </w:rPr>
        <w:t xml:space="preserve"> (2020) ‘Esports research: A literature review’, </w:t>
      </w:r>
      <w:r>
        <w:rPr>
          <w:rFonts w:ascii="Arial" w:hAnsi="Arial" w:cs="Arial"/>
          <w:i/>
          <w:iCs/>
          <w:szCs w:val="24"/>
        </w:rPr>
        <w:t>Games and Culture</w:t>
      </w:r>
      <w:r>
        <w:rPr>
          <w:rFonts w:ascii="Arial" w:hAnsi="Arial" w:cs="Arial"/>
          <w:szCs w:val="24"/>
        </w:rPr>
        <w:t>. 15(1), pp. 32–50.</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Sanchez, P. and Ricart, J. E. (2010) ‘Business model innovation and sources of value creation in low-income markets’, </w:t>
      </w:r>
      <w:r>
        <w:rPr>
          <w:rFonts w:ascii="Arial" w:hAnsi="Arial" w:cs="Arial"/>
          <w:i/>
          <w:iCs/>
          <w:szCs w:val="24"/>
        </w:rPr>
        <w:t>European Management Review</w:t>
      </w:r>
      <w:r>
        <w:rPr>
          <w:rFonts w:ascii="Arial" w:hAnsi="Arial" w:cs="Arial"/>
          <w:szCs w:val="24"/>
        </w:rPr>
        <w:t>. 7(3), pp. 138–154.</w:t>
      </w:r>
    </w:p>
    <w:p>
      <w:pPr>
        <w:autoSpaceDE w:val="0"/>
        <w:autoSpaceDN w:val="0"/>
        <w:adjustRightInd w:val="0"/>
        <w:spacing w:before="160" w:after="320" w:line="360" w:lineRule="auto"/>
        <w:rPr>
          <w:rFonts w:ascii="Arial" w:hAnsi="Arial" w:cs="Arial"/>
          <w:szCs w:val="24"/>
        </w:rPr>
      </w:pPr>
      <w:r>
        <w:rPr>
          <w:rFonts w:ascii="Arial" w:hAnsi="Arial" w:cs="Arial"/>
          <w:szCs w:val="24"/>
        </w:rPr>
        <w:t>Saunders, M., Lewis, P. and Thornhill, A. (2009) ‘Research methods for business students’.</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Scholz, T. M. (2021) ‘The Business Model Network of Esports’, </w:t>
      </w:r>
      <w:r>
        <w:rPr>
          <w:rFonts w:ascii="Arial" w:hAnsi="Arial" w:cs="Arial"/>
          <w:i/>
          <w:iCs/>
          <w:szCs w:val="24"/>
        </w:rPr>
        <w:t>Global esports: Transformation of Cultural Perceptions of Competitive Gaming</w:t>
      </w:r>
      <w:r>
        <w:rPr>
          <w:rFonts w:ascii="Arial" w:hAnsi="Arial" w:cs="Arial"/>
          <w:szCs w:val="24"/>
        </w:rPr>
        <w:t>. Bloomsbury Publishing USA, p. 99.</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Scholz, T. M., Scholz, T. M. and Barlow (2019) </w:t>
      </w:r>
      <w:r>
        <w:rPr>
          <w:rFonts w:ascii="Arial" w:hAnsi="Arial" w:cs="Arial"/>
          <w:i/>
          <w:iCs/>
          <w:szCs w:val="24"/>
        </w:rPr>
        <w:t>eSports is Business</w:t>
      </w:r>
      <w:r>
        <w:rPr>
          <w:rFonts w:ascii="Arial" w:hAnsi="Arial" w:cs="Arial"/>
          <w:szCs w:val="24"/>
        </w:rPr>
        <w:t>. Springer.</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Seo, Y. (2016) ‘Professionalized consumption and identity transformations in the field of eSports’, </w:t>
      </w:r>
      <w:r>
        <w:rPr>
          <w:rFonts w:ascii="Arial" w:hAnsi="Arial" w:cs="Arial"/>
          <w:i/>
          <w:iCs/>
          <w:szCs w:val="24"/>
        </w:rPr>
        <w:t>Journal of Business Research</w:t>
      </w:r>
      <w:r>
        <w:rPr>
          <w:rFonts w:ascii="Arial" w:hAnsi="Arial" w:cs="Arial"/>
          <w:szCs w:val="24"/>
        </w:rPr>
        <w:t>., 69(1), pp. 264–272.</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Seo, Y. </w:t>
      </w:r>
      <w:r>
        <w:rPr>
          <w:rFonts w:ascii="Arial" w:hAnsi="Arial" w:cs="Arial"/>
          <w:i/>
          <w:iCs/>
          <w:szCs w:val="24"/>
        </w:rPr>
        <w:t>et al.</w:t>
      </w:r>
      <w:r>
        <w:rPr>
          <w:rFonts w:ascii="Arial" w:hAnsi="Arial" w:cs="Arial"/>
          <w:szCs w:val="24"/>
        </w:rPr>
        <w:t xml:space="preserve"> (2018) ‘Attention to eSports advertisement: effects of ad animation and in-game dynamics on viewers-visual attention’, </w:t>
      </w:r>
      <w:r>
        <w:rPr>
          <w:rFonts w:ascii="Arial" w:hAnsi="Arial" w:cs="Arial"/>
          <w:i/>
          <w:iCs/>
          <w:szCs w:val="24"/>
        </w:rPr>
        <w:t>Behaviour &amp; Information Technology</w:t>
      </w:r>
      <w:r>
        <w:rPr>
          <w:rFonts w:ascii="Arial" w:hAnsi="Arial" w:cs="Arial"/>
          <w:szCs w:val="24"/>
        </w:rPr>
        <w:t>. 37(12), pp. 1194–1202.</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Silverman, D. (2020) </w:t>
      </w:r>
      <w:r>
        <w:rPr>
          <w:rFonts w:ascii="Arial" w:hAnsi="Arial" w:cs="Arial"/>
          <w:i/>
          <w:iCs/>
          <w:szCs w:val="24"/>
        </w:rPr>
        <w:t>Qualitative research</w:t>
      </w:r>
      <w:r>
        <w:rPr>
          <w:rFonts w:ascii="Arial" w:hAnsi="Arial" w:cs="Arial"/>
          <w:szCs w:val="24"/>
        </w:rPr>
        <w:t>. Sage Publications Limited.</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SportsPro Media (2020) </w:t>
      </w:r>
      <w:r>
        <w:rPr>
          <w:rFonts w:ascii="Arial" w:hAnsi="Arial" w:cs="Arial"/>
          <w:i/>
          <w:iCs/>
          <w:szCs w:val="24"/>
        </w:rPr>
        <w:t>Study: Sponsorship to push 2020 global esports revenue to US$1.1bn</w:t>
      </w:r>
      <w:r>
        <w:rPr>
          <w:rFonts w:ascii="Arial" w:hAnsi="Arial" w:cs="Arial"/>
          <w:szCs w:val="24"/>
        </w:rPr>
        <w:t>. Available at: https://www.sportspromedia.com/news/esports-revenue-2020-sponsorship-media-rights-newzoo-report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Statista (2020) </w:t>
      </w:r>
      <w:r>
        <w:rPr>
          <w:rFonts w:ascii="Arial" w:hAnsi="Arial" w:cs="Arial"/>
          <w:i/>
          <w:iCs/>
          <w:szCs w:val="24"/>
        </w:rPr>
        <w:t xml:space="preserve">eSports market - Statistics &amp; Facts </w:t>
      </w:r>
      <w:r>
        <w:rPr>
          <w:rFonts w:ascii="Arial" w:hAnsi="Arial" w:cs="Arial"/>
          <w:szCs w:val="24"/>
        </w:rPr>
        <w:t>. Available at: https://www.statista.com/topics/3121/esports-market/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Strauss, A. and Corbin, J. M. (1997) </w:t>
      </w:r>
      <w:r>
        <w:rPr>
          <w:rFonts w:ascii="Arial" w:hAnsi="Arial" w:cs="Arial"/>
          <w:i/>
          <w:iCs/>
          <w:szCs w:val="24"/>
        </w:rPr>
        <w:t>Grounded theory in practice</w:t>
      </w:r>
      <w:r>
        <w:rPr>
          <w:rFonts w:ascii="Arial" w:hAnsi="Arial" w:cs="Arial"/>
          <w:szCs w:val="24"/>
        </w:rPr>
        <w:t>. Sage.</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Stubbs, W. and Cocklin, C. (2008) ‘Conceptualizing a 'sustainability business model’, </w:t>
      </w:r>
      <w:r>
        <w:rPr>
          <w:rFonts w:ascii="Arial" w:hAnsi="Arial" w:cs="Arial"/>
          <w:i/>
          <w:iCs/>
          <w:szCs w:val="24"/>
        </w:rPr>
        <w:t>Organization &amp; environment</w:t>
      </w:r>
      <w:r>
        <w:rPr>
          <w:rFonts w:ascii="Arial" w:hAnsi="Arial" w:cs="Arial"/>
          <w:szCs w:val="24"/>
        </w:rPr>
        <w:t>. 21(2), pp. 103–127.</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Summerley, R. (2020) ‘The development of sports: A comparative analysis of the early institutionalization of traditional sports and E-sports’, </w:t>
      </w:r>
      <w:r>
        <w:rPr>
          <w:rFonts w:ascii="Arial" w:hAnsi="Arial" w:cs="Arial"/>
          <w:i/>
          <w:iCs/>
          <w:szCs w:val="24"/>
        </w:rPr>
        <w:t>Games and Culture</w:t>
      </w:r>
      <w:r>
        <w:rPr>
          <w:rFonts w:ascii="Arial" w:hAnsi="Arial" w:cs="Arial"/>
          <w:szCs w:val="24"/>
        </w:rPr>
        <w:t>. 15(1), pp. 51–72.</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TechWire (2020) </w:t>
      </w:r>
      <w:r>
        <w:rPr>
          <w:rFonts w:ascii="Arial" w:hAnsi="Arial" w:cs="Arial"/>
          <w:i/>
          <w:iCs/>
          <w:szCs w:val="24"/>
        </w:rPr>
        <w:t>Tencent ready to dominate China’s eSports market with $10B merger</w:t>
      </w:r>
      <w:r>
        <w:rPr>
          <w:rFonts w:ascii="Arial" w:hAnsi="Arial" w:cs="Arial"/>
          <w:szCs w:val="24"/>
        </w:rPr>
        <w:t>. Available at: https://techwireasia.com/2020/08/tencent-ready-to-dominate-chinas-esports-market-with-10b-merger/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The Esports Observer (2020) </w:t>
      </w:r>
      <w:r>
        <w:rPr>
          <w:rFonts w:ascii="Arial" w:hAnsi="Arial" w:cs="Arial"/>
          <w:i/>
          <w:iCs/>
          <w:szCs w:val="24"/>
        </w:rPr>
        <w:t xml:space="preserve">Opinion: China Esports in 2021 – Not Just COVID-19 </w:t>
      </w:r>
      <w:r>
        <w:rPr>
          <w:rFonts w:ascii="Arial" w:hAnsi="Arial" w:cs="Arial"/>
          <w:szCs w:val="24"/>
        </w:rPr>
        <w:t>. Available at: https://esportsobserver.com/china-esports-2021-predictions/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Toomey, R. P. (2019) ‘Upholding the integrity of esports to successfully and safely legitimize esports wagering’, </w:t>
      </w:r>
      <w:r>
        <w:rPr>
          <w:rFonts w:ascii="Arial" w:hAnsi="Arial" w:cs="Arial"/>
          <w:i/>
          <w:iCs/>
          <w:szCs w:val="24"/>
        </w:rPr>
        <w:t>Gaming Law Review</w:t>
      </w:r>
      <w:r>
        <w:rPr>
          <w:rFonts w:ascii="Arial" w:hAnsi="Arial" w:cs="Arial"/>
          <w:szCs w:val="24"/>
        </w:rPr>
        <w:t>. 23(1), pp. 12–18.</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Variety (2021) </w:t>
      </w:r>
      <w:r>
        <w:rPr>
          <w:rFonts w:ascii="Arial" w:hAnsi="Arial" w:cs="Arial"/>
          <w:i/>
          <w:iCs/>
          <w:szCs w:val="24"/>
        </w:rPr>
        <w:t>China’s Games Streaming Giants Huya and DouYu to Merge</w:t>
      </w:r>
      <w:r>
        <w:rPr>
          <w:rFonts w:ascii="Arial" w:hAnsi="Arial" w:cs="Arial"/>
          <w:szCs w:val="24"/>
        </w:rPr>
        <w:t>. Available at: https://variety.com/2020/gaming/asia/china-games-streaming-huya-and-douyu-to-merge-1234801202/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Weiss, T. and Schiele, S. (2013) ‘Virtual worlds in competitive contexts: Analyzing eSports consumer needs’, </w:t>
      </w:r>
      <w:r>
        <w:rPr>
          <w:rFonts w:ascii="Arial" w:hAnsi="Arial" w:cs="Arial"/>
          <w:i/>
          <w:iCs/>
          <w:szCs w:val="24"/>
        </w:rPr>
        <w:t>Electronic Markets</w:t>
      </w:r>
      <w:r>
        <w:rPr>
          <w:rFonts w:ascii="Arial" w:hAnsi="Arial" w:cs="Arial"/>
          <w:szCs w:val="24"/>
        </w:rPr>
        <w:t>. 23(4), pp. 307–316.</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Xinhua Net (2021) </w:t>
      </w:r>
      <w:r>
        <w:rPr>
          <w:rFonts w:ascii="Arial" w:hAnsi="Arial" w:cs="Arial"/>
          <w:i/>
          <w:iCs/>
          <w:szCs w:val="24"/>
        </w:rPr>
        <w:t>Economic Watch: Multinationals tap into China’s booming esports market</w:t>
      </w:r>
      <w:r>
        <w:rPr>
          <w:rFonts w:ascii="Arial" w:hAnsi="Arial" w:cs="Arial"/>
          <w:szCs w:val="24"/>
        </w:rPr>
        <w:t>. Available at: http://www.xinhuanet.com/english/2021-01/31/c_139710787.htm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Yang, J. Y., Huang, H. Y. and Zhang, L. (2014) ‘The present situation, problem, and development countermeasures of the eSports industry in China’, </w:t>
      </w:r>
      <w:r>
        <w:rPr>
          <w:rFonts w:ascii="Arial" w:hAnsi="Arial" w:cs="Arial"/>
          <w:i/>
          <w:iCs/>
          <w:szCs w:val="24"/>
        </w:rPr>
        <w:t>Journal of the Capital University of Physical Education and Sports</w:t>
      </w:r>
      <w:r>
        <w:rPr>
          <w:rFonts w:ascii="Arial" w:hAnsi="Arial" w:cs="Arial"/>
          <w:szCs w:val="24"/>
        </w:rPr>
        <w:t>, 26(3), pp. 201–205.</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YiCai (2017) </w:t>
      </w:r>
      <w:r>
        <w:rPr>
          <w:rFonts w:ascii="Arial" w:hAnsi="Arial" w:cs="Arial"/>
          <w:i/>
          <w:iCs/>
          <w:szCs w:val="24"/>
        </w:rPr>
        <w:t>China’s eSports Will Generate USD182 Million by 2021, Says CNG</w:t>
      </w:r>
      <w:r>
        <w:rPr>
          <w:rFonts w:ascii="Arial" w:hAnsi="Arial" w:cs="Arial"/>
          <w:szCs w:val="24"/>
        </w:rPr>
        <w:t>. Available at: https://www.yicaiglobal.com/news/china-esports-will-generate-usd182-million-by-2021-says-cng (Accessed: 3 May 2021).</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Yu, H. (2018) ‘Game on: The rise of the esports middle Kingdom’, </w:t>
      </w:r>
      <w:r>
        <w:rPr>
          <w:rFonts w:ascii="Arial" w:hAnsi="Arial" w:cs="Arial"/>
          <w:i/>
          <w:iCs/>
          <w:szCs w:val="24"/>
        </w:rPr>
        <w:t>Media Industries Journal</w:t>
      </w:r>
      <w:r>
        <w:rPr>
          <w:rFonts w:ascii="Arial" w:hAnsi="Arial" w:cs="Arial"/>
          <w:szCs w:val="24"/>
        </w:rPr>
        <w:t>. 5(1),pp.23-25.</w:t>
      </w:r>
    </w:p>
    <w:p>
      <w:pPr>
        <w:autoSpaceDE w:val="0"/>
        <w:autoSpaceDN w:val="0"/>
        <w:adjustRightInd w:val="0"/>
        <w:spacing w:before="160" w:after="320" w:line="360" w:lineRule="auto"/>
        <w:rPr>
          <w:rFonts w:ascii="Arial" w:hAnsi="Arial" w:cs="Arial"/>
          <w:szCs w:val="24"/>
        </w:rPr>
      </w:pPr>
      <w:r>
        <w:rPr>
          <w:rFonts w:ascii="Arial" w:hAnsi="Arial" w:cs="Arial"/>
          <w:szCs w:val="24"/>
        </w:rPr>
        <w:t xml:space="preserve">Zhao, Y. and Lin, Z. (2021) ‘Umbrella platform of Tencent eSports industry in China’, </w:t>
      </w:r>
      <w:r>
        <w:rPr>
          <w:rFonts w:ascii="Arial" w:hAnsi="Arial" w:cs="Arial"/>
          <w:i/>
          <w:iCs/>
          <w:szCs w:val="24"/>
        </w:rPr>
        <w:t>Journal of Cultural Economy</w:t>
      </w:r>
      <w:r>
        <w:rPr>
          <w:rFonts w:ascii="Arial" w:hAnsi="Arial" w:cs="Arial"/>
          <w:szCs w:val="24"/>
        </w:rPr>
        <w:t>. 14(1), pp. 9–25.</w:t>
      </w:r>
    </w:p>
    <w:p>
      <w:pPr>
        <w:autoSpaceDE w:val="0"/>
        <w:autoSpaceDN w:val="0"/>
        <w:adjustRightInd w:val="0"/>
        <w:spacing w:before="160" w:after="320" w:line="360" w:lineRule="auto"/>
        <w:rPr>
          <w:rFonts w:ascii="Arial" w:hAnsi="Arial" w:cs="Arial"/>
        </w:rPr>
      </w:pPr>
      <w:r>
        <w:rPr>
          <w:rFonts w:ascii="Arial" w:hAnsi="Arial" w:cs="Arial"/>
          <w:szCs w:val="24"/>
        </w:rPr>
        <w:t xml:space="preserve">Zott, C. and Amit, R. (2010) ‘Business model design: an activity system perspective’, </w:t>
      </w:r>
      <w:r>
        <w:rPr>
          <w:rFonts w:ascii="Arial" w:hAnsi="Arial" w:cs="Arial"/>
          <w:i/>
          <w:iCs/>
          <w:szCs w:val="24"/>
        </w:rPr>
        <w:t>Long Range Planning</w:t>
      </w:r>
      <w:r>
        <w:rPr>
          <w:rFonts w:ascii="Arial" w:hAnsi="Arial" w:cs="Arial"/>
          <w:szCs w:val="24"/>
        </w:rPr>
        <w:t>. 43(2–3), pp. 216–226.</w:t>
      </w:r>
    </w:p>
    <w:p>
      <w:pPr>
        <w:spacing w:before="156" w:beforeLines="50" w:after="312" w:afterLines="100" w:line="360" w:lineRule="auto"/>
        <w:rPr>
          <w:rFonts w:ascii="Arial" w:hAnsi="Arial" w:cs="Arial"/>
        </w:rPr>
      </w:pPr>
      <w:r>
        <w:rPr>
          <w:rFonts w:ascii="Arial" w:hAnsi="Arial" w:cs="Arial"/>
        </w:rPr>
        <w:fldChar w:fldCharType="end"/>
      </w:r>
    </w:p>
    <w:sectPr>
      <w:footerReference r:id="rId6" w:type="default"/>
      <w:pgSz w:w="11906" w:h="16838"/>
      <w:pgMar w:top="1440" w:right="1080" w:bottom="1440" w:left="1080"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Malgun Gothic">
    <w:panose1 w:val="020B0503020000020004"/>
    <w:charset w:val="81"/>
    <w:family w:val="swiss"/>
    <w:pitch w:val="default"/>
    <w:sig w:usb0="9000002F" w:usb1="29D77CFB" w:usb2="00000012" w:usb3="00000000" w:csb0="0008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jc w:val="right"/>
    </w:pPr>
  </w:p>
  <w:p>
    <w:pPr>
      <w:pStyle w:val="1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02209202"/>
      <w:docPartObj>
        <w:docPartGallery w:val="AutoText"/>
      </w:docPartObj>
    </w:sdtPr>
    <w:sdtContent>
      <w:p>
        <w:pPr>
          <w:pStyle w:val="14"/>
          <w:jc w:val="right"/>
        </w:pPr>
        <w:r>
          <w:fldChar w:fldCharType="begin"/>
        </w:r>
        <w:r>
          <w:instrText xml:space="preserve">PAGE   \* MERGEFORMAT</w:instrText>
        </w:r>
        <w:r>
          <w:fldChar w:fldCharType="separate"/>
        </w:r>
        <w:r>
          <w:rPr>
            <w:lang w:val="zh-CN"/>
          </w:rPr>
          <w:t>2</w:t>
        </w:r>
        <w:r>
          <w:fldChar w:fldCharType="end"/>
        </w:r>
      </w:p>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4B6914"/>
    <w:multiLevelType w:val="multilevel"/>
    <w:tmpl w:val="0F4B6914"/>
    <w:lvl w:ilvl="0" w:tentative="0">
      <w:start w:val="1"/>
      <w:numFmt w:val="decimal"/>
      <w:lvlText w:val="%1."/>
      <w:lvlJc w:val="left"/>
      <w:pPr>
        <w:ind w:left="360" w:hanging="360"/>
      </w:pPr>
      <w:rPr>
        <w:rFonts w:hint="default"/>
      </w:rPr>
    </w:lvl>
    <w:lvl w:ilvl="1" w:tentative="0">
      <w:start w:val="1"/>
      <w:numFmt w:val="decimal"/>
      <w:isLgl/>
      <w:lvlText w:val="%1.%2"/>
      <w:lvlJc w:val="left"/>
      <w:pPr>
        <w:ind w:left="528" w:hanging="528"/>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1">
    <w:nsid w:val="2776259A"/>
    <w:multiLevelType w:val="multilevel"/>
    <w:tmpl w:val="2776259A"/>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652A46D9"/>
    <w:multiLevelType w:val="multilevel"/>
    <w:tmpl w:val="652A46D9"/>
    <w:lvl w:ilvl="0" w:tentative="0">
      <w:start w:val="3"/>
      <w:numFmt w:val="decimal"/>
      <w:lvlText w:val="%1"/>
      <w:lvlJc w:val="left"/>
      <w:pPr>
        <w:ind w:left="384" w:hanging="384"/>
      </w:pPr>
      <w:rPr>
        <w:rFonts w:hint="default"/>
      </w:rPr>
    </w:lvl>
    <w:lvl w:ilvl="1" w:tentative="0">
      <w:start w:val="2"/>
      <w:numFmt w:val="decimal"/>
      <w:lvlText w:val="%1.%2"/>
      <w:lvlJc w:val="left"/>
      <w:pPr>
        <w:ind w:left="720" w:hanging="72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440" w:hanging="1440"/>
      </w:pPr>
      <w:rPr>
        <w:rFonts w:hint="default"/>
      </w:rPr>
    </w:lvl>
    <w:lvl w:ilvl="5" w:tentative="0">
      <w:start w:val="1"/>
      <w:numFmt w:val="decimal"/>
      <w:lvlText w:val="%1.%2.%3.%4.%5.%6"/>
      <w:lvlJc w:val="left"/>
      <w:pPr>
        <w:ind w:left="1440" w:hanging="1440"/>
      </w:pPr>
      <w:rPr>
        <w:rFonts w:hint="default"/>
      </w:rPr>
    </w:lvl>
    <w:lvl w:ilvl="6" w:tentative="0">
      <w:start w:val="1"/>
      <w:numFmt w:val="decimal"/>
      <w:lvlText w:val="%1.%2.%3.%4.%5.%6.%7"/>
      <w:lvlJc w:val="left"/>
      <w:pPr>
        <w:ind w:left="1800" w:hanging="1800"/>
      </w:pPr>
      <w:rPr>
        <w:rFonts w:hint="default"/>
      </w:rPr>
    </w:lvl>
    <w:lvl w:ilvl="7" w:tentative="0">
      <w:start w:val="1"/>
      <w:numFmt w:val="decimal"/>
      <w:lvlText w:val="%1.%2.%3.%4.%5.%6.%7.%8"/>
      <w:lvlJc w:val="left"/>
      <w:pPr>
        <w:ind w:left="1800" w:hanging="1800"/>
      </w:pPr>
      <w:rPr>
        <w:rFonts w:hint="default"/>
      </w:rPr>
    </w:lvl>
    <w:lvl w:ilvl="8" w:tentative="0">
      <w:start w:val="1"/>
      <w:numFmt w:val="decimal"/>
      <w:lvlText w:val="%1.%2.%3.%4.%5.%6.%7.%8.%9"/>
      <w:lvlJc w:val="left"/>
      <w:pPr>
        <w:ind w:left="2160" w:hanging="2160"/>
      </w:pPr>
      <w:rPr>
        <w:rFonts w:hint="default"/>
      </w:rPr>
    </w:lvl>
  </w:abstractNum>
  <w:abstractNum w:abstractNumId="3">
    <w:nsid w:val="79CC6744"/>
    <w:multiLevelType w:val="multilevel"/>
    <w:tmpl w:val="79CC6744"/>
    <w:lvl w:ilvl="0" w:tentative="0">
      <w:start w:val="3"/>
      <w:numFmt w:val="bullet"/>
      <w:lvlText w:val="-"/>
      <w:lvlJc w:val="left"/>
      <w:pPr>
        <w:ind w:left="360" w:hanging="360"/>
      </w:pPr>
      <w:rPr>
        <w:rFonts w:hint="default" w:ascii="Arial" w:hAnsi="Arial" w:cs="Arial" w:eastAsiaTheme="minorEastAsia"/>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E2N7Y0MzSzMLEwNrZQ0lEKTi0uzszPAykwrgUASgCSECwAAAA="/>
  </w:docVars>
  <w:rsids>
    <w:rsidRoot w:val="00433AEA"/>
    <w:rsid w:val="000F6A82"/>
    <w:rsid w:val="00106C69"/>
    <w:rsid w:val="00172B65"/>
    <w:rsid w:val="001A38D2"/>
    <w:rsid w:val="001D37AB"/>
    <w:rsid w:val="001E0AA5"/>
    <w:rsid w:val="001F60B5"/>
    <w:rsid w:val="0021060D"/>
    <w:rsid w:val="00212CFD"/>
    <w:rsid w:val="00214BD2"/>
    <w:rsid w:val="00275D91"/>
    <w:rsid w:val="00285045"/>
    <w:rsid w:val="002E494C"/>
    <w:rsid w:val="002E55F2"/>
    <w:rsid w:val="00350790"/>
    <w:rsid w:val="00366110"/>
    <w:rsid w:val="00392528"/>
    <w:rsid w:val="00396C0D"/>
    <w:rsid w:val="003E0F46"/>
    <w:rsid w:val="003E403F"/>
    <w:rsid w:val="00410DDE"/>
    <w:rsid w:val="00430B96"/>
    <w:rsid w:val="004318D5"/>
    <w:rsid w:val="00433AEA"/>
    <w:rsid w:val="00434A7A"/>
    <w:rsid w:val="00440BB2"/>
    <w:rsid w:val="00453825"/>
    <w:rsid w:val="004B1935"/>
    <w:rsid w:val="004D242F"/>
    <w:rsid w:val="004E45A9"/>
    <w:rsid w:val="00531799"/>
    <w:rsid w:val="005804D4"/>
    <w:rsid w:val="005B24AB"/>
    <w:rsid w:val="005C369C"/>
    <w:rsid w:val="005E0548"/>
    <w:rsid w:val="00605639"/>
    <w:rsid w:val="006235A6"/>
    <w:rsid w:val="007143AA"/>
    <w:rsid w:val="00721B51"/>
    <w:rsid w:val="00743A24"/>
    <w:rsid w:val="007734E5"/>
    <w:rsid w:val="0078265C"/>
    <w:rsid w:val="0078300C"/>
    <w:rsid w:val="007E539E"/>
    <w:rsid w:val="007F35D2"/>
    <w:rsid w:val="007F7494"/>
    <w:rsid w:val="00850D5B"/>
    <w:rsid w:val="008559FC"/>
    <w:rsid w:val="008B5CCE"/>
    <w:rsid w:val="008C1880"/>
    <w:rsid w:val="00974875"/>
    <w:rsid w:val="009A1D15"/>
    <w:rsid w:val="009B5017"/>
    <w:rsid w:val="009E3384"/>
    <w:rsid w:val="009E52E3"/>
    <w:rsid w:val="009F777F"/>
    <w:rsid w:val="00A05B13"/>
    <w:rsid w:val="00A11360"/>
    <w:rsid w:val="00A144D6"/>
    <w:rsid w:val="00A6445B"/>
    <w:rsid w:val="00A711C9"/>
    <w:rsid w:val="00AE73AA"/>
    <w:rsid w:val="00B07DA0"/>
    <w:rsid w:val="00B4228A"/>
    <w:rsid w:val="00B52139"/>
    <w:rsid w:val="00B52D19"/>
    <w:rsid w:val="00B53B06"/>
    <w:rsid w:val="00B850B5"/>
    <w:rsid w:val="00BA156D"/>
    <w:rsid w:val="00BA1D71"/>
    <w:rsid w:val="00BB19D0"/>
    <w:rsid w:val="00BD59CA"/>
    <w:rsid w:val="00BE3AD8"/>
    <w:rsid w:val="00C00A6B"/>
    <w:rsid w:val="00C17D4A"/>
    <w:rsid w:val="00C95C15"/>
    <w:rsid w:val="00CB1A4C"/>
    <w:rsid w:val="00CE3DCD"/>
    <w:rsid w:val="00D25FFD"/>
    <w:rsid w:val="00D53E62"/>
    <w:rsid w:val="00D67125"/>
    <w:rsid w:val="00D8329F"/>
    <w:rsid w:val="00DC48ED"/>
    <w:rsid w:val="00DD6105"/>
    <w:rsid w:val="00DF3B7D"/>
    <w:rsid w:val="00E03E86"/>
    <w:rsid w:val="00E43F60"/>
    <w:rsid w:val="00E46CB8"/>
    <w:rsid w:val="00E853DA"/>
    <w:rsid w:val="00EA1703"/>
    <w:rsid w:val="00EA2D0E"/>
    <w:rsid w:val="00F000F5"/>
    <w:rsid w:val="00F1717A"/>
    <w:rsid w:val="00F277CC"/>
    <w:rsid w:val="00F625D8"/>
    <w:rsid w:val="00F84E5C"/>
    <w:rsid w:val="00F8661C"/>
    <w:rsid w:val="00F903E1"/>
    <w:rsid w:val="00FA363D"/>
    <w:rsid w:val="00FF52C4"/>
    <w:rsid w:val="306009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qFormat="1" w:uiPriority="99" w:semiHidden="0" w:name="header"/>
    <w:lsdException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zh-CN" w:bidi="ar-SA"/>
    </w:rPr>
  </w:style>
  <w:style w:type="paragraph" w:styleId="2">
    <w:name w:val="heading 1"/>
    <w:basedOn w:val="1"/>
    <w:next w:val="1"/>
    <w:link w:val="28"/>
    <w:qFormat/>
    <w:uiPriority w:val="9"/>
    <w:pPr>
      <w:keepNext/>
      <w:keepLines/>
      <w:spacing w:before="240" w:after="0"/>
      <w:outlineLvl w:val="0"/>
    </w:pPr>
    <w:rPr>
      <w:rFonts w:asciiTheme="majorHAnsi" w:hAnsiTheme="majorHAnsi" w:eastAsiaTheme="majorEastAsia" w:cstheme="majorBidi"/>
      <w:color w:val="276F8B" w:themeColor="accent1" w:themeShade="BF"/>
      <w:sz w:val="32"/>
      <w:szCs w:val="32"/>
    </w:rPr>
  </w:style>
  <w:style w:type="paragraph" w:styleId="3">
    <w:name w:val="heading 2"/>
    <w:basedOn w:val="1"/>
    <w:next w:val="1"/>
    <w:link w:val="29"/>
    <w:unhideWhenUsed/>
    <w:qFormat/>
    <w:uiPriority w:val="9"/>
    <w:pPr>
      <w:keepNext/>
      <w:keepLines/>
      <w:spacing w:before="40" w:after="0"/>
      <w:outlineLvl w:val="1"/>
    </w:pPr>
    <w:rPr>
      <w:rFonts w:asciiTheme="majorHAnsi" w:hAnsiTheme="majorHAnsi" w:eastAsiaTheme="majorEastAsia" w:cstheme="majorBidi"/>
      <w:color w:val="276F8B" w:themeColor="accent1" w:themeShade="BF"/>
      <w:sz w:val="28"/>
      <w:szCs w:val="28"/>
    </w:rPr>
  </w:style>
  <w:style w:type="paragraph" w:styleId="4">
    <w:name w:val="heading 3"/>
    <w:basedOn w:val="1"/>
    <w:next w:val="1"/>
    <w:link w:val="30"/>
    <w:unhideWhenUsed/>
    <w:qFormat/>
    <w:uiPriority w:val="9"/>
    <w:pPr>
      <w:keepNext/>
      <w:keepLines/>
      <w:spacing w:before="40" w:after="0"/>
      <w:outlineLvl w:val="2"/>
    </w:pPr>
    <w:rPr>
      <w:rFonts w:asciiTheme="majorHAnsi" w:hAnsiTheme="majorHAnsi" w:eastAsiaTheme="majorEastAsia" w:cstheme="majorBidi"/>
      <w:color w:val="1A4A5D" w:themeColor="accent1" w:themeShade="80"/>
      <w:sz w:val="24"/>
      <w:szCs w:val="24"/>
    </w:rPr>
  </w:style>
  <w:style w:type="paragraph" w:styleId="5">
    <w:name w:val="heading 4"/>
    <w:basedOn w:val="1"/>
    <w:next w:val="1"/>
    <w:link w:val="31"/>
    <w:semiHidden/>
    <w:unhideWhenUsed/>
    <w:qFormat/>
    <w:uiPriority w:val="9"/>
    <w:pPr>
      <w:keepNext/>
      <w:keepLines/>
      <w:spacing w:before="40" w:after="0"/>
      <w:outlineLvl w:val="3"/>
    </w:pPr>
    <w:rPr>
      <w:i/>
      <w:iCs/>
    </w:rPr>
  </w:style>
  <w:style w:type="paragraph" w:styleId="6">
    <w:name w:val="heading 5"/>
    <w:basedOn w:val="1"/>
    <w:next w:val="1"/>
    <w:link w:val="32"/>
    <w:semiHidden/>
    <w:unhideWhenUsed/>
    <w:qFormat/>
    <w:uiPriority w:val="9"/>
    <w:pPr>
      <w:keepNext/>
      <w:keepLines/>
      <w:spacing w:before="40" w:after="0"/>
      <w:outlineLvl w:val="4"/>
    </w:pPr>
    <w:rPr>
      <w:color w:val="276F8B" w:themeColor="accent1" w:themeShade="BF"/>
    </w:rPr>
  </w:style>
  <w:style w:type="paragraph" w:styleId="7">
    <w:name w:val="heading 6"/>
    <w:basedOn w:val="1"/>
    <w:next w:val="1"/>
    <w:link w:val="33"/>
    <w:semiHidden/>
    <w:unhideWhenUsed/>
    <w:qFormat/>
    <w:uiPriority w:val="9"/>
    <w:pPr>
      <w:keepNext/>
      <w:keepLines/>
      <w:spacing w:before="40" w:after="0"/>
      <w:outlineLvl w:val="5"/>
    </w:pPr>
    <w:rPr>
      <w:color w:val="1A4A5D" w:themeColor="accent1" w:themeShade="80"/>
    </w:rPr>
  </w:style>
  <w:style w:type="paragraph" w:styleId="8">
    <w:name w:val="heading 7"/>
    <w:basedOn w:val="1"/>
    <w:next w:val="1"/>
    <w:link w:val="34"/>
    <w:semiHidden/>
    <w:unhideWhenUsed/>
    <w:qFormat/>
    <w:uiPriority w:val="9"/>
    <w:pPr>
      <w:keepNext/>
      <w:keepLines/>
      <w:spacing w:before="40" w:after="0"/>
      <w:outlineLvl w:val="6"/>
    </w:pPr>
    <w:rPr>
      <w:rFonts w:asciiTheme="majorHAnsi" w:hAnsiTheme="majorHAnsi" w:eastAsiaTheme="majorEastAsia" w:cstheme="majorBidi"/>
      <w:i/>
      <w:iCs/>
      <w:color w:val="1A4A5D" w:themeColor="accent1" w:themeShade="80"/>
    </w:rPr>
  </w:style>
  <w:style w:type="paragraph" w:styleId="9">
    <w:name w:val="heading 8"/>
    <w:basedOn w:val="1"/>
    <w:next w:val="1"/>
    <w:link w:val="35"/>
    <w:semiHidden/>
    <w:unhideWhenUsed/>
    <w:qFormat/>
    <w:uiPriority w:val="9"/>
    <w:pPr>
      <w:keepNext/>
      <w:keepLines/>
      <w:spacing w:before="40" w:after="0"/>
      <w:outlineLvl w:val="7"/>
    </w:pPr>
    <w:rPr>
      <w:color w:val="262626" w:themeColor="text1" w:themeTint="D9"/>
      <w:sz w:val="21"/>
      <w:szCs w:val="21"/>
      <w14:textFill>
        <w14:solidFill>
          <w14:schemeClr w14:val="tx1">
            <w14:lumMod w14:val="85000"/>
            <w14:lumOff w14:val="15000"/>
          </w14:schemeClr>
        </w14:solidFill>
      </w14:textFill>
    </w:rPr>
  </w:style>
  <w:style w:type="paragraph" w:styleId="10">
    <w:name w:val="heading 9"/>
    <w:basedOn w:val="1"/>
    <w:next w:val="1"/>
    <w:link w:val="36"/>
    <w:semiHidden/>
    <w:unhideWhenUsed/>
    <w:qFormat/>
    <w:uiPriority w:val="9"/>
    <w:pPr>
      <w:keepNext/>
      <w:keepLines/>
      <w:spacing w:before="40" w:after="0"/>
      <w:outlineLvl w:val="8"/>
    </w:pPr>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default="1" w:styleId="23">
    <w:name w:val="Default Paragraph Font"/>
    <w:semiHidden/>
    <w:unhideWhenUsed/>
    <w:uiPriority w:val="1"/>
  </w:style>
  <w:style w:type="table" w:default="1" w:styleId="22">
    <w:name w:val="Normal Table"/>
    <w:semiHidden/>
    <w:unhideWhenUsed/>
    <w:uiPriority w:val="99"/>
    <w:tblPr>
      <w:tblCellMar>
        <w:top w:w="0" w:type="dxa"/>
        <w:left w:w="108" w:type="dxa"/>
        <w:bottom w:w="0" w:type="dxa"/>
        <w:right w:w="108" w:type="dxa"/>
      </w:tblCellMar>
    </w:tblPr>
  </w:style>
  <w:style w:type="paragraph" w:styleId="11">
    <w:name w:val="caption"/>
    <w:basedOn w:val="1"/>
    <w:next w:val="1"/>
    <w:unhideWhenUsed/>
    <w:qFormat/>
    <w:uiPriority w:val="35"/>
    <w:pPr>
      <w:spacing w:after="200" w:line="240" w:lineRule="auto"/>
    </w:pPr>
    <w:rPr>
      <w:i/>
      <w:iCs/>
      <w:color w:val="373545" w:themeColor="text2"/>
      <w:sz w:val="18"/>
      <w:szCs w:val="18"/>
      <w14:textFill>
        <w14:solidFill>
          <w14:schemeClr w14:val="tx2"/>
        </w14:solidFill>
      </w14:textFill>
    </w:rPr>
  </w:style>
  <w:style w:type="paragraph" w:styleId="12">
    <w:name w:val="annotation text"/>
    <w:basedOn w:val="1"/>
    <w:link w:val="51"/>
    <w:unhideWhenUsed/>
    <w:uiPriority w:val="99"/>
  </w:style>
  <w:style w:type="paragraph" w:styleId="13">
    <w:name w:val="toc 3"/>
    <w:basedOn w:val="1"/>
    <w:next w:val="1"/>
    <w:unhideWhenUsed/>
    <w:qFormat/>
    <w:uiPriority w:val="39"/>
    <w:pPr>
      <w:ind w:left="840" w:leftChars="400"/>
    </w:pPr>
  </w:style>
  <w:style w:type="paragraph" w:styleId="14">
    <w:name w:val="footer"/>
    <w:basedOn w:val="1"/>
    <w:link w:val="54"/>
    <w:unhideWhenUsed/>
    <w:uiPriority w:val="99"/>
    <w:pPr>
      <w:tabs>
        <w:tab w:val="center" w:pos="4153"/>
        <w:tab w:val="right" w:pos="8306"/>
      </w:tabs>
      <w:snapToGrid w:val="0"/>
      <w:spacing w:line="240" w:lineRule="auto"/>
    </w:pPr>
    <w:rPr>
      <w:sz w:val="18"/>
      <w:szCs w:val="18"/>
    </w:rPr>
  </w:style>
  <w:style w:type="paragraph" w:styleId="15">
    <w:name w:val="header"/>
    <w:basedOn w:val="1"/>
    <w:link w:val="53"/>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6">
    <w:name w:val="toc 1"/>
    <w:basedOn w:val="1"/>
    <w:next w:val="1"/>
    <w:unhideWhenUsed/>
    <w:qFormat/>
    <w:uiPriority w:val="39"/>
  </w:style>
  <w:style w:type="paragraph" w:styleId="17">
    <w:name w:val="Subtitle"/>
    <w:basedOn w:val="1"/>
    <w:next w:val="1"/>
    <w:link w:val="38"/>
    <w:qFormat/>
    <w:uiPriority w:val="11"/>
    <w:rPr>
      <w:color w:val="595959" w:themeColor="text1" w:themeTint="A6"/>
      <w:spacing w:val="15"/>
      <w14:textFill>
        <w14:solidFill>
          <w14:schemeClr w14:val="tx1">
            <w14:lumMod w14:val="65000"/>
            <w14:lumOff w14:val="35000"/>
          </w14:schemeClr>
        </w14:solidFill>
      </w14:textFill>
    </w:rPr>
  </w:style>
  <w:style w:type="paragraph" w:styleId="18">
    <w:name w:val="table of figures"/>
    <w:basedOn w:val="1"/>
    <w:next w:val="1"/>
    <w:unhideWhenUsed/>
    <w:qFormat/>
    <w:uiPriority w:val="99"/>
    <w:pPr>
      <w:spacing w:after="0"/>
      <w:ind w:left="440" w:hanging="440"/>
    </w:pPr>
    <w:rPr>
      <w:rFonts w:eastAsiaTheme="minorHAnsi"/>
      <w:smallCaps/>
      <w:sz w:val="20"/>
      <w:szCs w:val="20"/>
    </w:rPr>
  </w:style>
  <w:style w:type="paragraph" w:styleId="19">
    <w:name w:val="toc 2"/>
    <w:basedOn w:val="1"/>
    <w:next w:val="1"/>
    <w:unhideWhenUsed/>
    <w:qFormat/>
    <w:uiPriority w:val="39"/>
    <w:pPr>
      <w:ind w:left="420" w:leftChars="200"/>
    </w:pPr>
  </w:style>
  <w:style w:type="paragraph" w:styleId="20">
    <w:name w:val="Title"/>
    <w:basedOn w:val="1"/>
    <w:next w:val="1"/>
    <w:link w:val="37"/>
    <w:qFormat/>
    <w:uiPriority w:val="10"/>
    <w:pPr>
      <w:spacing w:after="0" w:line="240" w:lineRule="auto"/>
      <w:contextualSpacing/>
    </w:pPr>
    <w:rPr>
      <w:rFonts w:asciiTheme="majorHAnsi" w:hAnsiTheme="majorHAnsi" w:eastAsiaTheme="majorEastAsia" w:cstheme="majorBidi"/>
      <w:spacing w:val="-10"/>
      <w:sz w:val="56"/>
      <w:szCs w:val="56"/>
    </w:rPr>
  </w:style>
  <w:style w:type="paragraph" w:styleId="21">
    <w:name w:val="annotation subject"/>
    <w:basedOn w:val="12"/>
    <w:next w:val="12"/>
    <w:link w:val="52"/>
    <w:semiHidden/>
    <w:unhideWhenUsed/>
    <w:uiPriority w:val="99"/>
    <w:rPr>
      <w:b/>
      <w:bCs/>
    </w:rPr>
  </w:style>
  <w:style w:type="character" w:styleId="24">
    <w:name w:val="Strong"/>
    <w:basedOn w:val="23"/>
    <w:qFormat/>
    <w:uiPriority w:val="22"/>
    <w:rPr>
      <w:b/>
      <w:bCs/>
      <w:color w:val="auto"/>
    </w:rPr>
  </w:style>
  <w:style w:type="character" w:styleId="25">
    <w:name w:val="Emphasis"/>
    <w:basedOn w:val="23"/>
    <w:qFormat/>
    <w:uiPriority w:val="20"/>
    <w:rPr>
      <w:i/>
      <w:iCs/>
      <w:color w:val="auto"/>
    </w:rPr>
  </w:style>
  <w:style w:type="character" w:styleId="26">
    <w:name w:val="Hyperlink"/>
    <w:basedOn w:val="23"/>
    <w:unhideWhenUsed/>
    <w:uiPriority w:val="99"/>
    <w:rPr>
      <w:color w:val="6B9F25" w:themeColor="hyperlink"/>
      <w:u w:val="single"/>
      <w14:textFill>
        <w14:solidFill>
          <w14:schemeClr w14:val="hlink"/>
        </w14:solidFill>
      </w14:textFill>
    </w:rPr>
  </w:style>
  <w:style w:type="character" w:styleId="27">
    <w:name w:val="annotation reference"/>
    <w:basedOn w:val="23"/>
    <w:semiHidden/>
    <w:unhideWhenUsed/>
    <w:uiPriority w:val="99"/>
    <w:rPr>
      <w:sz w:val="21"/>
      <w:szCs w:val="21"/>
    </w:rPr>
  </w:style>
  <w:style w:type="character" w:customStyle="1" w:styleId="28">
    <w:name w:val="标题 1 字符"/>
    <w:basedOn w:val="23"/>
    <w:link w:val="2"/>
    <w:qFormat/>
    <w:uiPriority w:val="9"/>
    <w:rPr>
      <w:rFonts w:asciiTheme="majorHAnsi" w:hAnsiTheme="majorHAnsi" w:eastAsiaTheme="majorEastAsia" w:cstheme="majorBidi"/>
      <w:color w:val="276F8B" w:themeColor="accent1" w:themeShade="BF"/>
      <w:sz w:val="32"/>
      <w:szCs w:val="32"/>
    </w:rPr>
  </w:style>
  <w:style w:type="character" w:customStyle="1" w:styleId="29">
    <w:name w:val="标题 2 字符"/>
    <w:basedOn w:val="23"/>
    <w:link w:val="3"/>
    <w:qFormat/>
    <w:uiPriority w:val="9"/>
    <w:rPr>
      <w:rFonts w:asciiTheme="majorHAnsi" w:hAnsiTheme="majorHAnsi" w:eastAsiaTheme="majorEastAsia" w:cstheme="majorBidi"/>
      <w:color w:val="276F8B" w:themeColor="accent1" w:themeShade="BF"/>
      <w:sz w:val="28"/>
      <w:szCs w:val="28"/>
    </w:rPr>
  </w:style>
  <w:style w:type="character" w:customStyle="1" w:styleId="30">
    <w:name w:val="标题 3 字符"/>
    <w:basedOn w:val="23"/>
    <w:link w:val="4"/>
    <w:qFormat/>
    <w:uiPriority w:val="9"/>
    <w:rPr>
      <w:rFonts w:asciiTheme="majorHAnsi" w:hAnsiTheme="majorHAnsi" w:eastAsiaTheme="majorEastAsia" w:cstheme="majorBidi"/>
      <w:color w:val="1A4A5D" w:themeColor="accent1" w:themeShade="80"/>
      <w:sz w:val="24"/>
      <w:szCs w:val="24"/>
    </w:rPr>
  </w:style>
  <w:style w:type="character" w:customStyle="1" w:styleId="31">
    <w:name w:val="标题 4 字符"/>
    <w:basedOn w:val="23"/>
    <w:link w:val="5"/>
    <w:semiHidden/>
    <w:uiPriority w:val="9"/>
    <w:rPr>
      <w:i/>
      <w:iCs/>
    </w:rPr>
  </w:style>
  <w:style w:type="character" w:customStyle="1" w:styleId="32">
    <w:name w:val="标题 5 字符"/>
    <w:basedOn w:val="23"/>
    <w:link w:val="6"/>
    <w:semiHidden/>
    <w:uiPriority w:val="9"/>
    <w:rPr>
      <w:color w:val="276F8B" w:themeColor="accent1" w:themeShade="BF"/>
    </w:rPr>
  </w:style>
  <w:style w:type="character" w:customStyle="1" w:styleId="33">
    <w:name w:val="标题 6 字符"/>
    <w:basedOn w:val="23"/>
    <w:link w:val="7"/>
    <w:semiHidden/>
    <w:qFormat/>
    <w:uiPriority w:val="9"/>
    <w:rPr>
      <w:color w:val="1A4A5D" w:themeColor="accent1" w:themeShade="80"/>
    </w:rPr>
  </w:style>
  <w:style w:type="character" w:customStyle="1" w:styleId="34">
    <w:name w:val="标题 7 字符"/>
    <w:basedOn w:val="23"/>
    <w:link w:val="8"/>
    <w:semiHidden/>
    <w:uiPriority w:val="9"/>
    <w:rPr>
      <w:rFonts w:asciiTheme="majorHAnsi" w:hAnsiTheme="majorHAnsi" w:eastAsiaTheme="majorEastAsia" w:cstheme="majorBidi"/>
      <w:i/>
      <w:iCs/>
      <w:color w:val="1A4A5D" w:themeColor="accent1" w:themeShade="80"/>
    </w:rPr>
  </w:style>
  <w:style w:type="character" w:customStyle="1" w:styleId="35">
    <w:name w:val="标题 8 字符"/>
    <w:basedOn w:val="23"/>
    <w:link w:val="9"/>
    <w:semiHidden/>
    <w:qFormat/>
    <w:uiPriority w:val="9"/>
    <w:rPr>
      <w:color w:val="262626" w:themeColor="text1" w:themeTint="D9"/>
      <w:sz w:val="21"/>
      <w:szCs w:val="21"/>
      <w14:textFill>
        <w14:solidFill>
          <w14:schemeClr w14:val="tx1">
            <w14:lumMod w14:val="85000"/>
            <w14:lumOff w14:val="15000"/>
          </w14:schemeClr>
        </w14:solidFill>
      </w14:textFill>
    </w:rPr>
  </w:style>
  <w:style w:type="character" w:customStyle="1" w:styleId="36">
    <w:name w:val="标题 9 字符"/>
    <w:basedOn w:val="23"/>
    <w:link w:val="10"/>
    <w:semiHidden/>
    <w:qFormat/>
    <w:uiPriority w:val="9"/>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customStyle="1" w:styleId="37">
    <w:name w:val="标题 字符"/>
    <w:basedOn w:val="23"/>
    <w:link w:val="20"/>
    <w:uiPriority w:val="10"/>
    <w:rPr>
      <w:rFonts w:asciiTheme="majorHAnsi" w:hAnsiTheme="majorHAnsi" w:eastAsiaTheme="majorEastAsia" w:cstheme="majorBidi"/>
      <w:spacing w:val="-10"/>
      <w:sz w:val="56"/>
      <w:szCs w:val="56"/>
    </w:rPr>
  </w:style>
  <w:style w:type="character" w:customStyle="1" w:styleId="38">
    <w:name w:val="副标题 字符"/>
    <w:basedOn w:val="23"/>
    <w:link w:val="17"/>
    <w:qFormat/>
    <w:uiPriority w:val="11"/>
    <w:rPr>
      <w:color w:val="595959" w:themeColor="text1" w:themeTint="A6"/>
      <w:spacing w:val="15"/>
      <w14:textFill>
        <w14:solidFill>
          <w14:schemeClr w14:val="tx1">
            <w14:lumMod w14:val="65000"/>
            <w14:lumOff w14:val="35000"/>
          </w14:schemeClr>
        </w14:solidFill>
      </w14:textFill>
    </w:rPr>
  </w:style>
  <w:style w:type="paragraph" w:styleId="39">
    <w:name w:val="No Spacing"/>
    <w:qFormat/>
    <w:uiPriority w:val="1"/>
    <w:pPr>
      <w:spacing w:after="0" w:line="240" w:lineRule="auto"/>
    </w:pPr>
    <w:rPr>
      <w:rFonts w:asciiTheme="minorHAnsi" w:hAnsiTheme="minorHAnsi" w:eastAsiaTheme="minorEastAsia" w:cstheme="minorBidi"/>
      <w:sz w:val="22"/>
      <w:szCs w:val="22"/>
      <w:lang w:val="en-US" w:eastAsia="zh-CN" w:bidi="ar-SA"/>
    </w:rPr>
  </w:style>
  <w:style w:type="paragraph" w:styleId="40">
    <w:name w:val="Quote"/>
    <w:basedOn w:val="1"/>
    <w:next w:val="1"/>
    <w:link w:val="41"/>
    <w:qFormat/>
    <w:uiPriority w:val="29"/>
    <w:pPr>
      <w:spacing w:before="200"/>
      <w:ind w:left="864" w:right="864"/>
    </w:pPr>
    <w:rPr>
      <w:i/>
      <w:iCs/>
      <w:color w:val="404040" w:themeColor="text1" w:themeTint="BF"/>
      <w14:textFill>
        <w14:solidFill>
          <w14:schemeClr w14:val="tx1">
            <w14:lumMod w14:val="75000"/>
            <w14:lumOff w14:val="25000"/>
          </w14:schemeClr>
        </w14:solidFill>
      </w14:textFill>
    </w:rPr>
  </w:style>
  <w:style w:type="character" w:customStyle="1" w:styleId="41">
    <w:name w:val="引用 字符"/>
    <w:basedOn w:val="23"/>
    <w:link w:val="40"/>
    <w:uiPriority w:val="29"/>
    <w:rPr>
      <w:i/>
      <w:iCs/>
      <w:color w:val="404040" w:themeColor="text1" w:themeTint="BF"/>
      <w14:textFill>
        <w14:solidFill>
          <w14:schemeClr w14:val="tx1">
            <w14:lumMod w14:val="75000"/>
            <w14:lumOff w14:val="25000"/>
          </w14:schemeClr>
        </w14:solidFill>
      </w14:textFill>
    </w:rPr>
  </w:style>
  <w:style w:type="paragraph" w:styleId="42">
    <w:name w:val="Intense Quote"/>
    <w:basedOn w:val="1"/>
    <w:next w:val="1"/>
    <w:link w:val="43"/>
    <w:qFormat/>
    <w:uiPriority w:val="30"/>
    <w:pPr>
      <w:pBdr>
        <w:top w:val="single" w:color="3494BA" w:themeColor="accent1" w:sz="4" w:space="10"/>
        <w:bottom w:val="single" w:color="3494BA" w:themeColor="accent1" w:sz="4" w:space="10"/>
      </w:pBdr>
      <w:spacing w:before="360" w:after="360"/>
      <w:ind w:left="864" w:right="864"/>
      <w:jc w:val="center"/>
    </w:pPr>
    <w:rPr>
      <w:i/>
      <w:iCs/>
      <w:color w:val="3494BA" w:themeColor="accent1"/>
      <w14:textFill>
        <w14:solidFill>
          <w14:schemeClr w14:val="accent1"/>
        </w14:solidFill>
      </w14:textFill>
    </w:rPr>
  </w:style>
  <w:style w:type="character" w:customStyle="1" w:styleId="43">
    <w:name w:val="明显引用 字符"/>
    <w:basedOn w:val="23"/>
    <w:link w:val="42"/>
    <w:uiPriority w:val="30"/>
    <w:rPr>
      <w:i/>
      <w:iCs/>
      <w:color w:val="3494BA" w:themeColor="accent1"/>
      <w14:textFill>
        <w14:solidFill>
          <w14:schemeClr w14:val="accent1"/>
        </w14:solidFill>
      </w14:textFill>
    </w:rPr>
  </w:style>
  <w:style w:type="character" w:customStyle="1" w:styleId="44">
    <w:name w:val="Subtle Emphasis"/>
    <w:basedOn w:val="23"/>
    <w:qFormat/>
    <w:uiPriority w:val="19"/>
    <w:rPr>
      <w:i/>
      <w:iCs/>
      <w:color w:val="404040" w:themeColor="text1" w:themeTint="BF"/>
      <w14:textFill>
        <w14:solidFill>
          <w14:schemeClr w14:val="tx1">
            <w14:lumMod w14:val="75000"/>
            <w14:lumOff w14:val="25000"/>
          </w14:schemeClr>
        </w14:solidFill>
      </w14:textFill>
    </w:rPr>
  </w:style>
  <w:style w:type="character" w:customStyle="1" w:styleId="45">
    <w:name w:val="Intense Emphasis"/>
    <w:basedOn w:val="23"/>
    <w:qFormat/>
    <w:uiPriority w:val="21"/>
    <w:rPr>
      <w:i/>
      <w:iCs/>
      <w:color w:val="3494BA" w:themeColor="accent1"/>
      <w14:textFill>
        <w14:solidFill>
          <w14:schemeClr w14:val="accent1"/>
        </w14:solidFill>
      </w14:textFill>
    </w:rPr>
  </w:style>
  <w:style w:type="character" w:customStyle="1" w:styleId="46">
    <w:name w:val="Subtle Reference"/>
    <w:basedOn w:val="23"/>
    <w:qFormat/>
    <w:uiPriority w:val="31"/>
    <w:rPr>
      <w:smallCaps/>
      <w:color w:val="404040" w:themeColor="text1" w:themeTint="BF"/>
      <w14:textFill>
        <w14:solidFill>
          <w14:schemeClr w14:val="tx1">
            <w14:lumMod w14:val="75000"/>
            <w14:lumOff w14:val="25000"/>
          </w14:schemeClr>
        </w14:solidFill>
      </w14:textFill>
    </w:rPr>
  </w:style>
  <w:style w:type="character" w:customStyle="1" w:styleId="47">
    <w:name w:val="Intense Reference"/>
    <w:basedOn w:val="23"/>
    <w:qFormat/>
    <w:uiPriority w:val="32"/>
    <w:rPr>
      <w:b/>
      <w:bCs/>
      <w:smallCaps/>
      <w:color w:val="3494BA" w:themeColor="accent1"/>
      <w:spacing w:val="5"/>
      <w14:textFill>
        <w14:solidFill>
          <w14:schemeClr w14:val="accent1"/>
        </w14:solidFill>
      </w14:textFill>
    </w:rPr>
  </w:style>
  <w:style w:type="character" w:customStyle="1" w:styleId="48">
    <w:name w:val="Book Title"/>
    <w:basedOn w:val="23"/>
    <w:qFormat/>
    <w:uiPriority w:val="33"/>
    <w:rPr>
      <w:b/>
      <w:bCs/>
      <w:i/>
      <w:iCs/>
      <w:spacing w:val="5"/>
    </w:rPr>
  </w:style>
  <w:style w:type="paragraph" w:customStyle="1" w:styleId="49">
    <w:name w:val="TOC Heading"/>
    <w:basedOn w:val="2"/>
    <w:next w:val="1"/>
    <w:unhideWhenUsed/>
    <w:qFormat/>
    <w:uiPriority w:val="39"/>
    <w:pPr>
      <w:outlineLvl w:val="9"/>
    </w:pPr>
  </w:style>
  <w:style w:type="paragraph" w:styleId="50">
    <w:name w:val="List Paragraph"/>
    <w:basedOn w:val="1"/>
    <w:qFormat/>
    <w:uiPriority w:val="34"/>
    <w:pPr>
      <w:ind w:firstLine="420" w:firstLineChars="200"/>
    </w:pPr>
  </w:style>
  <w:style w:type="character" w:customStyle="1" w:styleId="51">
    <w:name w:val="批注文字 字符"/>
    <w:basedOn w:val="23"/>
    <w:link w:val="12"/>
    <w:uiPriority w:val="99"/>
  </w:style>
  <w:style w:type="character" w:customStyle="1" w:styleId="52">
    <w:name w:val="批注主题 字符"/>
    <w:basedOn w:val="51"/>
    <w:link w:val="21"/>
    <w:semiHidden/>
    <w:uiPriority w:val="99"/>
    <w:rPr>
      <w:b/>
      <w:bCs/>
    </w:rPr>
  </w:style>
  <w:style w:type="character" w:customStyle="1" w:styleId="53">
    <w:name w:val="页眉 字符"/>
    <w:basedOn w:val="23"/>
    <w:link w:val="15"/>
    <w:uiPriority w:val="99"/>
    <w:rPr>
      <w:sz w:val="18"/>
      <w:szCs w:val="18"/>
    </w:rPr>
  </w:style>
  <w:style w:type="character" w:customStyle="1" w:styleId="54">
    <w:name w:val="页脚 字符"/>
    <w:basedOn w:val="23"/>
    <w:link w:val="14"/>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4" Type="http://schemas.openxmlformats.org/officeDocument/2006/relationships/fontTable" Target="fontTable.xml"/><Relationship Id="rId23" Type="http://schemas.openxmlformats.org/officeDocument/2006/relationships/customXml" Target="../customXml/item2.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2.sv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png"/><Relationship Id="rId17" Type="http://schemas.openxmlformats.org/officeDocument/2006/relationships/image" Target="media/image9.emf"/><Relationship Id="rId16" Type="http://schemas.openxmlformats.org/officeDocument/2006/relationships/image" Target="media/image8.emf"/><Relationship Id="rId15" Type="http://schemas.openxmlformats.org/officeDocument/2006/relationships/image" Target="media/image7.jpe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1.sv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蓝绿色">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A9E4BBB-D9F2-49F2-AF10-FF5E1DDF578B}">
  <ds:schemaRefs/>
</ds:datastoreItem>
</file>

<file path=docProps/app.xml><?xml version="1.0" encoding="utf-8"?>
<Properties xmlns="http://schemas.openxmlformats.org/officeDocument/2006/extended-properties" xmlns:vt="http://schemas.openxmlformats.org/officeDocument/2006/docPropsVTypes">
  <Template>Normal.dotm</Template>
  <Pages>43</Pages>
  <Words>26864</Words>
  <Characters>153127</Characters>
  <Lines>1276</Lines>
  <Paragraphs>359</Paragraphs>
  <TotalTime>11</TotalTime>
  <ScaleCrop>false</ScaleCrop>
  <LinksUpToDate>false</LinksUpToDate>
  <CharactersWithSpaces>179632</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2021-05-11T12:48:00Z</dcterms:created>
  <dc:creator>admin admin</dc:creator>
  <cp:lastModifiedBy>Administrator</cp:lastModifiedBy>
  <dcterms:modified xsi:type="dcterms:W3CDTF">2021-05-11T18:40:36Z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http://www.zotero.org/styles/harvard-university-of-leeds</vt:lpwstr>
  </property>
  <property fmtid="{D5CDD505-2E9C-101B-9397-08002B2CF9AE}" pid="21" name="Mendeley Recent Style Name 9_1">
    <vt:lpwstr>University of Leeds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2052-11.1.0.10495</vt:lpwstr>
  </property>
  <property fmtid="{D5CDD505-2E9C-101B-9397-08002B2CF9AE}" pid="26" name="ICV">
    <vt:lpwstr>93F85510F75547DDAB9D2E943BAB07F8</vt:lpwstr>
  </property>
</Properties>
</file>