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A3421A" w14:textId="5CA4A390" w:rsidR="005E55D7" w:rsidRDefault="005E55D7" w:rsidP="5B213501"/>
    <w:p w14:paraId="5E5787A5" w14:textId="72DE5A40" w:rsidR="00E11F22" w:rsidRDefault="79532053" w:rsidP="5B213501">
      <w:r>
        <w:rPr>
          <w:noProof/>
        </w:rPr>
        <w:drawing>
          <wp:inline distT="0" distB="0" distL="0" distR="0" wp14:anchorId="6D8FBFBE" wp14:editId="676DCF25">
            <wp:extent cx="2621507" cy="1164437"/>
            <wp:effectExtent l="0" t="0" r="0" b="0"/>
            <wp:docPr id="14812922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292245" name="Picture 1481292245"/>
                    <pic:cNvPicPr/>
                  </pic:nvPicPr>
                  <pic:blipFill>
                    <a:blip r:embed="rId4">
                      <a:extLst>
                        <a:ext uri="{28A0092B-C50C-407E-A947-70E740481C1C}">
                          <a14:useLocalDpi xmlns:a14="http://schemas.microsoft.com/office/drawing/2010/main"/>
                        </a:ext>
                      </a:extLst>
                    </a:blip>
                    <a:stretch>
                      <a:fillRect/>
                    </a:stretch>
                  </pic:blipFill>
                  <pic:spPr>
                    <a:xfrm>
                      <a:off x="0" y="0"/>
                      <a:ext cx="2621507" cy="1164437"/>
                    </a:xfrm>
                    <a:prstGeom prst="rect">
                      <a:avLst/>
                    </a:prstGeom>
                  </pic:spPr>
                </pic:pic>
              </a:graphicData>
            </a:graphic>
          </wp:inline>
        </w:drawing>
      </w:r>
    </w:p>
    <w:p w14:paraId="749B2B4B" w14:textId="648CF60B" w:rsidR="5B213501" w:rsidRDefault="5B213501" w:rsidP="5B213501"/>
    <w:p w14:paraId="65718324" w14:textId="1D50B0C5" w:rsidR="759AE2D0" w:rsidRDefault="759AE2D0" w:rsidP="5B213501">
      <w:pPr>
        <w:spacing w:line="257" w:lineRule="auto"/>
        <w:jc w:val="both"/>
      </w:pPr>
      <w:r w:rsidRPr="5B213501">
        <w:rPr>
          <w:rFonts w:ascii="Arial" w:eastAsia="Arial" w:hAnsi="Arial" w:cs="Arial"/>
          <w:sz w:val="28"/>
          <w:szCs w:val="28"/>
        </w:rPr>
        <w:t>Name: fatima bibi</w:t>
      </w:r>
    </w:p>
    <w:p w14:paraId="4BC3B888" w14:textId="0F2C5357" w:rsidR="759AE2D0" w:rsidRDefault="759AE2D0" w:rsidP="5B213501">
      <w:pPr>
        <w:spacing w:line="257" w:lineRule="auto"/>
        <w:jc w:val="both"/>
      </w:pPr>
      <w:r w:rsidRPr="5B213501">
        <w:rPr>
          <w:rFonts w:ascii="Arial" w:eastAsia="Arial" w:hAnsi="Arial" w:cs="Arial"/>
          <w:sz w:val="28"/>
          <w:szCs w:val="28"/>
        </w:rPr>
        <w:t>Student ID: 2419</w:t>
      </w:r>
      <w:r w:rsidR="14363E3E" w:rsidRPr="5B213501">
        <w:rPr>
          <w:rFonts w:ascii="Arial" w:eastAsia="Arial" w:hAnsi="Arial" w:cs="Arial"/>
          <w:sz w:val="28"/>
          <w:szCs w:val="28"/>
        </w:rPr>
        <w:t>139</w:t>
      </w:r>
    </w:p>
    <w:p w14:paraId="266EE205" w14:textId="6D79B226" w:rsidR="759AE2D0" w:rsidRDefault="759AE2D0" w:rsidP="5B213501">
      <w:pPr>
        <w:spacing w:line="257" w:lineRule="auto"/>
        <w:jc w:val="both"/>
      </w:pPr>
      <w:r w:rsidRPr="5B213501">
        <w:rPr>
          <w:rFonts w:ascii="Arial" w:eastAsia="Arial" w:hAnsi="Arial" w:cs="Arial"/>
          <w:sz w:val="28"/>
          <w:szCs w:val="28"/>
        </w:rPr>
        <w:t xml:space="preserve">Module Code: </w:t>
      </w:r>
      <w:r w:rsidR="5EE21F1A" w:rsidRPr="5B213501">
        <w:rPr>
          <w:rFonts w:ascii="Segoe UI" w:eastAsia="Segoe UI" w:hAnsi="Segoe UI" w:cs="Segoe UI"/>
          <w:b/>
          <w:bCs/>
          <w:color w:val="1D2125"/>
          <w:sz w:val="28"/>
          <w:szCs w:val="28"/>
        </w:rPr>
        <w:t>(LCHS4001_BIRM)</w:t>
      </w:r>
    </w:p>
    <w:p w14:paraId="23D72C42" w14:textId="402496AD" w:rsidR="759AE2D0" w:rsidRDefault="759AE2D0" w:rsidP="5B213501">
      <w:pPr>
        <w:spacing w:line="257" w:lineRule="auto"/>
        <w:jc w:val="both"/>
      </w:pPr>
      <w:r w:rsidRPr="5B213501">
        <w:rPr>
          <w:rFonts w:ascii="Arial" w:eastAsia="Arial" w:hAnsi="Arial" w:cs="Arial"/>
          <w:sz w:val="28"/>
          <w:szCs w:val="28"/>
        </w:rPr>
        <w:t xml:space="preserve">Module: </w:t>
      </w:r>
      <w:r w:rsidR="72D390BC" w:rsidRPr="5B213501">
        <w:rPr>
          <w:rFonts w:ascii="Arial" w:eastAsia="Arial" w:hAnsi="Arial" w:cs="Arial"/>
          <w:sz w:val="28"/>
          <w:szCs w:val="28"/>
        </w:rPr>
        <w:t xml:space="preserve">Task 3 Written report </w:t>
      </w:r>
    </w:p>
    <w:p w14:paraId="560B2D05" w14:textId="5F31940F" w:rsidR="759AE2D0" w:rsidRDefault="759AE2D0" w:rsidP="5B213501">
      <w:pPr>
        <w:spacing w:line="257" w:lineRule="auto"/>
        <w:jc w:val="both"/>
        <w:rPr>
          <w:rFonts w:ascii="Arial" w:eastAsia="Arial" w:hAnsi="Arial" w:cs="Arial"/>
          <w:sz w:val="36"/>
          <w:szCs w:val="36"/>
        </w:rPr>
      </w:pPr>
      <w:r w:rsidRPr="5B213501">
        <w:rPr>
          <w:rFonts w:ascii="Arial" w:eastAsia="Arial" w:hAnsi="Arial" w:cs="Arial"/>
          <w:sz w:val="28"/>
          <w:szCs w:val="28"/>
        </w:rPr>
        <w:t xml:space="preserve">Lecturer: </w:t>
      </w:r>
      <w:r w:rsidR="198A9D6D" w:rsidRPr="5B213501">
        <w:rPr>
          <w:rFonts w:ascii="Segoe UI" w:eastAsia="Segoe UI" w:hAnsi="Segoe UI" w:cs="Segoe UI"/>
          <w:color w:val="1D2125"/>
        </w:rPr>
        <w:t>Bianca Dodgen</w:t>
      </w:r>
    </w:p>
    <w:p w14:paraId="4FBB01B9" w14:textId="7F002767" w:rsidR="5B213501" w:rsidRDefault="5B213501" w:rsidP="5B213501">
      <w:pPr>
        <w:spacing w:line="257" w:lineRule="auto"/>
        <w:jc w:val="both"/>
        <w:rPr>
          <w:rFonts w:ascii="Segoe UI" w:eastAsia="Segoe UI" w:hAnsi="Segoe UI" w:cs="Segoe UI"/>
          <w:color w:val="1D2125"/>
        </w:rPr>
      </w:pPr>
    </w:p>
    <w:p w14:paraId="7DA69A5B" w14:textId="5AC7EE0B" w:rsidR="5B213501" w:rsidRDefault="5B213501" w:rsidP="5B213501">
      <w:pPr>
        <w:spacing w:line="257" w:lineRule="auto"/>
        <w:jc w:val="both"/>
        <w:rPr>
          <w:rFonts w:ascii="Segoe UI" w:eastAsia="Segoe UI" w:hAnsi="Segoe UI" w:cs="Segoe UI"/>
          <w:color w:val="1D2125"/>
        </w:rPr>
      </w:pPr>
    </w:p>
    <w:p w14:paraId="7608B4DA" w14:textId="26A9D695" w:rsidR="13CAF229" w:rsidRDefault="13CAF229" w:rsidP="5B213501">
      <w:pPr>
        <w:spacing w:line="257" w:lineRule="auto"/>
        <w:jc w:val="both"/>
        <w:rPr>
          <w:rFonts w:ascii="Arial" w:eastAsia="Arial" w:hAnsi="Arial" w:cs="Arial"/>
          <w:sz w:val="36"/>
          <w:szCs w:val="36"/>
        </w:rPr>
      </w:pPr>
      <w:r w:rsidRPr="5B213501">
        <w:rPr>
          <w:rFonts w:ascii="Segoe UI" w:eastAsia="Segoe UI" w:hAnsi="Segoe UI" w:cs="Segoe UI"/>
          <w:color w:val="1D2125"/>
        </w:rPr>
        <w:t xml:space="preserve">(1.1) </w:t>
      </w:r>
      <w:r w:rsidR="418BA84E" w:rsidRPr="5B213501">
        <w:rPr>
          <w:rFonts w:ascii="Segoe UI" w:eastAsia="Segoe UI" w:hAnsi="Segoe UI" w:cs="Segoe UI"/>
          <w:color w:val="1D2125"/>
        </w:rPr>
        <w:t xml:space="preserve">Introduction </w:t>
      </w:r>
    </w:p>
    <w:p w14:paraId="3D19CC04" w14:textId="1CD7B432" w:rsidR="418BA84E" w:rsidRDefault="418BA84E" w:rsidP="6802B44F">
      <w:pPr>
        <w:spacing w:line="257" w:lineRule="auto"/>
        <w:jc w:val="both"/>
        <w:rPr>
          <w:rFonts w:ascii="Arial" w:eastAsia="Arial" w:hAnsi="Arial" w:cs="Arial"/>
          <w:sz w:val="20"/>
          <w:szCs w:val="20"/>
        </w:rPr>
      </w:pPr>
      <w:r w:rsidRPr="6802B44F">
        <w:rPr>
          <w:rFonts w:ascii="Segoe UI" w:eastAsia="Segoe UI" w:hAnsi="Segoe UI" w:cs="Segoe UI"/>
          <w:sz w:val="20"/>
          <w:szCs w:val="20"/>
        </w:rPr>
        <w:t xml:space="preserve">The health and social care sector </w:t>
      </w:r>
      <w:r w:rsidR="000F745C" w:rsidRPr="6802B44F">
        <w:rPr>
          <w:rFonts w:ascii="Segoe UI" w:eastAsia="Segoe UI" w:hAnsi="Segoe UI" w:cs="Segoe UI"/>
          <w:sz w:val="20"/>
          <w:szCs w:val="20"/>
        </w:rPr>
        <w:t>are</w:t>
      </w:r>
      <w:r w:rsidRPr="6802B44F">
        <w:rPr>
          <w:rFonts w:ascii="Segoe UI" w:eastAsia="Segoe UI" w:hAnsi="Segoe UI" w:cs="Segoe UI"/>
          <w:sz w:val="20"/>
          <w:szCs w:val="20"/>
        </w:rPr>
        <w:t xml:space="preserve"> cornerstone of </w:t>
      </w:r>
      <w:r w:rsidR="1EFEFFDC" w:rsidRPr="6802B44F">
        <w:rPr>
          <w:rFonts w:ascii="Segoe UI" w:eastAsia="Segoe UI" w:hAnsi="Segoe UI" w:cs="Segoe UI"/>
          <w:sz w:val="20"/>
          <w:szCs w:val="20"/>
        </w:rPr>
        <w:t>society,</w:t>
      </w:r>
      <w:r w:rsidRPr="6802B44F">
        <w:rPr>
          <w:rFonts w:ascii="Segoe UI" w:eastAsia="Segoe UI" w:hAnsi="Segoe UI" w:cs="Segoe UI"/>
          <w:sz w:val="20"/>
          <w:szCs w:val="20"/>
        </w:rPr>
        <w:t xml:space="preserve"> providing </w:t>
      </w:r>
      <w:r w:rsidR="0A648C41" w:rsidRPr="6802B44F">
        <w:rPr>
          <w:rFonts w:ascii="Segoe UI" w:eastAsia="Segoe UI" w:hAnsi="Segoe UI" w:cs="Segoe UI"/>
          <w:sz w:val="20"/>
          <w:szCs w:val="20"/>
        </w:rPr>
        <w:t>critical support</w:t>
      </w:r>
      <w:r w:rsidR="1A2A8D3E" w:rsidRPr="6802B44F">
        <w:rPr>
          <w:rFonts w:ascii="Segoe UI" w:eastAsia="Segoe UI" w:hAnsi="Segoe UI" w:cs="Segoe UI"/>
          <w:sz w:val="20"/>
          <w:szCs w:val="20"/>
        </w:rPr>
        <w:t xml:space="preserve"> and services to </w:t>
      </w:r>
      <w:r w:rsidR="321E8A0E" w:rsidRPr="6802B44F">
        <w:rPr>
          <w:rFonts w:ascii="Segoe UI" w:eastAsia="Segoe UI" w:hAnsi="Segoe UI" w:cs="Segoe UI"/>
          <w:sz w:val="20"/>
          <w:szCs w:val="20"/>
        </w:rPr>
        <w:t>individuals</w:t>
      </w:r>
      <w:r w:rsidR="1A2A8D3E" w:rsidRPr="6802B44F">
        <w:rPr>
          <w:rFonts w:ascii="Segoe UI" w:eastAsia="Segoe UI" w:hAnsi="Segoe UI" w:cs="Segoe UI"/>
          <w:sz w:val="20"/>
          <w:szCs w:val="20"/>
        </w:rPr>
        <w:t xml:space="preserve"> and communities facing challenges related to </w:t>
      </w:r>
      <w:r w:rsidR="53D07376" w:rsidRPr="6802B44F">
        <w:rPr>
          <w:rFonts w:ascii="Segoe UI" w:eastAsia="Segoe UI" w:hAnsi="Segoe UI" w:cs="Segoe UI"/>
          <w:sz w:val="20"/>
          <w:szCs w:val="20"/>
        </w:rPr>
        <w:t>health,</w:t>
      </w:r>
      <w:r w:rsidR="1A2A8D3E" w:rsidRPr="6802B44F">
        <w:rPr>
          <w:rFonts w:ascii="Segoe UI" w:eastAsia="Segoe UI" w:hAnsi="Segoe UI" w:cs="Segoe UI"/>
          <w:sz w:val="20"/>
          <w:szCs w:val="20"/>
        </w:rPr>
        <w:t xml:space="preserve"> </w:t>
      </w:r>
      <w:r w:rsidR="18874403" w:rsidRPr="6802B44F">
        <w:rPr>
          <w:rFonts w:ascii="Segoe UI" w:eastAsia="Segoe UI" w:hAnsi="Segoe UI" w:cs="Segoe UI"/>
          <w:sz w:val="20"/>
          <w:szCs w:val="20"/>
        </w:rPr>
        <w:t>poverty,</w:t>
      </w:r>
      <w:r w:rsidR="1A2A8D3E" w:rsidRPr="6802B44F">
        <w:rPr>
          <w:rFonts w:ascii="Segoe UI" w:eastAsia="Segoe UI" w:hAnsi="Segoe UI" w:cs="Segoe UI"/>
          <w:sz w:val="20"/>
          <w:szCs w:val="20"/>
        </w:rPr>
        <w:t xml:space="preserve"> emotional </w:t>
      </w:r>
      <w:r w:rsidR="6B137721" w:rsidRPr="6802B44F">
        <w:rPr>
          <w:rFonts w:ascii="Segoe UI" w:eastAsia="Segoe UI" w:hAnsi="Segoe UI" w:cs="Segoe UI"/>
          <w:sz w:val="20"/>
          <w:szCs w:val="20"/>
        </w:rPr>
        <w:t>distress,</w:t>
      </w:r>
      <w:r w:rsidR="1A2A8D3E" w:rsidRPr="6802B44F">
        <w:rPr>
          <w:rFonts w:ascii="Segoe UI" w:eastAsia="Segoe UI" w:hAnsi="Segoe UI" w:cs="Segoe UI"/>
          <w:sz w:val="20"/>
          <w:szCs w:val="20"/>
        </w:rPr>
        <w:t xml:space="preserve"> or social </w:t>
      </w:r>
      <w:r w:rsidR="5E14FE8D" w:rsidRPr="6802B44F">
        <w:rPr>
          <w:rFonts w:ascii="Segoe UI" w:eastAsia="Segoe UI" w:hAnsi="Segoe UI" w:cs="Segoe UI"/>
          <w:sz w:val="20"/>
          <w:szCs w:val="20"/>
        </w:rPr>
        <w:t>isolation,</w:t>
      </w:r>
      <w:r w:rsidR="1A2A8D3E" w:rsidRPr="6802B44F">
        <w:rPr>
          <w:rFonts w:ascii="Segoe UI" w:eastAsia="Segoe UI" w:hAnsi="Segoe UI" w:cs="Segoe UI"/>
          <w:sz w:val="20"/>
          <w:szCs w:val="20"/>
        </w:rPr>
        <w:t xml:space="preserve"> social wor</w:t>
      </w:r>
      <w:r w:rsidR="454AD729" w:rsidRPr="6802B44F">
        <w:rPr>
          <w:rFonts w:ascii="Segoe UI" w:eastAsia="Segoe UI" w:hAnsi="Segoe UI" w:cs="Segoe UI"/>
          <w:sz w:val="20"/>
          <w:szCs w:val="20"/>
        </w:rPr>
        <w:t xml:space="preserve">kers hold an essential role within this </w:t>
      </w:r>
      <w:r w:rsidR="087DA76D" w:rsidRPr="6802B44F">
        <w:rPr>
          <w:rFonts w:ascii="Segoe UI" w:eastAsia="Segoe UI" w:hAnsi="Segoe UI" w:cs="Segoe UI"/>
          <w:sz w:val="20"/>
          <w:szCs w:val="20"/>
        </w:rPr>
        <w:t>sector,</w:t>
      </w:r>
      <w:r w:rsidR="454AD729" w:rsidRPr="6802B44F">
        <w:rPr>
          <w:rFonts w:ascii="Segoe UI" w:eastAsia="Segoe UI" w:hAnsi="Segoe UI" w:cs="Segoe UI"/>
          <w:sz w:val="20"/>
          <w:szCs w:val="20"/>
        </w:rPr>
        <w:t xml:space="preserve"> advocating for vulnerable </w:t>
      </w:r>
      <w:r w:rsidR="2A6EE482" w:rsidRPr="6802B44F">
        <w:rPr>
          <w:rFonts w:ascii="Segoe UI" w:eastAsia="Segoe UI" w:hAnsi="Segoe UI" w:cs="Segoe UI"/>
          <w:sz w:val="20"/>
          <w:szCs w:val="20"/>
        </w:rPr>
        <w:t xml:space="preserve">individuals, </w:t>
      </w:r>
      <w:r w:rsidR="000F745C" w:rsidRPr="6802B44F">
        <w:rPr>
          <w:rFonts w:ascii="Segoe UI" w:eastAsia="Segoe UI" w:hAnsi="Segoe UI" w:cs="Segoe UI"/>
          <w:sz w:val="20"/>
          <w:szCs w:val="20"/>
        </w:rPr>
        <w:t>helping</w:t>
      </w:r>
      <w:r w:rsidR="2A6EE482" w:rsidRPr="6802B44F">
        <w:rPr>
          <w:rFonts w:ascii="Segoe UI" w:eastAsia="Segoe UI" w:hAnsi="Segoe UI" w:cs="Segoe UI"/>
          <w:sz w:val="20"/>
          <w:szCs w:val="20"/>
        </w:rPr>
        <w:t xml:space="preserve"> </w:t>
      </w:r>
      <w:r w:rsidR="675A1822" w:rsidRPr="6802B44F">
        <w:rPr>
          <w:rFonts w:ascii="Arial" w:eastAsia="Arial" w:hAnsi="Arial" w:cs="Arial"/>
          <w:sz w:val="20"/>
          <w:szCs w:val="20"/>
        </w:rPr>
        <w:t xml:space="preserve">access to </w:t>
      </w:r>
      <w:r w:rsidR="00F81110" w:rsidRPr="6802B44F">
        <w:rPr>
          <w:rFonts w:ascii="Arial" w:eastAsia="Arial" w:hAnsi="Arial" w:cs="Arial"/>
          <w:sz w:val="20"/>
          <w:szCs w:val="20"/>
        </w:rPr>
        <w:t>resources,</w:t>
      </w:r>
      <w:r w:rsidR="675A1822" w:rsidRPr="6802B44F">
        <w:rPr>
          <w:rFonts w:ascii="Arial" w:eastAsia="Arial" w:hAnsi="Arial" w:cs="Arial"/>
          <w:sz w:val="20"/>
          <w:szCs w:val="20"/>
        </w:rPr>
        <w:t xml:space="preserve"> and fostering </w:t>
      </w:r>
      <w:r w:rsidR="5DF7E849" w:rsidRPr="6802B44F">
        <w:rPr>
          <w:rFonts w:ascii="Arial" w:eastAsia="Arial" w:hAnsi="Arial" w:cs="Arial"/>
          <w:sz w:val="20"/>
          <w:szCs w:val="20"/>
        </w:rPr>
        <w:t>positive</w:t>
      </w:r>
      <w:r w:rsidR="675A1822" w:rsidRPr="6802B44F">
        <w:rPr>
          <w:rFonts w:ascii="Arial" w:eastAsia="Arial" w:hAnsi="Arial" w:cs="Arial"/>
          <w:sz w:val="20"/>
          <w:szCs w:val="20"/>
        </w:rPr>
        <w:t xml:space="preserve"> change</w:t>
      </w:r>
      <w:r w:rsidR="49CB7EDA" w:rsidRPr="6802B44F">
        <w:rPr>
          <w:rFonts w:ascii="Arial" w:eastAsia="Arial" w:hAnsi="Arial" w:cs="Arial"/>
          <w:sz w:val="20"/>
          <w:szCs w:val="20"/>
        </w:rPr>
        <w:t>.</w:t>
      </w:r>
    </w:p>
    <w:p w14:paraId="398FEA22" w14:textId="658049D5" w:rsidR="49CB7EDA" w:rsidRDefault="49CB7EDA" w:rsidP="6802B44F">
      <w:pPr>
        <w:spacing w:line="257" w:lineRule="auto"/>
        <w:jc w:val="both"/>
        <w:rPr>
          <w:rFonts w:ascii="Arial" w:eastAsia="Arial" w:hAnsi="Arial" w:cs="Arial"/>
          <w:sz w:val="22"/>
          <w:szCs w:val="22"/>
        </w:rPr>
      </w:pPr>
      <w:r w:rsidRPr="6802B44F">
        <w:rPr>
          <w:rFonts w:ascii="Arial" w:eastAsia="Arial" w:hAnsi="Arial" w:cs="Arial"/>
          <w:sz w:val="22"/>
          <w:szCs w:val="22"/>
        </w:rPr>
        <w:t xml:space="preserve">This report will explore the role of </w:t>
      </w:r>
      <w:r w:rsidR="4F7C3754" w:rsidRPr="6802B44F">
        <w:rPr>
          <w:rFonts w:ascii="Arial" w:eastAsia="Arial" w:hAnsi="Arial" w:cs="Arial"/>
          <w:sz w:val="22"/>
          <w:szCs w:val="22"/>
        </w:rPr>
        <w:t>social</w:t>
      </w:r>
      <w:r w:rsidRPr="6802B44F">
        <w:rPr>
          <w:rFonts w:ascii="Arial" w:eastAsia="Arial" w:hAnsi="Arial" w:cs="Arial"/>
          <w:sz w:val="22"/>
          <w:szCs w:val="22"/>
        </w:rPr>
        <w:t xml:space="preserve"> </w:t>
      </w:r>
      <w:r w:rsidR="7D3C90A9" w:rsidRPr="6802B44F">
        <w:rPr>
          <w:rFonts w:ascii="Arial" w:eastAsia="Arial" w:hAnsi="Arial" w:cs="Arial"/>
          <w:sz w:val="22"/>
          <w:szCs w:val="22"/>
        </w:rPr>
        <w:t>workers,</w:t>
      </w:r>
      <w:r w:rsidRPr="6802B44F">
        <w:rPr>
          <w:rFonts w:ascii="Arial" w:eastAsia="Arial" w:hAnsi="Arial" w:cs="Arial"/>
          <w:sz w:val="22"/>
          <w:szCs w:val="22"/>
        </w:rPr>
        <w:t xml:space="preserve"> focusing on their duties and responsibilities as well as the essential skills </w:t>
      </w:r>
      <w:r w:rsidR="00F81110" w:rsidRPr="6802B44F">
        <w:rPr>
          <w:rFonts w:ascii="Arial" w:eastAsia="Arial" w:hAnsi="Arial" w:cs="Arial"/>
          <w:sz w:val="22"/>
          <w:szCs w:val="22"/>
        </w:rPr>
        <w:t>needed</w:t>
      </w:r>
      <w:r w:rsidRPr="6802B44F">
        <w:rPr>
          <w:rFonts w:ascii="Arial" w:eastAsia="Arial" w:hAnsi="Arial" w:cs="Arial"/>
          <w:sz w:val="22"/>
          <w:szCs w:val="22"/>
        </w:rPr>
        <w:t xml:space="preserve"> to excel in this </w:t>
      </w:r>
      <w:r w:rsidR="317A4496" w:rsidRPr="6802B44F">
        <w:rPr>
          <w:rFonts w:ascii="Arial" w:eastAsia="Arial" w:hAnsi="Arial" w:cs="Arial"/>
          <w:sz w:val="22"/>
          <w:szCs w:val="22"/>
        </w:rPr>
        <w:t>profession.</w:t>
      </w:r>
      <w:r w:rsidRPr="6802B44F">
        <w:rPr>
          <w:rFonts w:ascii="Arial" w:eastAsia="Arial" w:hAnsi="Arial" w:cs="Arial"/>
          <w:sz w:val="22"/>
          <w:szCs w:val="22"/>
        </w:rPr>
        <w:t xml:space="preserve"> </w:t>
      </w:r>
      <w:r w:rsidR="40001BE6" w:rsidRPr="6802B44F">
        <w:rPr>
          <w:rFonts w:ascii="Arial" w:eastAsia="Arial" w:hAnsi="Arial" w:cs="Arial"/>
          <w:sz w:val="22"/>
          <w:szCs w:val="22"/>
        </w:rPr>
        <w:t>Furthermore,</w:t>
      </w:r>
      <w:r w:rsidR="0C8389DF" w:rsidRPr="6802B44F">
        <w:rPr>
          <w:rFonts w:ascii="Arial" w:eastAsia="Arial" w:hAnsi="Arial" w:cs="Arial"/>
          <w:sz w:val="22"/>
          <w:szCs w:val="22"/>
        </w:rPr>
        <w:t xml:space="preserve"> it will propose strategies for improving these </w:t>
      </w:r>
      <w:r w:rsidR="5AF31B7D" w:rsidRPr="6802B44F">
        <w:rPr>
          <w:rFonts w:ascii="Arial" w:eastAsia="Arial" w:hAnsi="Arial" w:cs="Arial"/>
          <w:sz w:val="22"/>
          <w:szCs w:val="22"/>
        </w:rPr>
        <w:t>skills,</w:t>
      </w:r>
      <w:r w:rsidR="0C8389DF" w:rsidRPr="6802B44F">
        <w:rPr>
          <w:rFonts w:ascii="Arial" w:eastAsia="Arial" w:hAnsi="Arial" w:cs="Arial"/>
          <w:sz w:val="22"/>
          <w:szCs w:val="22"/>
        </w:rPr>
        <w:t xml:space="preserve"> </w:t>
      </w:r>
      <w:r w:rsidR="73D307A9" w:rsidRPr="6802B44F">
        <w:rPr>
          <w:rFonts w:ascii="Arial" w:eastAsia="Arial" w:hAnsi="Arial" w:cs="Arial"/>
          <w:sz w:val="22"/>
          <w:szCs w:val="22"/>
        </w:rPr>
        <w:t>supported by relevant examples.</w:t>
      </w:r>
    </w:p>
    <w:p w14:paraId="3DFF5A3F" w14:textId="74AC41E5" w:rsidR="5B213501" w:rsidRDefault="5B213501" w:rsidP="6802B44F">
      <w:pPr>
        <w:spacing w:line="257" w:lineRule="auto"/>
        <w:jc w:val="both"/>
        <w:rPr>
          <w:rFonts w:ascii="Arial" w:eastAsia="Arial" w:hAnsi="Arial" w:cs="Arial"/>
          <w:sz w:val="22"/>
          <w:szCs w:val="22"/>
        </w:rPr>
      </w:pPr>
    </w:p>
    <w:p w14:paraId="7248B82C" w14:textId="0439EB04" w:rsidR="5B51963F" w:rsidRDefault="5B51963F" w:rsidP="6802B44F">
      <w:pPr>
        <w:spacing w:line="257" w:lineRule="auto"/>
        <w:jc w:val="both"/>
        <w:rPr>
          <w:rFonts w:ascii="Arial" w:eastAsia="Arial" w:hAnsi="Arial" w:cs="Arial"/>
          <w:sz w:val="22"/>
          <w:szCs w:val="22"/>
        </w:rPr>
      </w:pPr>
      <w:r w:rsidRPr="6802B44F">
        <w:rPr>
          <w:rFonts w:ascii="Arial" w:eastAsia="Arial" w:hAnsi="Arial" w:cs="Arial"/>
          <w:sz w:val="22"/>
          <w:szCs w:val="22"/>
        </w:rPr>
        <w:t>(1.2</w:t>
      </w:r>
      <w:r w:rsidR="7319B2A4" w:rsidRPr="6802B44F">
        <w:rPr>
          <w:rFonts w:ascii="Arial" w:eastAsia="Arial" w:hAnsi="Arial" w:cs="Arial"/>
          <w:sz w:val="22"/>
          <w:szCs w:val="22"/>
        </w:rPr>
        <w:t xml:space="preserve">) Description of, and background to (social workers) in health care </w:t>
      </w:r>
    </w:p>
    <w:p w14:paraId="40FDA3E5" w14:textId="11373714" w:rsidR="006E5B1A" w:rsidRPr="006E5B1A" w:rsidRDefault="006E5B1A" w:rsidP="006E5B1A">
      <w:pPr>
        <w:spacing w:line="257" w:lineRule="auto"/>
        <w:jc w:val="both"/>
        <w:rPr>
          <w:rFonts w:ascii="Arial" w:eastAsia="Arial" w:hAnsi="Arial" w:cs="Arial"/>
          <w:sz w:val="22"/>
          <w:szCs w:val="22"/>
        </w:rPr>
      </w:pPr>
      <w:r w:rsidRPr="006E5B1A">
        <w:rPr>
          <w:rFonts w:ascii="Arial" w:eastAsia="Arial" w:hAnsi="Arial" w:cs="Arial"/>
          <w:sz w:val="22"/>
          <w:szCs w:val="22"/>
        </w:rPr>
        <w:t>Social workers serve a critical function in healthcare and social services by empowering individuals, families, and communities to address challenges such as poverty, abuse, mental health struggles, and systemic marginalisation (National Association of Social Workers [NASW], 2021). Their efforts span environments like hospitals, schools, and community centres, where they apply ethical guidelines such as the NASW Code of Ethics and integrate research-backed strategies to promote fair outcomes (Hepworth et al., 2017).</w:t>
      </w:r>
    </w:p>
    <w:p w14:paraId="5D855CB6" w14:textId="77777777" w:rsidR="006E5B1A" w:rsidRPr="006E5B1A" w:rsidRDefault="006E5B1A" w:rsidP="006E5B1A">
      <w:pPr>
        <w:spacing w:line="257" w:lineRule="auto"/>
        <w:jc w:val="both"/>
        <w:rPr>
          <w:rFonts w:ascii="Arial" w:eastAsia="Arial" w:hAnsi="Arial" w:cs="Arial"/>
          <w:sz w:val="22"/>
          <w:szCs w:val="22"/>
        </w:rPr>
      </w:pPr>
    </w:p>
    <w:p w14:paraId="604287C2" w14:textId="2A3841CE" w:rsidR="006E5B1A" w:rsidRPr="006E5B1A" w:rsidRDefault="006E5B1A" w:rsidP="006E5B1A">
      <w:pPr>
        <w:spacing w:line="257" w:lineRule="auto"/>
        <w:jc w:val="both"/>
        <w:rPr>
          <w:rFonts w:ascii="Arial" w:eastAsia="Arial" w:hAnsi="Arial" w:cs="Arial"/>
          <w:sz w:val="22"/>
          <w:szCs w:val="22"/>
        </w:rPr>
      </w:pPr>
      <w:r w:rsidRPr="006E5B1A">
        <w:rPr>
          <w:rFonts w:ascii="Arial" w:eastAsia="Arial" w:hAnsi="Arial" w:cs="Arial"/>
          <w:sz w:val="22"/>
          <w:szCs w:val="22"/>
        </w:rPr>
        <w:t>A foundational aspect of social work practice involves evaluating client needs through one-on-one discussions, case evaluations, and environmental assessments to uncover institutional obstacles and craft individualised support plans (International Federation of Social Workers [IFSW], 2018). For instance, when defending the rights of marginalised groups</w:t>
      </w:r>
      <w:r>
        <w:rPr>
          <w:rFonts w:ascii="Arial" w:eastAsia="Arial" w:hAnsi="Arial" w:cs="Arial"/>
          <w:sz w:val="22"/>
          <w:szCs w:val="22"/>
        </w:rPr>
        <w:t xml:space="preserve"> </w:t>
      </w:r>
      <w:r w:rsidRPr="006E5B1A">
        <w:rPr>
          <w:rFonts w:ascii="Arial" w:eastAsia="Arial" w:hAnsi="Arial" w:cs="Arial"/>
          <w:sz w:val="22"/>
          <w:szCs w:val="22"/>
        </w:rPr>
        <w:t>such as minors in abusive households or seniors facing healthcare discrimination</w:t>
      </w:r>
      <w:r>
        <w:rPr>
          <w:rFonts w:ascii="Arial" w:eastAsia="Arial" w:hAnsi="Arial" w:cs="Arial"/>
          <w:sz w:val="22"/>
          <w:szCs w:val="22"/>
        </w:rPr>
        <w:t xml:space="preserve"> </w:t>
      </w:r>
      <w:r w:rsidRPr="006E5B1A">
        <w:rPr>
          <w:rFonts w:ascii="Arial" w:eastAsia="Arial" w:hAnsi="Arial" w:cs="Arial"/>
          <w:sz w:val="22"/>
          <w:szCs w:val="22"/>
        </w:rPr>
        <w:t>social workers employ strategies rooted in trauma sensitivity and universal human rights frameworks (IFSW, 2018). By partnering with legal, medical, and educational professionals, they ensure vulnerable populations receive fair treatment across systems (Reamer, 2018).</w:t>
      </w:r>
    </w:p>
    <w:p w14:paraId="735F0EEA" w14:textId="77777777" w:rsidR="006E5B1A" w:rsidRPr="006E5B1A" w:rsidRDefault="006E5B1A" w:rsidP="006E5B1A">
      <w:pPr>
        <w:spacing w:line="257" w:lineRule="auto"/>
        <w:jc w:val="both"/>
        <w:rPr>
          <w:rFonts w:ascii="Arial" w:eastAsia="Arial" w:hAnsi="Arial" w:cs="Arial"/>
          <w:sz w:val="22"/>
          <w:szCs w:val="22"/>
        </w:rPr>
      </w:pPr>
    </w:p>
    <w:p w14:paraId="4C41D2F5" w14:textId="608CB9A0" w:rsidR="00144B4E" w:rsidRDefault="006E5B1A" w:rsidP="6802B44F">
      <w:pPr>
        <w:spacing w:line="257" w:lineRule="auto"/>
        <w:jc w:val="both"/>
        <w:rPr>
          <w:rFonts w:ascii="Arial" w:eastAsia="Arial" w:hAnsi="Arial" w:cs="Arial"/>
          <w:sz w:val="22"/>
          <w:szCs w:val="22"/>
        </w:rPr>
      </w:pPr>
      <w:r w:rsidRPr="006E5B1A">
        <w:rPr>
          <w:rFonts w:ascii="Arial" w:eastAsia="Arial" w:hAnsi="Arial" w:cs="Arial"/>
          <w:sz w:val="22"/>
          <w:szCs w:val="22"/>
        </w:rPr>
        <w:t xml:space="preserve">Prioritising client safety in emergencies, such as intimate partner violence or self-harm risks, remains central to the profession. This focus reflects the NASW Standards for Social Work Practice in Health Care Settings (2021), which stress proactive risk evaluation and emergency response protocols. Skills like compassionate communication, cultural awareness, and collaborative problem-solving foster trust and enable practitioners to address multifaceted issues effectively, as noted in studies on resilience in client-professional dynamics (Grant &amp; </w:t>
      </w:r>
      <w:proofErr w:type="spellStart"/>
      <w:r w:rsidRPr="006E5B1A">
        <w:rPr>
          <w:rFonts w:ascii="Arial" w:eastAsia="Arial" w:hAnsi="Arial" w:cs="Arial"/>
          <w:sz w:val="22"/>
          <w:szCs w:val="22"/>
        </w:rPr>
        <w:t>Kinman</w:t>
      </w:r>
      <w:proofErr w:type="spellEnd"/>
      <w:r w:rsidRPr="006E5B1A">
        <w:rPr>
          <w:rFonts w:ascii="Arial" w:eastAsia="Arial" w:hAnsi="Arial" w:cs="Arial"/>
          <w:sz w:val="22"/>
          <w:szCs w:val="22"/>
        </w:rPr>
        <w:t>, 2014). A practical example includes a social worker securing stable housing for an unhoused parent while simultaneously linking them to counselling services, illustrating the field’s commitment to integrated, client-focused care (Hepworth et al., 2017).</w:t>
      </w:r>
    </w:p>
    <w:p w14:paraId="408271A9" w14:textId="52E90ECB" w:rsidR="15E38C0D" w:rsidRDefault="15E38C0D" w:rsidP="5B213501">
      <w:pPr>
        <w:spacing w:line="257" w:lineRule="auto"/>
        <w:jc w:val="both"/>
        <w:rPr>
          <w:rFonts w:ascii="Arial" w:eastAsia="Arial" w:hAnsi="Arial" w:cs="Arial"/>
          <w:sz w:val="22"/>
          <w:szCs w:val="22"/>
        </w:rPr>
      </w:pPr>
      <w:r w:rsidRPr="5B213501">
        <w:rPr>
          <w:rFonts w:ascii="Segoe UI" w:eastAsia="Segoe UI" w:hAnsi="Segoe UI" w:cs="Segoe UI"/>
          <w:sz w:val="28"/>
          <w:szCs w:val="28"/>
        </w:rPr>
        <w:t>(1.3) Evaluation of the skills needed for [social worker] in healthcare</w:t>
      </w:r>
    </w:p>
    <w:p w14:paraId="3BFF1425" w14:textId="51C35C6E" w:rsidR="00EA6BC9" w:rsidRPr="00EA6BC9" w:rsidRDefault="00EA6BC9" w:rsidP="00EA6BC9">
      <w:pPr>
        <w:spacing w:line="257" w:lineRule="auto"/>
        <w:jc w:val="both"/>
        <w:rPr>
          <w:rFonts w:ascii="Segoe UI" w:eastAsia="Segoe UI" w:hAnsi="Segoe UI" w:cs="Segoe UI"/>
          <w:sz w:val="22"/>
          <w:szCs w:val="22"/>
        </w:rPr>
      </w:pPr>
      <w:r w:rsidRPr="00EA6BC9">
        <w:rPr>
          <w:rFonts w:ascii="Segoe UI" w:eastAsia="Segoe UI" w:hAnsi="Segoe UI" w:cs="Segoe UI"/>
          <w:sz w:val="22"/>
          <w:szCs w:val="22"/>
        </w:rPr>
        <w:t xml:space="preserve">Social workers require a range of essential skills to perform their roles effectively in the health and social care sector. Among these, the three most important skills are communication, empathy, and problem-solving. These skills are vital for ensuring social workers can address challenges, build trust, and provide </w:t>
      </w:r>
      <w:r w:rsidR="00B82477" w:rsidRPr="00EA6BC9">
        <w:rPr>
          <w:rFonts w:ascii="Segoe UI" w:eastAsia="Segoe UI" w:hAnsi="Segoe UI" w:cs="Segoe UI"/>
          <w:sz w:val="22"/>
          <w:szCs w:val="22"/>
        </w:rPr>
        <w:t>right support</w:t>
      </w:r>
      <w:r w:rsidRPr="00EA6BC9">
        <w:rPr>
          <w:rFonts w:ascii="Segoe UI" w:eastAsia="Segoe UI" w:hAnsi="Segoe UI" w:cs="Segoe UI"/>
          <w:sz w:val="22"/>
          <w:szCs w:val="22"/>
        </w:rPr>
        <w:t xml:space="preserve"> to diverse groups of people</w:t>
      </w:r>
      <w:r w:rsidR="00E34F18">
        <w:rPr>
          <w:rFonts w:ascii="Segoe UI" w:eastAsia="Segoe UI" w:hAnsi="Segoe UI" w:cs="Segoe UI"/>
          <w:sz w:val="22"/>
          <w:szCs w:val="22"/>
        </w:rPr>
        <w:t>.</w:t>
      </w:r>
    </w:p>
    <w:p w14:paraId="66D15D6F" w14:textId="454D287B" w:rsidR="00EA6BC9" w:rsidRPr="00EA6BC9" w:rsidRDefault="00EA6BC9" w:rsidP="00EA6BC9">
      <w:pPr>
        <w:spacing w:line="257" w:lineRule="auto"/>
        <w:jc w:val="both"/>
        <w:rPr>
          <w:rFonts w:ascii="Segoe UI" w:eastAsia="Segoe UI" w:hAnsi="Segoe UI" w:cs="Segoe UI"/>
          <w:sz w:val="22"/>
          <w:szCs w:val="22"/>
        </w:rPr>
      </w:pPr>
      <w:r w:rsidRPr="00EA6BC9">
        <w:rPr>
          <w:rFonts w:ascii="Segoe UI" w:eastAsia="Segoe UI" w:hAnsi="Segoe UI" w:cs="Segoe UI"/>
          <w:sz w:val="22"/>
          <w:szCs w:val="22"/>
        </w:rPr>
        <w:t xml:space="preserve">Effective communication is a cornerstone of social work. Social workers must actively listen to clients to understand their issues, ensure that they feel heard, and explain information clearly. They must also adapt their communication style to suit different audiences, including those who are vulnerable, non-verbal, or have language barriers. For example, a social worker helping a victim of domestic violence needs to provide clear instructions on the available resources while also conveying empathy and sensitivity to ensure the client feels safe and understood. Without </w:t>
      </w:r>
      <w:r w:rsidR="00B82477" w:rsidRPr="00EA6BC9">
        <w:rPr>
          <w:rFonts w:ascii="Segoe UI" w:eastAsia="Segoe UI" w:hAnsi="Segoe UI" w:cs="Segoe UI"/>
          <w:sz w:val="22"/>
          <w:szCs w:val="22"/>
        </w:rPr>
        <w:t>effective communication</w:t>
      </w:r>
      <w:r w:rsidRPr="00EA6BC9">
        <w:rPr>
          <w:rFonts w:ascii="Segoe UI" w:eastAsia="Segoe UI" w:hAnsi="Segoe UI" w:cs="Segoe UI"/>
          <w:sz w:val="22"/>
          <w:szCs w:val="22"/>
        </w:rPr>
        <w:t xml:space="preserve"> skills, misunderstandings can occur, and clients may feel neglected or unsure of how to </w:t>
      </w:r>
      <w:r w:rsidR="00B82477" w:rsidRPr="00EA6BC9">
        <w:rPr>
          <w:rFonts w:ascii="Segoe UI" w:eastAsia="Segoe UI" w:hAnsi="Segoe UI" w:cs="Segoe UI"/>
          <w:sz w:val="22"/>
          <w:szCs w:val="22"/>
        </w:rPr>
        <w:t>continue</w:t>
      </w:r>
      <w:r w:rsidRPr="00EA6BC9">
        <w:rPr>
          <w:rFonts w:ascii="Segoe UI" w:eastAsia="Segoe UI" w:hAnsi="Segoe UI" w:cs="Segoe UI"/>
          <w:sz w:val="22"/>
          <w:szCs w:val="22"/>
        </w:rPr>
        <w:t>, which could worsen their situation. Additionally, social workers collaborate with other professionals, such as healthcare providers or legal teams, and effective communication is crucial for creating coordinated and successful care plans.</w:t>
      </w:r>
    </w:p>
    <w:p w14:paraId="26336715" w14:textId="6A2A8F4B" w:rsidR="00EA6BC9" w:rsidRPr="00EA6BC9" w:rsidRDefault="00EA6BC9" w:rsidP="00EA6BC9">
      <w:pPr>
        <w:spacing w:line="257" w:lineRule="auto"/>
        <w:jc w:val="both"/>
        <w:rPr>
          <w:rFonts w:ascii="Segoe UI" w:eastAsia="Segoe UI" w:hAnsi="Segoe UI" w:cs="Segoe UI"/>
          <w:sz w:val="22"/>
          <w:szCs w:val="22"/>
        </w:rPr>
      </w:pPr>
      <w:r w:rsidRPr="00EA6BC9">
        <w:rPr>
          <w:rFonts w:ascii="Segoe UI" w:eastAsia="Segoe UI" w:hAnsi="Segoe UI" w:cs="Segoe UI"/>
          <w:sz w:val="22"/>
          <w:szCs w:val="22"/>
        </w:rPr>
        <w:t xml:space="preserve">Empathy is the ability to understand and share the feelings of others, making it an essential skill for social workers. It allows them to form meaningful connections with their clients, particularly those who are facing difficult circumstances, such as mental health challenges, abuse, or loss. Empathy is crucial for building trust, which is the foundation for effective intervention. For example, when </w:t>
      </w:r>
      <w:r w:rsidR="00B82477" w:rsidRPr="00EA6BC9">
        <w:rPr>
          <w:rFonts w:ascii="Segoe UI" w:eastAsia="Segoe UI" w:hAnsi="Segoe UI" w:cs="Segoe UI"/>
          <w:sz w:val="22"/>
          <w:szCs w:val="22"/>
        </w:rPr>
        <w:t>aiding</w:t>
      </w:r>
      <w:r w:rsidRPr="00EA6BC9">
        <w:rPr>
          <w:rFonts w:ascii="Segoe UI" w:eastAsia="Segoe UI" w:hAnsi="Segoe UI" w:cs="Segoe UI"/>
          <w:sz w:val="22"/>
          <w:szCs w:val="22"/>
        </w:rPr>
        <w:t xml:space="preserve"> a child facing neglect, a social worker must show genuine care and understanding to help the child feel safe and supported. Without empathy, social workers may appear indifferent or judgmental, which can alienate clients and hinder their progress.</w:t>
      </w:r>
    </w:p>
    <w:p w14:paraId="1D06533E" w14:textId="5849E901" w:rsidR="00EA6BC9" w:rsidRPr="00EA6BC9" w:rsidRDefault="00EA6BC9" w:rsidP="00EA6BC9">
      <w:pPr>
        <w:spacing w:line="257" w:lineRule="auto"/>
        <w:jc w:val="both"/>
        <w:rPr>
          <w:rFonts w:ascii="Segoe UI" w:eastAsia="Segoe UI" w:hAnsi="Segoe UI" w:cs="Segoe UI"/>
          <w:sz w:val="22"/>
          <w:szCs w:val="22"/>
        </w:rPr>
      </w:pPr>
      <w:r w:rsidRPr="00EA6BC9">
        <w:rPr>
          <w:rFonts w:ascii="Segoe UI" w:eastAsia="Segoe UI" w:hAnsi="Segoe UI" w:cs="Segoe UI"/>
          <w:sz w:val="22"/>
          <w:szCs w:val="22"/>
        </w:rPr>
        <w:t xml:space="preserve">Problem-solving is a critical skill that enables social workers to assess complex situations and develop effective interventions. Social workers often </w:t>
      </w:r>
      <w:r w:rsidR="00C73966" w:rsidRPr="00EA6BC9">
        <w:rPr>
          <w:rFonts w:ascii="Segoe UI" w:eastAsia="Segoe UI" w:hAnsi="Segoe UI" w:cs="Segoe UI"/>
          <w:sz w:val="22"/>
          <w:szCs w:val="22"/>
        </w:rPr>
        <w:t>meet</w:t>
      </w:r>
      <w:r w:rsidRPr="00EA6BC9">
        <w:rPr>
          <w:rFonts w:ascii="Segoe UI" w:eastAsia="Segoe UI" w:hAnsi="Segoe UI" w:cs="Segoe UI"/>
          <w:sz w:val="22"/>
          <w:szCs w:val="22"/>
        </w:rPr>
        <w:t xml:space="preserve"> multifaceted challenges, such as families dealing with homelessness or individuals facing substance abuse. For example, a social worker might help a single parent find affordable housing, access financial aid, and create a long-term plan for stability. Strong problem-solving skills help social workers </w:t>
      </w:r>
      <w:r w:rsidR="00C73966" w:rsidRPr="00EA6BC9">
        <w:rPr>
          <w:rFonts w:ascii="Segoe UI" w:eastAsia="Segoe UI" w:hAnsi="Segoe UI" w:cs="Segoe UI"/>
          <w:sz w:val="22"/>
          <w:szCs w:val="22"/>
        </w:rPr>
        <w:t>find</w:t>
      </w:r>
      <w:r w:rsidRPr="00EA6BC9">
        <w:rPr>
          <w:rFonts w:ascii="Segoe UI" w:eastAsia="Segoe UI" w:hAnsi="Segoe UI" w:cs="Segoe UI"/>
          <w:sz w:val="22"/>
          <w:szCs w:val="22"/>
        </w:rPr>
        <w:t xml:space="preserve"> resources, </w:t>
      </w:r>
      <w:r w:rsidR="00C73966" w:rsidRPr="00EA6BC9">
        <w:rPr>
          <w:rFonts w:ascii="Segoe UI" w:eastAsia="Segoe UI" w:hAnsi="Segoe UI" w:cs="Segoe UI"/>
          <w:sz w:val="22"/>
          <w:szCs w:val="22"/>
        </w:rPr>
        <w:t>prioritise</w:t>
      </w:r>
      <w:r w:rsidRPr="00EA6BC9">
        <w:rPr>
          <w:rFonts w:ascii="Segoe UI" w:eastAsia="Segoe UI" w:hAnsi="Segoe UI" w:cs="Segoe UI"/>
          <w:sz w:val="22"/>
          <w:szCs w:val="22"/>
        </w:rPr>
        <w:t xml:space="preserve"> actions, and implement solutions quickly. If a social worker lacks this skill, they may struggle to formulate effective plans, leaving clients without proper support and delaying progress toward resolving their issues.</w:t>
      </w:r>
    </w:p>
    <w:p w14:paraId="610A24EF" w14:textId="61D92DA9" w:rsidR="38172970" w:rsidRDefault="38172970" w:rsidP="38172970">
      <w:pPr>
        <w:spacing w:line="257" w:lineRule="auto"/>
        <w:jc w:val="both"/>
        <w:rPr>
          <w:rFonts w:ascii="Segoe UI" w:eastAsia="Segoe UI" w:hAnsi="Segoe UI" w:cs="Segoe UI"/>
          <w:sz w:val="22"/>
          <w:szCs w:val="22"/>
        </w:rPr>
      </w:pPr>
    </w:p>
    <w:p w14:paraId="1C36664C" w14:textId="18B4DCC0" w:rsidR="005D3E7F" w:rsidRPr="005D3E7F" w:rsidRDefault="00EA6BC9" w:rsidP="005D3E7F">
      <w:pPr>
        <w:spacing w:line="257" w:lineRule="auto"/>
        <w:jc w:val="both"/>
        <w:rPr>
          <w:rFonts w:ascii="Segoe UI" w:eastAsia="Segoe UI" w:hAnsi="Segoe UI" w:cs="Segoe UI"/>
          <w:sz w:val="22"/>
          <w:szCs w:val="22"/>
        </w:rPr>
      </w:pPr>
      <w:r w:rsidRPr="00EA6BC9">
        <w:rPr>
          <w:rFonts w:ascii="Segoe UI" w:eastAsia="Segoe UI" w:hAnsi="Segoe UI" w:cs="Segoe UI"/>
          <w:sz w:val="22"/>
          <w:szCs w:val="22"/>
        </w:rPr>
        <w:t>.</w:t>
      </w:r>
      <w:r w:rsidR="005D3E7F" w:rsidRPr="005D3E7F">
        <w:rPr>
          <w:rFonts w:ascii="Segoe UI" w:eastAsia="Segoe UI" w:hAnsi="Segoe UI" w:cs="Segoe UI"/>
          <w:sz w:val="22"/>
          <w:szCs w:val="22"/>
        </w:rPr>
        <w:t xml:space="preserve"> </w:t>
      </w:r>
    </w:p>
    <w:p w14:paraId="6DFF30EC" w14:textId="2290DA34" w:rsidR="005D3E7F" w:rsidRDefault="00597F58" w:rsidP="005D3E7F">
      <w:pPr>
        <w:spacing w:line="257" w:lineRule="auto"/>
        <w:jc w:val="both"/>
        <w:rPr>
          <w:rFonts w:ascii="Segoe UI" w:eastAsia="Segoe UI" w:hAnsi="Segoe UI" w:cs="Segoe UI"/>
          <w:sz w:val="22"/>
          <w:szCs w:val="22"/>
        </w:rPr>
      </w:pPr>
      <w:r>
        <w:rPr>
          <w:rFonts w:ascii="Segoe UI" w:eastAsia="Segoe UI" w:hAnsi="Segoe UI" w:cs="Segoe UI"/>
          <w:sz w:val="22"/>
          <w:szCs w:val="22"/>
        </w:rPr>
        <w:t>(1.4) str</w:t>
      </w:r>
      <w:r w:rsidR="0048227B">
        <w:rPr>
          <w:rFonts w:ascii="Segoe UI" w:eastAsia="Segoe UI" w:hAnsi="Segoe UI" w:cs="Segoe UI"/>
          <w:sz w:val="22"/>
          <w:szCs w:val="22"/>
        </w:rPr>
        <w:t>ategies to improve the skills for (social workers)</w:t>
      </w:r>
    </w:p>
    <w:p w14:paraId="20A25A0D" w14:textId="4ED9AB6F" w:rsidR="0048227B" w:rsidRPr="0048227B" w:rsidRDefault="0048227B" w:rsidP="0048227B">
      <w:pPr>
        <w:spacing w:line="257" w:lineRule="auto"/>
        <w:jc w:val="both"/>
        <w:rPr>
          <w:rFonts w:ascii="Segoe UI" w:eastAsia="Segoe UI" w:hAnsi="Segoe UI" w:cs="Segoe UI"/>
          <w:sz w:val="22"/>
          <w:szCs w:val="22"/>
        </w:rPr>
      </w:pPr>
      <w:r w:rsidRPr="0048227B">
        <w:rPr>
          <w:rFonts w:ascii="Segoe UI" w:eastAsia="Segoe UI" w:hAnsi="Segoe UI" w:cs="Segoe UI"/>
          <w:sz w:val="22"/>
          <w:szCs w:val="22"/>
        </w:rPr>
        <w:t>Social workers require various skills to succeed in their roles, including communication, empathy, and problem-solving. To enhance these skills, three effective strategies include training programs and workshops, mentorship, and self</w:t>
      </w:r>
      <w:r w:rsidR="005E2D25">
        <w:rPr>
          <w:rFonts w:ascii="Segoe UI" w:eastAsia="Segoe UI" w:hAnsi="Segoe UI" w:cs="Segoe UI"/>
          <w:sz w:val="22"/>
          <w:szCs w:val="22"/>
        </w:rPr>
        <w:t xml:space="preserve"> </w:t>
      </w:r>
      <w:r w:rsidRPr="0048227B">
        <w:rPr>
          <w:rFonts w:ascii="Segoe UI" w:eastAsia="Segoe UI" w:hAnsi="Segoe UI" w:cs="Segoe UI"/>
          <w:sz w:val="22"/>
          <w:szCs w:val="22"/>
        </w:rPr>
        <w:t>reflection practices.</w:t>
      </w:r>
      <w:r w:rsidR="003D3B26">
        <w:rPr>
          <w:rFonts w:ascii="Segoe UI" w:eastAsia="Segoe UI" w:hAnsi="Segoe UI" w:cs="Segoe UI"/>
          <w:sz w:val="22"/>
          <w:szCs w:val="22"/>
        </w:rPr>
        <w:t xml:space="preserve"> </w:t>
      </w:r>
      <w:r w:rsidR="00F9490D">
        <w:rPr>
          <w:rFonts w:ascii="Segoe UI" w:eastAsia="Segoe UI" w:hAnsi="Segoe UI" w:cs="Segoe UI"/>
          <w:sz w:val="22"/>
          <w:szCs w:val="22"/>
        </w:rPr>
        <w:t>add c</w:t>
      </w:r>
      <w:r w:rsidR="003D3B26">
        <w:rPr>
          <w:rFonts w:ascii="Segoe UI" w:eastAsia="Segoe UI" w:hAnsi="Segoe UI" w:cs="Segoe UI"/>
          <w:sz w:val="22"/>
          <w:szCs w:val="22"/>
        </w:rPr>
        <w:t>itation</w:t>
      </w:r>
      <w:r w:rsidRPr="0048227B">
        <w:rPr>
          <w:rFonts w:ascii="Segoe UI" w:eastAsia="Segoe UI" w:hAnsi="Segoe UI" w:cs="Segoe UI"/>
          <w:sz w:val="22"/>
          <w:szCs w:val="22"/>
        </w:rPr>
        <w:t xml:space="preserve"> These strategies are instrumental in ensuring social workers can adapt to the complexities of their roles and provide high-quality care to clients.</w:t>
      </w:r>
    </w:p>
    <w:p w14:paraId="102D6EAA" w14:textId="5F3CDABA" w:rsidR="0048227B" w:rsidRPr="0048227B" w:rsidRDefault="0048227B" w:rsidP="0048227B">
      <w:pPr>
        <w:spacing w:line="257" w:lineRule="auto"/>
        <w:jc w:val="both"/>
        <w:rPr>
          <w:rFonts w:ascii="Segoe UI" w:eastAsia="Segoe UI" w:hAnsi="Segoe UI" w:cs="Segoe UI"/>
          <w:sz w:val="22"/>
          <w:szCs w:val="22"/>
        </w:rPr>
      </w:pPr>
      <w:r w:rsidRPr="0048227B">
        <w:rPr>
          <w:rFonts w:ascii="Segoe UI" w:eastAsia="Segoe UI" w:hAnsi="Segoe UI" w:cs="Segoe UI"/>
          <w:sz w:val="22"/>
          <w:szCs w:val="22"/>
        </w:rPr>
        <w:t xml:space="preserve">Training programs and workshops are vital for improving technical and interpersonal skills. Social workers can </w:t>
      </w:r>
      <w:r w:rsidR="00C73966" w:rsidRPr="0048227B">
        <w:rPr>
          <w:rFonts w:ascii="Segoe UI" w:eastAsia="Segoe UI" w:hAnsi="Segoe UI" w:cs="Segoe UI"/>
          <w:sz w:val="22"/>
          <w:szCs w:val="22"/>
        </w:rPr>
        <w:t>take part</w:t>
      </w:r>
      <w:r w:rsidRPr="0048227B">
        <w:rPr>
          <w:rFonts w:ascii="Segoe UI" w:eastAsia="Segoe UI" w:hAnsi="Segoe UI" w:cs="Segoe UI"/>
          <w:sz w:val="22"/>
          <w:szCs w:val="22"/>
        </w:rPr>
        <w:t xml:space="preserve"> in sessions focused on active listening, cultural competency, and conflict resolution. For example, attending a communication workshop can help them learn how to engage effectively with clients and interpret non-verbal cues. Trauma</w:t>
      </w:r>
      <w:r w:rsidR="005E2D25">
        <w:rPr>
          <w:rFonts w:ascii="Segoe UI" w:eastAsia="Segoe UI" w:hAnsi="Segoe UI" w:cs="Segoe UI"/>
          <w:sz w:val="22"/>
          <w:szCs w:val="22"/>
        </w:rPr>
        <w:t xml:space="preserve"> </w:t>
      </w:r>
      <w:r w:rsidRPr="0048227B">
        <w:rPr>
          <w:rFonts w:ascii="Segoe UI" w:eastAsia="Segoe UI" w:hAnsi="Segoe UI" w:cs="Segoe UI"/>
          <w:sz w:val="22"/>
          <w:szCs w:val="22"/>
        </w:rPr>
        <w:t xml:space="preserve">informed care training is especially beneficial as it teaches social workers how to support individuals facing distress or trauma. Role-playing exercises in workshops allow professionals to practice handling sensitive scenarios, such as helping a domestic abuse survivor or a grieving client. This strategy was chosen because it </w:t>
      </w:r>
      <w:r w:rsidR="00C73966" w:rsidRPr="0048227B">
        <w:rPr>
          <w:rFonts w:ascii="Segoe UI" w:eastAsia="Segoe UI" w:hAnsi="Segoe UI" w:cs="Segoe UI"/>
          <w:sz w:val="22"/>
          <w:szCs w:val="22"/>
        </w:rPr>
        <w:t>offers</w:t>
      </w:r>
      <w:r w:rsidRPr="0048227B">
        <w:rPr>
          <w:rFonts w:ascii="Segoe UI" w:eastAsia="Segoe UI" w:hAnsi="Segoe UI" w:cs="Segoe UI"/>
          <w:sz w:val="22"/>
          <w:szCs w:val="22"/>
        </w:rPr>
        <w:t xml:space="preserve"> structured opportunities to learn new techniques and refine existing skills, ensuring social workers stay updated on industry best practices.</w:t>
      </w:r>
    </w:p>
    <w:p w14:paraId="6A41A1BE" w14:textId="5305E829" w:rsidR="0048227B" w:rsidRPr="0048227B" w:rsidRDefault="0048227B" w:rsidP="0048227B">
      <w:pPr>
        <w:spacing w:line="257" w:lineRule="auto"/>
        <w:jc w:val="both"/>
        <w:rPr>
          <w:rFonts w:ascii="Segoe UI" w:eastAsia="Segoe UI" w:hAnsi="Segoe UI" w:cs="Segoe UI"/>
          <w:sz w:val="22"/>
          <w:szCs w:val="22"/>
        </w:rPr>
      </w:pPr>
      <w:r w:rsidRPr="0048227B">
        <w:rPr>
          <w:rFonts w:ascii="Segoe UI" w:eastAsia="Segoe UI" w:hAnsi="Segoe UI" w:cs="Segoe UI"/>
          <w:sz w:val="22"/>
          <w:szCs w:val="22"/>
        </w:rPr>
        <w:t>Mentorship is another highly effective strategy for skill development. Partnering with experienced social workers allows less experienced professionals to learn through observation and feedback. For instance, a newly</w:t>
      </w:r>
      <w:r w:rsidR="784D0038" w:rsidRPr="091C8FEE">
        <w:rPr>
          <w:rFonts w:ascii="Segoe UI" w:eastAsia="Segoe UI" w:hAnsi="Segoe UI" w:cs="Segoe UI"/>
          <w:sz w:val="22"/>
          <w:szCs w:val="22"/>
        </w:rPr>
        <w:t xml:space="preserve"> </w:t>
      </w:r>
      <w:r w:rsidRPr="0048227B">
        <w:rPr>
          <w:rFonts w:ascii="Segoe UI" w:eastAsia="Segoe UI" w:hAnsi="Segoe UI" w:cs="Segoe UI"/>
          <w:sz w:val="22"/>
          <w:szCs w:val="22"/>
        </w:rPr>
        <w:t xml:space="preserve">qualified social worker could shadow a senior mentor during client consultations to </w:t>
      </w:r>
      <w:r w:rsidR="00C73966" w:rsidRPr="0048227B">
        <w:rPr>
          <w:rFonts w:ascii="Segoe UI" w:eastAsia="Segoe UI" w:hAnsi="Segoe UI" w:cs="Segoe UI"/>
          <w:sz w:val="22"/>
          <w:szCs w:val="22"/>
        </w:rPr>
        <w:t>see</w:t>
      </w:r>
      <w:r w:rsidRPr="0048227B">
        <w:rPr>
          <w:rFonts w:ascii="Segoe UI" w:eastAsia="Segoe UI" w:hAnsi="Segoe UI" w:cs="Segoe UI"/>
          <w:sz w:val="22"/>
          <w:szCs w:val="22"/>
        </w:rPr>
        <w:t xml:space="preserve"> their communication style and problem-solving approach. Mentors can also share valuable insights about managing complex cases, such as handling child protection concerns or supporting individuals with mental health challenges. This strategy </w:t>
      </w:r>
      <w:r w:rsidR="004634CB">
        <w:rPr>
          <w:rFonts w:ascii="Segoe UI" w:eastAsia="Segoe UI" w:hAnsi="Segoe UI" w:cs="Segoe UI"/>
          <w:sz w:val="22"/>
          <w:szCs w:val="22"/>
        </w:rPr>
        <w:t>was chosen b</w:t>
      </w:r>
      <w:r w:rsidRPr="0048227B">
        <w:rPr>
          <w:rFonts w:ascii="Segoe UI" w:eastAsia="Segoe UI" w:hAnsi="Segoe UI" w:cs="Segoe UI"/>
          <w:sz w:val="22"/>
          <w:szCs w:val="22"/>
        </w:rPr>
        <w:t xml:space="preserve">ecause mentorship </w:t>
      </w:r>
      <w:r w:rsidR="00C73966" w:rsidRPr="0048227B">
        <w:rPr>
          <w:rFonts w:ascii="Segoe UI" w:eastAsia="Segoe UI" w:hAnsi="Segoe UI" w:cs="Segoe UI"/>
          <w:sz w:val="22"/>
          <w:szCs w:val="22"/>
        </w:rPr>
        <w:t>offers</w:t>
      </w:r>
      <w:r w:rsidRPr="0048227B">
        <w:rPr>
          <w:rFonts w:ascii="Segoe UI" w:eastAsia="Segoe UI" w:hAnsi="Segoe UI" w:cs="Segoe UI"/>
          <w:sz w:val="22"/>
          <w:szCs w:val="22"/>
        </w:rPr>
        <w:t xml:space="preserve"> real-world learning opportunities. It also creates a supportive environment where social workers can receive guidance and build confidence in their ability to navigate challenging situations.</w:t>
      </w:r>
    </w:p>
    <w:p w14:paraId="59ECAEBE" w14:textId="2DAD9606" w:rsidR="002A4586" w:rsidRPr="002A4586" w:rsidRDefault="0048227B" w:rsidP="002A4586">
      <w:pPr>
        <w:spacing w:line="257" w:lineRule="auto"/>
        <w:jc w:val="both"/>
        <w:rPr>
          <w:rFonts w:ascii="Segoe UI" w:eastAsia="Segoe UI" w:hAnsi="Segoe UI" w:cs="Segoe UI"/>
          <w:sz w:val="22"/>
          <w:szCs w:val="22"/>
        </w:rPr>
      </w:pPr>
      <w:r w:rsidRPr="0048227B">
        <w:rPr>
          <w:rFonts w:ascii="Segoe UI" w:eastAsia="Segoe UI" w:hAnsi="Segoe UI" w:cs="Segoe UI"/>
          <w:sz w:val="22"/>
          <w:szCs w:val="22"/>
        </w:rPr>
        <w:t>Self</w:t>
      </w:r>
      <w:r w:rsidR="004634CB">
        <w:rPr>
          <w:rFonts w:ascii="Segoe UI" w:eastAsia="Segoe UI" w:hAnsi="Segoe UI" w:cs="Segoe UI"/>
          <w:sz w:val="22"/>
          <w:szCs w:val="22"/>
        </w:rPr>
        <w:t xml:space="preserve"> </w:t>
      </w:r>
      <w:r w:rsidRPr="0048227B">
        <w:rPr>
          <w:rFonts w:ascii="Segoe UI" w:eastAsia="Segoe UI" w:hAnsi="Segoe UI" w:cs="Segoe UI"/>
          <w:sz w:val="22"/>
          <w:szCs w:val="22"/>
        </w:rPr>
        <w:t xml:space="preserve">reflection is a powerful tool for personal and professional growth. Social workers can engage in mindfulness exercises, journaling, or reviewing their daily interactions with clients. This helps them </w:t>
      </w:r>
      <w:r w:rsidR="00F80884" w:rsidRPr="0048227B">
        <w:rPr>
          <w:rFonts w:ascii="Segoe UI" w:eastAsia="Segoe UI" w:hAnsi="Segoe UI" w:cs="Segoe UI"/>
          <w:sz w:val="22"/>
          <w:szCs w:val="22"/>
        </w:rPr>
        <w:t>find</w:t>
      </w:r>
      <w:r w:rsidRPr="0048227B">
        <w:rPr>
          <w:rFonts w:ascii="Segoe UI" w:eastAsia="Segoe UI" w:hAnsi="Segoe UI" w:cs="Segoe UI"/>
          <w:sz w:val="22"/>
          <w:szCs w:val="22"/>
        </w:rPr>
        <w:t xml:space="preserve"> areas for improvement and </w:t>
      </w:r>
      <w:r w:rsidR="00F80884" w:rsidRPr="0048227B">
        <w:rPr>
          <w:rFonts w:ascii="Segoe UI" w:eastAsia="Segoe UI" w:hAnsi="Segoe UI" w:cs="Segoe UI"/>
          <w:sz w:val="22"/>
          <w:szCs w:val="22"/>
        </w:rPr>
        <w:t>recognise</w:t>
      </w:r>
      <w:r w:rsidRPr="0048227B">
        <w:rPr>
          <w:rFonts w:ascii="Segoe UI" w:eastAsia="Segoe UI" w:hAnsi="Segoe UI" w:cs="Segoe UI"/>
          <w:sz w:val="22"/>
          <w:szCs w:val="22"/>
        </w:rPr>
        <w:t xml:space="preserve"> their emotional responses to situations. For example, reflecting on a case involving an elderly client transitioning to assisted living allows social workers to evaluate their approach and potentially improve their empathy and communication. Self-reflection also helps </w:t>
      </w:r>
      <w:r w:rsidR="00F80884" w:rsidRPr="0048227B">
        <w:rPr>
          <w:rFonts w:ascii="Segoe UI" w:eastAsia="Segoe UI" w:hAnsi="Segoe UI" w:cs="Segoe UI"/>
          <w:sz w:val="22"/>
          <w:szCs w:val="22"/>
        </w:rPr>
        <w:t>show</w:t>
      </w:r>
      <w:r w:rsidRPr="0048227B">
        <w:rPr>
          <w:rFonts w:ascii="Segoe UI" w:eastAsia="Segoe UI" w:hAnsi="Segoe UI" w:cs="Segoe UI"/>
          <w:sz w:val="22"/>
          <w:szCs w:val="22"/>
        </w:rPr>
        <w:t xml:space="preserve"> biases and enhances emotional resilience, enabling social workers to better manage the stresses of their profession. This strategy was chosen because it fosters self</w:t>
      </w:r>
      <w:r w:rsidR="004634CB">
        <w:rPr>
          <w:rFonts w:ascii="Segoe UI" w:eastAsia="Segoe UI" w:hAnsi="Segoe UI" w:cs="Segoe UI"/>
          <w:sz w:val="22"/>
          <w:szCs w:val="22"/>
        </w:rPr>
        <w:t xml:space="preserve"> </w:t>
      </w:r>
      <w:r w:rsidRPr="0048227B">
        <w:rPr>
          <w:rFonts w:ascii="Segoe UI" w:eastAsia="Segoe UI" w:hAnsi="Segoe UI" w:cs="Segoe UI"/>
          <w:sz w:val="22"/>
          <w:szCs w:val="22"/>
        </w:rPr>
        <w:t>awareness, which is essential for building trust with clients and improving relationships.</w:t>
      </w:r>
    </w:p>
    <w:p w14:paraId="4B978CE8" w14:textId="22B0A36B" w:rsidR="000E1BE7" w:rsidRPr="000E1BE7" w:rsidRDefault="000E1BE7" w:rsidP="000E1BE7">
      <w:pPr>
        <w:spacing w:line="257" w:lineRule="auto"/>
        <w:jc w:val="both"/>
        <w:rPr>
          <w:rFonts w:ascii="Segoe UI" w:eastAsia="Segoe UI" w:hAnsi="Segoe UI" w:cs="Segoe UI"/>
          <w:sz w:val="22"/>
          <w:szCs w:val="22"/>
        </w:rPr>
      </w:pPr>
      <w:r w:rsidRPr="000E1BE7">
        <w:rPr>
          <w:rFonts w:ascii="Segoe UI" w:eastAsia="Segoe UI" w:hAnsi="Segoe UI" w:cs="Segoe UI"/>
          <w:sz w:val="22"/>
          <w:szCs w:val="22"/>
        </w:rPr>
        <w:t xml:space="preserve">Social workers play an essential role in ensuring safe and high-quality care in the health and social care sector. Their work requires </w:t>
      </w:r>
      <w:r w:rsidR="00C73966" w:rsidRPr="000E1BE7">
        <w:rPr>
          <w:rFonts w:ascii="Segoe UI" w:eastAsia="Segoe UI" w:hAnsi="Segoe UI" w:cs="Segoe UI"/>
          <w:sz w:val="22"/>
          <w:szCs w:val="22"/>
        </w:rPr>
        <w:t>effective communication</w:t>
      </w:r>
      <w:r w:rsidRPr="000E1BE7">
        <w:rPr>
          <w:rFonts w:ascii="Segoe UI" w:eastAsia="Segoe UI" w:hAnsi="Segoe UI" w:cs="Segoe UI"/>
          <w:sz w:val="22"/>
          <w:szCs w:val="22"/>
        </w:rPr>
        <w:t>, empathy, and problem-solving skills to address the complex challenges faced by individuals and communities. Training programs, mentorship, and self-reflection are effective strategies for improving these critical skills, enabling social workers to better navigate their roles, collaborate with other professionals, and provide tailored support to vulnerable populations.</w:t>
      </w:r>
    </w:p>
    <w:p w14:paraId="06ACD509" w14:textId="39E1949F" w:rsidR="000E1BE7" w:rsidRPr="000E1BE7" w:rsidRDefault="000E1BE7" w:rsidP="000E1BE7">
      <w:pPr>
        <w:spacing w:line="257" w:lineRule="auto"/>
        <w:jc w:val="both"/>
        <w:rPr>
          <w:rFonts w:ascii="Segoe UI" w:eastAsia="Segoe UI" w:hAnsi="Segoe UI" w:cs="Segoe UI"/>
          <w:sz w:val="22"/>
          <w:szCs w:val="22"/>
        </w:rPr>
      </w:pPr>
    </w:p>
    <w:p w14:paraId="7E113EE4" w14:textId="427C4A05" w:rsidR="00F46648" w:rsidRPr="00D00ADD" w:rsidRDefault="38526BBC" w:rsidP="091C8FEE">
      <w:pPr>
        <w:spacing w:line="257" w:lineRule="auto"/>
        <w:jc w:val="both"/>
        <w:rPr>
          <w:rFonts w:ascii="Arial" w:eastAsia="Arial" w:hAnsi="Arial" w:cs="Arial"/>
          <w:sz w:val="22"/>
          <w:szCs w:val="22"/>
        </w:rPr>
      </w:pPr>
      <w:r w:rsidRPr="091C8FEE">
        <w:rPr>
          <w:rFonts w:ascii="Segoe UI" w:eastAsia="Segoe UI" w:hAnsi="Segoe UI" w:cs="Segoe UI"/>
          <w:sz w:val="22"/>
          <w:szCs w:val="22"/>
        </w:rPr>
        <w:t xml:space="preserve">(1.5) reference </w:t>
      </w:r>
      <w:r w:rsidR="00D00ADD">
        <w:rPr>
          <w:rFonts w:ascii="Arial" w:eastAsia="Arial" w:hAnsi="Arial" w:cs="Arial"/>
          <w:sz w:val="22"/>
          <w:szCs w:val="22"/>
        </w:rPr>
        <w:t>:</w:t>
      </w:r>
    </w:p>
    <w:p w14:paraId="23F1C4AC" w14:textId="1F15AB7C" w:rsidR="008409AA" w:rsidRPr="008409AA" w:rsidRDefault="008409AA" w:rsidP="008409AA">
      <w:pPr>
        <w:spacing w:line="257" w:lineRule="auto"/>
        <w:jc w:val="both"/>
        <w:rPr>
          <w:rFonts w:ascii="Segoe UI" w:eastAsia="Segoe UI" w:hAnsi="Segoe UI" w:cs="Segoe UI"/>
          <w:sz w:val="22"/>
          <w:szCs w:val="22"/>
        </w:rPr>
      </w:pPr>
      <w:r w:rsidRPr="008409AA">
        <w:rPr>
          <w:rFonts w:ascii="Segoe UI" w:eastAsia="Segoe UI" w:hAnsi="Segoe UI" w:cs="Segoe UI"/>
          <w:sz w:val="22"/>
          <w:szCs w:val="22"/>
        </w:rPr>
        <w:t>National Association of Social Workers (NASW)</w:t>
      </w:r>
    </w:p>
    <w:p w14:paraId="4E185939" w14:textId="77777777" w:rsidR="00BC5B76" w:rsidRDefault="008409AA" w:rsidP="091C8FEE">
      <w:pPr>
        <w:spacing w:line="257" w:lineRule="auto"/>
        <w:jc w:val="both"/>
        <w:rPr>
          <w:rFonts w:ascii="Segoe UI" w:eastAsia="Segoe UI" w:hAnsi="Segoe UI" w:cs="Segoe UI"/>
          <w:sz w:val="22"/>
          <w:szCs w:val="22"/>
        </w:rPr>
      </w:pPr>
      <w:r w:rsidRPr="008409AA">
        <w:rPr>
          <w:rFonts w:ascii="Segoe UI" w:eastAsia="Segoe UI" w:hAnsi="Segoe UI" w:cs="Segoe UI"/>
          <w:sz w:val="22"/>
          <w:szCs w:val="22"/>
        </w:rPr>
        <w:t>National Association of Social Workers (2021) NASW Standards for Social Work Practice in Health Care Settings. Available at:</w:t>
      </w:r>
    </w:p>
    <w:p w14:paraId="165B07F7" w14:textId="36347064" w:rsidR="002860EA" w:rsidRDefault="008409AA" w:rsidP="091C8FEE">
      <w:pPr>
        <w:spacing w:line="257" w:lineRule="auto"/>
        <w:jc w:val="both"/>
        <w:rPr>
          <w:rFonts w:ascii="Segoe UI" w:eastAsia="Segoe UI" w:hAnsi="Segoe UI" w:cs="Segoe UI"/>
          <w:sz w:val="22"/>
          <w:szCs w:val="22"/>
        </w:rPr>
      </w:pPr>
      <w:r w:rsidRPr="008409AA">
        <w:rPr>
          <w:rFonts w:ascii="Segoe UI" w:eastAsia="Segoe UI" w:hAnsi="Segoe UI" w:cs="Segoe UI"/>
          <w:sz w:val="22"/>
          <w:szCs w:val="22"/>
        </w:rPr>
        <w:t xml:space="preserve"> </w:t>
      </w:r>
      <w:hyperlink r:id="rId5" w:history="1">
        <w:r w:rsidR="00BC5B76" w:rsidRPr="00CE26C4">
          <w:rPr>
            <w:rStyle w:val="Hyperlink"/>
            <w:rFonts w:ascii="Segoe UI" w:eastAsia="Segoe UI" w:hAnsi="Segoe UI" w:cs="Segoe UI"/>
            <w:sz w:val="22"/>
            <w:szCs w:val="22"/>
          </w:rPr>
          <w:t>https://www.socialworkers.org/Practice/Standards-For-Social-Work-Practice-in-Health-Care-Setting</w:t>
        </w:r>
      </w:hyperlink>
      <w:r w:rsidR="00BC5B76">
        <w:rPr>
          <w:rFonts w:ascii="Segoe UI" w:eastAsia="Segoe UI" w:hAnsi="Segoe UI" w:cs="Segoe UI"/>
          <w:sz w:val="22"/>
          <w:szCs w:val="22"/>
        </w:rPr>
        <w:t xml:space="preserve"> </w:t>
      </w:r>
      <w:r w:rsidR="002860EA">
        <w:rPr>
          <w:rFonts w:ascii="Segoe UI" w:eastAsia="Segoe UI" w:hAnsi="Segoe UI" w:cs="Segoe UI"/>
          <w:sz w:val="22"/>
          <w:szCs w:val="22"/>
        </w:rPr>
        <w:t>(</w:t>
      </w:r>
      <w:r w:rsidRPr="008409AA">
        <w:rPr>
          <w:rFonts w:ascii="Segoe UI" w:eastAsia="Segoe UI" w:hAnsi="Segoe UI" w:cs="Segoe UI"/>
          <w:sz w:val="22"/>
          <w:szCs w:val="22"/>
        </w:rPr>
        <w:t>Accessed 14 November 2025</w:t>
      </w:r>
      <w:r w:rsidR="002860EA">
        <w:rPr>
          <w:rFonts w:ascii="Segoe UI" w:eastAsia="Segoe UI" w:hAnsi="Segoe UI" w:cs="Segoe UI"/>
          <w:sz w:val="22"/>
          <w:szCs w:val="22"/>
        </w:rPr>
        <w:t>)</w:t>
      </w:r>
    </w:p>
    <w:p w14:paraId="4BC913AF" w14:textId="671107CB" w:rsidR="00357442" w:rsidRPr="00357442" w:rsidRDefault="00357442" w:rsidP="00357442">
      <w:pPr>
        <w:spacing w:line="257" w:lineRule="auto"/>
        <w:jc w:val="both"/>
        <w:rPr>
          <w:rFonts w:ascii="Segoe UI" w:eastAsia="Segoe UI" w:hAnsi="Segoe UI" w:cs="Segoe UI"/>
          <w:sz w:val="22"/>
          <w:szCs w:val="22"/>
        </w:rPr>
      </w:pPr>
      <w:r w:rsidRPr="00357442">
        <w:rPr>
          <w:rFonts w:ascii="Segoe UI" w:eastAsia="Segoe UI" w:hAnsi="Segoe UI" w:cs="Segoe UI"/>
          <w:sz w:val="22"/>
          <w:szCs w:val="22"/>
        </w:rPr>
        <w:t>Banks, S.</w:t>
      </w:r>
    </w:p>
    <w:p w14:paraId="472C5B9E" w14:textId="77777777" w:rsidR="00357442" w:rsidRDefault="00357442" w:rsidP="091C8FEE">
      <w:pPr>
        <w:spacing w:line="257" w:lineRule="auto"/>
        <w:jc w:val="both"/>
        <w:rPr>
          <w:rFonts w:ascii="Segoe UI" w:eastAsia="Segoe UI" w:hAnsi="Segoe UI" w:cs="Segoe UI"/>
          <w:sz w:val="22"/>
          <w:szCs w:val="22"/>
        </w:rPr>
      </w:pPr>
      <w:r w:rsidRPr="00357442">
        <w:rPr>
          <w:rFonts w:ascii="Segoe UI" w:eastAsia="Segoe UI" w:hAnsi="Segoe UI" w:cs="Segoe UI"/>
          <w:sz w:val="22"/>
          <w:szCs w:val="22"/>
        </w:rPr>
        <w:t>Banks, S. (2010) ‘Integrity in Professional Life: Issues of Conduct, Commitment and Capacity’, British Journal of Social Work, 40(8), pp. 2168–2184. Available at:</w:t>
      </w:r>
    </w:p>
    <w:p w14:paraId="6AD8BC6A" w14:textId="3AAC3220" w:rsidR="002860EA" w:rsidRDefault="00357442" w:rsidP="091C8FEE">
      <w:pPr>
        <w:spacing w:line="257" w:lineRule="auto"/>
        <w:jc w:val="both"/>
        <w:rPr>
          <w:rFonts w:ascii="Segoe UI" w:eastAsia="Segoe UI" w:hAnsi="Segoe UI" w:cs="Segoe UI"/>
          <w:sz w:val="22"/>
          <w:szCs w:val="22"/>
        </w:rPr>
      </w:pPr>
      <w:r w:rsidRPr="00357442">
        <w:rPr>
          <w:rFonts w:ascii="Segoe UI" w:eastAsia="Segoe UI" w:hAnsi="Segoe UI" w:cs="Segoe UI"/>
          <w:sz w:val="22"/>
          <w:szCs w:val="22"/>
        </w:rPr>
        <w:t xml:space="preserve"> </w:t>
      </w:r>
      <w:hyperlink r:id="rId6" w:history="1">
        <w:r w:rsidRPr="00CE26C4">
          <w:rPr>
            <w:rStyle w:val="Hyperlink"/>
            <w:rFonts w:ascii="Segoe UI" w:eastAsia="Segoe UI" w:hAnsi="Segoe UI" w:cs="Segoe UI"/>
            <w:sz w:val="22"/>
            <w:szCs w:val="22"/>
          </w:rPr>
          <w:t>https://www.open.edu/openlearn/health-sports-psychology/social-care-social-work/an-introduction-social-work/content-section---references</w:t>
        </w:r>
      </w:hyperlink>
      <w:r w:rsidR="00173626">
        <w:rPr>
          <w:rFonts w:ascii="Segoe UI" w:eastAsia="Segoe UI" w:hAnsi="Segoe UI" w:cs="Segoe UI"/>
          <w:sz w:val="22"/>
          <w:szCs w:val="22"/>
        </w:rPr>
        <w:t xml:space="preserve"> (</w:t>
      </w:r>
      <w:r w:rsidRPr="00357442">
        <w:rPr>
          <w:rFonts w:ascii="Segoe UI" w:eastAsia="Segoe UI" w:hAnsi="Segoe UI" w:cs="Segoe UI"/>
          <w:sz w:val="22"/>
          <w:szCs w:val="22"/>
        </w:rPr>
        <w:t>Accessed 14 November 2025</w:t>
      </w:r>
      <w:r w:rsidR="00173626">
        <w:rPr>
          <w:rFonts w:ascii="Segoe UI" w:eastAsia="Segoe UI" w:hAnsi="Segoe UI" w:cs="Segoe UI"/>
          <w:sz w:val="22"/>
          <w:szCs w:val="22"/>
        </w:rPr>
        <w:t>)</w:t>
      </w:r>
    </w:p>
    <w:p w14:paraId="250D36E1" w14:textId="77777777" w:rsidR="00710CC9" w:rsidRPr="00710CC9" w:rsidRDefault="00710CC9" w:rsidP="00710CC9">
      <w:pPr>
        <w:spacing w:line="257" w:lineRule="auto"/>
        <w:jc w:val="both"/>
        <w:rPr>
          <w:rFonts w:ascii="Segoe UI" w:eastAsia="Segoe UI" w:hAnsi="Segoe UI" w:cs="Segoe UI"/>
          <w:sz w:val="22"/>
          <w:szCs w:val="22"/>
        </w:rPr>
      </w:pPr>
      <w:proofErr w:type="spellStart"/>
      <w:r w:rsidRPr="00710CC9">
        <w:rPr>
          <w:rFonts w:ascii="Segoe UI" w:eastAsia="Segoe UI" w:hAnsi="Segoe UI" w:cs="Segoe UI"/>
          <w:sz w:val="22"/>
          <w:szCs w:val="22"/>
        </w:rPr>
        <w:t>Gitterman</w:t>
      </w:r>
      <w:proofErr w:type="spellEnd"/>
      <w:r w:rsidRPr="00710CC9">
        <w:rPr>
          <w:rFonts w:ascii="Segoe UI" w:eastAsia="Segoe UI" w:hAnsi="Segoe UI" w:cs="Segoe UI"/>
          <w:sz w:val="22"/>
          <w:szCs w:val="22"/>
        </w:rPr>
        <w:t>, A. &amp; Germain, C.B.</w:t>
      </w:r>
    </w:p>
    <w:p w14:paraId="4AB6714D" w14:textId="77777777" w:rsidR="00710CC9" w:rsidRDefault="00710CC9" w:rsidP="091C8FEE">
      <w:pPr>
        <w:spacing w:line="257" w:lineRule="auto"/>
        <w:jc w:val="both"/>
        <w:rPr>
          <w:rFonts w:ascii="Segoe UI" w:eastAsia="Segoe UI" w:hAnsi="Segoe UI" w:cs="Segoe UI"/>
          <w:sz w:val="22"/>
          <w:szCs w:val="22"/>
        </w:rPr>
      </w:pPr>
      <w:proofErr w:type="spellStart"/>
      <w:r w:rsidRPr="00710CC9">
        <w:rPr>
          <w:rFonts w:ascii="Segoe UI" w:eastAsia="Segoe UI" w:hAnsi="Segoe UI" w:cs="Segoe UI"/>
          <w:sz w:val="22"/>
          <w:szCs w:val="22"/>
        </w:rPr>
        <w:t>Gitterman</w:t>
      </w:r>
      <w:proofErr w:type="spellEnd"/>
      <w:r w:rsidRPr="00710CC9">
        <w:rPr>
          <w:rFonts w:ascii="Segoe UI" w:eastAsia="Segoe UI" w:hAnsi="Segoe UI" w:cs="Segoe UI"/>
          <w:sz w:val="22"/>
          <w:szCs w:val="22"/>
        </w:rPr>
        <w:t xml:space="preserve">, A. &amp; Germain, C.B. (2008) The Life Model of Social Work Practice: Advances in Theory and Practice. 3rd </w:t>
      </w:r>
      <w:proofErr w:type="spellStart"/>
      <w:r w:rsidRPr="00710CC9">
        <w:rPr>
          <w:rFonts w:ascii="Segoe UI" w:eastAsia="Segoe UI" w:hAnsi="Segoe UI" w:cs="Segoe UI"/>
          <w:sz w:val="22"/>
          <w:szCs w:val="22"/>
        </w:rPr>
        <w:t>edn</w:t>
      </w:r>
      <w:proofErr w:type="spellEnd"/>
      <w:r w:rsidRPr="00710CC9">
        <w:rPr>
          <w:rFonts w:ascii="Segoe UI" w:eastAsia="Segoe UI" w:hAnsi="Segoe UI" w:cs="Segoe UI"/>
          <w:sz w:val="22"/>
          <w:szCs w:val="22"/>
        </w:rPr>
        <w:t>. New York: Columbia University Press. Available at:</w:t>
      </w:r>
    </w:p>
    <w:p w14:paraId="1730E8B1" w14:textId="43330EF0" w:rsidR="00173626" w:rsidRDefault="00710CC9" w:rsidP="091C8FEE">
      <w:pPr>
        <w:spacing w:line="257" w:lineRule="auto"/>
        <w:jc w:val="both"/>
        <w:rPr>
          <w:rFonts w:ascii="Segoe UI" w:eastAsia="Segoe UI" w:hAnsi="Segoe UI" w:cs="Segoe UI"/>
          <w:sz w:val="22"/>
          <w:szCs w:val="22"/>
        </w:rPr>
      </w:pPr>
      <w:r w:rsidRPr="00710CC9">
        <w:rPr>
          <w:rFonts w:ascii="Segoe UI" w:eastAsia="Segoe UI" w:hAnsi="Segoe UI" w:cs="Segoe UI"/>
          <w:sz w:val="22"/>
          <w:szCs w:val="22"/>
        </w:rPr>
        <w:t xml:space="preserve"> </w:t>
      </w:r>
      <w:hyperlink r:id="rId7" w:history="1">
        <w:r w:rsidRPr="00CE26C4">
          <w:rPr>
            <w:rStyle w:val="Hyperlink"/>
            <w:rFonts w:ascii="Segoe UI" w:eastAsia="Segoe UI" w:hAnsi="Segoe UI" w:cs="Segoe UI"/>
            <w:sz w:val="22"/>
            <w:szCs w:val="22"/>
          </w:rPr>
          <w:t>https://www.adelphi.edu/social-work/social-justice/real-cases/introduction/references/</w:t>
        </w:r>
      </w:hyperlink>
      <w:r w:rsidR="00F51156">
        <w:rPr>
          <w:rFonts w:ascii="Segoe UI" w:eastAsia="Segoe UI" w:hAnsi="Segoe UI" w:cs="Segoe UI"/>
          <w:sz w:val="22"/>
          <w:szCs w:val="22"/>
        </w:rPr>
        <w:t xml:space="preserve"> (</w:t>
      </w:r>
      <w:r w:rsidRPr="00710CC9">
        <w:rPr>
          <w:rFonts w:ascii="Segoe UI" w:eastAsia="Segoe UI" w:hAnsi="Segoe UI" w:cs="Segoe UI"/>
          <w:sz w:val="22"/>
          <w:szCs w:val="22"/>
        </w:rPr>
        <w:t>Accessed 14 November 2025</w:t>
      </w:r>
      <w:r w:rsidR="00F51156">
        <w:rPr>
          <w:rFonts w:ascii="Segoe UI" w:eastAsia="Segoe UI" w:hAnsi="Segoe UI" w:cs="Segoe UI"/>
          <w:sz w:val="22"/>
          <w:szCs w:val="22"/>
        </w:rPr>
        <w:t>)</w:t>
      </w:r>
    </w:p>
    <w:p w14:paraId="2C8515A7" w14:textId="77777777" w:rsidR="00DC39A4" w:rsidRPr="00DC39A4" w:rsidRDefault="00DC39A4" w:rsidP="00DC39A4">
      <w:pPr>
        <w:spacing w:line="257" w:lineRule="auto"/>
        <w:jc w:val="both"/>
        <w:rPr>
          <w:rFonts w:ascii="Segoe UI" w:eastAsia="Segoe UI" w:hAnsi="Segoe UI" w:cs="Segoe UI"/>
          <w:sz w:val="22"/>
          <w:szCs w:val="22"/>
        </w:rPr>
      </w:pPr>
      <w:r w:rsidRPr="00DC39A4">
        <w:rPr>
          <w:rFonts w:ascii="Segoe UI" w:eastAsia="Segoe UI" w:hAnsi="Segoe UI" w:cs="Segoe UI"/>
          <w:sz w:val="22"/>
          <w:szCs w:val="22"/>
        </w:rPr>
        <w:t xml:space="preserve">. </w:t>
      </w:r>
      <w:proofErr w:type="spellStart"/>
      <w:r w:rsidRPr="00DC39A4">
        <w:rPr>
          <w:rFonts w:ascii="Segoe UI" w:eastAsia="Segoe UI" w:hAnsi="Segoe UI" w:cs="Segoe UI"/>
          <w:sz w:val="22"/>
          <w:szCs w:val="22"/>
        </w:rPr>
        <w:t>Gambrill</w:t>
      </w:r>
      <w:proofErr w:type="spellEnd"/>
      <w:r w:rsidRPr="00DC39A4">
        <w:rPr>
          <w:rFonts w:ascii="Segoe UI" w:eastAsia="Segoe UI" w:hAnsi="Segoe UI" w:cs="Segoe UI"/>
          <w:sz w:val="22"/>
          <w:szCs w:val="22"/>
        </w:rPr>
        <w:t>, E. &amp; Gibbs, L.</w:t>
      </w:r>
    </w:p>
    <w:p w14:paraId="7A2EEA67" w14:textId="77777777" w:rsidR="00494ECC" w:rsidRDefault="00DC39A4" w:rsidP="091C8FEE">
      <w:pPr>
        <w:spacing w:line="257" w:lineRule="auto"/>
        <w:jc w:val="both"/>
        <w:rPr>
          <w:rFonts w:ascii="Segoe UI" w:eastAsia="Segoe UI" w:hAnsi="Segoe UI" w:cs="Segoe UI"/>
          <w:sz w:val="22"/>
          <w:szCs w:val="22"/>
        </w:rPr>
      </w:pPr>
      <w:proofErr w:type="spellStart"/>
      <w:r w:rsidRPr="00DC39A4">
        <w:rPr>
          <w:rFonts w:ascii="Segoe UI" w:eastAsia="Segoe UI" w:hAnsi="Segoe UI" w:cs="Segoe UI"/>
          <w:sz w:val="22"/>
          <w:szCs w:val="22"/>
        </w:rPr>
        <w:t>Gambrill</w:t>
      </w:r>
      <w:proofErr w:type="spellEnd"/>
      <w:r w:rsidRPr="00DC39A4">
        <w:rPr>
          <w:rFonts w:ascii="Segoe UI" w:eastAsia="Segoe UI" w:hAnsi="Segoe UI" w:cs="Segoe UI"/>
          <w:sz w:val="22"/>
          <w:szCs w:val="22"/>
        </w:rPr>
        <w:t xml:space="preserve">, E. &amp; Gibbs, L. (2017) Critical Thinking for Helping Professionals: A Skills-Based Workbook. 4th </w:t>
      </w:r>
      <w:proofErr w:type="spellStart"/>
      <w:r w:rsidRPr="00DC39A4">
        <w:rPr>
          <w:rFonts w:ascii="Segoe UI" w:eastAsia="Segoe UI" w:hAnsi="Segoe UI" w:cs="Segoe UI"/>
          <w:sz w:val="22"/>
          <w:szCs w:val="22"/>
        </w:rPr>
        <w:t>edn</w:t>
      </w:r>
      <w:proofErr w:type="spellEnd"/>
      <w:r w:rsidRPr="00DC39A4">
        <w:rPr>
          <w:rFonts w:ascii="Segoe UI" w:eastAsia="Segoe UI" w:hAnsi="Segoe UI" w:cs="Segoe UI"/>
          <w:sz w:val="22"/>
          <w:szCs w:val="22"/>
        </w:rPr>
        <w:t>. New York: Oxford University Press. Available at:</w:t>
      </w:r>
    </w:p>
    <w:p w14:paraId="22A8D8CB" w14:textId="128E9491" w:rsidR="00F51156" w:rsidRDefault="00DC39A4" w:rsidP="091C8FEE">
      <w:pPr>
        <w:spacing w:line="257" w:lineRule="auto"/>
        <w:jc w:val="both"/>
        <w:rPr>
          <w:rFonts w:ascii="Segoe UI" w:eastAsia="Segoe UI" w:hAnsi="Segoe UI" w:cs="Segoe UI"/>
          <w:sz w:val="22"/>
          <w:szCs w:val="22"/>
        </w:rPr>
      </w:pPr>
      <w:r w:rsidRPr="00DC39A4">
        <w:rPr>
          <w:rFonts w:ascii="Segoe UI" w:eastAsia="Segoe UI" w:hAnsi="Segoe UI" w:cs="Segoe UI"/>
          <w:sz w:val="22"/>
          <w:szCs w:val="22"/>
        </w:rPr>
        <w:t xml:space="preserve"> </w:t>
      </w:r>
      <w:hyperlink r:id="rId8" w:history="1">
        <w:r w:rsidR="00494ECC" w:rsidRPr="00CE26C4">
          <w:rPr>
            <w:rStyle w:val="Hyperlink"/>
            <w:rFonts w:ascii="Segoe UI" w:eastAsia="Segoe UI" w:hAnsi="Segoe UI" w:cs="Segoe UI"/>
            <w:sz w:val="22"/>
            <w:szCs w:val="22"/>
          </w:rPr>
          <w:t>https://ohiostate.pressbooks.pub/swk3402/chapter/module-1-references/</w:t>
        </w:r>
      </w:hyperlink>
      <w:r w:rsidR="00494ECC">
        <w:rPr>
          <w:rFonts w:ascii="Segoe UI" w:eastAsia="Segoe UI" w:hAnsi="Segoe UI" w:cs="Segoe UI"/>
          <w:sz w:val="22"/>
          <w:szCs w:val="22"/>
        </w:rPr>
        <w:t xml:space="preserve"> (</w:t>
      </w:r>
      <w:r w:rsidRPr="00DC39A4">
        <w:rPr>
          <w:rFonts w:ascii="Segoe UI" w:eastAsia="Segoe UI" w:hAnsi="Segoe UI" w:cs="Segoe UI"/>
          <w:sz w:val="22"/>
          <w:szCs w:val="22"/>
        </w:rPr>
        <w:t>Accessed 14 November 2025</w:t>
      </w:r>
      <w:r w:rsidR="00494ECC">
        <w:rPr>
          <w:rFonts w:ascii="Segoe UI" w:eastAsia="Segoe UI" w:hAnsi="Segoe UI" w:cs="Segoe UI"/>
          <w:sz w:val="22"/>
          <w:szCs w:val="22"/>
        </w:rPr>
        <w:t>)</w:t>
      </w:r>
    </w:p>
    <w:p w14:paraId="2E8750AE" w14:textId="167204C2" w:rsidR="00432766" w:rsidRPr="00432766" w:rsidRDefault="00432766" w:rsidP="00432766">
      <w:pPr>
        <w:spacing w:line="257" w:lineRule="auto"/>
        <w:jc w:val="both"/>
        <w:rPr>
          <w:rFonts w:ascii="Segoe UI" w:eastAsia="Segoe UI" w:hAnsi="Segoe UI" w:cs="Segoe UI"/>
          <w:sz w:val="22"/>
          <w:szCs w:val="22"/>
        </w:rPr>
      </w:pPr>
      <w:r w:rsidRPr="00432766">
        <w:rPr>
          <w:rFonts w:ascii="Segoe UI" w:eastAsia="Segoe UI" w:hAnsi="Segoe UI" w:cs="Segoe UI"/>
          <w:sz w:val="22"/>
          <w:szCs w:val="22"/>
        </w:rPr>
        <w:t xml:space="preserve">Martin, E.M., Myers, K. &amp; </w:t>
      </w:r>
      <w:proofErr w:type="spellStart"/>
      <w:r w:rsidRPr="00432766">
        <w:rPr>
          <w:rFonts w:ascii="Segoe UI" w:eastAsia="Segoe UI" w:hAnsi="Segoe UI" w:cs="Segoe UI"/>
          <w:sz w:val="22"/>
          <w:szCs w:val="22"/>
        </w:rPr>
        <w:t>Brickman</w:t>
      </w:r>
      <w:proofErr w:type="spellEnd"/>
      <w:r w:rsidRPr="00432766">
        <w:rPr>
          <w:rFonts w:ascii="Segoe UI" w:eastAsia="Segoe UI" w:hAnsi="Segoe UI" w:cs="Segoe UI"/>
          <w:sz w:val="22"/>
          <w:szCs w:val="22"/>
        </w:rPr>
        <w:t>, K.</w:t>
      </w:r>
    </w:p>
    <w:p w14:paraId="0992504A" w14:textId="77777777" w:rsidR="00E843C6" w:rsidRDefault="00432766" w:rsidP="091C8FEE">
      <w:pPr>
        <w:spacing w:line="257" w:lineRule="auto"/>
        <w:jc w:val="both"/>
        <w:rPr>
          <w:rFonts w:ascii="Segoe UI" w:eastAsia="Segoe UI" w:hAnsi="Segoe UI" w:cs="Segoe UI"/>
          <w:sz w:val="22"/>
          <w:szCs w:val="22"/>
        </w:rPr>
      </w:pPr>
      <w:r w:rsidRPr="00432766">
        <w:rPr>
          <w:rFonts w:ascii="Segoe UI" w:eastAsia="Segoe UI" w:hAnsi="Segoe UI" w:cs="Segoe UI"/>
          <w:sz w:val="22"/>
          <w:szCs w:val="22"/>
        </w:rPr>
        <w:t xml:space="preserve">Martin, E.M., Myers, K. &amp; </w:t>
      </w:r>
      <w:proofErr w:type="spellStart"/>
      <w:r w:rsidRPr="00432766">
        <w:rPr>
          <w:rFonts w:ascii="Segoe UI" w:eastAsia="Segoe UI" w:hAnsi="Segoe UI" w:cs="Segoe UI"/>
          <w:sz w:val="22"/>
          <w:szCs w:val="22"/>
        </w:rPr>
        <w:t>Brickman</w:t>
      </w:r>
      <w:proofErr w:type="spellEnd"/>
      <w:r w:rsidRPr="00432766">
        <w:rPr>
          <w:rFonts w:ascii="Segoe UI" w:eastAsia="Segoe UI" w:hAnsi="Segoe UI" w:cs="Segoe UI"/>
          <w:sz w:val="22"/>
          <w:szCs w:val="22"/>
        </w:rPr>
        <w:t>, K. (2020) ‘Self-Preservation in the Workplace: The Importance of Well-Being for Social Work Practitioners and Field Supervisors’, Social Work, 65(1), pp. 74–81. Available at</w:t>
      </w:r>
    </w:p>
    <w:p w14:paraId="4FD729F0" w14:textId="53980205" w:rsidR="00BC5B76" w:rsidRDefault="00432766" w:rsidP="091C8FEE">
      <w:pPr>
        <w:spacing w:line="257" w:lineRule="auto"/>
        <w:jc w:val="both"/>
        <w:rPr>
          <w:rFonts w:ascii="Segoe UI" w:eastAsia="Segoe UI" w:hAnsi="Segoe UI" w:cs="Segoe UI"/>
          <w:sz w:val="22"/>
          <w:szCs w:val="22"/>
        </w:rPr>
      </w:pPr>
      <w:r w:rsidRPr="00432766">
        <w:rPr>
          <w:rFonts w:ascii="Segoe UI" w:eastAsia="Segoe UI" w:hAnsi="Segoe UI" w:cs="Segoe UI"/>
          <w:sz w:val="22"/>
          <w:szCs w:val="22"/>
        </w:rPr>
        <w:t xml:space="preserve">: </w:t>
      </w:r>
      <w:hyperlink r:id="rId9" w:history="1">
        <w:r w:rsidRPr="00CE26C4">
          <w:rPr>
            <w:rStyle w:val="Hyperlink"/>
            <w:rFonts w:ascii="Segoe UI" w:eastAsia="Segoe UI" w:hAnsi="Segoe UI" w:cs="Segoe UI"/>
            <w:sz w:val="22"/>
            <w:szCs w:val="22"/>
          </w:rPr>
          <w:t>https://openoregon.pressbooks.pub/hspracticum/chapter/5-9-references/</w:t>
        </w:r>
      </w:hyperlink>
      <w:r>
        <w:rPr>
          <w:rFonts w:ascii="Segoe UI" w:eastAsia="Segoe UI" w:hAnsi="Segoe UI" w:cs="Segoe UI"/>
          <w:sz w:val="22"/>
          <w:szCs w:val="22"/>
        </w:rPr>
        <w:t xml:space="preserve"> (</w:t>
      </w:r>
      <w:r w:rsidRPr="00432766">
        <w:rPr>
          <w:rFonts w:ascii="Segoe UI" w:eastAsia="Segoe UI" w:hAnsi="Segoe UI" w:cs="Segoe UI"/>
          <w:sz w:val="22"/>
          <w:szCs w:val="22"/>
        </w:rPr>
        <w:t>Accessed 14 November 2025].</w:t>
      </w:r>
    </w:p>
    <w:p w14:paraId="301626B0" w14:textId="7FB26AE7" w:rsidR="00E72C24" w:rsidRDefault="00E72C24" w:rsidP="091C8FEE">
      <w:pPr>
        <w:spacing w:line="257" w:lineRule="auto"/>
        <w:jc w:val="both"/>
        <w:rPr>
          <w:rFonts w:ascii="Segoe UI" w:eastAsia="Segoe UI" w:hAnsi="Segoe UI" w:cs="Segoe UI"/>
          <w:sz w:val="22"/>
          <w:szCs w:val="22"/>
        </w:rPr>
      </w:pPr>
    </w:p>
    <w:p w14:paraId="51A96F9E" w14:textId="5000BB01" w:rsidR="091C8FEE" w:rsidRDefault="091C8FEE" w:rsidP="091C8FEE">
      <w:pPr>
        <w:spacing w:line="257" w:lineRule="auto"/>
        <w:jc w:val="both"/>
        <w:rPr>
          <w:rFonts w:ascii="Arial" w:eastAsia="Arial" w:hAnsi="Arial" w:cs="Arial"/>
          <w:sz w:val="22"/>
          <w:szCs w:val="22"/>
        </w:rPr>
      </w:pPr>
    </w:p>
    <w:p w14:paraId="66C1BA7A" w14:textId="77777777" w:rsidR="091C8FEE" w:rsidRDefault="091C8FEE" w:rsidP="091C8FEE">
      <w:pPr>
        <w:spacing w:line="257" w:lineRule="auto"/>
        <w:jc w:val="both"/>
        <w:rPr>
          <w:rFonts w:ascii="Arial" w:eastAsia="Arial" w:hAnsi="Arial" w:cs="Arial"/>
          <w:sz w:val="22"/>
          <w:szCs w:val="22"/>
        </w:rPr>
      </w:pPr>
    </w:p>
    <w:p w14:paraId="78E3A23D" w14:textId="1595B6A9" w:rsidR="000E1BE7" w:rsidRPr="000E1BE7" w:rsidRDefault="000E1BE7" w:rsidP="000E1BE7">
      <w:pPr>
        <w:spacing w:line="257" w:lineRule="auto"/>
        <w:jc w:val="both"/>
        <w:rPr>
          <w:rFonts w:ascii="Segoe UI" w:eastAsia="Segoe UI" w:hAnsi="Segoe UI" w:cs="Segoe UI"/>
          <w:sz w:val="22"/>
          <w:szCs w:val="22"/>
        </w:rPr>
      </w:pPr>
    </w:p>
    <w:sectPr w:rsidR="000E1BE7" w:rsidRPr="000E1BE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B1C1D7"/>
    <w:rsid w:val="000077C3"/>
    <w:rsid w:val="000302FE"/>
    <w:rsid w:val="000441B0"/>
    <w:rsid w:val="0006120B"/>
    <w:rsid w:val="000E1BE7"/>
    <w:rsid w:val="000E4838"/>
    <w:rsid w:val="000F745C"/>
    <w:rsid w:val="00105436"/>
    <w:rsid w:val="00122764"/>
    <w:rsid w:val="001244B6"/>
    <w:rsid w:val="00144B4E"/>
    <w:rsid w:val="00147369"/>
    <w:rsid w:val="001677FC"/>
    <w:rsid w:val="00173626"/>
    <w:rsid w:val="0017667D"/>
    <w:rsid w:val="001B48BB"/>
    <w:rsid w:val="00270D41"/>
    <w:rsid w:val="002860EA"/>
    <w:rsid w:val="002A4586"/>
    <w:rsid w:val="00343AC0"/>
    <w:rsid w:val="00357442"/>
    <w:rsid w:val="003B4652"/>
    <w:rsid w:val="003D3B26"/>
    <w:rsid w:val="00401114"/>
    <w:rsid w:val="00432766"/>
    <w:rsid w:val="00442B07"/>
    <w:rsid w:val="004634CB"/>
    <w:rsid w:val="0048227B"/>
    <w:rsid w:val="00494ECC"/>
    <w:rsid w:val="004D3BE3"/>
    <w:rsid w:val="0056005C"/>
    <w:rsid w:val="005637AC"/>
    <w:rsid w:val="00582760"/>
    <w:rsid w:val="00597F58"/>
    <w:rsid w:val="005D3E7F"/>
    <w:rsid w:val="005E2D25"/>
    <w:rsid w:val="005E55D7"/>
    <w:rsid w:val="005F5017"/>
    <w:rsid w:val="00622FEA"/>
    <w:rsid w:val="00661858"/>
    <w:rsid w:val="006D5EDC"/>
    <w:rsid w:val="006E5B1A"/>
    <w:rsid w:val="006E7CB5"/>
    <w:rsid w:val="00702CCE"/>
    <w:rsid w:val="00710CC9"/>
    <w:rsid w:val="00770295"/>
    <w:rsid w:val="007B56D4"/>
    <w:rsid w:val="007C3A55"/>
    <w:rsid w:val="007E6CDE"/>
    <w:rsid w:val="00802F38"/>
    <w:rsid w:val="008409AA"/>
    <w:rsid w:val="00855CD2"/>
    <w:rsid w:val="00887408"/>
    <w:rsid w:val="008B0D59"/>
    <w:rsid w:val="008D5E2C"/>
    <w:rsid w:val="00917403"/>
    <w:rsid w:val="00923713"/>
    <w:rsid w:val="00947FD9"/>
    <w:rsid w:val="00960F78"/>
    <w:rsid w:val="009914C2"/>
    <w:rsid w:val="009B20C0"/>
    <w:rsid w:val="009B6BCC"/>
    <w:rsid w:val="009D2E46"/>
    <w:rsid w:val="009F503D"/>
    <w:rsid w:val="00AB21E9"/>
    <w:rsid w:val="00AB31E0"/>
    <w:rsid w:val="00AF0EBF"/>
    <w:rsid w:val="00B628FE"/>
    <w:rsid w:val="00B82477"/>
    <w:rsid w:val="00B85915"/>
    <w:rsid w:val="00BA7659"/>
    <w:rsid w:val="00BC5B76"/>
    <w:rsid w:val="00BF10CD"/>
    <w:rsid w:val="00C73966"/>
    <w:rsid w:val="00C92281"/>
    <w:rsid w:val="00CA1244"/>
    <w:rsid w:val="00CA1FB7"/>
    <w:rsid w:val="00CD4453"/>
    <w:rsid w:val="00D00ADD"/>
    <w:rsid w:val="00D71965"/>
    <w:rsid w:val="00D72C74"/>
    <w:rsid w:val="00DC39A4"/>
    <w:rsid w:val="00E11F22"/>
    <w:rsid w:val="00E34F18"/>
    <w:rsid w:val="00E5710E"/>
    <w:rsid w:val="00E72C24"/>
    <w:rsid w:val="00E843C6"/>
    <w:rsid w:val="00EA6BC9"/>
    <w:rsid w:val="00EC2FE1"/>
    <w:rsid w:val="00EF6ED9"/>
    <w:rsid w:val="00F46648"/>
    <w:rsid w:val="00F51156"/>
    <w:rsid w:val="00F80884"/>
    <w:rsid w:val="00F81110"/>
    <w:rsid w:val="00F947D4"/>
    <w:rsid w:val="00F9490D"/>
    <w:rsid w:val="02997A99"/>
    <w:rsid w:val="043A6C0B"/>
    <w:rsid w:val="04CA0A37"/>
    <w:rsid w:val="053B30B6"/>
    <w:rsid w:val="05F5EC51"/>
    <w:rsid w:val="087DA76D"/>
    <w:rsid w:val="091C8FEE"/>
    <w:rsid w:val="09C94F11"/>
    <w:rsid w:val="09D78F57"/>
    <w:rsid w:val="0A648C41"/>
    <w:rsid w:val="0AF0145F"/>
    <w:rsid w:val="0BAF244C"/>
    <w:rsid w:val="0C8389DF"/>
    <w:rsid w:val="0E4542F0"/>
    <w:rsid w:val="0E7BDE05"/>
    <w:rsid w:val="111325EB"/>
    <w:rsid w:val="11BF92D1"/>
    <w:rsid w:val="13CAF229"/>
    <w:rsid w:val="13D4DAAB"/>
    <w:rsid w:val="1415F901"/>
    <w:rsid w:val="14363E3E"/>
    <w:rsid w:val="15E38C0D"/>
    <w:rsid w:val="15ED4CE1"/>
    <w:rsid w:val="16A377E4"/>
    <w:rsid w:val="180F7A92"/>
    <w:rsid w:val="18503F58"/>
    <w:rsid w:val="18874403"/>
    <w:rsid w:val="18BCA05A"/>
    <w:rsid w:val="198A9D6D"/>
    <w:rsid w:val="1A2A8D3E"/>
    <w:rsid w:val="1A5EFA05"/>
    <w:rsid w:val="1B007A43"/>
    <w:rsid w:val="1D61F7E5"/>
    <w:rsid w:val="1EB3E396"/>
    <w:rsid w:val="1EFEFFDC"/>
    <w:rsid w:val="1F1FFA16"/>
    <w:rsid w:val="1F49371F"/>
    <w:rsid w:val="1F883517"/>
    <w:rsid w:val="1FB768CB"/>
    <w:rsid w:val="221AF672"/>
    <w:rsid w:val="22244FFD"/>
    <w:rsid w:val="22ADE92E"/>
    <w:rsid w:val="233EF352"/>
    <w:rsid w:val="24824A7E"/>
    <w:rsid w:val="2509BE5F"/>
    <w:rsid w:val="25EB9EC2"/>
    <w:rsid w:val="261E737A"/>
    <w:rsid w:val="269B70BD"/>
    <w:rsid w:val="27BF6B5D"/>
    <w:rsid w:val="29B8CA87"/>
    <w:rsid w:val="2A6EE482"/>
    <w:rsid w:val="2ACB07EE"/>
    <w:rsid w:val="2B86A7AF"/>
    <w:rsid w:val="2C44D46F"/>
    <w:rsid w:val="2C62CE2E"/>
    <w:rsid w:val="2CF9F7E9"/>
    <w:rsid w:val="2D0FEA10"/>
    <w:rsid w:val="2DE828FA"/>
    <w:rsid w:val="2EACEF4E"/>
    <w:rsid w:val="2FD181E6"/>
    <w:rsid w:val="2FED75E9"/>
    <w:rsid w:val="300D8E3A"/>
    <w:rsid w:val="30720AD2"/>
    <w:rsid w:val="316692D4"/>
    <w:rsid w:val="317A4496"/>
    <w:rsid w:val="321E8A0E"/>
    <w:rsid w:val="33D372FA"/>
    <w:rsid w:val="346D42C0"/>
    <w:rsid w:val="3564BAF8"/>
    <w:rsid w:val="359980B7"/>
    <w:rsid w:val="37266673"/>
    <w:rsid w:val="38172970"/>
    <w:rsid w:val="38526BBC"/>
    <w:rsid w:val="388DD0EF"/>
    <w:rsid w:val="38AFA8D4"/>
    <w:rsid w:val="398B8262"/>
    <w:rsid w:val="3A98AEC2"/>
    <w:rsid w:val="3CB56F83"/>
    <w:rsid w:val="3CDC3F86"/>
    <w:rsid w:val="3E59955F"/>
    <w:rsid w:val="3F31A30E"/>
    <w:rsid w:val="40001BE6"/>
    <w:rsid w:val="402869CE"/>
    <w:rsid w:val="411C45C6"/>
    <w:rsid w:val="418BA84E"/>
    <w:rsid w:val="41A083D3"/>
    <w:rsid w:val="42249745"/>
    <w:rsid w:val="422F57B8"/>
    <w:rsid w:val="4258B8B1"/>
    <w:rsid w:val="42BB385F"/>
    <w:rsid w:val="43EED6BD"/>
    <w:rsid w:val="454AD729"/>
    <w:rsid w:val="45B094EF"/>
    <w:rsid w:val="4752EEA8"/>
    <w:rsid w:val="482E6766"/>
    <w:rsid w:val="48EEAB24"/>
    <w:rsid w:val="49CB7EDA"/>
    <w:rsid w:val="4DC30AD2"/>
    <w:rsid w:val="4F6E5A0F"/>
    <w:rsid w:val="4F7C3754"/>
    <w:rsid w:val="51261B24"/>
    <w:rsid w:val="519B07FC"/>
    <w:rsid w:val="51AD414F"/>
    <w:rsid w:val="51EEC068"/>
    <w:rsid w:val="5205E45D"/>
    <w:rsid w:val="52080CF6"/>
    <w:rsid w:val="533F6FD8"/>
    <w:rsid w:val="53D07376"/>
    <w:rsid w:val="5430F92B"/>
    <w:rsid w:val="57FE2C88"/>
    <w:rsid w:val="597C6680"/>
    <w:rsid w:val="5A57F465"/>
    <w:rsid w:val="5AF31B7D"/>
    <w:rsid w:val="5B213501"/>
    <w:rsid w:val="5B51963F"/>
    <w:rsid w:val="5BC2F9A8"/>
    <w:rsid w:val="5BF22ABD"/>
    <w:rsid w:val="5C380956"/>
    <w:rsid w:val="5C3CDB0B"/>
    <w:rsid w:val="5D489ADF"/>
    <w:rsid w:val="5DF7E849"/>
    <w:rsid w:val="5E14FE8D"/>
    <w:rsid w:val="5EB0C456"/>
    <w:rsid w:val="5EE21F1A"/>
    <w:rsid w:val="5EE8AAE8"/>
    <w:rsid w:val="5F015220"/>
    <w:rsid w:val="5FA1AA31"/>
    <w:rsid w:val="5FCAABD6"/>
    <w:rsid w:val="60E1E040"/>
    <w:rsid w:val="640474E4"/>
    <w:rsid w:val="6540F946"/>
    <w:rsid w:val="675A1822"/>
    <w:rsid w:val="67E9AA91"/>
    <w:rsid w:val="6802B44F"/>
    <w:rsid w:val="683C77D1"/>
    <w:rsid w:val="69520764"/>
    <w:rsid w:val="6961A2FF"/>
    <w:rsid w:val="69B10E0F"/>
    <w:rsid w:val="6ACAB47F"/>
    <w:rsid w:val="6B137721"/>
    <w:rsid w:val="6B3428DE"/>
    <w:rsid w:val="6C292A3E"/>
    <w:rsid w:val="6C4A68A3"/>
    <w:rsid w:val="6C4DE058"/>
    <w:rsid w:val="6D93F1F9"/>
    <w:rsid w:val="6F9D92CA"/>
    <w:rsid w:val="6FCB9EBB"/>
    <w:rsid w:val="701F726B"/>
    <w:rsid w:val="70B1C1D7"/>
    <w:rsid w:val="720226B7"/>
    <w:rsid w:val="7242B7E7"/>
    <w:rsid w:val="72D390BC"/>
    <w:rsid w:val="72F81840"/>
    <w:rsid w:val="7319B2A4"/>
    <w:rsid w:val="73A89AED"/>
    <w:rsid w:val="73D307A9"/>
    <w:rsid w:val="740053AD"/>
    <w:rsid w:val="759AE2D0"/>
    <w:rsid w:val="76206FDC"/>
    <w:rsid w:val="764024EB"/>
    <w:rsid w:val="76B50BA9"/>
    <w:rsid w:val="77EF5850"/>
    <w:rsid w:val="784D0038"/>
    <w:rsid w:val="79532053"/>
    <w:rsid w:val="7B9C31EF"/>
    <w:rsid w:val="7C001DA4"/>
    <w:rsid w:val="7C5FE75C"/>
    <w:rsid w:val="7CFE1B63"/>
    <w:rsid w:val="7D3C90A9"/>
    <w:rsid w:val="7D7DA052"/>
    <w:rsid w:val="7E451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1C1D7"/>
  <w15:chartTrackingRefBased/>
  <w15:docId w15:val="{0DF6C179-F39F-E64F-916B-4AFD29069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5B213501"/>
    <w:rPr>
      <w:color w:val="467886"/>
      <w:u w:val="single"/>
    </w:rPr>
  </w:style>
  <w:style w:type="character" w:styleId="FollowedHyperlink">
    <w:name w:val="FollowedHyperlink"/>
    <w:basedOn w:val="DefaultParagraphFont"/>
    <w:uiPriority w:val="99"/>
    <w:semiHidden/>
    <w:unhideWhenUsed/>
    <w:rsid w:val="007C3A55"/>
    <w:rPr>
      <w:color w:val="96607D" w:themeColor="followedHyperlink"/>
      <w:u w:val="single"/>
    </w:rPr>
  </w:style>
  <w:style w:type="character" w:styleId="UnresolvedMention">
    <w:name w:val="Unresolved Mention"/>
    <w:basedOn w:val="DefaultParagraphFont"/>
    <w:uiPriority w:val="99"/>
    <w:semiHidden/>
    <w:unhideWhenUsed/>
    <w:rsid w:val="00BC5B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hiostate.pressbooks.pub/swk3402/chapter/module-1-references/" TargetMode="External"/><Relationship Id="rId3" Type="http://schemas.openxmlformats.org/officeDocument/2006/relationships/webSettings" Target="webSettings.xml"/><Relationship Id="rId7" Type="http://schemas.openxmlformats.org/officeDocument/2006/relationships/hyperlink" Target="https://www.adelphi.edu/social-work/social-justice/real-cases/introduction/referenc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pen.edu/openlearn/health-sports-psychology/social-care-social-work/an-introduction-social-work/content-section---references" TargetMode="External"/><Relationship Id="rId11" Type="http://schemas.openxmlformats.org/officeDocument/2006/relationships/theme" Target="theme/theme1.xml"/><Relationship Id="rId5" Type="http://schemas.openxmlformats.org/officeDocument/2006/relationships/hyperlink" Target="https://www.socialworkers.org/Practice/Standards-For-Social-Work-Practice-in-Health-Care-Setting"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openoregon.pressbooks.pub/hspracticum/chapter/5-9-refer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Pages>
  <Words>1668</Words>
  <Characters>9513</Characters>
  <Application>Microsoft Office Word</Application>
  <DocSecurity>0</DocSecurity>
  <Lines>79</Lines>
  <Paragraphs>22</Paragraphs>
  <ScaleCrop>false</ScaleCrop>
  <Company/>
  <LinksUpToDate>false</LinksUpToDate>
  <CharactersWithSpaces>11159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Bibi (2419139)</dc:creator>
  <cp:keywords/>
  <dc:description/>
  <cp:lastModifiedBy>Fatima Bibi (2419139)</cp:lastModifiedBy>
  <cp:revision>87</cp:revision>
  <dcterms:created xsi:type="dcterms:W3CDTF">2025-11-08T15:20:00Z</dcterms:created>
  <dcterms:modified xsi:type="dcterms:W3CDTF">2025-11-13T21:14:00Z</dcterms:modified>
</cp:coreProperties>
</file>